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jpeg" ContentType="image/jpeg"/>
  <Override PartName="/word/media/image7.wmf" ContentType="image/x-wmf"/>
  <Override PartName="/word/media/image2.jpeg" ContentType="image/jpeg"/>
  <Override PartName="/word/media/image16.wmf" ContentType="image/x-wmf"/>
  <Override PartName="/word/media/image5.png" ContentType="image/png"/>
  <Override PartName="/word/media/image3.jpeg" ContentType="image/jpeg"/>
  <Override PartName="/word/media/image9.wmf" ContentType="image/x-wmf"/>
  <Override PartName="/word/media/image13.wmf" ContentType="image/x-wmf"/>
  <Override PartName="/word/media/image4.jpeg" ContentType="image/jpeg"/>
  <Override PartName="/word/media/image6.wmf" ContentType="image/x-wmf"/>
  <Override PartName="/word/media/image8.wmf" ContentType="image/x-wmf"/>
  <Override PartName="/word/media/image10.wmf" ContentType="image/x-wmf"/>
  <Override PartName="/word/media/image11.wmf" ContentType="image/x-wmf"/>
  <Override PartName="/word/media/image12.wmf" ContentType="image/x-wmf"/>
  <Override PartName="/word/media/image14.wmf" ContentType="image/x-wmf"/>
  <Override PartName="/word/media/image15.wmf" ContentType="image/x-wmf"/>
  <Override PartName="/word/media/image17.wmf" ContentType="image/x-wmf"/>
  <Override PartName="/word/media/image18.wmf" ContentType="image/x-wmf"/>
  <Override PartName="/word/media/image19.wmf" ContentType="image/x-wmf"/>
  <Override PartName="/word/media/image20.wmf" ContentType="image/x-wmf"/>
  <Override PartName="/word/media/image21.wmf" ContentType="image/x-wmf"/>
  <Override PartName="/word/media/image22.wmf" ContentType="image/x-wmf"/>
  <Override PartName="/word/media/image23.wmf" ContentType="image/x-wmf"/>
  <Override PartName="/word/media/image24.wmf" ContentType="image/x-wmf"/>
  <Override PartName="/word/media/image25.wmf" ContentType="image/x-wmf"/>
  <Override PartName="/word/media/image26.wmf" ContentType="image/x-wmf"/>
  <Override PartName="/word/media/image27.wmf" ContentType="image/x-wmf"/>
  <Override PartName="/word/media/image28.wmf" ContentType="image/x-wmf"/>
  <Override PartName="/word/media/image29.wmf" ContentType="image/x-wmf"/>
  <Override PartName="/word/media/image30.wmf" ContentType="image/x-wmf"/>
  <Override PartName="/word/media/image31.wmf" ContentType="image/x-wmf"/>
  <Override PartName="/word/media/image32.wmf" ContentType="image/x-wmf"/>
  <Override PartName="/word/numbering.xml" ContentType="application/vnd.openxmlformats-officedocument.wordprocessingml.number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b/>
          <w:sz w:val="36"/>
          <w:szCs w:val="36"/>
        </w:rPr>
        <w:t xml:space="preserve">Gabriel Vacariu </w:t>
      </w:r>
      <w:r>
        <w:rPr>
          <w:sz w:val="36"/>
          <w:szCs w:val="36"/>
        </w:rPr>
        <w:t xml:space="preserve">  </w:t>
      </w:r>
    </w:p>
    <w:p>
      <w:pPr>
        <w:pStyle w:val="Normal"/>
        <w:rPr>
          <w:sz w:val="36"/>
          <w:szCs w:val="36"/>
        </w:rPr>
      </w:pPr>
      <w:r>
        <w:rPr>
          <w:sz w:val="36"/>
          <w:szCs w:val="36"/>
        </w:rPr>
      </w:r>
    </w:p>
    <w:p>
      <w:pPr>
        <w:pStyle w:val="Normal"/>
        <w:rPr>
          <w:b/>
          <w:b/>
          <w:sz w:val="36"/>
          <w:szCs w:val="36"/>
        </w:rPr>
      </w:pPr>
      <w:r>
        <w:rPr>
          <w:b/>
          <w:sz w:val="36"/>
          <w:szCs w:val="36"/>
        </w:rPr>
        <w:t>(April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w:t>
      </w:r>
    </w:p>
    <w:p>
      <w:pPr>
        <w:pStyle w:val="NormalWeb"/>
        <w:shd w:val="clear" w:fill="FFFFFF"/>
        <w:spacing w:before="0" w:after="0"/>
        <w:contextualSpacing/>
        <w:jc w:val="both"/>
        <w:rPr>
          <w:sz w:val="22"/>
          <w:szCs w:val="22"/>
          <w:highlight w:val="blue"/>
        </w:rPr>
      </w:pPr>
      <w:r>
        <w:rPr>
          <w:sz w:val="22"/>
          <w:szCs w:val="22"/>
          <w:highlight w:val="blue"/>
        </w:rPr>
      </w:r>
    </w:p>
    <w:p>
      <w:pPr>
        <w:pStyle w:val="NormalWeb"/>
        <w:shd w:val="clear" w:fill="FFFFFF"/>
        <w:spacing w:before="0" w:after="0"/>
        <w:contextualSpacing/>
        <w:jc w:val="both"/>
        <w:rPr>
          <w:sz w:val="22"/>
          <w:szCs w:val="22"/>
          <w:highlight w:val="blue"/>
        </w:rPr>
      </w:pPr>
      <w:r>
        <w:rPr>
          <w:sz w:val="22"/>
          <w:szCs w:val="22"/>
          <w:highlight w:val="blue"/>
        </w:rPr>
      </w:r>
    </w:p>
    <w:p>
      <w:pPr>
        <w:pStyle w:val="NormalWeb"/>
        <w:shd w:val="clear" w:fill="FFFFFF"/>
        <w:spacing w:before="0" w:after="0"/>
        <w:contextualSpacing/>
        <w:jc w:val="both"/>
        <w:rPr>
          <w:sz w:val="22"/>
          <w:szCs w:val="22"/>
          <w:highlight w:val="blue"/>
        </w:rPr>
      </w:pPr>
      <w:r>
        <w:rPr>
          <w:sz w:val="22"/>
          <w:szCs w:val="22"/>
          <w:highlight w:val="blue"/>
        </w:rPr>
      </w:r>
    </w:p>
    <w:p>
      <w:pPr>
        <w:pStyle w:val="NormalWeb"/>
        <w:shd w:val="clear" w:fill="FFFFFF"/>
        <w:spacing w:before="0" w:after="0"/>
        <w:contextualSpacing/>
        <w:jc w:val="both"/>
        <w:rPr>
          <w:sz w:val="22"/>
          <w:szCs w:val="22"/>
          <w:highlight w:val="blue"/>
        </w:rPr>
      </w:pPr>
      <w:r>
        <w:rPr>
          <w:sz w:val="22"/>
          <w:szCs w:val="22"/>
          <w:highlight w:val="blue"/>
        </w:rPr>
      </w:r>
    </w:p>
    <w:p>
      <w:pPr>
        <w:pStyle w:val="NormalWeb"/>
        <w:shd w:val="clear" w:fill="FFFFFF"/>
        <w:spacing w:before="0" w:after="0"/>
        <w:contextualSpacing/>
        <w:jc w:val="both"/>
        <w:rPr>
          <w:sz w:val="22"/>
          <w:szCs w:val="22"/>
          <w:highlight w:val="blue"/>
        </w:rPr>
      </w:pPr>
      <w:r>
        <w:rPr>
          <w:sz w:val="22"/>
          <w:szCs w:val="22"/>
          <w:highlight w:val="blue"/>
        </w:rPr>
        <w:t>This document (among others) is at these addres</w:t>
      </w:r>
      <w:r>
        <w:rPr>
          <w:sz w:val="22"/>
          <w:szCs w:val="22"/>
          <w:highlight w:val="blue"/>
          <w:lang w:val="en-US"/>
        </w:rPr>
        <w:t>s</w:t>
      </w:r>
      <w:r>
        <w:rPr>
          <w:sz w:val="22"/>
          <w:szCs w:val="22"/>
          <w:highlight w:val="blue"/>
        </w:rPr>
        <w:t xml:space="preserve">es </w:t>
      </w:r>
    </w:p>
    <w:p>
      <w:pPr>
        <w:pStyle w:val="NormalWeb"/>
        <w:shd w:val="clear" w:fill="FFFFFF"/>
        <w:spacing w:before="0" w:after="0"/>
        <w:contextualSpacing/>
        <w:jc w:val="both"/>
        <w:rPr/>
      </w:pPr>
      <w:hyperlink r:id="rId2">
        <w:r>
          <w:rPr>
            <w:rStyle w:val="InternetLink"/>
            <w:sz w:val="22"/>
            <w:szCs w:val="22"/>
            <w:highlight w:val="blue"/>
          </w:rPr>
          <w:t>https://unibuc.academia.edu/GabrielVacariu/Analytics/activity/documents</w:t>
        </w:r>
      </w:hyperlink>
    </w:p>
    <w:p>
      <w:pPr>
        <w:pStyle w:val="NormalWeb"/>
        <w:shd w:val="clear" w:fill="FFFFFF"/>
        <w:spacing w:before="0" w:after="0"/>
        <w:contextualSpacing/>
        <w:jc w:val="both"/>
        <w:rPr/>
      </w:pPr>
      <w:hyperlink r:id="rId3">
        <w:r>
          <w:rPr>
            <w:rStyle w:val="InternetLink"/>
            <w:sz w:val="22"/>
            <w:szCs w:val="22"/>
            <w:highlight w:val="blue"/>
          </w:rPr>
          <w:t>https://www.researchgate.net/profile/Gabriel_Vacariu/publications</w:t>
        </w:r>
      </w:hyperlink>
    </w:p>
    <w:p>
      <w:pPr>
        <w:pStyle w:val="NormalWeb"/>
        <w:shd w:val="clear" w:fill="FFFFFF"/>
        <w:spacing w:before="0" w:after="0"/>
        <w:contextualSpacing/>
        <w:jc w:val="both"/>
        <w:rPr/>
      </w:pPr>
      <w:hyperlink r:id="rId4">
        <w:r>
          <w:rPr>
            <w:rStyle w:val="InternetLink"/>
            <w:sz w:val="22"/>
            <w:szCs w:val="22"/>
            <w:highlight w:val="blue"/>
          </w:rPr>
          <w:t>https://philpeople.org/profiles/gabriel-vacariu/publications</w:t>
        </w:r>
      </w:hyperlink>
    </w:p>
    <w:p>
      <w:pPr>
        <w:pStyle w:val="NormalWeb"/>
        <w:shd w:val="clear" w:fill="FFFFFF"/>
        <w:spacing w:before="0" w:after="0"/>
        <w:contextualSpacing/>
        <w:jc w:val="both"/>
        <w:rPr/>
      </w:pPr>
      <w:hyperlink r:id="rId5">
        <w:r>
          <w:rPr>
            <w:rStyle w:val="InternetLink"/>
            <w:sz w:val="22"/>
            <w:szCs w:val="22"/>
            <w:highlight w:val="blue"/>
          </w:rPr>
          <w:t>https://sites.google.com/view/gabriel-vacariu-philosophy/home</w:t>
        </w:r>
      </w:hyperlink>
    </w:p>
    <w:p>
      <w:pPr>
        <w:pStyle w:val="Normal"/>
        <w:shd w:val="clear" w:fill="FFFFFF"/>
        <w:spacing w:before="0" w:after="0"/>
        <w:contextualSpacing/>
        <w:rPr/>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hyperlink r:id="rId6">
        <w:r>
          <w:rPr>
            <w:rStyle w:val="InternetLink"/>
            <w:sz w:val="22"/>
            <w:szCs w:val="22"/>
            <w:lang w:val="ro-RO"/>
          </w:rPr>
          <w:t>https://www.youtube.com/watch?v=WIBUqYFliCA&amp;t=14s</w:t>
        </w:r>
      </w:hyperlink>
    </w:p>
    <w:p>
      <w:pPr>
        <w:pStyle w:val="Normal"/>
        <w:spacing w:before="0" w:after="0"/>
        <w:ind w:left="0" w:right="0" w:firstLine="720"/>
        <w:contextualSpacing/>
        <w:rPr/>
      </w:pPr>
      <w:r>
        <w:rPr/>
      </w:r>
    </w:p>
    <w:p>
      <w:pPr>
        <w:pStyle w:val="Normal"/>
        <w:spacing w:before="0" w:after="0"/>
        <w:ind w:left="0" w:right="0" w:firstLine="720"/>
        <w:contextualSpacing/>
        <w:rPr/>
      </w:pPr>
      <w:r>
        <w:rPr/>
      </w:r>
    </w:p>
    <w:p>
      <w:pPr>
        <w:pStyle w:val="Normal"/>
        <w:spacing w:before="0" w:after="0"/>
        <w:contextualSpacing/>
        <w:rPr/>
      </w:pPr>
      <w:r>
        <w:rPr/>
        <w:t xml:space="preserve">                                                 </w:t>
      </w:r>
      <w:r>
        <w:rPr>
          <w:b/>
          <w:sz w:val="32"/>
          <w:szCs w:val="32"/>
        </w:rPr>
        <w:t xml:space="preserve">                                               </w:t>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jc w:val="right"/>
        <w:rPr/>
      </w:pPr>
      <w:r>
        <w:rPr/>
        <w:t>The future ain't what it used to be.</w:t>
      </w:r>
    </w:p>
    <w:p>
      <w:pPr>
        <w:pStyle w:val="Normal"/>
        <w:spacing w:before="0" w:after="0"/>
        <w:ind w:left="0" w:right="0" w:firstLine="720"/>
        <w:contextualSpacing/>
        <w:jc w:val="right"/>
        <w:rPr/>
      </w:pPr>
      <w:r>
        <w:rPr/>
        <w:t xml:space="preserve">      </w:t>
      </w:r>
      <w:r>
        <w:rPr/>
        <w:tab/>
        <w:tab/>
        <w:t xml:space="preserve">           </w:t>
        <w:tab/>
        <w:tab/>
        <w:tab/>
        <w:t xml:space="preserve">      Yogi Berra</w:t>
      </w:r>
    </w:p>
    <w:p>
      <w:pPr>
        <w:pStyle w:val="Normal"/>
        <w:spacing w:before="0" w:after="0"/>
        <w:ind w:left="0" w:right="0" w:firstLine="720"/>
        <w:contextualSpacing/>
        <w:jc w:val="right"/>
        <w:rPr/>
      </w:pPr>
      <w:r>
        <w:rPr/>
      </w:r>
    </w:p>
    <w:p>
      <w:pPr>
        <w:pStyle w:val="Normal"/>
        <w:spacing w:before="0" w:after="0"/>
        <w:ind w:left="0" w:right="0" w:firstLine="720"/>
        <w:contextualSpacing/>
        <w:jc w:val="right"/>
        <w:rPr/>
      </w:pPr>
      <w:r>
        <w:rPr/>
      </w:r>
    </w:p>
    <w:p>
      <w:pPr>
        <w:pStyle w:val="Normal"/>
        <w:spacing w:before="0" w:after="0"/>
        <w:ind w:left="0" w:right="0" w:firstLine="720"/>
        <w:contextualSpacing/>
        <w:jc w:val="right"/>
        <w:rPr/>
      </w:pPr>
      <w:r>
        <w:rPr/>
        <w:t xml:space="preserve">             </w:t>
      </w:r>
      <w:r>
        <w:rPr/>
        <w:t>The hell is empty and all the devils are here.</w:t>
      </w:r>
    </w:p>
    <w:p>
      <w:pPr>
        <w:pStyle w:val="Normal"/>
        <w:spacing w:before="0" w:after="0"/>
        <w:ind w:left="0" w:right="0" w:firstLine="720"/>
        <w:contextualSpacing/>
        <w:jc w:val="right"/>
        <w:rPr/>
      </w:pPr>
      <w:r>
        <w:rPr/>
        <w:t xml:space="preserve">      </w:t>
      </w:r>
      <w:r>
        <w:rPr/>
        <w:t xml:space="preserve">Shakespeare, </w:t>
      </w:r>
      <w:r>
        <w:rPr>
          <w:i/>
        </w:rPr>
        <w:t>The tempest</w:t>
      </w:r>
    </w:p>
    <w:p>
      <w:pPr>
        <w:pStyle w:val="Normal"/>
        <w:spacing w:before="0" w:after="0"/>
        <w:ind w:left="0" w:right="0" w:firstLine="720"/>
        <w:contextualSpacing/>
        <w:rPr/>
      </w:pPr>
      <w:r>
        <w:rPr/>
      </w:r>
    </w:p>
    <w:p>
      <w:pPr>
        <w:pStyle w:val="Normal"/>
        <w:spacing w:before="0" w:after="0"/>
        <w:ind w:left="0" w:right="0" w:firstLine="720"/>
        <w:contextualSpacing/>
        <w:rPr/>
      </w:pPr>
      <w:r>
        <w:rPr/>
      </w:r>
    </w:p>
    <w:p>
      <w:pPr>
        <w:pStyle w:val="Normal"/>
        <w:spacing w:before="0" w:after="0"/>
        <w:ind w:left="0" w:right="0" w:firstLine="720"/>
        <w:contextualSpacing/>
        <w:rPr/>
      </w:pPr>
      <w:r>
        <w:rPr/>
      </w:r>
    </w:p>
    <w:p>
      <w:pPr>
        <w:pStyle w:val="Normal"/>
        <w:spacing w:before="0" w:after="0"/>
        <w:ind w:left="0" w:right="0" w:firstLine="720"/>
        <w:contextualSpacing/>
        <w:rPr/>
      </w:pPr>
      <w:r>
        <w:rPr/>
      </w:r>
    </w:p>
    <w:p>
      <w:pPr>
        <w:pStyle w:val="Normal"/>
        <w:spacing w:before="0" w:after="0"/>
        <w:contextualSpacing/>
        <w:rPr>
          <w:color w:val="FF0000"/>
        </w:rPr>
      </w:pPr>
      <w:r>
        <w:rPr>
          <w:color w:val="FF0000"/>
        </w:rPr>
      </w:r>
    </w:p>
    <w:p>
      <w:pPr>
        <w:pStyle w:val="Normal"/>
        <w:shd w:val="clear" w:fill="FFFFFF"/>
        <w:spacing w:before="0" w:after="0"/>
        <w:contextualSpacing/>
        <w:rPr>
          <w:b/>
          <w:b/>
          <w:bCs/>
          <w:lang w:val="ro-RO"/>
        </w:rPr>
      </w:pPr>
      <w:r>
        <w:rPr>
          <w:b/>
          <w:bCs/>
          <w:lang w:val="ro-RO"/>
        </w:rPr>
        <w:t>CONTENT</w:t>
      </w:r>
    </w:p>
    <w:p>
      <w:pPr>
        <w:pStyle w:val="Normal"/>
        <w:tabs>
          <w:tab w:val="clear" w:pos="720"/>
          <w:tab w:val="left" w:pos="6540" w:leader="none"/>
        </w:tabs>
        <w:spacing w:before="0" w:after="0"/>
        <w:ind w:left="-360" w:right="0" w:hanging="0"/>
        <w:contextualSpacing/>
        <w:rPr>
          <w:b/>
          <w:b/>
        </w:rPr>
      </w:pPr>
      <w:r>
        <w:rPr>
          <w:b/>
        </w:rPr>
      </w:r>
    </w:p>
    <w:p>
      <w:pPr>
        <w:pStyle w:val="Normal"/>
        <w:tabs>
          <w:tab w:val="clear" w:pos="720"/>
          <w:tab w:val="left" w:pos="6540" w:leader="none"/>
        </w:tabs>
        <w:spacing w:before="0" w:after="0"/>
        <w:ind w:left="-360" w:right="0" w:hanging="0"/>
        <w:contextualSpacing/>
        <w:rPr>
          <w:b/>
          <w:b/>
        </w:rPr>
      </w:pPr>
      <w:r>
        <w:rPr>
          <w:b/>
        </w:rPr>
        <w:t xml:space="preserve">(April 2019) Why so many people (from so many countries/domains/on so many topics) </w:t>
      </w:r>
    </w:p>
    <w:p>
      <w:pPr>
        <w:pStyle w:val="Normal"/>
        <w:tabs>
          <w:tab w:val="clear" w:pos="720"/>
          <w:tab w:val="left" w:pos="6540" w:leader="none"/>
        </w:tabs>
        <w:spacing w:before="0" w:after="0"/>
        <w:contextualSpacing/>
        <w:rPr>
          <w:b/>
          <w:b/>
        </w:rPr>
      </w:pPr>
      <w:r>
        <w:rPr>
          <w:b/>
        </w:rPr>
        <w:t>have already plagiarized my ideas? (Gabriel Vacariu)</w:t>
      </w:r>
    </w:p>
    <w:p>
      <w:pPr>
        <w:pStyle w:val="Normal"/>
        <w:shd w:val="clear" w:fill="FFFFFF"/>
        <w:spacing w:before="0" w:after="0"/>
        <w:contextualSpacing/>
        <w:rPr>
          <w:b/>
          <w:b/>
          <w:bCs/>
          <w:lang w:val="ro-RO"/>
        </w:rPr>
      </w:pPr>
      <w:r>
        <w:rPr>
          <w:b/>
          <w:bCs/>
          <w:lang w:val="ro-RO"/>
        </w:rPr>
      </w:r>
    </w:p>
    <w:p>
      <w:pPr>
        <w:pStyle w:val="Normal"/>
        <w:shd w:val="clear" w:fill="FFFFFF"/>
        <w:spacing w:before="0" w:after="0"/>
        <w:contextualSpacing/>
        <w:rPr>
          <w:b/>
          <w:b/>
          <w:bCs/>
          <w:lang w:val="ro-RO"/>
        </w:rPr>
      </w:pPr>
      <w:r>
        <w:rPr>
          <w:b/>
          <w:bCs/>
          <w:lang w:val="ro-RO"/>
        </w:rPr>
        <w:t xml:space="preserve">Some preliminary comments </w:t>
      </w:r>
    </w:p>
    <w:p>
      <w:pPr>
        <w:pStyle w:val="Normal"/>
        <w:spacing w:before="0" w:after="0"/>
        <w:contextualSpacing/>
        <w:rPr>
          <w:b/>
          <w:b/>
        </w:rPr>
      </w:pPr>
      <w:r>
        <w:rPr>
          <w:b/>
        </w:rPr>
        <w:t xml:space="preserve">Introduction: The EDWs perspective in my article from 2005 and my book from 2008 </w:t>
      </w:r>
    </w:p>
    <w:p>
      <w:pPr>
        <w:pStyle w:val="Normal"/>
        <w:shd w:val="clear" w:fill="FFFFFF"/>
        <w:spacing w:before="0" w:after="0"/>
        <w:contextualSpacing/>
        <w:rPr>
          <w:b/>
          <w:b/>
          <w:highlight w:val="white"/>
        </w:rPr>
      </w:pPr>
      <w:r>
        <w:rPr>
          <w:b/>
          <w:highlight w:val="white"/>
        </w:rPr>
      </w:r>
    </w:p>
    <w:p>
      <w:pPr>
        <w:pStyle w:val="NormalWeb"/>
        <w:numPr>
          <w:ilvl w:val="0"/>
          <w:numId w:val="1"/>
        </w:numPr>
        <w:shd w:val="clear" w:fill="FFFFFF"/>
        <w:spacing w:before="0" w:after="0"/>
        <w:ind w:left="0" w:right="0" w:hanging="360"/>
        <w:contextualSpacing/>
        <w:jc w:val="both"/>
        <w:rPr/>
      </w:pPr>
      <w:r>
        <w:rPr>
          <w:b/>
          <w:highlight w:val="white"/>
        </w:rPr>
        <w:t>PHYSICS, COGNITIVE NEUROSCIENCE, PHILOSOPHY (‘REBORN DINOSAURS’</w:t>
      </w:r>
      <w:r>
        <w:rPr>
          <w:rStyle w:val="FootnoteAnchor"/>
          <w:b/>
          <w:highlight w:val="white"/>
        </w:rPr>
        <w:footnoteReference w:id="2"/>
      </w:r>
      <w:r>
        <w:rPr>
          <w:b/>
          <w:highlight w:val="white"/>
        </w:rPr>
        <w:t>)</w:t>
      </w:r>
    </w:p>
    <w:p>
      <w:pPr>
        <w:pStyle w:val="NormalWeb"/>
        <w:numPr>
          <w:ilvl w:val="0"/>
          <w:numId w:val="2"/>
        </w:numPr>
        <w:shd w:val="clear" w:fill="FFFFFF"/>
        <w:spacing w:before="0" w:after="0"/>
        <w:ind w:left="0" w:right="0" w:hanging="360"/>
        <w:contextualSpacing/>
        <w:jc w:val="both"/>
        <w:rPr/>
      </w:pPr>
      <w:r>
        <w:rPr/>
        <w:t xml:space="preserve">(2016) Did </w:t>
      </w:r>
      <w:r>
        <w:rPr>
          <w:b/>
        </w:rPr>
        <w:t>Sean Carroll</w:t>
      </w:r>
      <w:r>
        <w:rP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pStyle w:val="NormalWeb"/>
        <w:numPr>
          <w:ilvl w:val="0"/>
          <w:numId w:val="2"/>
        </w:numPr>
        <w:shd w:val="clear" w:fill="FFFFFF"/>
        <w:spacing w:before="0" w:after="0"/>
        <w:ind w:left="0" w:right="0" w:hanging="360"/>
        <w:contextualSpacing/>
        <w:jc w:val="both"/>
        <w:rPr/>
      </w:pPr>
      <w:r>
        <w:rPr/>
        <w:t xml:space="preserve">(2016) The unbelievable similarities between </w:t>
      </w:r>
      <w:r>
        <w:rPr>
          <w:b/>
        </w:rPr>
        <w:t>Frank Wilczek</w:t>
      </w:r>
      <w:r>
        <w:rPr/>
        <w:t>’s ideas (Nobel Prize in Physics) and my ideas (2002-2008, etc.) (Philosophy of Mind and Quantum Mechanics)</w:t>
      </w:r>
    </w:p>
    <w:p>
      <w:pPr>
        <w:pStyle w:val="NormalWeb"/>
        <w:numPr>
          <w:ilvl w:val="0"/>
          <w:numId w:val="2"/>
        </w:numPr>
        <w:shd w:val="clear" w:fill="FFFFFF"/>
        <w:spacing w:before="0" w:after="0"/>
        <w:ind w:left="0" w:right="0" w:hanging="360"/>
        <w:contextualSpacing/>
        <w:jc w:val="both"/>
        <w:rPr/>
      </w:pPr>
      <w:r>
        <w:rPr/>
        <w:t xml:space="preserve">(2017-2019 -  </w:t>
      </w:r>
      <w:r>
        <w:rPr>
          <w:b/>
        </w:rPr>
        <w:t>NEW March</w:t>
      </w:r>
      <w:r>
        <w:rPr/>
        <w:t xml:space="preserve"> 2019) Strong similarity between </w:t>
      </w:r>
      <w:r>
        <w:rPr>
          <w:b/>
        </w:rPr>
        <w:t>Carlo Rovelli</w:t>
      </w:r>
      <w:r>
        <w:rPr/>
        <w:t>’s ideas (Italy) in three books (2015, 2017) to my ideas (2002-2008) + commentary February 2018!</w:t>
      </w:r>
    </w:p>
    <w:p>
      <w:pPr>
        <w:pStyle w:val="ListParagraph"/>
        <w:numPr>
          <w:ilvl w:val="0"/>
          <w:numId w:val="2"/>
        </w:numPr>
        <w:spacing w:before="0" w:after="0"/>
        <w:ind w:left="0" w:right="0" w:hanging="360"/>
        <w:contextualSpacing/>
        <w:jc w:val="both"/>
        <w:rPr/>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 xml:space="preserve">Quite similar ideas to my ideas (2008) + </w:t>
      </w:r>
    </w:p>
    <w:p>
      <w:pPr>
        <w:pStyle w:val="ListParagraph"/>
        <w:numPr>
          <w:ilvl w:val="0"/>
          <w:numId w:val="2"/>
        </w:numPr>
        <w:spacing w:before="0" w:after="0"/>
        <w:ind w:left="0" w:right="0" w:hanging="360"/>
        <w:contextualSpacing/>
        <w:jc w:val="both"/>
        <w:rPr/>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pStyle w:val="ListParagraph"/>
        <w:numPr>
          <w:ilvl w:val="0"/>
          <w:numId w:val="2"/>
        </w:numPr>
        <w:spacing w:before="0" w:after="0"/>
        <w:ind w:left="0" w:right="0" w:hanging="360"/>
        <w:contextualSpacing/>
        <w:jc w:val="both"/>
        <w:rPr/>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pStyle w:val="Normal"/>
        <w:shd w:val="clear" w:fill="FFFFFF"/>
        <w:spacing w:before="0" w:after="0"/>
        <w:contextualSpacing/>
        <w:rPr/>
      </w:pPr>
      <w:r>
        <w:rPr/>
      </w:r>
    </w:p>
    <w:p>
      <w:pPr>
        <w:pStyle w:val="Normal"/>
        <w:spacing w:before="0" w:after="0"/>
        <w:contextualSpacing/>
        <w:rPr/>
      </w:pPr>
      <w:r>
        <w:rPr/>
      </w:r>
    </w:p>
    <w:p>
      <w:pPr>
        <w:pStyle w:val="ListParagraph"/>
        <w:numPr>
          <w:ilvl w:val="0"/>
          <w:numId w:val="1"/>
        </w:numPr>
        <w:spacing w:before="0" w:after="0"/>
        <w:ind w:left="0" w:right="0" w:hanging="360"/>
        <w:contextualSpacing/>
        <w:jc w:val="both"/>
        <w:rPr>
          <w:rFonts w:ascii="Times New Roman" w:hAnsi="Times New Roman"/>
          <w:b/>
          <w:b/>
          <w:sz w:val="24"/>
          <w:szCs w:val="24"/>
        </w:rPr>
      </w:pPr>
      <w:r>
        <w:rPr>
          <w:rFonts w:ascii="Times New Roman" w:hAnsi="Times New Roman"/>
          <w:b/>
          <w:sz w:val="24"/>
          <w:szCs w:val="24"/>
        </w:rPr>
        <w:t>PHYSICS</w:t>
      </w:r>
    </w:p>
    <w:p>
      <w:pPr>
        <w:pStyle w:val="ListParagraph"/>
        <w:numPr>
          <w:ilvl w:val="0"/>
          <w:numId w:val="3"/>
        </w:numPr>
        <w:spacing w:before="0" w:after="0"/>
        <w:ind w:left="0" w:right="0" w:hanging="360"/>
        <w:contextualSpacing/>
        <w:jc w:val="both"/>
        <w:rPr/>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pStyle w:val="ListParagraph"/>
        <w:numPr>
          <w:ilvl w:val="0"/>
          <w:numId w:val="3"/>
        </w:numPr>
        <w:spacing w:before="0" w:after="0"/>
        <w:ind w:left="0" w:right="0" w:hanging="360"/>
        <w:contextualSpacing/>
        <w:jc w:val="both"/>
        <w:rPr/>
      </w:pPr>
      <w:r>
        <w:rPr>
          <w:rFonts w:eastAsia="Calibri" w:ascii="Times New Roman" w:hAnsi="Times New Roman"/>
          <w:color w:val="000000"/>
          <w:sz w:val="24"/>
          <w:szCs w:val="24"/>
        </w:rPr>
        <w:t>(2013)</w:t>
      </w:r>
      <w:r>
        <w:rPr>
          <w:rFonts w:eastAsia="Calibri" w:ascii="Times New Roman" w:hAnsi="Times New Roman"/>
          <w:b/>
          <w:color w:val="000000"/>
          <w:sz w:val="24"/>
          <w:szCs w:val="24"/>
        </w:rPr>
        <w:t xml:space="preserve"> Côté B. Gilbert </w:t>
      </w:r>
      <w:r>
        <w:rPr>
          <w:rFonts w:eastAsia="Calibri" w:ascii="Times New Roman" w:hAnsi="Times New Roman"/>
          <w:color w:val="000000"/>
          <w:sz w:val="24"/>
          <w:szCs w:val="24"/>
        </w:rPr>
        <w:t>(Oontario, Canada) Unbelievalbe similarities</w:t>
      </w:r>
    </w:p>
    <w:p>
      <w:pPr>
        <w:pStyle w:val="ListParagraph"/>
        <w:numPr>
          <w:ilvl w:val="0"/>
          <w:numId w:val="3"/>
        </w:numPr>
        <w:spacing w:before="0" w:after="0"/>
        <w:ind w:left="0" w:right="0" w:hanging="360"/>
        <w:contextualSpacing/>
        <w:jc w:val="both"/>
        <w:rPr/>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pStyle w:val="ListParagraph"/>
        <w:numPr>
          <w:ilvl w:val="0"/>
          <w:numId w:val="3"/>
        </w:numPr>
        <w:spacing w:before="0" w:after="0"/>
        <w:ind w:left="0" w:right="0" w:hanging="360"/>
        <w:contextualSpacing/>
        <w:jc w:val="both"/>
        <w:rPr/>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pStyle w:val="ListParagraph"/>
        <w:numPr>
          <w:ilvl w:val="0"/>
          <w:numId w:val="3"/>
        </w:numPr>
        <w:spacing w:before="0" w:after="0"/>
        <w:ind w:left="0" w:right="0" w:hanging="360"/>
        <w:contextualSpacing/>
        <w:jc w:val="both"/>
        <w:rPr/>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pStyle w:val="NormalWeb"/>
        <w:numPr>
          <w:ilvl w:val="0"/>
          <w:numId w:val="3"/>
        </w:numPr>
        <w:shd w:val="clear" w:fill="FFFFFF"/>
        <w:spacing w:before="0" w:after="0"/>
        <w:ind w:left="0" w:right="0" w:hanging="360"/>
        <w:contextualSpacing/>
        <w:jc w:val="both"/>
        <w:rPr/>
      </w:pPr>
      <w:r>
        <w:rPr/>
        <w:t xml:space="preserve">(2015) </w:t>
      </w:r>
      <w:r>
        <w:rPr>
          <w:b/>
        </w:rPr>
        <w:t xml:space="preserve">Some astrophysicists </w:t>
      </w:r>
      <w:r>
        <w:rPr/>
        <w:t xml:space="preserve">about </w:t>
      </w:r>
      <w:hyperlink r:id="rId7">
        <w:r>
          <w:rPr>
            <w:rStyle w:val="ListLabel220"/>
            <w:bCs/>
          </w:rPr>
          <w:t>"Dark Matter May be 'Another Dimension' - Or Even a Major Galactic Transport System"</w:t>
        </w:r>
      </w:hyperlink>
      <w:r>
        <w:rPr>
          <w:bCs/>
        </w:rPr>
        <w:t xml:space="preserve"> </w:t>
      </w:r>
      <w:hyperlink r:id="rId8">
        <w:r>
          <w:rPr>
            <w:rStyle w:val="ListLabel220"/>
            <w:bCs/>
          </w:rPr>
          <w:t>January 22, 2015</w:t>
        </w:r>
      </w:hyperlink>
    </w:p>
    <w:p>
      <w:pPr>
        <w:pStyle w:val="ListParagraph"/>
        <w:numPr>
          <w:ilvl w:val="0"/>
          <w:numId w:val="3"/>
        </w:numPr>
        <w:spacing w:before="0" w:after="0"/>
        <w:ind w:left="0" w:right="0" w:hanging="360"/>
        <w:contextualSpacing/>
        <w:jc w:val="both"/>
        <w:rPr/>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pStyle w:val="ListParagraph"/>
        <w:numPr>
          <w:ilvl w:val="0"/>
          <w:numId w:val="3"/>
        </w:numPr>
        <w:spacing w:before="0" w:after="0"/>
        <w:ind w:left="0" w:right="0" w:hanging="360"/>
        <w:contextualSpacing/>
        <w:jc w:val="both"/>
        <w:rPr/>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pStyle w:val="NormalWeb"/>
        <w:numPr>
          <w:ilvl w:val="0"/>
          <w:numId w:val="3"/>
        </w:numPr>
        <w:shd w:val="clear" w:fill="FFFFFF"/>
        <w:spacing w:before="0" w:after="0"/>
        <w:ind w:left="0" w:right="0" w:hanging="360"/>
        <w:contextualSpacing/>
        <w:jc w:val="both"/>
        <w:rPr/>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Appleconvertedspace"/>
          <w:highlight w:val="white"/>
        </w:rPr>
        <w:t> </w:t>
      </w:r>
      <w:r>
        <w:rPr>
          <w:highlight w:val="white"/>
        </w:rPr>
        <w:t>in New York </w:t>
      </w:r>
      <w:r>
        <w:rPr>
          <w:color w:val="000000"/>
        </w:rPr>
        <w:t>, USA) (</w:t>
      </w:r>
      <w:r>
        <w:rPr/>
        <w:t>“Minding matter - The closer you look, the more the materialist position in physics appears to rest on shaky metaphysical ground”) and my ideas (2005, 2008)</w:t>
      </w:r>
    </w:p>
    <w:p>
      <w:pPr>
        <w:pStyle w:val="ListParagraph"/>
        <w:numPr>
          <w:ilvl w:val="0"/>
          <w:numId w:val="3"/>
        </w:numPr>
        <w:spacing w:before="0" w:after="0"/>
        <w:ind w:left="0" w:right="0" w:hanging="360"/>
        <w:contextualSpacing/>
        <w:jc w:val="both"/>
        <w:rPr/>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pStyle w:val="ListParagraph"/>
        <w:numPr>
          <w:ilvl w:val="0"/>
          <w:numId w:val="3"/>
        </w:numPr>
        <w:spacing w:before="0" w:after="0"/>
        <w:ind w:left="0" w:right="0" w:hanging="360"/>
        <w:contextualSpacing/>
        <w:jc w:val="both"/>
        <w:rPr/>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eastAsia="Calibri" w:ascii="Times New Roman" w:hAnsi="Times New Roman"/>
          <w:bCs/>
          <w:color w:val="00000A"/>
          <w:sz w:val="24"/>
          <w:szCs w:val="24"/>
        </w:rPr>
        <w:t>and my ideas (2002-2008)</w:t>
      </w:r>
    </w:p>
    <w:p>
      <w:pPr>
        <w:pStyle w:val="NormalWeb"/>
        <w:numPr>
          <w:ilvl w:val="0"/>
          <w:numId w:val="3"/>
        </w:numPr>
        <w:shd w:val="clear" w:fill="FFFFFF"/>
        <w:spacing w:before="0" w:after="0"/>
        <w:ind w:left="0" w:right="0" w:hanging="360"/>
        <w:contextualSpacing/>
        <w:jc w:val="both"/>
        <w:rPr/>
      </w:pPr>
      <w:r>
        <w:rPr/>
        <w:t xml:space="preserve">(2016) The unbelievable similarities between </w:t>
      </w:r>
      <w:r>
        <w:rPr>
          <w:b/>
          <w:iCs/>
        </w:rPr>
        <w:t>Hugo F. Alrøe</w:t>
      </w:r>
      <w:r>
        <w:rPr>
          <w:iCs/>
        </w:rPr>
        <w:t xml:space="preserve"> and </w:t>
      </w:r>
      <w:r>
        <w:rPr>
          <w:b/>
          <w:iCs/>
        </w:rPr>
        <w:t>Egon Noe</w:t>
      </w:r>
      <w:r>
        <w:rPr>
          <w:iCs/>
        </w:rPr>
        <w:t>’s (</w:t>
      </w:r>
      <w:r>
        <w:rPr/>
        <w:t>Department of Agroecology, Aarhus University, Denmark)</w:t>
      </w:r>
      <w:r>
        <w:rPr>
          <w:iCs/>
        </w:rPr>
        <w:t xml:space="preserve"> ideas (USA) and my ideas (2002-2008) (Bohr's complementarity extended to ontology)</w:t>
      </w:r>
    </w:p>
    <w:p>
      <w:pPr>
        <w:pStyle w:val="ListParagraph"/>
        <w:numPr>
          <w:ilvl w:val="0"/>
          <w:numId w:val="3"/>
        </w:numPr>
        <w:spacing w:before="0" w:after="0"/>
        <w:ind w:left="0" w:right="0" w:hanging="360"/>
        <w:contextualSpacing/>
        <w:jc w:val="both"/>
        <w:rPr/>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pStyle w:val="ListParagraph"/>
        <w:numPr>
          <w:ilvl w:val="0"/>
          <w:numId w:val="3"/>
        </w:numPr>
        <w:spacing w:before="0" w:after="0"/>
        <w:ind w:left="0" w:right="0" w:hanging="360"/>
        <w:contextualSpacing/>
        <w:jc w:val="both"/>
        <w:rPr/>
      </w:pPr>
      <w:r>
        <w:rPr>
          <w:rFonts w:eastAsia="Calibri" w:ascii="Times New Roman" w:hAnsi="Times New Roman"/>
          <w:sz w:val="24"/>
          <w:szCs w:val="24"/>
          <w:lang w:val="en-GB"/>
        </w:rPr>
        <w:t xml:space="preserve">(2018) Unbelievable similarities between </w:t>
      </w:r>
      <w:r>
        <w:rPr>
          <w:rFonts w:eastAsia="Calibri" w:ascii="Times New Roman" w:hAnsi="Times New Roman"/>
          <w:b/>
          <w:sz w:val="24"/>
          <w:szCs w:val="24"/>
          <w:lang w:val="en-GB"/>
        </w:rPr>
        <w:t>Peter J. Lewis</w:t>
      </w:r>
      <w:r>
        <w:rPr>
          <w:rFonts w:eastAsia="Calibri" w:ascii="Times New Roman" w:hAnsi="Times New Roman"/>
          <w:sz w:val="24"/>
          <w:szCs w:val="24"/>
          <w:lang w:val="en-GB"/>
        </w:rPr>
        <w:t xml:space="preserve">’s ideas (2018) and my ideas (2002-2008) </w:t>
      </w:r>
    </w:p>
    <w:p>
      <w:pPr>
        <w:pStyle w:val="ListParagraph"/>
        <w:numPr>
          <w:ilvl w:val="0"/>
          <w:numId w:val="3"/>
        </w:numPr>
        <w:spacing w:before="0" w:after="0"/>
        <w:ind w:left="0" w:right="0" w:hanging="360"/>
        <w:contextualSpacing/>
        <w:jc w:val="both"/>
        <w:rPr/>
      </w:pPr>
      <w:r>
        <w:rPr>
          <w:rFonts w:eastAsia="Calibri" w:ascii="Times New Roman" w:hAnsi="Times New Roman"/>
          <w:iCs/>
          <w:sz w:val="24"/>
          <w:szCs w:val="24"/>
          <w:lang w:val="en-GB"/>
        </w:rPr>
        <w:t>(2018)</w:t>
      </w:r>
      <w:r>
        <w:rPr>
          <w:rFonts w:eastAsia="Calibri" w:ascii="Times New Roman" w:hAnsi="Times New Roman"/>
          <w:b/>
          <w:iCs/>
          <w:sz w:val="24"/>
          <w:szCs w:val="24"/>
          <w:lang w:val="en-GB"/>
        </w:rPr>
        <w:t xml:space="preserve"> Timothy Hollowood</w:t>
      </w:r>
      <w:r>
        <w:rPr>
          <w:rFonts w:eastAsia="Calibri" w:ascii="Times New Roman" w:hAnsi="Times New Roman"/>
          <w:iCs/>
          <w:sz w:val="24"/>
          <w:szCs w:val="24"/>
          <w:lang w:val="en-GB"/>
        </w:rPr>
        <w:t>, ‘</w:t>
      </w:r>
      <w:r>
        <w:rPr>
          <w:rFonts w:eastAsia="Calibri" w:ascii="Times New Roman" w:hAnsi="Times New Roman"/>
          <w:bCs/>
          <w:sz w:val="24"/>
          <w:szCs w:val="24"/>
          <w:lang w:val="en-GB"/>
        </w:rPr>
        <w:t>Classical from Quantum’, [</w:t>
      </w:r>
      <w:r>
        <w:rPr>
          <w:rFonts w:eastAsia="Calibri" w:ascii="Times New Roman" w:hAnsi="Times New Roman"/>
          <w:sz w:val="24"/>
          <w:szCs w:val="24"/>
          <w:lang w:val="en-GB"/>
        </w:rPr>
        <w:t>arXiv:1803.04700v1 [quant-ph] 13 March 2018]</w:t>
      </w:r>
    </w:p>
    <w:p>
      <w:pPr>
        <w:pStyle w:val="ListParagraph"/>
        <w:numPr>
          <w:ilvl w:val="0"/>
          <w:numId w:val="3"/>
        </w:numPr>
        <w:spacing w:before="0" w:after="0"/>
        <w:ind w:left="0" w:right="0" w:hanging="360"/>
        <w:contextualSpacing/>
        <w:jc w:val="both"/>
        <w:rPr/>
      </w:pPr>
      <w:r>
        <w:rPr>
          <w:rFonts w:eastAsia="Calibri" w:ascii="Times New Roman" w:hAnsi="Times New Roman"/>
          <w:sz w:val="24"/>
          <w:szCs w:val="24"/>
          <w:lang w:val="en-GB"/>
        </w:rPr>
        <w:t>(2018)</w:t>
      </w:r>
      <w:r>
        <w:rPr>
          <w:rFonts w:eastAsia="Calibri" w:ascii="Times New Roman" w:hAnsi="Times New Roman"/>
          <w:b/>
          <w:sz w:val="24"/>
          <w:szCs w:val="24"/>
          <w:lang w:val="en-GB"/>
        </w:rPr>
        <w:t xml:space="preserve"> Mario</w:t>
      </w:r>
      <w:r>
        <w:rPr>
          <w:rFonts w:eastAsia="Calibri" w:ascii="Times New Roman" w:hAnsi="Times New Roman"/>
          <w:sz w:val="24"/>
          <w:szCs w:val="24"/>
          <w:lang w:val="en-GB"/>
        </w:rPr>
        <w:t xml:space="preserve"> </w:t>
      </w:r>
      <w:r>
        <w:rPr>
          <w:rFonts w:eastAsia="Calibri" w:ascii="Times New Roman" w:hAnsi="Times New Roman"/>
          <w:b/>
          <w:sz w:val="24"/>
          <w:szCs w:val="24"/>
          <w:lang w:val="en-GB"/>
        </w:rPr>
        <w:t xml:space="preserve">Hubert </w:t>
      </w:r>
      <w:r>
        <w:rPr>
          <w:rFonts w:eastAsia="Calibri" w:ascii="Times New Roman" w:hAnsi="Times New Roman"/>
          <w:sz w:val="24"/>
          <w:szCs w:val="24"/>
          <w:lang w:val="en-GB"/>
        </w:rPr>
        <w:t xml:space="preserve">and </w:t>
      </w:r>
      <w:r>
        <w:rPr>
          <w:rFonts w:eastAsia="Calibri" w:ascii="Times New Roman" w:hAnsi="Times New Roman"/>
          <w:b/>
          <w:sz w:val="24"/>
          <w:szCs w:val="24"/>
          <w:lang w:val="en-GB"/>
        </w:rPr>
        <w:t>Davide</w:t>
      </w:r>
      <w:r>
        <w:rPr>
          <w:rFonts w:eastAsia="Calibri" w:ascii="Times New Roman" w:hAnsi="Times New Roman"/>
          <w:sz w:val="24"/>
          <w:szCs w:val="24"/>
          <w:lang w:val="en-GB"/>
        </w:rPr>
        <w:t xml:space="preserve"> </w:t>
      </w:r>
      <w:r>
        <w:rPr>
          <w:rFonts w:eastAsia="Calibri" w:ascii="Times New Roman" w:hAnsi="Times New Roman"/>
          <w:b/>
          <w:sz w:val="24"/>
          <w:szCs w:val="24"/>
          <w:lang w:val="en-GB"/>
        </w:rPr>
        <w:t>Romano</w:t>
      </w:r>
      <w:r>
        <w:rPr>
          <w:rFonts w:eastAsia="Calibri" w:ascii="Times New Roman" w:hAnsi="Times New Roman"/>
          <w:sz w:val="24"/>
          <w:szCs w:val="24"/>
          <w:lang w:val="en-GB"/>
        </w:rPr>
        <w:t>, ‘</w:t>
      </w:r>
      <w:r>
        <w:rPr>
          <w:rFonts w:eastAsia="Calibri" w:ascii="Times New Roman" w:hAnsi="Times New Roman"/>
          <w:bCs/>
          <w:sz w:val="24"/>
          <w:szCs w:val="24"/>
          <w:lang w:val="en-GB"/>
        </w:rPr>
        <w:t>The Wave-Function as a Multi-Field’</w:t>
      </w:r>
    </w:p>
    <w:p>
      <w:pPr>
        <w:pStyle w:val="ListParagraph"/>
        <w:spacing w:before="0" w:after="0"/>
        <w:ind w:left="0" w:right="0" w:hanging="0"/>
        <w:contextualSpacing/>
        <w:jc w:val="both"/>
        <w:rPr>
          <w:rFonts w:eastAsia="Calibri"/>
          <w:sz w:val="24"/>
          <w:szCs w:val="24"/>
          <w:lang w:val="en-GB"/>
        </w:rPr>
      </w:pPr>
      <w:r>
        <w:rPr>
          <w:rFonts w:eastAsia="Calibri"/>
          <w:sz w:val="24"/>
          <w:szCs w:val="24"/>
          <w:lang w:val="en-GB"/>
        </w:rPr>
      </w:r>
    </w:p>
    <w:p>
      <w:pPr>
        <w:pStyle w:val="ListParagraph"/>
        <w:widowControl/>
        <w:numPr>
          <w:ilvl w:val="0"/>
          <w:numId w:val="1"/>
        </w:numPr>
        <w:suppressAutoHyphens w:val="false"/>
        <w:overflowPunct w:val="false"/>
        <w:spacing w:before="0" w:after="0"/>
        <w:ind w:left="0" w:right="0" w:hanging="360"/>
        <w:contextualSpacing/>
        <w:jc w:val="both"/>
        <w:textAlignment w:val="auto"/>
        <w:rPr>
          <w:rFonts w:ascii="Times New Roman" w:hAnsi="Times New Roman"/>
          <w:b/>
          <w:b/>
          <w:sz w:val="24"/>
          <w:szCs w:val="24"/>
        </w:rPr>
      </w:pPr>
      <w:r>
        <w:rPr>
          <w:rFonts w:ascii="Times New Roman" w:hAnsi="Times New Roman"/>
          <w:b/>
          <w:sz w:val="24"/>
          <w:szCs w:val="24"/>
        </w:rPr>
        <w:t>COGNITIVE NEUROSCIENCE AND PHILOSOPHY OF MIND</w:t>
      </w:r>
    </w:p>
    <w:p>
      <w:pPr>
        <w:pStyle w:val="ListParagraph"/>
        <w:numPr>
          <w:ilvl w:val="0"/>
          <w:numId w:val="4"/>
        </w:numPr>
        <w:spacing w:before="0" w:after="0"/>
        <w:ind w:left="0" w:right="0" w:hanging="360"/>
        <w:contextualSpacing/>
        <w:jc w:val="both"/>
        <w:rPr/>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pStyle w:val="ListParagraph"/>
        <w:numPr>
          <w:ilvl w:val="0"/>
          <w:numId w:val="4"/>
        </w:numPr>
        <w:spacing w:before="0" w:after="0"/>
        <w:ind w:left="0" w:right="0" w:hanging="360"/>
        <w:contextualSpacing/>
        <w:jc w:val="both"/>
        <w:rPr/>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pStyle w:val="ListParagraph"/>
        <w:numPr>
          <w:ilvl w:val="0"/>
          <w:numId w:val="4"/>
        </w:numPr>
        <w:spacing w:before="0" w:after="0"/>
        <w:ind w:left="0" w:right="0" w:hanging="360"/>
        <w:contextualSpacing/>
        <w:jc w:val="both"/>
        <w:rPr/>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pStyle w:val="ListParagraph"/>
        <w:numPr>
          <w:ilvl w:val="0"/>
          <w:numId w:val="4"/>
        </w:numPr>
        <w:shd w:val="clear" w:fill="FFFFFF"/>
        <w:spacing w:before="0" w:after="0"/>
        <w:ind w:left="0" w:right="0" w:hanging="360"/>
        <w:contextualSpacing/>
        <w:jc w:val="both"/>
        <w:rPr/>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pStyle w:val="ListParagraph"/>
        <w:numPr>
          <w:ilvl w:val="0"/>
          <w:numId w:val="4"/>
        </w:numPr>
        <w:shd w:val="clear" w:fill="FFFFFF"/>
        <w:spacing w:before="0" w:after="0"/>
        <w:ind w:left="0" w:right="0" w:hanging="360"/>
        <w:contextualSpacing/>
        <w:jc w:val="both"/>
        <w:rPr/>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hyperlink r:id="rId9">
        <w:r>
          <w:rPr>
            <w:rStyle w:val="InternetLink"/>
            <w:rFonts w:ascii="Times New Roman" w:hAnsi="Times New Roman"/>
            <w:bCs/>
            <w:color w:val="auto"/>
            <w:sz w:val="24"/>
            <w:szCs w:val="24"/>
            <w:highlight w:val="white"/>
            <w:u w:val="none"/>
          </w:rPr>
          <w:t>Centre for Digital Philosophy</w:t>
        </w:r>
      </w:hyperlink>
      <w:r>
        <w:rPr>
          <w:rFonts w:ascii="Times New Roman" w:hAnsi="Times New Roman"/>
          <w:sz w:val="24"/>
          <w:szCs w:val="24"/>
        </w:rPr>
        <w:t>,</w:t>
      </w:r>
      <w:r>
        <w:rPr>
          <w:rFonts w:ascii="Times New Roman" w:hAnsi="Times New Roman"/>
          <w:sz w:val="24"/>
          <w:szCs w:val="24"/>
          <w:highlight w:val="white"/>
        </w:rPr>
        <w:t> </w:t>
      </w:r>
      <w:hyperlink r:id="rId10">
        <w:r>
          <w:rPr>
            <w:rStyle w:val="InternetLink"/>
            <w:rFonts w:ascii="Times New Roman" w:hAnsi="Times New Roman"/>
            <w:bCs/>
            <w:color w:val="auto"/>
            <w:sz w:val="24"/>
            <w:szCs w:val="24"/>
            <w:highlight w:val="white"/>
            <w:u w:val="none"/>
          </w:rPr>
          <w:t>Western University</w:t>
        </w:r>
      </w:hyperlink>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pStyle w:val="ListParagraph"/>
        <w:numPr>
          <w:ilvl w:val="0"/>
          <w:numId w:val="4"/>
        </w:numPr>
        <w:spacing w:before="0" w:after="0"/>
        <w:ind w:left="0" w:right="0" w:hanging="360"/>
        <w:contextualSpacing/>
        <w:jc w:val="both"/>
        <w:rPr/>
      </w:pPr>
      <w:r>
        <w:rPr>
          <w:rFonts w:eastAsia="Calibri" w:ascii="Times New Roman" w:hAnsi="Times New Roman"/>
          <w:color w:val="000000"/>
          <w:sz w:val="24"/>
          <w:szCs w:val="24"/>
        </w:rPr>
        <w:t xml:space="preserve">(2016) Unbelievable similarities between </w:t>
      </w:r>
      <w:r>
        <w:rPr>
          <w:rFonts w:eastAsia="Calibri" w:ascii="Times New Roman" w:hAnsi="Times New Roman"/>
          <w:b/>
          <w:color w:val="000000"/>
          <w:sz w:val="24"/>
          <w:szCs w:val="24"/>
        </w:rPr>
        <w:t>Dan Siegel</w:t>
      </w:r>
      <w:r>
        <w:rPr>
          <w:rFonts w:eastAsia="Calibri" w:ascii="Times New Roman" w:hAnsi="Times New Roman"/>
          <w:color w:val="000000"/>
          <w:sz w:val="24"/>
          <w:szCs w:val="24"/>
        </w:rPr>
        <w:t>’s ideas (</w:t>
      </w:r>
      <w:hyperlink r:id="rId11">
        <w:r>
          <w:rPr>
            <w:rStyle w:val="InternetLink"/>
            <w:rFonts w:ascii="Times New Roman" w:hAnsi="Times New Roman"/>
            <w:color w:val="000000"/>
            <w:sz w:val="24"/>
            <w:szCs w:val="24"/>
            <w:highlight w:val="white"/>
            <w:u w:val="none"/>
          </w:rPr>
          <w:t>Mindsight Institute</w:t>
        </w:r>
      </w:hyperlink>
      <w:r>
        <w:rPr>
          <w:rFonts w:ascii="Times New Roman" w:hAnsi="Times New Roman"/>
          <w:color w:val="000000"/>
          <w:sz w:val="24"/>
          <w:szCs w:val="24"/>
        </w:rPr>
        <w:t>, USA)</w:t>
      </w:r>
      <w:r>
        <w:rPr>
          <w:rStyle w:val="InternetLink"/>
          <w:rFonts w:ascii="Times New Roman" w:hAnsi="Times New Roman"/>
          <w:i/>
          <w:iCs/>
          <w:color w:val="000000"/>
          <w:sz w:val="24"/>
          <w:szCs w:val="24"/>
          <w:highlight w:val="white"/>
          <w:u w:val="none"/>
        </w:rPr>
        <w:t xml:space="preserve"> </w:t>
      </w:r>
      <w:r>
        <w:rPr>
          <w:rStyle w:val="InternetLink"/>
          <w:rFonts w:ascii="Times New Roman" w:hAnsi="Times New Roman"/>
          <w:iCs/>
          <w:color w:val="000000"/>
          <w:sz w:val="24"/>
          <w:szCs w:val="24"/>
          <w:highlight w:val="white"/>
          <w:u w:val="none"/>
        </w:rPr>
        <w:t>and my ideas (2002-2008)</w:t>
      </w:r>
    </w:p>
    <w:p>
      <w:pPr>
        <w:pStyle w:val="ListParagraph"/>
        <w:spacing w:before="0" w:after="0"/>
        <w:ind w:left="0" w:right="0" w:hanging="0"/>
        <w:contextualSpacing/>
        <w:jc w:val="both"/>
        <w:rPr>
          <w:rFonts w:ascii="Times New Roman" w:hAnsi="Times New Roman" w:eastAsia="Calibri"/>
          <w:i/>
          <w:i/>
          <w:color w:val="000000"/>
          <w:sz w:val="24"/>
          <w:szCs w:val="24"/>
        </w:rPr>
      </w:pPr>
      <w:r>
        <w:rPr>
          <w:rFonts w:eastAsia="Calibri" w:ascii="Times New Roman" w:hAnsi="Times New Roman"/>
          <w:i/>
          <w:color w:val="000000"/>
          <w:sz w:val="24"/>
          <w:szCs w:val="24"/>
        </w:rPr>
      </w:r>
    </w:p>
    <w:p>
      <w:pPr>
        <w:pStyle w:val="ListParagraph"/>
        <w:numPr>
          <w:ilvl w:val="0"/>
          <w:numId w:val="1"/>
        </w:numPr>
        <w:shd w:val="clear" w:fill="FFFFFF"/>
        <w:spacing w:before="0" w:after="0"/>
        <w:ind w:left="0" w:right="0" w:hanging="720"/>
        <w:contextualSpacing/>
        <w:jc w:val="both"/>
        <w:rPr>
          <w:rFonts w:ascii="Times New Roman" w:hAnsi="Times New Roman"/>
          <w:b/>
          <w:b/>
          <w:bCs/>
          <w:sz w:val="24"/>
          <w:szCs w:val="24"/>
        </w:rPr>
      </w:pPr>
      <w:r>
        <w:rPr>
          <w:rFonts w:ascii="Times New Roman" w:hAnsi="Times New Roman"/>
          <w:b/>
          <w:bCs/>
          <w:sz w:val="24"/>
          <w:szCs w:val="24"/>
        </w:rPr>
        <w:t>Philosophy (of science)</w:t>
      </w:r>
    </w:p>
    <w:p>
      <w:pPr>
        <w:pStyle w:val="ListParagraph"/>
        <w:numPr>
          <w:ilvl w:val="0"/>
          <w:numId w:val="4"/>
        </w:numPr>
        <w:shd w:val="clear" w:fill="FFFFFF"/>
        <w:spacing w:before="0" w:after="0"/>
        <w:ind w:left="0" w:right="0" w:hanging="360"/>
        <w:contextualSpacing/>
        <w:jc w:val="both"/>
        <w:rPr/>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pStyle w:val="ListParagraph"/>
        <w:numPr>
          <w:ilvl w:val="0"/>
          <w:numId w:val="4"/>
        </w:numPr>
        <w:shd w:val="clear" w:fill="FFFFFF"/>
        <w:spacing w:before="0" w:after="0"/>
        <w:ind w:left="0" w:right="0" w:hanging="360"/>
        <w:contextualSpacing/>
        <w:jc w:val="both"/>
        <w:rPr/>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p>
    <w:p>
      <w:pPr>
        <w:pStyle w:val="ListParagraph"/>
        <w:numPr>
          <w:ilvl w:val="0"/>
          <w:numId w:val="4"/>
        </w:numPr>
        <w:shd w:val="clear" w:fill="FFFFFF"/>
        <w:spacing w:before="0" w:after="0"/>
        <w:ind w:left="0" w:right="0" w:hanging="360"/>
        <w:contextualSpacing/>
        <w:jc w:val="both"/>
        <w:rPr/>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pStyle w:val="ListParagraph"/>
        <w:numPr>
          <w:ilvl w:val="0"/>
          <w:numId w:val="4"/>
        </w:numPr>
        <w:shd w:val="clear" w:fill="FFFFFF"/>
        <w:spacing w:before="0" w:after="0"/>
        <w:ind w:left="0" w:right="0" w:hanging="360"/>
        <w:contextualSpacing/>
        <w:jc w:val="both"/>
        <w:rPr/>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eastAsia="Calibri" w:ascii="Times New Roman" w:hAnsi="Times New Roman"/>
          <w:bCs/>
          <w:color w:val="000000"/>
          <w:sz w:val="24"/>
          <w:szCs w:val="24"/>
        </w:rPr>
        <w:t xml:space="preserve">The Epistemology of Essence’) </w:t>
      </w:r>
    </w:p>
    <w:p>
      <w:pPr>
        <w:pStyle w:val="ListParagraph"/>
        <w:numPr>
          <w:ilvl w:val="0"/>
          <w:numId w:val="4"/>
        </w:numPr>
        <w:shd w:val="clear" w:fill="FFFFFF"/>
        <w:spacing w:before="0" w:after="0"/>
        <w:ind w:left="0" w:right="0" w:hanging="360"/>
        <w:contextualSpacing/>
        <w:jc w:val="both"/>
        <w:rPr/>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hyperlink r:id="rId12" w:tgtFrame="View other works by Markku Keinänen">
        <w:r>
          <w:rPr>
            <w:rStyle w:val="Name"/>
            <w:rFonts w:eastAsia="Calibri" w:ascii="Times New Roman" w:hAnsi="Times New Roman"/>
            <w:b/>
            <w:color w:val="000000"/>
            <w:sz w:val="24"/>
            <w:szCs w:val="24"/>
            <w:highlight w:val="white"/>
          </w:rPr>
          <w:t>Markku Keinänen</w:t>
        </w:r>
      </w:hyperlink>
      <w:r>
        <w:rPr>
          <w:rFonts w:ascii="Times New Roman" w:hAnsi="Times New Roman"/>
          <w:b/>
          <w:color w:val="000000"/>
          <w:sz w:val="24"/>
          <w:szCs w:val="24"/>
          <w:highlight w:val="white"/>
        </w:rPr>
        <w:t>, </w:t>
      </w:r>
      <w:hyperlink r:id="rId13" w:tgtFrame="View other works by Antti Keskinen">
        <w:r>
          <w:rPr>
            <w:rStyle w:val="Name"/>
            <w:rFonts w:eastAsia="Calibri" w:ascii="Times New Roman" w:hAnsi="Times New Roman"/>
            <w:b/>
            <w:color w:val="000000"/>
            <w:sz w:val="24"/>
            <w:szCs w:val="24"/>
            <w:highlight w:val="white"/>
          </w:rPr>
          <w:t>Antti Keskinen</w:t>
        </w:r>
      </w:hyperlink>
      <w:r>
        <w:rPr>
          <w:rFonts w:ascii="Times New Roman" w:hAnsi="Times New Roman"/>
          <w:b/>
          <w:color w:val="000000"/>
          <w:sz w:val="24"/>
          <w:szCs w:val="24"/>
          <w:highlight w:val="white"/>
        </w:rPr>
        <w:t> &amp; </w:t>
      </w:r>
      <w:hyperlink r:id="rId14" w:tgtFrame="View other works by Jani Hakkarainen">
        <w:r>
          <w:rPr>
            <w:rStyle w:val="Name"/>
            <w:rFonts w:eastAsia="Calibri" w:ascii="Times New Roman" w:hAnsi="Times New Roman"/>
            <w:b/>
            <w:color w:val="000000"/>
            <w:sz w:val="24"/>
            <w:szCs w:val="24"/>
            <w:highlight w:val="white"/>
          </w:rPr>
          <w:t>Jani Hakkarainen</w:t>
        </w:r>
      </w:hyperlink>
    </w:p>
    <w:p>
      <w:pPr>
        <w:pStyle w:val="Heading1"/>
        <w:numPr>
          <w:ilvl w:val="0"/>
          <w:numId w:val="5"/>
        </w:numPr>
        <w:shd w:val="clear" w:fill="FFFFFF"/>
        <w:spacing w:before="0" w:after="0"/>
        <w:ind w:left="0" w:right="0" w:hanging="360"/>
        <w:contextualSpacing/>
        <w:textAlignment w:val="baseline"/>
        <w:rPr/>
      </w:pPr>
      <w:r>
        <w:rPr>
          <w:rFonts w:ascii="Times New Roman" w:hAnsi="Times New Roman"/>
          <w:b w:val="false"/>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false"/>
          <w:sz w:val="24"/>
          <w:szCs w:val="24"/>
          <w:lang w:val="ro-RO"/>
        </w:rPr>
        <w:t>’s ideas (HPS, Univ. of Sydney) and my ideas (2002-2008)</w:t>
      </w:r>
    </w:p>
    <w:p>
      <w:pPr>
        <w:pStyle w:val="ListParagraph"/>
        <w:numPr>
          <w:ilvl w:val="0"/>
          <w:numId w:val="5"/>
        </w:numPr>
        <w:spacing w:before="0" w:after="0"/>
        <w:ind w:left="0" w:right="0" w:hanging="360"/>
        <w:contextualSpacing/>
        <w:jc w:val="both"/>
        <w:rPr/>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pStyle w:val="ListParagraph"/>
        <w:numPr>
          <w:ilvl w:val="0"/>
          <w:numId w:val="5"/>
        </w:numPr>
        <w:spacing w:before="0" w:after="0"/>
        <w:ind w:left="0" w:right="0" w:hanging="360"/>
        <w:contextualSpacing/>
        <w:jc w:val="both"/>
        <w:rPr/>
      </w:pPr>
      <w:r>
        <w:rPr>
          <w:rFonts w:eastAsia="Calibri" w:ascii="Times New Roman" w:hAnsi="Times New Roman"/>
          <w:sz w:val="24"/>
          <w:szCs w:val="24"/>
          <w:lang w:val="en-GB"/>
        </w:rPr>
        <w:t xml:space="preserve">(2018) Unbelievable similar ideas between </w:t>
      </w:r>
      <w:r>
        <w:rPr>
          <w:rFonts w:eastAsia="Calibri" w:ascii="Times New Roman" w:hAnsi="Times New Roman"/>
          <w:b/>
          <w:sz w:val="24"/>
          <w:szCs w:val="24"/>
          <w:lang w:val="en-GB"/>
        </w:rPr>
        <w:t>Jason Winning</w:t>
      </w:r>
      <w:r>
        <w:rPr>
          <w:rFonts w:eastAsia="Calibri" w:ascii="Times New Roman" w:hAnsi="Times New Roman"/>
          <w:sz w:val="24"/>
          <w:szCs w:val="24"/>
          <w:lang w:val="en-GB"/>
        </w:rPr>
        <w:t>’s ideas (2018) and my ideas (2002-2008)</w:t>
      </w:r>
    </w:p>
    <w:p>
      <w:pPr>
        <w:pStyle w:val="ListParagraph"/>
        <w:numPr>
          <w:ilvl w:val="0"/>
          <w:numId w:val="5"/>
        </w:numPr>
        <w:spacing w:before="0" w:after="0"/>
        <w:ind w:left="0" w:right="0" w:hanging="360"/>
        <w:contextualSpacing/>
        <w:jc w:val="both"/>
        <w:rPr/>
      </w:pPr>
      <w:r>
        <w:rPr>
          <w:rFonts w:ascii="Times New Roman" w:hAnsi="Times New Roman"/>
          <w:sz w:val="24"/>
          <w:szCs w:val="24"/>
        </w:rPr>
        <w:t xml:space="preserve">(2018) </w:t>
      </w:r>
      <w:hyperlink r:id="rId15" w:tgtFrame="View other works by David Mark Kovacs">
        <w:r>
          <w:rPr>
            <w:rStyle w:val="ListLabel224"/>
            <w:rFonts w:ascii="Times New Roman" w:hAnsi="Times New Roman"/>
            <w:b/>
            <w:sz w:val="24"/>
            <w:szCs w:val="24"/>
            <w:lang w:eastAsia="en-GB"/>
          </w:rPr>
          <w:t>David Mark Kovacs</w:t>
        </w:r>
      </w:hyperlink>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hyperlink r:id="rId16" w:tgtFrame="_blank">
        <w:r>
          <w:rPr>
            <w:rStyle w:val="InternetLink"/>
            <w:rFonts w:ascii="Times New Roman" w:hAnsi="Times New Roman"/>
            <w:color w:val="auto"/>
            <w:sz w:val="24"/>
            <w:szCs w:val="24"/>
            <w:highlight w:val="white"/>
            <w:u w:val="none"/>
          </w:rPr>
          <w:t>Tel Aviv University</w:t>
        </w:r>
      </w:hyperlink>
      <w:r>
        <w:rPr>
          <w:rFonts w:ascii="Times New Roman" w:hAnsi="Times New Roman"/>
          <w:sz w:val="24"/>
          <w:szCs w:val="24"/>
        </w:rPr>
        <w:t xml:space="preserve">), </w:t>
      </w:r>
      <w:r>
        <w:rPr>
          <w:rFonts w:ascii="Times New Roman" w:hAnsi="Times New Roman"/>
          <w:sz w:val="24"/>
          <w:szCs w:val="24"/>
          <w:lang w:eastAsia="en-GB"/>
        </w:rPr>
        <w:t>‘</w:t>
      </w:r>
      <w:hyperlink r:id="rId17" w:tgtFrame="_blank">
        <w:r>
          <w:rPr>
            <w:rStyle w:val="InternetLink"/>
            <w:rFonts w:ascii="Times New Roman" w:hAnsi="Times New Roman"/>
            <w:color w:val="auto"/>
            <w:sz w:val="24"/>
            <w:szCs w:val="24"/>
            <w:u w:val="none"/>
          </w:rPr>
          <w:t>The Deflationary Theory of Ontological Dependence</w:t>
        </w:r>
      </w:hyperlink>
      <w:r>
        <w:rPr>
          <w:rStyle w:val="InternetLink"/>
          <w:rFonts w:ascii="Times New Roman" w:hAnsi="Times New Roman"/>
          <w:color w:val="auto"/>
          <w:sz w:val="24"/>
          <w:szCs w:val="24"/>
          <w:u w:val="none"/>
        </w:rPr>
        <w:t>’</w:t>
      </w:r>
      <w:r>
        <w:rPr>
          <w:rFonts w:ascii="Times New Roman" w:hAnsi="Times New Roman"/>
          <w:sz w:val="24"/>
          <w:szCs w:val="24"/>
        </w:rPr>
        <w:t xml:space="preserve">, </w:t>
      </w:r>
      <w:hyperlink r:id="rId18">
        <w:r>
          <w:rPr>
            <w:rStyle w:val="ListLabel227"/>
            <w:rFonts w:ascii="Times New Roman" w:hAnsi="Times New Roman"/>
            <w:i/>
            <w:iCs/>
            <w:sz w:val="24"/>
            <w:szCs w:val="24"/>
            <w:lang w:eastAsia="en-GB"/>
          </w:rPr>
          <w:t>Philosophical Quarterly</w:t>
        </w:r>
      </w:hyperlink>
      <w:r>
        <w:rPr>
          <w:rFonts w:ascii="Times New Roman" w:hAnsi="Times New Roman"/>
          <w:sz w:val="24"/>
          <w:szCs w:val="24"/>
          <w:lang w:eastAsia="en-GB"/>
        </w:rPr>
        <w:t> (forthcoming)</w:t>
      </w:r>
    </w:p>
    <w:p>
      <w:pPr>
        <w:pStyle w:val="Normal"/>
        <w:spacing w:before="0" w:after="0"/>
        <w:contextualSpacing/>
        <w:rPr>
          <w:bCs/>
        </w:rPr>
      </w:pPr>
      <w:r>
        <w:rPr>
          <w:bCs/>
        </w:rPr>
      </w:r>
    </w:p>
    <w:p>
      <w:pPr>
        <w:pStyle w:val="Normal"/>
        <w:spacing w:before="0" w:after="0"/>
        <w:ind w:left="0" w:right="0" w:hanging="360"/>
        <w:contextualSpacing/>
        <w:rPr/>
      </w:pPr>
      <w:r>
        <w:rPr>
          <w:b/>
        </w:rPr>
        <w:t xml:space="preserve">Conclusion </w:t>
      </w:r>
      <w:r>
        <w:rPr/>
        <w:t>[Obviously, there are other “specialists” that published UNBELIEVABLE similar ideas to my ideas but I have not discovered them yet…]</w:t>
      </w:r>
    </w:p>
    <w:p>
      <w:pPr>
        <w:pStyle w:val="Normal"/>
        <w:spacing w:before="0" w:after="0"/>
        <w:ind w:left="0" w:right="0" w:hanging="360"/>
        <w:contextualSpacing/>
        <w:rPr>
          <w:b/>
          <w:b/>
        </w:rPr>
      </w:pPr>
      <w:r>
        <w:rPr>
          <w:b/>
        </w:rPr>
        <w:t>Bibliography</w:t>
      </w:r>
    </w:p>
    <w:p>
      <w:pPr>
        <w:pStyle w:val="NormalWeb"/>
        <w:shd w:val="clear" w:fill="FFFFFF"/>
        <w:spacing w:before="0" w:after="0"/>
        <w:contextualSpacing/>
        <w:jc w:val="both"/>
        <w:rPr/>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pStyle w:val="Normal"/>
        <w:spacing w:before="0" w:after="0"/>
        <w:contextualSpacing/>
        <w:rPr>
          <w:b/>
          <w:b/>
        </w:rPr>
      </w:pPr>
      <w:r>
        <w:rPr>
          <w:b/>
        </w:rPr>
      </w:r>
    </w:p>
    <w:p>
      <w:pPr>
        <w:pStyle w:val="Normal"/>
        <w:spacing w:before="0" w:after="0"/>
        <w:ind w:left="0" w:right="0" w:hanging="360"/>
        <w:contextualSpacing/>
        <w:rPr>
          <w:b/>
          <w:b/>
          <w:sz w:val="28"/>
          <w:szCs w:val="28"/>
        </w:rPr>
      </w:pPr>
      <w:r>
        <w:rPr>
          <w:b/>
          <w:sz w:val="28"/>
          <w:szCs w:val="28"/>
        </w:rPr>
        <w:t>July 2018</w:t>
      </w:r>
    </w:p>
    <w:p>
      <w:pPr>
        <w:pStyle w:val="Default"/>
        <w:numPr>
          <w:ilvl w:val="0"/>
          <w:numId w:val="6"/>
        </w:numPr>
        <w:spacing w:before="0" w:after="0"/>
        <w:ind w:left="0" w:right="0" w:hanging="360"/>
        <w:contextualSpacing/>
        <w:jc w:val="both"/>
        <w:rPr>
          <w:b/>
          <w:b/>
        </w:rPr>
      </w:pPr>
      <w:r>
        <w:rPr>
          <w:b/>
        </w:rPr>
        <w:t xml:space="preserve">Oreste M. Fiocco </w:t>
      </w:r>
    </w:p>
    <w:p>
      <w:pPr>
        <w:pStyle w:val="Footer"/>
        <w:numPr>
          <w:ilvl w:val="0"/>
          <w:numId w:val="6"/>
        </w:numPr>
        <w:spacing w:before="0" w:after="0"/>
        <w:ind w:left="0" w:right="0" w:hanging="360"/>
        <w:contextualSpacing/>
        <w:rPr/>
      </w:pPr>
      <w:r>
        <w:rPr>
          <w:rFonts w:eastAsia="Calibri"/>
          <w:b/>
          <w:lang w:val="en-GB"/>
        </w:rPr>
        <w:t>Baptiste Le Bihan</w:t>
      </w:r>
      <w:r>
        <w:rPr>
          <w:rFonts w:eastAsia="Calibri"/>
          <w:lang w:val="en-GB"/>
        </w:rPr>
        <w:t xml:space="preserve"> (University of Geneva, forthcoming) </w:t>
      </w:r>
    </w:p>
    <w:p>
      <w:pPr>
        <w:pStyle w:val="Footer"/>
        <w:numPr>
          <w:ilvl w:val="0"/>
          <w:numId w:val="6"/>
        </w:numPr>
        <w:spacing w:before="0" w:after="0"/>
        <w:ind w:left="0" w:right="0" w:hanging="360"/>
        <w:contextualSpacing/>
        <w:rPr/>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pStyle w:val="Footer"/>
        <w:numPr>
          <w:ilvl w:val="0"/>
          <w:numId w:val="6"/>
        </w:numPr>
        <w:spacing w:before="0" w:after="0"/>
        <w:ind w:left="0" w:right="0" w:hanging="360"/>
        <w:contextualSpacing/>
        <w:rPr/>
      </w:pPr>
      <w:r>
        <w:rPr>
          <w:rFonts w:eastAsia="Calibri"/>
          <w:b/>
          <w:lang w:val="en-GB"/>
        </w:rPr>
        <w:t>Erik C. Banks</w:t>
      </w:r>
      <w:r>
        <w:rPr>
          <w:rFonts w:eastAsia="Calibri"/>
          <w:lang w:val="en-GB"/>
        </w:rPr>
        <w:t xml:space="preserve"> (Wright State University, 2014) </w:t>
      </w:r>
    </w:p>
    <w:p>
      <w:pPr>
        <w:pStyle w:val="Footer"/>
        <w:numPr>
          <w:ilvl w:val="0"/>
          <w:numId w:val="6"/>
        </w:numPr>
        <w:spacing w:before="0" w:after="0"/>
        <w:ind w:left="0" w:right="0" w:hanging="360"/>
        <w:contextualSpacing/>
        <w:rPr/>
      </w:pPr>
      <w:r>
        <w:rPr>
          <w:rFonts w:eastAsia="Calibri"/>
          <w:b/>
          <w:lang w:val="en-GB"/>
        </w:rPr>
        <w:t>Sami Pihlström</w:t>
      </w:r>
      <w:r>
        <w:rPr>
          <w:rFonts w:eastAsia="Calibri"/>
          <w:lang w:val="en-GB"/>
        </w:rPr>
        <w:t xml:space="preserve"> (2009)</w:t>
      </w:r>
    </w:p>
    <w:p>
      <w:pPr>
        <w:pStyle w:val="ListParagraph"/>
        <w:numPr>
          <w:ilvl w:val="0"/>
          <w:numId w:val="6"/>
        </w:numPr>
        <w:spacing w:before="0" w:after="0"/>
        <w:ind w:left="0" w:right="0" w:hanging="360"/>
        <w:contextualSpacing/>
        <w:jc w:val="both"/>
        <w:rPr/>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pStyle w:val="Normal"/>
        <w:spacing w:before="0" w:after="0"/>
        <w:contextualSpacing/>
        <w:rPr>
          <w:b/>
          <w:b/>
        </w:rPr>
      </w:pPr>
      <w:r>
        <w:rPr>
          <w:b/>
        </w:rPr>
      </w:r>
    </w:p>
    <w:p>
      <w:pPr>
        <w:pStyle w:val="Normal"/>
        <w:spacing w:before="0" w:after="0"/>
        <w:ind w:left="0" w:right="0" w:hanging="360"/>
        <w:contextualSpacing/>
        <w:rPr>
          <w:b/>
          <w:b/>
          <w:sz w:val="28"/>
          <w:szCs w:val="28"/>
        </w:rPr>
      </w:pPr>
      <w:r>
        <w:rPr>
          <w:b/>
          <w:sz w:val="28"/>
          <w:szCs w:val="28"/>
        </w:rPr>
        <w:t>November 2018</w:t>
      </w:r>
    </w:p>
    <w:p>
      <w:pPr>
        <w:pStyle w:val="ListParagraph"/>
        <w:numPr>
          <w:ilvl w:val="0"/>
          <w:numId w:val="6"/>
        </w:numPr>
        <w:spacing w:before="0" w:after="0"/>
        <w:ind w:left="0" w:right="0" w:hanging="360"/>
        <w:contextualSpacing/>
        <w:rPr/>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pStyle w:val="ListParagraph"/>
        <w:numPr>
          <w:ilvl w:val="0"/>
          <w:numId w:val="6"/>
        </w:numPr>
        <w:spacing w:before="0" w:after="0"/>
        <w:ind w:left="0" w:right="0" w:hanging="360"/>
        <w:contextualSpacing/>
        <w:rPr/>
      </w:pPr>
      <w:r>
        <w:rPr>
          <w:rFonts w:ascii="Times New Roman" w:hAnsi="Times New Roman"/>
          <w:b/>
          <w:sz w:val="24"/>
          <w:szCs w:val="24"/>
        </w:rPr>
        <w:t>Graham Harman (2017</w:t>
      </w:r>
      <w:r>
        <w:rPr>
          <w:rFonts w:cs="PelicanGrotesque-Medium" w:ascii="PelicanGrotesque-Medium" w:hAnsi="PelicanGrotesque-Medium"/>
          <w:b/>
          <w:sz w:val="24"/>
          <w:szCs w:val="24"/>
        </w:rPr>
        <w:t xml:space="preserve">) </w:t>
      </w:r>
      <w:r>
        <w:rPr>
          <w:rFonts w:cs="PelicanGrotesque-Medium" w:ascii="PelicanGrotesque-Medium" w:hAnsi="PelicanGrotesque-Medium"/>
          <w:b/>
          <w:i/>
          <w:sz w:val="24"/>
          <w:szCs w:val="24"/>
        </w:rPr>
        <w:t>: Object-Oriented Ontology: A New Theory of Everything</w:t>
      </w:r>
      <w:r>
        <w:rPr>
          <w:rFonts w:cs="PelicanGrotesque-Medium" w:ascii="PelicanGrotesque-Medium" w:hAnsi="PelicanGrotesque-Medium"/>
          <w:b/>
          <w:sz w:val="24"/>
          <w:szCs w:val="24"/>
        </w:rPr>
        <w:t xml:space="preserve"> (Penguin Books)</w:t>
      </w:r>
    </w:p>
    <w:p>
      <w:pPr>
        <w:pStyle w:val="Normal"/>
        <w:spacing w:before="0" w:after="0"/>
        <w:contextualSpacing/>
        <w:rPr>
          <w:b/>
          <w:b/>
        </w:rPr>
      </w:pPr>
      <w:r>
        <w:rPr>
          <w:b/>
        </w:rPr>
      </w:r>
    </w:p>
    <w:p>
      <w:pPr>
        <w:pStyle w:val="Normal"/>
        <w:spacing w:before="0" w:after="0"/>
        <w:ind w:left="0" w:right="0" w:hanging="360"/>
        <w:contextualSpacing/>
        <w:rPr>
          <w:b/>
          <w:b/>
          <w:sz w:val="28"/>
          <w:szCs w:val="28"/>
        </w:rPr>
      </w:pPr>
      <w:r>
        <w:rPr>
          <w:b/>
          <w:sz w:val="28"/>
          <w:szCs w:val="28"/>
        </w:rPr>
        <w:t>January 2019</w:t>
      </w:r>
    </w:p>
    <w:p>
      <w:pPr>
        <w:pStyle w:val="ListParagraph"/>
        <w:numPr>
          <w:ilvl w:val="0"/>
          <w:numId w:val="6"/>
        </w:numPr>
        <w:spacing w:before="0" w:after="0"/>
        <w:ind w:left="0" w:right="0" w:hanging="360"/>
        <w:contextualSpacing/>
        <w:rPr/>
      </w:pPr>
      <w:hyperlink r:id="rId19">
        <w:r>
          <w:rPr>
            <w:rStyle w:val="InternetLink"/>
            <w:rFonts w:eastAsia="Calibri" w:ascii="Times New Roman" w:hAnsi="Times New Roman"/>
            <w:b/>
            <w:bCs/>
            <w:color w:val="auto"/>
            <w:sz w:val="24"/>
            <w:szCs w:val="24"/>
            <w:u w:val="none"/>
          </w:rPr>
          <w:t>Philip Ball</w:t>
        </w:r>
      </w:hyperlink>
      <w:r>
        <w:rPr>
          <w:rFonts w:ascii="Times New Roman" w:hAnsi="Times New Roman"/>
          <w:sz w:val="24"/>
          <w:szCs w:val="24"/>
        </w:rPr>
        <w:t> (2018):</w:t>
      </w:r>
      <w:r>
        <w:rPr>
          <w:rFonts w:ascii="Times New Roman" w:hAnsi="Times New Roman"/>
          <w:b/>
          <w:sz w:val="24"/>
          <w:szCs w:val="24"/>
        </w:rPr>
        <w:t xml:space="preserve"> “</w:t>
      </w:r>
      <w:hyperlink r:id="rId20">
        <w:r>
          <w:rPr>
            <w:rStyle w:val="InternetLink"/>
            <w:rFonts w:eastAsia="Calibri" w:ascii="Times New Roman" w:hAnsi="Times New Roman"/>
            <w:color w:val="auto"/>
            <w:sz w:val="24"/>
            <w:szCs w:val="24"/>
            <w:u w:val="none"/>
          </w:rPr>
          <w:t>Why everything you thought you knew about quantum physics is different</w:t>
        </w:r>
      </w:hyperlink>
      <w:r>
        <w:rPr>
          <w:rStyle w:val="Emphasis"/>
          <w:rFonts w:ascii="Times New Roman" w:hAnsi="Times New Roman"/>
          <w:i w:val="false"/>
          <w:iCs w:val="false"/>
          <w:sz w:val="24"/>
          <w:szCs w:val="24"/>
        </w:rPr>
        <w:t>”</w:t>
      </w:r>
    </w:p>
    <w:p>
      <w:pPr>
        <w:pStyle w:val="ListParagraph"/>
        <w:numPr>
          <w:ilvl w:val="0"/>
          <w:numId w:val="6"/>
        </w:numPr>
        <w:spacing w:before="0" w:after="0"/>
        <w:ind w:left="0" w:right="0" w:hanging="360"/>
        <w:contextualSpacing/>
        <w:rPr/>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pStyle w:val="ListParagraph"/>
        <w:numPr>
          <w:ilvl w:val="0"/>
          <w:numId w:val="6"/>
        </w:numPr>
        <w:spacing w:before="0" w:after="0"/>
        <w:ind w:left="0" w:right="0" w:hanging="360"/>
        <w:contextualSpacing/>
        <w:rPr/>
      </w:pPr>
      <w:r>
        <w:rPr>
          <w:rFonts w:eastAsia="Calibri" w:ascii="Times New Roman" w:hAnsi="Times New Roman"/>
          <w:b/>
          <w:bCs/>
          <w:sz w:val="24"/>
          <w:szCs w:val="24"/>
        </w:rPr>
        <w:t xml:space="preserve">Anne Sophie Meincke  </w:t>
      </w:r>
      <w:r>
        <w:rPr>
          <w:rFonts w:eastAsia="Calibri" w:ascii="Times New Roman" w:hAnsi="Times New Roman"/>
          <w:bCs/>
          <w:sz w:val="24"/>
          <w:szCs w:val="24"/>
        </w:rPr>
        <w:t xml:space="preserve">(November 2018) </w:t>
      </w:r>
      <w:r>
        <w:rPr>
          <w:rFonts w:eastAsia="Calibri" w:ascii="Times New Roman" w:hAnsi="Times New Roman"/>
          <w:color w:val="404040"/>
          <w:sz w:val="24"/>
          <w:szCs w:val="24"/>
        </w:rPr>
        <w:t xml:space="preserve">The Disappearance of Change (IJPS) 28. </w:t>
      </w:r>
      <w:r>
        <w:rPr>
          <w:rFonts w:eastAsia="Calibri" w:ascii="Times New Roman" w:hAnsi="Times New Roman"/>
          <w:bCs/>
          <w:sz w:val="24"/>
          <w:szCs w:val="24"/>
        </w:rPr>
        <w:t xml:space="preserve">The Disappearance of Change Towards a Process Account of Persistence </w:t>
      </w:r>
      <w:r>
        <w:rPr>
          <w:rFonts w:eastAsia="Calibri" w:ascii="Times New Roman" w:hAnsi="Times New Roman"/>
          <w:i/>
          <w:iCs/>
          <w:sz w:val="24"/>
          <w:szCs w:val="24"/>
        </w:rPr>
        <w:t xml:space="preserve">Forthcoming in: International Journal of Philosophical Studies </w:t>
      </w:r>
      <w:r>
        <w:rPr>
          <w:rFonts w:eastAsia="Calibri" w:ascii="Times New Roman" w:hAnsi="Times New Roman"/>
          <w:sz w:val="24"/>
          <w:szCs w:val="24"/>
        </w:rPr>
        <w:t>DOI: 10.1080/09672559.2018.1548634</w:t>
      </w:r>
    </w:p>
    <w:p>
      <w:pPr>
        <w:pStyle w:val="ListParagraph"/>
        <w:numPr>
          <w:ilvl w:val="0"/>
          <w:numId w:val="6"/>
        </w:numPr>
        <w:spacing w:before="0" w:after="0"/>
        <w:ind w:left="0" w:right="0" w:hanging="360"/>
        <w:contextualSpacing/>
        <w:rPr/>
      </w:pPr>
      <w:r>
        <w:rPr>
          <w:rFonts w:eastAsia="Calibri" w:cs="CMR12" w:ascii="CMR12" w:hAnsi="CMR12"/>
          <w:b/>
          <w:sz w:val="24"/>
          <w:szCs w:val="24"/>
        </w:rPr>
        <w:t>Baptiste Le Bihan</w:t>
      </w:r>
      <w:r>
        <w:rPr>
          <w:rFonts w:eastAsia="Calibri" w:cs="CMR8" w:ascii="CMR8" w:hAnsi="CMR8"/>
          <w:b/>
          <w:sz w:val="24"/>
          <w:szCs w:val="24"/>
        </w:rPr>
        <w:t xml:space="preserve">a </w:t>
      </w:r>
      <w:r>
        <w:rPr>
          <w:rFonts w:eastAsia="Calibri"/>
          <w:bCs/>
          <w:sz w:val="24"/>
          <w:szCs w:val="24"/>
        </w:rPr>
        <w:t>(</w:t>
      </w:r>
      <w:r>
        <w:rPr>
          <w:rFonts w:eastAsia="Calibri"/>
          <w:sz w:val="24"/>
          <w:szCs w:val="24"/>
        </w:rPr>
        <w:t>University of Geneva)</w:t>
      </w:r>
      <w:r>
        <w:rPr>
          <w:rFonts w:eastAsia="Calibri" w:cs="CMR8" w:ascii="CMR8" w:hAnsi="CMR8"/>
          <w:b/>
          <w:sz w:val="24"/>
          <w:szCs w:val="24"/>
        </w:rPr>
        <w:t xml:space="preserve"> </w:t>
      </w:r>
      <w:r>
        <w:rPr>
          <w:rFonts w:eastAsia="Calibri" w:cs="CMR12" w:ascii="CMR12" w:hAnsi="CMR12"/>
          <w:sz w:val="24"/>
          <w:szCs w:val="24"/>
        </w:rPr>
        <w:t>and</w:t>
      </w:r>
      <w:r>
        <w:rPr>
          <w:rFonts w:eastAsia="Calibri" w:cs="CMR12" w:ascii="CMR12" w:hAnsi="CMR12"/>
          <w:b/>
          <w:sz w:val="24"/>
          <w:szCs w:val="24"/>
        </w:rPr>
        <w:t xml:space="preserve"> James Read</w:t>
      </w:r>
      <w:r>
        <w:rPr>
          <w:rFonts w:eastAsia="Calibri" w:cs="CMR8" w:ascii="CMR8" w:hAnsi="CMR8"/>
          <w:b/>
          <w:sz w:val="24"/>
          <w:szCs w:val="24"/>
        </w:rPr>
        <w:t xml:space="preserve"> </w:t>
      </w:r>
      <w:r>
        <w:rPr>
          <w:rFonts w:eastAsia="Calibri" w:cs="CMR8" w:ascii="CMR8" w:hAnsi="CMR8"/>
          <w:sz w:val="24"/>
          <w:szCs w:val="24"/>
        </w:rPr>
        <w:t>(Oxford Univ.)</w:t>
      </w:r>
      <w:r>
        <w:rPr>
          <w:rFonts w:eastAsia="Calibri" w:cs="CMR8" w:ascii="CMR8" w:hAnsi="CMR8"/>
          <w:b/>
          <w:sz w:val="24"/>
          <w:szCs w:val="24"/>
        </w:rPr>
        <w:t xml:space="preserve"> </w:t>
      </w:r>
      <w:r>
        <w:rPr>
          <w:rFonts w:eastAsia="Calibri" w:cs="CMR17" w:ascii="CMR17" w:hAnsi="CMR17"/>
          <w:sz w:val="24"/>
          <w:szCs w:val="24"/>
        </w:rPr>
        <w:t>“Duality and Ontology”</w:t>
      </w:r>
      <w:r>
        <w:rPr>
          <w:rFonts w:eastAsia="Calibri" w:cs="Cambria Math" w:ascii="Cambria Math" w:hAnsi="Cambria Math"/>
          <w:sz w:val="24"/>
          <w:szCs w:val="24"/>
        </w:rPr>
        <w:t xml:space="preserve"> </w:t>
      </w:r>
      <w:r>
        <w:rPr>
          <w:rFonts w:eastAsia="Calibri" w:cs="CMR17" w:ascii="CMR17" w:hAnsi="CMR17"/>
          <w:sz w:val="24"/>
          <w:szCs w:val="24"/>
        </w:rPr>
        <w:t>(forthcoming,</w:t>
      </w:r>
      <w:r>
        <w:rPr>
          <w:rFonts w:eastAsia="Calibri" w:cs="CMR17" w:ascii="CMR17" w:hAnsi="CMR17"/>
          <w:b/>
          <w:sz w:val="24"/>
          <w:szCs w:val="24"/>
        </w:rPr>
        <w:t xml:space="preserve"> </w:t>
      </w:r>
      <w:r>
        <w:rPr>
          <w:rFonts w:eastAsia="Calibri" w:cs="CMR10" w:ascii="CMR10" w:hAnsi="CMR10"/>
          <w:sz w:val="24"/>
          <w:szCs w:val="24"/>
        </w:rPr>
        <w:t xml:space="preserve">in </w:t>
      </w:r>
      <w:r>
        <w:rPr>
          <w:rFonts w:eastAsia="Calibri" w:cs="CMTI10" w:ascii="CMTI10" w:hAnsi="CMTI10"/>
          <w:i/>
          <w:sz w:val="24"/>
          <w:szCs w:val="24"/>
        </w:rPr>
        <w:t>Philosophy Compass</w:t>
      </w:r>
      <w:r>
        <w:rPr>
          <w:rFonts w:eastAsia="Calibri" w:cs="CMR17" w:ascii="CMR17" w:hAnsi="CMR17"/>
          <w:b/>
          <w:sz w:val="24"/>
          <w:szCs w:val="24"/>
        </w:rPr>
        <w:t>)</w:t>
      </w:r>
    </w:p>
    <w:p>
      <w:pPr>
        <w:pStyle w:val="ListParagraph"/>
        <w:numPr>
          <w:ilvl w:val="0"/>
          <w:numId w:val="6"/>
        </w:numPr>
        <w:spacing w:before="0" w:after="0"/>
        <w:ind w:left="0" w:right="0" w:hanging="360"/>
        <w:contextualSpacing/>
        <w:rPr/>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pStyle w:val="ListParagraph"/>
        <w:numPr>
          <w:ilvl w:val="0"/>
          <w:numId w:val="6"/>
        </w:numPr>
        <w:spacing w:before="0" w:after="0"/>
        <w:ind w:left="0" w:right="0" w:hanging="360"/>
        <w:contextualSpacing/>
        <w:rPr/>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eastAsia="Calibri" w:cs="Calibri-Bold" w:ascii="Calibri-Bold" w:hAnsi="Calibri-Bold"/>
          <w:bCs/>
          <w:sz w:val="24"/>
          <w:szCs w:val="24"/>
        </w:rPr>
        <w:t>Journal of Modern Physics, 2016, 7, 1228-1246</w:t>
      </w:r>
    </w:p>
    <w:p>
      <w:pPr>
        <w:pStyle w:val="Normal"/>
        <w:spacing w:before="0" w:after="0"/>
        <w:contextualSpacing/>
        <w:rPr>
          <w:rFonts w:eastAsia="Calibri"/>
        </w:rPr>
      </w:pPr>
      <w:r>
        <w:rPr>
          <w:rFonts w:eastAsia="Calibri"/>
        </w:rPr>
      </w:r>
    </w:p>
    <w:p>
      <w:pPr>
        <w:pStyle w:val="Normal"/>
        <w:spacing w:before="0" w:after="0"/>
        <w:ind w:left="0" w:right="0" w:hanging="360"/>
        <w:contextualSpacing/>
        <w:rPr>
          <w:rFonts w:eastAsia="Calibri"/>
          <w:b/>
          <w:b/>
          <w:sz w:val="28"/>
          <w:szCs w:val="28"/>
        </w:rPr>
      </w:pPr>
      <w:r>
        <w:rPr>
          <w:rFonts w:eastAsia="Calibri"/>
          <w:b/>
          <w:sz w:val="28"/>
          <w:szCs w:val="28"/>
        </w:rPr>
        <w:t>February 2019</w:t>
      </w:r>
    </w:p>
    <w:p>
      <w:pPr>
        <w:pStyle w:val="ListParagraph"/>
        <w:numPr>
          <w:ilvl w:val="0"/>
          <w:numId w:val="6"/>
        </w:numPr>
        <w:spacing w:before="0" w:after="0"/>
        <w:ind w:left="0" w:right="0" w:hanging="360"/>
        <w:contextualSpacing/>
        <w:rPr/>
      </w:pPr>
      <w:r>
        <w:rPr>
          <w:rFonts w:eastAsia="Calibri" w:ascii="Times New Roman" w:hAnsi="Times New Roman"/>
          <w:b/>
          <w:sz w:val="24"/>
          <w:szCs w:val="24"/>
        </w:rPr>
        <w:t>James Barham</w:t>
      </w:r>
      <w:r>
        <w:rPr>
          <w:rFonts w:eastAsia="Calibri" w:ascii="Times New Roman" w:hAnsi="Times New Roman"/>
          <w:sz w:val="24"/>
          <w:szCs w:val="24"/>
        </w:rPr>
        <w:t xml:space="preserve"> (2019): “The Reality of Purpose and the Reform of Naturalism”</w:t>
      </w:r>
    </w:p>
    <w:p>
      <w:pPr>
        <w:pStyle w:val="ListParagraph"/>
        <w:numPr>
          <w:ilvl w:val="0"/>
          <w:numId w:val="6"/>
        </w:numPr>
        <w:spacing w:before="0" w:after="0"/>
        <w:ind w:left="0" w:right="0" w:hanging="360"/>
        <w:contextualSpacing/>
        <w:rPr/>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eastAsia="Calibri" w:cs="MinionPro-Regular" w:ascii="MinionPro-Regular" w:hAnsi="MinionPro-Regular"/>
          <w:sz w:val="24"/>
          <w:szCs w:val="24"/>
        </w:rPr>
        <w:t>Bloomsbury Academic</w:t>
      </w:r>
    </w:p>
    <w:p>
      <w:pPr>
        <w:pStyle w:val="ListParagraph"/>
        <w:numPr>
          <w:ilvl w:val="0"/>
          <w:numId w:val="6"/>
        </w:numPr>
        <w:spacing w:before="0" w:after="0"/>
        <w:ind w:left="0" w:right="0" w:hanging="360"/>
        <w:contextualSpacing/>
        <w:rPr/>
      </w:pPr>
      <w:r>
        <w:rPr>
          <w:rFonts w:eastAsia="Calibri" w:ascii="Times New Roman" w:hAnsi="Times New Roman"/>
          <w:sz w:val="24"/>
          <w:szCs w:val="24"/>
        </w:rPr>
        <w:t xml:space="preserve">(2018) </w:t>
      </w:r>
      <w:r>
        <w:rPr>
          <w:rFonts w:eastAsia="Calibri" w:ascii="Times New Roman" w:hAnsi="Times New Roman"/>
          <w:b/>
          <w:sz w:val="24"/>
          <w:szCs w:val="24"/>
        </w:rPr>
        <w:t>Albrecht von M</w:t>
      </w:r>
      <w:r>
        <w:rPr>
          <w:rFonts w:eastAsia="HlshrbCnhnhfMTSYN" w:ascii="Times New Roman" w:hAnsi="Times New Roman"/>
          <w:b/>
          <w:sz w:val="24"/>
          <w:szCs w:val="24"/>
        </w:rPr>
        <w:t>¨</w:t>
      </w:r>
      <w:r>
        <w:rPr>
          <w:rFonts w:eastAsia="Calibri" w:ascii="Times New Roman" w:hAnsi="Times New Roman"/>
          <w:b/>
          <w:sz w:val="24"/>
          <w:szCs w:val="24"/>
        </w:rPr>
        <w:t>uller • Elias Zafiris</w:t>
      </w:r>
      <w:r>
        <w:rPr>
          <w:rFonts w:eastAsia="Calibri" w:ascii="Times New Roman" w:hAnsi="Times New Roman"/>
          <w:sz w:val="24"/>
          <w:szCs w:val="24"/>
        </w:rPr>
        <w:t xml:space="preserve">, </w:t>
      </w:r>
      <w:r>
        <w:rPr>
          <w:rFonts w:eastAsia="Calibri" w:ascii="Times New Roman" w:hAnsi="Times New Roman"/>
          <w:i/>
          <w:sz w:val="24"/>
          <w:szCs w:val="24"/>
        </w:rPr>
        <w:t>Concept and Formalization of Constellatory Self-Unfolding - A Novel Perspective on the Relation between Quantum and Relativistic Physics</w:t>
      </w:r>
    </w:p>
    <w:p>
      <w:pPr>
        <w:pStyle w:val="ListParagraph"/>
        <w:numPr>
          <w:ilvl w:val="0"/>
          <w:numId w:val="6"/>
        </w:numPr>
        <w:spacing w:before="0" w:after="0"/>
        <w:ind w:left="0" w:right="0" w:hanging="360"/>
        <w:contextualSpacing/>
        <w:rPr/>
      </w:pPr>
      <w:r>
        <w:rPr>
          <w:rFonts w:eastAsia="Calibri" w:cs="AdvOTea1a7398" w:ascii="AdvOTea1a7398" w:hAnsi="AdvOTea1a7398"/>
          <w:b/>
          <w:sz w:val="24"/>
          <w:szCs w:val="24"/>
        </w:rPr>
        <w:t xml:space="preserve">(2019) Flaminia Giacomini, Esteban Castro-Ruiz, &amp; </w:t>
      </w:r>
      <w:r>
        <w:rPr>
          <w:rFonts w:eastAsia="Calibri" w:cs="AdvOTea1a7398+01" w:ascii="AdvOTea1a7398+01" w:hAnsi="AdvOTea1a7398+01"/>
          <w:b/>
          <w:sz w:val="24"/>
          <w:szCs w:val="24"/>
        </w:rPr>
        <w:t>Č</w:t>
      </w:r>
      <w:r>
        <w:rPr>
          <w:rFonts w:eastAsia="Calibri" w:cs="AdvOTea1a7398" w:ascii="AdvOTea1a7398" w:hAnsi="AdvOTea1a7398"/>
          <w:b/>
          <w:sz w:val="24"/>
          <w:szCs w:val="24"/>
        </w:rPr>
        <w:t xml:space="preserve">aslav Brukner “Quantum mechanics and the covariance of physical laws in quantum reference frames”, </w:t>
      </w:r>
      <w:r>
        <w:rPr>
          <w:rFonts w:eastAsia="Calibri" w:cs="AdvOTea1a7398" w:ascii="AdvOTea1a7398" w:hAnsi="AdvOTea1a7398"/>
          <w:b/>
          <w:i/>
          <w:sz w:val="24"/>
          <w:szCs w:val="24"/>
        </w:rPr>
        <w:t>Nature Communications</w:t>
      </w:r>
    </w:p>
    <w:p>
      <w:pPr>
        <w:pStyle w:val="ListParagraph"/>
        <w:numPr>
          <w:ilvl w:val="0"/>
          <w:numId w:val="6"/>
        </w:numPr>
        <w:spacing w:before="0" w:after="0"/>
        <w:ind w:left="0" w:right="0" w:hanging="360"/>
        <w:contextualSpacing/>
        <w:rPr/>
      </w:pPr>
      <w:r>
        <w:rPr>
          <w:rFonts w:eastAsia="Calibri" w:cs="Palatino Linotype" w:ascii="Palatino Linotype" w:hAnsi="Palatino Linotype"/>
          <w:b/>
          <w:color w:val="000000"/>
          <w:sz w:val="24"/>
          <w:szCs w:val="24"/>
        </w:rPr>
        <w:t xml:space="preserve">(2019) Valia Allori, “Scientific Realism without the Wave-Function: An Example of Naturalized Quantum Metaphysics” </w:t>
      </w:r>
      <w:r>
        <w:rPr>
          <w:rFonts w:eastAsia="Calibri" w:cs="Palatino Linotype" w:ascii="Palatino Linotype" w:hAnsi="Palatino Linotype"/>
          <w:color w:val="000000"/>
          <w:sz w:val="24"/>
          <w:szCs w:val="24"/>
        </w:rPr>
        <w:t>(to appear in J. Saatsi, S. French (eds.) “Scientific Realism and the Quantum” OUP (2019) - Department of Philosophy Northern Illinois University)</w:t>
      </w:r>
    </w:p>
    <w:p>
      <w:pPr>
        <w:pStyle w:val="ListParagraph"/>
        <w:numPr>
          <w:ilvl w:val="0"/>
          <w:numId w:val="6"/>
        </w:numPr>
        <w:spacing w:before="0" w:after="0"/>
        <w:ind w:left="0" w:right="0" w:hanging="360"/>
        <w:contextualSpacing/>
        <w:rPr>
          <w:rFonts w:ascii="RgsyshAdvTTb8864ccf.B" w:hAnsi="RgsyshAdvTTb8864ccf.B" w:eastAsia="Calibri" w:cs="RgsyshAdvTTb8864ccf.B"/>
          <w:b/>
          <w:b/>
          <w:color w:val="131413"/>
          <w:sz w:val="24"/>
          <w:szCs w:val="24"/>
        </w:rPr>
      </w:pPr>
      <w:r>
        <w:rPr>
          <w:rFonts w:eastAsia="Calibri" w:cs="RgsyshAdvTTb8864ccf.B" w:ascii="RgsyshAdvTTb8864ccf.B" w:hAnsi="RgsyshAdvTTb8864ccf.B"/>
          <w:b/>
          <w:color w:val="131413"/>
          <w:sz w:val="24"/>
          <w:szCs w:val="24"/>
        </w:rPr>
        <w:t>(2018) Paulo De Jesus “Thinking through enactive agency: sense-making,</w:t>
      </w:r>
    </w:p>
    <w:p>
      <w:pPr>
        <w:pStyle w:val="Normal"/>
        <w:spacing w:before="0" w:after="0"/>
        <w:contextualSpacing/>
        <w:rPr/>
      </w:pPr>
      <w:r>
        <w:rPr>
          <w:rFonts w:eastAsia="Calibri" w:cs="RgsyshAdvTTb8864ccf.B" w:ascii="RgsyshAdvTTb8864ccf.B" w:hAnsi="RgsyshAdvTTb8864ccf.B"/>
          <w:b/>
          <w:color w:val="131413"/>
        </w:rPr>
        <w:t>bio-semiosis and the ontologies of organismic worlds”,</w:t>
      </w:r>
      <w:r>
        <w:rPr>
          <w:rFonts w:eastAsia="Calibri" w:cs="RgsyshAdvTTb8864ccf.B" w:ascii="RgsyshAdvTTb8864ccf.B" w:hAnsi="RgsyshAdvTTb8864ccf.B"/>
          <w:color w:val="131413"/>
        </w:rPr>
        <w:t xml:space="preserve"> </w:t>
      </w:r>
      <w:r>
        <w:rPr>
          <w:rFonts w:eastAsia="Calibri" w:cs="MxkqpvAdvTT3713a231" w:ascii="MxkqpvAdvTT3713a231" w:hAnsi="MxkqpvAdvTT3713a231"/>
          <w:i/>
          <w:color w:val="131413"/>
        </w:rPr>
        <w:t>Phenom Cogn Sci</w:t>
      </w:r>
    </w:p>
    <w:p>
      <w:pPr>
        <w:pStyle w:val="ListParagraph"/>
        <w:numPr>
          <w:ilvl w:val="0"/>
          <w:numId w:val="7"/>
        </w:numPr>
        <w:spacing w:before="0" w:after="0"/>
        <w:ind w:left="0" w:right="0" w:hanging="0"/>
        <w:contextualSpacing/>
        <w:rPr/>
      </w:pPr>
      <w:r>
        <w:rPr>
          <w:rFonts w:eastAsia="Calibri" w:cs="MxkqpvAdvTT3713a231" w:ascii="MxkqpvAdvTT3713a231" w:hAnsi="MxkqpvAdvTT3713a231"/>
          <w:b/>
          <w:color w:val="131413"/>
          <w:sz w:val="24"/>
          <w:szCs w:val="24"/>
        </w:rPr>
        <w:t xml:space="preserve">(2016) </w:t>
      </w:r>
      <w:r>
        <w:rPr>
          <w:rFonts w:eastAsia="Calibri" w:cs="ITCFranklinGothicStd-DmCd" w:ascii="ITCFranklinGothicStd-DmCd" w:hAnsi="ITCFranklinGothicStd-DmCd"/>
          <w:b/>
          <w:bCs/>
          <w:sz w:val="24"/>
          <w:szCs w:val="24"/>
        </w:rPr>
        <w:t xml:space="preserve">TIMOTHY MORTON, </w:t>
      </w:r>
      <w:r>
        <w:rPr>
          <w:rFonts w:eastAsia="Calibri" w:cs="SerifaStd-Bold" w:ascii="SerifaStd-Bold" w:hAnsi="SerifaStd-Bold"/>
          <w:b/>
          <w:bCs/>
          <w:i/>
          <w:sz w:val="24"/>
          <w:szCs w:val="24"/>
        </w:rPr>
        <w:t>For a Logic of Future Coexistence</w:t>
      </w:r>
      <w:r>
        <w:rPr>
          <w:rFonts w:eastAsia="Calibri" w:cs="SerifaStd-Bold" w:ascii="SerifaStd-Bold" w:hAnsi="SerifaStd-Bold"/>
          <w:b/>
          <w:bCs/>
          <w:sz w:val="24"/>
          <w:szCs w:val="24"/>
        </w:rPr>
        <w:t>, (</w:t>
      </w:r>
      <w:r>
        <w:rPr>
          <w:rFonts w:eastAsia="Calibri" w:cs="GaramondPremrPro" w:ascii="GaramondPremrPro" w:hAnsi="GaramondPremrPro"/>
          <w:b/>
          <w:sz w:val="24"/>
          <w:szCs w:val="24"/>
        </w:rPr>
        <w:t>Columbia University Press)</w:t>
      </w:r>
    </w:p>
    <w:p>
      <w:pPr>
        <w:pStyle w:val="ListParagraph"/>
        <w:numPr>
          <w:ilvl w:val="0"/>
          <w:numId w:val="7"/>
        </w:numPr>
        <w:spacing w:before="0" w:after="0"/>
        <w:ind w:left="0" w:right="0" w:hanging="0"/>
        <w:contextualSpacing/>
        <w:rPr/>
      </w:pPr>
      <w:r>
        <w:rPr>
          <w:rFonts w:eastAsia="Calibri" w:cs="Times-Bold" w:ascii="Times-Bold" w:hAnsi="Times-Bold"/>
          <w:b/>
          <w:bCs/>
          <w:color w:val="131413"/>
          <w:sz w:val="24"/>
          <w:szCs w:val="24"/>
        </w:rPr>
        <w:t xml:space="preserve">(2017) Andrew Cooper, Two directions for teleology: naturalism and idealism, </w:t>
      </w:r>
      <w:r>
        <w:rPr>
          <w:rFonts w:eastAsia="Calibri" w:cs="Times-Roman" w:ascii="Times-Roman" w:hAnsi="Times-Roman"/>
          <w:i/>
          <w:color w:val="131413"/>
          <w:sz w:val="24"/>
          <w:szCs w:val="24"/>
        </w:rPr>
        <w:t>Synthese</w:t>
      </w:r>
    </w:p>
    <w:p>
      <w:pPr>
        <w:pStyle w:val="Normal"/>
        <w:spacing w:before="0" w:after="0"/>
        <w:contextualSpacing/>
        <w:rPr>
          <w:rFonts w:ascii="Times-Roman" w:hAnsi="Times-Roman" w:eastAsia="Calibri" w:cs="Times-Roman"/>
          <w:color w:val="131413"/>
        </w:rPr>
      </w:pPr>
      <w:r>
        <w:rPr>
          <w:rFonts w:eastAsia="Calibri" w:cs="Times-Roman" w:ascii="Times-Roman" w:hAnsi="Times-Roman"/>
          <w:color w:val="131413"/>
        </w:rPr>
      </w:r>
    </w:p>
    <w:p>
      <w:pPr>
        <w:pStyle w:val="Normal"/>
        <w:spacing w:before="0" w:after="0"/>
        <w:contextualSpacing/>
        <w:rPr>
          <w:rFonts w:ascii="Times-Roman" w:hAnsi="Times-Roman" w:eastAsia="Calibri" w:cs="Times-Roman"/>
          <w:b/>
          <w:b/>
          <w:color w:val="131413"/>
        </w:rPr>
      </w:pPr>
      <w:r>
        <w:rPr>
          <w:rFonts w:eastAsia="Calibri" w:cs="Times-Roman" w:ascii="Times-Roman" w:hAnsi="Times-Roman"/>
          <w:b/>
          <w:color w:val="131413"/>
        </w:rPr>
      </w:r>
    </w:p>
    <w:p>
      <w:pPr>
        <w:pStyle w:val="Normal"/>
        <w:spacing w:before="0" w:after="0"/>
        <w:ind w:left="0" w:right="0" w:hanging="360"/>
        <w:contextualSpacing/>
        <w:rPr>
          <w:rFonts w:ascii="Times-Roman" w:hAnsi="Times-Roman" w:eastAsia="Calibri" w:cs="Times-Roman"/>
          <w:b/>
          <w:b/>
          <w:color w:val="131413"/>
          <w:sz w:val="28"/>
          <w:szCs w:val="28"/>
        </w:rPr>
      </w:pPr>
      <w:r>
        <w:rPr>
          <w:rFonts w:eastAsia="Calibri" w:cs="Times-Roman" w:ascii="Times-Roman" w:hAnsi="Times-Roman"/>
          <w:b/>
          <w:color w:val="131413"/>
          <w:sz w:val="28"/>
          <w:szCs w:val="28"/>
        </w:rPr>
        <w:t>March 2019</w:t>
      </w:r>
    </w:p>
    <w:p>
      <w:pPr>
        <w:pStyle w:val="ListParagraph"/>
        <w:numPr>
          <w:ilvl w:val="0"/>
          <w:numId w:val="8"/>
        </w:numPr>
        <w:spacing w:before="0" w:after="0"/>
        <w:ind w:left="0" w:right="0" w:hanging="360"/>
        <w:contextualSpacing/>
        <w:rPr/>
      </w:pPr>
      <w:r>
        <w:rPr>
          <w:rFonts w:eastAsia="Calibri" w:cs="Times-Roman" w:ascii="Times-Roman" w:hAnsi="Times-Roman"/>
          <w:color w:val="131413"/>
          <w:sz w:val="24"/>
          <w:szCs w:val="24"/>
        </w:rPr>
        <w:t xml:space="preserve">(2019) </w:t>
      </w:r>
      <w:r>
        <w:rPr>
          <w:rFonts w:cs="SFRM1000" w:ascii="SFRM1000" w:hAnsi="SFRM1000"/>
          <w:sz w:val="24"/>
          <w:szCs w:val="24"/>
        </w:rPr>
        <w:t xml:space="preserve">Massimiliano </w:t>
      </w:r>
      <w:r>
        <w:rPr>
          <w:rFonts w:cs="SFRM1000" w:ascii="SFRM1000" w:hAnsi="SFRM1000"/>
          <w:b/>
          <w:sz w:val="24"/>
          <w:szCs w:val="24"/>
        </w:rPr>
        <w:t>Proietti</w:t>
      </w:r>
      <w:r>
        <w:rPr>
          <w:rFonts w:cs="SFRM1000" w:ascii="SFRM1000" w:hAnsi="SFRM1000"/>
          <w:sz w:val="24"/>
          <w:szCs w:val="24"/>
        </w:rPr>
        <w:t>,</w:t>
      </w:r>
      <w:r>
        <w:rPr>
          <w:rFonts w:cs="SFRM0700" w:ascii="SFRM0700" w:hAnsi="SFRM0700"/>
          <w:sz w:val="24"/>
          <w:szCs w:val="24"/>
        </w:rPr>
        <w:t xml:space="preserve">1 </w:t>
      </w:r>
      <w:r>
        <w:rPr>
          <w:rFonts w:cs="SFRM1000" w:ascii="SFRM1000" w:hAnsi="SFRM1000"/>
          <w:sz w:val="24"/>
          <w:szCs w:val="24"/>
        </w:rPr>
        <w:t>Alexander Pickston,</w:t>
      </w:r>
      <w:r>
        <w:rPr>
          <w:rFonts w:cs="SFRM0700" w:ascii="SFRM0700" w:hAnsi="SFRM0700"/>
          <w:sz w:val="24"/>
          <w:szCs w:val="24"/>
        </w:rPr>
        <w:t xml:space="preserve">1 </w:t>
      </w:r>
      <w:r>
        <w:rPr>
          <w:rFonts w:cs="SFRM1000" w:ascii="SFRM1000" w:hAnsi="SFRM1000"/>
          <w:sz w:val="24"/>
          <w:szCs w:val="24"/>
        </w:rPr>
        <w:t>Francesco Graffitti,</w:t>
      </w:r>
      <w:r>
        <w:rPr>
          <w:rFonts w:cs="SFRM0700" w:ascii="SFRM0700" w:hAnsi="SFRM0700"/>
          <w:sz w:val="24"/>
          <w:szCs w:val="24"/>
        </w:rPr>
        <w:t xml:space="preserve">1 </w:t>
      </w:r>
      <w:r>
        <w:rPr>
          <w:rFonts w:cs="SFRM1000" w:ascii="SFRM1000" w:hAnsi="SFRM1000"/>
          <w:sz w:val="24"/>
          <w:szCs w:val="24"/>
        </w:rPr>
        <w:t>Peter Barrow,</w:t>
      </w:r>
      <w:r>
        <w:rPr>
          <w:rFonts w:cs="SFRM0700" w:ascii="SFRM0700" w:hAnsi="SFRM0700"/>
          <w:sz w:val="24"/>
          <w:szCs w:val="24"/>
        </w:rPr>
        <w:t>1</w:t>
      </w:r>
    </w:p>
    <w:p>
      <w:pPr>
        <w:pStyle w:val="Normal"/>
        <w:spacing w:before="0" w:after="0"/>
        <w:contextualSpacing/>
        <w:jc w:val="left"/>
        <w:rPr/>
      </w:pPr>
      <w:r>
        <w:rPr>
          <w:rFonts w:cs="SFRM1000" w:ascii="SFRM1000" w:hAnsi="SFRM1000"/>
        </w:rPr>
        <w:t>Dmytro Kundys,</w:t>
      </w:r>
      <w:r>
        <w:rPr>
          <w:rFonts w:cs="SFRM0700" w:ascii="SFRM0700" w:hAnsi="SFRM0700"/>
        </w:rPr>
        <w:t xml:space="preserve">1 </w:t>
      </w:r>
      <w:r>
        <w:rPr>
          <w:rFonts w:cs="SFRM1000" w:ascii="SFRM1000" w:hAnsi="SFRM1000"/>
        </w:rPr>
        <w:t>Cyril Branciard,</w:t>
      </w:r>
      <w:r>
        <w:rPr>
          <w:rFonts w:cs="SFRM0700" w:ascii="SFRM0700" w:hAnsi="SFRM0700"/>
        </w:rPr>
        <w:t xml:space="preserve">2 </w:t>
      </w:r>
      <w:r>
        <w:rPr>
          <w:rFonts w:cs="SFRM1000" w:ascii="SFRM1000" w:hAnsi="SFRM1000"/>
        </w:rPr>
        <w:t xml:space="preserve">Martin </w:t>
      </w:r>
      <w:r>
        <w:rPr>
          <w:rFonts w:cs="SFRM1000" w:ascii="SFRM1000" w:hAnsi="SFRM1000"/>
          <w:b/>
        </w:rPr>
        <w:t>Ringbauer</w:t>
      </w:r>
      <w:r>
        <w:rPr>
          <w:rFonts w:cs="SFRM1000" w:ascii="SFRM1000" w:hAnsi="SFRM1000"/>
        </w:rPr>
        <w:t>,</w:t>
      </w:r>
      <w:r>
        <w:rPr>
          <w:rFonts w:cs="SFRM0700" w:ascii="SFRM0700" w:hAnsi="SFRM0700"/>
        </w:rPr>
        <w:t xml:space="preserve">1, 3 </w:t>
      </w:r>
      <w:r>
        <w:rPr>
          <w:rFonts w:cs="SFRM1000" w:ascii="SFRM1000" w:hAnsi="SFRM1000"/>
        </w:rPr>
        <w:t>and Alessandro Fedrizzi</w:t>
      </w:r>
      <w:r>
        <w:rPr>
          <w:rFonts w:cs="SFRM0700" w:ascii="SFRM0700" w:hAnsi="SFRM0700"/>
        </w:rPr>
        <w:t xml:space="preserve">1: </w:t>
      </w:r>
      <w:r>
        <w:rPr>
          <w:rFonts w:cs="SFBX1200" w:ascii="SFBX1200" w:hAnsi="SFBX1200"/>
          <w:b/>
        </w:rPr>
        <w:t xml:space="preserve">(2019) </w:t>
      </w:r>
      <w:r>
        <w:rPr>
          <w:rFonts w:cs="SFBX1200" w:ascii="SFBX1200" w:hAnsi="SFBX1200"/>
        </w:rPr>
        <w:t>“Experimental rejection of observer-independence in the quantum world”, a</w:t>
      </w:r>
      <w:r>
        <w:rPr>
          <w:rFonts w:cs="SFRM0700" w:ascii="SFRM0700" w:hAnsi="SFRM0700"/>
        </w:rPr>
        <w:t xml:space="preserve">t </w:t>
      </w:r>
      <w:r>
        <w:rPr/>
        <w:t>arXiv:1902.05080v1 [quant-ph] 13 Feb 2019</w:t>
      </w:r>
    </w:p>
    <w:p>
      <w:pPr>
        <w:pStyle w:val="ListParagraph"/>
        <w:numPr>
          <w:ilvl w:val="0"/>
          <w:numId w:val="8"/>
        </w:numPr>
        <w:spacing w:before="0" w:after="0"/>
        <w:ind w:left="0" w:right="0" w:hanging="360"/>
        <w:contextualSpacing/>
        <w:rPr/>
      </w:pPr>
      <w:r>
        <w:rPr>
          <w:rFonts w:cs="NimbusRomNo9L-Regu" w:ascii="NimbusRomNo9L-Regu" w:hAnsi="NimbusRomNo9L-Regu"/>
          <w:sz w:val="24"/>
          <w:szCs w:val="24"/>
        </w:rPr>
        <w:t xml:space="preserve">(2015) Cˇaslav </w:t>
      </w:r>
      <w:r>
        <w:rPr>
          <w:rFonts w:cs="NimbusRomNo9L-Regu" w:ascii="NimbusRomNo9L-Regu" w:hAnsi="NimbusRomNo9L-Regu"/>
          <w:b/>
          <w:sz w:val="24"/>
          <w:szCs w:val="24"/>
        </w:rPr>
        <w:t>Brukner</w:t>
      </w:r>
      <w:r>
        <w:rPr>
          <w:rFonts w:cs="NimbusRomNo9L-Regu" w:ascii="NimbusRomNo9L-Regu" w:hAnsi="NimbusRomNo9L-Regu"/>
          <w:sz w:val="24"/>
          <w:szCs w:val="24"/>
        </w:rPr>
        <w:t xml:space="preserve"> On the quantum measurement problem, at </w:t>
      </w:r>
      <w:r>
        <w:rPr>
          <w:sz w:val="24"/>
          <w:szCs w:val="24"/>
        </w:rPr>
        <w:t>arXiv:1507.05255v1 [quant-ph] 19 Jul 2015</w:t>
      </w:r>
    </w:p>
    <w:p>
      <w:pPr>
        <w:pStyle w:val="ListParagraph"/>
        <w:numPr>
          <w:ilvl w:val="0"/>
          <w:numId w:val="8"/>
        </w:numPr>
        <w:spacing w:before="0" w:after="0"/>
        <w:ind w:left="0" w:right="0" w:hanging="360"/>
        <w:contextualSpacing/>
        <w:rPr/>
      </w:pPr>
      <w:r>
        <w:rPr>
          <w:sz w:val="24"/>
          <w:szCs w:val="24"/>
        </w:rPr>
        <w:t xml:space="preserve">(2015) </w:t>
      </w:r>
      <w:hyperlink r:id="rId21">
        <w:r>
          <w:rPr>
            <w:rStyle w:val="InternetLink"/>
            <w:color w:val="auto"/>
            <w:sz w:val="24"/>
            <w:szCs w:val="24"/>
            <w:highlight w:val="white"/>
            <w:u w:val="none"/>
          </w:rPr>
          <w:t xml:space="preserve">Mateus </w:t>
        </w:r>
      </w:hyperlink>
      <w:hyperlink r:id="rId22">
        <w:r>
          <w:rPr>
            <w:rStyle w:val="InternetLink"/>
            <w:b/>
            <w:color w:val="auto"/>
            <w:sz w:val="24"/>
            <w:szCs w:val="24"/>
            <w:highlight w:val="white"/>
            <w:u w:val="none"/>
          </w:rPr>
          <w:t>Araújo</w:t>
        </w:r>
      </w:hyperlink>
      <w:r>
        <w:rPr>
          <w:sz w:val="24"/>
          <w:szCs w:val="24"/>
          <w:highlight w:val="white"/>
        </w:rPr>
        <w:t>, </w:t>
      </w:r>
      <w:hyperlink r:id="rId23">
        <w:r>
          <w:rPr>
            <w:rStyle w:val="InternetLink"/>
            <w:color w:val="auto"/>
            <w:sz w:val="24"/>
            <w:szCs w:val="24"/>
            <w:highlight w:val="white"/>
            <w:u w:val="none"/>
          </w:rPr>
          <w:t>Cyril Branciard</w:t>
        </w:r>
      </w:hyperlink>
      <w:r>
        <w:rPr>
          <w:sz w:val="24"/>
          <w:szCs w:val="24"/>
          <w:highlight w:val="white"/>
        </w:rPr>
        <w:t>, </w:t>
      </w:r>
      <w:hyperlink r:id="rId24">
        <w:r>
          <w:rPr>
            <w:rStyle w:val="InternetLink"/>
            <w:color w:val="auto"/>
            <w:sz w:val="24"/>
            <w:szCs w:val="24"/>
            <w:highlight w:val="white"/>
            <w:u w:val="none"/>
          </w:rPr>
          <w:t xml:space="preserve">Fabio </w:t>
        </w:r>
      </w:hyperlink>
      <w:hyperlink r:id="rId25">
        <w:r>
          <w:rPr>
            <w:rStyle w:val="InternetLink"/>
            <w:b/>
            <w:color w:val="auto"/>
            <w:sz w:val="24"/>
            <w:szCs w:val="24"/>
            <w:highlight w:val="white"/>
            <w:u w:val="none"/>
          </w:rPr>
          <w:t>Costa</w:t>
        </w:r>
      </w:hyperlink>
      <w:r>
        <w:rPr>
          <w:sz w:val="24"/>
          <w:szCs w:val="24"/>
          <w:highlight w:val="white"/>
        </w:rPr>
        <w:t>, </w:t>
      </w:r>
      <w:hyperlink r:id="rId26">
        <w:r>
          <w:rPr>
            <w:rStyle w:val="InternetLink"/>
            <w:color w:val="auto"/>
            <w:sz w:val="24"/>
            <w:szCs w:val="24"/>
            <w:highlight w:val="white"/>
            <w:u w:val="none"/>
          </w:rPr>
          <w:t>Adrien Feix</w:t>
        </w:r>
      </w:hyperlink>
      <w:r>
        <w:rPr>
          <w:sz w:val="24"/>
          <w:szCs w:val="24"/>
          <w:highlight w:val="white"/>
        </w:rPr>
        <w:t>, </w:t>
      </w:r>
      <w:hyperlink r:id="rId27">
        <w:r>
          <w:rPr>
            <w:rStyle w:val="InternetLink"/>
            <w:color w:val="auto"/>
            <w:sz w:val="24"/>
            <w:szCs w:val="24"/>
            <w:highlight w:val="white"/>
            <w:u w:val="none"/>
          </w:rPr>
          <w:t>Christina Giarmatzi</w:t>
        </w:r>
      </w:hyperlink>
      <w:r>
        <w:rPr>
          <w:sz w:val="24"/>
          <w:szCs w:val="24"/>
          <w:highlight w:val="white"/>
        </w:rPr>
        <w:t>, </w:t>
      </w:r>
      <w:hyperlink r:id="rId28">
        <w:r>
          <w:rPr>
            <w:rStyle w:val="InternetLink"/>
            <w:color w:val="auto"/>
            <w:sz w:val="24"/>
            <w:szCs w:val="24"/>
            <w:highlight w:val="white"/>
            <w:u w:val="none"/>
          </w:rPr>
          <w:t xml:space="preserve">Časlav </w:t>
        </w:r>
      </w:hyperlink>
      <w:hyperlink r:id="rId29">
        <w:r>
          <w:rPr>
            <w:rStyle w:val="InternetLink"/>
            <w:b/>
            <w:color w:val="auto"/>
            <w:sz w:val="24"/>
            <w:szCs w:val="24"/>
            <w:highlight w:val="white"/>
            <w:u w:val="none"/>
          </w:rPr>
          <w:t>Brukner</w:t>
        </w:r>
      </w:hyperlink>
      <w:r>
        <w:rPr>
          <w:sz w:val="24"/>
          <w:szCs w:val="24"/>
        </w:rPr>
        <w:t xml:space="preserve">, </w:t>
      </w:r>
      <w:r>
        <w:rPr>
          <w:i/>
          <w:sz w:val="24"/>
          <w:szCs w:val="24"/>
        </w:rPr>
        <w:t>Witnessing causal nonseparability</w:t>
      </w:r>
      <w:r>
        <w:rPr>
          <w:sz w:val="24"/>
          <w:szCs w:val="24"/>
        </w:rPr>
        <w:t xml:space="preserve">, at </w:t>
      </w:r>
      <w:hyperlink r:id="rId30">
        <w:r>
          <w:rPr>
            <w:rStyle w:val="InternetLink"/>
            <w:color w:val="auto"/>
            <w:sz w:val="24"/>
            <w:szCs w:val="24"/>
            <w:u w:val="none"/>
          </w:rPr>
          <w:t>https://arxiv.org/abs/1506.03776v2</w:t>
        </w:r>
      </w:hyperlink>
    </w:p>
    <w:p>
      <w:pPr>
        <w:pStyle w:val="ListParagraph"/>
        <w:numPr>
          <w:ilvl w:val="0"/>
          <w:numId w:val="8"/>
        </w:numPr>
        <w:spacing w:before="0" w:after="0"/>
        <w:ind w:left="0" w:right="0" w:hanging="360"/>
        <w:contextualSpacing/>
        <w:rPr/>
      </w:pPr>
      <w:r>
        <w:rPr>
          <w:sz w:val="24"/>
          <w:szCs w:val="24"/>
        </w:rPr>
        <w:t xml:space="preserve">(2008 + 2013) Giulio </w:t>
      </w:r>
      <w:r>
        <w:rPr>
          <w:b/>
          <w:sz w:val="24"/>
          <w:szCs w:val="24"/>
        </w:rPr>
        <w:t>Chiribella</w:t>
      </w:r>
      <w:r>
        <w:rPr>
          <w:sz w:val="24"/>
          <w:szCs w:val="24"/>
        </w:rPr>
        <w:t>,</w:t>
      </w:r>
      <w:r>
        <w:rPr>
          <w:rFonts w:cs="Cambria Math" w:ascii="Cambria Math" w:hAnsi="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eastAsia="CMR10" w:cs="CMR10" w:ascii="CMR10" w:hAnsi="CMR10"/>
          <w:sz w:val="24"/>
          <w:szCs w:val="24"/>
        </w:rPr>
        <w:t xml:space="preserve">Giulio </w:t>
      </w:r>
      <w:r>
        <w:rPr>
          <w:rFonts w:eastAsia="CMR10" w:cs="CMR10" w:ascii="CMR10" w:hAnsi="CMR10"/>
          <w:b/>
          <w:sz w:val="24"/>
          <w:szCs w:val="24"/>
        </w:rPr>
        <w:t>Chiribella</w:t>
      </w:r>
      <w:r>
        <w:rPr>
          <w:rFonts w:eastAsia="CMR10" w:cs="CMR10" w:ascii="CMR10" w:hAnsi="CMR10"/>
          <w:sz w:val="24"/>
          <w:szCs w:val="24"/>
        </w:rPr>
        <w:t>,</w:t>
      </w:r>
      <w:r>
        <w:rPr>
          <w:rFonts w:cs="CMR7" w:ascii="CMR7" w:hAnsi="CMR7"/>
          <w:sz w:val="24"/>
          <w:szCs w:val="24"/>
        </w:rPr>
        <w:t xml:space="preserve">1, </w:t>
      </w:r>
      <w:r>
        <w:rPr>
          <w:rFonts w:eastAsia="MS Gothic" w:cs="MS Gothic" w:ascii="MS Gothic" w:hAnsi="MS Gothic"/>
          <w:sz w:val="24"/>
          <w:szCs w:val="24"/>
        </w:rPr>
        <w:t>∗</w:t>
      </w:r>
      <w:r>
        <w:rPr>
          <w:rFonts w:eastAsia="CMSY7" w:cs="CMSY7" w:ascii="CMSY7" w:hAnsi="CMSY7"/>
          <w:sz w:val="24"/>
          <w:szCs w:val="24"/>
        </w:rPr>
        <w:t xml:space="preserve"> </w:t>
      </w:r>
      <w:r>
        <w:rPr>
          <w:rFonts w:eastAsia="CMR10" w:cs="CMR10" w:ascii="CMR10" w:hAnsi="CMR10"/>
          <w:sz w:val="24"/>
          <w:szCs w:val="24"/>
        </w:rPr>
        <w:t>Giacomo Mauro D’Ariano,</w:t>
      </w:r>
      <w:r>
        <w:rPr>
          <w:rFonts w:cs="CMR7" w:ascii="CMR7" w:hAnsi="CMR7"/>
          <w:sz w:val="24"/>
          <w:szCs w:val="24"/>
        </w:rPr>
        <w:t xml:space="preserve">2, </w:t>
      </w:r>
      <w:r>
        <w:rPr>
          <w:rFonts w:eastAsia="CMSY7" w:cs="CMSY7" w:ascii="CMSY7" w:hAnsi="CMSY7"/>
          <w:sz w:val="24"/>
          <w:szCs w:val="24"/>
        </w:rPr>
        <w:t xml:space="preserve">† </w:t>
      </w:r>
      <w:r>
        <w:rPr>
          <w:rFonts w:eastAsia="CMR10" w:cs="CMR10" w:ascii="CMR10" w:hAnsi="CMR10"/>
          <w:sz w:val="24"/>
          <w:szCs w:val="24"/>
        </w:rPr>
        <w:t>Paolo Perinotti,</w:t>
      </w:r>
      <w:r>
        <w:rPr>
          <w:rFonts w:cs="CMR7" w:ascii="CMR7" w:hAnsi="CMR7"/>
          <w:sz w:val="24"/>
          <w:szCs w:val="24"/>
        </w:rPr>
        <w:t xml:space="preserve">2, </w:t>
      </w:r>
      <w:r>
        <w:rPr>
          <w:rFonts w:eastAsia="CMSY7" w:cs="CMSY7" w:ascii="CMSY7" w:hAnsi="CMSY7"/>
          <w:sz w:val="24"/>
          <w:szCs w:val="24"/>
        </w:rPr>
        <w:t xml:space="preserve">‡ </w:t>
      </w:r>
      <w:r>
        <w:rPr>
          <w:rFonts w:eastAsia="CMR10" w:cs="CMR10" w:ascii="CMR10" w:hAnsi="CMR10"/>
          <w:sz w:val="24"/>
          <w:szCs w:val="24"/>
        </w:rPr>
        <w:t>and Benoit Valiron</w:t>
      </w:r>
      <w:r>
        <w:rPr>
          <w:rFonts w:cs="CMR7" w:ascii="CMR7" w:hAnsi="CMR7"/>
          <w:sz w:val="24"/>
          <w:szCs w:val="24"/>
        </w:rPr>
        <w:t xml:space="preserve">3, </w:t>
      </w:r>
      <w:r>
        <w:rPr>
          <w:rFonts w:eastAsia="CMSY7" w:cs="CMSY7" w:ascii="CMSY7" w:hAnsi="CMSY7"/>
          <w:sz w:val="24"/>
          <w:szCs w:val="24"/>
        </w:rPr>
        <w:t xml:space="preserve">§ </w:t>
      </w:r>
      <w:r>
        <w:rPr>
          <w:rFonts w:cs="CMBX12" w:ascii="CMBX12" w:hAnsi="CMBX12"/>
          <w:sz w:val="24"/>
          <w:szCs w:val="24"/>
        </w:rPr>
        <w:t xml:space="preserve">(2013), Quantum computations without definite causal structure, at </w:t>
      </w:r>
      <w:hyperlink r:id="rId31">
        <w:r>
          <w:rPr>
            <w:rStyle w:val="InternetLink"/>
            <w:rFonts w:cs="CMBX12" w:ascii="CMBX12" w:hAnsi="CMBX12"/>
            <w:kern w:val="0"/>
            <w:sz w:val="24"/>
            <w:szCs w:val="24"/>
          </w:rPr>
          <w:t>https://arxiv.org/abs/0912.0195v4</w:t>
        </w:r>
      </w:hyperlink>
    </w:p>
    <w:p>
      <w:pPr>
        <w:pStyle w:val="ListParagraph"/>
        <w:numPr>
          <w:ilvl w:val="0"/>
          <w:numId w:val="8"/>
        </w:numPr>
        <w:spacing w:before="0" w:after="0"/>
        <w:ind w:left="0" w:right="0" w:hanging="360"/>
        <w:contextualSpacing/>
        <w:rPr/>
      </w:pPr>
      <w:r>
        <w:rPr>
          <w:rFonts w:cs="NimbusRomNo9L-Medi" w:ascii="NimbusRomNo9L-Medi" w:hAnsi="NimbusRomNo9L-Medi"/>
          <w:sz w:val="24"/>
          <w:szCs w:val="24"/>
        </w:rPr>
        <w:t xml:space="preserve">(2013) </w:t>
      </w:r>
      <w:r>
        <w:rPr>
          <w:rFonts w:cs="NimbusRomNo9L-Regu" w:ascii="NimbusRomNo9L-Regu" w:hAnsi="NimbusRomNo9L-Regu"/>
          <w:sz w:val="24"/>
          <w:szCs w:val="24"/>
        </w:rPr>
        <w:t xml:space="preserve">Ognyan </w:t>
      </w:r>
      <w:r>
        <w:rPr>
          <w:rFonts w:cs="NimbusRomNo9L-Regu" w:ascii="NimbusRomNo9L-Regu" w:hAnsi="NimbusRomNo9L-Regu"/>
          <w:b/>
          <w:sz w:val="24"/>
          <w:szCs w:val="24"/>
        </w:rPr>
        <w:t>Oreshkov1</w:t>
      </w:r>
      <w:r>
        <w:rPr>
          <w:rFonts w:cs="rtxmi" w:ascii="rtxmi" w:hAnsi="rtxmi"/>
          <w:sz w:val="24"/>
          <w:szCs w:val="24"/>
        </w:rPr>
        <w:t>;</w:t>
      </w:r>
      <w:r>
        <w:rPr>
          <w:rFonts w:cs="NimbusRomNo9L-Regu" w:ascii="NimbusRomNo9L-Regu" w:hAnsi="NimbusRomNo9L-Regu"/>
          <w:sz w:val="24"/>
          <w:szCs w:val="24"/>
        </w:rPr>
        <w:t xml:space="preserve">2, Fabio </w:t>
      </w:r>
      <w:r>
        <w:rPr>
          <w:rFonts w:cs="NimbusRomNo9L-Regu" w:ascii="NimbusRomNo9L-Regu" w:hAnsi="NimbusRomNo9L-Regu"/>
          <w:b/>
          <w:sz w:val="24"/>
          <w:szCs w:val="24"/>
        </w:rPr>
        <w:t>Costa1</w:t>
      </w:r>
      <w:r>
        <w:rPr>
          <w:rFonts w:cs="NimbusRomNo9L-Regu" w:ascii="NimbusRomNo9L-Regu" w:hAnsi="NimbusRomNo9L-Regu"/>
          <w:sz w:val="24"/>
          <w:szCs w:val="24"/>
        </w:rPr>
        <w:t xml:space="preserve">, Cˇ aslav </w:t>
      </w:r>
      <w:r>
        <w:rPr>
          <w:rFonts w:cs="NimbusRomNo9L-Regu" w:ascii="NimbusRomNo9L-Regu" w:hAnsi="NimbusRomNo9L-Regu"/>
          <w:b/>
          <w:sz w:val="24"/>
          <w:szCs w:val="24"/>
        </w:rPr>
        <w:t>Brukner1</w:t>
      </w:r>
      <w:r>
        <w:rPr>
          <w:rFonts w:cs="rtxmi" w:ascii="rtxmi" w:hAnsi="rtxmi"/>
          <w:sz w:val="24"/>
          <w:szCs w:val="24"/>
        </w:rPr>
        <w:t>;</w:t>
      </w:r>
      <w:r>
        <w:rPr>
          <w:rFonts w:cs="NimbusRomNo9L-Regu" w:ascii="NimbusRomNo9L-Regu" w:hAnsi="NimbusRomNo9L-Regu"/>
          <w:sz w:val="24"/>
          <w:szCs w:val="24"/>
        </w:rPr>
        <w:t xml:space="preserve">3, </w:t>
      </w:r>
      <w:r>
        <w:rPr>
          <w:rFonts w:cs="NimbusRomNo9L-Medi" w:ascii="NimbusRomNo9L-Medi" w:hAnsi="NimbusRomNo9L-Medi"/>
          <w:sz w:val="24"/>
          <w:szCs w:val="24"/>
        </w:rPr>
        <w:t>Quantum correlations with no causal order</w:t>
      </w:r>
      <w:r>
        <w:rPr>
          <w:rFonts w:cs="txsy" w:ascii="txsy" w:hAnsi="txsy"/>
          <w:sz w:val="24"/>
          <w:szCs w:val="24"/>
        </w:rPr>
        <w:t xml:space="preserve">, at </w:t>
      </w:r>
      <w:r>
        <w:rPr>
          <w:sz w:val="24"/>
          <w:szCs w:val="24"/>
        </w:rPr>
        <w:t>arXiv:1105.4464v3 [quant-ph] 14 Feb 2013</w:t>
      </w:r>
    </w:p>
    <w:p>
      <w:pPr>
        <w:pStyle w:val="ListParagraph"/>
        <w:numPr>
          <w:ilvl w:val="0"/>
          <w:numId w:val="8"/>
        </w:numPr>
        <w:spacing w:before="0" w:after="0"/>
        <w:ind w:left="0" w:right="0" w:hanging="360"/>
        <w:contextualSpacing/>
        <w:rPr/>
      </w:pPr>
      <w:r>
        <w:rPr>
          <w:rFonts w:eastAsia="Calibri" w:cs="Arial" w:ascii="Arial" w:hAnsi="Arial"/>
          <w:sz w:val="24"/>
          <w:szCs w:val="24"/>
        </w:rPr>
        <w:t xml:space="preserve">(2018) Marcus </w:t>
      </w:r>
      <w:r>
        <w:rPr>
          <w:rFonts w:eastAsia="Calibri" w:cs="Arial" w:ascii="Arial" w:hAnsi="Arial"/>
          <w:b/>
          <w:sz w:val="24"/>
          <w:szCs w:val="24"/>
        </w:rPr>
        <w:t>Schmieke</w:t>
      </w:r>
      <w:r>
        <w:rPr>
          <w:rFonts w:eastAsia="Calibri" w:cs="Arial" w:ascii="Arial" w:hAnsi="Arial"/>
          <w:sz w:val="24"/>
          <w:szCs w:val="24"/>
        </w:rPr>
        <w:t>, Kränzlin, 17 July 2018, “Orthogonal Complementarity Transcendental philosophical foundation of the unity of physical and psychological basic concepts”</w:t>
      </w:r>
    </w:p>
    <w:p>
      <w:pPr>
        <w:pStyle w:val="ListParagraph"/>
        <w:spacing w:before="0" w:after="0"/>
        <w:ind w:left="0" w:right="0" w:hanging="0"/>
        <w:contextualSpacing/>
        <w:rPr>
          <w:b/>
          <w:b/>
          <w:sz w:val="24"/>
          <w:szCs w:val="24"/>
        </w:rPr>
      </w:pPr>
      <w:r>
        <w:rPr>
          <w:b/>
          <w:sz w:val="24"/>
          <w:szCs w:val="24"/>
        </w:rPr>
        <w:t>April 2019</w:t>
      </w:r>
    </w:p>
    <w:p>
      <w:pPr>
        <w:pStyle w:val="Normal"/>
        <w:jc w:val="left"/>
        <w:rPr/>
      </w:pPr>
      <w:r>
        <w:rPr>
          <w:b/>
        </w:rPr>
        <w:t xml:space="preserve">These articles are in this book: </w:t>
      </w:r>
      <w:r>
        <w:rPr/>
        <w:t xml:space="preserve">Reality and its Structure - </w:t>
      </w:r>
      <w:r>
        <w:rPr>
          <w:i/>
          <w:iCs/>
        </w:rPr>
        <w:t xml:space="preserve">Essays in Fundamentality, </w:t>
      </w:r>
      <w:r>
        <w:rPr/>
        <w:t>Ricki Bliss and Graham Priest (2018), Oxford Univ Press</w:t>
      </w:r>
    </w:p>
    <w:p>
      <w:pPr>
        <w:pStyle w:val="Normal"/>
        <w:jc w:val="left"/>
        <w:rPr>
          <w:b/>
          <w:b/>
        </w:rPr>
      </w:pPr>
      <w:r>
        <w:rPr>
          <w:b/>
        </w:rPr>
      </w:r>
    </w:p>
    <w:p>
      <w:pPr>
        <w:pStyle w:val="Normal"/>
        <w:rPr/>
      </w:pPr>
      <w:r>
        <w:rPr>
          <w:i/>
          <w:iCs/>
        </w:rPr>
        <w:t xml:space="preserve">Gabriel Oak Rabin (2018) </w:t>
      </w:r>
      <w:r>
        <w:rPr>
          <w:b/>
          <w:bCs/>
        </w:rPr>
        <w:t>Grounding Orthodoxy and the Layered Conception</w:t>
      </w:r>
    </w:p>
    <w:p>
      <w:pPr>
        <w:pStyle w:val="Normal"/>
        <w:rPr/>
      </w:pPr>
      <w:r>
        <w:rPr>
          <w:i/>
          <w:iCs/>
        </w:rPr>
        <w:t xml:space="preserve">Daniel Nolan (2018) </w:t>
      </w:r>
      <w:r>
        <w:rPr>
          <w:b/>
          <w:bCs/>
        </w:rPr>
        <w:t>Cosmic Loops</w:t>
      </w:r>
    </w:p>
    <w:p>
      <w:pPr>
        <w:pStyle w:val="Normal"/>
        <w:rPr/>
      </w:pPr>
      <w:r>
        <w:rPr>
          <w:i/>
          <w:iCs/>
        </w:rPr>
        <w:t xml:space="preserve">Naomi Thompson (2018) </w:t>
      </w:r>
      <w:r>
        <w:rPr>
          <w:b/>
          <w:bCs/>
        </w:rPr>
        <w:t>Metaphysical Interdependence, Epistemic Coherentism, and</w:t>
      </w:r>
    </w:p>
    <w:p>
      <w:pPr>
        <w:pStyle w:val="Normal"/>
        <w:rPr/>
      </w:pPr>
      <w:r>
        <w:rPr>
          <w:i/>
          <w:iCs/>
        </w:rPr>
        <w:t xml:space="preserve">Tuomas E. Tahko (2018) </w:t>
      </w:r>
      <w:r>
        <w:rPr>
          <w:b/>
          <w:bCs/>
        </w:rPr>
        <w:t>Holistic Explanation Fundamentality and Ontological Minimality</w:t>
      </w:r>
    </w:p>
    <w:p>
      <w:pPr>
        <w:pStyle w:val="Normal"/>
        <w:rPr/>
      </w:pPr>
      <w:r>
        <w:rPr>
          <w:i/>
          <w:iCs/>
        </w:rPr>
        <w:t xml:space="preserve">Matteo Morganti (2018) </w:t>
      </w:r>
      <w:r>
        <w:rPr>
          <w:b/>
          <w:bCs/>
        </w:rPr>
        <w:t>The Structure of Physical Reality Beyond Foundationalism</w:t>
      </w:r>
    </w:p>
    <w:p>
      <w:pPr>
        <w:pStyle w:val="Normal"/>
        <w:rPr/>
      </w:pPr>
      <w:r>
        <w:rPr>
          <w:i/>
          <w:iCs/>
        </w:rPr>
        <w:t xml:space="preserve">Nathan Wildman (2018) </w:t>
      </w:r>
      <w:r>
        <w:rPr>
          <w:b/>
          <w:bCs/>
        </w:rPr>
        <w:t>On Shaky Ground? Exploring the Contingent Fundamentality Thesis</w:t>
      </w:r>
      <w:bookmarkStart w:id="0" w:name="_Hlk6579851"/>
      <w:bookmarkEnd w:id="0"/>
    </w:p>
    <w:p>
      <w:pPr>
        <w:pStyle w:val="Normal"/>
        <w:jc w:val="left"/>
        <w:rPr>
          <w:b/>
          <w:b/>
          <w:bCs/>
        </w:rPr>
      </w:pPr>
      <w:r>
        <w:rPr>
          <w:b/>
          <w:bCs/>
        </w:rPr>
      </w:r>
    </w:p>
    <w:p>
      <w:pPr>
        <w:pStyle w:val="Normal"/>
        <w:jc w:val="left"/>
        <w:rPr>
          <w:b/>
          <w:b/>
          <w:bCs/>
        </w:rPr>
      </w:pPr>
      <w:r>
        <w:rPr>
          <w:b/>
          <w:bCs/>
        </w:rPr>
      </w:r>
    </w:p>
    <w:p>
      <w:pPr>
        <w:pStyle w:val="Normal"/>
        <w:spacing w:before="0" w:after="0"/>
        <w:contextualSpacing/>
        <w:jc w:val="left"/>
        <w:rPr>
          <w:rFonts w:ascii="CMBX12" w:hAnsi="CMBX12" w:eastAsia="Calibri" w:cs="CMBX12"/>
          <w:b/>
          <w:b/>
        </w:rPr>
      </w:pPr>
      <w:r>
        <w:rPr>
          <w:rFonts w:eastAsia="Calibri" w:cs="CMBX12" w:ascii="CMBX12" w:hAnsi="CMBX12"/>
          <w:b/>
        </w:rPr>
        <w:t>April 2019</w:t>
      </w:r>
    </w:p>
    <w:p>
      <w:pPr>
        <w:pStyle w:val="Normal"/>
        <w:spacing w:before="0" w:after="0"/>
        <w:contextualSpacing/>
        <w:jc w:val="left"/>
        <w:rPr/>
      </w:pPr>
      <w:r>
        <w:rPr>
          <w:rFonts w:eastAsia="Calibri" w:cs="CMBX12" w:ascii="CMBX12" w:hAnsi="CMBX12"/>
          <w:b/>
        </w:rPr>
        <w:t xml:space="preserve">(2015) </w:t>
      </w:r>
      <w:r>
        <w:rPr>
          <w:rFonts w:eastAsia="CMR10" w:cs="CMR10" w:ascii="CMR10" w:hAnsi="CMR10"/>
          <w:b/>
        </w:rPr>
        <w:t>M. Ringbauer</w:t>
      </w:r>
      <w:r>
        <w:rPr>
          <w:rFonts w:eastAsia="Calibri" w:cs="CMR7" w:ascii="CMR7" w:hAnsi="CMR7"/>
          <w:b/>
        </w:rPr>
        <w:t>1</w:t>
      </w:r>
      <w:r>
        <w:rPr>
          <w:rFonts w:eastAsia="Calibri" w:cs="CMMI7" w:ascii="CMMI7" w:hAnsi="CMMI7"/>
          <w:b/>
        </w:rPr>
        <w:t>;</w:t>
      </w:r>
      <w:r>
        <w:rPr>
          <w:rFonts w:eastAsia="Calibri" w:cs="CMR7" w:ascii="CMR7" w:hAnsi="CMR7"/>
          <w:b/>
        </w:rPr>
        <w:t>2</w:t>
      </w:r>
      <w:r>
        <w:rPr>
          <w:rFonts w:eastAsia="CMR10" w:cs="CMR10" w:ascii="CMR10" w:hAnsi="CMR10"/>
          <w:b/>
        </w:rPr>
        <w:t>, B. Du_us</w:t>
      </w:r>
      <w:r>
        <w:rPr>
          <w:rFonts w:eastAsia="Calibri" w:cs="CMR7" w:ascii="CMR7" w:hAnsi="CMR7"/>
          <w:b/>
        </w:rPr>
        <w:t>1</w:t>
      </w:r>
      <w:r>
        <w:rPr>
          <w:rFonts w:eastAsia="Calibri" w:cs="CMMI7" w:ascii="CMMI7" w:hAnsi="CMMI7"/>
          <w:b/>
        </w:rPr>
        <w:t>;</w:t>
      </w:r>
      <w:r>
        <w:rPr>
          <w:rFonts w:eastAsia="Calibri" w:cs="CMR7" w:ascii="CMR7" w:hAnsi="CMR7"/>
          <w:b/>
        </w:rPr>
        <w:t>2</w:t>
      </w:r>
      <w:r>
        <w:rPr>
          <w:rFonts w:eastAsia="CMR10" w:cs="CMR10" w:ascii="CMR10" w:hAnsi="CMR10"/>
          <w:b/>
        </w:rPr>
        <w:t>, C. Branciard</w:t>
      </w:r>
      <w:r>
        <w:rPr>
          <w:rFonts w:eastAsia="Calibri" w:cs="CMR7" w:ascii="CMR7" w:hAnsi="CMR7"/>
          <w:b/>
        </w:rPr>
        <w:t>1</w:t>
      </w:r>
      <w:r>
        <w:rPr>
          <w:rFonts w:eastAsia="Calibri" w:cs="CMMI7" w:ascii="CMMI7" w:hAnsi="CMMI7"/>
          <w:b/>
        </w:rPr>
        <w:t>;</w:t>
      </w:r>
      <w:r>
        <w:rPr>
          <w:rFonts w:eastAsia="Calibri" w:cs="CMR7" w:ascii="CMR7" w:hAnsi="CMR7"/>
          <w:b/>
        </w:rPr>
        <w:t>3</w:t>
      </w:r>
      <w:r>
        <w:rPr>
          <w:rFonts w:eastAsia="CMR10" w:cs="CMR10" w:ascii="CMR10" w:hAnsi="CMR10"/>
          <w:b/>
        </w:rPr>
        <w:t>, E. G. Cavalcanti</w:t>
      </w:r>
      <w:r>
        <w:rPr>
          <w:rFonts w:eastAsia="Calibri" w:cs="CMR7" w:ascii="CMR7" w:hAnsi="CMR7"/>
          <w:b/>
        </w:rPr>
        <w:t>4</w:t>
      </w:r>
      <w:r>
        <w:rPr>
          <w:rFonts w:eastAsia="CMR10" w:cs="CMR10" w:ascii="CMR10" w:hAnsi="CMR10"/>
          <w:b/>
        </w:rPr>
        <w:t>, A. G. White</w:t>
      </w:r>
      <w:r>
        <w:rPr>
          <w:rFonts w:eastAsia="Calibri" w:cs="CMR7" w:ascii="CMR7" w:hAnsi="CMR7"/>
          <w:b/>
        </w:rPr>
        <w:t>1</w:t>
      </w:r>
      <w:r>
        <w:rPr>
          <w:rFonts w:eastAsia="Calibri" w:cs="CMMI7" w:ascii="CMMI7" w:hAnsi="CMMI7"/>
          <w:b/>
        </w:rPr>
        <w:t>;</w:t>
      </w:r>
      <w:r>
        <w:rPr>
          <w:rFonts w:eastAsia="Calibri" w:cs="CMR7" w:ascii="CMR7" w:hAnsi="CMR7"/>
          <w:b/>
        </w:rPr>
        <w:t xml:space="preserve">2 </w:t>
      </w:r>
      <w:r>
        <w:rPr>
          <w:rFonts w:eastAsia="CMR10" w:cs="CMR10" w:ascii="CMR10" w:hAnsi="CMR10"/>
          <w:b/>
        </w:rPr>
        <w:t xml:space="preserve">&amp; A. Fedrizzi: </w:t>
      </w:r>
      <w:r>
        <w:rPr>
          <w:rFonts w:eastAsia="Calibri" w:cs="CMBX12" w:ascii="CMBX12" w:hAnsi="CMBX12"/>
          <w:b/>
        </w:rPr>
        <w:t>“</w:t>
      </w:r>
      <w:r>
        <w:rPr>
          <w:rFonts w:eastAsia="Calibri" w:cs="CMBX12" w:ascii="CMBX12" w:hAnsi="CMBX12"/>
          <w:bCs/>
          <w:i/>
          <w:iCs/>
        </w:rPr>
        <w:t>Measurements on the reality of the wavefunction” at</w:t>
      </w:r>
      <w:r>
        <w:rPr>
          <w:rFonts w:eastAsia="Calibri" w:cs="CMBX12" w:ascii="CMBX12" w:hAnsi="CMBX12"/>
          <w:b/>
        </w:rPr>
        <w:t xml:space="preserve"> </w:t>
      </w:r>
      <w:r>
        <w:rPr>
          <w:rFonts w:eastAsia="Calibri"/>
          <w:b/>
          <w:color w:val="808080"/>
        </w:rPr>
        <w:t>arXiv:1412.6213v2 [quant-ph] 20 Jan 2015</w:t>
      </w:r>
    </w:p>
    <w:p>
      <w:pPr>
        <w:pStyle w:val="Normal"/>
        <w:rPr>
          <w:i/>
          <w:i/>
          <w:iCs/>
        </w:rPr>
      </w:pPr>
      <w:r>
        <w:rPr>
          <w:i/>
          <w:iCs/>
        </w:rPr>
      </w:r>
    </w:p>
    <w:p>
      <w:pPr>
        <w:pStyle w:val="Normal"/>
        <w:rPr>
          <w:b/>
          <w:b/>
          <w:bCs/>
        </w:rPr>
      </w:pPr>
      <w:r>
        <w:rPr>
          <w:b/>
          <w:bCs/>
        </w:rPr>
        <w:t>June 2019</w:t>
      </w:r>
    </w:p>
    <w:p>
      <w:pPr>
        <w:pStyle w:val="Normal"/>
        <w:jc w:val="left"/>
        <w:rPr/>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pStyle w:val="Normal"/>
        <w:spacing w:before="0" w:after="0"/>
        <w:contextualSpacing/>
        <w:rPr>
          <w:rFonts w:eastAsia="Calibri"/>
        </w:rPr>
      </w:pPr>
      <w:r>
        <w:rPr>
          <w:rFonts w:eastAsia="Calibri"/>
        </w:rPr>
      </w:r>
    </w:p>
    <w:p>
      <w:pPr>
        <w:pStyle w:val="Normal"/>
        <w:rPr/>
      </w:pPr>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pStyle w:val="Normal"/>
        <w:rPr>
          <w:rFonts w:eastAsia="Calibri"/>
        </w:rPr>
      </w:pPr>
      <w:r>
        <w:rPr>
          <w:rFonts w:eastAsia="Calibri"/>
        </w:rPr>
        <w:t>University of Minnesota Press, 2012), 1–34</w:t>
      </w:r>
    </w:p>
    <w:p>
      <w:pPr>
        <w:pStyle w:val="Normal"/>
        <w:jc w:val="left"/>
        <w:rPr/>
      </w:pPr>
      <w:r>
        <w:rPr>
          <w:rFonts w:eastAsia="Calibri"/>
        </w:rPr>
        <w:t>“</w:t>
      </w:r>
      <w:r>
        <w:rPr>
          <w:rFonts w:eastAsia="Calibri"/>
        </w:rPr>
        <w:t xml:space="preserve">Ian Bogost thinks objects as units”: </w:t>
      </w:r>
      <w:r>
        <w:rPr>
          <w:rFonts w:eastAsia="Calibri"/>
          <w:i/>
          <w:iCs/>
        </w:rPr>
        <w:t>Unit Operations: An Approach to Videogame</w:t>
      </w:r>
    </w:p>
    <w:p>
      <w:pPr>
        <w:pStyle w:val="Normal"/>
        <w:rPr/>
      </w:pPr>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pStyle w:val="Normal"/>
        <w:spacing w:before="0" w:after="0"/>
        <w:contextualSpacing/>
        <w:rPr/>
      </w:pPr>
      <w:r>
        <w:rPr/>
      </w:r>
      <w:bookmarkStart w:id="1" w:name="_Hlk536106342"/>
      <w:bookmarkStart w:id="2" w:name="_Hlk536199243"/>
      <w:bookmarkStart w:id="3" w:name="_Hlk536106342"/>
      <w:bookmarkStart w:id="4" w:name="_Hlk536199243"/>
      <w:bookmarkEnd w:id="3"/>
      <w:bookmarkEnd w:id="4"/>
    </w:p>
    <w:p>
      <w:pPr>
        <w:pStyle w:val="Normal"/>
        <w:spacing w:before="0" w:after="0"/>
        <w:contextualSpacing/>
        <w:rPr>
          <w:lang w:val="en-US"/>
        </w:rPr>
      </w:pPr>
      <w:r>
        <w:rPr>
          <w:b/>
          <w:bCs/>
          <w:lang w:val="en-US"/>
        </w:rPr>
        <w:t>2020</w:t>
      </w:r>
    </w:p>
    <w:p>
      <w:pPr>
        <w:pStyle w:val="Normal"/>
        <w:keepNext w:val="false"/>
        <w:keepLines w:val="false"/>
        <w:widowControl/>
        <w:jc w:val="left"/>
        <w:rPr>
          <w:rFonts w:ascii="AdvPTimes" w:hAnsi="AdvPTimes" w:eastAsia="AdvPTimes" w:cs="AdvPTimes"/>
          <w:color w:val="000000"/>
          <w:kern w:val="0"/>
          <w:sz w:val="15"/>
          <w:szCs w:val="15"/>
          <w:lang w:val="en-US" w:eastAsia="zh-CN" w:bidi="ar"/>
        </w:rPr>
      </w:pPr>
      <w:r>
        <w:rPr>
          <w:rFonts w:eastAsia="AdvPTimes" w:cs="AdvPTimes" w:ascii="AdvPTimes" w:hAnsi="AdvPTimes"/>
          <w:color w:val="000000"/>
          <w:kern w:val="0"/>
          <w:sz w:val="15"/>
          <w:szCs w:val="15"/>
          <w:lang w:val="en-US" w:eastAsia="zh-CN" w:bidi="ar"/>
        </w:rPr>
      </w:r>
    </w:p>
    <w:p>
      <w:pPr>
        <w:pStyle w:val="Normal"/>
        <w:keepNext w:val="false"/>
        <w:keepLines w:val="false"/>
        <w:widowControl/>
        <w:jc w:val="left"/>
        <w:rPr>
          <w:rFonts w:ascii="Times New Roman" w:hAnsi="Times New Roman" w:cs="Times New Roman"/>
          <w:sz w:val="24"/>
          <w:szCs w:val="24"/>
        </w:rPr>
      </w:pPr>
      <w:r>
        <w:rPr>
          <w:rFonts w:eastAsia="AdvPTimes" w:cs="Times New Roman"/>
          <w:b/>
          <w:bCs/>
          <w:color w:val="000000"/>
          <w:kern w:val="0"/>
          <w:sz w:val="24"/>
          <w:szCs w:val="24"/>
          <w:lang w:val="en-US" w:eastAsia="zh-CN" w:bidi="ar"/>
        </w:rPr>
        <w:t>Pierre Uzan</w:t>
      </w:r>
      <w:r>
        <w:rPr>
          <w:rFonts w:eastAsia="AdvPTimes" w:cs="Times New Roman"/>
          <w:color w:val="000000"/>
          <w:kern w:val="0"/>
          <w:sz w:val="24"/>
          <w:szCs w:val="24"/>
          <w:lang w:val="en-US" w:eastAsia="zh-CN" w:bidi="ar"/>
        </w:rPr>
        <w:t xml:space="preserve"> (2014) On the nature of psychophysical correlations. </w:t>
      </w:r>
      <w:r>
        <w:rPr>
          <w:rFonts w:eastAsia="AdvPTimes" w:cs="Times New Roman"/>
          <w:i/>
          <w:iCs/>
          <w:color w:val="000000"/>
          <w:kern w:val="0"/>
          <w:sz w:val="24"/>
          <w:szCs w:val="24"/>
          <w:lang w:val="en-US" w:eastAsia="zh-CN" w:bidi="ar"/>
        </w:rPr>
        <w:t>Mind Matter</w:t>
      </w:r>
      <w:r>
        <w:rPr>
          <w:rFonts w:eastAsia="AdvPTimes" w:cs="Times New Roman"/>
          <w:color w:val="000000"/>
          <w:kern w:val="0"/>
          <w:sz w:val="24"/>
          <w:szCs w:val="24"/>
          <w:lang w:val="en-US" w:eastAsia="zh-CN" w:bidi="ar"/>
        </w:rPr>
        <w:t xml:space="preserve"> 12(1):7–36 </w:t>
      </w:r>
    </w:p>
    <w:p>
      <w:pPr>
        <w:pStyle w:val="Normal"/>
        <w:keepNext w:val="false"/>
        <w:keepLines w:val="false"/>
        <w:widowControl/>
        <w:jc w:val="left"/>
        <w:rPr/>
      </w:pPr>
      <w:r>
        <w:rPr>
          <w:rFonts w:cs="Times New Roman"/>
          <w:sz w:val="24"/>
          <w:szCs w:val="24"/>
          <w:lang w:val="en-US"/>
        </w:rPr>
        <w:t xml:space="preserve">Pierre Uzan (2017) </w:t>
      </w:r>
      <w:r>
        <w:rPr>
          <w:rFonts w:eastAsia="AdvPTimesB" w:cs="Times New Roman"/>
          <w:color w:val="000000"/>
          <w:kern w:val="0"/>
          <w:sz w:val="24"/>
          <w:szCs w:val="24"/>
          <w:lang w:val="en-US" w:eastAsia="zh-CN" w:bidi="ar"/>
        </w:rPr>
        <w:t xml:space="preserve">Deciding the Mind–Body Problem Experimentally, </w:t>
      </w:r>
      <w:r>
        <w:rPr>
          <w:rFonts w:eastAsia="AdvPTimes" w:cs="Times New Roman"/>
          <w:i/>
          <w:iCs/>
          <w:color w:val="000000"/>
          <w:kern w:val="0"/>
          <w:sz w:val="24"/>
          <w:szCs w:val="24"/>
          <w:lang w:val="en-US" w:eastAsia="zh-CN" w:bidi="ar"/>
        </w:rPr>
        <w:t xml:space="preserve">Axiomathes </w:t>
      </w:r>
      <w:r>
        <w:rPr>
          <w:rFonts w:eastAsia="AdvPTimes" w:cs="Times New Roman"/>
          <w:color w:val="000000"/>
          <w:kern w:val="0"/>
          <w:sz w:val="24"/>
          <w:szCs w:val="24"/>
          <w:lang w:val="en-US" w:eastAsia="zh-CN" w:bidi="ar"/>
        </w:rPr>
        <w:t>(2017) 27:333–354</w:t>
      </w:r>
    </w:p>
    <w:p>
      <w:pPr>
        <w:pStyle w:val="Normal"/>
        <w:widowControl/>
        <w:jc w:val="left"/>
        <w:rPr>
          <w:rFonts w:ascii="Times New Roman" w:hAnsi="Times New Roman" w:eastAsia="AdvPTimes" w:cs="Times New Roman"/>
          <w:color w:val="000000"/>
          <w:kern w:val="0"/>
          <w:sz w:val="24"/>
          <w:szCs w:val="24"/>
          <w:lang w:val="en-US" w:eastAsia="zh-CN" w:bidi="ar"/>
        </w:rPr>
      </w:pPr>
      <w:r>
        <w:rPr/>
      </w:r>
    </w:p>
    <w:p>
      <w:pPr>
        <w:pStyle w:val="Normal"/>
        <w:widowControl/>
        <w:jc w:val="left"/>
        <w:rPr/>
      </w:pPr>
      <w:r>
        <w:rPr>
          <w:rFonts w:eastAsia="AdvPTimes" w:cs="Times New Roman"/>
          <w:color w:val="000000"/>
          <w:kern w:val="0"/>
          <w:sz w:val="24"/>
          <w:szCs w:val="24"/>
          <w:lang w:val="en-US" w:eastAsia="zh-CN" w:bidi="ar"/>
        </w:rPr>
        <w:t>May 2021</w:t>
      </w:r>
    </w:p>
    <w:p>
      <w:pPr>
        <w:pStyle w:val="Normal"/>
        <w:widowControl/>
        <w:jc w:val="left"/>
        <w:rPr/>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w:t>
      </w:r>
      <w:r>
        <w:rPr>
          <w:rFonts w:eastAsia="AdvPTimes" w:cs="Times New Roman"/>
          <w:color w:val="000000"/>
          <w:kern w:val="0"/>
          <w:sz w:val="24"/>
          <w:szCs w:val="24"/>
          <w:lang w:val="en-US" w:eastAsia="zh-CN" w:bidi="ar"/>
        </w:rPr>
        <w:t xml:space="preserve">Sandia National Laboratory, Ret., </w:t>
      </w:r>
      <w:r>
        <w:rPr>
          <w:rFonts w:eastAsia="AdvPTimes" w:cs="Times New Roman"/>
          <w:color w:val="000000"/>
          <w:kern w:val="0"/>
          <w:sz w:val="24"/>
          <w:szCs w:val="24"/>
          <w:lang w:val="en-US" w:eastAsia="zh-CN" w:bidi="ar"/>
        </w:rPr>
        <w:t>Ph.D) (May 2021), “Is the Photon Really a Particle?”</w:t>
      </w:r>
    </w:p>
    <w:p>
      <w:pPr>
        <w:pStyle w:val="Normal"/>
        <w:keepNext w:val="false"/>
        <w:keepLines w:val="false"/>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r>
    </w:p>
    <w:p>
      <w:pPr>
        <w:pStyle w:val="NormalWeb"/>
        <w:shd w:val="clear" w:fill="FFFFFF"/>
        <w:spacing w:before="0" w:after="0"/>
        <w:contextualSpacing/>
        <w:jc w:val="both"/>
        <w:rPr>
          <w:b/>
          <w:b/>
        </w:rPr>
      </w:pPr>
      <w:r>
        <w:rPr>
          <w:b/>
        </w:rPr>
        <w:t>[Obviously, there are other “specialists” that published UNBELIEVABLE similar ideas to my ideas but I have not discovered them yet…]</w:t>
      </w:r>
    </w:p>
    <w:p>
      <w:pPr>
        <w:pStyle w:val="NormalWeb"/>
        <w:shd w:val="clear" w:fill="FFFFFF"/>
        <w:spacing w:before="0" w:after="0"/>
        <w:contextualSpacing/>
        <w:jc w:val="both"/>
        <w:rPr>
          <w:b/>
          <w:b/>
        </w:rPr>
      </w:pPr>
      <w:r>
        <w:rPr>
          <w:b/>
        </w:rPr>
      </w:r>
    </w:p>
    <w:p>
      <w:pPr>
        <w:pStyle w:val="NormalWeb"/>
        <w:shd w:val="clear" w:fill="FFFFFF"/>
        <w:spacing w:before="0" w:after="0"/>
        <w:contextualSpacing/>
        <w:jc w:val="both"/>
        <w:rPr>
          <w:b/>
          <w:b/>
        </w:rPr>
      </w:pPr>
      <w:r>
        <w:rPr>
          <w:b/>
        </w:rPr>
      </w:r>
    </w:p>
    <w:p>
      <w:pPr>
        <w:pStyle w:val="NormalWeb"/>
        <w:shd w:val="clear" w:fill="FFFFFF"/>
        <w:spacing w:before="0" w:after="0"/>
        <w:contextualSpacing/>
        <w:jc w:val="both"/>
        <w:rPr>
          <w:b/>
          <w:b/>
        </w:rPr>
      </w:pPr>
      <w:r>
        <w:rPr>
          <w:b/>
        </w:rPr>
      </w:r>
    </w:p>
    <w:p>
      <w:pPr>
        <w:pStyle w:val="NormalWeb"/>
        <w:shd w:val="clear" w:fill="FFFFFF"/>
        <w:spacing w:before="0" w:after="0"/>
        <w:contextualSpacing/>
        <w:jc w:val="both"/>
        <w:rPr>
          <w:b/>
          <w:b/>
        </w:rPr>
      </w:pPr>
      <w:r>
        <w:rPr>
          <w:b/>
        </w:rPr>
      </w:r>
    </w:p>
    <w:p>
      <w:pPr>
        <w:pStyle w:val="NormalWeb"/>
        <w:shd w:val="clear" w:fill="FFFFFF"/>
        <w:spacing w:before="0" w:after="0"/>
        <w:contextualSpacing/>
        <w:jc w:val="both"/>
        <w:rPr>
          <w:b/>
          <w:b/>
        </w:rPr>
      </w:pPr>
      <w:r>
        <w:rPr>
          <w:b/>
        </w:rPr>
        <w:t xml:space="preserve">THE REVOLUTION: PLEASE share this document with your colleagues and friends. </w:t>
      </w:r>
    </w:p>
    <w:p>
      <w:pPr>
        <w:pStyle w:val="NormalWeb"/>
        <w:shd w:val="clear" w:fill="FFFFFF"/>
        <w:spacing w:before="0" w:after="0"/>
        <w:contextualSpacing/>
        <w:jc w:val="both"/>
        <w:rPr>
          <w:b/>
          <w:b/>
        </w:rPr>
      </w:pPr>
      <w:r>
        <w:rPr>
          <w:b/>
        </w:rPr>
        <w:t>If you want to change this ACADEMIC ENVIRONMENT, share this manuscript! PARTICIPATE TO THE REVOLUTION!!! If you are content with this academic environment, continue to sleep…</w:t>
      </w:r>
    </w:p>
    <w:p>
      <w:pPr>
        <w:pStyle w:val="NormalWeb"/>
        <w:shd w:val="clear" w:fill="FFFFFF"/>
        <w:spacing w:before="0" w:after="0"/>
        <w:contextualSpacing/>
        <w:jc w:val="both"/>
        <w:rPr>
          <w:b/>
          <w:b/>
        </w:rPr>
      </w:pPr>
      <w:r>
        <w:rPr>
          <w:b/>
        </w:rPr>
      </w:r>
    </w:p>
    <w:p>
      <w:pPr>
        <w:pStyle w:val="NormalWeb"/>
        <w:shd w:val="clear" w:fill="FFFFFF"/>
        <w:spacing w:before="0" w:after="0"/>
        <w:contextualSpacing/>
        <w:jc w:val="both"/>
        <w:rPr/>
      </w:pPr>
      <w:r>
        <w:rPr>
          <w:b w:val="false"/>
          <w:i w:val="false"/>
          <w:caps w:val="false"/>
          <w:smallCaps w:val="false"/>
          <w:color w:val="000000"/>
          <w:spacing w:val="0"/>
          <w:sz w:val="24"/>
          <w:szCs w:val="24"/>
        </w:rPr>
        <w:t xml:space="preserve">(2004-2007) Ph.D. student, </w:t>
      </w:r>
      <w:r>
        <w:rPr>
          <w:rStyle w:val="StrongEmphasis"/>
          <w:b w:val="false"/>
          <w:i w:val="false"/>
          <w:caps w:val="false"/>
          <w:smallCaps w:val="false"/>
          <w:color w:val="000000"/>
          <w:spacing w:val="0"/>
          <w:sz w:val="24"/>
          <w:szCs w:val="24"/>
        </w:rPr>
        <w:t xml:space="preserve">University of New South Wales, </w:t>
      </w:r>
      <w:r>
        <w:rPr>
          <w:b w:val="false"/>
          <w:i w:val="false"/>
          <w:caps w:val="false"/>
          <w:smallCaps w:val="false"/>
          <w:color w:val="000000"/>
          <w:spacing w:val="0"/>
          <w:sz w:val="24"/>
          <w:szCs w:val="24"/>
        </w:rPr>
        <w:t xml:space="preserve">School of Philosophy (Sydney, Australia); Title: </w:t>
      </w:r>
      <w:hyperlink r:id="rId32" w:tgtFrame="_blank">
        <w:r>
          <w:rPr>
            <w:rStyle w:val="StrongEmphasis"/>
            <w:b/>
            <w:i w:val="false"/>
            <w:caps w:val="false"/>
            <w:smallCaps w:val="false"/>
            <w:color w:val="000000"/>
            <w:spacing w:val="0"/>
            <w:sz w:val="24"/>
            <w:szCs w:val="24"/>
            <w:highlight w:val="white"/>
            <w:u w:val="single"/>
          </w:rPr>
          <w:t>Epistemologically Different Worlds</w:t>
        </w:r>
      </w:hyperlink>
      <w:r>
        <w:rPr>
          <w:b w:val="false"/>
          <w:i w:val="false"/>
          <w:caps w:val="false"/>
          <w:smallCaps w:val="false"/>
          <w:color w:val="000000"/>
          <w:spacing w:val="0"/>
          <w:sz w:val="24"/>
          <w:szCs w:val="24"/>
        </w:rPr>
        <w:t>(PDF)</w:t>
      </w:r>
      <w:r>
        <w:rPr>
          <w:rStyle w:val="Emphasis"/>
          <w:b w:val="false"/>
          <w:i/>
          <w:color w:val="000000"/>
          <w:spacing w:val="0"/>
          <w:sz w:val="24"/>
          <w:szCs w:val="24"/>
        </w:rPr>
        <w:t xml:space="preserve">; </w:t>
      </w:r>
      <w:r>
        <w:rPr>
          <w:b w:val="false"/>
          <w:i w:val="false"/>
          <w:caps w:val="false"/>
          <w:smallCaps w:val="false"/>
          <w:color w:val="000000"/>
          <w:spacing w:val="0"/>
          <w:sz w:val="24"/>
          <w:szCs w:val="24"/>
        </w:rPr>
        <w:t xml:space="preserve">EIPRS and UIPA scholarships. The thesis was submitted at Graduate Centre, UNSW on 06.09.2007 and posted on the internet on 21.09.2007 and then on 29.04.2008 at </w:t>
      </w:r>
      <w:hyperlink r:id="rId33" w:tgtFrame="_blank">
        <w:r>
          <w:rPr>
            <w:rStyle w:val="InternetLink"/>
            <w:b w:val="false"/>
            <w:i w:val="false"/>
            <w:caps w:val="false"/>
            <w:smallCaps w:val="false"/>
            <w:color w:val="000000"/>
            <w:spacing w:val="0"/>
            <w:sz w:val="24"/>
            <w:szCs w:val="24"/>
            <w:highlight w:val="white"/>
            <w:u w:val="single"/>
          </w:rPr>
          <w:t>https://www.unsworks.unsw.edu.au/primo-explore/fulldisplay?vid=UNSWORKS&amp;docid=unsworks_5143&amp;context=L</w:t>
        </w:r>
      </w:hyperlink>
      <w:r>
        <w:rPr>
          <w:b w:val="false"/>
          <w:i w:val="false"/>
          <w:caps w:val="false"/>
          <w:smallCaps w:val="false"/>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pStyle w:val="NormalWeb"/>
        <w:shd w:val="clear" w:fill="FFFFFF"/>
        <w:spacing w:before="0" w:after="0"/>
        <w:contextualSpacing/>
        <w:jc w:val="both"/>
        <w:rPr>
          <w:rFonts w:ascii="Times New Roman" w:hAnsi="Times New Roman"/>
          <w:b/>
          <w:b/>
          <w:color w:val="C9211E"/>
          <w:sz w:val="24"/>
          <w:szCs w:val="24"/>
        </w:rPr>
      </w:pPr>
      <w:r>
        <w:rPr>
          <w:b/>
          <w:color w:val="C9211E"/>
          <w:sz w:val="24"/>
          <w:szCs w:val="24"/>
        </w:rPr>
        <w:tab/>
        <w:t>The main ideas of the EDWs perspective are in Gabriel Vacariu’s PhD thesis posted online by UNSW (Asutralia) in 2007!!! I have realized the GREATEST discovery in the history of human knowledge: the EDWs! This is the reason, I have changed everything in Philosophy, Physics and Cognitive Neuroscience! This has been the main reason, so many people have published UNBELIEVABLE similar ideas to my ideas, many years I published my first works!</w:t>
      </w:r>
    </w:p>
    <w:p>
      <w:pPr>
        <w:pStyle w:val="NormalWeb"/>
        <w:shd w:val="clear" w:fill="FFFFFF"/>
        <w:spacing w:before="0" w:after="0"/>
        <w:contextualSpacing/>
        <w:jc w:val="both"/>
        <w:rPr>
          <w:rFonts w:ascii="Times New Roman" w:hAnsi="Times New Roman"/>
          <w:b/>
          <w:b/>
          <w:color w:val="C9211E"/>
          <w:sz w:val="24"/>
          <w:szCs w:val="24"/>
        </w:rPr>
      </w:pPr>
      <w:r>
        <w:rPr>
          <w:b/>
          <w:color w:val="C9211E"/>
          <w:sz w:val="24"/>
          <w:szCs w:val="24"/>
        </w:rPr>
      </w:r>
    </w:p>
    <w:p>
      <w:pPr>
        <w:pStyle w:val="LONormal"/>
        <w:jc w:val="both"/>
        <w:rPr/>
      </w:pPr>
      <w:r>
        <w:rPr>
          <w:rStyle w:val="DefaultParagraphFont"/>
          <w:rFonts w:ascii="Times New Roman" w:hAnsi="Times New Roman"/>
          <w:b/>
          <w:bCs/>
          <w:sz w:val="22"/>
          <w:szCs w:val="22"/>
        </w:rPr>
        <w:t xml:space="preserve">The wrong framework, the “Universe”/“world” replaced with the “Epistemologically Different Worlds” </w:t>
      </w:r>
    </w:p>
    <w:p>
      <w:pPr>
        <w:pStyle w:val="LONormal"/>
        <w:jc w:val="right"/>
        <w:rPr/>
      </w:pPr>
      <w:r>
        <w:rPr>
          <w:rStyle w:val="DefaultParagraphFont"/>
          <w:rFonts w:ascii="Times New Roman" w:hAnsi="Times New Roman"/>
          <w:sz w:val="22"/>
          <w:szCs w:val="22"/>
        </w:rPr>
        <w:t>“</w:t>
      </w:r>
      <w:r>
        <w:rPr>
          <w:rStyle w:val="DefaultParagraphFont"/>
          <w:rFonts w:ascii="Times New Roman" w:hAnsi="Times New Roman"/>
          <w:sz w:val="22"/>
          <w:szCs w:val="22"/>
        </w:rPr>
        <w:t>I don't care that they stole my idea . . I care that they don't have any of their own…</w:t>
        <w:br/>
        <w:t>The present is theirs; the future, for which I really worked, is mine.” (Nikola Tesla)</w:t>
      </w:r>
    </w:p>
    <w:p>
      <w:pPr>
        <w:pStyle w:val="LONormal"/>
        <w:jc w:val="right"/>
        <w:rPr>
          <w:rStyle w:val="DefaultParagraphFont"/>
          <w:rFonts w:ascii="Times New Roman" w:hAnsi="Times New Roman"/>
          <w:sz w:val="22"/>
          <w:szCs w:val="22"/>
        </w:rPr>
      </w:pPr>
      <w:r>
        <w:rPr>
          <w:rFonts w:ascii="Times New Roman" w:hAnsi="Times New Roman"/>
          <w:sz w:val="22"/>
          <w:szCs w:val="22"/>
        </w:rPr>
      </w:r>
    </w:p>
    <w:p>
      <w:pPr>
        <w:pStyle w:val="LONormal"/>
        <w:jc w:val="both"/>
        <w:rPr/>
      </w:pPr>
      <w:r>
        <w:rPr>
          <w:rStyle w:val="DefaultParagraphFont"/>
          <w:rFonts w:ascii="Times New Roman" w:hAnsi="Times New Roman"/>
          <w:sz w:val="22"/>
          <w:szCs w:val="22"/>
        </w:rPr>
        <w:t>It is about TWO Nobels prizes (Physics and Medicine-Cognitive Neuroscience):</w:t>
      </w:r>
    </w:p>
    <w:p>
      <w:pPr>
        <w:pStyle w:val="LONormal"/>
        <w:jc w:val="both"/>
        <w:rPr/>
      </w:pPr>
      <w:r>
        <w:rPr>
          <w:rStyle w:val="DefaultParagraphFont"/>
          <w:rFonts w:ascii="Times New Roman" w:hAnsi="Times New Roman"/>
          <w:sz w:val="22"/>
          <w:szCs w:val="22"/>
        </w:rPr>
        <w:t>- Discovering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pStyle w:val="LONormal"/>
        <w:jc w:val="both"/>
        <w:rPr/>
      </w:pPr>
      <w:r>
        <w:rPr>
          <w:rStyle w:val="DefaultParagraphFont"/>
          <w:rFonts w:ascii="Times New Roman" w:hAnsi="Times New Roman"/>
          <w:b w:val="false"/>
          <w:bCs/>
          <w:i w:val="false"/>
          <w:caps w:val="false"/>
          <w:smallCaps w:val="false"/>
          <w:color w:val="1C1E21"/>
          <w:spacing w:val="0"/>
          <w:sz w:val="22"/>
          <w:szCs w:val="22"/>
        </w:rPr>
        <w:t xml:space="preserve">- I posted FREE my first FIVE books (all English) at my webpage </w:t>
      </w:r>
      <w:hyperlink r:id="rId34">
        <w:r>
          <w:rPr>
            <w:rStyle w:val="DefaultParagraphFont"/>
          </w:rPr>
          <w:t>https://sites.google.com/view/gabriel-vacariu-philosophy/home</w:t>
        </w:r>
      </w:hyperlink>
      <w:r>
        <w:rPr>
          <w:rStyle w:val="DefaultParagraphFont"/>
          <w:rFonts w:ascii="Times New Roman" w:hAnsi="Times New Roman"/>
          <w:b w:val="false"/>
          <w:bCs/>
          <w:i w:val="false"/>
          <w:caps w:val="false"/>
          <w:smallCaps w:val="false"/>
          <w:strike w:val="false"/>
          <w:dstrike w:val="false"/>
          <w:color w:val="1C1E21"/>
          <w:spacing w:val="0"/>
          <w:sz w:val="22"/>
          <w:szCs w:val="22"/>
          <w:u w:val="none"/>
        </w:rPr>
        <w:t xml:space="preserve"> </w:t>
      </w:r>
      <w:r>
        <w:rPr>
          <w:rStyle w:val="DefaultParagraphFont"/>
          <w:rFonts w:ascii="Times New Roman" w:hAnsi="Times New Roman"/>
          <w:b w:val="false"/>
          <w:bCs/>
          <w:i w:val="false"/>
          <w:caps w:val="false"/>
          <w:smallCaps w:val="false"/>
          <w:color w:val="1C1E21"/>
          <w:spacing w:val="0"/>
          <w:sz w:val="22"/>
          <w:szCs w:val="22"/>
        </w:rPr>
        <w:t xml:space="preserve">or </w:t>
      </w:r>
      <w:hyperlink r:id="rId35">
        <w:r>
          <w:rPr>
            <w:rStyle w:val="DefaultParagraphFont"/>
            <w:rFonts w:ascii="Times New Roman" w:hAnsi="Times New Roman"/>
            <w:sz w:val="22"/>
            <w:szCs w:val="22"/>
          </w:rPr>
          <w:t>http://filosofie.unibuc.ro/gabriel_vacariu/</w:t>
        </w:r>
      </w:hyperlink>
      <w:r>
        <w:rPr>
          <w:rStyle w:val="DefaultParagraphFont"/>
          <w:rFonts w:ascii="Times New Roman" w:hAnsi="Times New Roman"/>
          <w:b w:val="false"/>
          <w:bCs/>
          <w:i w:val="false"/>
          <w:caps w:val="false"/>
          <w:smallCaps w:val="false"/>
          <w:strike w:val="false"/>
          <w:dstrike w:val="false"/>
          <w:color w:val="385898"/>
          <w:spacing w:val="0"/>
          <w:sz w:val="22"/>
          <w:szCs w:val="22"/>
          <w:u w:val="none"/>
        </w:rPr>
        <w:t xml:space="preserve"> </w:t>
      </w:r>
      <w:r>
        <w:rPr>
          <w:rStyle w:val="DefaultParagraphFont"/>
          <w:rFonts w:ascii="Times New Roman" w:hAnsi="Times New Roman"/>
          <w:b w:val="false"/>
          <w:bCs/>
          <w:i w:val="false"/>
          <w:caps w:val="false"/>
          <w:smallCaps w:val="false"/>
          <w:color w:val="1C1E21"/>
          <w:spacing w:val="0"/>
          <w:sz w:val="22"/>
          <w:szCs w:val="22"/>
        </w:rPr>
        <w:t xml:space="preserve">and other pages immediately after their publication and many articles (at my webpage and other pages)!! Many books/articles FREE here </w:t>
        <w:br/>
        <w:t xml:space="preserve"> </w:t>
      </w:r>
      <w:hyperlink r:id="rId36">
        <w:r>
          <w:rPr>
            <w:rStyle w:val="DefaultParagraphFont"/>
            <w:rFonts w:ascii="Times New Roman" w:hAnsi="Times New Roman"/>
            <w:b w:val="false"/>
            <w:bCs/>
            <w:i w:val="false"/>
            <w:caps w:val="false"/>
            <w:smallCaps w:val="false"/>
            <w:strike w:val="false"/>
            <w:dstrike w:val="false"/>
            <w:color w:val="385898"/>
            <w:spacing w:val="0"/>
            <w:sz w:val="22"/>
            <w:szCs w:val="22"/>
            <w:u w:val="none"/>
          </w:rPr>
          <w:t>https://www.researchgate.net/profile/Gabriel_Vacariu/publications</w:t>
        </w:r>
      </w:hyperlink>
    </w:p>
    <w:p>
      <w:pPr>
        <w:pStyle w:val="LONormal"/>
        <w:jc w:val="both"/>
        <w:rPr/>
      </w:pPr>
      <w:r>
        <w:rPr>
          <w:rStyle w:val="DefaultParagraphFont"/>
          <w:rFonts w:ascii="Times New Roman" w:hAnsi="Times New Roman"/>
          <w:b w:val="false"/>
          <w:bCs/>
          <w:i w:val="false"/>
          <w:caps w:val="false"/>
          <w:smallCaps w:val="false"/>
          <w:strike w:val="false"/>
          <w:dstrike w:val="false"/>
          <w:color w:val="385898"/>
          <w:spacing w:val="0"/>
          <w:sz w:val="22"/>
          <w:szCs w:val="22"/>
          <w:u w:val="none"/>
        </w:rPr>
        <w:t xml:space="preserve">- </w:t>
      </w:r>
      <w:r>
        <w:rPr>
          <w:rStyle w:val="DefaultParagraphFont"/>
          <w:rFonts w:ascii="Times New Roman" w:hAnsi="Times New Roman"/>
          <w:b w:val="false"/>
          <w:bCs/>
          <w:i w:val="false"/>
          <w:caps w:val="false"/>
          <w:smallCaps w:val="false"/>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hyperlink r:id="rId37" w:tgtFrame="_blank">
        <w:r>
          <w:rPr>
            <w:rStyle w:val="DefaultParagraphFont"/>
            <w:rFonts w:ascii="Times New Roman" w:hAnsi="Times New Roman"/>
            <w:b w:val="false"/>
            <w:bCs/>
            <w:i w:val="false"/>
            <w:caps w:val="false"/>
            <w:smallCaps w:val="false"/>
            <w:strike w:val="false"/>
            <w:dstrike w:val="false"/>
            <w:color w:val="385898"/>
            <w:spacing w:val="0"/>
            <w:sz w:val="22"/>
            <w:szCs w:val="22"/>
            <w:u w:val="none"/>
          </w:rPr>
          <w:t>https://www.springer.com/gp/book/9783658104436</w:t>
        </w:r>
      </w:hyperlink>
      <w:r>
        <w:rPr>
          <w:rStyle w:val="DefaultParagraphFont"/>
          <w:rFonts w:ascii="Times New Roman" w:hAnsi="Times New Roman"/>
          <w:b w:val="false"/>
          <w:bCs/>
          <w:i w:val="false"/>
          <w:caps w:val="false"/>
          <w:smallCaps w:val="false"/>
          <w:color w:val="1C1E21"/>
          <w:spacing w:val="0"/>
          <w:sz w:val="22"/>
          <w:szCs w:val="22"/>
        </w:rPr>
        <w:br/>
        <w:t>In this book: quantum theory is a pseudo-theory, the mind-brain (life-organism) problem is a pseudo-problem, cognitive neuroscience is a pseudo-science, the ontology of special and general theory of relativity (without spacetime), definition of ‘life’, mental representation, “levels”, etc.</w:t>
        <w:b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pStyle w:val="LONormal"/>
        <w:numPr>
          <w:ilvl w:val="0"/>
          <w:numId w:val="9"/>
        </w:numPr>
        <w:jc w:val="both"/>
        <w:rPr/>
      </w:pPr>
      <w:r>
        <w:rPr>
          <w:rStyle w:val="DefaultParagraphFont"/>
          <w:rFonts w:ascii="Times New Roman" w:hAnsi="Times New Roman"/>
          <w:b w:val="false"/>
          <w:bCs/>
          <w:i w:val="false"/>
          <w:caps w:val="false"/>
          <w:smallCaps w:val="false"/>
          <w:color w:val="1C1E21"/>
          <w:spacing w:val="0"/>
          <w:sz w:val="22"/>
          <w:szCs w:val="22"/>
        </w:rPr>
        <w:t xml:space="preserve">(2016), Gabriel Vacariu and Mihai Vacariu, Dark matter and dark energy, space and time, and other pseudo-notions in cosmology, Datagroup on Amazon at </w:t>
      </w:r>
      <w:hyperlink r:id="rId38" w:tgtFrame="_blank">
        <w:r>
          <w:rPr>
            <w:rStyle w:val="DefaultParagraphFont"/>
            <w:rFonts w:ascii="Times New Roman" w:hAnsi="Times New Roman"/>
            <w:b w:val="false"/>
            <w:bCs/>
            <w:i w:val="false"/>
            <w:caps w:val="false"/>
            <w:smallCaps w:val="false"/>
            <w:strike w:val="false"/>
            <w:dstrike w:val="false"/>
            <w:color w:val="385898"/>
            <w:spacing w:val="0"/>
            <w:sz w:val="22"/>
            <w:szCs w:val="22"/>
            <w:u w:val="none"/>
          </w:rPr>
          <w:t>https://www.amazon.com/MATTER.../dp/B01HS025O8/ref=sr_1_2…</w:t>
        </w:r>
      </w:hyperlink>
    </w:p>
    <w:p>
      <w:pPr>
        <w:pStyle w:val="LONormal"/>
        <w:numPr>
          <w:ilvl w:val="0"/>
          <w:numId w:val="9"/>
        </w:numPr>
        <w:jc w:val="both"/>
        <w:rPr/>
      </w:pPr>
      <w:r>
        <w:rPr>
          <w:rStyle w:val="DefaultParagraphFont"/>
          <w:rFonts w:ascii="Times New Roman" w:hAnsi="Times New Roman"/>
          <w:b w:val="false"/>
          <w:bCs/>
          <w:i w:val="false"/>
          <w:caps w:val="false"/>
          <w:smallCaps w:val="false"/>
          <w:color w:val="1C1E21"/>
          <w:spacing w:val="0"/>
          <w:sz w:val="22"/>
          <w:szCs w:val="22"/>
        </w:rPr>
        <w:t xml:space="preserve">About EDWs perspective, my presentation (December 2013): </w:t>
      </w:r>
      <w:hyperlink r:id="rId39">
        <w:r>
          <w:rPr>
            <w:rStyle w:val="DefaultParagraphFont"/>
            <w:rFonts w:ascii="Times New Roman" w:hAnsi="Times New Roman"/>
            <w:sz w:val="22"/>
            <w:szCs w:val="22"/>
          </w:rPr>
          <w:t>https://www.youtube.com/watch?v=QCTaq3LVxHo&amp;t=599s</w:t>
        </w:r>
      </w:hyperlink>
      <w:r>
        <w:rPr>
          <w:rStyle w:val="DefaultParagraphFont"/>
          <w:rFonts w:ascii="Times New Roman" w:hAnsi="Times New Roman"/>
          <w:b w:val="false"/>
          <w:bCs/>
          <w:i w:val="false"/>
          <w:caps w:val="false"/>
          <w:smallCaps w:val="false"/>
          <w:strike w:val="false"/>
          <w:dstrike w:val="false"/>
          <w:color w:val="385898"/>
          <w:spacing w:val="0"/>
          <w:sz w:val="22"/>
          <w:szCs w:val="22"/>
          <w:u w:val="none"/>
        </w:rPr>
        <w:t xml:space="preserve"> (</w:t>
      </w:r>
      <w:r>
        <w:rPr>
          <w:rStyle w:val="DefaultParagraphFont"/>
          <w:rFonts w:ascii="Times New Roman" w:hAnsi="Times New Roman"/>
          <w:b w:val="false"/>
          <w:bCs/>
          <w:i w:val="false"/>
          <w:caps w:val="false"/>
          <w:smallCaps w:val="false"/>
          <w:color w:val="1C1E21"/>
          <w:spacing w:val="0"/>
          <w:sz w:val="22"/>
          <w:szCs w:val="22"/>
        </w:rPr>
        <w:t>“All great truths begin as blasphemies.” George Bernard Shaw)</w:t>
      </w:r>
    </w:p>
    <w:p>
      <w:pPr>
        <w:pStyle w:val="LONormal"/>
        <w:numPr>
          <w:ilvl w:val="0"/>
          <w:numId w:val="9"/>
        </w:numPr>
        <w:jc w:val="both"/>
        <w:rPr/>
      </w:pPr>
      <w:r>
        <w:rPr>
          <w:rStyle w:val="DefaultParagraphFont"/>
          <w:rFonts w:ascii="Times New Roman" w:hAnsi="Times New Roman"/>
          <w:b w:val="false"/>
          <w:bCs/>
          <w:i w:val="false"/>
          <w:caps w:val="false"/>
          <w:smallCaps w:val="false"/>
          <w:color w:val="1C1E21"/>
          <w:spacing w:val="0"/>
          <w:sz w:val="22"/>
          <w:szCs w:val="22"/>
        </w:rPr>
        <w:t xml:space="preserve">About EDWs, mind-brain problem and Cognitive Neuroscience: </w:t>
      </w:r>
      <w:hyperlink r:id="rId40">
        <w:r>
          <w:rPr>
            <w:rStyle w:val="DefaultParagraphFont"/>
          </w:rPr>
          <w:t>https://www.youtube.com/watch?v=oWxq8og-vss</w:t>
        </w:r>
      </w:hyperlink>
      <w:r>
        <w:rPr>
          <w:rStyle w:val="DefaultParagraphFont"/>
          <w:rFonts w:ascii="Times New Roman" w:hAnsi="Times New Roman"/>
          <w:b w:val="false"/>
          <w:bCs/>
          <w:i w:val="false"/>
          <w:caps w:val="false"/>
          <w:smallCaps w:val="false"/>
          <w:color w:val="1C1E21"/>
          <w:spacing w:val="0"/>
          <w:sz w:val="22"/>
          <w:szCs w:val="22"/>
        </w:rPr>
        <w:t xml:space="preserve">  (16m) or </w:t>
      </w:r>
      <w:hyperlink r:id="rId41">
        <w:r>
          <w:rPr>
            <w:rStyle w:val="DefaultParagraphFont"/>
          </w:rPr>
          <w:t>https://www.youtube.com/watch?v=oWxq8og-</w:t>
        </w:r>
      </w:hyperlink>
      <w:hyperlink r:id="rId42">
        <w:r>
          <w:rPr>
            <w:rStyle w:val="DefaultParagraphFont"/>
            <w:sz w:val="22"/>
            <w:szCs w:val="22"/>
          </w:rPr>
          <w:t>vss&amp;fbclid=IwAR3Nb95fgcvnSXu1JfH2Ojk_6h3XF2AqoSNLiqA9f6zrv2QOEdy-sgR0X4w</w:t>
        </w:r>
      </w:hyperlink>
      <w:r>
        <w:rPr>
          <w:rStyle w:val="DefaultParagraphFont"/>
          <w:rFonts w:ascii="Times New Roman" w:hAnsi="Times New Roman"/>
          <w:b w:val="false"/>
          <w:bCs/>
          <w:i w:val="false"/>
          <w:caps w:val="false"/>
          <w:smallCaps w:val="false"/>
          <w:color w:val="1C1E21"/>
          <w:spacing w:val="0"/>
          <w:sz w:val="22"/>
          <w:szCs w:val="22"/>
        </w:rPr>
        <w:t xml:space="preserve"> </w:t>
      </w:r>
    </w:p>
    <w:p>
      <w:pPr>
        <w:pStyle w:val="LONormal"/>
        <w:numPr>
          <w:ilvl w:val="0"/>
          <w:numId w:val="9"/>
        </w:numPr>
        <w:suppressAutoHyphens w:val="true"/>
        <w:ind w:left="0" w:right="0" w:hanging="0"/>
        <w:jc w:val="both"/>
        <w:rPr/>
      </w:pPr>
      <w:r>
        <w:rPr>
          <w:rStyle w:val="DefaultParagraphFont"/>
          <w:rFonts w:ascii="Times New Roman" w:hAnsi="Times New Roman"/>
          <w:b w:val="false"/>
          <w:bCs/>
          <w:i w:val="false"/>
          <w:caps w:val="false"/>
          <w:smallCaps w:val="false"/>
          <w:color w:val="1C1E21"/>
          <w:spacing w:val="0"/>
          <w:sz w:val="22"/>
          <w:szCs w:val="22"/>
        </w:rPr>
        <w:t xml:space="preserve">(2020) “Rethinking ‘dark matter’ within the epistemologically different worlds (EDWs) perspective”, in "Cosmology 2020 – The Current State", (ed) Michael Smith (CEO, IntechOpen, United Kingdom) </w:t>
      </w:r>
      <w:hyperlink r:id="rId43">
        <w:r>
          <w:rPr>
            <w:rStyle w:val="DefaultParagraphFont"/>
          </w:rPr>
          <w:t>https://www.intechopen.com/search?term=cosmology%202020</w:t>
        </w:r>
      </w:hyperlink>
      <w:r>
        <w:rPr>
          <w:rStyle w:val="DefaultParagraphFont"/>
          <w:rFonts w:ascii="Times New Roman" w:hAnsi="Times New Roman"/>
          <w:b w:val="false"/>
          <w:bCs/>
          <w:i w:val="false"/>
          <w:caps w:val="false"/>
          <w:smallCaps w:val="false"/>
          <w:strike w:val="false"/>
          <w:dstrike w:val="false"/>
          <w:color w:val="385898"/>
          <w:spacing w:val="0"/>
          <w:sz w:val="22"/>
          <w:szCs w:val="22"/>
          <w:u w:val="none"/>
        </w:rPr>
        <w:t xml:space="preserve"> </w:t>
      </w:r>
      <w:r>
        <w:rPr>
          <w:rStyle w:val="DefaultParagraphFont"/>
          <w:rFonts w:ascii="Times New Roman" w:hAnsi="Times New Roman"/>
          <w:b w:val="false"/>
          <w:bCs/>
          <w:i w:val="false"/>
          <w:caps w:val="false"/>
          <w:smallCaps w:val="false"/>
          <w:color w:val="1C1E21"/>
          <w:spacing w:val="0"/>
          <w:sz w:val="22"/>
          <w:szCs w:val="22"/>
        </w:rPr>
        <w:t xml:space="preserve">- our chapter about "dark matter" FREE online (we are the only ones from “Humanities”, others authors of all other chapters are Physicists!) </w:t>
      </w:r>
    </w:p>
    <w:p>
      <w:pPr>
        <w:pStyle w:val="LONormal"/>
        <w:numPr>
          <w:ilvl w:val="0"/>
          <w:numId w:val="0"/>
        </w:numPr>
        <w:suppressAutoHyphens w:val="true"/>
        <w:ind w:left="720" w:right="0" w:hanging="0"/>
        <w:jc w:val="both"/>
        <w:rPr/>
      </w:pPr>
      <w:r>
        <w:rPr>
          <w:rStyle w:val="DefaultParagraphFont"/>
          <w:rFonts w:ascii="Times New Roman" w:hAnsi="Times New Roman"/>
          <w:b w:val="false"/>
          <w:bCs/>
          <w:i w:val="false"/>
          <w:caps w:val="false"/>
          <w:smallCaps w:val="false"/>
          <w:color w:val="1C1E21"/>
          <w:spacing w:val="0"/>
          <w:sz w:val="22"/>
          <w:szCs w:val="22"/>
        </w:rPr>
        <w:t xml:space="preserve">Many years later, many people (many countries, many domains, many of my ideas – some of them are “great” names from great USA and Germany universities!!) have published UNBELIVABLE similar ideas to my ideas (see here: </w:t>
      </w:r>
      <w:hyperlink r:id="rId44">
        <w:r>
          <w:rPr>
            <w:rStyle w:val="DefaultParagraphFont"/>
            <w:rFonts w:ascii="Times New Roman" w:hAnsi="Times New Roman"/>
            <w:sz w:val="22"/>
            <w:szCs w:val="22"/>
          </w:rPr>
          <w:t>https://www.researchgate.net/profile/Gabriel_Vacariu/publications</w:t>
        </w:r>
      </w:hyperlink>
      <w:r>
        <w:rPr>
          <w:rStyle w:val="DefaultParagraphFont"/>
          <w:rFonts w:ascii="Times New Roman" w:hAnsi="Times New Roman"/>
          <w:b w:val="false"/>
          <w:bCs/>
          <w:i w:val="false"/>
          <w:caps w:val="false"/>
          <w:smallCaps w:val="false"/>
          <w:strike w:val="false"/>
          <w:dstrike w:val="false"/>
          <w:color w:val="385898"/>
          <w:spacing w:val="0"/>
          <w:sz w:val="22"/>
          <w:szCs w:val="22"/>
          <w:u w:val="none"/>
        </w:rPr>
        <w:t xml:space="preserve"> </w:t>
      </w:r>
      <w:r>
        <w:rPr>
          <w:rStyle w:val="DefaultParagraphFont"/>
          <w:rFonts w:ascii="Times New Roman" w:hAnsi="Times New Roman"/>
          <w:b w:val="false"/>
          <w:bCs/>
          <w:i w:val="false"/>
          <w:caps w:val="false"/>
          <w:smallCaps w:val="false"/>
          <w:color w:val="1C1E21"/>
          <w:spacing w:val="0"/>
          <w:sz w:val="22"/>
          <w:szCs w:val="22"/>
        </w:rPr>
        <w:t xml:space="preserve">) just because discovering the existence of EDWs, I have changed everything!!! </w:t>
      </w:r>
      <w:hyperlink r:id="rId45">
        <w:r>
          <w:rPr>
            <w:rStyle w:val="DefaultParagraphFont"/>
            <w:rFonts w:ascii="Times New Roman" w:hAnsi="Times New Roman"/>
            <w:sz w:val="22"/>
            <w:szCs w:val="22"/>
          </w:rPr>
          <w:t>https://sites.google.com/view/gabriel-vacariu-philosophy/home</w:t>
        </w:r>
      </w:hyperlink>
    </w:p>
    <w:p>
      <w:pPr>
        <w:pStyle w:val="LONormal"/>
        <w:jc w:val="both"/>
        <w:rPr/>
      </w:pPr>
      <w:r>
        <w:rPr>
          <w:rStyle w:val="DefaultParagraphFont"/>
          <w:rFonts w:ascii="Times New Roman" w:hAnsi="Times New Roman"/>
          <w:b w:val="false"/>
          <w:bCs/>
          <w:i w:val="false"/>
          <w:caps w:val="false"/>
          <w:smallCaps w:val="false"/>
          <w:color w:val="1C1E21"/>
          <w:spacing w:val="0"/>
          <w:sz w:val="22"/>
          <w:szCs w:val="22"/>
        </w:rPr>
        <w:tab/>
        <w:t>Because so many “famous” people (Physics, Philosophy, Cognitive Science) have plagiarized my ideas, 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in human thinking! My EDWs is the greatest CHALLANGE in the history of human thinking…</w:t>
        <w:br/>
        <w:tab/>
      </w:r>
      <w:r>
        <w:rPr>
          <w:rStyle w:val="DefaultParagraphFont"/>
          <w:rFonts w:ascii="Times New Roman" w:hAnsi="Times New Roman"/>
          <w:b w:val="false"/>
          <w:bCs w:val="false"/>
          <w:i w:val="false"/>
          <w:caps w:val="false"/>
          <w:smallCaps w:val="false"/>
          <w:color w:val="1C1E21"/>
          <w:spacing w:val="0"/>
          <w:sz w:val="20"/>
          <w:szCs w:val="20"/>
        </w:rPr>
        <w:t xml:space="preserve">Gabriel Vacariu, (March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here </w:t>
      </w:r>
      <w:hyperlink r:id="rId46">
        <w:r>
          <w:rPr>
            <w:rStyle w:val="DefaultParagraphFont"/>
          </w:rPr>
          <w:t>https://www.academia.edu/39497663/_June_2019_to_2014_The_UNBELIEVABLE_similarities_between_the_ideas_of_some_people_2011-2016_and_my_ideas_2002-2008_in_physics_quantum_mechanics_cosmology_cognitive_neuroscience_philosophy_of_mind_and</w:t>
        </w:r>
      </w:hyperlink>
      <w:hyperlink r:id="rId47">
        <w:r>
          <w:rPr>
            <w:rStyle w:val="DefaultParagraphFont"/>
          </w:rPr>
          <w:t>_philosophy</w:t>
        </w:r>
      </w:hyperlink>
      <w:r>
        <w:rPr>
          <w:rStyle w:val="DefaultParagraphFont"/>
          <w:rFonts w:ascii="Times New Roman" w:hAnsi="Times New Roman"/>
          <w:b/>
          <w:bCs/>
          <w:i w:val="false"/>
          <w:caps w:val="false"/>
          <w:smallCaps w:val="false"/>
          <w:color w:val="FFFFFF"/>
          <w:spacing w:val="0"/>
          <w:sz w:val="17"/>
          <w:szCs w:val="22"/>
          <w:u w:val="single"/>
        </w:rPr>
        <w:t xml:space="preserve"> </w:t>
      </w:r>
    </w:p>
    <w:p>
      <w:pPr>
        <w:pStyle w:val="LONormal"/>
        <w:jc w:val="both"/>
        <w:rPr/>
      </w:pPr>
      <w:hyperlink r:id="rId48">
        <w:r>
          <w:rPr>
            <w:rStyle w:val="DefaultParagraphFont"/>
          </w:rPr>
          <w:t>https://www.researchgate.net/publication/333673721_June_2019_to_2014_The_UNBELIEVABLE_similarities_between_the_ideas_of_some_people_2011-2016_and_my_ideas_2002-2008_in_physics_quantum_mechanics_cosmology_cognitive_neuroscience_philosophy_of_mind_and_p</w:t>
        </w:r>
      </w:hyperlink>
      <w:r>
        <w:rPr>
          <w:rStyle w:val="DefaultParagraphFont"/>
          <w:rFonts w:ascii="Times New Roman" w:hAnsi="Times New Roman"/>
          <w:b/>
          <w:bCs/>
          <w:i w:val="false"/>
          <w:caps w:val="false"/>
          <w:smallCaps w:val="false"/>
          <w:color w:val="FFFFFF"/>
          <w:spacing w:val="0"/>
          <w:sz w:val="17"/>
          <w:szCs w:val="22"/>
          <w:u w:val="single"/>
        </w:rPr>
        <w:t xml:space="preserve"> </w:t>
      </w:r>
    </w:p>
    <w:p>
      <w:pPr>
        <w:pStyle w:val="LONormal"/>
        <w:jc w:val="both"/>
        <w:rPr>
          <w:rStyle w:val="DefaultParagraphFont"/>
          <w:rFonts w:ascii="Times New Roman" w:hAnsi="Times New Roman"/>
          <w:b/>
          <w:b/>
          <w:bCs/>
          <w:i w:val="false"/>
          <w:i w:val="false"/>
          <w:caps w:val="false"/>
          <w:smallCaps w:val="false"/>
          <w:color w:val="FFFFFF"/>
          <w:spacing w:val="0"/>
          <w:sz w:val="17"/>
          <w:szCs w:val="22"/>
          <w:u w:val="single"/>
        </w:rPr>
      </w:pPr>
      <w:r>
        <w:rPr>
          <w:rFonts w:ascii="Times New Roman" w:hAnsi="Times New Roman"/>
          <w:b/>
          <w:bCs/>
          <w:i w:val="false"/>
          <w:caps w:val="false"/>
          <w:smallCaps w:val="false"/>
          <w:color w:val="FFFFFF"/>
          <w:spacing w:val="0"/>
          <w:sz w:val="17"/>
          <w:szCs w:val="22"/>
          <w:u w:val="single"/>
        </w:rPr>
      </w:r>
    </w:p>
    <w:p>
      <w:pPr>
        <w:pStyle w:val="LONormal"/>
        <w:jc w:val="both"/>
        <w:rPr>
          <w:rFonts w:ascii="Times New Roman" w:hAnsi="Times New Roman"/>
          <w:b/>
          <w:b/>
          <w:color w:val="C9211E"/>
          <w:sz w:val="24"/>
          <w:szCs w:val="24"/>
        </w:rPr>
      </w:pPr>
      <w:r>
        <w:rPr>
          <w:rStyle w:val="DefaultParagraphFont"/>
          <w:rFonts w:ascii="Times New Roman" w:hAnsi="Times New Roman"/>
          <w:b w:val="false"/>
          <w:bCs/>
          <w:i w:val="false"/>
          <w:caps w:val="false"/>
          <w:smallCaps w:val="false"/>
          <w:color w:val="1C1E21"/>
          <w:spacing w:val="0"/>
          <w:sz w:val="24"/>
          <w:szCs w:val="24"/>
          <w:u w:val="none"/>
        </w:rPr>
        <w:t>[see the new addresses for this new manuscript April 2020]</w:t>
      </w:r>
    </w:p>
    <w:p>
      <w:pPr>
        <w:pStyle w:val="LONormal"/>
        <w:suppressAutoHyphens w:val="true"/>
        <w:spacing w:before="0" w:after="0"/>
        <w:ind w:left="0" w:right="0" w:hanging="0"/>
        <w:contextualSpacing/>
        <w:jc w:val="both"/>
        <w:rPr>
          <w:rStyle w:val="DefaultParagraphFont"/>
          <w:b w:val="false"/>
          <w:b w:val="false"/>
          <w:bCs/>
          <w:i w:val="false"/>
          <w:i w:val="false"/>
          <w:caps w:val="false"/>
          <w:smallCaps w:val="false"/>
          <w:color w:val="1C1E21"/>
          <w:spacing w:val="0"/>
          <w:u w:val="none"/>
        </w:rPr>
      </w:pPr>
      <w:r>
        <w:rPr>
          <w:b w:val="false"/>
          <w:bCs/>
          <w:i w:val="false"/>
          <w:caps w:val="false"/>
          <w:smallCaps w:val="false"/>
          <w:color w:val="1C1E21"/>
          <w:spacing w:val="0"/>
          <w:u w:val="none"/>
        </w:rPr>
      </w:r>
    </w:p>
    <w:p>
      <w:pPr>
        <w:pStyle w:val="LONormal"/>
        <w:suppressAutoHyphens w:val="true"/>
        <w:spacing w:before="0" w:after="0"/>
        <w:ind w:left="0" w:right="0" w:hanging="0"/>
        <w:contextualSpacing/>
        <w:jc w:val="both"/>
        <w:rPr>
          <w:sz w:val="24"/>
          <w:szCs w:val="24"/>
        </w:rPr>
      </w:pPr>
      <w:r>
        <w:rPr>
          <w:rStyle w:val="DefaultParagraphFont"/>
          <w:rFonts w:ascii="Times New Roman" w:hAnsi="Times New Roman"/>
          <w:b w:val="false"/>
          <w:bCs/>
          <w:i w:val="false"/>
          <w:caps w:val="false"/>
          <w:smallCaps w:val="false"/>
          <w:color w:val="1C1E21"/>
          <w:spacing w:val="0"/>
          <w:sz w:val="24"/>
          <w:szCs w:val="24"/>
          <w:u w:val="none"/>
        </w:rPr>
        <w:t>Since I have changed EVERYTHING in human knowledge, if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w:t>
      </w:r>
      <w:r>
        <w:rPr>
          <w:rStyle w:val="DefaultParagraphFont"/>
          <w:rFonts w:ascii="Times New Roman" w:hAnsi="Times New Roman"/>
          <w:b w:val="false"/>
          <w:bCs/>
          <w:i w:val="false"/>
          <w:caps w:val="false"/>
          <w:smallCaps w:val="false"/>
          <w:color w:val="1C1E21"/>
          <w:spacing w:val="0"/>
          <w:sz w:val="24"/>
          <w:szCs w:val="24"/>
          <w:u w:val="none"/>
          <w:lang w:val="en-US"/>
        </w:rPr>
        <w:t>l</w:t>
      </w:r>
      <w:r>
        <w:rPr>
          <w:rStyle w:val="DefaultParagraphFont"/>
          <w:rFonts w:ascii="Times New Roman" w:hAnsi="Times New Roman"/>
          <w:b w:val="false"/>
          <w:bCs/>
          <w:i w:val="false"/>
          <w:caps w:val="false"/>
          <w:smallCaps w:val="false"/>
          <w:color w:val="1C1E21"/>
          <w:spacing w:val="0"/>
          <w:sz w:val="24"/>
          <w:szCs w:val="24"/>
          <w:u w:val="none"/>
        </w:rPr>
        <w:t xml:space="preserve"> income, paying the rate of a bank... and writing 11 books until now (!), one being published at Springer (a summary of my first 5 books!)...</w:t>
      </w:r>
      <w:r>
        <w:rPr>
          <w:rStyle w:val="DefaultParagraphFont"/>
          <w:rFonts w:ascii="Times New Roman" w:hAnsi="Times New Roman"/>
          <w:b/>
          <w:bCs/>
          <w:i w:val="false"/>
          <w:caps w:val="false"/>
          <w:smallCaps w:val="false"/>
          <w:color w:val="FFFFFF"/>
          <w:spacing w:val="0"/>
          <w:sz w:val="24"/>
          <w:szCs w:val="24"/>
          <w:u w:val="none"/>
        </w:rPr>
        <w:t xml:space="preserve"> </w:t>
      </w:r>
    </w:p>
    <w:p>
      <w:pPr>
        <w:pStyle w:val="LONormal"/>
        <w:suppressAutoHyphens w:val="true"/>
        <w:spacing w:before="0" w:after="0"/>
        <w:ind w:left="0" w:right="0" w:hanging="0"/>
        <w:contextualSpacing/>
        <w:jc w:val="both"/>
        <w:rPr>
          <w:rStyle w:val="DefaultParagraphFont"/>
          <w:rFonts w:ascii="Times New Roman" w:hAnsi="Times New Roman"/>
          <w:b/>
          <w:b/>
          <w:bCs/>
          <w:i w:val="false"/>
          <w:i w:val="false"/>
          <w:caps w:val="false"/>
          <w:smallCaps w:val="false"/>
          <w:color w:val="FFFFFF"/>
          <w:spacing w:val="0"/>
          <w:u w:val="none"/>
        </w:rPr>
      </w:pPr>
      <w:r>
        <w:rPr>
          <w:rFonts w:ascii="Times New Roman" w:hAnsi="Times New Roman"/>
          <w:b/>
          <w:bCs/>
          <w:i w:val="false"/>
          <w:caps w:val="false"/>
          <w:smallCaps w:val="false"/>
          <w:color w:val="FFFFFF"/>
          <w:spacing w:val="0"/>
          <w:u w:val="none"/>
        </w:rPr>
      </w:r>
    </w:p>
    <w:p>
      <w:pPr>
        <w:sectPr>
          <w:footerReference w:type="default" r:id="rId49"/>
          <w:footnotePr>
            <w:numFmt w:val="decimal"/>
            <w:numRestart w:val="eachPage"/>
          </w:footnotePr>
          <w:type w:val="nextPage"/>
          <w:pgSz w:w="12240" w:h="15840"/>
          <w:pgMar w:left="1440" w:right="1440" w:header="0" w:top="1440" w:footer="720" w:bottom="1440" w:gutter="0"/>
          <w:pgNumType w:fmt="decimal"/>
          <w:formProt w:val="false"/>
          <w:textDirection w:val="lrTb"/>
          <w:docGrid w:type="default" w:linePitch="360" w:charSpace="0"/>
        </w:sectPr>
        <w:pStyle w:val="LONormal"/>
        <w:suppressAutoHyphens w:val="true"/>
        <w:spacing w:before="0" w:after="0"/>
        <w:ind w:left="0" w:right="0" w:hanging="0"/>
        <w:contextualSpacing/>
        <w:jc w:val="both"/>
        <w:rPr>
          <w:rFonts w:ascii="Times New Roman" w:hAnsi="Times New Roman"/>
          <w:sz w:val="24"/>
          <w:szCs w:val="24"/>
        </w:r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pStyle w:val="NormalWeb"/>
        <w:pageBreakBefore w:val="false"/>
        <w:widowControl w:val="false"/>
        <w:overflowPunct w:val="true"/>
        <w:bidi w:val="0"/>
        <w:snapToGrid w:val="true"/>
        <w:spacing w:lineRule="auto" w:line="240" w:before="280" w:after="0"/>
        <w:jc w:val="both"/>
        <w:textAlignment w:val="auto"/>
        <w:rPr/>
      </w:pPr>
      <w:r>
        <w:rPr>
          <w:rFonts w:cs="Times New Roman"/>
          <w:b/>
          <w:sz w:val="22"/>
          <w:szCs w:val="22"/>
          <w:lang w:val="en-US"/>
        </w:rPr>
        <w:t xml:space="preserve">See the alternative of the UNIVERSE in </w:t>
      </w:r>
      <w:r>
        <w:rPr>
          <w:rFonts w:cs="Times New Roman"/>
          <w:b/>
          <w:i/>
          <w:iCs/>
          <w:sz w:val="22"/>
          <w:szCs w:val="22"/>
          <w:lang w:val="en-US"/>
        </w:rPr>
        <w:t>Synthese</w:t>
      </w:r>
      <w:r>
        <w:rPr>
          <w:rFonts w:cs="Times New Roman"/>
          <w:b/>
          <w:i/>
          <w:iCs/>
          <w:sz w:val="22"/>
          <w:szCs w:val="22"/>
          <w:lang w:val="en-US"/>
        </w:rPr>
        <w:t xml:space="preserve">’s </w:t>
      </w:r>
      <w:r>
        <w:rPr>
          <w:rFonts w:cs="Times New Roman"/>
          <w:b/>
          <w:i w:val="false"/>
          <w:iCs w:val="false"/>
          <w:sz w:val="22"/>
          <w:szCs w:val="22"/>
          <w:lang w:val="en-US"/>
        </w:rPr>
        <w:t>article</w:t>
      </w:r>
      <w:r>
        <w:rPr>
          <w:rFonts w:cs="Times New Roman"/>
          <w:b/>
          <w:i/>
          <w:iCs/>
          <w:sz w:val="22"/>
          <w:szCs w:val="22"/>
          <w:lang w:val="en-US"/>
        </w:rPr>
        <w:t xml:space="preserve"> </w:t>
      </w:r>
      <w:r>
        <w:rPr>
          <w:rFonts w:cs="Times New Roman"/>
          <w:b/>
          <w:sz w:val="22"/>
          <w:szCs w:val="22"/>
          <w:lang w:val="en-US"/>
        </w:rPr>
        <w:t xml:space="preserve">(USA, 2005) and my </w:t>
      </w:r>
      <w:r>
        <w:rPr>
          <w:rFonts w:cs="Times New Roman"/>
          <w:b/>
          <w:i/>
          <w:iCs/>
          <w:sz w:val="22"/>
          <w:szCs w:val="22"/>
          <w:lang w:val="en-US"/>
        </w:rPr>
        <w:t>Springer’s</w:t>
      </w:r>
      <w:r>
        <w:rPr>
          <w:rFonts w:cs="Times New Roman"/>
          <w:b/>
          <w:i/>
          <w:iCs/>
          <w:sz w:val="22"/>
          <w:szCs w:val="22"/>
          <w:lang w:val="en-US"/>
        </w:rPr>
        <w:t xml:space="preserve"> </w:t>
      </w:r>
      <w:r>
        <w:rPr>
          <w:rFonts w:cs="Times New Roman"/>
          <w:b/>
          <w:sz w:val="22"/>
          <w:szCs w:val="22"/>
          <w:lang w:val="en-US"/>
        </w:rPr>
        <w:t>book</w:t>
      </w:r>
      <w:r>
        <w:rPr>
          <w:rFonts w:cs="Times New Roman"/>
          <w:b/>
          <w:sz w:val="22"/>
          <w:szCs w:val="22"/>
          <w:lang w:val="en-US"/>
        </w:rPr>
        <w:t xml:space="preserve"> </w:t>
      </w:r>
      <w:r>
        <w:rPr>
          <w:rFonts w:cs="Times New Roman"/>
          <w:b/>
          <w:sz w:val="22"/>
          <w:szCs w:val="22"/>
          <w:lang w:val="en-US"/>
        </w:rPr>
        <w:t>(Germany 2015/2016)</w:t>
      </w:r>
      <w:r>
        <w:rPr>
          <w:rFonts w:cs="Times New Roman"/>
          <w:b/>
          <w:sz w:val="22"/>
          <w:szCs w:val="22"/>
          <w:lang w:val="en-US"/>
        </w:rPr>
        <w:t>:</w:t>
      </w:r>
      <w:r>
        <w:rPr>
          <w:rFonts w:cs="Times New Roman"/>
          <w:b/>
          <w:sz w:val="22"/>
          <w:szCs w:val="22"/>
          <w:lang w:val="en-US"/>
        </w:rPr>
        <w:t xml:space="preserve"> </w:t>
      </w:r>
      <w:r>
        <w:rPr>
          <w:rFonts w:cs="Times New Roman"/>
          <w:b/>
          <w:sz w:val="22"/>
          <w:szCs w:val="22"/>
          <w:lang w:val="en-US"/>
        </w:rPr>
        <w:t>t</w:t>
      </w:r>
      <w:r>
        <w:rPr>
          <w:rFonts w:cs="Times New Roman"/>
          <w:b/>
          <w:sz w:val="22"/>
          <w:szCs w:val="22"/>
          <w:lang w:val="en-US"/>
        </w:rPr>
        <w:t xml:space="preserve">he “Universe” does not exist, it </w:t>
      </w:r>
      <w:r>
        <w:rPr>
          <w:rFonts w:cs="Times New Roman"/>
          <w:b/>
          <w:sz w:val="22"/>
          <w:szCs w:val="22"/>
          <w:lang w:val="en-US"/>
        </w:rPr>
        <w:t xml:space="preserve">cannot have any </w:t>
      </w:r>
      <w:r>
        <w:rPr>
          <w:rFonts w:cs="Times New Roman"/>
          <w:b/>
          <w:sz w:val="22"/>
          <w:szCs w:val="22"/>
          <w:lang w:val="en-US"/>
        </w:rPr>
        <w:t>ontology</w:t>
      </w:r>
      <w:r>
        <w:rPr>
          <w:rFonts w:cs="Times New Roman"/>
          <w:b/>
          <w:sz w:val="22"/>
          <w:szCs w:val="22"/>
          <w:lang w:val="en-US"/>
        </w:rPr>
        <w:t>!</w:t>
      </w:r>
      <w:r>
        <w:rPr>
          <w:rFonts w:cs="Times New Roman"/>
          <w:b/>
          <w:sz w:val="22"/>
          <w:szCs w:val="22"/>
          <w:lang w:val="en-US"/>
        </w:rPr>
        <w:t xml:space="preserve"> What really exist are </w:t>
      </w:r>
      <w:r>
        <w:rPr>
          <w:rFonts w:cs="Times New Roman"/>
          <w:b/>
          <w:sz w:val="22"/>
          <w:szCs w:val="22"/>
          <w:lang w:val="en-US"/>
        </w:rPr>
        <w:t>“</w:t>
      </w:r>
      <w:r>
        <w:rPr>
          <w:rFonts w:cs="Times New Roman"/>
          <w:b/>
          <w:sz w:val="22"/>
          <w:szCs w:val="22"/>
          <w:lang w:val="en-US"/>
        </w:rPr>
        <w:t>entities</w:t>
      </w:r>
      <w:r>
        <w:rPr>
          <w:rFonts w:cs="Times New Roman"/>
          <w:b/>
          <w:sz w:val="22"/>
          <w:szCs w:val="22"/>
          <w:lang w:val="en-US"/>
        </w:rPr>
        <w:t>”</w:t>
      </w:r>
      <w:r>
        <w:rPr>
          <w:rFonts w:cs="Times New Roman"/>
          <w:b/>
          <w:sz w:val="22"/>
          <w:szCs w:val="22"/>
          <w:lang w:val="en-US"/>
        </w:rPr>
        <w:t xml:space="preserve"> and their </w:t>
      </w:r>
      <w:r>
        <w:rPr>
          <w:rFonts w:cs="Times New Roman"/>
          <w:b/>
          <w:sz w:val="22"/>
          <w:szCs w:val="22"/>
          <w:lang w:val="en-US"/>
        </w:rPr>
        <w:t>“</w:t>
      </w:r>
      <w:r>
        <w:rPr>
          <w:rFonts w:cs="Times New Roman"/>
          <w:b/>
          <w:sz w:val="22"/>
          <w:szCs w:val="22"/>
          <w:lang w:val="en-US"/>
        </w:rPr>
        <w:t>interactions</w:t>
      </w:r>
      <w:r>
        <w:rPr>
          <w:rFonts w:cs="Times New Roman"/>
          <w:b/>
          <w:sz w:val="22"/>
          <w:szCs w:val="22"/>
          <w:lang w:val="en-US"/>
        </w:rPr>
        <w:t>”</w:t>
      </w:r>
      <w:r>
        <w:rPr>
          <w:rFonts w:cs="Times New Roman"/>
          <w:b/>
          <w:sz w:val="22"/>
          <w:szCs w:val="22"/>
          <w:lang w:val="en-US"/>
        </w:rPr>
        <w:t xml:space="preserve">. The wrong framework, the “Universe”/“world” </w:t>
      </w:r>
      <w:r>
        <w:rPr>
          <w:rFonts w:cs="Times New Roman"/>
          <w:b/>
          <w:sz w:val="22"/>
          <w:szCs w:val="22"/>
          <w:lang w:val="en-US"/>
        </w:rPr>
        <w:t xml:space="preserve">is </w:t>
      </w:r>
      <w:r>
        <w:rPr>
          <w:rFonts w:cs="Times New Roman"/>
          <w:b/>
          <w:sz w:val="22"/>
          <w:szCs w:val="22"/>
          <w:lang w:val="en-US"/>
        </w:rPr>
        <w:t xml:space="preserve">replaced with </w:t>
      </w:r>
      <w:r>
        <w:rPr>
          <w:rFonts w:cs="Times New Roman"/>
          <w:b/>
          <w:sz w:val="22"/>
          <w:szCs w:val="22"/>
          <w:lang w:val="en-US"/>
        </w:rPr>
        <w:t xml:space="preserve">a new framework </w:t>
      </w:r>
      <w:r>
        <w:rPr>
          <w:rFonts w:cs="Times New Roman"/>
          <w:b/>
          <w:sz w:val="22"/>
          <w:szCs w:val="22"/>
          <w:lang w:val="en-US"/>
        </w:rPr>
        <w:t>the “Epistemologically Different Worlds”</w:t>
      </w:r>
      <w:r>
        <w:rPr>
          <w:rFonts w:cs="Times New Roman"/>
          <w:b/>
          <w:sz w:val="22"/>
          <w:szCs w:val="22"/>
          <w:lang w:val="en-US"/>
        </w:rPr>
        <w:t xml:space="preserve"> (for quantum mechanics, the micro-macro relation, the mind-brain problem, emergence, levels, etc.) (IT IS TOTALLY DIFFERENT THAN EVERETT’s APPROACH!!)</w:t>
      </w:r>
    </w:p>
    <w:p>
      <w:pPr>
        <w:pStyle w:val="NormalWeb"/>
        <w:keepNext w:val="false"/>
        <w:keepLines w:val="false"/>
        <w:pageBreakBefore w:val="false"/>
        <w:widowControl w:val="false"/>
        <w:overflowPunct w:val="true"/>
        <w:bidi w:val="0"/>
        <w:snapToGrid w:val="true"/>
        <w:spacing w:lineRule="auto" w:line="240" w:before="280" w:after="0"/>
        <w:jc w:val="both"/>
        <w:textAlignment w:val="auto"/>
        <w:rPr/>
      </w:pPr>
      <w:r>
        <w:rPr>
          <w:rFonts w:cs="Times New Roman"/>
          <w:sz w:val="22"/>
          <w:szCs w:val="22"/>
          <w:lang w:val="en-US"/>
        </w:rPr>
        <w:t xml:space="preserve">All my main ideas (the mind-brain problem, main problems of cognitive science and quantum mechanics, Einstein’s relativity vs. quantum mechanics, etc.) from my </w:t>
      </w:r>
      <w:r>
        <w:rPr>
          <w:rFonts w:cs="Times New Roman"/>
          <w:b/>
          <w:bCs/>
          <w:i/>
          <w:iCs/>
          <w:sz w:val="22"/>
          <w:szCs w:val="22"/>
          <w:lang w:val="en-US"/>
        </w:rPr>
        <w:t xml:space="preserve">Springer’s </w:t>
      </w:r>
      <w:r>
        <w:rPr>
          <w:rFonts w:cs="Times New Roman"/>
          <w:sz w:val="22"/>
          <w:szCs w:val="22"/>
          <w:lang w:val="en-US"/>
        </w:rPr>
        <w:t>book (201</w:t>
      </w:r>
      <w:r>
        <w:rPr>
          <w:rFonts w:cs="Times New Roman"/>
          <w:sz w:val="22"/>
          <w:szCs w:val="22"/>
          <w:lang w:val="en-US"/>
        </w:rPr>
        <w:t>5</w:t>
      </w:r>
      <w:r>
        <w:rPr>
          <w:rFonts w:cs="Times New Roman"/>
          <w:sz w:val="22"/>
          <w:szCs w:val="22"/>
          <w:lang w:val="en-US"/>
        </w:rPr>
        <w:t xml:space="preserve">) can be found in my </w:t>
      </w:r>
      <w:r>
        <w:rPr>
          <w:rFonts w:cs="Times New Roman"/>
          <w:b/>
          <w:bCs/>
          <w:sz w:val="22"/>
          <w:szCs w:val="22"/>
          <w:lang w:val="en-US"/>
        </w:rPr>
        <w:t>PhD thesis (2007), UNSW (Sydney,</w:t>
      </w:r>
      <w:r>
        <w:rPr>
          <w:rFonts w:cs="Times New Roman"/>
          <w:sz w:val="22"/>
          <w:szCs w:val="22"/>
          <w:lang w:val="en-US"/>
        </w:rPr>
        <w:t xml:space="preserve"> Australia, </w:t>
      </w:r>
      <w:r>
        <w:rPr>
          <w:rFonts w:cs="Times New Roman"/>
          <w:sz w:val="22"/>
          <w:szCs w:val="22"/>
          <w:lang w:val="en-US"/>
        </w:rPr>
        <w:t xml:space="preserve">officially </w:t>
      </w:r>
      <w:r>
        <w:rPr>
          <w:rFonts w:cs="Times New Roman"/>
          <w:sz w:val="22"/>
          <w:szCs w:val="22"/>
          <w:lang w:val="en-US"/>
        </w:rPr>
        <w:t xml:space="preserve">posted on university’s website, </w:t>
      </w:r>
      <w:r>
        <w:rPr>
          <w:rFonts w:cs="Times New Roman"/>
          <w:sz w:val="22"/>
          <w:szCs w:val="22"/>
          <w:lang w:val="en-US"/>
        </w:rPr>
        <w:t>FREE</w:t>
      </w:r>
      <w:r>
        <w:rPr>
          <w:rFonts w:cs="Times New Roman"/>
          <w:sz w:val="22"/>
          <w:szCs w:val="22"/>
          <w:lang w:val="en-US"/>
        </w:rPr>
        <w:t xml:space="preserve">, by the </w:t>
      </w:r>
      <w:r>
        <w:rPr>
          <w:rFonts w:cs="Times New Roman"/>
          <w:sz w:val="22"/>
          <w:szCs w:val="22"/>
          <w:lang w:val="en-US"/>
        </w:rPr>
        <w:t>u</w:t>
      </w:r>
      <w:r>
        <w:rPr>
          <w:rFonts w:cs="Times New Roman"/>
          <w:sz w:val="22"/>
          <w:szCs w:val="22"/>
          <w:lang w:val="en-US"/>
        </w:rPr>
        <w:t>niversity</w:t>
      </w:r>
      <w:r>
        <w:rPr>
          <w:rFonts w:cs="Times New Roman"/>
          <w:sz w:val="22"/>
          <w:szCs w:val="22"/>
          <w:lang w:val="en-US"/>
        </w:rPr>
        <w:t>’s</w:t>
      </w:r>
      <w:r>
        <w:rPr>
          <w:rFonts w:cs="Times New Roman"/>
          <w:sz w:val="22"/>
          <w:szCs w:val="22"/>
          <w:lang w:val="en-US"/>
        </w:rPr>
        <w:t xml:space="preserve"> </w:t>
      </w:r>
      <w:r>
        <w:rPr>
          <w:rFonts w:cs="Times New Roman"/>
          <w:sz w:val="22"/>
          <w:szCs w:val="22"/>
          <w:lang w:val="en-US"/>
        </w:rPr>
        <w:t xml:space="preserve">Staff </w:t>
      </w:r>
      <w:r>
        <w:rPr>
          <w:rFonts w:cs="Times New Roman"/>
          <w:sz w:val="22"/>
          <w:szCs w:val="22"/>
          <w:lang w:val="en-US"/>
        </w:rPr>
        <w:t xml:space="preserve">in 2007) </w:t>
      </w:r>
      <w:hyperlink r:id="rId50">
        <w:r>
          <w:rPr>
            <w:rStyle w:val="InternetLink"/>
            <w:rFonts w:cs="Times New Roman"/>
            <w:sz w:val="22"/>
            <w:szCs w:val="22"/>
            <w:lang w:val="en-US"/>
          </w:rPr>
          <w:t>https://www.unsworks.unsw.edu.au/primo-explore/fulldisplay?vid=UNSWORKS&amp;docid=unsworks_5143&amp;context=L</w:t>
        </w:r>
      </w:hyperlink>
    </w:p>
    <w:p>
      <w:pPr>
        <w:pStyle w:val="NormalWeb"/>
        <w:keepNext w:val="false"/>
        <w:keepLines w:val="false"/>
        <w:pageBreakBefore w:val="false"/>
        <w:widowControl w:val="false"/>
        <w:overflowPunct w:val="true"/>
        <w:bidi w:val="0"/>
        <w:snapToGrid w:val="true"/>
        <w:spacing w:lineRule="auto" w:line="240" w:before="280" w:after="0"/>
        <w:jc w:val="both"/>
        <w:textAlignment w:val="auto"/>
        <w:rPr/>
      </w:pPr>
      <w:r>
        <w:rPr>
          <w:rFonts w:cs="Times New Roman"/>
          <w:b/>
          <w:i w:val="false"/>
          <w:color w:val="000000"/>
          <w:spacing w:val="0"/>
          <w:sz w:val="24"/>
          <w:szCs w:val="24"/>
          <w:lang w:val="en-US"/>
        </w:rPr>
        <w:t xml:space="preserve">My book at </w:t>
      </w:r>
      <w:r>
        <w:rPr>
          <w:rFonts w:cs="Times New Roman"/>
          <w:b/>
          <w:i/>
          <w:iCs/>
          <w:color w:val="000000"/>
          <w:spacing w:val="0"/>
          <w:sz w:val="24"/>
          <w:szCs w:val="24"/>
          <w:lang w:val="en-US"/>
        </w:rPr>
        <w:t>SPRINGER</w:t>
      </w:r>
      <w:r>
        <w:rPr>
          <w:rStyle w:val="Strong"/>
          <w:rFonts w:cs="Times New Roman"/>
          <w:b/>
          <w:i/>
          <w:iCs/>
          <w:color w:val="000000"/>
          <w:spacing w:val="0"/>
          <w:sz w:val="24"/>
          <w:szCs w:val="24"/>
          <w:lang w:val="en-US"/>
        </w:rPr>
        <w:t xml:space="preserve"> </w:t>
      </w:r>
      <w:r>
        <w:rPr>
          <w:rFonts w:cs="Times New Roman"/>
          <w:b/>
          <w:i w:val="false"/>
          <w:color w:val="000000"/>
          <w:spacing w:val="0"/>
          <w:sz w:val="24"/>
          <w:szCs w:val="24"/>
          <w:lang w:val="en-US"/>
        </w:rPr>
        <w:t>(Germany): "</w:t>
      </w:r>
      <w:r>
        <w:rPr>
          <w:rStyle w:val="Emphasis"/>
          <w:rFonts w:cs="Times New Roman"/>
          <w:b/>
          <w:i w:val="false"/>
          <w:color w:val="000000"/>
          <w:spacing w:val="0"/>
          <w:sz w:val="24"/>
          <w:szCs w:val="24"/>
          <w:lang w:val="en-US"/>
        </w:rPr>
        <w:t xml:space="preserve">Illusions of Human Thinking (2015/2016) - On concepts of Mind, Reality, and Universe in Psychology, Neuroscience and Physics" [manuscript sent to Springer in 2014 and </w:t>
      </w:r>
      <w:r>
        <w:rPr>
          <w:rStyle w:val="Emphasis"/>
          <w:rFonts w:cs="Times New Roman"/>
          <w:b/>
          <w:i w:val="false"/>
          <w:color w:val="000000"/>
          <w:spacing w:val="0"/>
          <w:sz w:val="24"/>
          <w:szCs w:val="24"/>
          <w:lang w:val="en-US"/>
        </w:rPr>
        <w:t xml:space="preserve">first </w:t>
      </w:r>
      <w:r>
        <w:rPr>
          <w:rStyle w:val="Emphasis"/>
          <w:rFonts w:cs="Times New Roman"/>
          <w:b/>
          <w:i w:val="false"/>
          <w:color w:val="000000"/>
          <w:spacing w:val="0"/>
          <w:sz w:val="24"/>
          <w:szCs w:val="24"/>
          <w:lang w:val="en-US"/>
        </w:rPr>
        <w:t>published</w:t>
      </w:r>
      <w:r>
        <w:rPr>
          <w:rStyle w:val="Emphasis"/>
          <w:rFonts w:cs="Times New Roman"/>
          <w:b/>
          <w:i w:val="false"/>
          <w:color w:val="000000"/>
          <w:spacing w:val="0"/>
          <w:sz w:val="24"/>
          <w:szCs w:val="24"/>
          <w:lang w:val="en-US"/>
        </w:rPr>
        <w:t xml:space="preserve"> (online)</w:t>
      </w:r>
      <w:r>
        <w:rPr>
          <w:rStyle w:val="Emphasis"/>
          <w:rFonts w:cs="Times New Roman"/>
          <w:b/>
          <w:i w:val="false"/>
          <w:color w:val="000000"/>
          <w:spacing w:val="0"/>
          <w:sz w:val="24"/>
          <w:szCs w:val="24"/>
          <w:lang w:val="en-US"/>
        </w:rPr>
        <w:t xml:space="preserve"> in </w:t>
      </w:r>
      <w:r>
        <w:rPr>
          <w:rStyle w:val="Emphasis"/>
          <w:rFonts w:cs="Times New Roman"/>
          <w:b/>
          <w:i w:val="false"/>
          <w:color w:val="000000"/>
          <w:spacing w:val="0"/>
          <w:sz w:val="24"/>
          <w:szCs w:val="24"/>
          <w:lang w:val="en-US"/>
        </w:rPr>
        <w:t xml:space="preserve">October </w:t>
      </w:r>
      <w:r>
        <w:rPr>
          <w:rStyle w:val="Emphasis"/>
          <w:rFonts w:cs="Times New Roman"/>
          <w:b/>
          <w:i w:val="false"/>
          <w:color w:val="000000"/>
          <w:spacing w:val="0"/>
          <w:sz w:val="24"/>
          <w:szCs w:val="24"/>
          <w:lang w:val="en-US"/>
        </w:rPr>
        <w:t>2015; on the cover is written 2016</w:t>
      </w:r>
      <w:r>
        <w:rPr>
          <w:rStyle w:val="Emphasis"/>
          <w:rFonts w:cs="Times New Roman"/>
          <w:b/>
          <w:i w:val="false"/>
          <w:color w:val="000000"/>
          <w:spacing w:val="0"/>
          <w:sz w:val="24"/>
          <w:szCs w:val="24"/>
          <w:lang w:val="en-US"/>
        </w:rPr>
        <w:t>! WHY?</w:t>
      </w:r>
      <w:r>
        <w:rPr>
          <w:rStyle w:val="Emphasis"/>
          <w:rFonts w:cs="Times New Roman"/>
          <w:b/>
          <w:i w:val="false"/>
          <w:color w:val="000000"/>
          <w:spacing w:val="0"/>
          <w:sz w:val="24"/>
          <w:szCs w:val="24"/>
          <w:lang w:val="en-US"/>
        </w:rPr>
        <w:t>]</w:t>
      </w:r>
      <w:r>
        <w:rPr>
          <w:rFonts w:cs="Times New Roman"/>
          <w:b w:val="false"/>
          <w:i w:val="false"/>
          <w:color w:val="1C1E21"/>
          <w:spacing w:val="0"/>
          <w:sz w:val="22"/>
          <w:szCs w:val="22"/>
          <w:lang w:val="en-US"/>
        </w:rPr>
        <w:t xml:space="preserve"> This book = summary of the main</w:t>
      </w:r>
      <w:r>
        <w:rPr>
          <w:rFonts w:cs="Times New Roman"/>
          <w:b w:val="false"/>
          <w:i w:val="false"/>
          <w:color w:val="000000"/>
          <w:spacing w:val="0"/>
          <w:sz w:val="22"/>
          <w:szCs w:val="22"/>
          <w:lang w:val="en-US"/>
        </w:rPr>
        <w:t xml:space="preserve"> ideas of my PhD thesis published in 2007 </w:t>
      </w:r>
      <w:r>
        <w:rPr>
          <w:rFonts w:cs="Times New Roman"/>
          <w:b w:val="false"/>
          <w:i w:val="false"/>
          <w:color w:val="000000"/>
          <w:spacing w:val="0"/>
          <w:sz w:val="22"/>
          <w:szCs w:val="22"/>
          <w:lang w:val="en-US"/>
        </w:rPr>
        <w:t xml:space="preserve">+ </w:t>
      </w:r>
      <w:r>
        <w:rPr>
          <w:rFonts w:cs="Times New Roman"/>
          <w:b w:val="false"/>
          <w:i w:val="false"/>
          <w:color w:val="000000"/>
          <w:spacing w:val="0"/>
          <w:sz w:val="22"/>
          <w:szCs w:val="22"/>
          <w:lang w:val="en-US"/>
        </w:rPr>
        <w:t xml:space="preserve">my first FIVE books (English), all FREE at my webpage! </w:t>
      </w:r>
      <w:hyperlink r:id="rId51">
        <w:r>
          <w:rPr>
            <w:rStyle w:val="InternetLink"/>
            <w:rFonts w:cs="Times New Roman"/>
            <w:color w:val="000000"/>
            <w:sz w:val="22"/>
            <w:szCs w:val="22"/>
            <w:lang w:val="en-US"/>
          </w:rPr>
          <w:t>http://filosofie.unibuc.ro/gabriel_vacariu/</w:t>
        </w:r>
      </w:hyperlink>
      <w:r>
        <w:rPr>
          <w:rFonts w:cs="Times New Roman"/>
          <w:b w:val="false"/>
          <w:i w:val="false"/>
          <w:color w:val="000000"/>
          <w:spacing w:val="0"/>
          <w:sz w:val="22"/>
          <w:szCs w:val="22"/>
          <w:u w:val="none"/>
          <w:lang w:val="en-US"/>
        </w:rPr>
        <w:t xml:space="preserve"> </w:t>
      </w:r>
      <w:r>
        <w:rPr>
          <w:rFonts w:cs="Times New Roman"/>
          <w:b w:val="false"/>
          <w:i w:val="false"/>
          <w:color w:val="000000"/>
          <w:spacing w:val="0"/>
          <w:sz w:val="22"/>
          <w:szCs w:val="22"/>
          <w:lang w:val="en-US"/>
        </w:rPr>
        <w:t xml:space="preserve">Many books/articles FREE at  </w:t>
      </w:r>
      <w:hyperlink r:id="rId52">
        <w:r>
          <w:rPr>
            <w:rStyle w:val="InternetLink"/>
          </w:rPr>
          <w:t>https://www.researchgate.net/profile/Gabriel_Vacariu/publications</w:t>
        </w:r>
      </w:hyperlink>
      <w:r>
        <w:rPr>
          <w:rStyle w:val="InternetLink"/>
          <w:rFonts w:cs="Times New Roman"/>
          <w:b w:val="false"/>
          <w:i w:val="false"/>
          <w:color w:val="000000"/>
          <w:spacing w:val="0"/>
          <w:sz w:val="22"/>
          <w:szCs w:val="22"/>
          <w:u w:val="none"/>
          <w:lang w:val="en-US"/>
        </w:rPr>
        <w:t xml:space="preserve"> (</w:t>
      </w:r>
      <w:r>
        <w:rPr>
          <w:rStyle w:val="InternetLink"/>
          <w:rFonts w:cs="Times New Roman"/>
          <w:b/>
          <w:bCs/>
          <w:i w:val="false"/>
          <w:color w:val="000000"/>
          <w:spacing w:val="0"/>
          <w:sz w:val="22"/>
          <w:szCs w:val="22"/>
          <w:u w:val="none"/>
          <w:lang w:val="en-US"/>
        </w:rPr>
        <w:t>I have 12 published books on the main problems of Physics, Cognitive Neuroscience and Philosophy (philosophy of mind/physics/metaphysics/ontology/etc., all English!</w:t>
      </w:r>
      <w:r>
        <w:rPr>
          <w:rStyle w:val="InternetLink"/>
          <w:rFonts w:cs="Times New Roman"/>
          <w:b w:val="false"/>
          <w:i w:val="false"/>
          <w:color w:val="000000"/>
          <w:spacing w:val="0"/>
          <w:sz w:val="22"/>
          <w:szCs w:val="22"/>
          <w:u w:val="none"/>
          <w:lang w:val="en-US"/>
        </w:rPr>
        <w:t xml:space="preserve">) </w:t>
      </w:r>
    </w:p>
    <w:p>
      <w:pPr>
        <w:pStyle w:val="NormalWeb"/>
        <w:widowControl w:val="false"/>
        <w:overflowPunct w:val="true"/>
        <w:bidi w:val="0"/>
        <w:snapToGrid w:val="true"/>
        <w:spacing w:lineRule="auto" w:line="240" w:before="280" w:after="0"/>
        <w:ind w:left="0" w:right="0" w:hanging="0"/>
        <w:jc w:val="both"/>
        <w:textAlignment w:val="auto"/>
        <w:rPr/>
      </w:pPr>
      <w:r>
        <w:rPr>
          <w:rFonts w:cs="Times New Roman"/>
          <w:b w:val="false"/>
          <w:bCs w:val="false"/>
          <w:i w:val="false"/>
          <w:color w:val="000000"/>
          <w:spacing w:val="0"/>
          <w:sz w:val="22"/>
          <w:szCs w:val="22"/>
          <w:lang w:val="en-US"/>
        </w:rPr>
        <w:t xml:space="preserve">ATTENTION: </w:t>
      </w:r>
      <w:r>
        <w:rPr>
          <w:rFonts w:cs="Times New Roman"/>
          <w:b/>
          <w:i w:val="false"/>
          <w:color w:val="000000"/>
          <w:spacing w:val="0"/>
          <w:sz w:val="20"/>
          <w:szCs w:val="20"/>
          <w:lang w:val="en-US"/>
        </w:rPr>
        <w:t>Gabriel Vacariu, (June 20</w:t>
      </w:r>
      <w:r>
        <w:rPr>
          <w:rFonts w:cs="Times New Roman"/>
          <w:b/>
          <w:i w:val="false"/>
          <w:color w:val="1C1E21"/>
          <w:spacing w:val="0"/>
          <w:sz w:val="20"/>
          <w:szCs w:val="20"/>
          <w:lang w:val="en-US"/>
        </w:rPr>
        <w:t xml:space="preserve">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FREE at </w:t>
      </w:r>
    </w:p>
    <w:p>
      <w:pPr>
        <w:pStyle w:val="NormalWeb"/>
        <w:keepNext w:val="false"/>
        <w:keepLines w:val="false"/>
        <w:pageBreakBefore w:val="false"/>
        <w:widowControl w:val="false"/>
        <w:overflowPunct w:val="true"/>
        <w:bidi w:val="0"/>
        <w:snapToGrid w:val="true"/>
        <w:spacing w:lineRule="auto" w:line="240" w:before="280" w:after="0"/>
        <w:jc w:val="both"/>
        <w:textAlignment w:val="auto"/>
        <w:rPr/>
      </w:pPr>
      <w:hyperlink r:id="rId53">
        <w:r>
          <w:rPr>
            <w:rStyle w:val="InternetLink"/>
            <w:rFonts w:cs="Times New Roman"/>
            <w:sz w:val="20"/>
            <w:szCs w:val="20"/>
            <w:lang w:val="en-US"/>
          </w:rPr>
          <w:t>https://www.academia.edu/s/0c1502ea90</w:t>
        </w:r>
      </w:hyperlink>
      <w:r>
        <w:rPr>
          <w:rFonts w:cs="Times New Roman"/>
          <w:b/>
          <w:i w:val="false"/>
          <w:color w:val="FFFFFF"/>
          <w:spacing w:val="0"/>
          <w:sz w:val="20"/>
          <w:szCs w:val="20"/>
          <w:u w:val="single"/>
          <w:lang w:val="en-US"/>
        </w:rPr>
        <w:t xml:space="preserve"> </w:t>
      </w:r>
      <w:r>
        <w:rPr>
          <w:rFonts w:cs="Times New Roman"/>
          <w:b/>
          <w:i w:val="false"/>
          <w:color w:val="FFFFFF"/>
          <w:spacing w:val="0"/>
          <w:sz w:val="20"/>
          <w:szCs w:val="20"/>
          <w:u w:val="single"/>
          <w:lang w:val="en-US"/>
        </w:rPr>
        <w:t>;</w:t>
      </w:r>
      <w:hyperlink r:id="rId54">
        <w:r>
          <w:rPr>
            <w:rStyle w:val="InternetLink"/>
            <w:rFonts w:cs="Times New Roman"/>
            <w:sz w:val="20"/>
            <w:szCs w:val="20"/>
            <w:lang w:val="en-US"/>
          </w:rPr>
          <w:t>https://www.researchgate.net/publication/340621608_April_2020_2014_Gabriel_Vacariu_UNBELIEVABLE_similarities_odf</w:t>
        </w:r>
      </w:hyperlink>
      <w:r>
        <w:rPr>
          <w:lang w:val="en-US"/>
        </w:rPr>
        <w:t xml:space="preserve"> </w:t>
      </w:r>
      <w:hyperlink r:id="rId55">
        <w:r>
          <w:rPr>
            <w:rStyle w:val="InternetLink"/>
            <w:rFonts w:cs="Times New Roman"/>
            <w:sz w:val="20"/>
            <w:szCs w:val="20"/>
            <w:lang w:val="en-US"/>
          </w:rPr>
          <w:t>https://philpapers.org/rec/VACAT-2</w:t>
        </w:r>
      </w:hyperlink>
      <w:r>
        <w:rPr>
          <w:rFonts w:cs="Times New Roman"/>
          <w:b/>
          <w:i w:val="false"/>
          <w:color w:val="FFFFFF"/>
          <w:spacing w:val="0"/>
          <w:sz w:val="20"/>
          <w:szCs w:val="20"/>
          <w:u w:val="single"/>
          <w:lang w:val="en-US"/>
        </w:rPr>
        <w:t xml:space="preserve"> </w:t>
      </w:r>
    </w:p>
    <w:p>
      <w:pPr>
        <w:pStyle w:val="NormalWeb"/>
        <w:pageBreakBefore w:val="false"/>
        <w:widowControl w:val="false"/>
        <w:overflowPunct w:val="true"/>
        <w:bidi w:val="0"/>
        <w:snapToGrid w:val="true"/>
        <w:spacing w:lineRule="auto" w:line="240" w:before="280" w:after="0"/>
        <w:jc w:val="both"/>
        <w:textAlignment w:val="auto"/>
        <w:rPr/>
      </w:pPr>
      <w:r>
        <w:rPr>
          <w:rStyle w:val="InternetLink"/>
          <w:rFonts w:cs="Times New Roman"/>
          <w:b w:val="false"/>
          <w:i w:val="false"/>
          <w:color w:val="000000"/>
          <w:spacing w:val="0"/>
          <w:sz w:val="22"/>
          <w:szCs w:val="22"/>
          <w:u w:val="none"/>
          <w:lang w:val="en-US"/>
        </w:rPr>
        <w:t xml:space="preserve">My personal webpage: </w:t>
      </w:r>
      <w:hyperlink r:id="rId56">
        <w:r>
          <w:rPr>
            <w:rStyle w:val="InternetLink"/>
          </w:rPr>
          <w:t>https://sites.google.com/view/gabrielvacariuphilosophybuchar/home</w:t>
        </w:r>
      </w:hyperlink>
    </w:p>
    <w:p>
      <w:pPr>
        <w:pStyle w:val="TextBody"/>
        <w:keepNext w:val="false"/>
        <w:keepLines w:val="false"/>
        <w:widowControl w:val="false"/>
        <w:overflowPunct w:val="true"/>
        <w:bidi w:val="0"/>
        <w:snapToGrid w:val="true"/>
        <w:spacing w:lineRule="auto" w:line="240" w:before="280" w:after="0"/>
        <w:ind w:left="0" w:right="0" w:hanging="0"/>
        <w:jc w:val="both"/>
        <w:textAlignment w:val="auto"/>
        <w:rPr>
          <w:rFonts w:ascii="Times New Roman" w:hAnsi="Times New Roman" w:cs="Times New Roman"/>
          <w:b w:val="false"/>
          <w:b w:val="false"/>
          <w:bCs w:val="false"/>
          <w:i w:val="false"/>
          <w:i w:val="false"/>
          <w:color w:val="000000"/>
          <w:spacing w:val="0"/>
          <w:sz w:val="22"/>
          <w:szCs w:val="22"/>
          <w:lang w:val="en-US"/>
        </w:rPr>
      </w:pPr>
      <w:r>
        <w:rPr>
          <w:rStyle w:val="StrongEmphasis"/>
          <w:rFonts w:cs="Times New Roman"/>
          <w:b w:val="false"/>
          <w:bCs w:val="false"/>
          <w:i w:val="false"/>
          <w:caps w:val="false"/>
          <w:smallCaps w:val="false"/>
          <w:color w:val="030303"/>
          <w:spacing w:val="0"/>
          <w:sz w:val="20"/>
          <w:szCs w:val="20"/>
          <w:u w:val="none"/>
          <w:lang w:val="en-US"/>
        </w:rPr>
        <w:t>VIDEOCLIP: May 11th, 2020: Gabriel Vacariu's presentation for Department of Physics, Pabna University of Science and Techonology, Pabna, Bangladesh, for International Physics Webinar_153, organized by Pretam Kumar Das (physicist at that university): "</w:t>
      </w:r>
      <w:r>
        <w:rPr>
          <w:rStyle w:val="StrongEmphasis"/>
          <w:rFonts w:cs="Times New Roman"/>
          <w:b/>
          <w:bCs/>
          <w:i w:val="false"/>
          <w:caps w:val="false"/>
          <w:smallCaps w:val="false"/>
          <w:color w:val="030303"/>
          <w:spacing w:val="0"/>
          <w:sz w:val="20"/>
          <w:szCs w:val="20"/>
          <w:u w:val="none"/>
          <w:lang w:val="en-US"/>
        </w:rPr>
        <w:t>The EDWs and Quantum Mechanics</w:t>
      </w:r>
      <w:r>
        <w:rPr>
          <w:rStyle w:val="StrongEmphasis"/>
          <w:rFonts w:cs="Times New Roman"/>
          <w:b w:val="false"/>
          <w:bCs w:val="false"/>
          <w:i w:val="false"/>
          <w:caps w:val="false"/>
          <w:smallCaps w:val="false"/>
          <w:color w:val="030303"/>
          <w:spacing w:val="0"/>
          <w:sz w:val="20"/>
          <w:szCs w:val="20"/>
          <w:u w:val="none"/>
          <w:lang w:val="en-US"/>
        </w:rPr>
        <w:t>"</w:t>
      </w:r>
      <w:r>
        <w:rPr>
          <w:rStyle w:val="StrongEmphasis"/>
          <w:rFonts w:cs="Times New Roman"/>
          <w:b w:val="false"/>
          <w:bCs w:val="false"/>
          <w:i w:val="false"/>
          <w:caps w:val="false"/>
          <w:smallCaps w:val="false"/>
          <w:color w:val="000000"/>
          <w:spacing w:val="0"/>
          <w:sz w:val="20"/>
          <w:szCs w:val="20"/>
          <w:u w:val="none"/>
          <w:lang w:val="en-US"/>
        </w:rPr>
        <w:t xml:space="preserve"> </w:t>
      </w:r>
      <w:r>
        <w:rPr>
          <w:rStyle w:val="StrongEmphasis"/>
          <w:rFonts w:cs="Times New Roman"/>
          <w:b w:val="false"/>
          <w:bCs w:val="false"/>
          <w:i w:val="false"/>
          <w:caps w:val="false"/>
          <w:smallCaps w:val="false"/>
          <w:color w:val="006580"/>
          <w:spacing w:val="0"/>
          <w:sz w:val="20"/>
          <w:szCs w:val="20"/>
          <w:u w:val="none"/>
          <w:lang w:val="en-US"/>
        </w:rPr>
        <w:t>here:</w:t>
      </w:r>
    </w:p>
    <w:p>
      <w:pPr>
        <w:pStyle w:val="TextBody"/>
        <w:widowControl/>
        <w:bidi w:val="0"/>
        <w:spacing w:lineRule="auto" w:line="396" w:before="120" w:after="0"/>
        <w:ind w:right="0" w:hanging="0"/>
        <w:rPr/>
      </w:pPr>
      <w:hyperlink r:id="rId57" w:tgtFrame="_blank">
        <w:r>
          <w:rPr>
            <w:rStyle w:val="StrongEmphasis"/>
            <w:b w:val="false"/>
            <w:bCs w:val="false"/>
            <w:i w:val="false"/>
            <w:caps w:val="false"/>
            <w:smallCaps w:val="false"/>
            <w:strike w:val="false"/>
            <w:dstrike w:val="false"/>
            <w:color w:val="006580"/>
            <w:spacing w:val="0"/>
            <w:sz w:val="20"/>
            <w:szCs w:val="20"/>
            <w:u w:val="none"/>
            <w:effect w:val="none"/>
          </w:rPr>
          <w:t>https://www.youtube.com/watch?v=14Q2mPTa4to&amp;ab_channel=PretamKumarDas</w:t>
        </w:r>
      </w:hyperlink>
    </w:p>
    <w:p>
      <w:pPr>
        <w:pStyle w:val="PreformattedText"/>
        <w:jc w:val="both"/>
        <w:rPr>
          <w:rFonts w:ascii="Times New Roman" w:hAnsi="Times New Roman"/>
          <w:sz w:val="24"/>
          <w:szCs w:val="24"/>
        </w:rPr>
      </w:pPr>
      <w:r>
        <w:rPr>
          <w:rFonts w:ascii="Times New Roman" w:hAnsi="Times New Roman"/>
          <w:sz w:val="24"/>
          <w:szCs w:val="24"/>
        </w:rPr>
        <w:t xml:space="preserve">I posted FREE my first FIVE books (all English) at my webpage and other pages immediately after publication and many articles (at my webpage and other pages)!! About my EDWs perspective, see </w:t>
      </w:r>
    </w:p>
    <w:p>
      <w:pPr>
        <w:pStyle w:val="PreformattedText"/>
        <w:jc w:val="both"/>
        <w:rPr>
          <w:rFonts w:ascii="Times New Roman" w:hAnsi="Times New Roman"/>
          <w:b/>
          <w:b/>
          <w:bCs/>
          <w:sz w:val="24"/>
          <w:szCs w:val="24"/>
        </w:rPr>
      </w:pPr>
      <w:r>
        <w:rPr>
          <w:rFonts w:ascii="Times New Roman" w:hAnsi="Times New Roman"/>
          <w:b/>
          <w:bCs/>
          <w:sz w:val="24"/>
          <w:szCs w:val="24"/>
        </w:rPr>
        <w:t>(1) my article at SYNTHESE (2005, USA – one of the best journal of philosophy of science and epistemology): 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pStyle w:val="PreformattedText"/>
        <w:jc w:val="both"/>
        <w:rPr>
          <w:rFonts w:ascii="Times New Roman" w:hAnsi="Times New Roman"/>
          <w:sz w:val="24"/>
          <w:szCs w:val="24"/>
        </w:rPr>
      </w:pPr>
      <w:r>
        <w:rPr>
          <w:rFonts w:ascii="Times New Roman" w:hAnsi="Times New Roman"/>
          <w:sz w:val="24"/>
          <w:szCs w:val="24"/>
        </w:rPr>
        <w:t>(2) my PhD thesis (UNSW, Sydney, Australia): many parts of the book from Springer (see below) are in this thesis; anyway, the main ideas from Springer’s book are in my thesis which has been posted FREE on internet by the staff of that university (UNSW) in 2007!!!</w:t>
      </w:r>
    </w:p>
    <w:p>
      <w:pPr>
        <w:pStyle w:val="PreformattedText"/>
        <w:jc w:val="both"/>
        <w:rPr/>
      </w:pPr>
      <w:r>
        <w:rPr>
          <w:rFonts w:ascii="Times New Roman" w:hAnsi="Times New Roman"/>
          <w:sz w:val="24"/>
          <w:szCs w:val="24"/>
        </w:rPr>
        <w:t xml:space="preserve">(3) my book at SPRINGER (2016, Germany)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hyperlink r:id="rId58">
        <w:r>
          <w:rPr>
            <w:rStyle w:val="InternetLink"/>
            <w:rFonts w:ascii="Times New Roman" w:hAnsi="Times New Roman"/>
            <w:sz w:val="24"/>
            <w:szCs w:val="24"/>
          </w:rPr>
          <w:t>https://www.springer.com/gp/book/9783658104436</w:t>
        </w:r>
      </w:hyperlink>
    </w:p>
    <w:p>
      <w:pPr>
        <w:pStyle w:val="PreformattedText"/>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pStyle w:val="PreformattedText"/>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pStyle w:val="PreformattedText"/>
        <w:jc w:val="both"/>
        <w:rPr>
          <w:rFonts w:ascii="Times New Roman" w:hAnsi="Times New Roman"/>
          <w:sz w:val="21"/>
          <w:szCs w:val="21"/>
        </w:rPr>
      </w:pPr>
      <w:r>
        <w:rPr>
          <w:rFonts w:ascii="Times New Roman" w:hAnsi="Times New Roman"/>
          <w:sz w:val="21"/>
          <w:szCs w:val="21"/>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(The EDWs are TOTALLY different than Everett’s “many worlds” or “parallel universes”! In fact, from the EDWs perspective, both these alternatives are wrong! Moreover, “multiverse” refers to something completely different than my EDWs!)</w:t>
      </w:r>
    </w:p>
    <w:p>
      <w:pPr>
        <w:pStyle w:val="PreformattedText"/>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pStyle w:val="PreformattedText"/>
        <w:jc w:val="both"/>
        <w:rPr>
          <w:rFonts w:ascii="Times New Roman" w:hAnsi="Times New Roman"/>
          <w:sz w:val="24"/>
          <w:szCs w:val="24"/>
        </w:rPr>
      </w:pPr>
      <w:r>
        <w:rPr>
          <w:rFonts w:ascii="Times New Roman" w:hAnsi="Times New Roman"/>
          <w:sz w:val="24"/>
          <w:szCs w:val="24"/>
        </w:rPr>
        <w:t>http://filosofie.unibuc.ro/.../2015-Vacariu-God-cannot...</w:t>
      </w:r>
    </w:p>
    <w:p>
      <w:pPr>
        <w:pStyle w:val="PreformattedText"/>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pStyle w:val="PreformattedText"/>
        <w:jc w:val="both"/>
        <w:rPr>
          <w:rFonts w:ascii="Times New Roman" w:hAnsi="Times New Roman"/>
          <w:sz w:val="24"/>
          <w:szCs w:val="24"/>
        </w:rPr>
      </w:pPr>
      <w:r>
        <w:rPr>
          <w:rFonts w:ascii="Times New Roman" w:hAnsi="Times New Roman"/>
          <w:sz w:val="24"/>
          <w:szCs w:val="24"/>
        </w:rPr>
      </w:r>
    </w:p>
    <w:p>
      <w:pPr>
        <w:pStyle w:val="PreformattedText"/>
        <w:jc w:val="both"/>
        <w:rPr/>
      </w:pPr>
      <w:r>
        <w:rPr/>
      </w:r>
    </w:p>
    <w:p>
      <w:pPr>
        <w:pStyle w:val="NormalWeb"/>
        <w:shd w:val="clear" w:fill="FFFFFF"/>
        <w:spacing w:before="0" w:after="0"/>
        <w:contextualSpacing/>
        <w:jc w:val="both"/>
        <w:rPr/>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pStyle w:val="NormalWeb"/>
        <w:shd w:val="clear" w:fill="FFFFFF"/>
        <w:spacing w:before="0" w:after="0"/>
        <w:ind w:left="0" w:right="0" w:firstLine="720"/>
        <w:contextualSpacing/>
        <w:jc w:val="both"/>
        <w:rPr>
          <w:i/>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Pr>
        <w:pStyle w:val="Normal"/>
        <w:rPr/>
      </w:pPr>
      <w:r>
        <w:rPr/>
      </w:r>
    </w:p>
    <w:p>
      <w:pPr>
        <w:pStyle w:val="Normal"/>
        <w:spacing w:before="0" w:after="0"/>
        <w:contextualSpacing/>
        <w:rPr/>
      </w:pPr>
      <w:r>
        <w:rP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Pr>
        <w:pStyle w:val="Normal"/>
        <w:spacing w:before="0" w:after="0"/>
        <w:contextualSpacing/>
        <w:rPr/>
      </w:pPr>
      <w:r>
        <w:rPr/>
      </w:r>
    </w:p>
    <w:p>
      <w:pPr>
        <w:pStyle w:val="Normal"/>
        <w:spacing w:before="0" w:after="0"/>
        <w:contextualSpacing/>
        <w:rPr>
          <w:rFonts w:ascii="Segoe UI Historic" w:hAnsi="Segoe UI Historic" w:eastAsia="Segoe UI Historic" w:cs="Segoe UI Historic"/>
          <w:i w:val="false"/>
          <w:i w:val="false"/>
          <w:iCs w:val="false"/>
          <w:caps w:val="false"/>
          <w:smallCaps w:val="false"/>
          <w:color w:val="050505"/>
          <w:spacing w:val="0"/>
          <w:sz w:val="15"/>
          <w:szCs w:val="15"/>
          <w:highlight w:val="white"/>
        </w:rPr>
      </w:pPr>
      <w:r>
        <w:rPr>
          <w:rFonts w:eastAsia="Segoe UI Historic" w:cs="Segoe UI Historic" w:ascii="Segoe UI Historic" w:hAnsi="Segoe UI Historic"/>
          <w:i w:val="false"/>
          <w:iCs w:val="false"/>
          <w:caps w:val="false"/>
          <w:smallCaps w:val="false"/>
          <w:color w:val="050505"/>
          <w:spacing w:val="0"/>
          <w:sz w:val="15"/>
          <w:szCs w:val="15"/>
          <w:shd w:fill="FFFFFF" w:val="clear"/>
        </w:rPr>
        <w:t>Max Planck: “A new scientific truth does not triumph by convincing its opponents and making them see the light, but rather because its opponents eventually die, and a new generation grows up that is familiar with it.” So, THIS WORLD DOES NOT DESERVE ME!!! I have to wait another world to be recognized!!! This world is full of stupids (majority), bastards (thieves, those who have plagiarized my ideas) and envy people (my colleagues from my Department and many others in the world like professors from US who cannot support a Romanian (from Africa, of course) have demolished all their works but also the work elaborated by great thinkers like all philosophers in the entire history, Einstein and physicists of quantum mechanics in fact ALL GREAT THINKERS in the history of human thinking!)!!! February 2021, UNBELIEVABLE similarities between my ideas (2002-2008-2014) and the ideas of other people (2008-2020) Why so many people have plagiarized my ideas? Because I have changed EVERYTHING in human knowledge (Physics, Cognitive Neuroscience, Philosophy) since I introduced a new PARADIGM of thinking which has solved all great problems like mind-brain problem, quantum mechanics problems, micro vs. macro problems, definition of "life", all kinds of "emergence", etc. etc.) I should receive TWO Nobel prizes (Physics and Biology-Medicine), but I will receive nothing just because I am Romanian... I repeat: I HAVE CHANGED EVERYTHING ESSENTIAL in human knowledge!!!</w:t>
      </w:r>
    </w:p>
    <w:p>
      <w:pPr>
        <w:pStyle w:val="Normal"/>
        <w:spacing w:before="0" w:after="0"/>
        <w:ind w:firstLine="720"/>
        <w:contextualSpacing/>
        <w:rPr>
          <w:rFonts w:ascii="Segoe UI Historic" w:hAnsi="Segoe UI Historic" w:eastAsia="Segoe UI Historic" w:cs="Segoe UI Historic"/>
          <w:i w:val="false"/>
          <w:i w:val="false"/>
          <w:iCs w:val="false"/>
          <w:caps w:val="false"/>
          <w:smallCaps w:val="false"/>
          <w:color w:val="050505"/>
          <w:spacing w:val="0"/>
          <w:sz w:val="15"/>
          <w:szCs w:val="15"/>
          <w:highlight w:val="white"/>
        </w:rPr>
      </w:pPr>
      <w:r>
        <w:rPr>
          <w:rFonts w:eastAsia="Segoe UI Historic" w:cs="Segoe UI Historic" w:ascii="Segoe UI Historic" w:hAnsi="Segoe UI Historic"/>
          <w:i w:val="false"/>
          <w:iCs w:val="false"/>
          <w:caps w:val="false"/>
          <w:smallCaps w:val="false"/>
          <w:color w:val="050505"/>
          <w:spacing w:val="0"/>
          <w:sz w:val="15"/>
          <w:szCs w:val="15"/>
          <w:shd w:fill="F0F2F5" w:val="clear"/>
          <w:lang w:val="en-US"/>
        </w:rPr>
        <w:t>R</w:t>
      </w:r>
      <w:r>
        <w:rPr>
          <w:rFonts w:eastAsia="Segoe UI Historic" w:cs="Segoe UI Historic" w:ascii="Segoe UI Historic" w:hAnsi="Segoe UI Historic"/>
          <w:i w:val="false"/>
          <w:iCs w:val="false"/>
          <w:caps w:val="false"/>
          <w:smallCaps w:val="false"/>
          <w:color w:val="050505"/>
          <w:spacing w:val="0"/>
          <w:sz w:val="15"/>
          <w:szCs w:val="15"/>
          <w:shd w:fill="F0F2F5" w:val="clear"/>
        </w:rPr>
        <w:t>egarding some of my colleagues: I am lucky I trained Karake when I was student. Why? one of my colleagues wanted to burn my face with his cigarette, another wanted to push out from a room class where I was with my students, I have the worst promotion at my department, all chiefs have HATED me a lot... I have had quarells a lot with them... since I have had the worst promotion at department! Why? because I have the beest CV, because they pressupose "I have changed the world" (I published my main ideas at Springer!!) (anway, they are unable to understand completly my works)... So this is the reason I am lucky I trained Karate when I was young. I can fight with some of them at the same time...</w:t>
      </w:r>
    </w:p>
    <w:p>
      <w:pPr>
        <w:pStyle w:val="Normal"/>
        <w:rPr>
          <w:rFonts w:ascii="Segoe UI Historic" w:hAnsi="Segoe UI Historic" w:eastAsia="Segoe UI Historic" w:cs="Segoe UI Historic"/>
          <w:b/>
          <w:b/>
          <w:bCs/>
          <w:i w:val="false"/>
          <w:i w:val="false"/>
          <w:iCs w:val="false"/>
          <w:caps w:val="false"/>
          <w:smallCaps w:val="false"/>
          <w:color w:val="FF0000"/>
          <w:spacing w:val="0"/>
          <w:sz w:val="32"/>
          <w:szCs w:val="32"/>
          <w:highlight w:val="blue"/>
        </w:rPr>
      </w:pPr>
      <w:bookmarkStart w:id="5" w:name="_GoBack"/>
      <w:r>
        <w:rPr>
          <w:color w:val="FF0000"/>
          <w:sz w:val="32"/>
          <w:szCs w:val="32"/>
          <w:lang w:val="en-US"/>
        </w:rPr>
        <w:tab/>
      </w:r>
      <w:r>
        <w:rPr>
          <w:b/>
          <w:bCs/>
          <w:color w:val="FF0000"/>
          <w:sz w:val="32"/>
          <w:szCs w:val="32"/>
          <w:lang w:val="en-US"/>
        </w:rPr>
        <w:t>A</w:t>
      </w:r>
      <w:r>
        <w:rPr>
          <w:rFonts w:eastAsia="Segoe UI Historic" w:cs="Segoe UI Historic" w:ascii="Segoe UI Historic" w:hAnsi="Segoe UI Historic"/>
          <w:b/>
          <w:bCs/>
          <w:i w:val="false"/>
          <w:iCs w:val="false"/>
          <w:caps w:val="false"/>
          <w:smallCaps w:val="false"/>
          <w:color w:val="FF0000"/>
          <w:spacing w:val="0"/>
          <w:sz w:val="32"/>
          <w:szCs w:val="32"/>
          <w:shd w:fill="F0F2F5" w:val="clear"/>
        </w:rPr>
        <w:t xml:space="preserve"> person coming with similar ideas and pretending he </w:t>
      </w:r>
      <w:r>
        <w:rPr>
          <w:rFonts w:eastAsia="Segoe UI Historic" w:cs="Segoe UI Historic" w:ascii="Segoe UI Historic" w:hAnsi="Segoe UI Historic"/>
          <w:b/>
          <w:bCs/>
          <w:i w:val="false"/>
          <w:iCs w:val="false"/>
          <w:caps w:val="false"/>
          <w:smallCaps w:val="false"/>
          <w:color w:val="FF0000"/>
          <w:spacing w:val="0"/>
          <w:sz w:val="32"/>
          <w:szCs w:val="32"/>
          <w:shd w:fill="F0F2F5" w:val="clear"/>
          <w:lang w:val="en-US"/>
        </w:rPr>
        <w:t xml:space="preserve">has </w:t>
      </w:r>
      <w:r>
        <w:rPr>
          <w:rFonts w:eastAsia="Segoe UI Historic" w:cs="Segoe UI Historic" w:ascii="Segoe UI Historic" w:hAnsi="Segoe UI Historic"/>
          <w:b/>
          <w:bCs/>
          <w:i w:val="false"/>
          <w:iCs w:val="false"/>
          <w:caps w:val="false"/>
          <w:smallCaps w:val="false"/>
          <w:color w:val="FF0000"/>
          <w:spacing w:val="0"/>
          <w:sz w:val="32"/>
          <w:szCs w:val="32"/>
          <w:shd w:fill="F0F2F5" w:val="clear"/>
        </w:rPr>
        <w:t xml:space="preserve">never read my ideas is like </w:t>
      </w:r>
      <w:r>
        <w:rPr>
          <w:rFonts w:eastAsia="Segoe UI Historic" w:cs="Segoe UI Historic" w:ascii="Segoe UI Historic" w:hAnsi="Segoe UI Historic"/>
          <w:b/>
          <w:bCs/>
          <w:i w:val="false"/>
          <w:iCs w:val="false"/>
          <w:caps w:val="false"/>
          <w:smallCaps w:val="false"/>
          <w:color w:val="FF0000"/>
          <w:spacing w:val="0"/>
          <w:sz w:val="32"/>
          <w:szCs w:val="32"/>
          <w:shd w:fill="F0F2F5" w:val="clear"/>
          <w:lang w:val="en-US"/>
        </w:rPr>
        <w:t xml:space="preserve">he has </w:t>
      </w:r>
      <w:r>
        <w:rPr>
          <w:rFonts w:eastAsia="Segoe UI Historic" w:cs="Segoe UI Historic" w:ascii="Segoe UI Historic" w:hAnsi="Segoe UI Historic"/>
          <w:b/>
          <w:bCs/>
          <w:i w:val="false"/>
          <w:iCs w:val="false"/>
          <w:caps w:val="false"/>
          <w:smallCaps w:val="false"/>
          <w:color w:val="FF0000"/>
          <w:spacing w:val="0"/>
          <w:sz w:val="32"/>
          <w:szCs w:val="32"/>
          <w:shd w:fill="F0F2F5" w:val="clear"/>
        </w:rPr>
        <w:t>compos</w:t>
      </w:r>
      <w:r>
        <w:rPr>
          <w:rFonts w:eastAsia="Segoe UI Historic" w:cs="Segoe UI Historic" w:ascii="Segoe UI Historic" w:hAnsi="Segoe UI Historic"/>
          <w:b/>
          <w:bCs/>
          <w:i w:val="false"/>
          <w:iCs w:val="false"/>
          <w:caps w:val="false"/>
          <w:smallCaps w:val="false"/>
          <w:color w:val="FF0000"/>
          <w:spacing w:val="0"/>
          <w:sz w:val="32"/>
          <w:szCs w:val="32"/>
          <w:shd w:fill="F0F2F5" w:val="clear"/>
          <w:lang w:val="en-US"/>
        </w:rPr>
        <w:t>ed</w:t>
      </w:r>
      <w:r>
        <w:rPr>
          <w:rFonts w:eastAsia="Segoe UI Historic" w:cs="Segoe UI Historic" w:ascii="Segoe UI Historic" w:hAnsi="Segoe UI Historic"/>
          <w:b/>
          <w:bCs/>
          <w:i w:val="false"/>
          <w:iCs w:val="false"/>
          <w:caps w:val="false"/>
          <w:smallCaps w:val="false"/>
          <w:color w:val="FF0000"/>
          <w:spacing w:val="0"/>
          <w:sz w:val="32"/>
          <w:szCs w:val="32"/>
          <w:shd w:fill="F0F2F5" w:val="clear"/>
        </w:rPr>
        <w:t xml:space="preserve"> a similar Symphony to Beethoven's Fifth Symphony and pretend</w:t>
      </w:r>
      <w:r>
        <w:rPr>
          <w:rFonts w:eastAsia="Segoe UI Historic" w:cs="Segoe UI Historic" w:ascii="Segoe UI Historic" w:hAnsi="Segoe UI Historic"/>
          <w:b/>
          <w:bCs/>
          <w:i w:val="false"/>
          <w:iCs w:val="false"/>
          <w:caps w:val="false"/>
          <w:smallCaps w:val="false"/>
          <w:color w:val="FF0000"/>
          <w:spacing w:val="0"/>
          <w:sz w:val="32"/>
          <w:szCs w:val="32"/>
          <w:shd w:fill="F0F2F5" w:val="clear"/>
          <w:lang w:val="en-US"/>
        </w:rPr>
        <w:t>ing</w:t>
      </w:r>
      <w:r>
        <w:rPr>
          <w:rFonts w:eastAsia="Segoe UI Historic" w:cs="Segoe UI Historic" w:ascii="Segoe UI Historic" w:hAnsi="Segoe UI Historic"/>
          <w:b/>
          <w:bCs/>
          <w:i w:val="false"/>
          <w:iCs w:val="false"/>
          <w:caps w:val="false"/>
          <w:smallCaps w:val="false"/>
          <w:color w:val="FF0000"/>
          <w:spacing w:val="0"/>
          <w:sz w:val="32"/>
          <w:szCs w:val="32"/>
          <w:shd w:fill="F0F2F5" w:val="clear"/>
        </w:rPr>
        <w:t xml:space="preserve"> he ha</w:t>
      </w:r>
      <w:r>
        <w:rPr>
          <w:rFonts w:eastAsia="Segoe UI Historic" w:cs="Segoe UI Historic" w:ascii="Segoe UI Historic" w:hAnsi="Segoe UI Historic"/>
          <w:b/>
          <w:bCs/>
          <w:i w:val="false"/>
          <w:iCs w:val="false"/>
          <w:caps w:val="false"/>
          <w:smallCaps w:val="false"/>
          <w:color w:val="FF0000"/>
          <w:spacing w:val="0"/>
          <w:sz w:val="32"/>
          <w:szCs w:val="32"/>
          <w:shd w:fill="F0F2F5" w:val="clear"/>
          <w:lang w:val="en-US"/>
        </w:rPr>
        <w:t>s</w:t>
      </w:r>
      <w:r>
        <w:rPr>
          <w:rFonts w:eastAsia="Segoe UI Historic" w:cs="Segoe UI Historic" w:ascii="Segoe UI Historic" w:hAnsi="Segoe UI Historic"/>
          <w:b/>
          <w:bCs/>
          <w:i w:val="false"/>
          <w:iCs w:val="false"/>
          <w:caps w:val="false"/>
          <w:smallCaps w:val="false"/>
          <w:color w:val="FF0000"/>
          <w:spacing w:val="0"/>
          <w:sz w:val="32"/>
          <w:szCs w:val="32"/>
          <w:shd w:fill="F0F2F5" w:val="clear"/>
        </w:rPr>
        <w:t xml:space="preserve"> never listened Beethoven.</w:t>
      </w:r>
      <w:bookmarkEnd w:id="5"/>
    </w:p>
    <w:p>
      <w:pPr>
        <w:pStyle w:val="Normal"/>
        <w:rPr>
          <w:rFonts w:ascii="Segoe UI Historic" w:hAnsi="Segoe UI Historic" w:eastAsia="Segoe UI Historic" w:cs="Segoe UI Historic"/>
          <w:i w:val="false"/>
          <w:i w:val="false"/>
          <w:iCs w:val="false"/>
          <w:caps w:val="false"/>
          <w:smallCaps w:val="false"/>
          <w:color w:val="050505"/>
          <w:spacing w:val="0"/>
          <w:sz w:val="15"/>
          <w:szCs w:val="15"/>
          <w:highlight w:val="blue"/>
          <w:lang w:val="en-US"/>
        </w:rPr>
      </w:pPr>
      <w:r>
        <w:rPr>
          <w:rFonts w:eastAsia="Segoe UI Historic" w:cs="Segoe UI Historic" w:ascii="Segoe UI Historic" w:hAnsi="Segoe UI Historic"/>
          <w:i w:val="false"/>
          <w:iCs w:val="false"/>
          <w:caps w:val="false"/>
          <w:smallCaps w:val="false"/>
          <w:color w:val="050505"/>
          <w:spacing w:val="0"/>
          <w:sz w:val="15"/>
          <w:szCs w:val="15"/>
          <w:highlight w:val="blue"/>
          <w:lang w:val="en-US"/>
        </w:rPr>
      </w:r>
    </w:p>
    <w:p>
      <w:pPr>
        <w:pStyle w:val="NormalWeb"/>
        <w:shd w:val="clear" w:fill="FFFFFF"/>
        <w:spacing w:before="0" w:after="0"/>
        <w:contextualSpacing/>
        <w:jc w:val="both"/>
        <w:rPr/>
      </w:pPr>
      <w:r>
        <w:rP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pStyle w:val="NormalWeb"/>
        <w:shd w:val="clear" w:fill="FFFFFF"/>
        <w:spacing w:before="0" w:after="0"/>
        <w:contextualSpacing/>
        <w:jc w:val="both"/>
        <w:rPr/>
      </w:pPr>
      <w:r>
        <w:rPr/>
        <w:t>Obviously, history does not forgive plagiarism. They have already lost. “I don’t care that they stole my ideas. I care that they don’t have any of their own… The present is their; the future, for which I have really worked, is mine.” (Nikola Tesla)’</w:t>
      </w:r>
    </w:p>
    <w:p>
      <w:pPr>
        <w:pStyle w:val="NormalWeb"/>
        <w:shd w:val="clear" w:fill="FFFFFF"/>
        <w:spacing w:before="0" w:after="0"/>
        <w:ind w:left="0" w:right="0" w:firstLine="720"/>
        <w:contextualSpacing/>
        <w:jc w:val="both"/>
        <w:rPr/>
      </w:pPr>
      <w:r>
        <w:rP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pStyle w:val="NormalWeb"/>
        <w:shd w:val="clear" w:fill="FFFFFF"/>
        <w:spacing w:before="0" w:after="0"/>
        <w:ind w:left="0" w:right="0" w:firstLine="720"/>
        <w:contextualSpacing/>
        <w:jc w:val="both"/>
        <w:rPr/>
      </w:pPr>
      <w:r>
        <w:rP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pStyle w:val="Normal"/>
        <w:numPr>
          <w:ilvl w:val="0"/>
          <w:numId w:val="10"/>
        </w:numPr>
        <w:shd w:val="clear" w:fill="FFFFFF"/>
        <w:spacing w:before="0" w:after="0"/>
        <w:ind w:left="0" w:right="0" w:hanging="360"/>
        <w:contextualSpacing/>
        <w:rPr/>
      </w:pPr>
      <w:r>
        <w:rPr/>
        <w:t>I complained at Bonn University, Ethics committee about the incredible similarities between my ideas (2005, 2008) and Markus Gabriel’s ideas (2013). Here is the negative result of the committee: </w:t>
      </w:r>
      <w:hyperlink r:id="rId59">
        <w:r>
          <w:rPr>
            <w:rStyle w:val="InternetLink"/>
          </w:rPr>
          <w:t>About complain regarding Markus Gabriel’s plagiarism, Bonn University notification</w:t>
        </w:r>
      </w:hyperlink>
    </w:p>
    <w:p>
      <w:pPr>
        <w:pStyle w:val="Normal"/>
        <w:numPr>
          <w:ilvl w:val="0"/>
          <w:numId w:val="10"/>
        </w:numPr>
        <w:shd w:val="clear" w:fill="FFFFFF"/>
        <w:spacing w:before="0" w:after="0"/>
        <w:ind w:left="0" w:right="0" w:hanging="360"/>
        <w:contextualSpacing/>
        <w:rPr/>
      </w:pPr>
      <w:r>
        <w:rPr/>
        <w:t>See cover of my book from 2010 (left) and cover of Markus Gabriel’s book (right, English edition 2015). Next movement? Probable he will change his first name in “Vacariu”… (Unbelievable, how this publishing company published markus gabriel’s book?!!)</w:t>
      </w:r>
    </w:p>
    <w:p>
      <w:pPr>
        <w:pStyle w:val="Normal"/>
        <w:numPr>
          <w:ilvl w:val="0"/>
          <w:numId w:val="0"/>
        </w:numPr>
        <w:shd w:val="clear" w:fill="FFFFFF"/>
        <w:spacing w:before="0" w:after="0"/>
        <w:ind w:left="360" w:right="0" w:hanging="0"/>
        <w:contextualSpacing/>
        <w:rPr/>
      </w:pPr>
      <w:r>
        <w:rPr/>
        <w:drawing>
          <wp:inline distT="0" distB="0"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60"/>
                    <a:stretch>
                      <a:fillRect/>
                    </a:stretch>
                  </pic:blipFill>
                  <pic:spPr bwMode="auto">
                    <a:xfrm>
                      <a:off x="0" y="0"/>
                      <a:ext cx="2857500" cy="2047875"/>
                    </a:xfrm>
                    <a:prstGeom prst="rect">
                      <a:avLst/>
                    </a:prstGeom>
                  </pic:spPr>
                </pic:pic>
              </a:graphicData>
            </a:graphic>
          </wp:inline>
        </w:drawing>
      </w:r>
    </w:p>
    <w:p>
      <w:pPr>
        <w:pStyle w:val="ListParagraph"/>
        <w:numPr>
          <w:ilvl w:val="0"/>
          <w:numId w:val="11"/>
        </w:numPr>
        <w:shd w:val="clear" w:fill="FFFFFF"/>
        <w:spacing w:before="0" w:after="0"/>
        <w:ind w:left="0" w:right="0" w:hanging="360"/>
        <w:contextualSpacing/>
        <w:jc w:val="both"/>
        <w:rPr/>
      </w:pPr>
      <w:r>
        <w:rPr>
          <w:rFonts w:ascii="Times New Roman" w:hAnsi="Times New Roman"/>
          <w:sz w:val="24"/>
          <w:szCs w:val="24"/>
        </w:rPr>
        <w:t>“</w:t>
      </w: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pStyle w:val="Normal"/>
        <w:numPr>
          <w:ilvl w:val="0"/>
          <w:numId w:val="11"/>
        </w:numPr>
        <w:shd w:val="clear" w:fill="FFFFFF"/>
        <w:spacing w:before="0" w:after="0"/>
        <w:ind w:left="0" w:right="0" w:hanging="360"/>
        <w:contextualSpacing/>
        <w:rPr/>
      </w:pPr>
      <w:r>
        <w:rPr/>
        <w:t>“</w:t>
      </w:r>
      <w:r>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Emphasis"/>
        </w:rPr>
        <w:t>Images of time</w:t>
      </w:r>
      <w:r>
        <w:rPr/>
        <w:t>)</w:t>
      </w:r>
    </w:p>
    <w:p>
      <w:pPr>
        <w:pStyle w:val="Normal"/>
        <w:numPr>
          <w:ilvl w:val="0"/>
          <w:numId w:val="11"/>
        </w:numPr>
        <w:shd w:val="clear" w:fill="FFFFFF"/>
        <w:spacing w:before="0" w:after="0"/>
        <w:ind w:left="0" w:right="0" w:hanging="360"/>
        <w:contextualSpacing/>
        <w:rPr/>
      </w:pPr>
      <w:r>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pStyle w:val="Normal"/>
        <w:numPr>
          <w:ilvl w:val="0"/>
          <w:numId w:val="11"/>
        </w:numPr>
        <w:shd w:val="clear" w:fill="FFFFFF"/>
        <w:spacing w:before="0" w:after="0"/>
        <w:ind w:left="0" w:right="0" w:hanging="360"/>
        <w:contextualSpacing/>
        <w:rPr/>
      </w:pPr>
      <w:r>
        <w:rPr/>
        <w:t xml:space="preserve">For grasping the level of what the people mentioned on this list understood from my EDWs perspective, I add a caricature (from </w:t>
      </w:r>
      <w:r>
        <w:rPr>
          <w:b/>
        </w:rPr>
        <w:t>El Circo</w:t>
      </w:r>
      <w:r>
        <w:rPr/>
        <w:t>) available for those who plagiarized my ideas: instead of ‘colleagues’, there are my books on Internet posted by myself years before the plagiators published ‘their’ ideas”. See below drawing</w:t>
      </w:r>
    </w:p>
    <w:p>
      <w:pPr>
        <w:pStyle w:val="Normal"/>
        <w:shd w:val="clear" w:fill="FFFFFF"/>
        <w:spacing w:before="0" w:after="0"/>
        <w:ind w:left="0" w:right="0" w:firstLine="135"/>
        <w:contextualSpacing/>
        <w:rPr/>
      </w:pPr>
      <w:r>
        <w:rPr/>
        <w:drawing>
          <wp:inline distT="0" distB="0"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61"/>
                    <a:stretch>
                      <a:fillRect/>
                    </a:stretch>
                  </pic:blipFill>
                  <pic:spPr bwMode="auto">
                    <a:xfrm>
                      <a:off x="0" y="0"/>
                      <a:ext cx="2857500" cy="2124075"/>
                    </a:xfrm>
                    <a:prstGeom prst="rect">
                      <a:avLst/>
                    </a:prstGeom>
                  </pic:spPr>
                </pic:pic>
              </a:graphicData>
            </a:graphic>
          </wp:inline>
        </w:drawing>
      </w:r>
      <w:r>
        <w:rPr/>
        <w:t>(El                        Circo </w:t>
      </w:r>
      <w:hyperlink r:id="rId62">
        <w:r>
          <w:rPr>
            <w:rStyle w:val="InternetLink"/>
          </w:rPr>
          <w:t>https://www.facebook.com/elcircodelamega?fref=photo</w:t>
        </w:r>
      </w:hyperlink>
      <w:r>
        <w:rPr/>
        <w:t>)</w:t>
      </w:r>
    </w:p>
    <w:p>
      <w:pPr>
        <w:pStyle w:val="Normal"/>
        <w:spacing w:before="0" w:after="0"/>
        <w:contextualSpacing/>
        <w:rPr>
          <w:b/>
          <w:b/>
        </w:rPr>
      </w:pPr>
      <w:r>
        <w:rPr>
          <w:b/>
        </w:rPr>
      </w:r>
    </w:p>
    <w:p>
      <w:pPr>
        <w:pStyle w:val="Normal"/>
        <w:spacing w:before="0" w:after="0"/>
        <w:contextualSpacing/>
        <w:rPr/>
      </w:pPr>
      <w:r>
        <w:rPr/>
      </w:r>
    </w:p>
    <w:p>
      <w:pPr>
        <w:pStyle w:val="Normal"/>
        <w:spacing w:before="0" w:after="0"/>
        <w:contextualSpacing/>
        <w:rPr/>
      </w:pPr>
      <w:r>
        <w:rPr/>
        <w:t xml:space="preserve">I have sent this manuscript at least one time per year to thousands of people (many countries, many domains, many universities) from 2014 to today!!! I have sent almost each section to his colleagues from his university and country! </w:t>
      </w:r>
    </w:p>
    <w:p>
      <w:pPr>
        <w:pStyle w:val="Normal"/>
        <w:spacing w:before="0" w:after="0"/>
        <w:contextualSpacing/>
        <w:rPr/>
      </w:pPr>
      <w:r>
        <w:rP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63"/>
                    <a:stretch>
                      <a:fillRect/>
                    </a:stretch>
                  </pic:blipFill>
                  <pic:spPr bwMode="auto">
                    <a:xfrm>
                      <a:off x="0" y="0"/>
                      <a:ext cx="2764790" cy="2764790"/>
                    </a:xfrm>
                    <a:prstGeom prst="rect">
                      <a:avLst/>
                    </a:prstGeom>
                  </pic:spPr>
                </pic:pic>
              </a:graphicData>
            </a:graphic>
          </wp:inline>
        </w:drawing>
      </w:r>
    </w:p>
    <w:p>
      <w:pPr>
        <w:pStyle w:val="Normal"/>
        <w:spacing w:before="0" w:after="0"/>
        <w:contextualSpacing/>
        <w:rPr/>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pStyle w:val="Normal"/>
        <w:spacing w:before="0" w:after="0"/>
        <w:contextualSpacing/>
        <w:rPr>
          <w:b/>
          <w:b/>
        </w:rPr>
      </w:pPr>
      <w:r>
        <w:rPr>
          <w:b/>
        </w:rPr>
      </w:r>
    </w:p>
    <w:p>
      <w:pPr>
        <w:pStyle w:val="NormalWeb"/>
        <w:shd w:val="clear" w:fill="FFFFFF"/>
        <w:spacing w:before="0" w:after="0"/>
        <w:contextualSpacing/>
        <w:jc w:val="both"/>
        <w:rPr>
          <w:b/>
          <w:b/>
        </w:rPr>
      </w:pPr>
      <w:r>
        <w:rPr>
          <w:b/>
        </w:rPr>
        <w:t xml:space="preserve">THE REVOLUTION: PLEASE share this document with your colleagues and friends. </w:t>
      </w:r>
    </w:p>
    <w:p>
      <w:pPr>
        <w:pStyle w:val="NormalWeb"/>
        <w:shd w:val="clear" w:fill="FFFFFF"/>
        <w:spacing w:before="0" w:after="0"/>
        <w:contextualSpacing/>
        <w:jc w:val="both"/>
        <w:rPr>
          <w:b/>
          <w:b/>
        </w:rPr>
      </w:pPr>
      <w:r>
        <w:rPr>
          <w:b/>
        </w:rPr>
        <w:t xml:space="preserve">If you want to change this ACADEMIC ENVIRONMENT, share this manuscript! PARTICIPATE TO THE REVOLUTION!!! If you are content with your academic environment, continue to sleep … </w:t>
      </w:r>
    </w:p>
    <w:p>
      <w:pPr>
        <w:pStyle w:val="NormalWeb"/>
        <w:shd w:val="clear" w:fill="FFFFFF"/>
        <w:spacing w:before="0" w:after="0"/>
        <w:contextualSpacing/>
        <w:jc w:val="both"/>
        <w:rPr>
          <w:b/>
          <w:b/>
          <w:bCs/>
          <w:sz w:val="28"/>
          <w:szCs w:val="28"/>
          <w:lang w:val="ro-RO"/>
        </w:rPr>
      </w:pPr>
      <w:r>
        <w:rPr>
          <w:b/>
          <w:bCs/>
          <w:sz w:val="28"/>
          <w:szCs w:val="28"/>
          <w:lang w:val="ro-RO"/>
        </w:rPr>
      </w:r>
    </w:p>
    <w:p>
      <w:pPr>
        <w:pStyle w:val="NormalWeb"/>
        <w:shd w:val="clear" w:fill="FFFFFF"/>
        <w:spacing w:before="0" w:after="0"/>
        <w:contextualSpacing/>
        <w:jc w:val="both"/>
        <w:rPr>
          <w:b/>
          <w:b/>
          <w:bCs/>
          <w:sz w:val="28"/>
          <w:szCs w:val="28"/>
          <w:lang w:val="ro-RO"/>
        </w:rPr>
      </w:pPr>
      <w:r>
        <w:rPr>
          <w:b/>
          <w:bCs/>
          <w:sz w:val="28"/>
          <w:szCs w:val="28"/>
          <w:lang w:val="ro-RO"/>
        </w:rPr>
        <w:t xml:space="preserve">Some preliminary comments </w:t>
      </w:r>
    </w:p>
    <w:p>
      <w:pPr>
        <w:pStyle w:val="Normal"/>
        <w:shd w:val="clear" w:fill="FFFFFF"/>
        <w:spacing w:before="0" w:after="0"/>
        <w:contextualSpacing/>
        <w:rPr>
          <w:bCs/>
          <w:lang w:val="ro-RO"/>
        </w:rPr>
      </w:pPr>
      <w:r>
        <w:rPr>
          <w:bCs/>
          <w:lang w:val="ro-RO"/>
        </w:rPr>
      </w:r>
    </w:p>
    <w:p>
      <w:pPr>
        <w:pStyle w:val="Normal"/>
        <w:shd w:val="clear" w:fill="FFFFFF"/>
        <w:spacing w:before="0" w:after="0"/>
        <w:contextualSpacing/>
        <w:rPr/>
      </w:pPr>
      <w:r>
        <w:rP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64"/>
                    <a:stretch>
                      <a:fillRect/>
                    </a:stretch>
                  </pic:blipFill>
                  <pic:spPr bwMode="auto">
                    <a:xfrm>
                      <a:off x="0" y="0"/>
                      <a:ext cx="4648200" cy="2400300"/>
                    </a:xfrm>
                    <a:prstGeom prst="rect">
                      <a:avLst/>
                    </a:prstGeom>
                  </pic:spPr>
                </pic:pic>
              </a:graphicData>
            </a:graphic>
          </wp:inline>
        </w:drawing>
      </w:r>
    </w:p>
    <w:p>
      <w:pPr>
        <w:pStyle w:val="Normal"/>
        <w:shd w:val="clear" w:fill="FFFFFF"/>
        <w:spacing w:before="0" w:after="0"/>
        <w:contextualSpacing/>
        <w:rPr>
          <w:bCs/>
          <w:lang w:val="ro-RO"/>
        </w:rPr>
      </w:pPr>
      <w:r>
        <w:rPr>
          <w:bCs/>
          <w:lang w:val="ro-RO"/>
        </w:rPr>
      </w:r>
    </w:p>
    <w:p>
      <w:pPr>
        <w:pStyle w:val="NormalWeb"/>
        <w:shd w:val="clear" w:fill="FFFFFF"/>
        <w:spacing w:before="0" w:after="0"/>
        <w:contextualSpacing/>
        <w:jc w:val="both"/>
        <w:rPr>
          <w:rFonts w:ascii="Arial" w:hAnsi="Arial" w:cs="Arial"/>
          <w:sz w:val="22"/>
          <w:szCs w:val="22"/>
        </w:rPr>
      </w:pPr>
      <w:r>
        <w:rPr>
          <w:rFonts w:cs="Arial" w:ascii="Arial" w:hAnsi="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pStyle w:val="NormalWeb"/>
        <w:shd w:val="clear" w:fill="FFFFFF"/>
        <w:spacing w:before="0" w:after="0"/>
        <w:contextualSpacing/>
        <w:jc w:val="both"/>
        <w:rPr>
          <w:rFonts w:ascii="Arial" w:hAnsi="Arial" w:cs="Arial"/>
          <w:sz w:val="22"/>
          <w:szCs w:val="22"/>
        </w:rPr>
      </w:pPr>
      <w:r>
        <w:rPr>
          <w:rFonts w:cs="Arial" w:ascii="Arial" w:hAnsi="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pStyle w:val="Normal"/>
        <w:shd w:val="clear" w:fill="FFFFFF"/>
        <w:spacing w:before="0" w:after="0"/>
        <w:ind w:left="0" w:right="0" w:hanging="360"/>
        <w:contextualSpacing/>
        <w:rPr>
          <w:sz w:val="22"/>
          <w:szCs w:val="22"/>
        </w:rPr>
      </w:pPr>
      <w:r>
        <w:rPr>
          <w:rStyle w:val="Strong"/>
          <w:sz w:val="22"/>
          <w:szCs w:val="22"/>
        </w:rPr>
        <w:t>(See below)</w:t>
      </w:r>
      <w:r>
        <w:br w:type="page"/>
      </w:r>
    </w:p>
    <w:p>
      <w:pPr>
        <w:pStyle w:val="Normal"/>
        <w:spacing w:before="0" w:after="0"/>
        <w:contextualSpacing/>
        <w:rPr>
          <w:b/>
          <w:b/>
          <w:sz w:val="22"/>
          <w:szCs w:val="22"/>
        </w:rPr>
      </w:pPr>
      <w:r>
        <w:rPr>
          <w:b/>
          <w:sz w:val="22"/>
          <w:szCs w:val="22"/>
        </w:rPr>
        <w:t xml:space="preserve">Introduction: The EDWs perspective in my article from 2005 and my book from 2008 </w:t>
      </w:r>
    </w:p>
    <w:p>
      <w:pPr>
        <w:pStyle w:val="NormalWeb"/>
        <w:shd w:val="clear" w:fill="FFFFFF"/>
        <w:spacing w:before="0" w:after="0"/>
        <w:contextualSpacing/>
        <w:jc w:val="both"/>
        <w:rPr>
          <w:b/>
          <w:b/>
          <w:sz w:val="22"/>
          <w:szCs w:val="22"/>
        </w:rPr>
      </w:pPr>
      <w:r>
        <w:rPr>
          <w:b/>
          <w:sz w:val="22"/>
          <w:szCs w:val="22"/>
        </w:rPr>
      </w:r>
    </w:p>
    <w:p>
      <w:pPr>
        <w:pStyle w:val="Normal"/>
        <w:spacing w:before="0" w:after="0"/>
        <w:contextualSpacing/>
        <w:rPr/>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Appleconvertedspace"/>
          <w:sz w:val="22"/>
          <w:szCs w:val="22"/>
        </w:rPr>
        <w:t> </w:t>
      </w:r>
      <w:r>
        <w:rPr>
          <w:rStyle w:val="Strong"/>
          <w:b w:val="false"/>
          <w:sz w:val="22"/>
          <w:szCs w:val="22"/>
        </w:rPr>
        <w:t>2007</w:t>
      </w:r>
      <w:r>
        <w:rPr>
          <w:sz w:val="22"/>
          <w:szCs w:val="22"/>
        </w:rPr>
        <w:t>, my PhD Thesis from UNSW (Sydney, Australia) has been posted on Internet at the webpage of UNSW (section for PhD thesis). In March</w:t>
      </w:r>
      <w:r>
        <w:rPr>
          <w:rStyle w:val="Appleconvertedspace"/>
          <w:sz w:val="22"/>
          <w:szCs w:val="22"/>
        </w:rPr>
        <w:t> </w:t>
      </w:r>
      <w:r>
        <w:rPr>
          <w:rStyle w:val="Strong"/>
          <w:b w:val="false"/>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pStyle w:val="Normal"/>
        <w:spacing w:before="0" w:after="0"/>
        <w:ind w:left="0" w:right="0" w:firstLine="720"/>
        <w:contextualSpacing/>
        <w:rPr/>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pStyle w:val="Normal"/>
        <w:numPr>
          <w:ilvl w:val="0"/>
          <w:numId w:val="12"/>
        </w:numPr>
        <w:spacing w:before="0" w:after="0"/>
        <w:ind w:left="0" w:right="0" w:hanging="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pStyle w:val="Normal"/>
        <w:numPr>
          <w:ilvl w:val="0"/>
          <w:numId w:val="12"/>
        </w:numPr>
        <w:spacing w:before="0" w:after="0"/>
        <w:ind w:left="0" w:right="0" w:hanging="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pStyle w:val="Normal"/>
        <w:numPr>
          <w:ilvl w:val="0"/>
          <w:numId w:val="12"/>
        </w:numPr>
        <w:spacing w:before="0" w:after="0"/>
        <w:ind w:left="0" w:right="0" w:hanging="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pStyle w:val="Normal"/>
        <w:numPr>
          <w:ilvl w:val="0"/>
          <w:numId w:val="12"/>
        </w:numPr>
        <w:spacing w:before="0" w:after="0"/>
        <w:ind w:left="0" w:right="0" w:hanging="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pStyle w:val="Normal"/>
        <w:spacing w:before="0" w:after="0"/>
        <w:ind w:left="0" w:right="0" w:firstLine="720"/>
        <w:contextualSpacing/>
        <w:rPr/>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pStyle w:val="Normal"/>
        <w:spacing w:before="0" w:after="0"/>
        <w:ind w:left="0" w:right="0" w:firstLine="720"/>
        <w:contextualSpacing/>
        <w:rPr/>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pStyle w:val="Normal"/>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pStyle w:val="Normal"/>
        <w:spacing w:before="0" w:after="0"/>
        <w:ind w:left="0" w:right="0" w:firstLine="720"/>
        <w:contextualSpacing/>
        <w:rPr/>
      </w:pPr>
      <w:r>
        <w:rPr>
          <w:b/>
          <w:bCs/>
          <w:sz w:val="28"/>
          <w:szCs w:val="28"/>
        </w:rPr>
        <w:t>In Chapter III,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2015 Springer – AMAZING; this book was published at SPRINGER in 2015!!!!! I sent my manuscript to Springer in 2014!!! and I made strong pressures on the editor</w:t>
      </w:r>
      <w:r>
        <w:rPr>
          <w:b/>
          <w:bCs/>
          <w:i w:val="false"/>
          <w:caps w:val="false"/>
          <w:smallCaps w:val="false"/>
          <w:color w:val="1D2228"/>
          <w:spacing w:val="0"/>
          <w:sz w:val="28"/>
          <w:szCs w:val="28"/>
        </w:rPr>
        <w:t xml:space="preserve"> to publish my manuscript since it was accepted at the beginning of 2015! At my pressure, he finally published my book in November 2015 but he told me, he wrote 2016 on the book because of some commercial reasons!!!! What a coincidence: Ludwig’s book was published in 2015!!!</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pStyle w:val="Normal"/>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pStyle w:val="Normal"/>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pStyle w:val="Normal"/>
        <w:spacing w:before="0" w:after="0"/>
        <w:ind w:left="0" w:right="0" w:firstLine="720"/>
        <w:contextualSpacing/>
        <w:rPr/>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pStyle w:val="Normal"/>
        <w:spacing w:before="0" w:after="0"/>
        <w:ind w:left="0" w:right="0" w:firstLine="720"/>
        <w:contextualSpacing/>
        <w:rPr/>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pStyle w:val="Normal"/>
        <w:spacing w:before="0" w:after="0"/>
        <w:ind w:left="0" w:right="0" w:firstLine="720"/>
        <w:contextualSpacing/>
        <w:rPr/>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pStyle w:val="Normal"/>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pStyle w:val="Normal"/>
        <w:spacing w:before="0" w:after="0"/>
        <w:ind w:left="0" w:right="0" w:firstLine="720"/>
        <w:contextualSpacing/>
        <w:rPr/>
      </w:pPr>
      <w:r>
        <w:rPr>
          <w:rStyle w:val="InternetLink"/>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pStyle w:val="Normal"/>
        <w:spacing w:before="0" w:after="0"/>
        <w:ind w:left="0" w:right="0" w:firstLine="720"/>
        <w:contextualSpacing/>
        <w:rPr/>
      </w:pPr>
      <w:r>
        <w:rPr>
          <w:rStyle w:val="InternetLink"/>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pStyle w:val="Normal"/>
        <w:spacing w:before="0" w:after="0"/>
        <w:ind w:left="0" w:right="0" w:firstLine="720"/>
        <w:contextualSpacing/>
        <w:rPr/>
      </w:pPr>
      <w:r>
        <w:rPr>
          <w:rStyle w:val="InternetLink"/>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pStyle w:val="Normal"/>
        <w:spacing w:before="0" w:after="0"/>
        <w:ind w:left="0" w:right="0" w:firstLine="720"/>
        <w:contextualSpacing/>
        <w:rPr/>
      </w:pPr>
      <w:r>
        <w:rPr>
          <w:rFonts w:eastAsia="Times New Roman"/>
          <w:sz w:val="22"/>
          <w:szCs w:val="22"/>
        </w:rPr>
        <w:t>In fact, I am sure nobody understands completely my EDWs perspective.</w:t>
      </w:r>
      <w:r>
        <w:rPr>
          <w:rStyle w:val="FootnoteAnchor"/>
          <w:rFonts w:eastAsia="Times New Roman"/>
          <w:sz w:val="22"/>
          <w:szCs w:val="22"/>
        </w:rPr>
        <w:footnoteReference w:id="3"/>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FootnoteAnchor"/>
          <w:sz w:val="22"/>
          <w:szCs w:val="22"/>
        </w:rPr>
        <w:footnoteReference w:id="4"/>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FootnoteAnchor"/>
          <w:sz w:val="22"/>
          <w:szCs w:val="22"/>
        </w:rPr>
        <w:footnoteReference w:id="5"/>
      </w:r>
      <w:r>
        <w:rPr>
          <w:sz w:val="22"/>
          <w:szCs w:val="22"/>
        </w:rPr>
        <w:t xml:space="preserve"> It seems that I have to update this book after just few months! Because of the Internet, I need only few months to discover another one who published UNBELIEVABLE similar ideas to my ideas! </w:t>
      </w:r>
    </w:p>
    <w:p>
      <w:pPr>
        <w:pStyle w:val="Normal"/>
        <w:spacing w:before="0" w:after="0"/>
        <w:ind w:left="0" w:right="0" w:firstLine="720"/>
        <w:contextualSpacing/>
        <w:rPr>
          <w:sz w:val="22"/>
          <w:szCs w:val="22"/>
        </w:rPr>
      </w:pPr>
      <w:r>
        <w:rPr>
          <w:sz w:val="22"/>
          <w:szCs w:val="22"/>
        </w:rPr>
      </w:r>
    </w:p>
    <w:p>
      <w:pPr>
        <w:pStyle w:val="Normal"/>
        <w:spacing w:before="0" w:after="0"/>
        <w:ind w:left="0" w:right="0" w:firstLine="720"/>
        <w:contextualSpacing/>
        <w:rPr>
          <w:rFonts w:eastAsia="Times New Roman"/>
          <w:sz w:val="22"/>
          <w:szCs w:val="22"/>
        </w:rPr>
      </w:pPr>
      <w:r>
        <w:rPr>
          <w:rFonts w:eastAsia="Times New Roman"/>
          <w:sz w:val="22"/>
          <w:szCs w:val="22"/>
        </w:rPr>
      </w:r>
    </w:p>
    <w:p>
      <w:pPr>
        <w:pStyle w:val="Normal"/>
        <w:spacing w:before="0" w:after="0"/>
        <w:contextualSpacing/>
        <w:rPr>
          <w:b/>
          <w:b/>
          <w:sz w:val="22"/>
          <w:szCs w:val="22"/>
        </w:rPr>
      </w:pPr>
      <w:r>
        <w:rPr>
          <w:b/>
          <w:sz w:val="22"/>
          <w:szCs w:val="22"/>
        </w:rPr>
        <w:t>The EDWs perspective in my article from 2005 and my book from 2008</w:t>
      </w:r>
    </w:p>
    <w:p>
      <w:pPr>
        <w:pStyle w:val="Normal"/>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pStyle w:val="Normal"/>
        <w:spacing w:before="0" w:after="0"/>
        <w:contextualSpacing/>
        <w:rPr>
          <w:b/>
          <w:b/>
          <w:sz w:val="22"/>
          <w:szCs w:val="22"/>
        </w:rPr>
      </w:pPr>
      <w:r>
        <w:rPr>
          <w:b/>
          <w:sz w:val="22"/>
          <w:szCs w:val="22"/>
        </w:rPr>
      </w:r>
    </w:p>
    <w:p>
      <w:pPr>
        <w:pStyle w:val="Normal"/>
        <w:spacing w:before="0" w:after="0"/>
        <w:contextualSpacing/>
        <w:rPr>
          <w:b/>
          <w:b/>
          <w:sz w:val="22"/>
          <w:szCs w:val="22"/>
        </w:rPr>
      </w:pPr>
      <w:r>
        <w:rPr>
          <w:b/>
          <w:sz w:val="22"/>
          <w:szCs w:val="22"/>
        </w:rPr>
        <w:t>Vacariu 2005</w:t>
      </w:r>
    </w:p>
    <w:p>
      <w:pPr>
        <w:pStyle w:val="Normal"/>
        <w:spacing w:before="0" w:after="0"/>
        <w:contextualSpacing/>
        <w:rPr>
          <w:sz w:val="22"/>
          <w:szCs w:val="22"/>
        </w:rPr>
      </w:pPr>
      <w:r>
        <w:rPr>
          <w:sz w:val="22"/>
          <w:szCs w:val="22"/>
        </w:rPr>
        <w:t>(P1) Under different conditions of observation, the human subject observes epistemologically</w:t>
      </w:r>
    </w:p>
    <w:p>
      <w:pPr>
        <w:pStyle w:val="Normal"/>
        <w:spacing w:before="0" w:after="0"/>
        <w:contextualSpacing/>
        <w:rPr>
          <w:sz w:val="22"/>
          <w:szCs w:val="22"/>
        </w:rPr>
      </w:pPr>
      <w:r>
        <w:rPr>
          <w:sz w:val="22"/>
          <w:szCs w:val="22"/>
        </w:rPr>
        <w:t>different worlds of the world (thing)-in-itself.</w:t>
      </w:r>
    </w:p>
    <w:p>
      <w:pPr>
        <w:pStyle w:val="Normal"/>
        <w:spacing w:before="0" w:after="0"/>
        <w:contextualSpacing/>
        <w:rPr>
          <w:sz w:val="22"/>
          <w:szCs w:val="22"/>
        </w:rPr>
      </w:pPr>
      <w:r>
        <w:rPr>
          <w:sz w:val="22"/>
          <w:szCs w:val="22"/>
        </w:rPr>
        <w:t>(P2) As human attention is a serial process, the human subject cannot simultaneously observe epistemologically different worlds (EDWs).</w:t>
      </w:r>
    </w:p>
    <w:p>
      <w:pPr>
        <w:pStyle w:val="Normal"/>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pStyle w:val="Normal"/>
        <w:spacing w:before="0" w:after="0"/>
        <w:contextualSpacing/>
        <w:rPr>
          <w:sz w:val="22"/>
          <w:szCs w:val="22"/>
        </w:rPr>
      </w:pPr>
      <w:r>
        <w:rPr>
          <w:sz w:val="22"/>
          <w:szCs w:val="22"/>
        </w:rPr>
        <w:t>(P4) In physical terms, the part-counterpart relation corresponds to human subjectivity or human experience.</w:t>
      </w:r>
    </w:p>
    <w:p>
      <w:pPr>
        <w:pStyle w:val="Normal"/>
        <w:spacing w:before="0" w:after="0"/>
        <w:contextualSpacing/>
        <w:rPr>
          <w:sz w:val="22"/>
          <w:szCs w:val="22"/>
        </w:rPr>
      </w:pPr>
      <w:r>
        <w:rPr>
          <w:sz w:val="22"/>
          <w:szCs w:val="22"/>
        </w:rPr>
        <w:t>(P5) Each epistemologically different world has the same objective reality.</w:t>
      </w:r>
    </w:p>
    <w:p>
      <w:pPr>
        <w:pStyle w:val="Normal"/>
        <w:spacing w:before="0" w:after="0"/>
        <w:contextualSpacing/>
        <w:rPr>
          <w:sz w:val="22"/>
          <w:szCs w:val="22"/>
        </w:rPr>
      </w:pPr>
      <w:r>
        <w:rPr>
          <w:sz w:val="22"/>
          <w:szCs w:val="22"/>
        </w:rPr>
        <w:t xml:space="preserve"> </w:t>
      </w:r>
    </w:p>
    <w:p>
      <w:pPr>
        <w:pStyle w:val="Normal"/>
        <w:spacing w:before="0" w:after="0"/>
        <w:contextualSpacing/>
        <w:rPr/>
      </w:pPr>
      <w:r>
        <w:rPr>
          <w:b/>
          <w:sz w:val="22"/>
          <w:szCs w:val="22"/>
        </w:rPr>
        <w:t>Vacariu 2008, Chapter</w:t>
      </w:r>
      <w:r>
        <w:rPr>
          <w:b/>
          <w:bCs/>
          <w:sz w:val="22"/>
          <w:szCs w:val="22"/>
        </w:rPr>
        <w:t xml:space="preserve"> 3 (pages 101-156 from original)</w:t>
      </w:r>
    </w:p>
    <w:p>
      <w:pPr>
        <w:pStyle w:val="Normal"/>
        <w:spacing w:before="0" w:after="0"/>
        <w:contextualSpacing/>
        <w:rPr>
          <w:b/>
          <w:b/>
          <w:bCs/>
          <w:sz w:val="22"/>
          <w:szCs w:val="22"/>
        </w:rPr>
      </w:pPr>
      <w:r>
        <w:rPr>
          <w:b/>
          <w:bCs/>
          <w:sz w:val="22"/>
          <w:szCs w:val="22"/>
        </w:rPr>
      </w:r>
    </w:p>
    <w:p>
      <w:pPr>
        <w:pStyle w:val="Normal"/>
        <w:spacing w:before="0" w:after="0"/>
        <w:contextualSpacing/>
        <w:rPr>
          <w:b/>
          <w:b/>
          <w:bCs/>
          <w:sz w:val="22"/>
          <w:szCs w:val="22"/>
        </w:rPr>
      </w:pPr>
      <w:r>
        <w:rPr>
          <w:b/>
          <w:bCs/>
          <w:sz w:val="22"/>
          <w:szCs w:val="22"/>
        </w:rPr>
        <w:t>The epistemologically different worlds perspective</w:t>
      </w:r>
    </w:p>
    <w:p>
      <w:pPr>
        <w:pStyle w:val="Normal"/>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pPr>
      <w:r>
        <w:rPr>
          <w:b/>
          <w:bCs/>
          <w:sz w:val="22"/>
          <w:szCs w:val="22"/>
        </w:rPr>
        <w:t>3.1 Epistemologically different worlds</w:t>
      </w:r>
      <w:r>
        <w:rPr>
          <w:rStyle w:val="FootnoteAnchor"/>
          <w:b/>
          <w:bCs/>
          <w:sz w:val="22"/>
          <w:szCs w:val="22"/>
        </w:rPr>
        <w:footnoteReference w:id="6"/>
      </w:r>
    </w:p>
    <w:p>
      <w:pPr>
        <w:pStyle w:val="Normal"/>
        <w:spacing w:before="0" w:after="0"/>
        <w:contextualSpacing/>
        <w:rPr/>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FootnoteAnchor"/>
          <w:rFonts w:eastAsia="TimesNewRomanPSMT"/>
          <w:sz w:val="22"/>
          <w:szCs w:val="22"/>
        </w:rPr>
        <w:footnoteReference w:id="7"/>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pStyle w:val="Normal"/>
        <w:spacing w:before="0" w:after="0"/>
        <w:ind w:left="0" w:right="0" w:firstLine="720"/>
        <w:contextualSpacing/>
        <w:rPr/>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FootnoteAnchor"/>
          <w:rFonts w:eastAsia="TimesNewRomanPSMT"/>
          <w:sz w:val="22"/>
          <w:szCs w:val="22"/>
        </w:rPr>
        <w:footnoteReference w:id="8"/>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FootnoteAnchor"/>
          <w:rFonts w:eastAsia="TimesNewRomanPSMT"/>
          <w:sz w:val="22"/>
          <w:szCs w:val="22"/>
        </w:rPr>
        <w:footnoteReference w:id="9"/>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Under different conditions of observation, the human subject observes epistemologically different worlds.</w:t>
      </w:r>
    </w:p>
    <w:p>
      <w:pPr>
        <w:pStyle w:val="Normal"/>
        <w:spacing w:before="0" w:after="0"/>
        <w:contextualSpacing/>
        <w:rPr>
          <w:b/>
          <w:b/>
          <w:bCs/>
          <w:sz w:val="22"/>
          <w:szCs w:val="22"/>
        </w:rPr>
      </w:pPr>
      <w:r>
        <w:rPr>
          <w:b/>
          <w:bCs/>
          <w:sz w:val="22"/>
          <w:szCs w:val="22"/>
        </w:rPr>
      </w:r>
    </w:p>
    <w:p>
      <w:pPr>
        <w:pStyle w:val="Normal"/>
        <w:spacing w:before="0" w:after="0"/>
        <w:contextualSpacing/>
        <w:rPr/>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pStyle w:val="Normal"/>
        <w:spacing w:before="0" w:after="0"/>
        <w:ind w:left="0" w:right="0" w:firstLine="720"/>
        <w:contextualSpacing/>
        <w:rPr/>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FootnoteAnchor"/>
          <w:rFonts w:eastAsia="TimesNewRomanPSMT"/>
          <w:sz w:val="22"/>
          <w:szCs w:val="22"/>
        </w:rPr>
        <w:footnoteReference w:id="10"/>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pStyle w:val="Normal"/>
        <w:spacing w:before="0" w:after="0"/>
        <w:ind w:left="0" w:right="0" w:firstLine="720"/>
        <w:contextualSpacing/>
        <w:rPr/>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pStyle w:val="Normal"/>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pStyle w:val="Normal"/>
        <w:spacing w:before="0" w:after="0"/>
        <w:contextualSpacing/>
        <w:rPr>
          <w:b/>
          <w:b/>
          <w:bCs/>
          <w:sz w:val="22"/>
          <w:szCs w:val="22"/>
        </w:rPr>
      </w:pPr>
      <w:r>
        <w:rPr>
          <w:b/>
          <w:bCs/>
          <w:sz w:val="22"/>
          <w:szCs w:val="22"/>
        </w:rPr>
      </w:r>
    </w:p>
    <w:p>
      <w:pPr>
        <w:pStyle w:val="Normal"/>
        <w:spacing w:before="0" w:after="0"/>
        <w:contextualSpacing/>
        <w:rPr/>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FootnoteAnchor"/>
          <w:rFonts w:eastAsia="TimesNewRomanPSMT"/>
          <w:sz w:val="22"/>
          <w:szCs w:val="22"/>
        </w:rPr>
        <w:footnoteReference w:id="11"/>
      </w:r>
    </w:p>
    <w:p>
      <w:pPr>
        <w:pStyle w:val="Normal"/>
        <w:spacing w:before="0" w:after="0"/>
        <w:ind w:left="0" w:right="0" w:firstLine="720"/>
        <w:contextualSpacing/>
        <w:rPr/>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FootnoteAnchor"/>
          <w:rFonts w:eastAsia="TimesNewRomanPSMT"/>
          <w:sz w:val="22"/>
          <w:szCs w:val="22"/>
        </w:rPr>
        <w:footnoteReference w:id="12"/>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FootnoteAnchor"/>
          <w:rFonts w:eastAsia="TimesNewRomanPSMT"/>
          <w:sz w:val="22"/>
          <w:szCs w:val="22"/>
        </w:rPr>
        <w:footnoteReference w:id="13"/>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pStyle w:val="Normal"/>
        <w:spacing w:before="0" w:after="0"/>
        <w:ind w:left="0" w:right="0" w:firstLine="720"/>
        <w:contextualSpacing/>
        <w:rPr/>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FootnoteAnchor"/>
          <w:rFonts w:eastAsia="TimesNewRomanPSMT"/>
          <w:sz w:val="22"/>
          <w:szCs w:val="22"/>
        </w:rPr>
        <w:footnoteReference w:id="14"/>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FootnoteAnchor"/>
          <w:rFonts w:eastAsia="TimesNewRomanPSMT"/>
          <w:sz w:val="22"/>
          <w:szCs w:val="22"/>
        </w:rPr>
        <w:footnoteReference w:id="15"/>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pStyle w:val="Normal"/>
        <w:spacing w:before="0" w:after="0"/>
        <w:ind w:left="0" w:right="0" w:firstLine="720"/>
        <w:contextualSpacing/>
        <w:rPr/>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pStyle w:val="Normal"/>
        <w:spacing w:before="0" w:after="0"/>
        <w:contextualSpacing/>
        <w:rPr>
          <w:b/>
          <w:b/>
          <w:bCs/>
          <w:sz w:val="22"/>
          <w:szCs w:val="22"/>
        </w:rPr>
      </w:pPr>
      <w:r>
        <w:rPr>
          <w:b/>
          <w:bCs/>
          <w:sz w:val="22"/>
          <w:szCs w:val="22"/>
        </w:rPr>
      </w:r>
    </w:p>
    <w:p>
      <w:pPr>
        <w:pStyle w:val="Normal"/>
        <w:spacing w:before="0" w:after="0"/>
        <w:contextualSpacing/>
        <w:rPr>
          <w:b/>
          <w:b/>
          <w:bCs/>
          <w:sz w:val="22"/>
          <w:szCs w:val="22"/>
        </w:rPr>
      </w:pPr>
      <w:r>
        <w:rPr>
          <w:b/>
          <w:bCs/>
          <w:sz w:val="22"/>
          <w:szCs w:val="22"/>
        </w:rPr>
        <w:t>As human attention is a serial process, the human subject cannot simultaneously observe EDWs.</w:t>
      </w:r>
    </w:p>
    <w:p>
      <w:pPr>
        <w:pStyle w:val="Normal"/>
        <w:spacing w:before="0" w:after="0"/>
        <w:contextualSpacing/>
        <w:rPr>
          <w:b/>
          <w:b/>
          <w:bCs/>
          <w:sz w:val="22"/>
          <w:szCs w:val="22"/>
        </w:rPr>
      </w:pPr>
      <w:r>
        <w:rPr>
          <w:b/>
          <w:bCs/>
          <w:sz w:val="22"/>
          <w:szCs w:val="22"/>
        </w:rPr>
      </w:r>
    </w:p>
    <w:p>
      <w:pPr>
        <w:pStyle w:val="Normal"/>
        <w:spacing w:before="0" w:after="0"/>
        <w:contextualSpacing/>
        <w:rPr/>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FootnoteAnchor"/>
          <w:rFonts w:eastAsia="TimesNewRomanPSMT"/>
          <w:sz w:val="22"/>
          <w:szCs w:val="22"/>
        </w:rPr>
        <w:footnoteReference w:id="16"/>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3.2. The role of the conditions of observation in the defining of physical and mental phenomena</w:t>
      </w:r>
    </w:p>
    <w:p>
      <w:pPr>
        <w:pStyle w:val="Normal"/>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pStyle w:val="Normal"/>
        <w:spacing w:before="0" w:after="0"/>
        <w:contextualSpacing/>
        <w:rPr>
          <w:b/>
          <w:b/>
          <w:bCs/>
          <w:sz w:val="22"/>
          <w:szCs w:val="22"/>
        </w:rPr>
      </w:pPr>
      <w:r>
        <w:rPr>
          <w:b/>
          <w:bCs/>
          <w:sz w:val="22"/>
          <w:szCs w:val="22"/>
        </w:rPr>
      </w:r>
    </w:p>
    <w:p>
      <w:pPr>
        <w:pStyle w:val="Normal"/>
        <w:spacing w:before="0" w:after="0"/>
        <w:contextualSpacing/>
        <w:rPr>
          <w:b/>
          <w:b/>
          <w:bCs/>
          <w:sz w:val="22"/>
          <w:szCs w:val="22"/>
        </w:rPr>
      </w:pPr>
      <w:r>
        <w:rPr>
          <w:b/>
          <w:bCs/>
          <w:sz w:val="22"/>
          <w:szCs w:val="22"/>
        </w:rPr>
        <w:t>3.2.1. The influence of Kant on Bohr’s approach</w:t>
      </w:r>
    </w:p>
    <w:p>
      <w:pPr>
        <w:pStyle w:val="Normal"/>
        <w:spacing w:before="0" w:after="0"/>
        <w:contextualSpacing/>
        <w:rPr/>
      </w:pPr>
      <w:r>
        <w:rPr>
          <w:rFonts w:eastAsia="TimesNewRomanPSMT"/>
          <w:sz w:val="22"/>
          <w:szCs w:val="22"/>
        </w:rPr>
        <w:t>Kaiser analyzes the strong influence of Kant’s approach on Bohr’s way of thinking. (Kaiser, 1992)</w:t>
      </w:r>
      <w:r>
        <w:rPr>
          <w:rStyle w:val="FootnoteAnchor"/>
          <w:rFonts w:eastAsia="TimesNewRomanPSMT"/>
          <w:sz w:val="22"/>
          <w:szCs w:val="22"/>
        </w:rPr>
        <w:footnoteReference w:id="17"/>
      </w:r>
      <w:r>
        <w:rPr>
          <w:rFonts w:eastAsia="TimesNewRomanPSMT"/>
          <w:sz w:val="22"/>
          <w:szCs w:val="22"/>
        </w:rPr>
        <w:t xml:space="preserve"> He emphasizes how the Kantian notion of </w:t>
      </w:r>
      <w:r>
        <w:rPr>
          <w:i/>
          <w:iCs/>
          <w:sz w:val="22"/>
          <w:szCs w:val="22"/>
        </w:rPr>
        <w:t>“conceptual containment”</w:t>
      </w:r>
      <w:r>
        <w:rPr>
          <w:rStyle w:val="FootnoteAnchor"/>
          <w:i/>
          <w:iCs/>
          <w:sz w:val="22"/>
          <w:szCs w:val="22"/>
        </w:rPr>
        <w:footnoteReference w:id="18"/>
      </w:r>
      <w:r>
        <w:rPr>
          <w:rFonts w:eastAsia="TimesNewRomanPSMT"/>
          <w:sz w:val="22"/>
          <w:szCs w:val="22"/>
        </w:rPr>
        <w:t xml:space="preserve"> can be identified in Kant’s theory.</w:t>
      </w:r>
      <w:r>
        <w:rPr>
          <w:rStyle w:val="FootnoteAnchor"/>
          <w:rFonts w:eastAsia="TimesNewRomanPSMT"/>
          <w:sz w:val="22"/>
          <w:szCs w:val="22"/>
        </w:rPr>
        <w:footnoteReference w:id="19"/>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FootnoteAnchor"/>
          <w:rFonts w:eastAsia="TimesNewRomanPSMT"/>
          <w:sz w:val="22"/>
          <w:szCs w:val="22"/>
        </w:rPr>
        <w:footnoteReference w:id="20"/>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pStyle w:val="Normal"/>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pStyle w:val="Normal"/>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3.2.2. The principle of conceptual containment</w:t>
      </w:r>
    </w:p>
    <w:p>
      <w:pPr>
        <w:pStyle w:val="Normal"/>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pStyle w:val="Normal"/>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pStyle w:val="Normal"/>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pStyle w:val="Normal"/>
        <w:spacing w:before="0" w:after="0"/>
        <w:contextualSpacing/>
        <w:rPr>
          <w:b/>
          <w:b/>
          <w:bCs/>
          <w:sz w:val="22"/>
          <w:szCs w:val="22"/>
        </w:rPr>
      </w:pPr>
      <w:r>
        <w:rPr>
          <w:b/>
          <w:bCs/>
          <w:sz w:val="22"/>
          <w:szCs w:val="22"/>
        </w:rPr>
      </w:r>
    </w:p>
    <w:p>
      <w:pPr>
        <w:pStyle w:val="Normal"/>
        <w:spacing w:before="0" w:after="0"/>
        <w:contextualSpacing/>
        <w:rPr/>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FootnoteAnchor"/>
          <w:rFonts w:eastAsia="TimesNewRomanPSMT"/>
          <w:sz w:val="22"/>
          <w:szCs w:val="22"/>
        </w:rPr>
        <w:footnoteReference w:id="21"/>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pStyle w:val="Normal"/>
        <w:spacing w:before="0" w:after="0"/>
        <w:ind w:left="0" w:right="0" w:firstLine="720"/>
        <w:contextualSpacing/>
        <w:rPr/>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3.2.3. The physical human subject or the “I”</w:t>
      </w:r>
    </w:p>
    <w:p>
      <w:pPr>
        <w:pStyle w:val="Normal"/>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pStyle w:val="Normal"/>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pStyle w:val="Normal"/>
        <w:spacing w:before="0" w:after="0"/>
        <w:ind w:left="0" w:right="0" w:firstLine="720"/>
        <w:contextualSpacing/>
        <w:rPr/>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FootnoteAnchor"/>
          <w:rFonts w:eastAsia="TimesNewRomanPSMT"/>
          <w:sz w:val="22"/>
          <w:szCs w:val="22"/>
        </w:rPr>
        <w:footnoteReference w:id="22"/>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pStyle w:val="Normal"/>
        <w:spacing w:before="0" w:after="0"/>
        <w:ind w:left="0" w:right="0" w:firstLine="720"/>
        <w:contextualSpacing/>
        <w:rPr/>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FootnoteAnchor"/>
          <w:rFonts w:eastAsia="TimesNewRomanPSMT"/>
          <w:sz w:val="22"/>
          <w:szCs w:val="22"/>
        </w:rPr>
        <w:footnoteReference w:id="23"/>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i/>
          <w:i/>
          <w:iCs/>
          <w:sz w:val="22"/>
          <w:szCs w:val="22"/>
        </w:rPr>
      </w:pPr>
      <w:r>
        <w:rPr>
          <w:i/>
          <w:iCs/>
          <w:sz w:val="22"/>
          <w:szCs w:val="22"/>
        </w:rPr>
        <w:t>(1) The problem of subjectivity in neural terms</w:t>
      </w:r>
    </w:p>
    <w:p>
      <w:pPr>
        <w:pStyle w:val="Normal"/>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pStyle w:val="Normal"/>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pStyle w:val="Normal"/>
        <w:spacing w:before="0" w:after="0"/>
        <w:contextualSpacing/>
        <w:rPr/>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FootnoteAnchor"/>
          <w:rFonts w:eastAsia="TimesNewRomanPSMT"/>
          <w:sz w:val="22"/>
          <w:szCs w:val="22"/>
        </w:rPr>
        <w:footnoteReference w:id="24"/>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FootnoteAnchor"/>
          <w:rFonts w:eastAsia="TimesNewRomanPSMT"/>
          <w:sz w:val="22"/>
          <w:szCs w:val="22"/>
        </w:rPr>
        <w:footnoteReference w:id="25"/>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FootnoteAnchor"/>
          <w:rFonts w:eastAsia="TimesNewRomanPSMT"/>
          <w:sz w:val="22"/>
          <w:szCs w:val="22"/>
        </w:rPr>
        <w:footnoteReference w:id="26"/>
      </w:r>
      <w:r>
        <w:rPr>
          <w:rFonts w:eastAsia="TimesNewRomanPSMT"/>
          <w:sz w:val="22"/>
          <w:szCs w:val="22"/>
        </w:rPr>
        <w:t xml:space="preserve"> (Treisman 1998a; 1998b) </w:t>
      </w:r>
    </w:p>
    <w:p>
      <w:pPr>
        <w:pStyle w:val="Normal"/>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pStyle w:val="Normal"/>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pStyle w:val="Normal"/>
        <w:spacing w:before="0" w:after="0"/>
        <w:ind w:left="0" w:right="0" w:firstLine="720"/>
        <w:contextualSpacing/>
        <w:rPr/>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pStyle w:val="Normal"/>
        <w:spacing w:before="0" w:after="0"/>
        <w:ind w:left="0" w:right="0" w:firstLine="720"/>
        <w:contextualSpacing/>
        <w:rPr/>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pStyle w:val="Normal"/>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pStyle w:val="Normal"/>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pStyle w:val="Normal"/>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pStyle w:val="Normal"/>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In physical terms, the part-counterpart relation corresponds to the “I” or human subjectivity or experience.</w:t>
      </w:r>
    </w:p>
    <w:p>
      <w:pPr>
        <w:pStyle w:val="Normal"/>
        <w:spacing w:before="0" w:after="0"/>
        <w:contextualSpacing/>
        <w:rPr>
          <w:b/>
          <w:b/>
          <w:bCs/>
          <w:sz w:val="22"/>
          <w:szCs w:val="22"/>
        </w:rPr>
      </w:pPr>
      <w:r>
        <w:rPr>
          <w:b/>
          <w:bCs/>
          <w:sz w:val="22"/>
          <w:szCs w:val="22"/>
        </w:rPr>
      </w:r>
    </w:p>
    <w:p>
      <w:pPr>
        <w:pStyle w:val="Normal"/>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pStyle w:val="Normal"/>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pStyle w:val="Normal"/>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pStyle w:val="Normal"/>
        <w:spacing w:before="0" w:after="0"/>
        <w:ind w:left="0" w:right="0" w:firstLine="720"/>
        <w:contextualSpacing/>
        <w:rPr/>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FootnoteAnchor"/>
          <w:rFonts w:eastAsia="TimesNewRomanPSMT"/>
          <w:sz w:val="22"/>
          <w:szCs w:val="22"/>
        </w:rPr>
        <w:footnoteReference w:id="27"/>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pStyle w:val="Normal"/>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pStyle w:val="Normal"/>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pStyle w:val="Normal"/>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pStyle w:val="Normal"/>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pStyle w:val="Normal"/>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pStyle w:val="Normal"/>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pStyle w:val="Normal"/>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i/>
          <w:i/>
          <w:iCs/>
          <w:sz w:val="22"/>
          <w:szCs w:val="22"/>
        </w:rPr>
      </w:pPr>
      <w:r>
        <w:rPr>
          <w:i/>
          <w:iCs/>
          <w:sz w:val="22"/>
          <w:szCs w:val="22"/>
        </w:rPr>
        <w:t>(2) The problem of subjectivity in psychological terms</w:t>
      </w:r>
    </w:p>
    <w:p>
      <w:pPr>
        <w:pStyle w:val="Normal"/>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pStyle w:val="Normal"/>
        <w:spacing w:before="0" w:after="0"/>
        <w:ind w:left="0" w:right="0" w:firstLine="720"/>
        <w:contextualSpacing/>
        <w:rPr/>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FootnoteAnchor"/>
          <w:rFonts w:eastAsia="TimesNewRomanPSMT"/>
          <w:sz w:val="22"/>
          <w:szCs w:val="22"/>
        </w:rPr>
        <w:footnoteReference w:id="28"/>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pStyle w:val="Normal"/>
        <w:spacing w:before="0" w:after="0"/>
        <w:ind w:left="0" w:right="0" w:firstLine="720"/>
        <w:contextualSpacing/>
        <w:rPr/>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FootnoteAnchor"/>
          <w:rFonts w:eastAsia="TimesNewRomanPSMT"/>
          <w:sz w:val="22"/>
          <w:szCs w:val="22"/>
        </w:rPr>
        <w:footnoteReference w:id="29"/>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pStyle w:val="Normal"/>
        <w:spacing w:before="0" w:after="0"/>
        <w:ind w:left="0" w:right="0" w:firstLine="720"/>
        <w:contextualSpacing/>
        <w:rPr/>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FootnoteAnchor"/>
          <w:rFonts w:eastAsia="TimesNewRomanPSMT"/>
          <w:sz w:val="22"/>
          <w:szCs w:val="22"/>
        </w:rPr>
        <w:footnoteReference w:id="30"/>
      </w:r>
      <w:r>
        <w:rPr>
          <w:rFonts w:eastAsia="TimesNewRomanPSMT"/>
          <w:sz w:val="22"/>
          <w:szCs w:val="22"/>
        </w:rPr>
        <w:t xml:space="preserve"> Now we can introduce the last principle.</w:t>
      </w:r>
    </w:p>
    <w:p>
      <w:pPr>
        <w:pStyle w:val="Normal"/>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The “I” is knowledge.</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pStyle w:val="Normal"/>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pStyle w:val="Normal"/>
        <w:spacing w:before="0" w:after="0"/>
        <w:contextualSpacing/>
        <w:rPr>
          <w:rFonts w:eastAsia="TimesNewRomanPSMT"/>
          <w:sz w:val="22"/>
          <w:szCs w:val="22"/>
        </w:rPr>
      </w:pPr>
      <w:r>
        <w:rPr>
          <w:rFonts w:eastAsia="TimesNewRomanPSMT"/>
          <w:sz w:val="22"/>
          <w:szCs w:val="22"/>
        </w:rPr>
        <w:t>(2) All kinds of memory.</w:t>
      </w:r>
    </w:p>
    <w:p>
      <w:pPr>
        <w:pStyle w:val="Normal"/>
        <w:spacing w:before="0" w:after="0"/>
        <w:contextualSpacing/>
        <w:rPr/>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FootnoteAnchor"/>
          <w:rFonts w:eastAsia="TimesNewRomanPSMT"/>
          <w:sz w:val="22"/>
          <w:szCs w:val="22"/>
        </w:rPr>
        <w:footnoteReference w:id="31"/>
      </w:r>
    </w:p>
    <w:p>
      <w:pPr>
        <w:pStyle w:val="Normal"/>
        <w:spacing w:before="0" w:after="0"/>
        <w:contextualSpacing/>
        <w:rPr/>
      </w:pPr>
      <w:r>
        <w:rPr>
          <w:rFonts w:eastAsia="TimesNewRomanPSMT"/>
          <w:sz w:val="22"/>
          <w:szCs w:val="22"/>
        </w:rPr>
        <w:t>(4) Self-knowledge</w:t>
      </w:r>
      <w:r>
        <w:rPr>
          <w:rStyle w:val="FootnoteAnchor"/>
          <w:rFonts w:eastAsia="TimesNewRomanPSMT"/>
          <w:sz w:val="22"/>
          <w:szCs w:val="22"/>
        </w:rPr>
        <w:footnoteReference w:id="32"/>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pStyle w:val="Normal"/>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pStyle w:val="Normal"/>
        <w:spacing w:before="0" w:after="0"/>
        <w:contextualSpacing/>
        <w:rPr/>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pStyle w:val="Normal"/>
        <w:spacing w:before="0" w:after="0"/>
        <w:ind w:left="0" w:right="0" w:firstLine="720"/>
        <w:contextualSpacing/>
        <w:rPr/>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pStyle w:val="Normal"/>
        <w:spacing w:before="0" w:after="0"/>
        <w:ind w:left="0" w:right="0" w:firstLine="720"/>
        <w:contextualSpacing/>
        <w:rPr/>
      </w:pPr>
      <w:r>
        <w:rPr>
          <w:rFonts w:eastAsia="TimesNewRomanPSMT"/>
          <w:sz w:val="22"/>
          <w:szCs w:val="22"/>
        </w:rPr>
        <w:t>In Kantian terms, we can say that the “bare consciousness” is the synthesis of implicit knowledge.</w:t>
      </w:r>
      <w:r>
        <w:rPr>
          <w:rStyle w:val="FootnoteAnchor"/>
          <w:rFonts w:eastAsia="TimesNewRomanPSMT"/>
          <w:sz w:val="22"/>
          <w:szCs w:val="22"/>
        </w:rPr>
        <w:footnoteReference w:id="33"/>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pStyle w:val="Normal"/>
        <w:spacing w:before="0" w:after="0"/>
        <w:ind w:left="0" w:right="0" w:firstLine="720"/>
        <w:contextualSpacing/>
        <w:rPr/>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FootnoteAnchor"/>
          <w:rFonts w:eastAsia="TimesNewRomanPSMT"/>
          <w:sz w:val="22"/>
          <w:szCs w:val="22"/>
        </w:rPr>
        <w:footnoteReference w:id="34"/>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FootnoteAnchor"/>
          <w:rFonts w:eastAsia="TimesNewRomanPSMT"/>
          <w:sz w:val="22"/>
          <w:szCs w:val="22"/>
        </w:rPr>
        <w:footnoteReference w:id="35"/>
      </w:r>
      <w:r>
        <w:rPr>
          <w:rFonts w:eastAsia="TimesNewRomanPSMT"/>
          <w:sz w:val="22"/>
          <w:szCs w:val="22"/>
        </w:rPr>
        <w:t xml:space="preserve"> However, I emphasize again that the “I” does not exist as an entity separate or somehow isolated from knowledge.</w:t>
      </w:r>
      <w:r>
        <w:rPr>
          <w:rStyle w:val="FootnoteAnchor"/>
          <w:rFonts w:eastAsia="TimesNewRomanPSMT"/>
          <w:sz w:val="22"/>
          <w:szCs w:val="22"/>
        </w:rPr>
        <w:footnoteReference w:id="36"/>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FootnoteAnchor"/>
          <w:rFonts w:eastAsia="TimesNewRomanPSMT"/>
          <w:sz w:val="22"/>
          <w:szCs w:val="22"/>
        </w:rPr>
        <w:footnoteReference w:id="37"/>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pStyle w:val="Normal"/>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pStyle w:val="Normal"/>
        <w:spacing w:before="0" w:after="0"/>
        <w:ind w:left="0" w:right="0" w:firstLine="720"/>
        <w:contextualSpacing/>
        <w:rPr/>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pStyle w:val="Normal"/>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pStyle w:val="Normal"/>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pStyle w:val="Normal"/>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pStyle w:val="Normal"/>
        <w:spacing w:before="0" w:after="0"/>
        <w:ind w:left="0" w:right="0" w:firstLine="720"/>
        <w:contextualSpacing/>
        <w:rPr/>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FootnoteAnchor"/>
          <w:rFonts w:eastAsia="TimesNewRomanPSMT"/>
          <w:sz w:val="22"/>
          <w:szCs w:val="22"/>
        </w:rPr>
        <w:footnoteReference w:id="38"/>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FootnoteAnchor"/>
          <w:rFonts w:eastAsia="TimesNewRomanPSMT"/>
          <w:sz w:val="22"/>
          <w:szCs w:val="22"/>
        </w:rPr>
        <w:footnoteReference w:id="39"/>
      </w:r>
    </w:p>
    <w:p>
      <w:pPr>
        <w:pStyle w:val="Normal"/>
        <w:spacing w:before="0" w:after="0"/>
        <w:ind w:left="0" w:right="0" w:firstLine="720"/>
        <w:contextualSpacing/>
        <w:rPr/>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pStyle w:val="Normal"/>
        <w:spacing w:before="0" w:after="0"/>
        <w:ind w:left="0" w:right="0" w:firstLine="720"/>
        <w:contextualSpacing/>
        <w:rPr/>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FootnoteAnchor"/>
          <w:rFonts w:eastAsia="TimesNewRomanPSMT"/>
          <w:sz w:val="22"/>
          <w:szCs w:val="22"/>
        </w:rPr>
        <w:footnoteReference w:id="40"/>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tab/>
      </w:r>
    </w:p>
    <w:p>
      <w:pPr>
        <w:pStyle w:val="Normal"/>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pStyle w:val="Normal"/>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pStyle w:val="Normal"/>
        <w:spacing w:before="0" w:after="0"/>
        <w:contextualSpacing/>
        <w:rPr/>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FootnoteAnchor"/>
          <w:rFonts w:eastAsia="TimesNewRomanPSMT"/>
          <w:sz w:val="22"/>
          <w:szCs w:val="22"/>
        </w:rPr>
        <w:footnoteReference w:id="41"/>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FootnoteAnchor"/>
          <w:rFonts w:eastAsia="TimesNewRomanPSMT"/>
          <w:sz w:val="22"/>
          <w:szCs w:val="22"/>
        </w:rPr>
        <w:footnoteReference w:id="42"/>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FootnoteAnchor"/>
          <w:rFonts w:eastAsia="TimesNewRomanPSMT"/>
          <w:sz w:val="22"/>
          <w:szCs w:val="22"/>
        </w:rPr>
        <w:footnoteReference w:id="43"/>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pStyle w:val="Normal"/>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pStyle w:val="Normal"/>
        <w:spacing w:before="0" w:after="0"/>
        <w:contextualSpacing/>
        <w:rPr/>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FootnoteAnchor"/>
          <w:rFonts w:eastAsia="TimesNewRomanPSMT"/>
          <w:sz w:val="22"/>
          <w:szCs w:val="22"/>
        </w:rPr>
        <w:footnoteReference w:id="44"/>
      </w:r>
    </w:p>
    <w:p>
      <w:pPr>
        <w:pStyle w:val="Normal"/>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pStyle w:val="Normal"/>
        <w:spacing w:before="0" w:after="0"/>
        <w:ind w:left="0" w:right="0" w:firstLine="720"/>
        <w:contextualSpacing/>
        <w:rPr/>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FootnoteAnchor"/>
          <w:rFonts w:eastAsia="TimesNewRomanPSMT"/>
          <w:sz w:val="22"/>
          <w:szCs w:val="22"/>
        </w:rPr>
        <w:footnoteReference w:id="45"/>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pStyle w:val="Normal"/>
        <w:spacing w:before="0" w:after="0"/>
        <w:ind w:left="0" w:right="0" w:firstLine="720"/>
        <w:contextualSpacing/>
        <w:rPr/>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FootnoteAnchor"/>
          <w:rFonts w:eastAsia="TimesNewRomanPSMT"/>
          <w:sz w:val="22"/>
          <w:szCs w:val="22"/>
        </w:rPr>
        <w:footnoteReference w:id="46"/>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FootnoteAnchor"/>
          <w:rFonts w:eastAsia="TimesNewRomanPSMT"/>
          <w:sz w:val="22"/>
          <w:szCs w:val="22"/>
        </w:rPr>
        <w:footnoteReference w:id="47"/>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FootnoteAnchor"/>
          <w:rFonts w:eastAsia="TimesNewRomanPSMT"/>
          <w:sz w:val="22"/>
          <w:szCs w:val="22"/>
        </w:rPr>
        <w:footnoteReference w:id="48"/>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pStyle w:val="Normal"/>
        <w:spacing w:before="0" w:after="0"/>
        <w:ind w:left="0" w:right="0" w:firstLine="720"/>
        <w:contextualSpacing/>
        <w:rPr/>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FootnoteAnchor"/>
          <w:rFonts w:eastAsia="TimesNewRomanPSMT"/>
          <w:sz w:val="22"/>
          <w:szCs w:val="22"/>
        </w:rPr>
        <w:footnoteReference w:id="49"/>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pStyle w:val="NormalWeb"/>
        <w:shd w:val="clear" w:fill="FFFFFF"/>
        <w:spacing w:before="0" w:after="0"/>
        <w:contextualSpacing/>
        <w:jc w:val="both"/>
        <w:rPr>
          <w:b/>
          <w:b/>
          <w:sz w:val="28"/>
          <w:szCs w:val="28"/>
          <w:highlight w:val="white"/>
        </w:rPr>
      </w:pPr>
      <w:r>
        <w:rPr>
          <w:b/>
          <w:sz w:val="28"/>
          <w:szCs w:val="28"/>
          <w:highlight w:val="white"/>
        </w:rPr>
      </w:r>
    </w:p>
    <w:p>
      <w:pPr>
        <w:pStyle w:val="NormalWeb"/>
        <w:shd w:val="clear" w:fill="FFFFFF"/>
        <w:spacing w:before="0" w:after="0"/>
        <w:contextualSpacing/>
        <w:jc w:val="both"/>
        <w:rPr>
          <w:b/>
          <w:b/>
          <w:sz w:val="28"/>
          <w:szCs w:val="28"/>
          <w:highlight w:val="white"/>
        </w:rPr>
      </w:pPr>
      <w:r>
        <w:rPr>
          <w:b/>
          <w:sz w:val="28"/>
          <w:szCs w:val="28"/>
          <w:highlight w:val="white"/>
        </w:rPr>
      </w:r>
    </w:p>
    <w:p>
      <w:pPr>
        <w:pStyle w:val="NormalWeb"/>
        <w:shd w:val="clear" w:fill="FFFFFF"/>
        <w:spacing w:before="0" w:after="0"/>
        <w:contextualSpacing/>
        <w:jc w:val="both"/>
        <w:rPr>
          <w:b/>
          <w:b/>
          <w:sz w:val="28"/>
          <w:szCs w:val="28"/>
          <w:highlight w:val="white"/>
        </w:rPr>
      </w:pPr>
      <w:r>
        <w:rPr>
          <w:b/>
          <w:sz w:val="28"/>
          <w:szCs w:val="28"/>
          <w:highlight w:val="white"/>
        </w:rPr>
      </w:r>
    </w:p>
    <w:p>
      <w:pPr>
        <w:pStyle w:val="NormalWeb"/>
        <w:shd w:val="clear" w:fill="FFFFFF"/>
        <w:spacing w:before="0" w:after="0"/>
        <w:contextualSpacing/>
        <w:jc w:val="both"/>
        <w:rPr>
          <w:b/>
          <w:b/>
          <w:sz w:val="28"/>
          <w:szCs w:val="28"/>
          <w:highlight w:val="white"/>
        </w:rPr>
      </w:pPr>
      <w:r>
        <w:rPr>
          <w:b/>
          <w:sz w:val="28"/>
          <w:szCs w:val="28"/>
          <w:highlight w:val="white"/>
        </w:rPr>
      </w:r>
    </w:p>
    <w:p>
      <w:pPr>
        <w:pStyle w:val="NormalWeb"/>
        <w:shd w:val="clear" w:fill="FFFFFF"/>
        <w:spacing w:before="0" w:after="0"/>
        <w:contextualSpacing/>
        <w:jc w:val="both"/>
        <w:rPr>
          <w:b/>
          <w:b/>
          <w:sz w:val="28"/>
          <w:szCs w:val="28"/>
          <w:highlight w:val="white"/>
        </w:rPr>
      </w:pPr>
      <w:r>
        <w:rPr>
          <w:b/>
          <w:sz w:val="28"/>
          <w:szCs w:val="28"/>
          <w:highlight w:val="white"/>
        </w:rPr>
      </w:r>
    </w:p>
    <w:p>
      <w:pPr>
        <w:pStyle w:val="NormalWeb"/>
        <w:shd w:val="clear" w:fill="FFFFFF"/>
        <w:spacing w:before="0" w:after="0"/>
        <w:contextualSpacing/>
        <w:jc w:val="both"/>
        <w:rPr>
          <w:b/>
          <w:b/>
          <w:sz w:val="28"/>
          <w:szCs w:val="28"/>
          <w:highlight w:val="white"/>
        </w:rPr>
      </w:pPr>
      <w:r>
        <w:rPr>
          <w:b/>
          <w:sz w:val="28"/>
          <w:szCs w:val="28"/>
          <w:highlight w:val="white"/>
        </w:rPr>
      </w:r>
    </w:p>
    <w:p>
      <w:pPr>
        <w:pStyle w:val="NormalWeb"/>
        <w:shd w:val="clear" w:fill="FFFFFF"/>
        <w:spacing w:before="0" w:after="0"/>
        <w:contextualSpacing/>
        <w:jc w:val="both"/>
        <w:rPr>
          <w:b/>
          <w:b/>
          <w:sz w:val="28"/>
          <w:szCs w:val="28"/>
          <w:highlight w:val="white"/>
        </w:rPr>
      </w:pPr>
      <w:r>
        <w:rPr>
          <w:b/>
          <w:sz w:val="28"/>
          <w:szCs w:val="28"/>
          <w:highlight w:val="white"/>
        </w:rPr>
      </w:r>
    </w:p>
    <w:p>
      <w:pPr>
        <w:pStyle w:val="NormalWeb"/>
        <w:shd w:val="clear" w:fill="FFFFFF"/>
        <w:spacing w:before="0" w:after="0"/>
        <w:contextualSpacing/>
        <w:jc w:val="both"/>
        <w:rPr>
          <w:b/>
          <w:b/>
          <w:sz w:val="28"/>
          <w:szCs w:val="28"/>
          <w:highlight w:val="white"/>
        </w:rPr>
      </w:pPr>
      <w:r>
        <w:rPr>
          <w:b/>
          <w:sz w:val="28"/>
          <w:szCs w:val="28"/>
          <w:highlight w:val="white"/>
        </w:rPr>
      </w:r>
    </w:p>
    <w:p>
      <w:pPr>
        <w:pStyle w:val="NormalWeb"/>
        <w:shd w:val="clear" w:fill="FFFFFF"/>
        <w:spacing w:before="0" w:after="0"/>
        <w:contextualSpacing/>
        <w:jc w:val="both"/>
        <w:rPr>
          <w:b/>
          <w:b/>
          <w:sz w:val="28"/>
          <w:szCs w:val="28"/>
          <w:highlight w:val="white"/>
        </w:rPr>
      </w:pPr>
      <w:r>
        <w:rPr>
          <w:b/>
          <w:sz w:val="28"/>
          <w:szCs w:val="28"/>
          <w:highlight w:val="white"/>
        </w:rPr>
      </w:r>
    </w:p>
    <w:p>
      <w:pPr>
        <w:pStyle w:val="NormalWeb"/>
        <w:shd w:val="clear" w:fill="FFFFFF"/>
        <w:spacing w:before="0" w:after="0"/>
        <w:contextualSpacing/>
        <w:jc w:val="both"/>
        <w:rPr>
          <w:b/>
          <w:b/>
          <w:sz w:val="28"/>
          <w:szCs w:val="28"/>
          <w:highlight w:val="white"/>
        </w:rPr>
      </w:pPr>
      <w:r>
        <w:rPr>
          <w:b/>
          <w:sz w:val="28"/>
          <w:szCs w:val="28"/>
          <w:highlight w:val="white"/>
        </w:rPr>
      </w:r>
    </w:p>
    <w:p>
      <w:pPr>
        <w:pStyle w:val="NormalWeb"/>
        <w:shd w:val="clear" w:fill="FFFFFF"/>
        <w:spacing w:before="0" w:after="0"/>
        <w:contextualSpacing/>
        <w:jc w:val="both"/>
        <w:rPr>
          <w:b/>
          <w:b/>
          <w:sz w:val="28"/>
          <w:szCs w:val="28"/>
          <w:highlight w:val="white"/>
        </w:rPr>
      </w:pPr>
      <w:r>
        <w:rPr>
          <w:b/>
          <w:sz w:val="28"/>
          <w:szCs w:val="28"/>
          <w:highlight w:val="white"/>
        </w:rPr>
      </w:r>
    </w:p>
    <w:p>
      <w:pPr>
        <w:pStyle w:val="NormalWeb"/>
        <w:numPr>
          <w:ilvl w:val="0"/>
          <w:numId w:val="13"/>
        </w:numPr>
        <w:shd w:val="clear" w:fill="FFFFFF"/>
        <w:spacing w:before="0" w:after="0"/>
        <w:ind w:left="0" w:right="0" w:hanging="720"/>
        <w:contextualSpacing/>
        <w:jc w:val="both"/>
        <w:rPr>
          <w:b/>
          <w:b/>
          <w:sz w:val="36"/>
          <w:szCs w:val="36"/>
          <w:highlight w:val="white"/>
        </w:rPr>
      </w:pPr>
      <w:r>
        <w:rPr>
          <w:b/>
          <w:sz w:val="36"/>
          <w:szCs w:val="36"/>
          <w:highlight w:val="white"/>
        </w:rPr>
        <w:t>PHYSICS, COGNITIVE NEUROSCIENCE, PHILOSOPHY (‘REBORN DINOSAURS’)</w:t>
      </w:r>
    </w:p>
    <w:p>
      <w:pPr>
        <w:pStyle w:val="NormalWeb"/>
        <w:numPr>
          <w:ilvl w:val="0"/>
          <w:numId w:val="13"/>
        </w:numPr>
        <w:shd w:val="clear" w:fill="FFFFFF"/>
        <w:spacing w:before="0" w:after="0"/>
        <w:ind w:left="0" w:right="0" w:hanging="720"/>
        <w:contextualSpacing/>
        <w:jc w:val="both"/>
        <w:rPr>
          <w:b/>
          <w:b/>
          <w:sz w:val="56"/>
          <w:szCs w:val="56"/>
          <w:highlight w:val="white"/>
        </w:rPr>
      </w:pPr>
      <w:r>
        <w:rPr>
          <w:b/>
          <w:sz w:val="56"/>
          <w:szCs w:val="56"/>
          <w:highlight w:val="white"/>
        </w:rPr>
      </w:r>
      <w:r>
        <w:br w:type="page"/>
      </w:r>
    </w:p>
    <w:p>
      <w:pPr>
        <w:pStyle w:val="NormalWeb"/>
        <w:shd w:val="clear" w:fill="FFFFFF"/>
        <w:tabs>
          <w:tab w:val="clear" w:pos="720"/>
          <w:tab w:val="left" w:pos="930" w:leader="none"/>
        </w:tabs>
        <w:spacing w:before="0" w:after="0"/>
        <w:contextualSpacing/>
        <w:jc w:val="both"/>
        <w:rPr>
          <w:sz w:val="28"/>
          <w:szCs w:val="28"/>
          <w:highlight w:val="white"/>
        </w:rPr>
      </w:pPr>
      <w:r>
        <w:rPr>
          <w:sz w:val="28"/>
          <w:szCs w:val="28"/>
          <w:highlight w:val="white"/>
        </w:rPr>
      </w:r>
    </w:p>
    <w:p>
      <w:pPr>
        <w:pStyle w:val="ListParagraph"/>
        <w:numPr>
          <w:ilvl w:val="0"/>
          <w:numId w:val="14"/>
        </w:numPr>
        <w:shd w:val="clear" w:fill="FFFFFF"/>
        <w:spacing w:before="0" w:after="0"/>
        <w:contextualSpacing/>
        <w:rPr/>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FootnoteAnchor"/>
          <w:b/>
          <w:sz w:val="24"/>
          <w:szCs w:val="24"/>
        </w:rPr>
        <w:footnoteReference w:id="50"/>
      </w:r>
    </w:p>
    <w:p>
      <w:pPr>
        <w:pStyle w:val="Normal"/>
        <w:shd w:val="clear" w:fill="FFFFFF"/>
        <w:spacing w:before="0" w:after="0"/>
        <w:contextualSpacing/>
        <w:rPr>
          <w:rFonts w:eastAsia="Times New Roman"/>
          <w:b/>
          <w:b/>
          <w:sz w:val="28"/>
          <w:szCs w:val="28"/>
          <w:lang w:eastAsia="ro-RO"/>
        </w:rPr>
      </w:pPr>
      <w:r>
        <w:rPr>
          <w:rFonts w:eastAsia="Times New Roman"/>
          <w:b/>
          <w:sz w:val="28"/>
          <w:szCs w:val="28"/>
          <w:lang w:eastAsia="ro-RO"/>
        </w:rPr>
      </w:r>
    </w:p>
    <w:p>
      <w:pPr>
        <w:pStyle w:val="Normal"/>
        <w:shd w:val="clear" w:fill="FFFFFF"/>
        <w:spacing w:before="0" w:after="0"/>
        <w:contextualSpacing/>
        <w:rPr/>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pStyle w:val="Normal"/>
        <w:shd w:val="clear" w:fill="FFFFFF"/>
        <w:spacing w:before="0" w:after="0"/>
        <w:contextualSpacing/>
        <w:rPr>
          <w:rFonts w:eastAsia="Times New Roman"/>
          <w:lang w:eastAsia="ro-RO"/>
        </w:rPr>
      </w:pPr>
      <w:r>
        <w:rPr>
          <w:rFonts w:eastAsia="Times New Roman"/>
          <w:lang w:eastAsia="ro-RO"/>
        </w:rPr>
      </w:r>
    </w:p>
    <w:p>
      <w:pPr>
        <w:pStyle w:val="Normal"/>
        <w:shd w:val="clear" w:fill="FFFFFF"/>
        <w:spacing w:before="0" w:after="0"/>
        <w:contextualSpacing/>
        <w:rPr/>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FootnoteAnchor"/>
          <w:rFonts w:eastAsia="Times New Roman"/>
          <w:lang w:eastAsia="ro-RO"/>
        </w:rPr>
        <w:footnoteReference w:id="51"/>
      </w:r>
      <w:r>
        <w:rPr>
          <w:rFonts w:eastAsia="Times New Roman"/>
          <w:lang w:eastAsia="ro-RO"/>
        </w:rPr>
        <w:t xml:space="preserve"> </w:t>
      </w:r>
    </w:p>
    <w:p>
      <w:pPr>
        <w:pStyle w:val="Normal"/>
        <w:shd w:val="clear" w:fill="FFFFFF"/>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pStyle w:val="Normal"/>
        <w:shd w:val="clear" w:fill="FFFFFF"/>
        <w:spacing w:before="0" w:after="0"/>
        <w:ind w:left="0" w:right="0" w:firstLine="360"/>
        <w:contextualSpacing/>
        <w:rPr>
          <w:rFonts w:eastAsia="Times New Roman"/>
          <w:lang w:eastAsia="ro-RO"/>
        </w:rPr>
      </w:pPr>
      <w:r>
        <w:rPr>
          <w:rFonts w:eastAsia="Times New Roman"/>
          <w:lang w:eastAsia="ro-RO"/>
        </w:rPr>
      </w:r>
    </w:p>
    <w:p>
      <w:pPr>
        <w:pStyle w:val="Normal"/>
        <w:spacing w:before="0" w:after="0"/>
        <w:contextualSpacing/>
        <w:rPr/>
      </w:pPr>
      <w:r>
        <w:rPr>
          <w:rFonts w:eastAsia="Times New Roman"/>
          <w:sz w:val="20"/>
          <w:szCs w:val="20"/>
          <w:lang w:eastAsia="ro-RO"/>
        </w:rPr>
        <w:t xml:space="preserve"> </w:t>
      </w:r>
      <w:r>
        <w:rPr>
          <w:rFonts w:eastAsia="TimesNewRomanPSMT" w:cs="TimesNewRomanPSMT" w:ascii="TimesNewRomanPSMT" w:hAnsi="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cs="TimesNewRomanPSMT" w:ascii="TimesNewRomanPSMT" w:hAnsi="TimesNewRomanPSMT"/>
          <w:sz w:val="20"/>
          <w:szCs w:val="20"/>
        </w:rPr>
        <w:t xml:space="preserve">is given but </w:t>
      </w:r>
      <w:r>
        <w:rPr>
          <w:rFonts w:eastAsia="TimesNewRomanPSMT"/>
          <w:i/>
          <w:iCs/>
          <w:sz w:val="20"/>
          <w:szCs w:val="20"/>
        </w:rPr>
        <w:t xml:space="preserve">how </w:t>
      </w:r>
      <w:r>
        <w:rPr>
          <w:rFonts w:eastAsia="TimesNewRomanPSMT" w:cs="TimesNewRomanPSMT" w:ascii="TimesNewRomanPSMT" w:hAnsi="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cs="TimesNewRomanPSMT" w:ascii="TimesNewRomanPSMT" w:hAnsi="TimesNewRomanPSMT"/>
          <w:sz w:val="20"/>
          <w:szCs w:val="20"/>
        </w:rPr>
        <w:t xml:space="preserve">way the world is, but each of them tells us </w:t>
      </w:r>
      <w:r>
        <w:rPr>
          <w:rFonts w:eastAsia="TimesNewRomanPSMT"/>
          <w:i/>
          <w:iCs/>
          <w:sz w:val="20"/>
          <w:szCs w:val="20"/>
        </w:rPr>
        <w:t xml:space="preserve">a </w:t>
      </w:r>
      <w:r>
        <w:rPr>
          <w:rFonts w:eastAsia="TimesNewRomanPSMT" w:cs="TimesNewRomanPSMT" w:ascii="TimesNewRomanPSMT" w:hAnsi="TimesNewRomanPSMT"/>
          <w:sz w:val="20"/>
          <w:szCs w:val="20"/>
        </w:rPr>
        <w:t>way the world is.” (Goodman 1978, p. 30) (in Vacariu 2008, p. 301)</w:t>
      </w:r>
    </w:p>
    <w:p>
      <w:pPr>
        <w:pStyle w:val="Normal"/>
        <w:shd w:val="clear" w:fill="FFFFFF"/>
        <w:spacing w:before="0" w:after="0"/>
        <w:ind w:left="0" w:right="0" w:firstLine="360"/>
        <w:contextualSpacing/>
        <w:rPr>
          <w:rFonts w:eastAsia="Times New Roman"/>
          <w:lang w:eastAsia="ro-RO"/>
        </w:rPr>
      </w:pPr>
      <w:r>
        <w:rPr>
          <w:rFonts w:eastAsia="Times New Roman"/>
          <w:lang w:eastAsia="ro-RO"/>
        </w:rPr>
      </w:r>
    </w:p>
    <w:p>
      <w:pPr>
        <w:pStyle w:val="Normal"/>
        <w:shd w:val="clear" w:fill="FFFFFF"/>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pStyle w:val="Normal"/>
        <w:shd w:val="clear" w:fill="FFFFFF"/>
        <w:spacing w:before="0" w:after="0"/>
        <w:ind w:left="0" w:right="0" w:firstLine="360"/>
        <w:contextualSpacing/>
        <w:rPr/>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FootnoteAnchor"/>
          <w:rFonts w:eastAsia="Times New Roman"/>
          <w:lang w:eastAsia="ro-RO"/>
        </w:rPr>
        <w:footnoteReference w:id="52"/>
      </w:r>
      <w:r>
        <w:rPr>
          <w:rFonts w:eastAsia="Times New Roman"/>
          <w:lang w:eastAsia="ro-RO"/>
        </w:rPr>
        <w:t xml:space="preserve"> (Carroll 2016, p. 9) Let me investigates, under the EDWs perspective, his main ideas that appear in the Introduction. </w:t>
      </w:r>
      <w:r>
        <w:rPr/>
        <w:t xml:space="preserve">Carroll continues with the above statement with this one: </w:t>
      </w:r>
    </w:p>
    <w:p>
      <w:pPr>
        <w:pStyle w:val="Normal"/>
        <w:shd w:val="clear" w:fill="FFFFFF"/>
        <w:spacing w:before="0" w:after="0"/>
        <w:contextualSpacing/>
        <w:rPr/>
      </w:pPr>
      <w:r>
        <w:rPr/>
      </w:r>
    </w:p>
    <w:p>
      <w:pPr>
        <w:pStyle w:val="Normal"/>
        <w:shd w:val="clear" w:fill="FFFFFF"/>
        <w:spacing w:before="0" w:after="0"/>
        <w:contextualSpacing/>
        <w:rPr/>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FootnoteAnchor"/>
          <w:rFonts w:eastAsia="TimesNewRomanPSMT"/>
          <w:sz w:val="20"/>
          <w:szCs w:val="20"/>
        </w:rPr>
        <w:footnoteReference w:id="53"/>
      </w:r>
      <w:r>
        <w:rPr>
          <w:rFonts w:eastAsia="TimesNewRomanPSMT"/>
          <w:sz w:val="20"/>
          <w:szCs w:val="20"/>
        </w:rPr>
        <w:t xml:space="preserve"> </w:t>
      </w:r>
    </w:p>
    <w:p>
      <w:pPr>
        <w:pStyle w:val="Normal"/>
        <w:shd w:val="clear" w:fill="FFFFFF"/>
        <w:spacing w:before="0" w:after="0"/>
        <w:contextualSpacing/>
        <w:rPr>
          <w:rFonts w:eastAsia="TimesNewRomanPSMT"/>
        </w:rPr>
      </w:pPr>
      <w:r>
        <w:rPr>
          <w:rFonts w:eastAsia="TimesNewRomanPSMT"/>
        </w:rPr>
      </w:r>
    </w:p>
    <w:p>
      <w:pPr>
        <w:pStyle w:val="Normal"/>
        <w:shd w:val="clear" w:fill="FFFFFF"/>
        <w:spacing w:before="0" w:after="0"/>
        <w:contextualSpacing/>
        <w:rPr/>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pStyle w:val="Normal"/>
        <w:shd w:val="clear" w:fill="FFFFFF"/>
        <w:spacing w:before="0" w:after="0"/>
        <w:contextualSpacing/>
        <w:rPr>
          <w:rFonts w:eastAsia="TimesNewRomanPSMT"/>
        </w:rPr>
      </w:pPr>
      <w:r>
        <w:rPr>
          <w:rFonts w:eastAsia="TimesNewRomanPSMT"/>
        </w:rPr>
      </w:r>
    </w:p>
    <w:p>
      <w:pPr>
        <w:pStyle w:val="Normal"/>
        <w:shd w:val="clear" w:fill="FFFFFF"/>
        <w:spacing w:before="0" w:after="0"/>
        <w:contextualSpacing/>
        <w:rPr/>
      </w:pPr>
      <w:r>
        <w:rPr>
          <w:rFonts w:eastAsia="TimesNewRomanPSMT"/>
          <w:sz w:val="20"/>
          <w:szCs w:val="20"/>
        </w:rPr>
        <w:t>‘</w:t>
      </w: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FootnoteAnchor"/>
          <w:rFonts w:eastAsia="TimesNewRomanPSMT"/>
          <w:sz w:val="20"/>
          <w:szCs w:val="20"/>
        </w:rPr>
        <w:footnoteReference w:id="54"/>
      </w:r>
    </w:p>
    <w:p>
      <w:pPr>
        <w:pStyle w:val="Normal"/>
        <w:shd w:val="clear" w:fill="FFFFFF"/>
        <w:spacing w:before="0" w:after="0"/>
        <w:contextualSpacing/>
        <w:rPr>
          <w:rFonts w:eastAsia="TimesNewRomanPSMT"/>
          <w:sz w:val="20"/>
          <w:szCs w:val="20"/>
        </w:rPr>
      </w:pPr>
      <w:r>
        <w:rPr>
          <w:rFonts w:eastAsia="TimesNewRomanPSMT"/>
          <w:sz w:val="20"/>
          <w:szCs w:val="20"/>
        </w:rPr>
        <w:t xml:space="preserve"> </w:t>
      </w:r>
    </w:p>
    <w:p>
      <w:pPr>
        <w:pStyle w:val="Normal"/>
        <w:shd w:val="clear" w:fill="FFFFFF"/>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pStyle w:val="Normal"/>
        <w:shd w:val="clear" w:fill="FFFFFF"/>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pStyle w:val="Normal"/>
        <w:shd w:val="clear" w:fill="FFFFFF"/>
        <w:spacing w:before="0" w:after="0"/>
        <w:contextualSpacing/>
        <w:rPr>
          <w:rFonts w:eastAsia="TimesNewRomanPSMT"/>
        </w:rPr>
      </w:pPr>
      <w:r>
        <w:rPr>
          <w:rFonts w:eastAsia="TimesNewRomanPSMT"/>
        </w:rPr>
      </w:r>
    </w:p>
    <w:p>
      <w:pPr>
        <w:pStyle w:val="Normal"/>
        <w:shd w:val="clear" w:fill="FFFFFF"/>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pStyle w:val="Normal"/>
        <w:spacing w:before="0" w:after="0"/>
        <w:contextualSpacing/>
        <w:rPr/>
      </w:pPr>
      <w:r>
        <w:rPr>
          <w:rFonts w:eastAsia="TimesNewRomanPSMT"/>
          <w:sz w:val="20"/>
          <w:szCs w:val="20"/>
        </w:rPr>
        <w:t>brains. But ways of talking can be very real, even when it comes to our ability to make free choices as rational beings. (p. 10)</w:t>
      </w:r>
      <w:r>
        <w:rPr>
          <w:rStyle w:val="FootnoteAnchor"/>
          <w:rFonts w:eastAsia="TimesNewRomanPSMT"/>
          <w:sz w:val="20"/>
          <w:szCs w:val="20"/>
        </w:rPr>
        <w:footnoteReference w:id="55"/>
      </w:r>
    </w:p>
    <w:p>
      <w:pPr>
        <w:pStyle w:val="Normal"/>
        <w:spacing w:before="0" w:after="0"/>
        <w:contextualSpacing/>
        <w:rPr/>
      </w:pPr>
      <w:r>
        <w:rPr/>
      </w:r>
    </w:p>
    <w:p>
      <w:pPr>
        <w:pStyle w:val="Normal"/>
        <w:spacing w:before="0" w:after="0"/>
        <w:contextualSpacing/>
        <w:rPr/>
      </w:pPr>
      <w:r>
        <w:rP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pStyle w:val="Normal"/>
        <w:spacing w:before="0" w:after="0"/>
        <w:contextualSpacing/>
        <w:rPr/>
      </w:pPr>
      <w:r>
        <w:rPr/>
        <w:tab/>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pStyle w:val="Normal"/>
        <w:spacing w:before="0" w:after="0"/>
        <w:contextualSpacing/>
        <w:rPr/>
      </w:pPr>
      <w:r>
        <w:rPr/>
      </w:r>
    </w:p>
    <w:p>
      <w:pPr>
        <w:pStyle w:val="Normal"/>
        <w:spacing w:before="0" w:after="0"/>
        <w:contextualSpacing/>
        <w:rPr/>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pStyle w:val="Normal"/>
        <w:spacing w:before="0" w:after="0"/>
        <w:contextualSpacing/>
        <w:rPr/>
      </w:pPr>
      <w:r>
        <w:rPr/>
      </w:r>
    </w:p>
    <w:p>
      <w:pPr>
        <w:pStyle w:val="Normal"/>
        <w:spacing w:before="0" w:after="0"/>
        <w:contextualSpacing/>
        <w:rPr/>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pStyle w:val="Normal"/>
        <w:spacing w:before="0" w:after="0"/>
        <w:contextualSpacing/>
        <w:rPr/>
      </w:pPr>
      <w:r>
        <w:rPr>
          <w:rFonts w:eastAsia="TimesNewRomanPSMT"/>
        </w:rPr>
        <w:t>These “different kinds of stuff” (which seem more abstract but are arguable equally ‘real’”!) sends directly to the EDWs!</w:t>
      </w:r>
      <w:r>
        <w:rPr>
          <w:rStyle w:val="FootnoteAnchor"/>
          <w:rFonts w:eastAsia="TimesNewRomanPSMT"/>
        </w:rPr>
        <w:footnoteReference w:id="56"/>
      </w:r>
      <w:r>
        <w:rPr>
          <w:rFonts w:eastAsia="TimesNewRomanPSMT"/>
        </w:rPr>
        <w:t xml:space="preserve"> A very similar example like this one “People, spiders, rocks, oceans, tables, fire, air, stars” appears in Vacariu 2008 or 2016!</w:t>
      </w:r>
      <w:r>
        <w:rPr>
          <w:rStyle w:val="FootnoteAnchor"/>
          <w:rFonts w:eastAsia="TimesNewRomanPSMT"/>
        </w:rPr>
        <w:footnoteReference w:id="57"/>
      </w:r>
      <w:r>
        <w:rPr>
          <w:rFonts w:eastAsia="TimesNewRomanPSMT"/>
        </w:rPr>
        <w:t xml:space="preserv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And</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For example, we can try to find only the approximate correspondences between the entities and laws of the quantum and macroscopic worlds. (Vacariu 2008, p. 151, footnote 37)</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eastAsia="TimesNewRomanPSMT" w:cs="TimesNewRomanPSMT" w:ascii="TimesNewRomanPSMT" w:hAnsi="TimesNewRomanPSMT"/>
        </w:rPr>
        <w:t>)</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eastAsia="TimesNewRomanPSMT" w:cs="TimesNewRomanPSMT" w:ascii="TimesNewRomanPSMT" w:hAnsi="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eastAsia="TimesNewRomanPSMT" w:cs="TimesNewRomanPSMT" w:ascii="TimesNewRomanPSMT" w:hAnsi="TimesNewRomanPSMT"/>
          <w:sz w:val="20"/>
          <w:szCs w:val="20"/>
        </w:rPr>
        <w:t>all epistemologically different entities. (Vacariu 2008, p. 113)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pStyle w:val="Normal"/>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FootnoteAnchor"/>
          <w:rFonts w:eastAsia="TimesNewRomanPSMT"/>
        </w:rPr>
        <w:footnoteReference w:id="58"/>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pStyle w:val="Normal"/>
        <w:spacing w:before="0" w:after="0"/>
        <w:contextualSpacing/>
        <w:rPr>
          <w:rFonts w:eastAsia="TimesNewRomanPSMT"/>
          <w:sz w:val="20"/>
          <w:szCs w:val="20"/>
        </w:rPr>
      </w:pPr>
      <w:r>
        <w:rPr>
          <w:rFonts w:eastAsia="TimesNewRomanPSMT"/>
          <w:sz w:val="20"/>
          <w:szCs w:val="20"/>
        </w:rPr>
        <w:t>1. There are many ways of talking about the world.</w:t>
      </w:r>
    </w:p>
    <w:p>
      <w:pPr>
        <w:pStyle w:val="Normal"/>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pStyle w:val="Normal"/>
        <w:spacing w:before="0" w:after="0"/>
        <w:contextualSpacing/>
        <w:rPr>
          <w:rFonts w:eastAsia="TimesNewRomanPSMT"/>
          <w:sz w:val="20"/>
          <w:szCs w:val="20"/>
        </w:rPr>
      </w:pPr>
      <w:r>
        <w:rPr>
          <w:rFonts w:eastAsia="TimesNewRomanPSMT"/>
          <w:sz w:val="20"/>
          <w:szCs w:val="20"/>
        </w:rPr>
        <w:t>3. Our purposes in the moment determine the best way of talking.</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FootnoteAnchor"/>
          <w:rFonts w:eastAsia="TimesNewRomanPSMT"/>
        </w:rPr>
        <w:footnoteReference w:id="59"/>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FootnoteAnchor"/>
          <w:rFonts w:eastAsia="TimesNewRomanPSMT"/>
        </w:rPr>
        <w:footnoteReference w:id="60"/>
      </w:r>
    </w:p>
    <w:p>
      <w:pPr>
        <w:pStyle w:val="Normal"/>
        <w:spacing w:before="0" w:after="0"/>
        <w:contextualSpacing/>
        <w:rPr/>
      </w:pPr>
      <w:r>
        <w:rPr>
          <w:rFonts w:eastAsia="TimesNewRomanPSMT"/>
        </w:rPr>
        <w:tab/>
        <w:t>Carroll writes about Lewis’s “possible worlds”</w:t>
      </w:r>
      <w:r>
        <w:rPr>
          <w:rStyle w:val="FootnoteAnchor"/>
          <w:rFonts w:eastAsia="TimesNewRomanPSMT"/>
        </w:rPr>
        <w:footnoteReference w:id="61"/>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pStyle w:val="Normal"/>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pStyle w:val="Normal"/>
        <w:spacing w:before="0" w:after="0"/>
        <w:ind w:left="0" w:right="0" w:firstLine="708"/>
        <w:contextualSpacing/>
        <w:rPr/>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w:t>
      </w: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pStyle w:val="ListParagraph"/>
        <w:widowControl/>
        <w:numPr>
          <w:ilvl w:val="0"/>
          <w:numId w:val="15"/>
        </w:numPr>
        <w:suppressAutoHyphens w:val="false"/>
        <w:overflowPunct w:val="false"/>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pStyle w:val="ListParagraph"/>
        <w:spacing w:before="0" w:after="0"/>
        <w:ind w:left="0" w:right="0" w:hanging="0"/>
        <w:contextualSpacing/>
        <w:jc w:val="both"/>
        <w:rPr>
          <w:rFonts w:eastAsia="TimesNewRomanPSMT"/>
          <w:sz w:val="20"/>
          <w:szCs w:val="20"/>
        </w:rPr>
      </w:pPr>
      <w:r>
        <w:rPr>
          <w:rFonts w:eastAsia="TimesNewRomanPSMT"/>
          <w:sz w:val="20"/>
          <w:szCs w:val="20"/>
        </w:rPr>
      </w:r>
    </w:p>
    <w:p>
      <w:pPr>
        <w:pStyle w:val="ListParagraph"/>
        <w:widowControl/>
        <w:numPr>
          <w:ilvl w:val="0"/>
          <w:numId w:val="15"/>
        </w:numPr>
        <w:suppressAutoHyphens w:val="false"/>
        <w:overflowPunct w:val="false"/>
        <w:spacing w:before="0" w:after="0"/>
        <w:ind w:left="0" w:right="0" w:hanging="360"/>
        <w:contextualSpacing/>
        <w:jc w:val="both"/>
        <w:textAlignment w:val="auto"/>
        <w:rPr/>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pStyle w:val="ListParagraph"/>
        <w:spacing w:before="0" w:after="0"/>
        <w:ind w:left="0" w:right="0" w:hanging="0"/>
        <w:contextualSpacing/>
        <w:jc w:val="both"/>
        <w:rPr>
          <w:rFonts w:eastAsia="TimesNewRomanPSMT"/>
          <w:sz w:val="20"/>
          <w:szCs w:val="20"/>
        </w:rPr>
      </w:pPr>
      <w:r>
        <w:rPr>
          <w:rFonts w:eastAsia="TimesNewRomanPSMT"/>
          <w:sz w:val="20"/>
          <w:szCs w:val="20"/>
        </w:rPr>
      </w:r>
    </w:p>
    <w:p>
      <w:pPr>
        <w:pStyle w:val="ListParagraph"/>
        <w:widowControl/>
        <w:numPr>
          <w:ilvl w:val="0"/>
          <w:numId w:val="15"/>
        </w:numPr>
        <w:suppressAutoHyphens w:val="false"/>
        <w:overflowPunct w:val="false"/>
        <w:spacing w:before="0" w:after="0"/>
        <w:ind w:left="0" w:right="0" w:hanging="360"/>
        <w:contextualSpacing/>
        <w:jc w:val="both"/>
        <w:textAlignment w:val="auto"/>
        <w:rPr/>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pStyle w:val="ListParagraph"/>
        <w:spacing w:before="0" w:after="0"/>
        <w:ind w:left="0" w:right="0" w:hanging="0"/>
        <w:contextualSpacing/>
        <w:jc w:val="both"/>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FootnoteAnchor"/>
          <w:rFonts w:eastAsia="TimesNewRomanPSMT"/>
          <w:sz w:val="20"/>
          <w:szCs w:val="20"/>
        </w:rPr>
        <w:footnoteReference w:id="62"/>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FootnoteAnchor"/>
          <w:rFonts w:eastAsia="TimesNewRomanPSMT"/>
        </w:rPr>
        <w:footnoteReference w:id="63"/>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FootnoteAnchor"/>
          <w:rFonts w:eastAsia="TimesNewRomanPSMT"/>
        </w:rPr>
        <w:footnoteReference w:id="64"/>
      </w:r>
      <w:r>
        <w:rPr>
          <w:rFonts w:eastAsia="TimesNewRomanPSMT"/>
        </w:rPr>
        <w:t xml:space="preserve"> </w:t>
      </w:r>
    </w:p>
    <w:p>
      <w:pPr>
        <w:pStyle w:val="Normal"/>
        <w:spacing w:before="0" w:after="0"/>
        <w:contextualSpacing/>
        <w:rPr>
          <w:rFonts w:eastAsia="TimesNewRomanPSMT"/>
        </w:rPr>
      </w:pPr>
      <w:r>
        <w:rPr>
          <w:rFonts w:eastAsia="TimesNewRomanPSMT"/>
        </w:rPr>
        <w:tab/>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pStyle w:val="Normal"/>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pStyle w:val="Normal"/>
        <w:spacing w:before="0" w:after="0"/>
        <w:ind w:left="0" w:right="0" w:firstLine="708"/>
        <w:contextualSpacing/>
        <w:rPr/>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We wrote exactly these ideas in our works from 2002, 2003, 2005, 2008, 2010, etc. However, Carroll did not explain to his colleagues what it means “strong emergence”! W</w:t>
      </w:r>
      <w:r>
        <w:rP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rPr/>
        <w:t xml:space="preserve">I have the impression that, in order to understand Carroll’s book, the reader has to reader, firstly, my books 2008 and 2010! </w:t>
      </w:r>
      <w:r>
        <w:rPr>
          <w:rFonts w:eastAsia="TimesNewRomanPSMT"/>
        </w:rPr>
        <w:t>Another paragraph:</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pStyle w:val="Normal"/>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pStyle w:val="Normal"/>
        <w:spacing w:before="0" w:after="0"/>
        <w:ind w:left="0" w:right="0" w:firstLine="708"/>
        <w:contextualSpacing/>
        <w:rPr/>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6.1 A glance at logical positivism .................................................. 285</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6.2. Carnap’s linguistic frameworks ............................................... 289</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6.3. Carnap vs. Gödel or syntactic vs. semantic .................................. 292</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6.4. Carnap vs. Quine or rational reconstruction vs. naturalized</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epistemology ....................................................................... 295</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6.5. Quine’s ontological relativity ............................................. 296</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6.6. Goodman’s relativity ........................................................ 298</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6.7. Putnam and the rejection of the “thing-in-itself” .......................... 299</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6.8. Friedman’s relative constitutive a priori principles....................... 301</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6.9. Some notions from quantum mechanics ....................................... 305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eastAsia="TimesNewRomanPSMT" w:cs="TimesNewRomanPSMT" w:ascii="TimesNewRomanPSMT" w:hAnsi="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eastAsia="TimesNewRomanPSMT" w:cs="TimesNewRomanPSMT" w:ascii="TimesNewRomanPSMT" w:hAnsi="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pStyle w:val="Normal"/>
        <w:spacing w:before="0" w:after="0"/>
        <w:contextualSpacing/>
        <w:rPr>
          <w:rFonts w:eastAsia="TimesNewRomanPSMT"/>
        </w:rPr>
      </w:pPr>
      <w:r>
        <w:rPr>
          <w:rFonts w:eastAsia="TimesNewRomanPSMT"/>
        </w:rPr>
        <w:tab/>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pStyle w:val="Normal"/>
        <w:spacing w:before="0" w:after="0"/>
        <w:contextualSpacing/>
        <w:rPr>
          <w:rFonts w:eastAsia="TimesNewRomanPSMT"/>
        </w:rPr>
      </w:pPr>
      <w:r>
        <w:rPr>
          <w:rFonts w:eastAsia="TimesNewRomanPSMT"/>
        </w:rPr>
        <w:tab/>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pStyle w:val="Normal"/>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pStyle w:val="Normal"/>
        <w:spacing w:before="0" w:after="0"/>
        <w:ind w:left="0" w:right="0" w:firstLine="708"/>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pStyle w:val="Normal"/>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pStyle w:val="Normal"/>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pStyle w:val="Normal"/>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pStyle w:val="Normal"/>
        <w:spacing w:before="0" w:after="0"/>
        <w:ind w:left="0" w:right="0" w:firstLine="708"/>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pStyle w:val="Normal"/>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pStyle w:val="Normal"/>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eastAsia="TimesNewRomanPSMT" w:cs="TimesNewRomanPSMT" w:ascii="TimesNewRomanPSMT" w:hAnsi="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pStyle w:val="Normal"/>
        <w:spacing w:before="0" w:after="0"/>
        <w:ind w:left="0" w:right="0" w:firstLine="708"/>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mechanics or hyperspace). The idea of the hyperverse is completely different to these notions from theoretical physics. (Vacariu 2008, pp. 318-319)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Amazing, in Chapter 21, Carroll introduces Everett’s alternative and “entanglement”:</w:t>
      </w:r>
    </w:p>
    <w:p>
      <w:pPr>
        <w:pStyle w:val="Normal"/>
        <w:spacing w:before="0" w:after="0"/>
        <w:ind w:left="0" w:right="0" w:firstLine="708"/>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pStyle w:val="Normal"/>
        <w:spacing w:before="0" w:after="0"/>
        <w:ind w:left="0" w:right="0" w:firstLine="708"/>
        <w:contextualSpacing/>
        <w:rPr/>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viewpoint, all macroentities belong to the macro-EW, while microparticles to the micro-EW. (Vacariu and Vacariu 2010, p. 200)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pStyle w:val="Normal"/>
        <w:spacing w:before="0" w:after="0"/>
        <w:ind w:left="0" w:right="0" w:firstLine="708"/>
        <w:contextualSpacing/>
        <w:rPr/>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pStyle w:val="Normal"/>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pStyle w:val="Normal"/>
        <w:spacing w:before="0" w:after="0"/>
        <w:ind w:left="0" w:right="0" w:firstLine="708"/>
        <w:contextualSpacing/>
        <w:rPr/>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pStyle w:val="Normal"/>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pStyle w:val="Normal"/>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pStyle w:val="Normal"/>
        <w:spacing w:before="0" w:after="0"/>
        <w:ind w:left="0" w:right="0" w:firstLine="708"/>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FootnoteAnchor"/>
          <w:rFonts w:eastAsia="TimesNewRomanPSMT"/>
        </w:rPr>
        <w:footnoteReference w:id="65"/>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pStyle w:val="Normal"/>
        <w:spacing w:before="0" w:after="0"/>
        <w:contextualSpacing/>
        <w:rPr/>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FootnoteAnchor"/>
          <w:rFonts w:eastAsia="TimesNewRomanPSMT"/>
        </w:rPr>
        <w:footnoteReference w:id="66"/>
      </w:r>
      <w:r>
        <w:rPr>
          <w:rFonts w:eastAsia="TimesNewRomanPSMT"/>
        </w:rPr>
        <w:t xml:space="preserve"> What about the relationship between “particles” and “field in Carroll book?</w:t>
      </w:r>
    </w:p>
    <w:p>
      <w:pPr>
        <w:pStyle w:val="Normal"/>
        <w:spacing w:before="0" w:after="0"/>
        <w:ind w:left="0" w:right="0" w:firstLine="708"/>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pStyle w:val="Normal"/>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pStyle w:val="Normal"/>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pStyle w:val="Normal"/>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eastAsia="TimesNewRomanPSMT" w:cs="TimesNewRomanPSMT" w:ascii="TimesNewRomanPSMT" w:hAnsi="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pStyle w:val="Normal"/>
        <w:spacing w:before="0" w:after="0"/>
        <w:ind w:left="0" w:right="0" w:firstLine="708"/>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pStyle w:val="Normal"/>
        <w:spacing w:before="0" w:after="0"/>
        <w:contextualSpacing/>
        <w:rPr>
          <w:rFonts w:eastAsia="TimesNewRomanPSMT"/>
          <w:b/>
          <w:b/>
          <w:bCs/>
          <w:sz w:val="20"/>
          <w:szCs w:val="20"/>
        </w:rPr>
      </w:pPr>
      <w:r>
        <w:rPr>
          <w:rFonts w:eastAsia="TimesNewRomanPSMT"/>
          <w:b/>
          <w:bCs/>
          <w:sz w:val="20"/>
          <w:szCs w:val="20"/>
        </w:rPr>
      </w:r>
    </w:p>
    <w:p>
      <w:pPr>
        <w:pStyle w:val="Normal"/>
        <w:spacing w:before="0" w:after="0"/>
        <w:contextualSpacing/>
        <w:rPr/>
      </w:pPr>
      <w:r>
        <w:rPr>
          <w:rFonts w:eastAsia="TimesNewRomanPSMT"/>
          <w:b/>
          <w:bCs/>
          <w:sz w:val="20"/>
          <w:szCs w:val="20"/>
        </w:rPr>
        <w:t xml:space="preserve">Claim: </w:t>
      </w:r>
      <w:r>
        <w:rPr>
          <w:rFonts w:eastAsia="TimesNewRomanPSMT"/>
          <w:sz w:val="20"/>
          <w:szCs w:val="20"/>
        </w:rPr>
        <w:t>The laws of physics underlying everyday life are completely known.</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pStyle w:val="Normal"/>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logic behind our audacious claim is simple:</w:t>
      </w:r>
    </w:p>
    <w:p>
      <w:pPr>
        <w:pStyle w:val="Normal"/>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pStyle w:val="Normal"/>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pStyle w:val="Normal"/>
        <w:spacing w:before="0" w:after="0"/>
        <w:ind w:left="0" w:right="0" w:firstLine="708"/>
        <w:contextualSpacing/>
        <w:rPr/>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pStyle w:val="Normal"/>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pStyle w:val="Normal"/>
        <w:spacing w:before="0" w:after="0"/>
        <w:ind w:left="0" w:right="0" w:firstLine="708"/>
        <w:contextualSpacing/>
        <w:rPr/>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1. Quantum mechanics</w:t>
      </w:r>
    </w:p>
    <w:p>
      <w:pPr>
        <w:pStyle w:val="Normal"/>
        <w:spacing w:before="0" w:after="0"/>
        <w:contextualSpacing/>
        <w:rPr>
          <w:rFonts w:eastAsia="TimesNewRomanPSMT"/>
          <w:sz w:val="20"/>
          <w:szCs w:val="20"/>
        </w:rPr>
      </w:pPr>
      <w:r>
        <w:rPr>
          <w:rFonts w:eastAsia="TimesNewRomanPSMT"/>
          <w:sz w:val="20"/>
          <w:szCs w:val="20"/>
        </w:rPr>
        <w:t>2. Special relativity</w:t>
      </w:r>
    </w:p>
    <w:p>
      <w:pPr>
        <w:pStyle w:val="Normal"/>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What is the relation between general theory of relativity and quantum mechanics from the EDWs perspective? It seems that the EDWs perspective can reveal that quantum mechanics</w:t>
      </w:r>
    </w:p>
    <w:p>
      <w:pPr>
        <w:pStyle w:val="Normal"/>
        <w:spacing w:before="0" w:after="0"/>
        <w:contextualSpacing/>
        <w:rPr/>
      </w:pPr>
      <w:r>
        <w:rPr>
          <w:rFonts w:eastAsia="TimesNewRomanPSMT" w:cs="TimesNewRomanPSMT" w:ascii="TimesNewRomanPSMT" w:hAnsi="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eastAsia="TimesNewRomanPSMT" w:cs="TimesNewRomanPSMT" w:ascii="TimesNewRomanPSMT" w:hAnsi="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pStyle w:val="Normal"/>
        <w:spacing w:before="0" w:after="0"/>
        <w:contextualSpacing/>
        <w:rPr/>
      </w:pPr>
      <w:r>
        <w:rPr>
          <w:rFonts w:eastAsia="TimesNewRomanPSMT" w:cs="TimesNewRomanPSMT" w:ascii="TimesNewRomanPSMT" w:hAnsi="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eastAsia="TimesNewRomanPSMT" w:cs="TimesNewRomanPSMT" w:ascii="TimesNewRomanPSMT" w:hAnsi="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pStyle w:val="Normal"/>
        <w:spacing w:before="0" w:after="0"/>
        <w:contextualSpacing/>
        <w:rPr>
          <w:rFonts w:ascii="TimesNewRomanPSMT" w:hAnsi="TimesNewRomanPSMT" w:eastAsia="TimesNewRomanPSMT" w:cs="TimesNewRomanPSMT"/>
        </w:rPr>
      </w:pPr>
      <w:r>
        <w:rPr>
          <w:rFonts w:eastAsia="TimesNewRomanPSMT" w:cs="TimesNewRomanPSMT" w:ascii="TimesNewRomanPSMT" w:hAnsi="TimesNewRomanPSMT"/>
        </w:rPr>
      </w:r>
    </w:p>
    <w:p>
      <w:pPr>
        <w:pStyle w:val="Normal"/>
        <w:spacing w:before="0" w:after="0"/>
        <w:contextualSpacing/>
        <w:rPr>
          <w:rFonts w:eastAsia="TimesNewRomanPSMT"/>
        </w:rPr>
      </w:pPr>
      <w:r>
        <w:rPr>
          <w:rFonts w:eastAsia="TimesNewRomanPSMT"/>
        </w:rPr>
        <w:t xml:space="preserve">Or this one: </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pStyle w:val="Normal"/>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pStyle w:val="Normal"/>
        <w:spacing w:before="0" w:after="0"/>
        <w:ind w:left="0" w:right="0" w:firstLine="708"/>
        <w:contextualSpacing/>
        <w:rPr>
          <w:rFonts w:eastAsia="TimesNewRomanPSMT"/>
        </w:rPr>
      </w:pPr>
      <w:r>
        <w:rPr>
          <w:rFonts w:eastAsia="TimesNewRomanPSMT"/>
        </w:rPr>
      </w:r>
    </w:p>
    <w:p>
      <w:pPr>
        <w:pStyle w:val="Normal"/>
        <w:spacing w:before="0" w:after="0"/>
        <w:contextualSpacing/>
        <w:rPr/>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pStyle w:val="Normal"/>
        <w:spacing w:before="0" w:after="0"/>
        <w:ind w:left="0" w:right="0" w:firstLine="708"/>
        <w:contextualSpacing/>
        <w:rPr/>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pStyle w:val="Normal"/>
        <w:spacing w:before="0" w:after="0"/>
        <w:ind w:left="0" w:right="0" w:firstLine="708"/>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rPr/>
        <w:t xml:space="preserve">The same happens for the relationships between protons and electrons vs. quarks up and down: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pStyle w:val="Normal"/>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pStyle w:val="Normal"/>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pStyle w:val="Normal"/>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pStyle w:val="Normal"/>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What is the relation between general theory of relativity and quantum mechanics from the EDWs perspective? It seems that the EDWs perspective can reveal that quantum mechanics</w:t>
      </w:r>
    </w:p>
    <w:p>
      <w:pPr>
        <w:pStyle w:val="Normal"/>
        <w:spacing w:before="0" w:after="0"/>
        <w:contextualSpacing/>
        <w:rPr/>
      </w:pPr>
      <w:r>
        <w:rPr>
          <w:rFonts w:eastAsia="TimesNewRomanPSMT" w:cs="TimesNewRomanPSMT" w:ascii="TimesNewRomanPSMT" w:hAnsi="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eastAsia="TimesNewRomanPSMT" w:cs="TimesNewRomanPSMT" w:ascii="TimesNewRomanPSMT" w:hAnsi="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pStyle w:val="Normal"/>
        <w:spacing w:before="0" w:after="0"/>
        <w:contextualSpacing/>
        <w:rPr/>
      </w:pPr>
      <w:r>
        <w:rPr>
          <w:rFonts w:eastAsia="TimesNewRomanPSMT" w:cs="TimesNewRomanPSMT" w:ascii="TimesNewRomanPSMT" w:hAnsi="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eastAsia="TimesNewRomanPSMT" w:cs="TimesNewRomanPSMT" w:ascii="TimesNewRomanPSMT" w:hAnsi="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pStyle w:val="Normal"/>
        <w:spacing w:before="0" w:after="0"/>
        <w:contextualSpacing/>
        <w:rPr/>
      </w:pPr>
      <w:r>
        <w:rPr/>
      </w:r>
    </w:p>
    <w:p>
      <w:pPr>
        <w:pStyle w:val="Normal"/>
        <w:spacing w:before="0" w:after="0"/>
        <w:contextualSpacing/>
        <w:rPr/>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FootnoteAnchor"/>
          <w:rFonts w:eastAsia="TimesNewRomanPSMT"/>
        </w:rPr>
        <w:footnoteReference w:id="67"/>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FootnoteAnchor"/>
          <w:rFonts w:eastAsia="TimesNewRomanPSMT"/>
        </w:rPr>
        <w:footnoteReference w:id="68"/>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pStyle w:val="Normal"/>
        <w:spacing w:before="0" w:after="0"/>
        <w:ind w:left="0" w:right="0" w:firstLine="708"/>
        <w:contextualSpacing/>
        <w:rPr/>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FootnoteAnchor"/>
          <w:rFonts w:eastAsia="TimesNewRomanPSMT"/>
        </w:rPr>
        <w:footnoteReference w:id="69"/>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FootnoteAnchor"/>
          <w:rFonts w:eastAsia="TimesNewRomanPSMT"/>
        </w:rPr>
        <w:footnoteReference w:id="70"/>
      </w:r>
      <w:r>
        <w:rPr>
          <w:rFonts w:eastAsia="TimesNewRomanPSMT"/>
        </w:rPr>
        <w:t xml:space="preserve"> showing that Descartes’ answer to this problem is not correct.</w:t>
      </w:r>
      <w:r>
        <w:rPr>
          <w:rStyle w:val="FootnoteAnchor"/>
          <w:rFonts w:eastAsia="TimesNewRomanPSMT"/>
        </w:rPr>
        <w:footnoteReference w:id="71"/>
      </w:r>
      <w:r>
        <w:rPr>
          <w:rFonts w:eastAsia="TimesNewRomanPSMT"/>
        </w:rPr>
        <w:t xml:space="preserve"> Then he quotes Ryle (but he did not indicate where he read Ryle):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pStyle w:val="Normal"/>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pStyle w:val="Normal"/>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pStyle w:val="Normal"/>
        <w:spacing w:before="0" w:after="0"/>
        <w:contextualSpacing/>
        <w:rPr>
          <w:rFonts w:eastAsia="TimesNewRomanPSMT"/>
        </w:rPr>
      </w:pPr>
      <w:r>
        <w:rPr>
          <w:rFonts w:eastAsia="TimesNewRomanPSMT"/>
        </w:rPr>
        <w:tab/>
        <w:t xml:space="preserve">At page 152, Carroll writes that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pStyle w:val="Normal"/>
        <w:spacing w:before="0" w:after="0"/>
        <w:ind w:left="0" w:right="0" w:firstLine="708"/>
        <w:contextualSpacing/>
        <w:rPr/>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pStyle w:val="Normal"/>
        <w:spacing w:before="0" w:after="0"/>
        <w:ind w:left="0" w:right="0" w:firstLine="708"/>
        <w:contextualSpacing/>
        <w:rPr/>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pStyle w:val="Normal"/>
        <w:spacing w:before="0" w:after="0"/>
        <w:ind w:left="0" w:right="0" w:firstLine="708"/>
        <w:contextualSpacing/>
        <w:rPr/>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pStyle w:val="Normal"/>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pStyle w:val="Normal"/>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pStyle w:val="Normal"/>
        <w:spacing w:before="0" w:after="0"/>
        <w:ind w:left="0" w:right="0" w:firstLine="708"/>
        <w:contextualSpacing/>
        <w:rPr/>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pStyle w:val="Normal"/>
        <w:spacing w:before="0" w:after="0"/>
        <w:contextualSpacing/>
        <w:rPr/>
      </w:pPr>
      <w:r>
        <w:rPr>
          <w:rFonts w:eastAsia="TimesNewRomanPSMT"/>
        </w:rPr>
        <w:tab/>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pStyle w:val="Normal"/>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pStyle w:val="Normal"/>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pStyle w:val="Normal"/>
        <w:spacing w:before="0" w:after="0"/>
        <w:contextualSpacing/>
        <w:rPr/>
      </w:pPr>
      <w:r>
        <w:rPr>
          <w:rFonts w:eastAsia="TimesNewRomanPSMT"/>
        </w:rPr>
        <w:tab/>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FootnoteAnchor"/>
          <w:rFonts w:eastAsia="TimesNewRomanPSMT"/>
        </w:rPr>
        <w:footnoteReference w:id="72"/>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pStyle w:val="Normal"/>
        <w:spacing w:before="0" w:after="0"/>
        <w:contextualSpacing/>
        <w:rPr/>
      </w:pPr>
      <w:r>
        <w:rPr>
          <w:rFonts w:eastAsia="TimesNewRomanPSMT"/>
        </w:rPr>
        <w:tab/>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FootnoteAnchor"/>
          <w:rFonts w:eastAsia="TimesNewRomanPSMT"/>
        </w:rPr>
        <w:footnoteReference w:id="73"/>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FootnoteAnchor"/>
          <w:rFonts w:eastAsia="TimesNewRomanPSMT"/>
        </w:rPr>
        <w:footnoteReference w:id="74"/>
      </w:r>
      <w:r>
        <w:rPr>
          <w:rFonts w:eastAsia="TimesNewRomanPSMT"/>
        </w:rPr>
        <w:t>, Carroll writes that the</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pStyle w:val="Normal"/>
        <w:spacing w:before="0" w:after="0"/>
        <w:contextualSpacing/>
        <w:rPr/>
      </w:pPr>
      <w:r>
        <w:rPr>
          <w:rFonts w:eastAsia="TimesNewRomanPSMT"/>
        </w:rPr>
        <w:tab/>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FootnoteAnchor"/>
          <w:rFonts w:eastAsia="TimesNewRomanPSMT"/>
        </w:rPr>
        <w:footnoteReference w:id="75"/>
      </w:r>
      <w:r>
        <w:rPr>
          <w:rFonts w:eastAsia="TimesNewRomanPSMT"/>
        </w:rPr>
        <w:t xml:space="preserve"> How did Carroll know that there are many definitions of “life” but no one is correct? Who told him this? I wrote this idea in my book, but here we have just another coincidence, of course. </w:t>
      </w:r>
    </w:p>
    <w:p>
      <w:pPr>
        <w:pStyle w:val="Normal"/>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pStyle w:val="Normal"/>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Of course, this paragraph is not plagiarism of one of my paragraphs from my books/articles: </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r>
    </w:p>
    <w:p>
      <w:pPr>
        <w:pStyle w:val="Normal"/>
        <w:spacing w:before="0" w:after="0"/>
        <w:contextualSpacing/>
        <w:rPr>
          <w:rFonts w:eastAsia="TimesNewRomanPSMT"/>
        </w:rPr>
      </w:pPr>
      <w:r>
        <w:rPr>
          <w:rFonts w:eastAsia="TimesNewRomanPSMT"/>
        </w:rPr>
        <w:t xml:space="preserve">Or </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r>
    </w:p>
    <w:p>
      <w:pPr>
        <w:pStyle w:val="Normal"/>
        <w:spacing w:before="0" w:after="0"/>
        <w:contextualSpacing/>
        <w:rPr/>
      </w:pPr>
      <w:r>
        <w:rPr>
          <w:rFonts w:eastAsia="TimesNewRomanPSMT" w:cs="TimesNewRomanPSMT" w:ascii="TimesNewRomanPSMT" w:hAnsi="TimesNewRomanPSMT"/>
          <w:sz w:val="20"/>
          <w:szCs w:val="20"/>
        </w:rPr>
        <w:t xml:space="preserve">As we saw in Chapter 1, the conglomerations of microparticles in the micro-EW correspond to planets in the macro-EW. The planets are not composed by microparticles. Therefore, there is </w:t>
      </w:r>
      <w:r>
        <w:rPr>
          <w:rFonts w:eastAsia="TimesNewRomanPS-ItalicMT" w:cs="TimesNewRomanPS-ItalicMT" w:ascii="TimesNewRomanPS-ItalicMT" w:hAnsi="TimesNewRomanPS-ItalicMT"/>
          <w:i/>
          <w:iCs/>
          <w:sz w:val="20"/>
          <w:szCs w:val="20"/>
        </w:rPr>
        <w:t xml:space="preserve">no continuity between the microparticles and the macroparticles </w:t>
      </w:r>
      <w:r>
        <w:rPr>
          <w:rFonts w:eastAsia="TimesNewRomanPSMT" w:cs="TimesNewRomanPSMT" w:ascii="TimesNewRomanPSMT" w:hAnsi="TimesNewRomanPSMT"/>
          <w:sz w:val="20"/>
          <w:szCs w:val="20"/>
        </w:rPr>
        <w:t>but they belong to EDWs. We have to apply the same rule to the “transformation” from the non-living to living</w:t>
      </w:r>
    </w:p>
    <w:p>
      <w:pPr>
        <w:pStyle w:val="Normal"/>
        <w:spacing w:before="0" w:after="0"/>
        <w:contextualSpacing/>
        <w:rPr/>
      </w:pPr>
      <w:r>
        <w:rPr>
          <w:rFonts w:eastAsia="TimesNewRomanPSMT" w:cs="TimesNewRomanPSMT" w:ascii="TimesNewRomanPSMT" w:hAnsi="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eastAsia="TimesNewRomanPS-ItalicMT" w:cs="TimesNewRomanPS-ItalicMT" w:ascii="TimesNewRomanPS-ItalicMT" w:hAnsi="TimesNewRomanPS-ItalicMT"/>
          <w:i/>
          <w:iCs/>
          <w:sz w:val="20"/>
          <w:szCs w:val="20"/>
        </w:rPr>
        <w:t>corresponds</w:t>
      </w:r>
      <w:r>
        <w:rPr>
          <w:rFonts w:eastAsia="TimesNewRomanPSMT" w:cs="TimesNewRomanPSMT" w:ascii="TimesNewRomanPSMT" w:hAnsi="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 xml:space="preserve">itself. To us, as external observers, the proteins of a cell, the cell itself, an insect or an animal belong all to the macro-EW. </w:t>
      </w:r>
    </w:p>
    <w:p>
      <w:pPr>
        <w:pStyle w:val="Normal"/>
        <w:spacing w:before="0" w:after="0"/>
        <w:ind w:left="0" w:right="0" w:firstLine="708"/>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pStyle w:val="Normal"/>
        <w:spacing w:before="0" w:after="0"/>
        <w:contextualSpacing/>
        <w:rPr/>
      </w:pPr>
      <w:r>
        <w:rPr>
          <w:rFonts w:eastAsia="TimesNewRomanPSMT"/>
        </w:rPr>
        <w:tab/>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cs="TimesNewRomanPSMT" w:ascii="TimesNewRomanPSMT" w:hAnsi="TimesNewRomanPSMT"/>
          <w:sz w:val="20"/>
          <w:szCs w:val="20"/>
        </w:rPr>
        <w:t xml:space="preserve">For Kauffman, the catalytic systems “may be the natural source of the order. Order in organism is self-organized and spontaneous.” (2000, p. 2) </w:t>
      </w:r>
      <w:r>
        <w:rPr>
          <w:rFonts w:eastAsia="TimesNewRomanPS-ItalicMT" w:cs="TimesNewRomanPS-ItalicMT" w:ascii="TimesNewRomanPS-ItalicMT" w:hAnsi="TimesNewRomanPS-ItalicMT"/>
          <w:i/>
          <w:iCs/>
          <w:sz w:val="20"/>
          <w:szCs w:val="20"/>
        </w:rPr>
        <w:t xml:space="preserve">Self-organization </w:t>
      </w:r>
      <w:r>
        <w:rPr>
          <w:rFonts w:eastAsia="TimesNewRomanPSMT" w:cs="TimesNewRomanPSMT" w:ascii="TimesNewRomanPSMT" w:hAnsi="TimesNewRomanPSMT"/>
          <w:sz w:val="20"/>
          <w:szCs w:val="20"/>
        </w:rPr>
        <w:t>is an essential notion for Kauffman in explaining life. Self-organization refers only to internal entities</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pStyle w:val="Normal"/>
        <w:spacing w:before="0" w:after="0"/>
        <w:contextualSpacing/>
        <w:rPr>
          <w:rFonts w:eastAsia="TimesNewRomanPSMT"/>
        </w:rPr>
      </w:pPr>
      <w:r>
        <w:rPr>
          <w:rFonts w:eastAsia="TimesNewRomanPSMT"/>
        </w:rPr>
        <w:tab/>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pStyle w:val="Normal"/>
        <w:spacing w:before="0" w:after="0"/>
        <w:contextualSpacing/>
        <w:rPr/>
      </w:pPr>
      <w:r>
        <w:rPr>
          <w:rFonts w:eastAsia="TimesNewRomanPSMT" w:cs="TimesNewRomanPSMT" w:ascii="TimesNewRomanPSMT" w:hAnsi="TimesNewRomanPSMT"/>
          <w:sz w:val="20"/>
          <w:szCs w:val="20"/>
        </w:rPr>
        <w:t xml:space="preserve">autocatalytic systems of molecules” and their activity </w:t>
      </w:r>
      <w:r>
        <w:rPr>
          <w:rFonts w:eastAsia="TimesNewRomanPS-ItalicMT" w:cs="TimesNewRomanPS-ItalicMT" w:ascii="TimesNewRomanPS-ItalicMT" w:hAnsi="TimesNewRomanPS-ItalicMT"/>
          <w:i/>
          <w:iCs/>
          <w:sz w:val="20"/>
          <w:szCs w:val="20"/>
        </w:rPr>
        <w:t xml:space="preserve">correspond </w:t>
      </w:r>
      <w:r>
        <w:rPr>
          <w:rFonts w:eastAsia="TimesNewRomanPSMT" w:cs="TimesNewRomanPSMT" w:ascii="TimesNewRomanPSMT" w:hAnsi="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pStyle w:val="Normal"/>
        <w:spacing w:before="0" w:after="0"/>
        <w:contextualSpacing/>
        <w:rPr>
          <w:rFonts w:eastAsia="TimesNewRomanPSMT"/>
        </w:rPr>
      </w:pPr>
      <w:r>
        <w:rPr>
          <w:rFonts w:eastAsia="TimesNewRomanPSMT"/>
        </w:rPr>
        <w:tab/>
        <w:t xml:space="preserve">Let me introduce a long paragraph (but I emphasize this paragraph is from Carroll’s book not from one of my books!):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pStyle w:val="Normal"/>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pStyle w:val="Normal"/>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pStyle w:val="Normal"/>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pStyle w:val="Normal"/>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pStyle w:val="Normal"/>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pStyle w:val="Normal"/>
        <w:spacing w:before="0" w:after="0"/>
        <w:ind w:left="0" w:right="0" w:firstLine="708"/>
        <w:contextualSpacing/>
        <w:rPr/>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My paragraph: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cs="TimesNewRomanPSMT" w:ascii="TimesNewRomanPSMT" w:hAnsi="TimesNewRomanPSMT"/>
          <w:sz w:val="20"/>
          <w:szCs w:val="20"/>
        </w:rPr>
        <w:t xml:space="preserve">Since cognition and life have the same hyperontological status, we could claim that </w:t>
      </w:r>
      <w:r>
        <w:rPr>
          <w:rFonts w:eastAsia="TimesNewRomanPS-ItalicMT" w:cs="TimesNewRomanPS-ItalicMT" w:ascii="TimesNewRomanPS-ItalicMT" w:hAnsi="TimesNewRomanPS-ItalicMT"/>
          <w:i/>
          <w:iCs/>
          <w:sz w:val="20"/>
          <w:szCs w:val="20"/>
        </w:rPr>
        <w:t>life does not emerge from cells exactly as cognition does not emerge from neurons</w:t>
      </w:r>
      <w:r>
        <w:rPr>
          <w:rFonts w:eastAsia="TimesNewRomanPSMT" w:cs="TimesNewRomanPSMT" w:ascii="TimesNewRomanPSMT" w:hAnsi="TimesNewRomanPSMT"/>
          <w:sz w:val="20"/>
          <w:szCs w:val="20"/>
        </w:rPr>
        <w:t xml:space="preserve">. If live is not an entity and does not emerge from the cells, where can we find it? From the EDWs perspective, life </w:t>
      </w:r>
      <w:r>
        <w:rPr>
          <w:rFonts w:eastAsia="TimesNewRomanPS-ItalicMT" w:cs="TimesNewRomanPS-ItalicMT" w:ascii="TimesNewRomanPS-ItalicMT" w:hAnsi="TimesNewRomanPS-ItalicMT"/>
          <w:i/>
          <w:iCs/>
          <w:sz w:val="20"/>
          <w:szCs w:val="20"/>
        </w:rPr>
        <w:t xml:space="preserve">corresponds </w:t>
      </w:r>
      <w:r>
        <w:rPr>
          <w:rFonts w:eastAsia="TimesNewRomanPSMT" w:cs="TimesNewRomanPSMT" w:ascii="TimesNewRomanPSMT" w:hAnsi="TimesNewRomanPSMT"/>
          <w:sz w:val="20"/>
          <w:szCs w:val="20"/>
        </w:rPr>
        <w:t xml:space="preserve">to the cells and their activity. As we will see below, a living cell is not composed of non-living molecules but corresponds to them and their activity. Then we can assert life that </w:t>
      </w:r>
      <w:r>
        <w:rPr>
          <w:rFonts w:eastAsia="TimesNewRomanPS-ItalicMT" w:cs="TimesNewRomanPS-ItalicMT" w:ascii="TimesNewRomanPS-ItalicMT" w:hAnsi="TimesNewRomanPS-ItalicMT"/>
          <w:i/>
          <w:iCs/>
          <w:sz w:val="20"/>
          <w:szCs w:val="20"/>
        </w:rPr>
        <w:t xml:space="preserve">corresponds </w:t>
      </w:r>
      <w:r>
        <w:rPr>
          <w:rFonts w:eastAsia="TimesNewRomanPSMT" w:cs="TimesNewRomanPSMT" w:ascii="TimesNewRomanPSMT" w:hAnsi="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pStyle w:val="Normal"/>
        <w:spacing w:before="0" w:after="0"/>
        <w:contextualSpacing/>
        <w:rPr>
          <w:rFonts w:eastAsia="TimesNewRomanPSMT"/>
        </w:rPr>
      </w:pPr>
      <w:r>
        <w:rPr>
          <w:rFonts w:eastAsia="TimesNewRomanPSMT"/>
        </w:rPr>
        <w:tab/>
        <w:t>In the next paragraph, working within the unicorn world, we can find unavoidable ontological contradictions:</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rP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pStyle w:val="Normal"/>
        <w:spacing w:before="0" w:after="0"/>
        <w:contextualSpacing/>
        <w:rPr>
          <w:rFonts w:eastAsia="TimesNewRomanPSMT"/>
        </w:rPr>
      </w:pPr>
      <w:r>
        <w:rPr>
          <w:rFonts w:eastAsia="TimesNewRomanPSMT"/>
        </w:rPr>
      </w:r>
    </w:p>
    <w:p>
      <w:pPr>
        <w:pStyle w:val="Normal"/>
        <w:spacing w:before="0" w:after="0"/>
        <w:contextualSpacing/>
        <w:rPr>
          <w:sz w:val="20"/>
          <w:szCs w:val="20"/>
        </w:rPr>
      </w:pPr>
      <w:r>
        <w:rPr>
          <w:sz w:val="20"/>
          <w:szCs w:val="20"/>
        </w:rPr>
        <w:t>“</w:t>
      </w: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Few lines later Carroll writes that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pStyle w:val="Normal"/>
        <w:spacing w:before="0" w:after="0"/>
        <w:contextualSpacing/>
        <w:rPr>
          <w:rFonts w:eastAsia="TimesNewRomanPSMT"/>
          <w:sz w:val="20"/>
          <w:szCs w:val="20"/>
        </w:rPr>
      </w:pPr>
      <w:r>
        <w:rPr>
          <w:rFonts w:eastAsia="TimesNewRomanPSMT"/>
          <w:sz w:val="20"/>
          <w:szCs w:val="20"/>
        </w:rPr>
        <w:t>…</w:t>
      </w:r>
    </w:p>
    <w:p>
      <w:pPr>
        <w:pStyle w:val="Normal"/>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pStyle w:val="Normal"/>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FootnoteAnchor"/>
          <w:rFonts w:eastAsia="TimesNewRomanPSMT"/>
          <w:sz w:val="20"/>
          <w:szCs w:val="20"/>
        </w:rPr>
        <w:footnoteReference w:id="76"/>
      </w:r>
    </w:p>
    <w:p>
      <w:pPr>
        <w:pStyle w:val="Normal"/>
        <w:spacing w:before="0" w:after="0"/>
        <w:contextualSpacing/>
        <w:rPr>
          <w:rFonts w:eastAsia="TimesNewRomanPSMT"/>
        </w:rPr>
      </w:pPr>
      <w:r>
        <w:rPr>
          <w:rFonts w:eastAsia="TimesNewRomanPSMT"/>
        </w:rPr>
        <w:t xml:space="preserve">And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w:t>
      </w: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In my book 2008, I indicate exactly the same idea, but within the EDWs perspective! </w:t>
      </w:r>
    </w:p>
    <w:p>
      <w:pPr>
        <w:pStyle w:val="Normal"/>
        <w:spacing w:before="0" w:after="0"/>
        <w:contextualSpacing/>
        <w:rPr/>
      </w:pPr>
      <w:r>
        <w:rPr>
          <w:rFonts w:eastAsia="TimesNewRomanPSMT"/>
        </w:rPr>
        <w:tab/>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pStyle w:val="Normal"/>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eastAsia="TimesNewRomanPSMT" w:cs="TimesNewRomanPSMT" w:ascii="TimesNewRomanPSMT" w:hAnsi="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eastAsia="TimesNewRomanPSMT" w:cs="TimesNewRomanPSMT" w:ascii="TimesNewRomanPSMT" w:hAnsi="TimesNewRomanPSMT"/>
          <w:sz w:val="20"/>
          <w:szCs w:val="20"/>
        </w:rPr>
        <w:t xml:space="preserve">and in general consciousness. The core idea of irreducibility is that </w:t>
      </w:r>
      <w:r>
        <w:rPr>
          <w:rFonts w:eastAsia="TimesNewRomanPSMT"/>
          <w:i/>
          <w:iCs/>
          <w:sz w:val="20"/>
          <w:szCs w:val="20"/>
        </w:rPr>
        <w:t xml:space="preserve">qualia </w:t>
      </w:r>
      <w:r>
        <w:rPr>
          <w:rFonts w:eastAsia="TimesNewRomanPSMT" w:cs="TimesNewRomanPSMT" w:ascii="TimesNewRomanPSMT" w:hAnsi="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pStyle w:val="Normal"/>
        <w:spacing w:before="0" w:after="0"/>
        <w:ind w:left="0" w:right="0" w:firstLine="708"/>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pStyle w:val="Normal"/>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w:t>
      </w: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FootnoteAnchor"/>
          <w:rFonts w:eastAsia="TimesNewRomanPSMT"/>
        </w:rPr>
        <w:footnoteReference w:id="77"/>
      </w:r>
    </w:p>
    <w:p>
      <w:pPr>
        <w:pStyle w:val="Normal"/>
        <w:spacing w:before="0" w:after="0"/>
        <w:contextualSpacing/>
        <w:rPr/>
      </w:pPr>
      <w:r>
        <w:rPr>
          <w:rFonts w:eastAsia="TimesNewRomanPSMT"/>
        </w:rPr>
        <w:tab/>
      </w:r>
      <w:r>
        <w:rPr/>
        <w:t xml:space="preserve">In Chapter 41, Carroll investigates the difference between “substance dualism” and “property dualism” (but as usually, he does not indicate exactly his lectures on these topics): </w:t>
      </w:r>
    </w:p>
    <w:p>
      <w:pPr>
        <w:pStyle w:val="Normal"/>
        <w:spacing w:before="0" w:after="0"/>
        <w:contextualSpacing/>
        <w:rPr/>
      </w:pPr>
      <w:r>
        <w:rPr/>
      </w:r>
    </w:p>
    <w:p>
      <w:pPr>
        <w:pStyle w:val="Normal"/>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pStyle w:val="Normal"/>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pStyle w:val="Normal"/>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pStyle w:val="Normal"/>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FootnoteAnchor"/>
          <w:rFonts w:eastAsia="TimesNewRomanPSMT"/>
        </w:rPr>
        <w:footnoteReference w:id="78"/>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And few lines later: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FootnoteAnchor"/>
          <w:rFonts w:eastAsia="TimesNewRomanPSMT"/>
          <w:sz w:val="20"/>
          <w:szCs w:val="20"/>
        </w:rPr>
        <w:footnoteReference w:id="79"/>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pStyle w:val="Normal"/>
        <w:spacing w:before="0" w:after="0"/>
        <w:contextualSpacing/>
        <w:rPr/>
      </w:pPr>
      <w:r>
        <w:rPr>
          <w:rFonts w:eastAsia="TimesNewRomanPSMT"/>
        </w:rPr>
        <w:tab/>
        <w:t>Just in the next page, writing about reductionism (and Putnam’s view</w:t>
      </w:r>
      <w:r>
        <w:rPr>
          <w:rStyle w:val="FootnoteAnchor"/>
          <w:rFonts w:eastAsia="TimesNewRomanPSMT"/>
        </w:rPr>
        <w:footnoteReference w:id="80"/>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pStyle w:val="Normal"/>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pStyle w:val="Normal"/>
        <w:spacing w:before="0" w:after="0"/>
        <w:contextualSpacing/>
        <w:rPr>
          <w:rFonts w:eastAsia="TimesNewRomanPSMT"/>
        </w:rPr>
      </w:pPr>
      <w:r>
        <w:rPr>
          <w:rFonts w:eastAsia="TimesNewRomanPSMT"/>
        </w:rPr>
        <w:tab/>
      </w:r>
    </w:p>
    <w:p>
      <w:pPr>
        <w:pStyle w:val="Normal"/>
        <w:spacing w:before="0" w:after="0"/>
        <w:contextualSpacing/>
        <w:rPr/>
      </w:pPr>
      <w:r>
        <w:rPr>
          <w:rFonts w:eastAsia="TimesNewRomanPSMT"/>
        </w:rPr>
        <w:t>Carroll tries to convince us that consciousness is not something “over and above”</w:t>
      </w:r>
      <w:r>
        <w:rPr>
          <w:rStyle w:val="FootnoteAnchor"/>
          <w:rFonts w:eastAsia="TimesNewRomanPSMT"/>
        </w:rPr>
        <w:footnoteReference w:id="81"/>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pStyle w:val="Normal"/>
        <w:spacing w:before="0" w:after="0"/>
        <w:ind w:left="0" w:right="0" w:firstLine="708"/>
        <w:contextualSpacing/>
        <w:rPr/>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pStyle w:val="Normal"/>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pStyle w:val="Normal"/>
        <w:spacing w:before="0" w:after="0"/>
        <w:contextualSpacing/>
        <w:rPr>
          <w:rFonts w:eastAsia="TimesNewRomanPSMT"/>
        </w:rPr>
      </w:pPr>
      <w:r>
        <w:rPr>
          <w:rFonts w:eastAsia="TimesNewRomanPSMT"/>
        </w:rPr>
        <w:tab/>
      </w:r>
    </w:p>
    <w:p>
      <w:pPr>
        <w:pStyle w:val="Normal"/>
        <w:spacing w:before="0" w:after="0"/>
        <w:contextualSpacing/>
        <w:rPr/>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pStyle w:val="Normal"/>
        <w:spacing w:before="0" w:after="0"/>
        <w:ind w:left="0" w:right="0" w:firstLine="708"/>
        <w:contextualSpacing/>
        <w:rPr/>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As usually, Carroll does not indicate his source of “causal closure of the physical, but in my book 2008, I investigate in detail this notion (Kim’s works).</w:t>
      </w:r>
      <w:r>
        <w:rPr>
          <w:rStyle w:val="FootnoteAnchor"/>
          <w:rFonts w:eastAsia="TimesNewRomanPSMT"/>
        </w:rPr>
        <w:footnoteReference w:id="82"/>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pStyle w:val="Normal"/>
        <w:spacing w:before="0" w:after="0"/>
        <w:ind w:left="0" w:right="0" w:firstLine="708"/>
        <w:contextualSpacing/>
        <w:rPr/>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pStyle w:val="Normal"/>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pStyle w:val="Normal"/>
        <w:spacing w:before="0" w:after="0"/>
        <w:ind w:left="0" w:right="0" w:firstLine="708"/>
        <w:contextualSpacing/>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pStyle w:val="Normal"/>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FootnoteAnchor"/>
          <w:rFonts w:eastAsia="TimesNewRomanPSMT"/>
        </w:rPr>
        <w:footnoteReference w:id="83"/>
      </w:r>
      <w:r>
        <w:rPr>
          <w:rFonts w:eastAsia="TimesNewRomanPSMT"/>
        </w:rPr>
        <w:t xml:space="preserve"> It is about EDWs and not about the “world”, the unicorn world…</w:t>
      </w:r>
    </w:p>
    <w:p>
      <w:pPr>
        <w:pStyle w:val="Normal"/>
        <w:spacing w:before="0" w:after="0"/>
        <w:contextualSpacing/>
        <w:rPr/>
      </w:pPr>
      <w:r>
        <w:rPr>
          <w:rFonts w:eastAsia="TimesNewRomanPSMT"/>
        </w:rPr>
        <w:tab/>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pStyle w:val="Normal"/>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pStyle w:val="Normal"/>
        <w:spacing w:before="0" w:after="0"/>
        <w:ind w:left="0" w:right="0" w:firstLine="708"/>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Carroll continues: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pStyle w:val="Normal"/>
        <w:spacing w:before="0" w:after="0"/>
        <w:contextualSpacing/>
        <w:rPr>
          <w:rFonts w:eastAsia="TimesNewRomanPSMT"/>
          <w:i/>
          <w:i/>
        </w:rPr>
      </w:pPr>
      <w:r>
        <w:rPr>
          <w:rFonts w:eastAsia="TimesNewRomanPSMT"/>
          <w:i/>
        </w:rPr>
        <w:t xml:space="preserve"> </w:t>
      </w:r>
    </w:p>
    <w:p>
      <w:pPr>
        <w:pStyle w:val="Normal"/>
        <w:spacing w:before="0" w:after="0"/>
        <w:contextualSpacing/>
        <w:rPr/>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pStyle w:val="Normal"/>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In my paper (at my webpage, posted in 2014), I furnished exactly the same argument, but within the EDWs perspective! Amazing, isn’t it?</w:t>
      </w:r>
      <w:r>
        <w:rPr>
          <w:rStyle w:val="FootnoteAnchor"/>
          <w:rFonts w:eastAsia="TimesNewRomanPSMT"/>
        </w:rPr>
        <w:footnoteReference w:id="84"/>
      </w:r>
    </w:p>
    <w:p>
      <w:pPr>
        <w:pStyle w:val="Normal"/>
        <w:spacing w:before="0" w:after="0"/>
        <w:contextualSpacing/>
        <w:rPr>
          <w:rFonts w:eastAsia="TimesNewRomanPSMT"/>
        </w:rPr>
      </w:pPr>
      <w:r>
        <w:rPr>
          <w:rFonts w:eastAsia="TimesNewRomanPSMT"/>
        </w:rPr>
        <w:tab/>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pStyle w:val="Normal"/>
        <w:spacing w:before="0" w:after="0"/>
        <w:contextualSpacing/>
        <w:rPr>
          <w:rFonts w:eastAsia="TimesNewRomanPSMT"/>
        </w:rPr>
      </w:pPr>
      <w:r>
        <w:rPr>
          <w:rFonts w:eastAsia="TimesNewRomanPSMT"/>
        </w:rPr>
        <w:tab/>
      </w:r>
    </w:p>
    <w:p>
      <w:pPr>
        <w:pStyle w:val="NormalWeb"/>
        <w:shd w:val="clear" w:fill="FFFFFF"/>
        <w:spacing w:before="0" w:after="0"/>
        <w:contextualSpacing/>
        <w:jc w:val="both"/>
        <w:rPr/>
      </w:pPr>
      <w:r>
        <w:rPr/>
        <w:t>Sean Carroll continues publishing UNBELIEVABLE very similar ideas to my ideas: “The big bang is not the beginning of our universe — it’s actually the end of something else entirely” at </w:t>
      </w:r>
      <w:hyperlink r:id="rId65" w:tgtFrame="_blank">
        <w:r>
          <w:rPr>
            <w:rStyle w:val="InternetLink"/>
            <w:color w:val="auto"/>
          </w:rPr>
          <w:t>http://article4science.blogspot.ro/…/the-big-bang-is-not-be…</w:t>
        </w:r>
      </w:hyperlink>
    </w:p>
    <w:p>
      <w:pPr>
        <w:pStyle w:val="NormalWeb"/>
        <w:shd w:val="clear" w:fill="FFFFFF"/>
        <w:spacing w:before="0" w:after="0"/>
        <w:contextualSpacing/>
        <w:jc w:val="both"/>
        <w:rPr/>
      </w:pPr>
      <w:r>
        <w:rPr/>
        <w:t>I had this idea in an article from 2007, and I developed later in 2014 and 2016. The last footnote of my article 2007 below:</w:t>
      </w:r>
    </w:p>
    <w:p>
      <w:pPr>
        <w:pStyle w:val="Normal"/>
        <w:spacing w:before="0" w:after="0"/>
        <w:contextualSpacing/>
        <w:rPr>
          <w:rFonts w:eastAsia="TimesNewRomanPSMT"/>
        </w:rPr>
      </w:pPr>
      <w:r>
        <w:rPr>
          <w:rFonts w:eastAsia="TimesNewRomanPSMT"/>
        </w:rPr>
      </w:r>
    </w:p>
    <w:p>
      <w:pPr>
        <w:pStyle w:val="Normal"/>
        <w:spacing w:before="0" w:after="0"/>
        <w:contextualSpacing/>
        <w:rPr/>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b/>
        </w:rPr>
        <w:t xml:space="preserve">New York Times -review about “The Big Picture” of sean carroll by </w:t>
      </w:r>
      <w:r>
        <w:rPr>
          <w:rFonts w:cs="Helvetica" w:ascii="Helvetica" w:hAnsi="Helvetica"/>
          <w:b/>
          <w:bCs/>
          <w:color w:val="121212"/>
          <w:spacing w:val="5"/>
          <w:highlight w:val="white"/>
        </w:rPr>
        <w:t>Anthony Gottlieb</w:t>
      </w:r>
    </w:p>
    <w:p>
      <w:pPr>
        <w:pStyle w:val="NormalWeb"/>
        <w:shd w:val="clear" w:fill="FFFFFF"/>
        <w:spacing w:before="0" w:after="0"/>
        <w:contextualSpacing/>
        <w:jc w:val="both"/>
        <w:rPr/>
      </w:pPr>
      <w:r>
        <w:rPr/>
      </w:r>
    </w:p>
    <w:p>
      <w:pPr>
        <w:pStyle w:val="NormalWeb"/>
        <w:shd w:val="clear" w:fill="FFFFFF"/>
        <w:spacing w:before="0" w:after="0"/>
        <w:contextualSpacing/>
        <w:jc w:val="both"/>
        <w:rPr/>
      </w:pPr>
      <w:r>
        <w:rPr/>
        <w:t>[many of these ideas underlined by Gottlieb fromm sean caroll’s book are UNBELIEVABLE similar to my ideas from my previous works…]</w:t>
      </w:r>
    </w:p>
    <w:p>
      <w:pPr>
        <w:pStyle w:val="NormalWeb"/>
        <w:shd w:val="clear" w:fill="FFFFFF"/>
        <w:spacing w:before="0" w:after="0"/>
        <w:contextualSpacing/>
        <w:jc w:val="both"/>
        <w:rPr/>
      </w:pPr>
      <w:r>
        <w:rPr/>
      </w:r>
    </w:p>
    <w:p>
      <w:pPr>
        <w:pStyle w:val="NormalWeb"/>
        <w:shd w:val="clear" w:fill="FFFFFF"/>
        <w:spacing w:before="0" w:after="0"/>
        <w:contextualSpacing/>
        <w:jc w:val="both"/>
        <w:rPr/>
      </w:pPr>
      <w:r>
        <w:rPr/>
        <w:t>Let me indicate UNBELIEVABLE sean carroll’s similar ideas to my ideas from this review:</w:t>
      </w:r>
    </w:p>
    <w:p>
      <w:pPr>
        <w:pStyle w:val="NormalWeb"/>
        <w:numPr>
          <w:ilvl w:val="0"/>
          <w:numId w:val="16"/>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pStyle w:val="NormalWeb"/>
        <w:numPr>
          <w:ilvl w:val="0"/>
          <w:numId w:val="16"/>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pStyle w:val="NormalWeb"/>
        <w:numPr>
          <w:ilvl w:val="0"/>
          <w:numId w:val="16"/>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pStyle w:val="NormalWeb"/>
        <w:numPr>
          <w:ilvl w:val="0"/>
          <w:numId w:val="16"/>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pStyle w:val="NormalWeb"/>
        <w:numPr>
          <w:ilvl w:val="0"/>
          <w:numId w:val="16"/>
        </w:numPr>
        <w:shd w:val="clear" w:fill="FFFFFF"/>
        <w:spacing w:before="0" w:after="0"/>
        <w:ind w:left="0" w:right="0" w:hanging="360"/>
        <w:contextualSpacing/>
        <w:jc w:val="both"/>
        <w:rPr/>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rPr/>
        <w:t xml:space="preserve"> </w:t>
      </w:r>
    </w:p>
    <w:p>
      <w:pPr>
        <w:pStyle w:val="Css1ygdjhk"/>
        <w:numPr>
          <w:ilvl w:val="0"/>
          <w:numId w:val="16"/>
        </w:numPr>
        <w:shd w:val="clear" w:fill="FFFFFF"/>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pStyle w:val="Css1ygdjhk"/>
        <w:numPr>
          <w:ilvl w:val="0"/>
          <w:numId w:val="16"/>
        </w:numPr>
        <w:shd w:val="clear" w:fill="FFFFFF"/>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softHyphen/>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pStyle w:val="NormalWeb"/>
        <w:shd w:val="clear" w:fill="FFFFFF"/>
        <w:spacing w:before="0" w:after="0"/>
        <w:contextualSpacing/>
        <w:jc w:val="both"/>
        <w:rPr/>
      </w:pPr>
      <w:r>
        <w:rPr/>
      </w:r>
    </w:p>
    <w:p>
      <w:pPr>
        <w:pStyle w:val="NormalWeb"/>
        <w:shd w:val="clear" w:fill="FFFFFF"/>
        <w:spacing w:before="0" w:after="0"/>
        <w:contextualSpacing/>
        <w:jc w:val="both"/>
        <w:rPr>
          <w:b/>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pStyle w:val="NormalWeb"/>
        <w:shd w:val="clear" w:fill="FFFFFF"/>
        <w:spacing w:before="0" w:after="0"/>
        <w:contextualSpacing/>
        <w:jc w:val="both"/>
        <w:rPr/>
      </w:pPr>
      <w:r>
        <w:rPr/>
      </w:r>
    </w:p>
    <w:p>
      <w:pPr>
        <w:pStyle w:val="NormalWeb"/>
        <w:shd w:val="clear" w:fill="FFFFFF"/>
        <w:spacing w:before="0" w:after="0"/>
        <w:contextualSpacing/>
        <w:jc w:val="both"/>
        <w:rPr/>
      </w:pPr>
      <w:r>
        <w:rPr/>
      </w:r>
      <w:r>
        <w:br w:type="page"/>
      </w:r>
    </w:p>
    <w:p>
      <w:pPr>
        <w:pStyle w:val="Normal"/>
        <w:spacing w:before="0" w:after="0"/>
        <w:contextualSpacing/>
        <w:rPr/>
      </w:pPr>
      <w:r>
        <w:rPr/>
      </w:r>
    </w:p>
    <w:p>
      <w:pPr>
        <w:pStyle w:val="ListParagraph"/>
        <w:numPr>
          <w:ilvl w:val="0"/>
          <w:numId w:val="17"/>
        </w:numPr>
        <w:spacing w:before="0" w:after="0"/>
        <w:ind w:left="0" w:right="0" w:hanging="360"/>
        <w:contextualSpacing/>
        <w:rPr>
          <w:b/>
          <w:b/>
          <w:sz w:val="28"/>
          <w:szCs w:val="28"/>
        </w:rPr>
      </w:pPr>
      <w:r>
        <w:rPr>
          <w:b/>
          <w:sz w:val="28"/>
          <w:szCs w:val="28"/>
        </w:rPr>
        <w:t>(2016) The unbelievable similarities between Frank Wilczek’s ideas (2016) (Nobel Prize in Physics) and my ideas (2002-2008, etc.) (Philosophy of Mind and Quantum Mechanics)</w:t>
      </w:r>
    </w:p>
    <w:p>
      <w:pPr>
        <w:pStyle w:val="Heading1"/>
        <w:shd w:val="clear" w:fill="FFFFFF"/>
        <w:spacing w:before="0" w:after="0"/>
        <w:contextualSpacing/>
        <w:textAlignment w:val="baseline"/>
        <w:rPr>
          <w:rFonts w:ascii="Times New Roman" w:hAnsi="Times New Roman"/>
          <w:sz w:val="28"/>
          <w:szCs w:val="28"/>
        </w:rPr>
      </w:pPr>
      <w:r>
        <w:rPr>
          <w:rFonts w:ascii="Times New Roman" w:hAnsi="Times New Roman"/>
          <w:sz w:val="28"/>
          <w:szCs w:val="28"/>
        </w:rPr>
      </w:r>
    </w:p>
    <w:p>
      <w:pPr>
        <w:pStyle w:val="Heading1"/>
        <w:shd w:val="clear" w:fill="FFFFFF"/>
        <w:spacing w:before="0" w:after="0"/>
        <w:contextualSpacing/>
        <w:textAlignment w:val="baseline"/>
        <w:rPr/>
      </w:pPr>
      <w:r>
        <w:rPr>
          <w:rFonts w:ascii="Times New Roman" w:hAnsi="Times New Roman"/>
          <w:b w:val="false"/>
          <w:sz w:val="24"/>
          <w:szCs w:val="24"/>
        </w:rPr>
        <w:t>In this chapter, I investigate the ideas that we can find in the very short videoclip of Frank Wilczek (</w:t>
      </w:r>
      <w:hyperlink r:id="rId66">
        <w:r>
          <w:rPr>
            <w:rStyle w:val="InternetLink"/>
            <w:rFonts w:ascii="Times New Roman" w:hAnsi="Times New Roman"/>
            <w:b w:val="false"/>
            <w:sz w:val="24"/>
            <w:szCs w:val="24"/>
          </w:rPr>
          <w:t>http://bigthink.com/videos/frank-wilczek-on-physics-and-understanding-the-mind</w:t>
        </w:r>
      </w:hyperlink>
      <w:r>
        <w:rPr>
          <w:rFonts w:ascii="Times New Roman" w:hAnsi="Times New Roman"/>
          <w:b w:val="false"/>
          <w:sz w:val="24"/>
          <w:szCs w:val="24"/>
        </w:rPr>
        <w:t xml:space="preserve"> 4 min 50 sec) on “Big Think” site. </w:t>
      </w:r>
      <w:r>
        <w:rPr>
          <w:rFonts w:ascii="Times New Roman" w:hAnsi="Times New Roman"/>
          <w:b w:val="false"/>
          <w:sz w:val="24"/>
          <w:szCs w:val="24"/>
          <w:lang w:val="en-US"/>
        </w:rPr>
        <w:t xml:space="preserve">In the second part, I introduce some very similar ideas from his book published in 2020. </w:t>
      </w:r>
    </w:p>
    <w:p>
      <w:pPr>
        <w:pStyle w:val="Heading1"/>
        <w:shd w:val="clear" w:fill="FFFFFF"/>
        <w:spacing w:before="0" w:after="0"/>
        <w:contextualSpacing/>
        <w:textAlignment w:val="baseline"/>
        <w:rPr/>
      </w:pPr>
      <w:r>
        <w:rPr>
          <w:rFonts w:ascii="Times New Roman" w:hAnsi="Times New Roman"/>
          <w:b w:val="false"/>
          <w:sz w:val="24"/>
          <w:szCs w:val="24"/>
        </w:rPr>
        <w:t>Let me introduce the transcript of this clip:</w:t>
      </w:r>
    </w:p>
    <w:p>
      <w:pPr>
        <w:pStyle w:val="Heading1"/>
        <w:shd w:val="clear" w:fill="FFFFFF"/>
        <w:spacing w:before="0" w:after="0"/>
        <w:contextualSpacing/>
        <w:textAlignment w:val="baseline"/>
        <w:rPr>
          <w:rFonts w:ascii="Times New Roman" w:hAnsi="Times New Roman"/>
          <w:sz w:val="28"/>
          <w:szCs w:val="28"/>
        </w:rPr>
      </w:pPr>
      <w:r>
        <w:rPr>
          <w:rFonts w:ascii="Times New Roman" w:hAnsi="Times New Roman"/>
          <w:sz w:val="28"/>
          <w:szCs w:val="28"/>
        </w:rPr>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Frank Wiczek in “Big Think” (Facebook, 98.10.2016)</w:t>
        <w:br/>
        <w:t>0:05 There’s every reason to think that physics provides the underlying fundamental laws that</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0:14 describe how mind works. That’s the working hypothesis that Francis Crick calls the astonishing</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0:23 hypothesis that I think basically every serious neurophysiologist assumes that by understanding</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0:32 at a molecular level how nerve cells worked and understanding at an architectural level</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0:37 how they’re wired together and understanding the logic of the processing as you might try</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0:45 to understand how a computer works that that will give a rich and in a sense complete understanding</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0:54 of how the brain works, that there’s nothing missing. That program is very, very far from</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1:00 being accomplished and so it’s logically possible that something will go wrong. But</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1:06 so far that seems to be on track and there don’t seem to be any show stoppers as far</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1:13 as I can tell. The previous history is that at one time people thought that there would</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1:20 be some kind of special animism or vital principle that was necessary to understand how metabolism</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1:31 works or to understand how heredity works or to understand how other basic biological</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1:38 processes work.</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1:40 But in those cases I think it’s fair to say that we’ve actually achieved a molecular</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1:44 understanding. It’s not absolutely complete but it’s – I think the conceptual outlines</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1:49 are quite clear of how metabolism works and how heredity works and it is firmly based</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1:55 on the principles of physics. Now that being said there’s a very important concept that</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2:04 as I’ve – the deeper I’ve studied the more I’ve come to appreciate that Niels</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2:09 Bohr introduced called complementarity. This in quantum mechanics is a theorem but I think</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2:16 it has much more general applicability. It’s the concept that there can be an underlying</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2:24 reality that you address questions to in different ways that are meaningful and give informative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2:31 answers but require processing the underlying reality in different ways. So that the ways</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2:42 that you have to do the processing might be mutually incompatible. In quantum mechanics</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2:48 that’s just something that’s a theorem, a mathematical theorem that if you want to</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2:52 know where a particle is you have to process its most basic reality, it’s wave function</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2:58 in one way. If you want to know how fast it’s moving, its velocity or momentum, you have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3:05 to process the wave function in a different way. And you can do either one of those and</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3:09 get good answers for where it’s going to be or how it’s going to move.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3:15 But you can’t do both at once because the kind of processing that’s involved is incompatible.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3:22 I think that’s a much more general phenomenon that when you try to address the nature of</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3:30 things you may find that asking different questions requires different ways of processing</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3:35 the underlying information structures, the underlying reality so that, for instance,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3:42 in understanding the human mind which is what we were talking about, to understand it physically</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3:47 requires one kind of processing and there’s every reason to think that we already have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3:53 the fundamental physical laws that are adequate to that kind of treatment. But to understand</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4:02 how a person works, how thought processes, moods and so forth add up to a personality</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4:10 in a human actor will require quite different ways of understanding and quite different</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4:15 ways of processing the underlying information structure that are probably incompatible.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4:22 So the age old conflict between determinism and free will, for instance, I think is superficial.</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4:31 They’re different ways of processing that could easily be and apparently are incompatible.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4:38 If we’re dealing with our own experience or if we’re dealing with issues of law we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4:44 really need the concept of free will. But if we’re dealing with the brain as a physical</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4:50 object I think we can rely on the physical laws.</w:t>
      </w:r>
    </w:p>
    <w:p>
      <w:pPr>
        <w:pStyle w:val="Normal"/>
        <w:spacing w:before="0" w:after="0"/>
        <w:contextualSpacing/>
        <w:rPr/>
      </w:pPr>
      <w:r>
        <w:rPr/>
      </w:r>
    </w:p>
    <w:p>
      <w:pPr>
        <w:pStyle w:val="Normal"/>
        <w:spacing w:before="0" w:after="0"/>
        <w:contextualSpacing/>
        <w:rPr/>
      </w:pPr>
      <w:r>
        <w:rP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pStyle w:val="Normal"/>
        <w:spacing w:before="0" w:after="0"/>
        <w:contextualSpacing/>
        <w:rPr/>
      </w:pPr>
      <w:r>
        <w:rPr/>
        <w:tab/>
        <w:t xml:space="preserve">I applied Bohr’s complementarity in my articles 2002, 2003, 2005, and all my books 2008-2016! </w:t>
      </w:r>
    </w:p>
    <w:p>
      <w:pPr>
        <w:pStyle w:val="Normal"/>
        <w:spacing w:before="0" w:after="0"/>
        <w:contextualSpacing/>
        <w:rPr/>
      </w:pPr>
      <w:r>
        <w:rPr/>
        <w:tab/>
        <w:t xml:space="preserve">In my article Synthese 2005: </w:t>
      </w:r>
    </w:p>
    <w:p>
      <w:pPr>
        <w:pStyle w:val="Normal"/>
        <w:spacing w:before="0" w:after="0"/>
        <w:contextualSpacing/>
        <w:rPr/>
      </w:pPr>
      <w:r>
        <w:rPr/>
      </w:r>
    </w:p>
    <w:p>
      <w:pPr>
        <w:pStyle w:val="Normal"/>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pStyle w:val="Normal"/>
        <w:spacing w:before="0" w:after="0"/>
        <w:contextualSpacing/>
        <w:rPr>
          <w:rFonts w:eastAsia="Calibri"/>
          <w:sz w:val="20"/>
          <w:szCs w:val="20"/>
        </w:rPr>
      </w:pPr>
      <w:r>
        <w:rPr>
          <w:rFonts w:eastAsia="Calibri"/>
          <w:sz w:val="20"/>
          <w:szCs w:val="20"/>
        </w:rPr>
        <w:t>states or neural patterns of activation. (p. 517)</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pStyle w:val="Normal"/>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pStyle w:val="Normal"/>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pStyle w:val="Normal"/>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pStyle w:val="Normal"/>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(P5) Each epistemologically different world has the same objective reality. (p. 533)</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pStyle w:val="Normal"/>
        <w:spacing w:before="0" w:after="0"/>
        <w:contextualSpacing/>
        <w:rPr>
          <w:rFonts w:eastAsia="Calibri"/>
          <w:i/>
          <w:i/>
          <w:iCs/>
          <w:sz w:val="20"/>
          <w:szCs w:val="20"/>
        </w:rPr>
      </w:pPr>
      <w:r>
        <w:rPr>
          <w:rFonts w:eastAsia="Calibri"/>
          <w:i/>
          <w:iCs/>
          <w:sz w:val="20"/>
          <w:szCs w:val="20"/>
        </w:rPr>
      </w:r>
    </w:p>
    <w:p>
      <w:pPr>
        <w:pStyle w:val="Normal"/>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pStyle w:val="Normal"/>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pStyle w:val="Normal"/>
        <w:spacing w:before="0" w:after="0"/>
        <w:contextualSpacing/>
        <w:rPr/>
      </w:pPr>
      <w:r>
        <w:rPr/>
      </w:r>
    </w:p>
    <w:p>
      <w:pPr>
        <w:pStyle w:val="Normal"/>
        <w:spacing w:before="0" w:after="0"/>
        <w:contextualSpacing/>
        <w:rPr/>
      </w:pPr>
      <w:r>
        <w:rPr/>
        <w:t>My book 2008: a</w:t>
      </w:r>
      <w:r>
        <w:rPr>
          <w:color w:val="1D2129"/>
          <w:highlight w:val="blue"/>
        </w:rPr>
        <w:t>bout Bohr’s complementarity applied to the mind-brain problem from my book 2008 (posted on Internet immediately after being published):</w:t>
      </w:r>
    </w:p>
    <w:p>
      <w:pPr>
        <w:pStyle w:val="Normal"/>
        <w:spacing w:before="0" w:after="0"/>
        <w:contextualSpacing/>
        <w:rPr>
          <w:color w:val="1D2129"/>
          <w:sz w:val="20"/>
          <w:szCs w:val="20"/>
          <w:highlight w:val="blue"/>
        </w:rPr>
      </w:pPr>
      <w:r>
        <w:rPr>
          <w:color w:val="1D2129"/>
          <w:sz w:val="20"/>
          <w:szCs w:val="20"/>
          <w:highlight w:val="blue"/>
        </w:rPr>
        <w:b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pStyle w:val="Normal"/>
        <w:spacing w:before="0" w:after="0"/>
        <w:contextualSpacing/>
        <w:rPr>
          <w:color w:val="1D2129"/>
          <w:sz w:val="20"/>
          <w:szCs w:val="20"/>
          <w:highlight w:val="blue"/>
        </w:rPr>
      </w:pPr>
      <w:r>
        <w:rPr>
          <w:color w:val="1D2129"/>
          <w:sz w:val="20"/>
          <w:szCs w:val="20"/>
          <w:highlight w:val="blue"/>
        </w:rPr>
      </w:r>
    </w:p>
    <w:p>
      <w:pPr>
        <w:pStyle w:val="Normal"/>
        <w:spacing w:before="0" w:after="0"/>
        <w:contextualSpacing/>
        <w:rPr/>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pStyle w:val="Normal"/>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pStyle w:val="Normal"/>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pStyle w:val="Normal"/>
        <w:spacing w:before="0" w:after="0"/>
        <w:ind w:left="0" w:right="0" w:firstLine="720"/>
        <w:contextualSpacing/>
        <w:rPr/>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pStyle w:val="Normal"/>
        <w:spacing w:before="0" w:after="0"/>
        <w:ind w:left="0" w:right="0" w:firstLine="72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pStyle w:val="Normal"/>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pStyle w:val="Normal"/>
        <w:spacing w:before="0" w:after="0"/>
        <w:ind w:left="0" w:right="0" w:firstLine="720"/>
        <w:contextualSpacing/>
        <w:rPr>
          <w:rFonts w:eastAsia="Calibri"/>
          <w:sz w:val="20"/>
          <w:szCs w:val="20"/>
        </w:rPr>
      </w:pPr>
      <w:r>
        <w:rPr>
          <w:rFonts w:eastAsia="Calibri"/>
          <w:sz w:val="20"/>
          <w:szCs w:val="20"/>
        </w:rPr>
      </w:r>
    </w:p>
    <w:p>
      <w:pPr>
        <w:pStyle w:val="Normal"/>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pStyle w:val="Normal"/>
        <w:spacing w:before="0" w:after="0"/>
        <w:contextualSpacing/>
        <w:rPr/>
      </w:pPr>
      <w:r>
        <w:rPr>
          <w:color w:val="1D2129"/>
          <w:sz w:val="20"/>
          <w:szCs w:val="20"/>
          <w:highlight w:val="blue"/>
        </w:rPr>
        <w:b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Appleconvertedspace"/>
          <w:color w:val="1D2129"/>
          <w:sz w:val="20"/>
          <w:szCs w:val="20"/>
          <w:highlight w:val="blue"/>
        </w:rPr>
        <w:t> </w:t>
      </w:r>
      <w:r>
        <w:rPr>
          <w:color w:val="1D2129"/>
          <w:sz w:val="20"/>
          <w:szCs w:val="20"/>
          <w:highlight w:val="blue"/>
        </w:rPr>
        <w:br/>
        <w:br/>
        <w:t>We have to apply here a revision of Bohr’s correspondence principle: the mind-EW (that is the “I”) corresponds to all EDWs. In other words, all the external EDWs – including the macro-EW – are represented by representations and processes within the mind-EW. (p. 146)</w:t>
      </w:r>
    </w:p>
    <w:p>
      <w:pPr>
        <w:pStyle w:val="Normal"/>
        <w:spacing w:before="0" w:after="0"/>
        <w:contextualSpacing/>
        <w:rPr>
          <w:color w:val="1D2129"/>
          <w:sz w:val="20"/>
          <w:szCs w:val="20"/>
          <w:highlight w:val="blue"/>
        </w:rPr>
      </w:pPr>
      <w:r>
        <w:rPr>
          <w:color w:val="1D2129"/>
          <w:sz w:val="20"/>
          <w:szCs w:val="20"/>
          <w:highlight w:val="blue"/>
        </w:rPr>
        <w:b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pStyle w:val="Normal"/>
        <w:spacing w:before="0" w:after="0"/>
        <w:contextualSpacing/>
        <w:rPr>
          <w:color w:val="1D2129"/>
          <w:sz w:val="20"/>
          <w:szCs w:val="20"/>
          <w:highlight w:val="blue"/>
        </w:rPr>
      </w:pPr>
      <w:r>
        <w:rPr>
          <w:color w:val="1D2129"/>
          <w:sz w:val="20"/>
          <w:szCs w:val="20"/>
          <w:highlight w:val="blue"/>
        </w:rPr>
      </w:r>
    </w:p>
    <w:p>
      <w:pPr>
        <w:pStyle w:val="Normal"/>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b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br/>
        <w:t>the microparticles and the waves belong to the same EW. (pp. 318-319)</w:t>
      </w:r>
    </w:p>
    <w:p>
      <w:pPr>
        <w:pStyle w:val="Normal"/>
        <w:spacing w:before="0" w:after="0"/>
        <w:contextualSpacing/>
        <w:rPr>
          <w:sz w:val="20"/>
          <w:szCs w:val="20"/>
        </w:rPr>
      </w:pPr>
      <w:r>
        <w:rPr>
          <w:sz w:val="20"/>
          <w:szCs w:val="20"/>
        </w:rPr>
      </w:r>
    </w:p>
    <w:p>
      <w:pPr>
        <w:pStyle w:val="Heading1"/>
        <w:shd w:val="clear" w:fill="FFFFFF"/>
        <w:spacing w:before="0" w:after="0"/>
        <w:contextualSpacing/>
        <w:textAlignment w:val="baseline"/>
        <w:rPr>
          <w:rFonts w:ascii="Times New Roman" w:hAnsi="Times New Roman"/>
          <w:sz w:val="28"/>
          <w:szCs w:val="28"/>
        </w:rPr>
      </w:pPr>
      <w:r>
        <w:rPr>
          <w:rFonts w:ascii="Times New Roman" w:hAnsi="Times New Roman"/>
          <w:sz w:val="28"/>
          <w:szCs w:val="28"/>
        </w:rPr>
      </w:r>
    </w:p>
    <w:p>
      <w:pPr>
        <w:pStyle w:val="Heading1"/>
        <w:shd w:val="clear" w:fill="FFFFFF"/>
        <w:spacing w:before="0" w:after="0"/>
        <w:contextualSpacing/>
        <w:textAlignment w:val="baseline"/>
        <w:rPr>
          <w:rFonts w:ascii="Times New Roman" w:hAnsi="Times New Roman"/>
          <w:b w:val="false"/>
          <w:b w:val="false"/>
          <w:sz w:val="24"/>
          <w:szCs w:val="24"/>
        </w:rPr>
      </w:pPr>
      <w:r>
        <w:rPr>
          <w:rFonts w:ascii="Times New Roman" w:hAnsi="Times New Roman"/>
          <w:b w:val="false"/>
          <w:sz w:val="24"/>
          <w:szCs w:val="24"/>
        </w:rPr>
        <w:t xml:space="preserve">(For more examples, see my articles and books.) </w:t>
      </w:r>
    </w:p>
    <w:p>
      <w:pPr>
        <w:pStyle w:val="Heading1"/>
        <w:shd w:val="clear" w:fill="FFFFFF"/>
        <w:spacing w:before="0" w:after="0"/>
        <w:contextualSpacing/>
        <w:textAlignment w:val="baseline"/>
        <w:rPr>
          <w:rFonts w:ascii="Times New Roman" w:hAnsi="Times New Roman"/>
          <w:b w:val="false"/>
          <w:b w:val="false"/>
          <w:sz w:val="24"/>
          <w:szCs w:val="24"/>
        </w:rPr>
      </w:pPr>
      <w:r>
        <w:rPr>
          <w:rFonts w:ascii="Times New Roman" w:hAnsi="Times New Roman"/>
          <w:b w:val="false"/>
          <w:sz w:val="24"/>
          <w:szCs w:val="24"/>
        </w:rPr>
      </w:r>
    </w:p>
    <w:p>
      <w:pPr>
        <w:pStyle w:val="Heading1"/>
        <w:shd w:val="clear" w:fill="FFFFFF"/>
        <w:spacing w:before="0" w:after="0"/>
        <w:contextualSpacing/>
        <w:textAlignment w:val="baseline"/>
        <w:rPr>
          <w:rFonts w:ascii="Times New Roman" w:hAnsi="Times New Roman"/>
          <w:b w:val="false"/>
          <w:b w:val="false"/>
          <w:sz w:val="24"/>
          <w:szCs w:val="24"/>
        </w:rPr>
      </w:pPr>
      <w:r>
        <w:rPr>
          <w:rFonts w:ascii="Times New Roman" w:hAnsi="Times New Roman"/>
          <w:b w:val="false"/>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Heading1"/>
        <w:shd w:val="clear" w:fill="FFFFFF"/>
        <w:spacing w:before="0" w:after="0"/>
        <w:ind w:left="0" w:right="0" w:firstLine="720"/>
        <w:contextualSpacing/>
        <w:textAlignment w:val="baseline"/>
        <w:rPr>
          <w:rFonts w:ascii="Times New Roman" w:hAnsi="Times New Roman"/>
          <w:b w:val="false"/>
          <w:b w:val="false"/>
          <w:sz w:val="24"/>
          <w:szCs w:val="24"/>
        </w:rPr>
      </w:pPr>
      <w:r>
        <w:rPr>
          <w:rFonts w:ascii="Times New Roman" w:hAnsi="Times New Roman"/>
          <w:b w:val="false"/>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pStyle w:val="Normal"/>
        <w:rPr>
          <w:rFonts w:ascii="Times New Roman" w:hAnsi="Times New Roman"/>
          <w:b w:val="false"/>
          <w:b w:val="false"/>
          <w:sz w:val="24"/>
          <w:szCs w:val="24"/>
        </w:rPr>
      </w:pPr>
      <w:r>
        <w:rPr>
          <w:b w:val="false"/>
          <w:sz w:val="24"/>
          <w:szCs w:val="24"/>
        </w:rPr>
      </w:r>
    </w:p>
    <w:p>
      <w:pPr>
        <w:pStyle w:val="Normal"/>
        <w:rPr>
          <w:rFonts w:ascii="Times New Roman" w:hAnsi="Times New Roman"/>
          <w:b w:val="false"/>
          <w:b w:val="false"/>
          <w:sz w:val="24"/>
          <w:szCs w:val="24"/>
          <w:lang w:val="en-US"/>
        </w:rPr>
      </w:pPr>
      <w:r>
        <w:rPr>
          <w:b/>
          <w:bCs/>
          <w:sz w:val="28"/>
          <w:szCs w:val="28"/>
          <w:lang w:val="en-US"/>
        </w:rPr>
        <w:t>Fundamentals - Ten keys to reality, Penguin Press, NY</w:t>
      </w:r>
    </w:p>
    <w:p>
      <w:pPr>
        <w:pStyle w:val="Normal"/>
        <w:rPr>
          <w:rFonts w:ascii="Times New Roman" w:hAnsi="Times New Roman"/>
          <w:b w:val="false"/>
          <w:b w:val="false"/>
          <w:sz w:val="24"/>
          <w:szCs w:val="24"/>
        </w:rPr>
      </w:pPr>
      <w:r>
        <w:rPr>
          <w:b w:val="false"/>
          <w:sz w:val="24"/>
          <w:szCs w:val="24"/>
        </w:rPr>
      </w:r>
    </w:p>
    <w:p>
      <w:pPr>
        <w:pStyle w:val="Normal"/>
        <w:rPr>
          <w:b w:val="false"/>
          <w:b w:val="false"/>
          <w:sz w:val="24"/>
          <w:szCs w:val="24"/>
          <w:lang w:val="en-US"/>
        </w:rPr>
      </w:pPr>
      <w:r>
        <w:rPr>
          <w:b w:val="false"/>
          <w:sz w:val="24"/>
          <w:szCs w:val="24"/>
          <w:lang w:val="en-US"/>
        </w:rPr>
        <w:t>[last chapter]</w:t>
      </w:r>
    </w:p>
    <w:p>
      <w:pPr>
        <w:pStyle w:val="Normal"/>
        <w:rPr>
          <w:rFonts w:ascii="SimSun" w:hAnsi="SimSun" w:eastAsia="SimSun" w:cs="SimSun"/>
          <w:sz w:val="24"/>
          <w:szCs w:val="24"/>
        </w:rPr>
      </w:pPr>
      <w:r>
        <w:rPr>
          <w:rFonts w:eastAsia="SimSun" w:cs="SimSun" w:ascii="SimSun" w:hAnsi="SimSun"/>
          <w:sz w:val="24"/>
          <w:szCs w:val="24"/>
        </w:rPr>
        <w:t>On the other hand, if we want to predict what will happen to that same person if they are at ground zero of a nuclear explosion, then quite a different model, based on physics, will be appropriate. In that case, mind and will don’t come into it at all. Both models—one based on mind and psychology, the other based on matter and physics—are valid. Each addresses a different question successfully. But neither is complete, and neither makes a good substitute for the other. People do make choices, and their bodies are subject to the rules of matter. Those observations are everyday facts. They won’t go away. In the spirit of complementarity, we accept them both. We recognize that neither falsifies the other. Facts can’t falsify other facts. Rather, they reflect different ways of processing reality. Do people have choice in what they do, or are they puppets who dance to the tune of mathematical physics? That is a bad question, not unlike asking whether music is harmony or melody. Free will is an essential concept in law and morality, while physics has been successful without it. Removing free will from law, or injecting it into physics, would make a mess of those subjects. It is totally unnecessary! Free will and physical determinism are complementary aspects of reality.</w:t>
      </w:r>
    </w:p>
    <w:p>
      <w:pPr>
        <w:pStyle w:val="Normal"/>
        <w:rPr>
          <w:rFonts w:ascii="SimSun" w:hAnsi="SimSun" w:eastAsia="SimSun" w:cs="SimSun"/>
          <w:sz w:val="24"/>
          <w:szCs w:val="24"/>
        </w:rPr>
      </w:pPr>
      <w:r>
        <w:rPr>
          <w:rFonts w:eastAsia="SimSun" w:cs="SimSun" w:ascii="SimSun" w:hAnsi="SimSun"/>
          <w:sz w:val="24"/>
          <w:szCs w:val="24"/>
        </w:rPr>
      </w:r>
    </w:p>
    <w:p>
      <w:pPr>
        <w:pStyle w:val="Normal"/>
        <w:rPr>
          <w:rFonts w:ascii="SimSun" w:hAnsi="SimSun" w:eastAsia="SimSun" w:cs="SimSun"/>
          <w:sz w:val="24"/>
          <w:szCs w:val="24"/>
        </w:rPr>
      </w:pPr>
      <w:r>
        <w:rPr>
          <w:rFonts w:eastAsia="SimSun" w:cs="SimSun" w:ascii="SimSun" w:hAnsi="SimSun"/>
          <w:sz w:val="24"/>
          <w:szCs w:val="24"/>
        </w:rPr>
      </w:r>
    </w:p>
    <w:p>
      <w:pPr>
        <w:pStyle w:val="Normal"/>
        <w:rPr>
          <w:rFonts w:ascii="SimSun" w:hAnsi="SimSun" w:eastAsia="SimSun" w:cs="SimSun"/>
          <w:sz w:val="24"/>
          <w:szCs w:val="24"/>
        </w:rPr>
      </w:pPr>
      <w:r>
        <w:rPr>
          <w:rFonts w:eastAsia="SimSun" w:cs="SimSun" w:ascii="SimSun" w:hAnsi="SimSun"/>
          <w:sz w:val="24"/>
          <w:szCs w:val="24"/>
        </w:rPr>
        <w:t>Upon that realization, the division of experience into internal and external worlds comes to seem superficial. For babies, that division is a useful discovery, and for adults, it is a convenient rule of thumb. But our best understanding suggests that there is just one world, after all. Matter, deeply understood, has ample room for minds. And so, also, it can be home to the internal worlds that minds house.</w:t>
      </w:r>
    </w:p>
    <w:p>
      <w:pPr>
        <w:pStyle w:val="Normal"/>
        <w:rPr>
          <w:rFonts w:ascii="SimSun" w:hAnsi="SimSun" w:eastAsia="SimSun" w:cs="SimSun"/>
          <w:sz w:val="24"/>
          <w:szCs w:val="24"/>
        </w:rPr>
      </w:pPr>
      <w:r>
        <w:rPr>
          <w:rFonts w:eastAsia="SimSun" w:cs="SimSun" w:ascii="SimSun" w:hAnsi="SimSun"/>
          <w:sz w:val="24"/>
          <w:szCs w:val="24"/>
        </w:rPr>
      </w:r>
    </w:p>
    <w:p>
      <w:pPr>
        <w:pStyle w:val="Normal"/>
        <w:rPr>
          <w:rFonts w:ascii="SimSun" w:hAnsi="SimSun" w:eastAsia="SimSun" w:cs="SimSun"/>
          <w:sz w:val="24"/>
          <w:szCs w:val="24"/>
          <w:lang w:val="en-US"/>
        </w:rPr>
      </w:pPr>
      <w:r>
        <w:rPr>
          <w:rFonts w:eastAsia="SimSun" w:cs="SimSun" w:ascii="SimSun" w:hAnsi="SimSun"/>
          <w:sz w:val="24"/>
          <w:szCs w:val="24"/>
          <w:lang w:val="en-US"/>
        </w:rPr>
      </w:r>
    </w:p>
    <w:p>
      <w:pPr>
        <w:pStyle w:val="Normal"/>
        <w:rPr>
          <w:rFonts w:ascii="Times New Roman" w:hAnsi="Times New Roman"/>
          <w:b w:val="false"/>
          <w:b w:val="false"/>
          <w:sz w:val="24"/>
          <w:szCs w:val="24"/>
        </w:rPr>
      </w:pPr>
      <w:r>
        <w:rPr>
          <w:b w:val="false"/>
          <w:sz w:val="24"/>
          <w:szCs w:val="24"/>
        </w:rPr>
      </w:r>
    </w:p>
    <w:p>
      <w:pPr>
        <w:pStyle w:val="Normal"/>
        <w:spacing w:before="0" w:after="0"/>
        <w:contextualSpacing/>
        <w:rPr/>
      </w:pPr>
      <w:r>
        <w:rPr/>
      </w:r>
    </w:p>
    <w:p>
      <w:pPr>
        <w:pStyle w:val="ListParagraph"/>
        <w:numPr>
          <w:ilvl w:val="0"/>
          <w:numId w:val="18"/>
        </w:numPr>
        <w:shd w:val="clear" w:fill="FFFFFF"/>
        <w:spacing w:before="0" w:after="0"/>
        <w:ind w:left="0" w:right="0" w:hanging="360"/>
        <w:contextualSpacing/>
        <w:rPr>
          <w:b/>
          <w:b/>
          <w:sz w:val="28"/>
          <w:szCs w:val="28"/>
        </w:rPr>
      </w:pPr>
      <w:r>
        <w:rPr>
          <w:b/>
          <w:sz w:val="28"/>
          <w:szCs w:val="28"/>
        </w:rPr>
        <w:t>(2015 and 2018) Strong similarity between Carlo Rovelli’s ideas in three books (2015, 2017, 2019) to my ideas (2002-2008) + commentary February 2018</w:t>
      </w:r>
    </w:p>
    <w:p>
      <w:pPr>
        <w:pStyle w:val="ListParagraph"/>
        <w:shd w:val="clear" w:fill="FFFFFF"/>
        <w:spacing w:before="0" w:after="0"/>
        <w:ind w:left="0" w:right="0" w:hanging="270"/>
        <w:contextualSpacing/>
        <w:rPr>
          <w:b/>
          <w:b/>
          <w:sz w:val="28"/>
          <w:szCs w:val="28"/>
        </w:rPr>
      </w:pPr>
      <w:r>
        <w:rPr>
          <w:b/>
          <w:sz w:val="28"/>
          <w:szCs w:val="28"/>
        </w:rPr>
      </w:r>
    </w:p>
    <w:p>
      <w:pPr>
        <w:pStyle w:val="ListParagraph"/>
        <w:shd w:val="clear" w:fill="FFFFFF"/>
        <w:spacing w:before="0" w:after="0"/>
        <w:ind w:left="0" w:right="0" w:hanging="270"/>
        <w:contextualSpacing/>
        <w:rPr>
          <w:b/>
          <w:b/>
          <w:color w:val="FF0000"/>
          <w:sz w:val="24"/>
          <w:szCs w:val="24"/>
        </w:rPr>
      </w:pPr>
      <w:r>
        <w:rPr>
          <w:b/>
          <w:color w:val="FF0000"/>
          <w:sz w:val="24"/>
          <w:szCs w:val="24"/>
        </w:rPr>
        <w:t>I strongly emphasize that carlo rovelli had been working within the unicorn world (world, Universe), until 2015! Then, he suddenly has changed his wrong framework of the unicorn world with a framework very similar to my EDWs!!!</w:t>
      </w:r>
    </w:p>
    <w:p>
      <w:pPr>
        <w:pStyle w:val="Normal"/>
        <w:shd w:val="clear" w:fill="FFFFFF"/>
        <w:spacing w:before="0" w:after="0"/>
        <w:contextualSpacing/>
        <w:rPr/>
      </w:pPr>
      <w:r>
        <w:rPr/>
      </w:r>
    </w:p>
    <w:p>
      <w:pPr>
        <w:pStyle w:val="Normal"/>
        <w:shd w:val="clear" w:fill="FFFFFF"/>
        <w:spacing w:before="0" w:after="0"/>
        <w:contextualSpacing/>
        <w:rPr/>
      </w:pPr>
      <w:r>
        <w:rPr>
          <w:rFonts w:eastAsia="Times New Roman"/>
          <w:b/>
          <w:bCs/>
          <w:i/>
          <w:kern w:val="2"/>
          <w:sz w:val="28"/>
          <w:szCs w:val="28"/>
        </w:rPr>
        <w:t>(1) Seven Brief Lessons on Physics Hardcover</w:t>
      </w:r>
      <w:r>
        <w:rPr>
          <w:rFonts w:eastAsia="Times New Roman"/>
          <w:b/>
          <w:bCs/>
          <w:kern w:val="2"/>
          <w:sz w:val="28"/>
          <w:szCs w:val="28"/>
        </w:rPr>
        <w:t> (September 2015)</w:t>
      </w:r>
    </w:p>
    <w:p>
      <w:pPr>
        <w:pStyle w:val="Normal"/>
        <w:spacing w:before="0" w:after="0"/>
        <w:contextualSpacing/>
        <w:rPr>
          <w:sz w:val="28"/>
          <w:szCs w:val="28"/>
        </w:rPr>
      </w:pPr>
      <w:r>
        <w:rPr>
          <w:sz w:val="28"/>
          <w:szCs w:val="28"/>
        </w:rPr>
      </w:r>
    </w:p>
    <w:p>
      <w:pPr>
        <w:pStyle w:val="Normal"/>
        <w:spacing w:before="0" w:after="0"/>
        <w:contextualSpacing/>
        <w:rPr/>
      </w:pPr>
      <w:r>
        <w:rP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1995.. about ‘relationism’</w:t>
      </w:r>
      <w:r>
        <w:rPr>
          <w:rStyle w:val="FootnoteAnchor"/>
        </w:rPr>
        <w:footnoteReference w:id="85"/>
      </w:r>
      <w:r>
        <w:rPr/>
        <w:t>) you will see that he has been working within the unicorn world until 2015!! And suddenly he discovered America (i.e., the EDWs!)…</w:t>
      </w:r>
    </w:p>
    <w:p>
      <w:pPr>
        <w:pStyle w:val="Normal"/>
        <w:spacing w:before="0" w:after="0"/>
        <w:ind w:left="0" w:right="0" w:firstLine="720"/>
        <w:contextualSpacing/>
        <w:rPr/>
      </w:pPr>
      <w:r>
        <w:rP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pStyle w:val="Normal"/>
        <w:spacing w:before="0" w:after="0"/>
        <w:contextualSpacing/>
        <w:rPr/>
      </w:pPr>
      <w:r>
        <w:rPr/>
      </w:r>
    </w:p>
    <w:p>
      <w:pPr>
        <w:pStyle w:val="Normal"/>
        <w:spacing w:before="0" w:after="0"/>
        <w:contextualSpacing/>
        <w:rPr/>
      </w:pPr>
      <w:r>
        <w:rPr>
          <w:rFonts w:cs="TimesNewRomanPSMT" w:ascii="TimesNewRomanPSMT" w:hAnsi="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FootnoteAnchor"/>
          <w:rFonts w:cs="TimesNewRomanPSMT" w:ascii="TimesNewRomanPSMT" w:hAnsi="TimesNewRomanPSMT"/>
          <w:sz w:val="20"/>
          <w:szCs w:val="20"/>
        </w:rPr>
        <w:footnoteReference w:id="86"/>
      </w:r>
      <w:r>
        <w:rPr>
          <w:rFonts w:cs="TimesNewRomanPSMT" w:ascii="TimesNewRomanPSMT" w:hAnsi="TimesNewRomanPSMT"/>
          <w:sz w:val="30"/>
          <w:szCs w:val="30"/>
        </w:rPr>
        <w:t xml:space="preserve"> </w:t>
      </w:r>
    </w:p>
    <w:p>
      <w:pPr>
        <w:pStyle w:val="Normal"/>
        <w:spacing w:before="0" w:after="0"/>
        <w:contextualSpacing/>
        <w:rPr/>
      </w:pPr>
      <w:r>
        <w:rPr/>
      </w:r>
    </w:p>
    <w:p>
      <w:pPr>
        <w:pStyle w:val="Normal"/>
        <w:spacing w:before="0" w:after="0"/>
        <w:contextualSpacing/>
        <w:rPr/>
      </w:pPr>
      <w:r>
        <w:rPr/>
        <w:t xml:space="preserve">The idea of the electron does not exist until we measure is an old one. However, here we have the “interaction” of an electron with another. This is exactly one of my main essential idea: “interacting” is a kind of “observing”. Nobody thought to this idea until my paper 2005, my PhD thesis 2007 and my first book 2008! </w:t>
      </w:r>
    </w:p>
    <w:p>
      <w:pPr>
        <w:pStyle w:val="Normal"/>
        <w:spacing w:before="0" w:after="0"/>
        <w:contextualSpacing/>
        <w:rPr/>
      </w:pPr>
      <w:r>
        <w:rPr/>
      </w:r>
    </w:p>
    <w:p>
      <w:pPr>
        <w:pStyle w:val="Normal"/>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pStyle w:val="Normal"/>
        <w:spacing w:before="0" w:after="0"/>
        <w:contextualSpacing/>
        <w:rPr/>
      </w:pPr>
      <w:r>
        <w:rPr/>
      </w:r>
    </w:p>
    <w:p>
      <w:pPr>
        <w:pStyle w:val="Normal"/>
        <w:spacing w:before="0" w:after="0"/>
        <w:contextualSpacing/>
        <w:rPr/>
      </w:pPr>
      <w:r>
        <w:rP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were other persons, I didn’t know. </w:t>
      </w:r>
    </w:p>
    <w:p>
      <w:pPr>
        <w:pStyle w:val="Normal"/>
        <w:spacing w:before="0" w:after="0"/>
        <w:contextualSpacing/>
        <w:rPr/>
      </w:pPr>
      <w:r>
        <w:rPr/>
      </w:r>
    </w:p>
    <w:p>
      <w:pPr>
        <w:pStyle w:val="Normal"/>
        <w:spacing w:before="0" w:after="0"/>
        <w:contextualSpacing/>
        <w:rPr/>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FootnoteAnchor"/>
          <w:sz w:val="20"/>
          <w:szCs w:val="20"/>
        </w:rPr>
        <w:footnoteReference w:id="87"/>
      </w:r>
    </w:p>
    <w:p>
      <w:pPr>
        <w:pStyle w:val="Normal"/>
        <w:spacing w:before="0" w:after="0"/>
        <w:contextualSpacing/>
        <w:rPr/>
      </w:pPr>
      <w:r>
        <w:rPr/>
      </w:r>
    </w:p>
    <w:p>
      <w:pPr>
        <w:pStyle w:val="Normal"/>
        <w:spacing w:before="0" w:after="0"/>
        <w:contextualSpacing/>
        <w:rPr/>
      </w:pPr>
      <w:r>
        <w:rPr/>
        <w:t xml:space="preserve">In my EDWs approach, the interactions constitute the entities! So the “interactive relationship” is, indeed very important! Other notions, almost the same idea. Nevertheless, the framework seems to be very similar. My framework is the EDWs; Rovelli’s framework is the “universe”, which he uses quite often in his book.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pStyle w:val="Normal"/>
        <w:spacing w:before="0" w:after="0"/>
        <w:contextualSpacing/>
        <w:rPr/>
      </w:pPr>
      <w:r>
        <w:rPr/>
      </w:r>
    </w:p>
    <w:p>
      <w:pPr>
        <w:pStyle w:val="Normal"/>
        <w:spacing w:before="0" w:after="0"/>
        <w:contextualSpacing/>
        <w:rPr/>
      </w:pPr>
      <w:r>
        <w:rPr/>
        <w:t xml:space="preserve">We can answer to these questions only replacing the “world”, the unicorn-world with the EDWs. At page 44, Rovelli mentions Spinoza’s idea about two aspects: </w:t>
      </w:r>
    </w:p>
    <w:p>
      <w:pPr>
        <w:pStyle w:val="Normal"/>
        <w:spacing w:before="0" w:after="0"/>
        <w:contextualSpacing/>
        <w:rPr/>
      </w:pPr>
      <w:r>
        <w:rPr/>
      </w:r>
    </w:p>
    <w:p>
      <w:pPr>
        <w:pStyle w:val="Normal"/>
        <w:spacing w:before="0" w:after="0"/>
        <w:contextualSpacing/>
        <w:rPr/>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rPr/>
        <w:t xml:space="preserve"> </w:t>
      </w:r>
    </w:p>
    <w:p>
      <w:pPr>
        <w:pStyle w:val="Normal"/>
        <w:spacing w:before="0" w:after="0"/>
        <w:contextualSpacing/>
        <w:rPr/>
      </w:pPr>
      <w:r>
        <w:rPr/>
      </w:r>
    </w:p>
    <w:p>
      <w:pPr>
        <w:pStyle w:val="Normal"/>
        <w:spacing w:before="0" w:after="0"/>
        <w:contextualSpacing/>
        <w:rPr/>
      </w:pPr>
      <w:r>
        <w:rPr/>
        <w:t>It is amazing that until now, I don’t think Rovelli mentioned Spinoza (or other philosopher) in his works! It seems that something happened in his readings: maybe he read something that pushed him to read Spinoza. Or maybe he had a dream about Spinoza! Why about Spinoza and not Descartes? Ask Rovelli…</w:t>
      </w:r>
    </w:p>
    <w:p>
      <w:pPr>
        <w:pStyle w:val="Normal"/>
        <w:spacing w:before="0" w:after="0"/>
        <w:ind w:left="0" w:right="0" w:firstLine="720"/>
        <w:contextualSpacing/>
        <w:rPr/>
      </w:pPr>
      <w:r>
        <w:rPr/>
        <w:t>Rovelli indicates that the “I” and the neurons in my brain” are the same thing. So, he accepts the identity theory. Spinoza’s dual aspects approach is quite close to my EDWs. I emphasize that Spinoza’s framework is epistemological (dual aspects of the same thing-in-itself constructed within the unicorn world); my framework is ontological: all EDWs have ontological substrate and the thing-in-itself and the unicorn are completely rejected!</w:t>
      </w:r>
    </w:p>
    <w:p>
      <w:pPr>
        <w:pStyle w:val="Normal"/>
        <w:spacing w:before="0" w:after="0"/>
        <w:contextualSpacing/>
        <w:rPr/>
      </w:pPr>
      <w:r>
        <w:rPr/>
      </w:r>
    </w:p>
    <w:p>
      <w:pPr>
        <w:pStyle w:val="Normal"/>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pStyle w:val="Normal"/>
        <w:spacing w:before="0" w:after="0"/>
        <w:contextualSpacing/>
        <w:rPr/>
      </w:pPr>
      <w:r>
        <w:rPr/>
      </w:r>
    </w:p>
    <w:p>
      <w:pPr>
        <w:pStyle w:val="Normal"/>
        <w:spacing w:before="0" w:after="0"/>
        <w:contextualSpacing/>
        <w:rPr/>
      </w:pPr>
      <w:r>
        <w:rPr/>
        <w:t xml:space="preserve">Yes, it is Spinoza here but constructed within the unicorn world! The main difference between me and Spinoza is the unicorn world vs. EDWs! Also, I recall that my EDWs perspective is closed to Kant than Spinoza. </w:t>
      </w:r>
    </w:p>
    <w:p>
      <w:pPr>
        <w:pStyle w:val="Normal"/>
        <w:spacing w:before="0" w:after="0"/>
        <w:contextualSpacing/>
        <w:rPr/>
      </w:pPr>
      <w:r>
        <w:rPr/>
        <w:tab/>
        <w:t xml:space="preserve">At the same page, for emphasizing the identity theory position, Rovelli writes: “I am, as Spinoza maintained, my body and what happens in my brain and heart, with their immense and, for me, inextricable complexity.” (p. 44) But just few lines later: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pStyle w:val="Normal"/>
        <w:spacing w:before="0" w:after="0"/>
        <w:contextualSpacing/>
        <w:rPr/>
      </w:pPr>
      <w:r>
        <w:rPr/>
      </w:r>
    </w:p>
    <w:p>
      <w:pPr>
        <w:pStyle w:val="Normal"/>
        <w:spacing w:before="0" w:after="0"/>
        <w:contextualSpacing/>
        <w:rPr/>
      </w:pPr>
      <w:r>
        <w:rP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pStyle w:val="Normal"/>
        <w:spacing w:before="0" w:after="0"/>
        <w:ind w:left="0" w:right="0" w:firstLine="720"/>
        <w:contextualSpacing/>
        <w:rPr/>
      </w:pPr>
      <w:r>
        <w:rPr/>
        <w:t xml:space="preserve">I rejected the ontological part of “society”, I have not been interested on “morals” and “emotions” (all being the “I”). However, “complex reality” is quite wrong notion. </w:t>
      </w:r>
    </w:p>
    <w:p>
      <w:pPr>
        <w:pStyle w:val="Normal"/>
        <w:spacing w:before="0" w:after="0"/>
        <w:ind w:left="0" w:right="0" w:firstLine="720"/>
        <w:contextualSpacing/>
        <w:rPr/>
      </w:pPr>
      <w:r>
        <w:rPr/>
        <w:t xml:space="preserve">Wrong is also this idea: “Nature is our home, and in nature we are </w:t>
      </w:r>
      <w:r>
        <w:rPr>
          <w:i/>
          <w:iCs/>
        </w:rPr>
        <w:t xml:space="preserve">at </w:t>
      </w:r>
      <w:r>
        <w:rPr/>
        <w:t xml:space="preserve">home.” (p. 46) “Nature” does not exist, but only the EDWs are. “Nature is our home, and in nature we are </w:t>
      </w:r>
      <w:r>
        <w:rPr>
          <w:i/>
          <w:iCs/>
        </w:rPr>
        <w:t xml:space="preserve">at </w:t>
      </w:r>
      <w:r>
        <w:rPr/>
        <w:t xml:space="preserve">home.” (p. 46) No, “nature” does not exist, “we” do not exist in nature since each self is an EW. </w:t>
      </w:r>
    </w:p>
    <w:p>
      <w:pPr>
        <w:pStyle w:val="Normal"/>
        <w:spacing w:before="0" w:after="0"/>
        <w:ind w:left="0" w:right="0" w:firstLine="720"/>
        <w:contextualSpacing/>
        <w:rPr/>
      </w:pPr>
      <w:r>
        <w:rPr/>
        <w:t>In conclusion: I cannot claim that Rovelli plagiarized my ideas. However, emphasizing that the reality is “interactions”, Rovelli is quite closed to my EDWs! Moreover, a similar framework to my EDWs seems to underlie several important ideas in Rovelli’s book!</w:t>
      </w:r>
    </w:p>
    <w:p>
      <w:pPr>
        <w:pStyle w:val="Normal"/>
        <w:spacing w:before="0" w:after="0"/>
        <w:contextualSpacing/>
        <w:rPr/>
      </w:pPr>
      <w:r>
        <w:rPr/>
        <w:tab/>
      </w:r>
    </w:p>
    <w:p>
      <w:pPr>
        <w:pStyle w:val="Normal"/>
        <w:spacing w:before="0" w:after="0"/>
        <w:contextualSpacing/>
        <w:rPr/>
      </w:pPr>
      <w:r>
        <w:rPr>
          <w:sz w:val="28"/>
          <w:szCs w:val="28"/>
        </w:rPr>
        <w:t xml:space="preserve">(2) </w:t>
      </w:r>
      <w:r>
        <w:rPr>
          <w:b/>
        </w:rPr>
        <w:t xml:space="preserve">Carlo Rovelli “Reality is not what it seems - </w:t>
      </w:r>
      <w:r>
        <w:rPr>
          <w:b/>
          <w:i/>
          <w:iCs/>
        </w:rPr>
        <w:t xml:space="preserve">The Journey to Quantum Gravity” </w:t>
      </w:r>
      <w:r>
        <w:rPr>
          <w:b/>
        </w:rPr>
        <w:t>(2015)</w:t>
      </w:r>
    </w:p>
    <w:p>
      <w:pPr>
        <w:pStyle w:val="Normal"/>
        <w:spacing w:before="0" w:after="0"/>
        <w:contextualSpacing/>
        <w:rPr>
          <w:rFonts w:ascii="TimesNewRomanPS-ItalicMT" w:hAnsi="TimesNewRomanPS-ItalicMT" w:cs="TimesNewRomanPS-ItalicMT"/>
          <w:i/>
          <w:i/>
          <w:iCs/>
          <w:sz w:val="30"/>
          <w:szCs w:val="30"/>
        </w:rPr>
      </w:pPr>
      <w:r>
        <w:rPr>
          <w:rFonts w:cs="TimesNewRomanPS-ItalicMT" w:ascii="TimesNewRomanPS-ItalicMT" w:hAnsi="TimesNewRomanPS-ItalicMT"/>
          <w:i/>
          <w:iCs/>
          <w:sz w:val="30"/>
          <w:szCs w:val="30"/>
        </w:rPr>
      </w:r>
    </w:p>
    <w:p>
      <w:pPr>
        <w:pStyle w:val="Normal"/>
        <w:spacing w:before="0" w:after="0"/>
        <w:contextualSpacing/>
        <w:rPr/>
      </w:pPr>
      <w:r>
        <w:rPr/>
        <w:t xml:space="preserve">At the beginning, Rovelli insists in informing us that his framework is the “world” having space and time. The main notion is here “quantum gravity”. However, in the last chapter, I would like the reader to read these paragraphs: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pStyle w:val="Normal"/>
        <w:spacing w:before="0" w:after="0"/>
        <w:contextualSpacing/>
        <w:rPr/>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pStyle w:val="Normal"/>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pStyle w:val="Normal"/>
        <w:spacing w:before="0" w:after="0"/>
        <w:contextualSpacing/>
        <w:rPr>
          <w:sz w:val="20"/>
          <w:szCs w:val="20"/>
        </w:rPr>
      </w:pPr>
      <w:r>
        <w:rPr>
          <w:sz w:val="20"/>
          <w:szCs w:val="20"/>
        </w:rPr>
        <w:t xml:space="preserve">USB storage device does not think. Information in this sense – correlation between states of systems – is ubiquitous </w:t>
      </w:r>
    </w:p>
    <w:p>
      <w:pPr>
        <w:pStyle w:val="Normal"/>
        <w:spacing w:before="0" w:after="0"/>
        <w:contextualSpacing/>
        <w:rPr/>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pStyle w:val="Normal"/>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pStyle w:val="Normal"/>
        <w:spacing w:before="0" w:after="0"/>
        <w:contextualSpacing/>
        <w:rPr>
          <w:rFonts w:ascii="TimesNewRomanPSMT" w:hAnsi="TimesNewRomanPSMT" w:cs="TimesNewRomanPSMT"/>
          <w:sz w:val="30"/>
          <w:szCs w:val="30"/>
        </w:rPr>
      </w:pPr>
      <w:r>
        <w:rPr>
          <w:rFonts w:cs="TimesNewRomanPSMT" w:ascii="TimesNewRomanPSMT" w:hAnsi="TimesNewRomanPSMT"/>
          <w:sz w:val="30"/>
          <w:szCs w:val="30"/>
        </w:rPr>
      </w:r>
    </w:p>
    <w:p>
      <w:pPr>
        <w:pStyle w:val="Normal"/>
        <w:spacing w:before="0" w:after="0"/>
        <w:contextualSpacing/>
        <w:rPr/>
      </w:pPr>
      <w:r>
        <w:rPr/>
        <w:t xml:space="preserve">Do you have the feeling of reading some paragraphs from my books? I had this feeling, but there are paragraphs from Carlo Rovelli’s book (2015).  </w:t>
      </w:r>
    </w:p>
    <w:p>
      <w:pPr>
        <w:pStyle w:val="Normal"/>
        <w:spacing w:before="0" w:after="0"/>
        <w:contextualSpacing/>
        <w:rPr/>
      </w:pPr>
      <w:r>
        <w:rPr/>
      </w:r>
    </w:p>
    <w:p>
      <w:pPr>
        <w:pStyle w:val="Normal"/>
        <w:spacing w:before="0" w:after="0"/>
        <w:contextualSpacing/>
        <w:rPr/>
      </w:pPr>
      <w:r>
        <w:rPr/>
        <w:t xml:space="preserve">Carlo Rovelli (2017): </w:t>
      </w:r>
      <w:r>
        <w:rPr>
          <w:rFonts w:eastAsia="Calibri" w:cs="CMBX12" w:ascii="CMBX12" w:hAnsi="CMBX12"/>
        </w:rPr>
        <w:t>“Space is blue and birds fly through it"</w:t>
      </w:r>
    </w:p>
    <w:p>
      <w:pPr>
        <w:pStyle w:val="Normal"/>
        <w:spacing w:before="0" w:after="0"/>
        <w:contextualSpacing/>
        <w:rPr>
          <w:rFonts w:ascii="CMBX12" w:hAnsi="CMBX12" w:eastAsia="Calibri" w:cs="CMBX12"/>
        </w:rPr>
      </w:pPr>
      <w:r>
        <w:rPr>
          <w:rFonts w:eastAsia="Calibri" w:cs="CMBX12" w:ascii="CMBX12" w:hAnsi="CMBX12"/>
        </w:rPr>
      </w:r>
    </w:p>
    <w:p>
      <w:pPr>
        <w:pStyle w:val="Normal"/>
        <w:spacing w:before="0" w:after="0"/>
        <w:contextualSpacing/>
        <w:rPr/>
      </w:pPr>
      <w:r>
        <w:rPr>
          <w:rFonts w:eastAsia="Calibri" w:cs="CMBX12" w:ascii="CMBX12" w:hAnsi="CMBX12"/>
        </w:rPr>
        <w:t xml:space="preserve">Abstract: </w:t>
      </w:r>
      <w:r>
        <w:rPr>
          <w:rFonts w:eastAsia="Calibri" w:cs="CMR9" w:ascii="CMR9" w:hAnsi="CMR9"/>
          <w:sz w:val="18"/>
          <w:szCs w:val="18"/>
        </w:rPr>
        <w:t xml:space="preserve">Quantum mechanics is not about `quantum states': it is about values of physical variables. I give a short fresh presentation and update on the </w:t>
      </w:r>
      <w:r>
        <w:rPr>
          <w:rFonts w:eastAsia="Calibri" w:cs="CMTI9" w:ascii="CMTI9" w:hAnsi="CMTI9"/>
          <w:sz w:val="18"/>
          <w:szCs w:val="18"/>
        </w:rPr>
        <w:t xml:space="preserve">relational </w:t>
      </w:r>
      <w:r>
        <w:rPr>
          <w:rFonts w:eastAsia="Calibri" w:cs="CMR9" w:ascii="CMR9" w:hAnsi="CMR9"/>
          <w:sz w:val="18"/>
          <w:szCs w:val="18"/>
        </w:rPr>
        <w:t>perspective on the theory, and a comment on</w:t>
      </w:r>
    </w:p>
    <w:p>
      <w:pPr>
        <w:pStyle w:val="Normal"/>
        <w:spacing w:before="0" w:after="0"/>
        <w:contextualSpacing/>
        <w:rPr/>
      </w:pPr>
      <w:r>
        <w:rPr>
          <w:rFonts w:eastAsia="Calibri" w:cs="CMR9" w:ascii="CMR9" w:hAnsi="CMR9"/>
          <w:sz w:val="18"/>
          <w:szCs w:val="18"/>
        </w:rPr>
        <w:t xml:space="preserve">its philosophical implications. </w:t>
      </w:r>
      <w:r>
        <w:rPr>
          <w:rFonts w:eastAsia="Calibri" w:cs="CMTI9" w:ascii="CMTI9" w:hAnsi="CMTI9"/>
          <w:sz w:val="18"/>
          <w:szCs w:val="18"/>
        </w:rPr>
        <w:t>[Paper presented to meeting on \Foundations of quantum mechanics</w:t>
      </w:r>
    </w:p>
    <w:p>
      <w:pPr>
        <w:pStyle w:val="Normal"/>
        <w:spacing w:before="0" w:after="0"/>
        <w:contextualSpacing/>
        <w:rPr>
          <w:rFonts w:ascii="CMTI9" w:hAnsi="CMTI9" w:eastAsia="Calibri" w:cs="CMTI9"/>
          <w:sz w:val="18"/>
          <w:szCs w:val="18"/>
        </w:rPr>
      </w:pPr>
      <w:r>
        <w:rPr>
          <w:rFonts w:eastAsia="Calibri" w:cs="CMTI9" w:ascii="CMTI9" w:hAnsi="CMTI9"/>
          <w:sz w:val="18"/>
          <w:szCs w:val="18"/>
        </w:rPr>
        <w:t>and their impact on contemporary society", held at The Royal Society in London on 11{12 December</w:t>
      </w:r>
    </w:p>
    <w:p>
      <w:pPr>
        <w:pStyle w:val="Normal"/>
        <w:spacing w:before="0" w:after="0"/>
        <w:contextualSpacing/>
        <w:rPr>
          <w:rFonts w:ascii="CMTI9" w:hAnsi="CMTI9" w:eastAsia="Calibri" w:cs="CMTI9"/>
          <w:sz w:val="18"/>
          <w:szCs w:val="18"/>
        </w:rPr>
      </w:pPr>
      <w:r>
        <w:rPr>
          <w:rFonts w:eastAsia="Calibri" w:cs="CMTI9" w:ascii="CMTI9" w:hAnsi="CMTI9"/>
          <w:sz w:val="18"/>
          <w:szCs w:val="18"/>
        </w:rPr>
        <w:t>2017; submitted to Philosophical Transactions A.]</w:t>
      </w:r>
    </w:p>
    <w:p>
      <w:pPr>
        <w:pStyle w:val="Normal"/>
        <w:spacing w:before="0" w:after="0"/>
        <w:contextualSpacing/>
        <w:rPr>
          <w:rFonts w:ascii="CMTI9" w:hAnsi="CMTI9" w:eastAsia="Calibri" w:cs="CMTI9"/>
          <w:sz w:val="18"/>
          <w:szCs w:val="18"/>
        </w:rPr>
      </w:pPr>
      <w:r>
        <w:rPr>
          <w:rFonts w:eastAsia="Calibri" w:cs="CMTI9" w:ascii="CMTI9" w:hAnsi="CMTI9"/>
          <w:sz w:val="18"/>
          <w:szCs w:val="18"/>
        </w:rPr>
      </w:r>
    </w:p>
    <w:p>
      <w:pPr>
        <w:pStyle w:val="Normal"/>
        <w:spacing w:before="0" w:after="0"/>
        <w:contextualSpacing/>
        <w:rPr>
          <w:rFonts w:eastAsia="Calibri"/>
        </w:rPr>
      </w:pPr>
      <w:r>
        <w:rPr>
          <w:rFonts w:eastAsia="Calibri"/>
        </w:rPr>
        <w:t>Rovelli’s relational alternative to QM is very close to my EDWs. Main main notion (interactions) is used by Rovelli with exactly the same meaning! Other paragraphs with EXACTLY my ideas:</w:t>
      </w:r>
    </w:p>
    <w:p>
      <w:pPr>
        <w:pStyle w:val="Normal"/>
        <w:spacing w:before="0" w:after="0"/>
        <w:contextualSpacing/>
        <w:rPr>
          <w:rFonts w:eastAsia="Calibri"/>
        </w:rPr>
      </w:pPr>
      <w:r>
        <w:rPr>
          <w:rFonts w:eastAsia="Calibri"/>
        </w:rPr>
      </w:r>
    </w:p>
    <w:p>
      <w:pPr>
        <w:pStyle w:val="Normal"/>
        <w:spacing w:before="0" w:after="0"/>
        <w:contextualSpacing/>
        <w:rPr/>
      </w:pPr>
      <w:r>
        <w:rPr>
          <w:rFonts w:eastAsia="Calibri" w:cs="CMR10" w:ascii="CMR10" w:hAnsi="CMR10"/>
          <w:sz w:val="20"/>
          <w:szCs w:val="20"/>
        </w:rPr>
        <w:t xml:space="preserve">There is fundamental </w:t>
      </w:r>
      <w:r>
        <w:rPr>
          <w:rFonts w:eastAsia="Calibri" w:cs="CMBX10" w:ascii="CMBX10" w:hAnsi="CMBX10"/>
          <w:sz w:val="20"/>
          <w:szCs w:val="20"/>
        </w:rPr>
        <w:t xml:space="preserve">discreteness </w:t>
      </w:r>
      <w:r>
        <w:rPr>
          <w:rFonts w:eastAsia="Calibri" w:cs="CMR10" w:ascii="CMR10" w:hAnsi="CMR10"/>
          <w:sz w:val="20"/>
          <w:szCs w:val="20"/>
        </w:rPr>
        <w:t>in nature, because of which many physical variables can take only certain speci_c values and not others. (p. 1)</w:t>
      </w:r>
    </w:p>
    <w:p>
      <w:pPr>
        <w:pStyle w:val="Normal"/>
        <w:spacing w:before="0" w:after="0"/>
        <w:contextualSpacing/>
        <w:rPr>
          <w:rFonts w:ascii="CMR10" w:hAnsi="CMR10" w:eastAsia="Calibri" w:cs="CMR10"/>
          <w:sz w:val="20"/>
          <w:szCs w:val="20"/>
        </w:rPr>
      </w:pPr>
      <w:r>
        <w:rPr>
          <w:rFonts w:eastAsia="Calibri" w:cs="CMR10" w:ascii="CMR10" w:hAnsi="CMR10"/>
          <w:sz w:val="20"/>
          <w:szCs w:val="20"/>
        </w:rPr>
      </w:r>
    </w:p>
    <w:p>
      <w:pPr>
        <w:pStyle w:val="Normal"/>
        <w:spacing w:before="0" w:after="0"/>
        <w:contextualSpacing/>
        <w:rPr/>
      </w:pPr>
      <w:r>
        <w:rPr>
          <w:rFonts w:eastAsia="Calibri" w:cs="CMR10" w:ascii="CMR10" w:hAnsi="CMR10"/>
          <w:sz w:val="20"/>
          <w:szCs w:val="20"/>
        </w:rPr>
        <w:t xml:space="preserve">The values that a variables of a physical system takes are such only </w:t>
      </w:r>
      <w:r>
        <w:rPr>
          <w:rFonts w:eastAsia="Calibri" w:cs="CMBX10" w:ascii="CMBX10" w:hAnsi="CMBX10"/>
          <w:sz w:val="20"/>
          <w:szCs w:val="20"/>
        </w:rPr>
        <w:t xml:space="preserve">relative </w:t>
      </w:r>
      <w:r>
        <w:rPr>
          <w:rFonts w:eastAsia="Calibri" w:cs="CMR10" w:ascii="CMR10" w:hAnsi="CMR10"/>
          <w:sz w:val="20"/>
          <w:szCs w:val="20"/>
        </w:rPr>
        <w:t>to another physical system. (p. 2)</w:t>
      </w:r>
    </w:p>
    <w:p>
      <w:pPr>
        <w:pStyle w:val="Normal"/>
        <w:spacing w:before="0" w:after="0"/>
        <w:contextualSpacing/>
        <w:rPr>
          <w:rFonts w:ascii="CMR10" w:hAnsi="CMR10" w:eastAsia="Calibri" w:cs="CMR10"/>
          <w:sz w:val="20"/>
          <w:szCs w:val="20"/>
        </w:rPr>
      </w:pPr>
      <w:r>
        <w:rPr>
          <w:rFonts w:eastAsia="Calibri" w:cs="CMR10" w:ascii="CMR10" w:hAnsi="CMR10"/>
          <w:sz w:val="20"/>
          <w:szCs w:val="20"/>
        </w:rPr>
      </w:r>
    </w:p>
    <w:p>
      <w:pPr>
        <w:pStyle w:val="Normal"/>
        <w:spacing w:before="0" w:after="0"/>
        <w:contextualSpacing/>
        <w:rPr/>
      </w:pPr>
      <w:r>
        <w:rPr>
          <w:rFonts w:eastAsia="Calibri" w:cs="CMR10" w:ascii="CMR10" w:hAnsi="CMR10"/>
          <w:sz w:val="20"/>
          <w:szCs w:val="20"/>
        </w:rPr>
        <w:t xml:space="preserve">The answer is: when </w:t>
      </w:r>
      <w:r>
        <w:rPr>
          <w:rFonts w:eastAsia="Calibri" w:cs="CMMI10" w:ascii="CMMI10" w:hAnsi="CMMI10"/>
          <w:sz w:val="20"/>
          <w:szCs w:val="20"/>
        </w:rPr>
        <w:t xml:space="preserve">S </w:t>
      </w:r>
      <w:r>
        <w:rPr>
          <w:rFonts w:eastAsia="Calibri" w:cs="CMR10" w:ascii="CMR10" w:hAnsi="CMR10"/>
          <w:sz w:val="20"/>
          <w:szCs w:val="20"/>
        </w:rPr>
        <w:t xml:space="preserve">interacts with another physical system </w:t>
      </w:r>
      <w:r>
        <w:rPr>
          <w:rFonts w:eastAsia="Calibri" w:cs="CMMI10" w:ascii="CMMI10" w:hAnsi="CMMI10"/>
          <w:sz w:val="20"/>
          <w:szCs w:val="20"/>
        </w:rPr>
        <w:t>S</w:t>
      </w:r>
      <w:r>
        <w:rPr>
          <w:rFonts w:eastAsia="Calibri" w:cs="CMSY7" w:ascii="CMSY7" w:hAnsi="CMSY7"/>
          <w:sz w:val="14"/>
          <w:szCs w:val="14"/>
        </w:rPr>
        <w:t>0</w:t>
      </w:r>
      <w:r>
        <w:rPr>
          <w:rFonts w:eastAsia="Calibri" w:cs="CMR10" w:ascii="CMR10" w:hAnsi="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eastAsia="Calibri" w:cs="CMMI10" w:ascii="CMMI10" w:hAnsi="CMMI10"/>
          <w:sz w:val="20"/>
          <w:szCs w:val="20"/>
        </w:rPr>
        <w:t>S</w:t>
      </w:r>
      <w:r>
        <w:rPr>
          <w:rFonts w:eastAsia="Calibri" w:cs="CMSY7" w:ascii="CMSY7" w:hAnsi="CMSY7"/>
          <w:sz w:val="14"/>
          <w:szCs w:val="14"/>
        </w:rPr>
        <w:t>0</w:t>
      </w:r>
      <w:r>
        <w:rPr>
          <w:rFonts w:eastAsia="Calibri" w:cs="CMR10" w:ascii="CMR10" w:hAnsi="CMR10"/>
          <w:sz w:val="20"/>
          <w:szCs w:val="20"/>
        </w:rPr>
        <w:t xml:space="preserve">, decoherence, or else. In the course of the interaction, the system </w:t>
      </w:r>
      <w:r>
        <w:rPr>
          <w:rFonts w:eastAsia="Calibri" w:cs="CMMI10" w:ascii="CMMI10" w:hAnsi="CMMI10"/>
          <w:sz w:val="20"/>
          <w:szCs w:val="20"/>
        </w:rPr>
        <w:t xml:space="preserve">S </w:t>
      </w:r>
      <w:r>
        <w:rPr>
          <w:rFonts w:eastAsia="Calibri" w:cs="CMR10" w:ascii="CMR10" w:hAnsi="CMR10"/>
          <w:sz w:val="20"/>
          <w:szCs w:val="20"/>
        </w:rPr>
        <w:t>a_ects</w:t>
      </w:r>
    </w:p>
    <w:p>
      <w:pPr>
        <w:pStyle w:val="Normal"/>
        <w:spacing w:before="0" w:after="0"/>
        <w:contextualSpacing/>
        <w:rPr/>
      </w:pPr>
      <w:r>
        <w:rPr>
          <w:rFonts w:eastAsia="Calibri" w:cs="CMR10" w:ascii="CMR10" w:hAnsi="CMR10"/>
          <w:sz w:val="20"/>
          <w:szCs w:val="20"/>
        </w:rPr>
        <w:t xml:space="preserve">the system </w:t>
      </w:r>
      <w:r>
        <w:rPr>
          <w:rFonts w:eastAsia="Calibri" w:cs="CMMI10" w:ascii="CMMI10" w:hAnsi="CMMI10"/>
          <w:sz w:val="20"/>
          <w:szCs w:val="20"/>
        </w:rPr>
        <w:t>S</w:t>
      </w:r>
      <w:r>
        <w:rPr>
          <w:rFonts w:eastAsia="Calibri" w:cs="CMSY7" w:ascii="CMSY7" w:hAnsi="CMSY7"/>
          <w:sz w:val="14"/>
          <w:szCs w:val="14"/>
        </w:rPr>
        <w:t>0</w:t>
      </w:r>
      <w:r>
        <w:rPr>
          <w:rFonts w:eastAsia="Calibri" w:cs="CMR10" w:ascii="CMR10" w:hAnsi="CMR10"/>
          <w:sz w:val="20"/>
          <w:szCs w:val="20"/>
        </w:rPr>
        <w:t xml:space="preserve">. (p. 3) </w:t>
      </w:r>
    </w:p>
    <w:p>
      <w:pPr>
        <w:pStyle w:val="Normal"/>
        <w:spacing w:before="0" w:after="0"/>
        <w:contextualSpacing/>
        <w:rPr>
          <w:rFonts w:ascii="CMR10" w:hAnsi="CMR10" w:eastAsia="Calibri" w:cs="CMR10"/>
          <w:sz w:val="20"/>
          <w:szCs w:val="20"/>
        </w:rPr>
      </w:pPr>
      <w:r>
        <w:rPr>
          <w:rFonts w:eastAsia="Calibri" w:cs="CMR10" w:ascii="CMR10" w:hAnsi="CMR10"/>
          <w:sz w:val="20"/>
          <w:szCs w:val="20"/>
        </w:rPr>
      </w:r>
    </w:p>
    <w:p>
      <w:pPr>
        <w:pStyle w:val="Normal"/>
        <w:spacing w:before="0" w:after="0"/>
        <w:contextualSpacing/>
        <w:rPr>
          <w:rFonts w:ascii="CMR10" w:hAnsi="CMR10" w:eastAsia="Calibri" w:cs="CMR10"/>
          <w:sz w:val="20"/>
          <w:szCs w:val="20"/>
        </w:rPr>
      </w:pPr>
      <w:r>
        <w:rPr>
          <w:rFonts w:eastAsia="Calibri" w:cs="CMR10" w:ascii="CMR10" w:hAnsi="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pStyle w:val="Normal"/>
        <w:spacing w:before="0" w:after="0"/>
        <w:contextualSpacing/>
        <w:rPr>
          <w:rFonts w:ascii="TimesNewRomanPSMT" w:hAnsi="TimesNewRomanPSMT" w:cs="TimesNewRomanPSMT"/>
          <w:sz w:val="30"/>
          <w:szCs w:val="30"/>
        </w:rPr>
      </w:pPr>
      <w:r>
        <w:rPr>
          <w:rFonts w:cs="TimesNewRomanPSMT" w:ascii="TimesNewRomanPSMT" w:hAnsi="TimesNewRomanPSMT"/>
          <w:sz w:val="30"/>
          <w:szCs w:val="30"/>
        </w:rPr>
      </w:r>
    </w:p>
    <w:p>
      <w:pPr>
        <w:pStyle w:val="Normal"/>
        <w:spacing w:before="0" w:after="0"/>
        <w:contextualSpacing/>
        <w:rPr/>
      </w:pPr>
      <w:r>
        <w:rPr>
          <w:rFonts w:eastAsia="Calibri" w:cs="CMR10" w:ascii="CMR10" w:hAnsi="CMR10"/>
          <w:sz w:val="20"/>
          <w:szCs w:val="20"/>
        </w:rPr>
        <w:t xml:space="preserve">The answer of relational QM is that the variable </w:t>
      </w:r>
      <w:r>
        <w:rPr>
          <w:rFonts w:eastAsia="Calibri" w:cs="CMMI10" w:ascii="CMMI10" w:hAnsi="CMMI10"/>
          <w:sz w:val="20"/>
          <w:szCs w:val="20"/>
        </w:rPr>
        <w:t xml:space="preserve">a </w:t>
      </w:r>
      <w:r>
        <w:rPr>
          <w:rFonts w:eastAsia="Calibri" w:cs="CMR10" w:ascii="CMR10" w:hAnsi="CMR10"/>
          <w:sz w:val="20"/>
          <w:szCs w:val="20"/>
        </w:rPr>
        <w:t xml:space="preserve">of the system </w:t>
      </w:r>
      <w:r>
        <w:rPr>
          <w:rFonts w:eastAsia="Calibri" w:cs="CMMI10" w:ascii="CMMI10" w:hAnsi="CMMI10"/>
          <w:sz w:val="20"/>
          <w:szCs w:val="20"/>
        </w:rPr>
        <w:t xml:space="preserve">S </w:t>
      </w:r>
      <w:r>
        <w:rPr>
          <w:rFonts w:eastAsia="Calibri" w:cs="CMR10" w:ascii="CMR10" w:hAnsi="CMR10"/>
          <w:sz w:val="20"/>
          <w:szCs w:val="20"/>
        </w:rPr>
        <w:t xml:space="preserve">actualized in the interaction with </w:t>
      </w:r>
      <w:r>
        <w:rPr>
          <w:rFonts w:eastAsia="Calibri" w:cs="CMMI10" w:ascii="CMMI10" w:hAnsi="CMMI10"/>
          <w:sz w:val="20"/>
          <w:szCs w:val="20"/>
        </w:rPr>
        <w:t>S</w:t>
      </w:r>
      <w:r>
        <w:rPr>
          <w:rFonts w:eastAsia="Calibri" w:cs="CMSY7" w:ascii="CMSY7" w:hAnsi="CMSY7"/>
          <w:sz w:val="14"/>
          <w:szCs w:val="14"/>
        </w:rPr>
        <w:t xml:space="preserve">0 </w:t>
      </w:r>
      <w:r>
        <w:rPr>
          <w:rFonts w:eastAsia="Calibri" w:cs="CMR10" w:ascii="CMR10" w:hAnsi="CMR10"/>
          <w:sz w:val="20"/>
          <w:szCs w:val="20"/>
        </w:rPr>
        <w:t xml:space="preserve">takes value </w:t>
      </w:r>
      <w:r>
        <w:rPr>
          <w:rFonts w:eastAsia="Calibri" w:cs="CMTI10" w:ascii="CMTI10" w:hAnsi="CMTI10"/>
          <w:sz w:val="20"/>
          <w:szCs w:val="20"/>
        </w:rPr>
        <w:t xml:space="preserve">with respect to </w:t>
      </w:r>
      <w:r>
        <w:rPr>
          <w:rFonts w:eastAsia="Calibri" w:cs="CMMI10" w:ascii="CMMI10" w:hAnsi="CMMI10"/>
          <w:sz w:val="20"/>
          <w:szCs w:val="20"/>
        </w:rPr>
        <w:t>S</w:t>
      </w:r>
      <w:r>
        <w:rPr>
          <w:rFonts w:eastAsia="Calibri" w:cs="CMSY7" w:ascii="CMSY7" w:hAnsi="CMSY7"/>
          <w:sz w:val="14"/>
          <w:szCs w:val="14"/>
        </w:rPr>
        <w:t>0</w:t>
      </w:r>
      <w:r>
        <w:rPr>
          <w:rFonts w:eastAsia="Calibri" w:cs="CMR10" w:ascii="CMR10" w:hAnsi="CMR10"/>
          <w:sz w:val="20"/>
          <w:szCs w:val="20"/>
        </w:rPr>
        <w:t xml:space="preserve">, but not </w:t>
      </w:r>
      <w:r>
        <w:rPr>
          <w:rFonts w:eastAsia="Calibri" w:cs="CMTI10" w:ascii="CMTI10" w:hAnsi="CMTI10"/>
          <w:sz w:val="20"/>
          <w:szCs w:val="20"/>
        </w:rPr>
        <w:t xml:space="preserve">with respect to </w:t>
      </w:r>
      <w:r>
        <w:rPr>
          <w:rFonts w:eastAsia="Calibri" w:cs="CMMI10" w:ascii="CMMI10" w:hAnsi="CMMI10"/>
          <w:sz w:val="20"/>
          <w:szCs w:val="20"/>
        </w:rPr>
        <w:t>S</w:t>
      </w:r>
      <w:r>
        <w:rPr>
          <w:rFonts w:eastAsia="Calibri" w:cs="CMSY7" w:ascii="CMSY7" w:hAnsi="CMSY7"/>
          <w:sz w:val="14"/>
          <w:szCs w:val="14"/>
        </w:rPr>
        <w:t>00</w:t>
      </w:r>
      <w:r>
        <w:rPr>
          <w:rFonts w:eastAsia="Calibri" w:cs="CMR10" w:ascii="CMR10" w:hAnsi="CMR10"/>
          <w:sz w:val="20"/>
          <w:szCs w:val="20"/>
        </w:rPr>
        <w:t xml:space="preserve">. This is the core idea underlying the \relational" interpretation of quantum mechanics. (4) </w:t>
      </w:r>
    </w:p>
    <w:p>
      <w:pPr>
        <w:pStyle w:val="Normal"/>
        <w:spacing w:before="0" w:after="0"/>
        <w:contextualSpacing/>
        <w:rPr>
          <w:rFonts w:ascii="CMR10" w:hAnsi="CMR10" w:eastAsia="Calibri" w:cs="CMR10"/>
          <w:sz w:val="20"/>
          <w:szCs w:val="20"/>
        </w:rPr>
      </w:pPr>
      <w:r>
        <w:rPr>
          <w:rFonts w:eastAsia="Calibri" w:cs="CMR10" w:ascii="CMR10" w:hAnsi="CMR10"/>
          <w:sz w:val="20"/>
          <w:szCs w:val="20"/>
        </w:rPr>
      </w:r>
    </w:p>
    <w:p>
      <w:pPr>
        <w:pStyle w:val="Normal"/>
        <w:spacing w:before="0" w:after="0"/>
        <w:contextualSpacing/>
        <w:rPr>
          <w:rFonts w:ascii="CMR10" w:hAnsi="CMR10" w:eastAsia="Calibri" w:cs="CMR10"/>
          <w:sz w:val="20"/>
          <w:szCs w:val="20"/>
        </w:rPr>
      </w:pPr>
      <w:r>
        <w:rPr>
          <w:rFonts w:eastAsia="Calibri" w:cs="CMR10" w:ascii="CMR10" w:hAnsi="CMR10"/>
          <w:sz w:val="20"/>
          <w:szCs w:val="20"/>
        </w:rPr>
        <w:t>The proper ontology for quantum mechanics is a sparse ontology of (relational) quantum events happening at interactions between physical systems. (5)</w:t>
      </w:r>
    </w:p>
    <w:p>
      <w:pPr>
        <w:pStyle w:val="Normal"/>
        <w:spacing w:before="0" w:after="0"/>
        <w:contextualSpacing/>
        <w:rPr>
          <w:rFonts w:ascii="CMR10" w:hAnsi="CMR10" w:eastAsia="Calibri" w:cs="CMR10"/>
          <w:sz w:val="20"/>
          <w:szCs w:val="20"/>
        </w:rPr>
      </w:pPr>
      <w:r>
        <w:rPr>
          <w:rFonts w:eastAsia="Calibri" w:cs="CMR10" w:ascii="CMR10" w:hAnsi="CMR10"/>
          <w:sz w:val="20"/>
          <w:szCs w:val="20"/>
        </w:rPr>
      </w:r>
    </w:p>
    <w:p>
      <w:pPr>
        <w:pStyle w:val="Normal"/>
        <w:spacing w:before="0" w:after="0"/>
        <w:contextualSpacing/>
        <w:rPr>
          <w:rFonts w:ascii="CMR10" w:hAnsi="CMR10" w:eastAsia="Calibri" w:cs="CMR10"/>
          <w:sz w:val="20"/>
          <w:szCs w:val="20"/>
        </w:rPr>
      </w:pPr>
      <w:r>
        <w:rPr>
          <w:rFonts w:eastAsia="Calibri" w:cs="CMR10" w:ascii="CMR10" w:hAnsi="CMR10"/>
          <w:sz w:val="20"/>
          <w:szCs w:val="20"/>
        </w:rPr>
        <w:t>Relational QM is anti-realist about the wave function, but is realist about quantum events, systems,</w:t>
      </w:r>
    </w:p>
    <w:p>
      <w:pPr>
        <w:pStyle w:val="Normal"/>
        <w:spacing w:before="0" w:after="0"/>
        <w:contextualSpacing/>
        <w:rPr/>
      </w:pPr>
      <w:r>
        <w:rPr>
          <w:rFonts w:eastAsia="Calibri" w:cs="CMR10" w:ascii="CMR10" w:hAnsi="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eastAsia="Calibri" w:cs="CMMI10" w:ascii="CMMI10" w:hAnsi="CMMI10"/>
          <w:sz w:val="20"/>
          <w:szCs w:val="20"/>
        </w:rPr>
        <w:t xml:space="preserve">  </w:t>
      </w:r>
      <w:r>
        <w:rPr>
          <w:rFonts w:eastAsia="Calibri" w:cs="CMR10" w:ascii="CMR10" w:hAnsi="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pStyle w:val="Normal"/>
        <w:spacing w:before="0" w:after="0"/>
        <w:contextualSpacing/>
        <w:rPr>
          <w:rFonts w:ascii="TimesNewRomanPSMT" w:hAnsi="TimesNewRomanPSMT" w:cs="TimesNewRomanPSMT"/>
          <w:sz w:val="30"/>
          <w:szCs w:val="30"/>
        </w:rPr>
      </w:pPr>
      <w:r>
        <w:rPr>
          <w:rFonts w:cs="TimesNewRomanPSMT" w:ascii="TimesNewRomanPSMT" w:hAnsi="TimesNewRomanPSMT"/>
          <w:sz w:val="30"/>
          <w:szCs w:val="30"/>
        </w:rPr>
      </w:r>
    </w:p>
    <w:p>
      <w:pPr>
        <w:pStyle w:val="Normal"/>
        <w:spacing w:before="0" w:after="0"/>
        <w:contextualSpacing/>
        <w:rPr/>
      </w:pPr>
      <w:r>
        <w:rPr>
          <w:rFonts w:eastAsia="Calibri"/>
        </w:rPr>
        <w:t>Ronde_ and R. Fernandez Moujan (2017)</w:t>
      </w:r>
      <w:r>
        <w:rPr>
          <w:rStyle w:val="FootnoteAnchor"/>
          <w:rFonts w:eastAsia="Calibri"/>
        </w:rPr>
        <w:footnoteReference w:id="88"/>
      </w:r>
      <w:r>
        <w:rPr>
          <w:rFonts w:eastAsia="Calibri"/>
        </w:rPr>
        <w:t xml:space="preserve"> </w:t>
      </w:r>
      <w:r>
        <w:rPr/>
        <w:t xml:space="preserve">reject Rovelli’s ideas (1996): </w:t>
      </w:r>
    </w:p>
    <w:p>
      <w:pPr>
        <w:pStyle w:val="Normal"/>
        <w:spacing w:before="0" w:after="0"/>
        <w:contextualSpacing/>
        <w:rPr/>
      </w:pPr>
      <w:r>
        <w:rPr/>
      </w:r>
    </w:p>
    <w:p>
      <w:pPr>
        <w:pStyle w:val="Normal"/>
        <w:spacing w:before="0" w:after="0"/>
        <w:contextualSpacing/>
        <w:rPr/>
      </w:pPr>
      <w:r>
        <w:rPr/>
        <w:t>“</w:t>
      </w:r>
      <w:r>
        <w:rPr>
          <w:rFonts w:eastAsia="Calibri" w:cs="SFRM1000" w:ascii="SFRM1000" w:hAnsi="SFRM1000"/>
          <w:sz w:val="20"/>
          <w:szCs w:val="20"/>
        </w:rPr>
        <w:t>Rovelli’s interpretation takes distance from Bohr’s distinction between macroscopic and microscopic systems.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w:t>
      </w:r>
      <w:r>
        <w:rPr>
          <w:rFonts w:eastAsia="Calibri" w:cs="SFRM1000" w:ascii="SFRM1000" w:hAnsi="SFRM1000"/>
          <w:sz w:val="20"/>
          <w:szCs w:val="20"/>
        </w:rPr>
        <w:t>The disturbing aspect of Bohr’s view is the inapplicability of quantum theory to macrophysics. This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disturbing aspect vanishes, I believe, at the light of the discussion in this paper.” Instead of the privileging</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certain observers (classical systems) Rovelli centers his interpretation in the concept of information.</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w:t>
      </w:r>
      <w:r>
        <w:rPr>
          <w:rFonts w:eastAsia="Calibri" w:cs="SFRM0900" w:ascii="SFRM0900" w:hAnsi="SFRM0900"/>
          <w:sz w:val="18"/>
          <w:szCs w:val="18"/>
        </w:rPr>
        <w:t>Information indicates the usual ascription of values to quantities that founds physics, but emphasizes their</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relational aspect. This ascription can be described within the theory itself, as information theoretical</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information, namely correlation. But such a description, in turn, is quantum mechanics and observer</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dependent, because a universal observer-independent description of the states of affairs of the world does</w:t>
      </w:r>
    </w:p>
    <w:p>
      <w:pPr>
        <w:pStyle w:val="Normal"/>
        <w:spacing w:before="0" w:after="0"/>
        <w:contextualSpacing/>
        <w:rPr/>
      </w:pPr>
      <w:r>
        <w:rPr>
          <w:rFonts w:eastAsia="Calibri" w:cs="SFRM0900" w:ascii="SFRM0900" w:hAnsi="SFRM0900"/>
          <w:sz w:val="18"/>
          <w:szCs w:val="18"/>
        </w:rPr>
        <w:t>not exist.” [</w:t>
      </w:r>
      <w:r>
        <w:rPr>
          <w:rFonts w:eastAsia="Calibri" w:cs="SFTI0900" w:ascii="SFTI0900" w:hAnsi="SFTI0900"/>
          <w:sz w:val="18"/>
          <w:szCs w:val="18"/>
        </w:rPr>
        <w:t>Op. cit.</w:t>
      </w:r>
      <w:r>
        <w:rPr>
          <w:rFonts w:eastAsia="Calibri" w:cs="SFRM0900" w:ascii="SFRM0900" w:hAnsi="SFRM0900"/>
          <w:sz w:val="18"/>
          <w:szCs w:val="18"/>
        </w:rPr>
        <w:t>]</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Rovelli recognizes the impossibility of presenting an objective description in terms of systems and replaces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this notion by “net of relations”. According to him: “[...] at the present level of experimental knowledge</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(hypothesis 2), we are forced to accept the result that there is no objective, or more precisely observerindependent</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meaning to the ascription of a property to a system. Thus, the properties of the systems are to</w:t>
      </w:r>
    </w:p>
    <w:p>
      <w:pPr>
        <w:pStyle w:val="Normal"/>
        <w:spacing w:before="0" w:after="0"/>
        <w:contextualSpacing/>
        <w:rPr/>
      </w:pPr>
      <w:r>
        <w:rPr>
          <w:rFonts w:eastAsia="Calibri" w:cs="SFRM1000" w:ascii="SFRM1000" w:hAnsi="SFRM1000"/>
          <w:sz w:val="20"/>
          <w:szCs w:val="20"/>
        </w:rPr>
        <w:t>be described by an interrelated net of observations and information collected from observations.” [</w:t>
      </w:r>
      <w:r>
        <w:rPr>
          <w:rFonts w:eastAsia="Calibri" w:cs="SFTI1000" w:ascii="SFTI1000" w:hAnsi="SFTI1000"/>
          <w:sz w:val="20"/>
          <w:szCs w:val="20"/>
        </w:rPr>
        <w:t>Op. cit.</w:t>
      </w:r>
      <w:r>
        <w:rPr>
          <w:rFonts w:eastAsia="Calibri" w:cs="SFRM1000" w:ascii="SFRM1000" w:hAnsi="SFRM1000"/>
          <w:sz w:val="20"/>
          <w:szCs w:val="20"/>
        </w:rPr>
        <w:t>]</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question becomes then: what can we say about this net of relations. Rovelli, talks about the notion of</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information: “The notion of observer independent state of a system is replaced by the notion of information</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about a system that a physical system may possess.” Still, as in the case of Bohr, Kochen, Bene and Dieks,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ontological question that any realist would want to answer is still present even though in a different form:</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information about what? Although it is possible to maintain a relational view of quantum states in terms of</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information, the ontological status of such information seems to remain a problematic issue —at least, from</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a realist perspective.” (p. 18)</w:t>
      </w:r>
    </w:p>
    <w:p>
      <w:pPr>
        <w:pStyle w:val="Normal"/>
        <w:spacing w:before="0" w:after="0"/>
        <w:contextualSpacing/>
        <w:rPr/>
      </w:pPr>
      <w:r>
        <w:rPr/>
      </w:r>
    </w:p>
    <w:p>
      <w:pPr>
        <w:pStyle w:val="Normal"/>
        <w:spacing w:before="0" w:after="0"/>
        <w:contextualSpacing/>
        <w:rPr/>
      </w:pPr>
      <w:r>
        <w:rPr/>
        <w:t>We can see that Rovelli’s ideas in 1996 were very different than much later: 2017 (about Rovelli’s UNBELIEVABLE similar ideas to my ideas</w:t>
      </w:r>
      <w:r>
        <w:rPr>
          <w:rStyle w:val="FootnoteAnchor"/>
        </w:rPr>
        <w:footnoteReference w:id="89"/>
      </w:r>
      <w:r>
        <w:rPr/>
        <w:t>, see this manuscript!). He was working on “information” under Bohr’s framework.</w:t>
      </w:r>
    </w:p>
    <w:p>
      <w:pPr>
        <w:pStyle w:val="Normal"/>
        <w:spacing w:before="0" w:after="0"/>
        <w:contextualSpacing/>
        <w:rPr/>
      </w:pPr>
      <w:r>
        <w:rPr/>
      </w:r>
    </w:p>
    <w:p>
      <w:pPr>
        <w:pStyle w:val="Normal"/>
        <w:spacing w:before="0" w:after="0"/>
        <w:contextualSpacing/>
        <w:rPr/>
      </w:pPr>
      <w:r>
        <w:rPr/>
        <w:t>A commentary introduced by me in February 2018</w:t>
      </w:r>
    </w:p>
    <w:p>
      <w:pPr>
        <w:pStyle w:val="Normal"/>
        <w:spacing w:before="0" w:after="0"/>
        <w:contextualSpacing/>
        <w:rPr/>
      </w:pPr>
      <w:r>
        <w:rPr/>
        <w:t>A commentary introduced by me in February 2018</w:t>
      </w:r>
    </w:p>
    <w:p>
      <w:pPr>
        <w:pStyle w:val="Normal"/>
        <w:spacing w:before="0" w:after="0"/>
        <w:contextualSpacing/>
        <w:rPr/>
      </w:pPr>
      <w:r>
        <w:rPr/>
        <w:t>In some videoclips (2013, but mainly 2016, 2017, 2018), (some of them below)</w:t>
      </w:r>
    </w:p>
    <w:p>
      <w:pPr>
        <w:pStyle w:val="Heading1"/>
        <w:shd w:val="clear" w:fill="FFFFFF"/>
        <w:spacing w:before="0" w:after="0"/>
        <w:contextualSpacing/>
        <w:rPr/>
      </w:pPr>
      <w:r>
        <w:rPr>
          <w:rFonts w:ascii="Times New Roman" w:hAnsi="Times New Roman"/>
          <w:b w:val="false"/>
          <w:bCs w:val="false"/>
          <w:sz w:val="24"/>
          <w:szCs w:val="24"/>
        </w:rPr>
        <w:t xml:space="preserve">Carlo Rovelli: "Why Physics needs Philosophy" </w:t>
      </w:r>
      <w:hyperlink r:id="rId67">
        <w:r>
          <w:rPr>
            <w:rStyle w:val="InternetLink"/>
            <w:rFonts w:ascii="Times New Roman" w:hAnsi="Times New Roman"/>
            <w:b w:val="false"/>
            <w:bCs w:val="false"/>
            <w:sz w:val="24"/>
            <w:szCs w:val="24"/>
          </w:rPr>
          <w:t>https://www.youtube.com/watch?v=IJ0uPkG-pr4</w:t>
        </w:r>
      </w:hyperlink>
    </w:p>
    <w:p>
      <w:pPr>
        <w:pStyle w:val="Normal"/>
        <w:spacing w:before="0" w:after="0"/>
        <w:contextualSpacing/>
        <w:rPr/>
      </w:pPr>
      <w:hyperlink r:id="rId68">
        <w:r>
          <w:rPr>
            <w:rStyle w:val="InternetLink"/>
          </w:rPr>
          <w:t>https://www.youtube.com/watch?v=YlRT8Z2cXlY</w:t>
        </w:r>
      </w:hyperlink>
    </w:p>
    <w:p>
      <w:pPr>
        <w:pStyle w:val="Heading1"/>
        <w:shd w:val="clear" w:fill="FFFFFF"/>
        <w:spacing w:before="0" w:after="0"/>
        <w:contextualSpacing/>
        <w:rPr/>
      </w:pPr>
      <w:r>
        <w:rPr>
          <w:rFonts w:ascii="Times New Roman" w:hAnsi="Times New Roman"/>
          <w:b w:val="false"/>
          <w:bCs w:val="false"/>
          <w:sz w:val="24"/>
          <w:szCs w:val="24"/>
        </w:rPr>
        <w:t xml:space="preserve">On Being with Krista Tippett: Carlo Rovelli — All Reality Is Interaction </w:t>
      </w:r>
      <w:hyperlink r:id="rId69">
        <w:r>
          <w:rPr>
            <w:rStyle w:val="InternetLink"/>
            <w:rFonts w:ascii="Times New Roman" w:hAnsi="Times New Roman"/>
            <w:b w:val="false"/>
            <w:sz w:val="24"/>
            <w:szCs w:val="24"/>
          </w:rPr>
          <w:t>https://www.youtube.com/watch?v=jXFbtDR7IF4</w:t>
        </w:r>
      </w:hyperlink>
    </w:p>
    <w:p>
      <w:pPr>
        <w:pStyle w:val="Normal"/>
        <w:spacing w:before="0" w:after="0"/>
        <w:contextualSpacing/>
        <w:rPr/>
      </w:pPr>
      <w:hyperlink r:id="rId70">
        <w:r>
          <w:rPr>
            <w:rStyle w:val="InternetLink"/>
          </w:rPr>
          <w:t>https://www.youtube.com/watch?v=1nwB6yXIz90</w:t>
        </w:r>
      </w:hyperlink>
    </w:p>
    <w:p>
      <w:pPr>
        <w:pStyle w:val="Heading1"/>
        <w:shd w:val="clear" w:fill="FFFFFF"/>
        <w:spacing w:before="0" w:after="0"/>
        <w:contextualSpacing/>
        <w:rPr/>
      </w:pPr>
      <w:r>
        <w:rPr>
          <w:rFonts w:ascii="Times New Roman" w:hAnsi="Times New Roman"/>
          <w:b w:val="false"/>
          <w:bCs w:val="false"/>
          <w:sz w:val="24"/>
          <w:szCs w:val="24"/>
        </w:rPr>
        <w:t xml:space="preserve">Conclusione Carlo Rovelli - “Osservatore - Osservato” - Conferenza - Associazione NEL </w:t>
      </w:r>
      <w:hyperlink r:id="rId71">
        <w:r>
          <w:rPr>
            <w:rStyle w:val="InternetLink"/>
            <w:rFonts w:ascii="Times New Roman" w:hAnsi="Times New Roman"/>
            <w:b w:val="false"/>
            <w:sz w:val="24"/>
            <w:szCs w:val="24"/>
          </w:rPr>
          <w:t>https://www.youtube.com/watch?v=xNWJY34ew4A</w:t>
        </w:r>
      </w:hyperlink>
    </w:p>
    <w:p>
      <w:pPr>
        <w:pStyle w:val="Normal"/>
        <w:spacing w:before="0" w:after="0"/>
        <w:contextualSpacing/>
        <w:rPr/>
      </w:pPr>
      <w:hyperlink r:id="rId72">
        <w:r>
          <w:rPr>
            <w:rStyle w:val="InternetLink"/>
          </w:rPr>
          <w:t>https://www.youtube.com/watch?v=E0hvh4NqgpE</w:t>
        </w:r>
      </w:hyperlink>
    </w:p>
    <w:p>
      <w:pPr>
        <w:pStyle w:val="Normal"/>
        <w:spacing w:before="0" w:after="0"/>
        <w:contextualSpacing/>
        <w:rPr/>
      </w:pPr>
      <w:r>
        <w:rPr/>
      </w:r>
    </w:p>
    <w:p>
      <w:pPr>
        <w:pStyle w:val="Normal"/>
        <w:spacing w:before="0" w:after="0"/>
        <w:contextualSpacing/>
        <w:rPr/>
      </w:pPr>
      <w:r>
        <w:rPr/>
        <w:t>carlo rovelli introduces many of my ideas: ‘interactions’ is my main notion of articles and books published in 2002. 2004. 2005, 2008 etc. 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pStyle w:val="Normal"/>
        <w:spacing w:before="0" w:after="0"/>
        <w:contextualSpacing/>
        <w:rPr/>
      </w:pPr>
      <w:r>
        <w:rPr/>
      </w:r>
    </w:p>
    <w:p>
      <w:pPr>
        <w:pStyle w:val="Normal"/>
        <w:spacing w:before="0" w:after="0"/>
        <w:contextualSpacing/>
        <w:rPr/>
      </w:pPr>
      <w:r>
        <w:rPr/>
        <w:t xml:space="preserve">The main questions are: Why carlo rovelli did not published ANY of ‘his’ ideas about quantum mechanics,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rPr/>
        <w:t xml:space="preserve"> happen in the mind of carlo rovelli? I don’t think so… (In 2015, in a paper posted at my webpage, I showed that God cannot even exist!)</w:t>
      </w:r>
    </w:p>
    <w:p>
      <w:pPr>
        <w:pStyle w:val="Normal"/>
        <w:spacing w:before="0" w:after="0"/>
        <w:contextualSpacing/>
        <w:rPr/>
      </w:pPr>
      <w:r>
        <w:rPr/>
      </w:r>
    </w:p>
    <w:p>
      <w:pPr>
        <w:pStyle w:val="Normal"/>
        <w:spacing w:before="0" w:after="0"/>
        <w:contextualSpacing/>
        <w:rPr/>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pStyle w:val="Normal"/>
        <w:spacing w:before="0" w:after="0"/>
        <w:contextualSpacing/>
        <w:rPr/>
      </w:pPr>
      <w:r>
        <w:rPr/>
      </w:r>
    </w:p>
    <w:p>
      <w:pPr>
        <w:pStyle w:val="Normal"/>
        <w:spacing w:before="0" w:after="0"/>
        <w:contextualSpacing/>
        <w:rPr/>
      </w:pPr>
      <w:r>
        <w:rPr/>
      </w:r>
    </w:p>
    <w:p>
      <w:pPr>
        <w:pStyle w:val="Normal"/>
        <w:spacing w:before="0" w:after="0"/>
        <w:contextualSpacing/>
        <w:rPr>
          <w:b/>
          <w:b/>
        </w:rPr>
      </w:pPr>
      <w:r>
        <w:rPr>
          <w:b/>
        </w:rPr>
        <w:t>(3) Rovelli: “Thre is no time.” In is new book: “The order of time” (2019)</w:t>
      </w:r>
    </w:p>
    <w:p>
      <w:pPr>
        <w:pStyle w:val="Normal"/>
        <w:spacing w:before="0" w:after="0"/>
        <w:contextualSpacing/>
        <w:rPr/>
      </w:pPr>
      <w:hyperlink r:id="rId73">
        <w:r>
          <w:rPr>
            <w:rStyle w:val="InternetLink"/>
          </w:rPr>
          <w:t>https://www.theguardian.com/books/2018/apr/14/carlo-rovelli-exploding-commonsense-notions-order-of-time-interview</w:t>
        </w:r>
      </w:hyperlink>
    </w:p>
    <w:p>
      <w:pPr>
        <w:pStyle w:val="Normal"/>
        <w:spacing w:before="0" w:after="0"/>
        <w:contextualSpacing/>
        <w:rPr/>
      </w:pPr>
      <w:r>
        <w:rPr/>
      </w:r>
    </w:p>
    <w:p>
      <w:pPr>
        <w:pStyle w:val="Normal"/>
        <w:spacing w:before="0" w:after="0"/>
        <w:contextualSpacing/>
        <w:rPr/>
      </w:pPr>
      <w:r>
        <w:rPr/>
        <w:t>from his interview, very similar ideas to my ideas:</w:t>
      </w:r>
    </w:p>
    <w:p>
      <w:pPr>
        <w:pStyle w:val="ListParagraph"/>
        <w:numPr>
          <w:ilvl w:val="0"/>
          <w:numId w:val="19"/>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w:t>
      </w: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pStyle w:val="ListParagraph"/>
        <w:numPr>
          <w:ilvl w:val="0"/>
          <w:numId w:val="19"/>
        </w:numPr>
        <w:shd w:val="clear" w:fill="FFFFFF"/>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pStyle w:val="ListParagraph"/>
        <w:numPr>
          <w:ilvl w:val="0"/>
          <w:numId w:val="19"/>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pStyle w:val="ListParagraph"/>
        <w:numPr>
          <w:ilvl w:val="0"/>
          <w:numId w:val="19"/>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w:t>
      </w:r>
      <w:r>
        <w:rPr>
          <w:rFonts w:ascii="Georgia" w:hAnsi="Georgia"/>
          <w:color w:val="121212"/>
          <w:sz w:val="24"/>
          <w:szCs w:val="24"/>
          <w:highlight w:val="white"/>
        </w:rPr>
        <w:t>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pStyle w:val="ListParagraph"/>
        <w:shd w:val="clear" w:fill="FFFFFF"/>
        <w:spacing w:before="0" w:after="0"/>
        <w:ind w:left="0" w:right="0" w:hanging="0"/>
        <w:contextualSpacing/>
        <w:rPr/>
      </w:pPr>
      <w:hyperlink r:id="rId74">
        <w:r>
          <w:rPr>
            <w:rStyle w:val="InternetLink"/>
            <w:sz w:val="24"/>
            <w:szCs w:val="24"/>
          </w:rPr>
          <w:t>https://physicsworld.com/a/carlo-rovelli-the-author-of-the-order-of-time-discusses-perhaps-the-greatest-mystery/</w:t>
        </w:r>
      </w:hyperlink>
      <w:r>
        <w:rPr>
          <w:sz w:val="24"/>
          <w:szCs w:val="24"/>
        </w:rPr>
        <w:t xml:space="preserve">: </w:t>
      </w:r>
    </w:p>
    <w:p>
      <w:pPr>
        <w:pStyle w:val="Heading3"/>
        <w:spacing w:before="0" w:after="0"/>
        <w:contextualSpacing/>
        <w:rPr>
          <w:rFonts w:ascii="Arial" w:hAnsi="Arial" w:cs="Arial"/>
          <w:color w:val="333333"/>
        </w:rPr>
      </w:pPr>
      <w:r>
        <w:rPr>
          <w:rFonts w:cs="Arial" w:ascii="Arial" w:hAnsi="Arial"/>
          <w:color w:val="333333"/>
        </w:rPr>
        <w:t>You write in your book that “the nature of time is perhaps the greatest mystery”. What attracts you to this subject?</w:t>
      </w:r>
    </w:p>
    <w:p>
      <w:pPr>
        <w:pStyle w:val="P1"/>
        <w:spacing w:before="0" w:after="0"/>
        <w:contextualSpacing/>
        <w:rPr>
          <w:rFonts w:ascii="Arial" w:hAnsi="Arial" w:cs="Arial"/>
          <w:color w:val="333333"/>
        </w:rPr>
      </w:pPr>
      <w:r>
        <w:rPr>
          <w:rFonts w:cs="Arial" w:ascii="Arial" w:hAnsi="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Heading3"/>
        <w:spacing w:before="0" w:after="0"/>
        <w:contextualSpacing/>
        <w:rPr>
          <w:rFonts w:ascii="Arial" w:hAnsi="Arial" w:cs="Arial"/>
          <w:color w:val="333333"/>
        </w:rPr>
      </w:pPr>
      <w:r>
        <w:rPr>
          <w:rFonts w:cs="Arial" w:ascii="Arial" w:hAnsi="Arial"/>
          <w:color w:val="333333"/>
        </w:rPr>
        <w:t>In a nutshell, how do you understand time?</w:t>
      </w:r>
    </w:p>
    <w:p>
      <w:pPr>
        <w:pStyle w:val="P1"/>
        <w:spacing w:before="0" w:after="0"/>
        <w:contextualSpacing/>
        <w:rPr>
          <w:rFonts w:ascii="Arial" w:hAnsi="Arial" w:cs="Arial"/>
          <w:color w:val="333333"/>
        </w:rPr>
      </w:pPr>
      <w:r>
        <w:rPr>
          <w:rFonts w:cs="Arial" w:ascii="Arial" w:hAnsi="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pStyle w:val="NormalWeb"/>
        <w:spacing w:before="0" w:after="0"/>
        <w:contextualSpacing/>
        <w:rPr>
          <w:rFonts w:ascii="inherit" w:hAnsi="inherit" w:cs="Arial"/>
          <w:color w:val="333333"/>
        </w:rPr>
      </w:pPr>
      <w:r>
        <w:rPr>
          <w:rFonts w:cs="Arial" w:ascii="inherit" w:hAnsi="inherit"/>
          <w:color w:val="333333"/>
        </w:rPr>
        <w:t>Many properties we attribute to time come from approximations and simplifications.</w:t>
      </w:r>
    </w:p>
    <w:p>
      <w:pPr>
        <w:pStyle w:val="Normal"/>
        <w:spacing w:before="0" w:after="0"/>
        <w:contextualSpacing/>
        <w:rPr/>
      </w:pPr>
      <w:r>
        <w:rPr>
          <w:rStyle w:val="Pullquoteattribution"/>
          <w:rFonts w:cs="Arial" w:ascii="Arial" w:hAnsi="Arial"/>
          <w:color w:val="666666"/>
        </w:rPr>
        <w:t>Carlo Rovelli</w:t>
      </w:r>
    </w:p>
    <w:p>
      <w:pPr>
        <w:pStyle w:val="Heading3"/>
        <w:spacing w:before="0" w:after="0"/>
        <w:contextualSpacing/>
        <w:rPr>
          <w:rFonts w:ascii="Arial" w:hAnsi="Arial" w:cs="Arial"/>
          <w:color w:val="333333"/>
        </w:rPr>
      </w:pPr>
      <w:r>
        <w:rPr>
          <w:rFonts w:cs="Arial" w:ascii="Arial" w:hAnsi="Arial"/>
          <w:color w:val="333333"/>
        </w:rPr>
        <w:t>Can you give an example?</w:t>
      </w:r>
    </w:p>
    <w:p>
      <w:pPr>
        <w:pStyle w:val="P1"/>
        <w:spacing w:before="0" w:after="0"/>
        <w:contextualSpacing/>
        <w:rPr/>
      </w:pPr>
      <w:r>
        <w:rPr>
          <w:rFonts w:cs="Arial" w:ascii="Arial" w:hAnsi="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Heading3"/>
        <w:spacing w:before="0" w:after="0"/>
        <w:contextualSpacing/>
        <w:rPr>
          <w:rFonts w:ascii="Arial" w:hAnsi="Arial" w:cs="Arial"/>
          <w:color w:val="333333"/>
        </w:rPr>
      </w:pPr>
      <w:r>
        <w:rPr>
          <w:rFonts w:cs="Arial" w:ascii="Arial" w:hAnsi="Arial"/>
          <w:color w:val="333333"/>
        </w:rPr>
        <w:t>Do you think physicists will ever solve the mystery of time?</w:t>
      </w:r>
    </w:p>
    <w:p>
      <w:pPr>
        <w:pStyle w:val="P1"/>
        <w:spacing w:before="0" w:after="0"/>
        <w:contextualSpacing/>
        <w:rPr>
          <w:rFonts w:ascii="Arial" w:hAnsi="Arial" w:cs="Arial"/>
          <w:color w:val="333333"/>
        </w:rPr>
      </w:pPr>
      <w:r>
        <w:rPr>
          <w:rFonts w:cs="Arial" w:ascii="Arial" w:hAnsi="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Heading3"/>
        <w:spacing w:before="0" w:after="0"/>
        <w:contextualSpacing/>
        <w:rPr/>
      </w:pPr>
      <w:r>
        <w:rPr>
          <w:rStyle w:val="S1"/>
          <w:rFonts w:cs="Arial" w:ascii="Arial" w:hAnsi="Arial"/>
          <w:color w:val="333333"/>
        </w:rPr>
        <w:t>The </w:t>
      </w:r>
      <w:r>
        <w:rPr>
          <w:rStyle w:val="Emphasis"/>
          <w:rFonts w:cs="Arial" w:ascii="Arial" w:hAnsi="Arial"/>
          <w:color w:val="333333"/>
        </w:rPr>
        <w:t>Order of Time</w:t>
      </w:r>
      <w:r>
        <w:rPr>
          <w:rFonts w:cs="Arial" w:ascii="Arial" w:hAnsi="Arial"/>
          <w:color w:val="333333"/>
        </w:rPr>
        <w:t> touches a lot on the philosophy of science; how much philosophy have you studied?</w:t>
      </w:r>
    </w:p>
    <w:p>
      <w:pPr>
        <w:pStyle w:val="P1"/>
        <w:spacing w:before="0" w:after="0"/>
        <w:contextualSpacing/>
        <w:rPr>
          <w:rFonts w:ascii="Arial" w:hAnsi="Arial" w:cs="Arial"/>
          <w:color w:val="333333"/>
        </w:rPr>
      </w:pPr>
      <w:r>
        <w:rPr>
          <w:rFonts w:cs="Arial" w:ascii="Arial" w:hAnsi="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pStyle w:val="Normal"/>
        <w:shd w:val="clear" w:fill="FFFFFF"/>
        <w:spacing w:before="0" w:after="0"/>
        <w:contextualSpacing/>
        <w:rPr/>
      </w:pPr>
      <w:r>
        <w:rPr/>
      </w:r>
    </w:p>
    <w:p>
      <w:pPr>
        <w:pStyle w:val="Normal"/>
        <w:shd w:val="clear" w:fill="FFFFFF"/>
        <w:spacing w:before="0" w:after="0"/>
        <w:contextualSpacing/>
        <w:rPr/>
      </w:pPr>
      <w:hyperlink r:id="rId75">
        <w:r>
          <w:rPr>
            <w:rStyle w:val="InternetLink"/>
          </w:rPr>
          <w:t>https://www.nature.com/articles/d41586-018-04558-7</w:t>
        </w:r>
      </w:hyperlink>
      <w:r>
        <w:rPr/>
        <w:t>:</w:t>
      </w:r>
    </w:p>
    <w:p>
      <w:pPr>
        <w:pStyle w:val="Normal"/>
        <w:shd w:val="clear" w:fill="FFFFFF"/>
        <w:spacing w:before="0" w:after="0"/>
        <w:contextualSpacing/>
        <w:rPr/>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pStyle w:val="Normal"/>
        <w:shd w:val="clear" w:fill="FFFFFF"/>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pStyle w:val="Normal"/>
        <w:shd w:val="clear" w:fill="FFFFFF"/>
        <w:spacing w:before="0" w:after="0"/>
        <w:contextualSpacing/>
        <w:rPr>
          <w:color w:val="222222"/>
          <w:highlight w:val="white"/>
        </w:rPr>
      </w:pPr>
      <w:r>
        <w:rPr>
          <w:color w:val="222222"/>
          <w:highlight w:val="white"/>
        </w:rPr>
        <w:t>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At our level, each of those events looks like the interaction of particles at a particular position and time; but time and space themselves really only manifest out of their interactions and the web of causality between them.</w:t>
      </w:r>
    </w:p>
    <w:p>
      <w:pPr>
        <w:pStyle w:val="Normal"/>
        <w:shd w:val="clear" w:fill="FFFFFF"/>
        <w:spacing w:before="0" w:after="0"/>
        <w:contextualSpacing/>
        <w:rPr/>
      </w:pPr>
      <w:r>
        <w:rPr/>
      </w:r>
    </w:p>
    <w:p>
      <w:pPr>
        <w:pStyle w:val="Normal"/>
        <w:shd w:val="clear" w:fill="FFFFFF"/>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pStyle w:val="Normal"/>
        <w:shd w:val="clear" w:fill="FFFFFF"/>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pStyle w:val="ListParagraph"/>
        <w:numPr>
          <w:ilvl w:val="0"/>
          <w:numId w:val="19"/>
        </w:numPr>
        <w:shd w:val="clear" w:fill="FFFFFF"/>
        <w:spacing w:before="0" w:after="0"/>
        <w:ind w:left="0" w:right="0" w:hanging="360"/>
        <w:contextualSpacing/>
        <w:rPr>
          <w:color w:val="222222"/>
          <w:sz w:val="24"/>
          <w:szCs w:val="24"/>
          <w:highlight w:val="white"/>
        </w:rPr>
      </w:pPr>
      <w:r>
        <w:rPr>
          <w:color w:val="222222"/>
          <w:sz w:val="24"/>
          <w:szCs w:val="24"/>
          <w:highlight w:val="white"/>
        </w:rPr>
        <w:t>Etc. etc. etc.</w:t>
      </w:r>
    </w:p>
    <w:p>
      <w:pPr>
        <w:pStyle w:val="Normal"/>
        <w:shd w:val="clear" w:fill="FFFFFF"/>
        <w:spacing w:before="0" w:after="0"/>
        <w:contextualSpacing/>
        <w:rPr>
          <w:b/>
          <w:b/>
          <w:color w:val="FF0000"/>
        </w:rPr>
      </w:pPr>
      <w:r>
        <w:rPr>
          <w:b/>
          <w:color w:val="FF0000"/>
        </w:rPr>
      </w:r>
    </w:p>
    <w:p>
      <w:pPr>
        <w:pStyle w:val="Normal"/>
        <w:shd w:val="clear" w:fill="FFFFFF"/>
        <w:spacing w:before="0" w:after="0"/>
        <w:contextualSpacing/>
        <w:rPr>
          <w:b/>
          <w:b/>
          <w:color w:val="FF0000"/>
        </w:rPr>
      </w:pPr>
      <w:r>
        <w:rPr>
          <w:b/>
          <w:color w:val="FF0000"/>
        </w:rPr>
        <w:t>[carlo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they call now my EDWs). I repeat again that, until 2015, carlo rovelli had been working within the wrong framework of “Universe/world” emphasizing Bohr’s complementarity and Leibniz’s relationism but both withing the unicorn world!</w:t>
      </w:r>
    </w:p>
    <w:p>
      <w:pPr>
        <w:pStyle w:val="Normal"/>
        <w:shd w:val="clear" w:fill="FFFFFF"/>
        <w:spacing w:before="0" w:after="0"/>
        <w:contextualSpacing/>
        <w:rPr>
          <w:b/>
          <w:b/>
          <w:color w:val="FF0000"/>
        </w:rPr>
      </w:pPr>
      <w:r>
        <w:rPr>
          <w:b/>
          <w:color w:val="FF0000"/>
        </w:rPr>
        <w:t xml:space="preserve">Until 2015, carlo rovelli introduce nothing new with his “relationism” In fact, he had never rejected the notion of the “world”/ “Universe”!!! </w:t>
      </w:r>
    </w:p>
    <w:p>
      <w:pPr>
        <w:pStyle w:val="Normal"/>
        <w:shd w:val="clear" w:fill="FFFFFF"/>
        <w:spacing w:before="0" w:after="0"/>
        <w:contextualSpacing/>
        <w:rPr>
          <w:b/>
          <w:b/>
          <w:color w:val="FF0000"/>
        </w:rPr>
      </w:pPr>
      <w:r>
        <w:rPr>
          <w:b/>
          <w:color w:val="FF0000"/>
        </w:rPr>
        <w:t>Then a sudden change happened in his framework, a sudden change that coincide with the publication of my Springer’s book!!!</w:t>
      </w:r>
    </w:p>
    <w:p>
      <w:pPr>
        <w:pStyle w:val="Normal"/>
        <w:shd w:val="clear" w:fill="FFFFFF"/>
        <w:spacing w:before="0" w:after="0"/>
        <w:contextualSpacing/>
        <w:rPr>
          <w:b/>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pStyle w:val="Normal"/>
        <w:shd w:val="clear" w:fill="FFFFFF"/>
        <w:spacing w:before="0" w:after="0"/>
        <w:contextualSpacing/>
        <w:rPr>
          <w:b/>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pStyle w:val="Normal"/>
        <w:shd w:val="clear" w:fill="FFFFFF"/>
        <w:spacing w:before="0" w:after="0"/>
        <w:contextualSpacing/>
        <w:rPr>
          <w:b/>
          <w:b/>
          <w:color w:val="FF0000"/>
        </w:rPr>
      </w:pPr>
      <w:r>
        <w:rPr>
          <w:b/>
          <w:color w:val="FF0000"/>
        </w:rPr>
      </w:r>
    </w:p>
    <w:p>
      <w:pPr>
        <w:pStyle w:val="Normal"/>
        <w:spacing w:before="0" w:after="0"/>
        <w:contextualSpacing/>
        <w:jc w:val="left"/>
        <w:rPr>
          <w:rFonts w:ascii="AdvTimes" w:hAnsi="AdvTimes" w:eastAsia="Calibri" w:cs="AdvTimes"/>
          <w:color w:val="FF0000"/>
        </w:rPr>
      </w:pPr>
      <w:r>
        <w:rPr>
          <w:rFonts w:eastAsia="Calibri" w:cs="AdvTimes" w:ascii="AdvTimes" w:hAnsi="AdvTimes"/>
          <w:color w:val="FF0000"/>
        </w:rPr>
        <w:t xml:space="preserve">In his article, The Disappearance of Space and Time (in eds. Dieks and Redei 2006), on the first page carlo rovelli writes the first paragraph: </w:t>
      </w:r>
    </w:p>
    <w:p>
      <w:pPr>
        <w:pStyle w:val="Normal"/>
        <w:spacing w:before="0" w:after="0"/>
        <w:contextualSpacing/>
        <w:jc w:val="left"/>
        <w:rPr>
          <w:rFonts w:ascii="AdvTimes" w:hAnsi="AdvTimes" w:eastAsia="Calibri" w:cs="AdvTimes"/>
          <w:sz w:val="28"/>
          <w:szCs w:val="28"/>
        </w:rPr>
      </w:pPr>
      <w:r>
        <w:rPr>
          <w:rFonts w:eastAsia="Calibri" w:cs="AdvTimes" w:ascii="AdvTimes" w:hAnsi="AdvTimes"/>
          <w:sz w:val="28"/>
          <w:szCs w:val="28"/>
        </w:rPr>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Our understanding of the natural world evolves. We have developed a conceptual</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structure that allows us to apprehend and frame the world that we perceive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and think; but this conceptual structure evolves, driven by experience and rational</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investigation. Science is a continuous exploration of novel and more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effective ways for thinking the world. (p. 25, 2006)</w:t>
      </w:r>
    </w:p>
    <w:p>
      <w:pPr>
        <w:pStyle w:val="Normal"/>
        <w:spacing w:before="0" w:after="0"/>
        <w:contextualSpacing/>
        <w:jc w:val="left"/>
        <w:rPr>
          <w:rFonts w:ascii="AdvTimes" w:hAnsi="AdvTimes" w:eastAsia="Calibri" w:cs="AdvTimes"/>
          <w:color w:val="FF0000"/>
        </w:rPr>
      </w:pPr>
      <w:r>
        <w:rPr>
          <w:rFonts w:eastAsia="Calibri" w:cs="AdvTimes" w:ascii="AdvTimes" w:hAnsi="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pStyle w:val="Normal"/>
        <w:spacing w:before="0" w:after="0"/>
        <w:contextualSpacing/>
        <w:jc w:val="left"/>
        <w:rPr>
          <w:rFonts w:ascii="AdvTimes" w:hAnsi="AdvTimes" w:eastAsia="Calibri" w:cs="AdvTimes"/>
          <w:color w:val="FF0000"/>
        </w:rPr>
      </w:pPr>
      <w:r>
        <w:rPr>
          <w:rFonts w:eastAsia="Calibri" w:cs="AdvTimes" w:ascii="AdvTimes" w:hAnsi="AdvTimes"/>
          <w:color w:val="FF0000"/>
        </w:rPr>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The clean way of expressing Einstein’s discovery is to say that there are no</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space and time: there are only dynamical objects. The world is made by dynamical</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fields. These do not live in, or on, spacetime: they form and exhaust</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reality. (p. 27)</w:t>
      </w:r>
    </w:p>
    <w:p>
      <w:pPr>
        <w:pStyle w:val="Normal"/>
        <w:spacing w:before="0" w:after="0"/>
        <w:contextualSpacing/>
        <w:jc w:val="left"/>
        <w:rPr>
          <w:b/>
          <w:b/>
          <w:color w:val="FF0000"/>
        </w:rPr>
      </w:pPr>
      <w:r>
        <w:rPr>
          <w:b/>
          <w:color w:val="FF0000"/>
        </w:rPr>
      </w:r>
    </w:p>
    <w:p>
      <w:pPr>
        <w:pStyle w:val="Normal"/>
        <w:spacing w:before="0" w:after="0"/>
        <w:contextualSpacing/>
        <w:jc w:val="left"/>
        <w:rPr>
          <w:b/>
          <w:b/>
          <w:color w:val="FF0000"/>
        </w:rPr>
      </w:pPr>
      <w:r>
        <w:rPr>
          <w:b/>
          <w:color w:val="FF0000"/>
        </w:rPr>
        <w:t>Of course, Einstein relativies the “reality” but he was still working within the unicorn world!!!</w:t>
      </w:r>
    </w:p>
    <w:p>
      <w:pPr>
        <w:pStyle w:val="Normal"/>
        <w:spacing w:before="0" w:after="0"/>
        <w:contextualSpacing/>
        <w:jc w:val="left"/>
        <w:rPr>
          <w:b/>
          <w:b/>
          <w:color w:val="FF0000"/>
        </w:rPr>
      </w:pPr>
      <w:r>
        <w:rPr>
          <w:b/>
          <w:color w:val="FF0000"/>
        </w:rPr>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Or course relationalism, i.e., the idea that motion can be defined only in relation to other objects,</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should not be confused with Galilean relativity. Galilean relativity is the statement that ‘‘rectilinear</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uniform motion’’ is a priori indistinguishable from stasis. This is equivalent to saying that velocity</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(just velocity!), is only relative to other bodies. Relationalism, on the other hand, holds that any</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motion (however zigzagging) is a priori indistinguishable from stasis. The very formulation of Galilean</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relativity assumes a nonrelational definition of motion: ‘‘rectilinear and uniform’’ with respect to</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what?When Newton claimed that motion with respect to absolute space is real and physical, he, in a</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sense, overdid it, by insisting that even rectilinear uniform motion is absolute. This caused a painful</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debate, because there are no physical effects of inertial motion (therefore the bucket argument fails</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for this particular class of motions). Newton is well aware of this point, which is clearly stated in the</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Corollary V5 of the Principia, but he chooses to ignore it in the introduction of the Principia. I think</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he did this just to simplify his argument, which was already hard enough for his contemporaries. (p. 30)</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r>
    </w:p>
    <w:p>
      <w:pPr>
        <w:pStyle w:val="Normal"/>
        <w:spacing w:before="0" w:after="0"/>
        <w:contextualSpacing/>
        <w:jc w:val="left"/>
        <w:rPr>
          <w:rFonts w:ascii="AdvTimes" w:hAnsi="AdvTimes" w:eastAsia="Calibri" w:cs="AdvTimes"/>
          <w:color w:val="FF0000"/>
        </w:rPr>
      </w:pPr>
      <w:r>
        <w:rPr>
          <w:rFonts w:eastAsia="Calibri" w:cs="AdvTimes" w:ascii="AdvTimes" w:hAnsi="AdvTimes"/>
          <w:color w:val="FF0000"/>
        </w:rPr>
        <w:t xml:space="preserve">This paragraph has nothing to do with EDWs!!! Carlo rovelli was thinking within the unicorn world!!! IS IT NOT CLEAR???? </w:t>
      </w:r>
    </w:p>
    <w:p>
      <w:pPr>
        <w:pStyle w:val="Normal"/>
        <w:spacing w:before="0" w:after="0"/>
        <w:contextualSpacing/>
        <w:jc w:val="left"/>
        <w:rPr>
          <w:rFonts w:ascii="AdvTimes" w:hAnsi="AdvTimes" w:eastAsia="Calibri" w:cs="AdvTimes"/>
          <w:color w:val="FF0000"/>
        </w:rPr>
      </w:pPr>
      <w:r>
        <w:rPr>
          <w:rFonts w:eastAsia="Calibri" w:cs="AdvTimes" w:ascii="AdvTimes" w:hAnsi="AdvTimes"/>
          <w:color w:val="FF0000"/>
        </w:rPr>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Conceptually, what disappears with GR is the idea of space as the ‘‘container’’</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of the physical world. As mentioned, this disappearance is not so revolutionary</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after all: to some extent it amounts to return to the pre-Newtonian</w:t>
      </w:r>
    </w:p>
    <w:p>
      <w:pPr>
        <w:pStyle w:val="Normal"/>
        <w:spacing w:before="0" w:after="0"/>
        <w:contextualSpacing/>
        <w:jc w:val="left"/>
        <w:rPr/>
      </w:pPr>
      <w:r>
        <w:rPr>
          <w:rFonts w:eastAsia="Calibri" w:cs="AdvTimes" w:ascii="AdvTimes" w:hAnsi="AdvTimes"/>
          <w:sz w:val="22"/>
          <w:szCs w:val="22"/>
        </w:rPr>
        <w:t>view of space as a relation between equal-status physical entities…. In the 20</w:t>
      </w:r>
      <w:r>
        <w:rPr>
          <w:rFonts w:eastAsia="Calibri" w:cs="AdvTimes" w:ascii="AdvTimes" w:hAnsi="AdvTimes"/>
          <w:sz w:val="15"/>
          <w:szCs w:val="15"/>
        </w:rPr>
        <w:t xml:space="preserve">th </w:t>
      </w:r>
      <w:r>
        <w:rPr>
          <w:rFonts w:eastAsia="Calibri" w:cs="AdvTimes" w:ascii="AdvTimes" w:hAnsi="AdvTimes"/>
          <w:sz w:val="22"/>
          <w:szCs w:val="22"/>
        </w:rPr>
        <w:t>and 21</w:t>
      </w:r>
      <w:r>
        <w:rPr>
          <w:rFonts w:eastAsia="Calibri" w:cs="AdvTimes" w:ascii="AdvTimes" w:hAnsi="AdvTimes"/>
          <w:sz w:val="15"/>
          <w:szCs w:val="15"/>
        </w:rPr>
        <w:t xml:space="preserve">st </w:t>
      </w:r>
      <w:r>
        <w:rPr>
          <w:rFonts w:eastAsia="Calibri" w:cs="AdvTimes" w:ascii="AdvTimes" w:hAnsi="AdvTimes"/>
          <w:sz w:val="22"/>
          <w:szCs w:val="22"/>
        </w:rPr>
        <w:t>centuries and with GR</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we have been learning that we do not need this frame to keep reality in place.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Reality keeps itself in place. Objects interact with other objects, and this is</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reality. Reality is the net of these interactions. We do not need an external entity</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to hold this net. We do not need Space, to hold the universe. Maybe the Copernican</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 xml:space="preserve">revolution is finally being completed. (p. 32) </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 xml:space="preserve"> </w:t>
      </w:r>
    </w:p>
    <w:p>
      <w:pPr>
        <w:pStyle w:val="Normal"/>
        <w:spacing w:before="0" w:after="0"/>
        <w:contextualSpacing/>
        <w:jc w:val="left"/>
        <w:rPr>
          <w:rFonts w:ascii="AdvTimes" w:hAnsi="AdvTimes" w:eastAsia="Calibri" w:cs="AdvTimes"/>
          <w:color w:val="FF0000"/>
          <w:sz w:val="22"/>
          <w:szCs w:val="22"/>
        </w:rPr>
      </w:pPr>
      <w:r>
        <w:rPr>
          <w:rFonts w:eastAsia="Calibri" w:cs="AdvTimes" w:ascii="AdvTimes" w:hAnsi="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pStyle w:val="Normal"/>
        <w:spacing w:before="0" w:after="0"/>
        <w:contextualSpacing/>
        <w:jc w:val="left"/>
        <w:rPr>
          <w:rFonts w:ascii="AdvTimes" w:hAnsi="AdvTimes" w:eastAsia="Calibri" w:cs="AdvTimes"/>
          <w:color w:val="FF0000"/>
          <w:sz w:val="22"/>
          <w:szCs w:val="22"/>
        </w:rPr>
      </w:pPr>
      <w:r>
        <w:rPr>
          <w:rFonts w:eastAsia="Calibri" w:cs="AdvTimes" w:ascii="AdvTimes" w:hAnsi="AdvTimes"/>
          <w:color w:val="FF0000"/>
          <w:sz w:val="22"/>
          <w:szCs w:val="22"/>
        </w:rPr>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To illustrate this point, consider a standard expanding cosmological model.</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Its space like surfaces of homogeneity are formed by the events at equal proper</w:t>
      </w:r>
    </w:p>
    <w:p>
      <w:pPr>
        <w:pStyle w:val="Normal"/>
        <w:spacing w:before="0" w:after="0"/>
        <w:contextualSpacing/>
        <w:jc w:val="left"/>
        <w:rPr/>
      </w:pPr>
      <w:r>
        <w:rPr>
          <w:rFonts w:eastAsia="Calibri" w:cs="AdvTimes" w:ascii="AdvTimes" w:hAnsi="AdvTimes"/>
          <w:sz w:val="22"/>
          <w:szCs w:val="22"/>
        </w:rPr>
        <w:t xml:space="preserve">time after the big bang, or equal Friedmann time </w:t>
      </w:r>
      <w:r>
        <w:rPr>
          <w:rFonts w:eastAsia="Calibri" w:cs="AdvMc_Times-i" w:ascii="AdvMc_Times-i" w:hAnsi="AdvMc_Times-i"/>
          <w:sz w:val="22"/>
          <w:szCs w:val="22"/>
        </w:rPr>
        <w:t>t</w:t>
      </w:r>
      <w:r>
        <w:rPr>
          <w:rFonts w:eastAsia="Calibri" w:cs="AdvTimes" w:ascii="AdvTimes" w:hAnsi="AdvTimes"/>
          <w:sz w:val="15"/>
          <w:szCs w:val="15"/>
        </w:rPr>
        <w:t>Fr</w:t>
      </w:r>
      <w:r>
        <w:rPr>
          <w:rFonts w:eastAsia="Calibri" w:cs="AdvTimes" w:ascii="AdvTimes" w:hAnsi="AdvTimes"/>
          <w:sz w:val="22"/>
          <w:szCs w:val="22"/>
        </w:rPr>
        <w:t>; these are the surfaces</w:t>
      </w:r>
    </w:p>
    <w:p>
      <w:pPr>
        <w:pStyle w:val="Normal"/>
        <w:spacing w:before="0" w:after="0"/>
        <w:contextualSpacing/>
        <w:jc w:val="left"/>
        <w:rPr/>
      </w:pPr>
      <w:r>
        <w:rPr>
          <w:rFonts w:eastAsia="Calibri" w:cs="AdvTimes" w:ascii="AdvTimes" w:hAnsi="AdvTimes"/>
          <w:sz w:val="22"/>
          <w:szCs w:val="22"/>
        </w:rPr>
        <w:t xml:space="preserve">naturally considered ‘‘simultaneous’’ in cosmology. These surfaces are </w:t>
      </w:r>
      <w:r>
        <w:rPr>
          <w:rFonts w:eastAsia="Calibri" w:cs="AdvMc_Times-i" w:ascii="AdvMc_Times-i" w:hAnsi="AdvMc_Times-i"/>
          <w:sz w:val="22"/>
          <w:szCs w:val="22"/>
        </w:rPr>
        <w:t xml:space="preserve">not </w:t>
      </w:r>
      <w:r>
        <w:rPr>
          <w:rFonts w:eastAsia="Calibri" w:cs="AdvTimes" w:ascii="AdvTimes" w:hAnsi="AdvTimes"/>
          <w:sz w:val="22"/>
          <w:szCs w:val="22"/>
        </w:rPr>
        <w:t>equal</w:t>
      </w:r>
    </w:p>
    <w:p>
      <w:pPr>
        <w:pStyle w:val="Normal"/>
        <w:spacing w:before="0" w:after="0"/>
        <w:contextualSpacing/>
        <w:jc w:val="left"/>
        <w:rPr/>
      </w:pPr>
      <w:r>
        <w:rPr>
          <w:rFonts w:eastAsia="Calibri" w:cs="AdvTimes" w:ascii="AdvTimes" w:hAnsi="AdvTimes"/>
          <w:sz w:val="22"/>
          <w:szCs w:val="22"/>
        </w:rPr>
        <w:t>time surfaces according to Einstein’s simultaneity definition</w:t>
      </w:r>
      <w:r>
        <w:rPr>
          <w:rFonts w:eastAsia="Calibri" w:cs="AdvTimes" w:ascii="AdvTimes" w:hAnsi="AdvTimes"/>
          <w:sz w:val="15"/>
          <w:szCs w:val="15"/>
        </w:rPr>
        <w:t>5</w:t>
      </w:r>
      <w:r>
        <w:rPr>
          <w:rFonts w:eastAsia="Calibri" w:cs="AdvTimes" w:ascii="AdvTimes" w:hAnsi="AdvTimes"/>
          <w:sz w:val="22"/>
          <w:szCs w:val="22"/>
        </w:rPr>
        <w:t>. Therefore, in a</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cosmological context we have the alternative to call either ‘‘simultaneous’’</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events at the same Friedmann time, or events that satisfy Einstein’s definition of</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simultaneity. Both definitions are useful. The choice between them is a matter of</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taste or computational convenience, not a matter of ontology. (p. 33)</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r>
    </w:p>
    <w:p>
      <w:pPr>
        <w:pStyle w:val="Normal"/>
        <w:spacing w:before="0" w:after="0"/>
        <w:contextualSpacing/>
        <w:jc w:val="left"/>
        <w:rPr/>
      </w:pPr>
      <w:r>
        <w:rPr>
          <w:rFonts w:eastAsia="Calibri" w:cs="AdvTimes" w:ascii="AdvTimes" w:hAnsi="AdvTimes"/>
          <w:sz w:val="22"/>
          <w:szCs w:val="22"/>
        </w:rPr>
        <w:t xml:space="preserve">There are many distinct notions of time employed in GR: coordinate time </w:t>
      </w:r>
      <w:r>
        <w:rPr>
          <w:rFonts w:eastAsia="Calibri" w:cs="AdvMc_Times-i" w:ascii="AdvMc_Times-i" w:hAnsi="AdvMc_Times-i"/>
          <w:sz w:val="22"/>
          <w:szCs w:val="22"/>
        </w:rPr>
        <w:t>t</w:t>
      </w:r>
      <w:r>
        <w:rPr>
          <w:rFonts w:eastAsia="Calibri" w:cs="AdvTimes" w:ascii="AdvTimes" w:hAnsi="AdvTimes"/>
          <w:sz w:val="22"/>
          <w:szCs w:val="22"/>
        </w:rPr>
        <w:t>,</w:t>
      </w:r>
    </w:p>
    <w:p>
      <w:pPr>
        <w:pStyle w:val="Normal"/>
        <w:spacing w:before="0" w:after="0"/>
        <w:contextualSpacing/>
        <w:jc w:val="left"/>
        <w:rPr/>
      </w:pPr>
      <w:r>
        <w:rPr>
          <w:rFonts w:eastAsia="Calibri" w:cs="AdvTimes" w:ascii="AdvTimes" w:hAnsi="AdvTimes"/>
          <w:sz w:val="22"/>
          <w:szCs w:val="22"/>
        </w:rPr>
        <w:t xml:space="preserve">proper time </w:t>
      </w:r>
      <w:r>
        <w:rPr>
          <w:rFonts w:eastAsia="Calibri" w:cs="AdvMc_Times-i" w:ascii="AdvMc_Times-i" w:hAnsi="AdvMc_Times-i"/>
          <w:sz w:val="22"/>
          <w:szCs w:val="22"/>
        </w:rPr>
        <w:t>S</w:t>
      </w:r>
      <w:r>
        <w:rPr>
          <w:rFonts w:eastAsia="Calibri" w:cs="AdvTimes" w:ascii="AdvTimes" w:hAnsi="AdvTimes"/>
          <w:sz w:val="22"/>
          <w:szCs w:val="22"/>
        </w:rPr>
        <w:t xml:space="preserve">, clock times </w:t>
      </w:r>
      <w:r>
        <w:rPr>
          <w:rFonts w:eastAsia="Calibri" w:cs="AdvMc_Times-i" w:ascii="AdvMc_Times-i" w:hAnsi="AdvMc_Times-i"/>
          <w:sz w:val="22"/>
          <w:szCs w:val="22"/>
        </w:rPr>
        <w:t>T</w:t>
      </w:r>
      <w:r>
        <w:rPr>
          <w:rFonts w:eastAsia="Calibri" w:cs="AdvTimes" w:ascii="AdvTimes" w:hAnsi="AdvTimes"/>
          <w:sz w:val="22"/>
          <w:szCs w:val="22"/>
        </w:rPr>
        <w:t xml:space="preserve">, cosmological time </w:t>
      </w:r>
      <w:r>
        <w:rPr>
          <w:rFonts w:eastAsia="Calibri" w:cs="AdvMc_Times-i" w:ascii="AdvMc_Times-i" w:hAnsi="AdvMc_Times-i"/>
          <w:sz w:val="22"/>
          <w:szCs w:val="22"/>
        </w:rPr>
        <w:t>t</w:t>
      </w:r>
      <w:r>
        <w:rPr>
          <w:rFonts w:eastAsia="Calibri" w:cs="AdvTimes" w:ascii="AdvTimes" w:hAnsi="AdvTimes"/>
          <w:sz w:val="15"/>
          <w:szCs w:val="15"/>
        </w:rPr>
        <w:t>Fr</w:t>
      </w:r>
      <w:r>
        <w:rPr>
          <w:rFonts w:eastAsia="Calibri" w:cs="AdvTimes" w:ascii="AdvTimes" w:hAnsi="AdvTimes"/>
          <w:sz w:val="22"/>
          <w:szCs w:val="22"/>
        </w:rPr>
        <w:t>, asymptotic Poincare´</w:t>
      </w:r>
    </w:p>
    <w:p>
      <w:pPr>
        <w:pStyle w:val="Normal"/>
        <w:spacing w:before="0" w:after="0"/>
        <w:contextualSpacing/>
        <w:jc w:val="left"/>
        <w:rPr/>
      </w:pPr>
      <w:r>
        <w:rPr>
          <w:rFonts w:eastAsia="Calibri" w:cs="AdvTimes" w:ascii="AdvTimes" w:hAnsi="AdvTimes"/>
          <w:sz w:val="22"/>
          <w:szCs w:val="22"/>
        </w:rPr>
        <w:t>time</w:t>
      </w:r>
      <w:r>
        <w:rPr>
          <w:rFonts w:eastAsia="Calibri" w:cs="AdvEls-ent5" w:ascii="AdvEls-ent5" w:hAnsi="AdvEls-ent5"/>
          <w:sz w:val="22"/>
          <w:szCs w:val="22"/>
        </w:rPr>
        <w:t>y</w:t>
      </w:r>
      <w:r>
        <w:rPr>
          <w:rFonts w:eastAsia="Calibri" w:cs="AdvTimes" w:ascii="AdvTimes" w:hAnsi="AdvTimes"/>
          <w:sz w:val="22"/>
          <w:szCs w:val="22"/>
        </w:rPr>
        <w:t>. The last two refer to the description of special solutions of the Einstein</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field equations only. They are irrelevant in a discussion of the ontology of time,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because a different ontology for different solutions of the same theory is certainly</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unsatisfactory. Clock times are simply the readings of certain physical variables,</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which can be locally employed as the independent variable for convenience.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Once again, they have nothing to tell us about the ontology of time. (p. 34)</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r>
    </w:p>
    <w:p>
      <w:pPr>
        <w:pStyle w:val="Normal"/>
        <w:spacing w:before="0" w:after="0"/>
        <w:contextualSpacing/>
        <w:jc w:val="left"/>
        <w:rPr>
          <w:b/>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exitence of space and time, exactly as Liebniz did against Newton’s absolute space and absolute time!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Instead, we must describe reality in terms of correlations between observables.</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We can measure physical quantities around us. The physical theory restricts the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combinations of quantities that we can measure. It predicts relations between</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these quantities. (p. 34)</w:t>
      </w:r>
    </w:p>
    <w:p>
      <w:pPr>
        <w:pStyle w:val="Normal"/>
        <w:shd w:val="clear" w:fill="FFFFFF"/>
        <w:spacing w:before="0" w:after="0"/>
        <w:contextualSpacing/>
        <w:rPr>
          <w:b/>
          <w:b/>
          <w:color w:val="FF0000"/>
        </w:rPr>
      </w:pPr>
      <w:r>
        <w:rPr>
          <w:b/>
          <w:color w:val="FF0000"/>
        </w:rPr>
        <w:t>“</w:t>
      </w:r>
      <w:r>
        <w:rPr>
          <w:b/>
          <w:color w:val="FF0000"/>
        </w:rPr>
        <w:t>correlations” is an old concept from QM, but it was created within the unicorn world. IN fact, the above sentences are created within the unicorn world, exacly as Bohr created his idea of “complementarity” within the unicorn world (i.e., the thing-in-itself, borrowed from Kant, even if he used other notion…)</w:t>
      </w:r>
    </w:p>
    <w:p>
      <w:pPr>
        <w:pStyle w:val="Normal"/>
        <w:spacing w:before="0" w:after="0"/>
        <w:contextualSpacing/>
        <w:jc w:val="left"/>
        <w:rPr>
          <w:rFonts w:ascii="AdvTimes" w:hAnsi="AdvTimes" w:eastAsia="Calibri" w:cs="AdvTimes"/>
          <w:color w:val="000000"/>
          <w:sz w:val="22"/>
          <w:szCs w:val="22"/>
        </w:rPr>
      </w:pPr>
      <w:r>
        <w:rPr>
          <w:rFonts w:eastAsia="Calibri" w:cs="AdvTimes" w:ascii="AdvTimes" w:hAnsi="AdvTimes"/>
          <w:color w:val="000000"/>
          <w:sz w:val="22"/>
          <w:szCs w:val="22"/>
        </w:rPr>
        <w:t>So, where does temporality, with all its peculiar features (‘‘flow’’ of time,</w:t>
      </w:r>
    </w:p>
    <w:p>
      <w:pPr>
        <w:pStyle w:val="Normal"/>
        <w:spacing w:before="0" w:after="0"/>
        <w:contextualSpacing/>
        <w:jc w:val="left"/>
        <w:rPr/>
      </w:pPr>
      <w:r>
        <w:rPr>
          <w:rFonts w:eastAsia="Calibri" w:cs="AdvTimes" w:ascii="AdvTimes" w:hAnsi="AdvTimes"/>
          <w:color w:val="000000"/>
          <w:sz w:val="22"/>
          <w:szCs w:val="22"/>
        </w:rPr>
        <w:t>whatever this means, irreversibility, memory, awareness</w:t>
      </w:r>
      <w:r>
        <w:rPr>
          <w:rFonts w:eastAsia="Calibri" w:cs="AdvEls-ent5" w:ascii="AdvEls-ent5" w:hAnsi="AdvEls-ent5"/>
          <w:color w:val="000000"/>
          <w:sz w:val="22"/>
          <w:szCs w:val="22"/>
        </w:rPr>
        <w:t>y</w:t>
      </w:r>
      <w:r>
        <w:rPr>
          <w:rFonts w:eastAsia="Calibri" w:cs="AdvTimes" w:ascii="AdvTimes" w:hAnsi="AdvTimes"/>
          <w:color w:val="000000"/>
          <w:sz w:val="22"/>
          <w:szCs w:val="22"/>
        </w:rPr>
        <w:t>) come from? I think</w:t>
      </w:r>
    </w:p>
    <w:p>
      <w:pPr>
        <w:pStyle w:val="Normal"/>
        <w:spacing w:before="0" w:after="0"/>
        <w:contextualSpacing/>
        <w:jc w:val="left"/>
        <w:rPr>
          <w:rFonts w:ascii="AdvTimes" w:hAnsi="AdvTimes" w:eastAsia="Calibri" w:cs="AdvTimes"/>
          <w:color w:val="000000"/>
          <w:sz w:val="22"/>
          <w:szCs w:val="22"/>
        </w:rPr>
      </w:pPr>
      <w:r>
        <w:rPr>
          <w:rFonts w:eastAsia="Calibri" w:cs="AdvTimes" w:ascii="AdvTimes" w:hAnsi="AdvTimes"/>
          <w:color w:val="000000"/>
          <w:sz w:val="22"/>
          <w:szCs w:val="22"/>
        </w:rPr>
        <w:t>that all this has nothing to do with mechanics. It has to do with statistical</w:t>
      </w:r>
    </w:p>
    <w:p>
      <w:pPr>
        <w:pStyle w:val="Normal"/>
        <w:spacing w:before="0" w:after="0"/>
        <w:contextualSpacing/>
        <w:jc w:val="left"/>
        <w:rPr/>
      </w:pPr>
      <w:r>
        <w:rPr>
          <w:rFonts w:eastAsia="Calibri" w:cs="AdvTimes" w:ascii="AdvTimes" w:hAnsi="AdvTimes"/>
          <w:color w:val="000000"/>
          <w:sz w:val="22"/>
          <w:szCs w:val="22"/>
        </w:rPr>
        <w:t xml:space="preserve">mechanics, thermodynamics, perhaps psychology or biology. In </w:t>
      </w:r>
      <w:r>
        <w:rPr>
          <w:rFonts w:eastAsia="Calibri" w:cs="AdvTimes" w:ascii="AdvTimes" w:hAnsi="AdvTimes"/>
          <w:color w:val="000066"/>
          <w:sz w:val="22"/>
          <w:szCs w:val="22"/>
        </w:rPr>
        <w:t xml:space="preserve">Rovelli (1993) </w:t>
      </w:r>
      <w:r>
        <w:rPr>
          <w:rFonts w:eastAsia="Calibri" w:cs="AdvTimes" w:ascii="AdvTimes" w:hAnsi="AdvTimes"/>
          <w:color w:val="000000"/>
          <w:sz w:val="22"/>
          <w:szCs w:val="22"/>
        </w:rPr>
        <w:t>I</w:t>
      </w:r>
    </w:p>
    <w:p>
      <w:pPr>
        <w:pStyle w:val="Normal"/>
        <w:spacing w:before="0" w:after="0"/>
        <w:contextualSpacing/>
        <w:jc w:val="left"/>
        <w:rPr>
          <w:rFonts w:ascii="AdvTimes" w:hAnsi="AdvTimes" w:eastAsia="Calibri" w:cs="AdvTimes"/>
          <w:color w:val="000000"/>
          <w:sz w:val="22"/>
          <w:szCs w:val="22"/>
        </w:rPr>
      </w:pPr>
      <w:r>
        <w:rPr>
          <w:rFonts w:eastAsia="Calibri" w:cs="AdvTimes" w:ascii="AdvTimes" w:hAnsi="AdvTimes"/>
          <w:color w:val="000000"/>
          <w:sz w:val="22"/>
          <w:szCs w:val="22"/>
        </w:rPr>
        <w:t>have developed, in collaboration with Alain Connes, the idea that it may be</w:t>
      </w:r>
    </w:p>
    <w:p>
      <w:pPr>
        <w:pStyle w:val="Normal"/>
        <w:spacing w:before="0" w:after="0"/>
        <w:contextualSpacing/>
        <w:jc w:val="left"/>
        <w:rPr>
          <w:rFonts w:ascii="AdvTimes" w:hAnsi="AdvTimes" w:eastAsia="Calibri" w:cs="AdvTimes"/>
          <w:color w:val="000000"/>
          <w:sz w:val="22"/>
          <w:szCs w:val="22"/>
        </w:rPr>
      </w:pPr>
      <w:r>
        <w:rPr>
          <w:rFonts w:eastAsia="Calibri" w:cs="AdvTimes" w:ascii="AdvTimes" w:hAnsi="AdvTimes"/>
          <w:color w:val="000000"/>
          <w:sz w:val="22"/>
          <w:szCs w:val="22"/>
        </w:rPr>
        <w:t>possible to recover temporality from statistical mechanics, within an atemporal</w:t>
      </w:r>
    </w:p>
    <w:p>
      <w:pPr>
        <w:pStyle w:val="Normal"/>
        <w:spacing w:before="0" w:after="0"/>
        <w:contextualSpacing/>
        <w:jc w:val="left"/>
        <w:rPr>
          <w:rFonts w:ascii="AdvTimes" w:hAnsi="AdvTimes" w:eastAsia="Calibri" w:cs="AdvTimes"/>
          <w:color w:val="000000"/>
          <w:sz w:val="22"/>
          <w:szCs w:val="22"/>
        </w:rPr>
      </w:pPr>
      <w:r>
        <w:rPr>
          <w:rFonts w:eastAsia="Calibri" w:cs="AdvTimes" w:ascii="AdvTimes" w:hAnsi="AdvTimes"/>
          <w:color w:val="000000"/>
          <w:sz w:val="22"/>
          <w:szCs w:val="22"/>
        </w:rPr>
        <w:t>mechanical universe (statistical time hypothesis). If this point of view is correct,</w:t>
      </w:r>
    </w:p>
    <w:p>
      <w:pPr>
        <w:pStyle w:val="Normal"/>
        <w:spacing w:before="0" w:after="0"/>
        <w:contextualSpacing/>
        <w:jc w:val="left"/>
        <w:rPr>
          <w:rFonts w:ascii="AdvTimes" w:hAnsi="AdvTimes" w:eastAsia="Calibri" w:cs="AdvTimes"/>
          <w:color w:val="000000"/>
          <w:sz w:val="22"/>
          <w:szCs w:val="22"/>
        </w:rPr>
      </w:pPr>
      <w:r>
        <w:rPr>
          <w:rFonts w:eastAsia="Calibri" w:cs="AdvTimes" w:ascii="AdvTimes" w:hAnsi="AdvTimes"/>
          <w:color w:val="000000"/>
          <w:sz w:val="22"/>
          <w:szCs w:val="22"/>
        </w:rPr>
        <w:t>temporality is an artifact of our largely incomplete knowledge of the state of the world, not an ultimate property of reality. (p. 35)</w:t>
      </w:r>
    </w:p>
    <w:p>
      <w:pPr>
        <w:pStyle w:val="Normal"/>
        <w:shd w:val="clear" w:fill="FFFFFF"/>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pStyle w:val="Normal"/>
        <w:shd w:val="clear" w:fill="FFFFFF"/>
        <w:spacing w:before="0" w:after="0"/>
        <w:contextualSpacing/>
        <w:rPr>
          <w:color w:val="FF0000"/>
        </w:rPr>
      </w:pPr>
      <w:r>
        <w:rPr>
          <w:color w:val="FF0000"/>
        </w:rPr>
        <w:t>Conclusion of this article: carolo rovelli had no idea about EDWs; he was still working within the unicorn world, i.e., the world/Universe!!!!!!!!!!!</w:t>
      </w:r>
    </w:p>
    <w:p>
      <w:pPr>
        <w:pStyle w:val="Normal"/>
        <w:shd w:val="clear" w:fill="FFFFFF"/>
        <w:spacing w:before="0" w:after="0"/>
        <w:contextualSpacing/>
        <w:rPr>
          <w:color w:val="FF0000"/>
        </w:rPr>
      </w:pPr>
      <w:r>
        <w:rPr>
          <w:color w:val="FF0000"/>
        </w:rPr>
        <w:t xml:space="preserve">After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pStyle w:val="Normal"/>
        <w:shd w:val="clear" w:fill="FFFFFF"/>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pStyle w:val="Normal"/>
        <w:shd w:val="clear" w:fill="FFFFFF"/>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pStyle w:val="Normal"/>
        <w:shd w:val="clear" w:fill="FFFFFF"/>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pStyle w:val="Normal"/>
        <w:shd w:val="clear" w:fill="FFFFFF"/>
        <w:spacing w:before="0" w:after="0"/>
        <w:contextualSpacing/>
        <w:rPr>
          <w:color w:val="FF0000"/>
        </w:rPr>
      </w:pPr>
      <w:r>
        <w:rPr>
          <w:color w:val="FF0000"/>
        </w:rPr>
        <w:t xml:space="preserve">Later, I applied this approach to the wave-particle duality, and after this, I applied my EDWs to the macro-micro duality. </w:t>
      </w:r>
    </w:p>
    <w:p>
      <w:pPr>
        <w:pStyle w:val="Normal"/>
        <w:shd w:val="clear" w:fill="FFFFFF"/>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pStyle w:val="Normal"/>
        <w:shd w:val="clear" w:fill="FFFFFF"/>
        <w:spacing w:before="0" w:after="0"/>
        <w:contextualSpacing/>
        <w:rPr>
          <w:color w:val="FF0000"/>
        </w:rPr>
      </w:pPr>
      <w:r>
        <w:rPr>
          <w:color w:val="FF0000"/>
        </w:rPr>
        <w:tab/>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pStyle w:val="Normal"/>
        <w:shd w:val="clear" w:fill="FFFFFF"/>
        <w:spacing w:before="0" w:after="0"/>
        <w:contextualSpacing/>
        <w:rPr>
          <w:color w:val="FF0000"/>
        </w:rPr>
      </w:pPr>
      <w:r>
        <w:rPr>
          <w:color w:val="FF0000"/>
        </w:rPr>
      </w:r>
    </w:p>
    <w:p>
      <w:pPr>
        <w:pStyle w:val="Normal"/>
        <w:shd w:val="clear" w:fill="FFFFFF"/>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pStyle w:val="Normal"/>
        <w:shd w:val="clear" w:fill="FFFFFF"/>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pStyle w:val="Normal"/>
        <w:shd w:val="clear" w:fill="FFFFFF"/>
        <w:spacing w:before="0" w:after="0"/>
        <w:contextualSpacing/>
        <w:rPr>
          <w:color w:val="FF0000"/>
        </w:rPr>
      </w:pPr>
      <w:r>
        <w:rPr>
          <w:color w:val="FF0000"/>
        </w:rPr>
      </w:r>
    </w:p>
    <w:p>
      <w:pPr>
        <w:pStyle w:val="Normal"/>
        <w:shd w:val="clear" w:fill="FFFFFF"/>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pStyle w:val="Normal"/>
        <w:shd w:val="clear" w:fill="FFFFFF"/>
        <w:spacing w:before="0" w:after="0"/>
        <w:contextualSpacing/>
        <w:rPr>
          <w:color w:val="FF0000"/>
        </w:rPr>
      </w:pPr>
      <w:r>
        <w:rPr>
          <w:color w:val="FF0000"/>
        </w:rPr>
      </w:r>
    </w:p>
    <w:p>
      <w:pPr>
        <w:pStyle w:val="Normal"/>
        <w:shd w:val="clear" w:fill="FFFFFF"/>
        <w:spacing w:before="0" w:after="0"/>
        <w:contextualSpacing/>
        <w:rPr>
          <w:color w:val="FF0000"/>
        </w:rPr>
      </w:pPr>
      <w:r>
        <w:rPr>
          <w:color w:val="FF0000"/>
        </w:rPr>
        <w:t>After 2015, carolo rovolli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carolo rovelli’s relationsionism is quite wrong (being constructed within the unicorn word)!</w:t>
      </w:r>
    </w:p>
    <w:p>
      <w:pPr>
        <w:pStyle w:val="Normal"/>
        <w:shd w:val="clear" w:fill="FFFFFF"/>
        <w:spacing w:before="0" w:after="0"/>
        <w:contextualSpacing/>
        <w:rPr>
          <w:color w:val="FF0000"/>
        </w:rPr>
      </w:pPr>
      <w:r>
        <w:rPr>
          <w:color w:val="FF0000"/>
        </w:rPr>
      </w:r>
    </w:p>
    <w:p>
      <w:pPr>
        <w:pStyle w:val="Normal"/>
        <w:shd w:val="clear" w:fill="FFFFFF"/>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pStyle w:val="Normal"/>
        <w:shd w:val="clear" w:fill="FFFFFF"/>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6" w:name="_Hlk4241539"/>
      <w:bookmarkEnd w:id="6"/>
    </w:p>
    <w:p>
      <w:pPr>
        <w:pStyle w:val="Normal"/>
        <w:shd w:val="clear" w:fill="FFFFFF"/>
        <w:spacing w:before="0" w:after="0"/>
        <w:contextualSpacing/>
        <w:rPr/>
      </w:pPr>
      <w:r>
        <w:rPr/>
      </w:r>
    </w:p>
    <w:p>
      <w:pPr>
        <w:pStyle w:val="Normal"/>
        <w:shd w:val="clear" w:fill="FFFFFF"/>
        <w:spacing w:before="0" w:after="0"/>
        <w:contextualSpacing/>
        <w:rPr/>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pStyle w:val="Normal"/>
        <w:shd w:val="clear" w:fill="FFFFFF"/>
        <w:spacing w:before="0" w:after="0"/>
        <w:contextualSpacing/>
        <w:rPr>
          <w:sz w:val="22"/>
          <w:szCs w:val="22"/>
          <w:highlight w:val="yellow"/>
        </w:rPr>
      </w:pPr>
      <w:r>
        <w:rPr>
          <w:sz w:val="22"/>
          <w:szCs w:val="22"/>
          <w:highlight w:val="yellow"/>
        </w:rPr>
      </w:r>
    </w:p>
    <w:p>
      <w:pPr>
        <w:pStyle w:val="Normal"/>
        <w:shd w:val="clear" w:fill="FFFFFF"/>
        <w:spacing w:before="0" w:after="0"/>
        <w:contextualSpacing/>
        <w:rPr>
          <w:b/>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pStyle w:val="Normal"/>
        <w:shd w:val="clear" w:fill="FFFFFF"/>
        <w:spacing w:before="0" w:after="0"/>
        <w:contextualSpacing/>
        <w:rPr>
          <w:sz w:val="22"/>
          <w:szCs w:val="22"/>
          <w:highlight w:val="yellow"/>
        </w:rPr>
      </w:pPr>
      <w:r>
        <w:rPr>
          <w:sz w:val="22"/>
          <w:szCs w:val="22"/>
          <w:highlight w:val="yellow"/>
        </w:rPr>
      </w:r>
    </w:p>
    <w:p>
      <w:pPr>
        <w:pStyle w:val="Normal"/>
        <w:shd w:val="clear" w:fill="FFFFFF"/>
        <w:spacing w:before="0" w:after="0"/>
        <w:contextualSpacing/>
        <w:rPr/>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pStyle w:val="Normal"/>
        <w:shd w:val="clear" w:fill="FFFFFF"/>
        <w:spacing w:before="0" w:after="0"/>
        <w:contextualSpacing/>
        <w:rPr>
          <w:sz w:val="22"/>
          <w:szCs w:val="22"/>
          <w:highlight w:val="yellow"/>
        </w:rPr>
      </w:pPr>
      <w:r>
        <w:rPr>
          <w:sz w:val="22"/>
          <w:szCs w:val="22"/>
          <w:highlight w:val="yellow"/>
        </w:rPr>
      </w:r>
    </w:p>
    <w:p>
      <w:pPr>
        <w:pStyle w:val="Normal"/>
        <w:shd w:val="clear" w:fill="FFFFFF"/>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pStyle w:val="Normal"/>
        <w:shd w:val="clear" w:fill="FFFFFF"/>
        <w:spacing w:before="0" w:after="0"/>
        <w:contextualSpacing/>
        <w:rPr>
          <w:sz w:val="22"/>
          <w:szCs w:val="22"/>
          <w:highlight w:val="yellow"/>
        </w:rPr>
      </w:pPr>
      <w:r>
        <w:rPr>
          <w:sz w:val="22"/>
          <w:szCs w:val="22"/>
          <w:highlight w:val="yellow"/>
        </w:rPr>
        <w:t xml:space="preserve"> </w:t>
      </w:r>
    </w:p>
    <w:p>
      <w:pPr>
        <w:pStyle w:val="Normal"/>
        <w:shd w:val="clear" w:fill="FFFFFF"/>
        <w:spacing w:before="0" w:after="0"/>
        <w:contextualSpacing/>
        <w:rPr/>
      </w:pPr>
      <w:r>
        <w:rPr/>
      </w:r>
    </w:p>
    <w:p>
      <w:pPr>
        <w:pStyle w:val="Normal"/>
        <w:shd w:val="clear" w:fill="FFFFFF"/>
        <w:spacing w:before="0" w:after="0"/>
        <w:contextualSpacing/>
        <w:rPr/>
      </w:pPr>
      <w:r>
        <w:rPr/>
      </w:r>
    </w:p>
    <w:p>
      <w:pPr>
        <w:pStyle w:val="Normal"/>
        <w:shd w:val="clear" w:fill="FFFFFF"/>
        <w:spacing w:before="0" w:after="0"/>
        <w:contextualSpacing/>
        <w:rPr/>
      </w:pPr>
      <w:r>
        <w:rPr/>
      </w:r>
    </w:p>
    <w:p>
      <w:pPr>
        <w:pStyle w:val="ListParagraph"/>
        <w:numPr>
          <w:ilvl w:val="0"/>
          <w:numId w:val="18"/>
        </w:numPr>
        <w:spacing w:before="0" w:after="0"/>
        <w:contextualSpacing/>
        <w:rPr/>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FootnoteAnchor"/>
          <w:b/>
          <w:sz w:val="28"/>
          <w:szCs w:val="28"/>
        </w:rPr>
        <w:footnoteReference w:id="90"/>
      </w:r>
    </w:p>
    <w:p>
      <w:pPr>
        <w:pStyle w:val="Normal"/>
        <w:spacing w:before="0" w:after="0"/>
        <w:contextualSpacing/>
        <w:rPr>
          <w:b/>
          <w:b/>
          <w:sz w:val="28"/>
          <w:szCs w:val="28"/>
        </w:rPr>
      </w:pPr>
      <w:r>
        <w:rPr>
          <w:b/>
          <w:sz w:val="28"/>
          <w:szCs w:val="28"/>
        </w:rPr>
      </w:r>
    </w:p>
    <w:p>
      <w:pPr>
        <w:pStyle w:val="ListParagraph"/>
        <w:numPr>
          <w:ilvl w:val="0"/>
          <w:numId w:val="20"/>
        </w:numPr>
        <w:spacing w:before="0" w:after="0"/>
        <w:ind w:left="0" w:right="0" w:hanging="360"/>
        <w:contextualSpacing/>
        <w:jc w:val="both"/>
        <w:rPr>
          <w:rFonts w:ascii="Times New Roman" w:hAnsi="Times New Roman"/>
          <w:b/>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pStyle w:val="Normal"/>
        <w:spacing w:before="0" w:after="0"/>
        <w:contextualSpacing/>
        <w:rPr/>
      </w:pPr>
      <w:r>
        <w:rPr/>
      </w:r>
    </w:p>
    <w:p>
      <w:pPr>
        <w:pStyle w:val="Normal"/>
        <w:spacing w:before="0" w:after="0"/>
        <w:contextualSpacing/>
        <w:rPr/>
      </w:pPr>
      <w:r>
        <w:rPr/>
        <w:t>In this paper, there are quite many ideas similar to my ideas. The main ideas are the following:</w:t>
      </w:r>
    </w:p>
    <w:p>
      <w:pPr>
        <w:pStyle w:val="Normal"/>
        <w:spacing w:before="0" w:after="0"/>
        <w:contextualSpacing/>
        <w:rPr/>
      </w:pPr>
      <w:r>
        <w:rPr/>
      </w:r>
    </w:p>
    <w:p>
      <w:pPr>
        <w:pStyle w:val="ListParagraph"/>
        <w:widowControl/>
        <w:numPr>
          <w:ilvl w:val="0"/>
          <w:numId w:val="21"/>
        </w:numPr>
        <w:suppressAutoHyphens w:val="false"/>
        <w:overflowPunct w:val="false"/>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pStyle w:val="ListParagraph"/>
        <w:widowControl/>
        <w:numPr>
          <w:ilvl w:val="0"/>
          <w:numId w:val="21"/>
        </w:numPr>
        <w:suppressAutoHyphens w:val="false"/>
        <w:overflowPunct w:val="false"/>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pStyle w:val="Normal"/>
        <w:spacing w:before="0" w:after="0"/>
        <w:contextualSpacing/>
        <w:rPr>
          <w:sz w:val="20"/>
          <w:szCs w:val="20"/>
        </w:rPr>
      </w:pPr>
      <w:r>
        <w:rPr>
          <w:sz w:val="20"/>
          <w:szCs w:val="20"/>
        </w:rPr>
      </w:r>
    </w:p>
    <w:p>
      <w:pPr>
        <w:pStyle w:val="Normal"/>
        <w:spacing w:before="0" w:after="0"/>
        <w:contextualSpacing/>
        <w:rPr/>
      </w:pPr>
      <w:r>
        <w:rPr/>
        <w:t xml:space="preserve">In my works 2002-2008 and later (2010-2106), I argued exactly the same ideas. The non-unitary phenomena in quantum and in the relationship between quantum and classical phenomena means exactly the EDWs!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rPr/>
        <w:t xml:space="preserve"> </w:t>
      </w:r>
    </w:p>
    <w:p>
      <w:pPr>
        <w:pStyle w:val="Normal"/>
        <w:spacing w:before="0" w:after="0"/>
        <w:contextualSpacing/>
        <w:rPr/>
      </w:pPr>
      <w:r>
        <w:rPr/>
      </w:r>
    </w:p>
    <w:p>
      <w:pPr>
        <w:pStyle w:val="Normal"/>
        <w:spacing w:before="0" w:after="0"/>
        <w:contextualSpacing/>
        <w:rPr/>
      </w:pPr>
      <w:r>
        <w:rPr/>
        <w:t>“</w:t>
      </w:r>
      <w:r>
        <w:rPr/>
        <w:t xml:space="preserve">Our world of experience” means exactly the macro-EW vs. the micro-EW. However, we have to pay attention that “quantum world” means the micro-EW (for particles) and the wave-EW. </w:t>
      </w:r>
    </w:p>
    <w:p>
      <w:pPr>
        <w:pStyle w:val="Normal"/>
        <w:spacing w:before="0" w:after="0"/>
        <w:ind w:left="0" w:right="0" w:firstLine="720"/>
        <w:contextualSpacing/>
        <w:rPr/>
      </w:pPr>
      <w:r>
        <w:rP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pStyle w:val="Normal"/>
        <w:spacing w:before="0" w:after="0"/>
        <w:ind w:left="0" w:right="0" w:firstLine="720"/>
        <w:contextualSpacing/>
        <w:rPr/>
      </w:pPr>
      <w:r>
        <w:rPr/>
      </w:r>
    </w:p>
    <w:p>
      <w:pPr>
        <w:pStyle w:val="Normal"/>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pStyle w:val="Normal"/>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pStyle w:val="Normal"/>
        <w:spacing w:before="0" w:after="0"/>
        <w:contextualSpacing/>
        <w:rPr/>
      </w:pPr>
      <w:r>
        <w:rPr/>
      </w:r>
    </w:p>
    <w:p>
      <w:pPr>
        <w:pStyle w:val="Normal"/>
        <w:spacing w:before="0" w:after="0"/>
        <w:contextualSpacing/>
        <w:rPr/>
      </w:pPr>
      <w:r>
        <w:rPr/>
        <w:t xml:space="preserve">This paragraph, which is against the “quantum wholeness”, indicates exactly the EDWs!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pStyle w:val="Normal"/>
        <w:spacing w:before="0" w:after="0"/>
        <w:contextualSpacing/>
        <w:rPr/>
      </w:pPr>
      <w:r>
        <w:rPr/>
      </w:r>
    </w:p>
    <w:p>
      <w:pPr>
        <w:pStyle w:val="Normal"/>
        <w:spacing w:before="0" w:after="0"/>
        <w:contextualSpacing/>
        <w:rPr/>
      </w:pPr>
      <w:r>
        <w:rPr/>
        <w:t>Again, it seems as if this paragraph was written under the EDWs perspective! Few words later:</w:t>
      </w:r>
    </w:p>
    <w:p>
      <w:pPr>
        <w:pStyle w:val="Normal"/>
        <w:spacing w:before="0" w:after="0"/>
        <w:contextualSpacing/>
        <w:rPr/>
      </w:pPr>
      <w:r>
        <w:rPr/>
      </w:r>
    </w:p>
    <w:p>
      <w:pPr>
        <w:pStyle w:val="Normal"/>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pStyle w:val="Normal"/>
        <w:spacing w:before="0" w:after="0"/>
        <w:contextualSpacing/>
        <w:rPr/>
      </w:pPr>
      <w:r>
        <w:rPr/>
      </w:r>
    </w:p>
    <w:p>
      <w:pPr>
        <w:pStyle w:val="Normal"/>
        <w:spacing w:before="0" w:after="0"/>
        <w:contextualSpacing/>
        <w:rPr/>
      </w:pPr>
      <w:r>
        <w:rPr/>
        <w:t xml:space="preserve">We are already within the EDWs perspective! (The reader has to remember that, in my previous works, I denied the distinction between ontology and epistemology…) Next Kastner’ sentence: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pStyle w:val="Normal"/>
        <w:spacing w:before="0" w:after="0"/>
        <w:contextualSpacing/>
        <w:rPr/>
      </w:pPr>
      <w:r>
        <w:rPr/>
      </w:r>
    </w:p>
    <w:p>
      <w:pPr>
        <w:pStyle w:val="Normal"/>
        <w:spacing w:before="0" w:after="0"/>
        <w:contextualSpacing/>
        <w:rPr/>
      </w:pPr>
      <w:r>
        <w:rPr/>
        <w:t>From a long time, the reader has been already within a paradigm very similar to my EDWs paradigm! Do you want more details that are UNBELIEVABLE similar to my ideas? Exactly next sentence, Kastner rejects the pragmatism!</w:t>
      </w:r>
      <w:r>
        <w:rPr>
          <w:rStyle w:val="FootnoteAnchor"/>
        </w:rPr>
        <w:footnoteReference w:id="91"/>
      </w:r>
      <w:r>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pStyle w:val="Normal"/>
        <w:spacing w:before="0" w:after="0"/>
        <w:contextualSpacing/>
        <w:rPr/>
      </w:pPr>
      <w:r>
        <w:rPr/>
      </w:r>
    </w:p>
    <w:p>
      <w:pPr>
        <w:pStyle w:val="Normal"/>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pStyle w:val="Normal"/>
        <w:spacing w:before="0" w:after="0"/>
        <w:contextualSpacing/>
        <w:rPr/>
      </w:pPr>
      <w:r>
        <w:rPr/>
      </w:r>
    </w:p>
    <w:p>
      <w:pPr>
        <w:pStyle w:val="Normal"/>
        <w:spacing w:before="0" w:after="0"/>
        <w:contextualSpacing/>
        <w:rPr/>
      </w:pPr>
      <w:r>
        <w:rPr/>
        <w:t xml:space="preserve">Again, it is very clear that we are in a paradigm very closed to the EDWs perspective! Later, Kastner investigates the problematic Bohr’s relationship between a microparticle and a wave. </w:t>
      </w:r>
    </w:p>
    <w:p>
      <w:pPr>
        <w:pStyle w:val="Normal"/>
        <w:spacing w:before="0" w:after="0"/>
        <w:contextualSpacing/>
        <w:rPr/>
      </w:pPr>
      <w:r>
        <w:rPr/>
      </w:r>
    </w:p>
    <w:p>
      <w:pPr>
        <w:pStyle w:val="Normal"/>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pStyle w:val="Normal"/>
        <w:spacing w:before="0" w:after="0"/>
        <w:contextualSpacing/>
        <w:rPr/>
      </w:pPr>
      <w:r>
        <w:rPr/>
      </w:r>
    </w:p>
    <w:p>
      <w:pPr>
        <w:pStyle w:val="Normal"/>
        <w:spacing w:before="0" w:after="0"/>
        <w:contextualSpacing/>
        <w:rPr/>
      </w:pPr>
      <w:r>
        <w:rPr/>
        <w:t>Again, this investigation seems to be realized within the EDWs perspective!!! I drew exactly the same conclusion within my EDWs in 2006, 2007, 2008 and later!</w:t>
      </w:r>
    </w:p>
    <w:p>
      <w:pPr>
        <w:pStyle w:val="Normal"/>
        <w:spacing w:before="0" w:after="0"/>
        <w:contextualSpacing/>
        <w:rPr/>
      </w:pPr>
      <w:r>
        <w:rPr/>
      </w:r>
    </w:p>
    <w:p>
      <w:pPr>
        <w:pStyle w:val="Normal"/>
        <w:spacing w:before="0" w:after="0"/>
        <w:contextualSpacing/>
        <w:rPr/>
      </w:pPr>
      <w:r>
        <w:rPr/>
        <w:t xml:space="preserve">In section 4, the first paragraph: </w:t>
      </w:r>
    </w:p>
    <w:p>
      <w:pPr>
        <w:pStyle w:val="Normal"/>
        <w:spacing w:before="0" w:after="0"/>
        <w:contextualSpacing/>
        <w:rPr/>
      </w:pPr>
      <w:r>
        <w:rPr/>
      </w:r>
    </w:p>
    <w:p>
      <w:pPr>
        <w:pStyle w:val="Normal"/>
        <w:spacing w:before="0" w:after="0"/>
        <w:contextualSpacing/>
        <w:rPr/>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pStyle w:val="Normal"/>
        <w:spacing w:before="0" w:after="0"/>
        <w:contextualSpacing/>
        <w:rPr/>
      </w:pPr>
      <w:r>
        <w:rPr/>
      </w:r>
    </w:p>
    <w:p>
      <w:pPr>
        <w:pStyle w:val="Normal"/>
        <w:spacing w:before="0" w:after="0"/>
        <w:contextualSpacing/>
        <w:rPr/>
      </w:pPr>
      <w:r>
        <w:rP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pStyle w:val="Normal"/>
        <w:spacing w:before="0" w:after="0"/>
        <w:ind w:left="0" w:right="0" w:firstLine="720"/>
        <w:contextualSpacing/>
        <w:rPr/>
      </w:pPr>
      <w:r>
        <w:rPr/>
        <w:t xml:space="preserve">Other paragraphs that seems to be written under the EDWs perspective: </w:t>
      </w:r>
    </w:p>
    <w:p>
      <w:pPr>
        <w:pStyle w:val="Normal"/>
        <w:spacing w:before="0" w:after="0"/>
        <w:contextualSpacing/>
        <w:rPr/>
      </w:pPr>
      <w:r>
        <w:rPr/>
      </w:r>
    </w:p>
    <w:p>
      <w:pPr>
        <w:pStyle w:val="Normal"/>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pStyle w:val="Normal"/>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pStyle w:val="Normal"/>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pStyle w:val="Normal"/>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pStyle w:val="Normal"/>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pStyle w:val="Normal"/>
        <w:spacing w:before="0" w:after="0"/>
        <w:contextualSpacing/>
        <w:rPr>
          <w:sz w:val="20"/>
          <w:szCs w:val="20"/>
        </w:rPr>
      </w:pPr>
      <w:r>
        <w:rPr>
          <w:sz w:val="20"/>
          <w:szCs w:val="20"/>
        </w:rPr>
      </w:r>
    </w:p>
    <w:p>
      <w:pPr>
        <w:pStyle w:val="Normal"/>
        <w:spacing w:before="0" w:after="0"/>
        <w:contextualSpacing/>
        <w:rPr/>
      </w:pPr>
      <w:r>
        <w:rPr/>
        <w:t xml:space="preserve">In conclusion Kastner writes: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pStyle w:val="Normal"/>
        <w:spacing w:before="0" w:after="0"/>
        <w:contextualSpacing/>
        <w:rPr>
          <w:sz w:val="20"/>
          <w:szCs w:val="20"/>
        </w:rPr>
      </w:pPr>
      <w:r>
        <w:rPr>
          <w:sz w:val="20"/>
          <w:szCs w:val="20"/>
        </w:rPr>
      </w:r>
    </w:p>
    <w:p>
      <w:pPr>
        <w:pStyle w:val="Normal"/>
        <w:spacing w:before="0" w:after="0"/>
        <w:contextualSpacing/>
        <w:rPr/>
      </w:pPr>
      <w:r>
        <w:rPr/>
        <w:t>Is it VERY, very clear the UNBELIEVABLE similarities between Kastner’s ideas (2016) and my ideas (2002, 2003, 2005, 2006, 2007, 2008, until 2016)?</w:t>
      </w:r>
      <w:r>
        <w:rPr>
          <w:rStyle w:val="FootnoteAnchor"/>
        </w:rPr>
        <w:footnoteReference w:id="92"/>
      </w:r>
    </w:p>
    <w:p>
      <w:pPr>
        <w:pStyle w:val="Normal"/>
        <w:spacing w:before="0" w:after="0"/>
        <w:contextualSpacing/>
        <w:rPr/>
      </w:pPr>
      <w:r>
        <w:rPr/>
      </w:r>
    </w:p>
    <w:p>
      <w:pPr>
        <w:pStyle w:val="ListParagraph"/>
        <w:numPr>
          <w:ilvl w:val="0"/>
          <w:numId w:val="20"/>
        </w:numPr>
        <w:spacing w:before="0" w:after="0"/>
        <w:ind w:left="0" w:right="0" w:hanging="360"/>
        <w:contextualSpacing/>
        <w:jc w:val="both"/>
        <w:rPr/>
      </w:pPr>
      <w:r>
        <w:rPr>
          <w:rFonts w:ascii="Times New Roman" w:hAnsi="Times New Roman"/>
          <w:b/>
          <w:sz w:val="24"/>
          <w:szCs w:val="24"/>
        </w:rPr>
        <w:t>R. E. Kastner</w:t>
      </w:r>
      <w:r>
        <w:rPr>
          <w:rStyle w:val="FootnoteAnchor"/>
          <w:rFonts w:ascii="Times New Roman" w:hAnsi="Times New Roman"/>
          <w:b/>
          <w:sz w:val="24"/>
          <w:szCs w:val="24"/>
        </w:rPr>
        <w:footnoteReference w:id="93"/>
      </w:r>
      <w:r>
        <w:rPr>
          <w:rFonts w:ascii="Times New Roman" w:hAnsi="Times New Roman"/>
          <w:b/>
          <w:sz w:val="24"/>
          <w:szCs w:val="24"/>
        </w:rPr>
        <w:t>, Stuart Kauffman</w:t>
      </w:r>
      <w:r>
        <w:rPr>
          <w:rStyle w:val="FootnoteAnchor"/>
          <w:rFonts w:ascii="Times New Roman" w:hAnsi="Times New Roman"/>
          <w:b/>
          <w:sz w:val="24"/>
          <w:szCs w:val="24"/>
        </w:rPr>
        <w:footnoteReference w:id="94"/>
      </w:r>
      <w:r>
        <w:rPr>
          <w:rFonts w:ascii="Times New Roman" w:hAnsi="Times New Roman"/>
          <w:b/>
          <w:sz w:val="24"/>
          <w:szCs w:val="24"/>
        </w:rPr>
        <w:t>, Michael Epperson</w:t>
      </w:r>
      <w:r>
        <w:rPr>
          <w:rStyle w:val="FootnoteAnchor"/>
          <w:rFonts w:ascii="Times New Roman" w:hAnsi="Times New Roman"/>
          <w:b/>
          <w:sz w:val="24"/>
          <w:szCs w:val="24"/>
        </w:rPr>
        <w:footnoteReference w:id="95"/>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pStyle w:val="Normal"/>
        <w:spacing w:before="0" w:after="0"/>
        <w:contextualSpacing/>
        <w:rPr/>
      </w:pPr>
      <w:r>
        <w:rPr/>
      </w:r>
    </w:p>
    <w:p>
      <w:pPr>
        <w:pStyle w:val="Normal"/>
        <w:spacing w:before="0" w:after="0"/>
        <w:contextualSpacing/>
        <w:rPr/>
      </w:pPr>
      <w:r>
        <w:rPr/>
        <w:t xml:space="preserve">Let me introduce the abstract of this article: </w:t>
      </w:r>
    </w:p>
    <w:p>
      <w:pPr>
        <w:pStyle w:val="Normal"/>
        <w:spacing w:before="0" w:after="0"/>
        <w:contextualSpacing/>
        <w:rPr/>
      </w:pPr>
      <w:r>
        <w:rPr/>
      </w:r>
    </w:p>
    <w:p>
      <w:pPr>
        <w:pStyle w:val="Normal"/>
        <w:spacing w:before="0" w:after="0"/>
        <w:contextualSpacing/>
        <w:rPr/>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pStyle w:val="Normal"/>
        <w:spacing w:before="0" w:after="0"/>
        <w:contextualSpacing/>
        <w:rPr/>
      </w:pPr>
      <w:r>
        <w:rPr/>
      </w:r>
    </w:p>
    <w:p>
      <w:pPr>
        <w:pStyle w:val="Normal"/>
        <w:spacing w:before="0" w:after="0"/>
        <w:contextualSpacing/>
        <w:rPr/>
      </w:pPr>
      <w:r>
        <w:rP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pStyle w:val="Normal"/>
        <w:spacing w:before="0" w:after="0"/>
        <w:ind w:left="0" w:right="0" w:firstLine="720"/>
        <w:contextualSpacing/>
        <w:rPr/>
      </w:pPr>
      <w:r>
        <w:rPr/>
        <w:t xml:space="preserve">Let me emphasize the ideas of this article that are very similar to my ideas. The authors emphasize that they got the idea of “res potensia” from Heisenberg: </w:t>
      </w:r>
    </w:p>
    <w:p>
      <w:pPr>
        <w:pStyle w:val="Normal"/>
        <w:spacing w:before="0" w:after="0"/>
        <w:ind w:left="0" w:right="0" w:firstLine="720"/>
        <w:contextualSpacing/>
        <w:rPr/>
      </w:pPr>
      <w:r>
        <w:rPr/>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pStyle w:val="Normal"/>
        <w:spacing w:before="0" w:after="0"/>
        <w:contextualSpacing/>
        <w:rPr/>
      </w:pPr>
      <w:r>
        <w:rPr/>
      </w:r>
    </w:p>
    <w:p>
      <w:pPr>
        <w:pStyle w:val="Normal"/>
        <w:spacing w:before="0" w:after="0"/>
        <w:contextualSpacing/>
        <w:rPr/>
      </w:pPr>
      <w:r>
        <w:rPr/>
        <w:t>My EDWs have nothing to do with Heisenberg’s potentia. However, reading the next paragraph, the reader will see that these ideas are very close to my ideas:</w:t>
      </w:r>
    </w:p>
    <w:p>
      <w:pPr>
        <w:pStyle w:val="Normal"/>
        <w:spacing w:before="0" w:after="0"/>
        <w:contextualSpacing/>
        <w:rPr/>
      </w:pPr>
      <w:r>
        <w:rPr/>
      </w:r>
    </w:p>
    <w:p>
      <w:pPr>
        <w:pStyle w:val="Normal"/>
        <w:spacing w:before="0" w:after="0"/>
        <w:contextualSpacing/>
        <w:rPr/>
      </w:pPr>
      <w:r>
        <w:rPr>
          <w:rFonts w:cs="Cambria" w:ascii="Cambria" w:hAnsi="Cambria"/>
          <w:color w:val="222222"/>
          <w:sz w:val="20"/>
          <w:szCs w:val="20"/>
        </w:rPr>
        <w:t xml:space="preserve">We thus propose a new kind of ontological duality as an alternative to the dualism of Descartes: in addition to </w:t>
      </w:r>
      <w:r>
        <w:rPr>
          <w:rFonts w:cs="Cambria-Italic" w:ascii="Cambria-Italic" w:hAnsi="Cambria-Italic"/>
          <w:i/>
          <w:iCs/>
          <w:color w:val="222222"/>
          <w:sz w:val="20"/>
          <w:szCs w:val="20"/>
        </w:rPr>
        <w:t>res extensa</w:t>
      </w:r>
      <w:r>
        <w:rPr>
          <w:rFonts w:cs="Cambria" w:ascii="Cambria" w:hAnsi="Cambria"/>
          <w:color w:val="222222"/>
          <w:sz w:val="20"/>
          <w:szCs w:val="20"/>
        </w:rPr>
        <w:t xml:space="preserve">, we suggest, with Heisenberg, what may be called </w:t>
      </w:r>
      <w:r>
        <w:rPr>
          <w:rFonts w:cs="Cambria-Italic" w:ascii="Cambria-Italic" w:hAnsi="Cambria-Italic"/>
          <w:i/>
          <w:iCs/>
          <w:color w:val="222222"/>
          <w:sz w:val="20"/>
          <w:szCs w:val="20"/>
        </w:rPr>
        <w:t>res potentia</w:t>
      </w:r>
      <w:r>
        <w:rPr>
          <w:rFonts w:cs="Cambria" w:ascii="Cambria" w:hAnsi="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cs="Cambria-Italic" w:ascii="Cambria-Italic" w:hAnsi="Cambria-Italic"/>
          <w:i/>
          <w:iCs/>
          <w:color w:val="222222"/>
          <w:sz w:val="20"/>
          <w:szCs w:val="20"/>
        </w:rPr>
        <w:t>res cogitans</w:t>
      </w:r>
      <w:r>
        <w:rPr>
          <w:rFonts w:cs="Cambria" w:ascii="Cambria" w:hAnsi="Cambria"/>
          <w:color w:val="222222"/>
          <w:sz w:val="20"/>
          <w:szCs w:val="20"/>
        </w:rPr>
        <w:t xml:space="preserve">. In addition, it should be noted that with respect to quantum mechanics, </w:t>
      </w:r>
      <w:r>
        <w:rPr>
          <w:rFonts w:cs="Cambria-Italic" w:ascii="Cambria-Italic" w:hAnsi="Cambria-Italic"/>
          <w:i/>
          <w:iCs/>
          <w:color w:val="222222"/>
          <w:sz w:val="20"/>
          <w:szCs w:val="20"/>
        </w:rPr>
        <w:t xml:space="preserve">res potentia </w:t>
      </w:r>
      <w:r>
        <w:rPr>
          <w:rFonts w:cs="Cambria" w:ascii="Cambria" w:hAnsi="Cambria"/>
          <w:color w:val="222222"/>
          <w:sz w:val="20"/>
          <w:szCs w:val="20"/>
        </w:rPr>
        <w:t xml:space="preserve">is not itself a separate or separable substance that can be ontologically abstracted from </w:t>
      </w:r>
      <w:r>
        <w:rPr>
          <w:rFonts w:cs="Cambria-Italic" w:ascii="Cambria-Italic" w:hAnsi="Cambria-Italic"/>
          <w:i/>
          <w:iCs/>
          <w:color w:val="222222"/>
          <w:sz w:val="20"/>
          <w:szCs w:val="20"/>
        </w:rPr>
        <w:t xml:space="preserve">res extensa </w:t>
      </w:r>
      <w:r>
        <w:rPr>
          <w:rFonts w:cs="Cambria" w:ascii="Cambria" w:hAnsi="Cambria"/>
          <w:color w:val="222222"/>
          <w:sz w:val="20"/>
          <w:szCs w:val="20"/>
        </w:rPr>
        <w:t xml:space="preserve">(i.e., neither can be coherently defined without reference to the other, in contrast to </w:t>
      </w:r>
      <w:r>
        <w:rPr>
          <w:rFonts w:cs="Cambria-Italic" w:ascii="Cambria-Italic" w:hAnsi="Cambria-Italic"/>
          <w:i/>
          <w:iCs/>
          <w:color w:val="222222"/>
          <w:sz w:val="20"/>
          <w:szCs w:val="20"/>
        </w:rPr>
        <w:t xml:space="preserve">res extensa </w:t>
      </w:r>
      <w:r>
        <w:rPr>
          <w:rFonts w:cs="Cambria" w:ascii="Cambria" w:hAnsi="Cambria"/>
          <w:color w:val="222222"/>
          <w:sz w:val="20"/>
          <w:szCs w:val="20"/>
        </w:rPr>
        <w:t xml:space="preserve">and </w:t>
      </w:r>
      <w:r>
        <w:rPr>
          <w:rFonts w:cs="Cambria-Italic" w:ascii="Cambria-Italic" w:hAnsi="Cambria-Italic"/>
          <w:i/>
          <w:iCs/>
          <w:color w:val="222222"/>
          <w:sz w:val="20"/>
          <w:szCs w:val="20"/>
        </w:rPr>
        <w:t xml:space="preserve">res cogitans </w:t>
      </w:r>
      <w:r>
        <w:rPr>
          <w:rFonts w:cs="Cambria" w:ascii="Cambria" w:hAnsi="Cambria"/>
          <w:color w:val="222222"/>
          <w:sz w:val="20"/>
          <w:szCs w:val="20"/>
        </w:rPr>
        <w:t xml:space="preserve">in the Cartesian scheme). Thus, in the framework proposed herein, actuality and potentiality will not be related as a </w:t>
      </w:r>
      <w:r>
        <w:rPr>
          <w:rFonts w:cs="Cambria-Italic" w:ascii="Cambria-Italic" w:hAnsi="Cambria-Italic"/>
          <w:i/>
          <w:iCs/>
          <w:color w:val="222222"/>
          <w:sz w:val="20"/>
          <w:szCs w:val="20"/>
        </w:rPr>
        <w:t>dualism of mutually exclusive concepts</w:t>
      </w:r>
      <w:r>
        <w:rPr>
          <w:rFonts w:cs="Cambria" w:ascii="Cambria" w:hAnsi="Cambria"/>
          <w:color w:val="222222"/>
          <w:sz w:val="20"/>
          <w:szCs w:val="20"/>
        </w:rPr>
        <w:t xml:space="preserve">, but rather a </w:t>
      </w:r>
      <w:r>
        <w:rPr>
          <w:rFonts w:cs="Cambria-Italic" w:ascii="Cambria-Italic" w:hAnsi="Cambria-Italic"/>
          <w:i/>
          <w:iCs/>
          <w:color w:val="222222"/>
          <w:sz w:val="20"/>
          <w:szCs w:val="20"/>
        </w:rPr>
        <w:t xml:space="preserve">duality of mutually implicative concepts. (p. 3) </w:t>
      </w:r>
    </w:p>
    <w:p>
      <w:pPr>
        <w:pStyle w:val="Normal"/>
        <w:spacing w:before="0" w:after="0"/>
        <w:contextualSpacing/>
        <w:rPr>
          <w:rFonts w:ascii="Cambria-Italic" w:hAnsi="Cambria-Italic" w:cs="Cambria-Italic"/>
          <w:i/>
          <w:i/>
          <w:iCs/>
          <w:color w:val="222222"/>
          <w:sz w:val="20"/>
          <w:szCs w:val="20"/>
        </w:rPr>
      </w:pPr>
      <w:r>
        <w:rPr>
          <w:rFonts w:cs="Cambria-Italic" w:ascii="Cambria-Italic" w:hAnsi="Cambria-Italic"/>
          <w:i/>
          <w:iCs/>
          <w:color w:val="222222"/>
          <w:sz w:val="20"/>
          <w:szCs w:val="20"/>
        </w:rPr>
      </w:r>
    </w:p>
    <w:p>
      <w:pPr>
        <w:pStyle w:val="Normal"/>
        <w:spacing w:before="0" w:after="0"/>
        <w:contextualSpacing/>
        <w:rPr>
          <w:iCs/>
          <w:color w:val="222222"/>
        </w:rPr>
      </w:pPr>
      <w:r>
        <w:rPr>
          <w:iCs/>
          <w:color w:val="222222"/>
        </w:rPr>
        <w:t>Few lines later:</w:t>
      </w:r>
    </w:p>
    <w:p>
      <w:pPr>
        <w:pStyle w:val="Normal"/>
        <w:spacing w:before="0" w:after="0"/>
        <w:contextualSpacing/>
        <w:rPr>
          <w:iCs/>
          <w:color w:val="222222"/>
        </w:rPr>
      </w:pPr>
      <w:r>
        <w:rPr>
          <w:iCs/>
          <w:color w:val="222222"/>
        </w:rPr>
      </w:r>
    </w:p>
    <w:p>
      <w:pPr>
        <w:pStyle w:val="Normal"/>
        <w:spacing w:before="0" w:after="0"/>
        <w:contextualSpacing/>
        <w:rPr/>
      </w:pPr>
      <w:r>
        <w:rPr>
          <w:rFonts w:cs="Cambria" w:ascii="Cambria" w:hAnsi="Cambria"/>
          <w:color w:val="222222"/>
          <w:sz w:val="20"/>
          <w:szCs w:val="20"/>
        </w:rPr>
        <w:t xml:space="preserve">Thus, in the framework proposed herein, </w:t>
      </w:r>
      <w:r>
        <w:rPr>
          <w:rFonts w:cs="Cambria-Italic" w:ascii="Cambria-Italic" w:hAnsi="Cambria-Italic"/>
          <w:i/>
          <w:iCs/>
          <w:color w:val="222222"/>
          <w:sz w:val="20"/>
          <w:szCs w:val="20"/>
        </w:rPr>
        <w:t xml:space="preserve">res extensa </w:t>
      </w:r>
      <w:r>
        <w:rPr>
          <w:rFonts w:cs="Cambria" w:ascii="Cambria" w:hAnsi="Cambria"/>
          <w:color w:val="222222"/>
          <w:sz w:val="20"/>
          <w:szCs w:val="20"/>
        </w:rPr>
        <w:t xml:space="preserve">and </w:t>
      </w:r>
      <w:r>
        <w:rPr>
          <w:rFonts w:cs="Cambria-Italic" w:ascii="Cambria-Italic" w:hAnsi="Cambria-Italic"/>
          <w:i/>
          <w:iCs/>
          <w:color w:val="222222"/>
          <w:sz w:val="20"/>
          <w:szCs w:val="20"/>
        </w:rPr>
        <w:t xml:space="preserve">res potentia </w:t>
      </w:r>
      <w:r>
        <w:rPr>
          <w:rFonts w:cs="Cambria" w:ascii="Cambria" w:hAnsi="Cambria"/>
          <w:color w:val="222222"/>
          <w:sz w:val="20"/>
          <w:szCs w:val="20"/>
        </w:rPr>
        <w:t xml:space="preserve">are the two fundamental, mutually implicative ontological constituents of nature at the quantum mechanical level. </w:t>
      </w:r>
      <w:r>
        <w:rPr>
          <w:rFonts w:cs="Cambria" w:ascii="Cambria" w:hAnsi="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cs="Cambria" w:ascii="Cambria" w:hAnsi="Cambria"/>
          <w:color w:val="222222"/>
          <w:sz w:val="20"/>
          <w:szCs w:val="20"/>
        </w:rPr>
        <w:t xml:space="preserve">(p. 3) </w:t>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r>
    </w:p>
    <w:p>
      <w:pPr>
        <w:pStyle w:val="Normal"/>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pStyle w:val="Normal"/>
        <w:spacing w:before="0" w:after="0"/>
        <w:contextualSpacing/>
        <w:rPr>
          <w:color w:val="222222"/>
        </w:rPr>
      </w:pPr>
      <w:r>
        <w:rPr>
          <w:color w:val="222222"/>
        </w:rPr>
      </w:r>
    </w:p>
    <w:p>
      <w:pPr>
        <w:pStyle w:val="Normal"/>
        <w:spacing w:before="0" w:after="0"/>
        <w:contextualSpacing/>
        <w:rPr/>
      </w:pPr>
      <w:r>
        <w:rPr>
          <w:rFonts w:cs="Cambria" w:ascii="Cambria" w:hAnsi="Cambria"/>
          <w:color w:val="222222"/>
          <w:sz w:val="20"/>
          <w:szCs w:val="20"/>
        </w:rPr>
        <w:t xml:space="preserve">Thus, the new metaphysical picture, which we will argue is supported by quantum theory and its empirical success, consists of an ontological duality: </w:t>
      </w:r>
      <w:r>
        <w:rPr>
          <w:rFonts w:cs="Cambria-Italic" w:ascii="Cambria-Italic" w:hAnsi="Cambria-Italic"/>
          <w:i/>
          <w:iCs/>
          <w:color w:val="222222"/>
          <w:sz w:val="20"/>
          <w:szCs w:val="20"/>
        </w:rPr>
        <w:t xml:space="preserve">res potentia </w:t>
      </w:r>
      <w:r>
        <w:rPr>
          <w:rFonts w:cs="Cambria" w:ascii="Cambria" w:hAnsi="Cambria"/>
          <w:color w:val="222222"/>
          <w:sz w:val="20"/>
          <w:szCs w:val="20"/>
        </w:rPr>
        <w:t xml:space="preserve">and </w:t>
      </w:r>
      <w:r>
        <w:rPr>
          <w:rFonts w:cs="Cambria-Italic" w:ascii="Cambria-Italic" w:hAnsi="Cambria-Italic"/>
          <w:i/>
          <w:iCs/>
          <w:color w:val="222222"/>
          <w:sz w:val="20"/>
          <w:szCs w:val="20"/>
        </w:rPr>
        <w:t>res extensa</w:t>
      </w:r>
      <w:r>
        <w:rPr>
          <w:rFonts w:cs="Cambria" w:ascii="Cambria" w:hAnsi="Cambria"/>
          <w:color w:val="222222"/>
          <w:sz w:val="20"/>
          <w:szCs w:val="20"/>
        </w:rPr>
        <w:t>. (p. 4)</w:t>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pStyle w:val="Normal"/>
        <w:spacing w:before="0" w:after="0"/>
        <w:contextualSpacing/>
        <w:rPr>
          <w:color w:val="222222"/>
        </w:rPr>
      </w:pPr>
      <w:r>
        <w:rPr>
          <w:color w:val="222222"/>
        </w:rPr>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pStyle w:val="Normal"/>
        <w:spacing w:before="0" w:after="0"/>
        <w:contextualSpacing/>
        <w:rPr>
          <w:color w:val="222222"/>
        </w:rPr>
      </w:pPr>
      <w:r>
        <w:rPr>
          <w:color w:val="222222"/>
        </w:rPr>
      </w:r>
    </w:p>
    <w:p>
      <w:pPr>
        <w:pStyle w:val="Normal"/>
        <w:spacing w:before="0" w:after="0"/>
        <w:contextualSpacing/>
        <w:rPr/>
      </w:pPr>
      <w:r>
        <w:rPr>
          <w:rFonts w:cs="Cambria" w:ascii="Cambria" w:hAnsi="Cambria"/>
          <w:color w:val="222222"/>
          <w:sz w:val="20"/>
          <w:szCs w:val="20"/>
        </w:rPr>
        <w:t xml:space="preserve">We are primarily concerned with proposing that quantum entities and processes are a particularly robust subset of these, which we will call </w:t>
      </w:r>
      <w:r>
        <w:rPr>
          <w:rFonts w:cs="Cambria-Italic" w:ascii="Cambria-Italic" w:hAnsi="Cambria-Italic"/>
          <w:i/>
          <w:iCs/>
          <w:color w:val="222222"/>
          <w:sz w:val="20"/>
          <w:szCs w:val="20"/>
        </w:rPr>
        <w:t xml:space="preserve">quantum potentiae </w:t>
      </w:r>
      <w:r>
        <w:rPr>
          <w:rFonts w:cs="Cambria" w:ascii="Cambria" w:hAnsi="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t xml:space="preserve">We have already here another idea very similar to my EDWs perspective! It seems as if the authors are talking about the EDWs! </w:t>
      </w:r>
    </w:p>
    <w:p>
      <w:pPr>
        <w:pStyle w:val="Normal"/>
        <w:spacing w:before="0" w:after="0"/>
        <w:contextualSpacing/>
        <w:rPr>
          <w:color w:val="222222"/>
          <w:sz w:val="20"/>
          <w:szCs w:val="20"/>
        </w:rPr>
      </w:pPr>
      <w:r>
        <w:rPr>
          <w:color w:val="222222"/>
          <w:sz w:val="20"/>
          <w:szCs w:val="20"/>
        </w:rPr>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t xml:space="preserve">In this paragraph, we have already the “macroscopic world” having the same meaning as my macro-EW! </w:t>
      </w:r>
    </w:p>
    <w:p>
      <w:pPr>
        <w:pStyle w:val="Normal"/>
        <w:spacing w:before="0" w:after="0"/>
        <w:contextualSpacing/>
        <w:rPr>
          <w:color w:val="222222"/>
        </w:rPr>
      </w:pPr>
      <w:r>
        <w:rPr>
          <w:color w:val="222222"/>
        </w:rPr>
      </w:r>
    </w:p>
    <w:p>
      <w:pPr>
        <w:pStyle w:val="Normal"/>
        <w:spacing w:before="0" w:after="0"/>
        <w:contextualSpacing/>
        <w:rPr/>
      </w:pPr>
      <w:r>
        <w:rPr>
          <w:rFonts w:cs="Cambria" w:ascii="Cambria" w:hAnsi="Cambria"/>
          <w:color w:val="222222"/>
          <w:sz w:val="20"/>
          <w:szCs w:val="20"/>
        </w:rPr>
        <w:t>Thus, we propose that quantum mechanics evinces a reality that entails both actualities (</w:t>
      </w:r>
      <w:r>
        <w:rPr>
          <w:rFonts w:cs="Cambria-Italic" w:ascii="Cambria-Italic" w:hAnsi="Cambria-Italic"/>
          <w:i/>
          <w:iCs/>
          <w:color w:val="222222"/>
          <w:sz w:val="20"/>
          <w:szCs w:val="20"/>
        </w:rPr>
        <w:t>res extensa</w:t>
      </w:r>
      <w:r>
        <w:rPr>
          <w:rFonts w:cs="Cambria" w:ascii="Cambria" w:hAnsi="Cambria"/>
          <w:color w:val="222222"/>
          <w:sz w:val="20"/>
          <w:szCs w:val="20"/>
        </w:rPr>
        <w:t>) and potentia (</w:t>
      </w:r>
      <w:r>
        <w:rPr>
          <w:rFonts w:cs="Cambria-Italic" w:ascii="Cambria-Italic" w:hAnsi="Cambria-Italic"/>
          <w:i/>
          <w:iCs/>
          <w:color w:val="222222"/>
          <w:sz w:val="20"/>
          <w:szCs w:val="20"/>
        </w:rPr>
        <w:t>res potentia</w:t>
      </w:r>
      <w:r>
        <w:rPr>
          <w:rFonts w:cs="Cambria" w:ascii="Cambria" w:hAnsi="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t>This paragraph is very similar to one of my main ideas from EDWs perspective! (see my work 2008, for instance)</w:t>
      </w:r>
    </w:p>
    <w:p>
      <w:pPr>
        <w:pStyle w:val="Normal"/>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pStyle w:val="Normal"/>
        <w:spacing w:before="0" w:after="0"/>
        <w:ind w:left="0" w:right="0" w:firstLine="720"/>
        <w:contextualSpacing/>
        <w:rPr>
          <w:color w:val="222222"/>
        </w:rPr>
      </w:pPr>
      <w:r>
        <w:rPr>
          <w:color w:val="222222"/>
        </w:rPr>
      </w:r>
    </w:p>
    <w:p>
      <w:pPr>
        <w:pStyle w:val="Normal"/>
        <w:spacing w:before="0" w:after="0"/>
        <w:contextualSpacing/>
        <w:rPr/>
      </w:pPr>
      <w:r>
        <w:rPr>
          <w:rFonts w:cs="Cambria" w:ascii="Cambria" w:hAnsi="Cambria"/>
          <w:color w:val="222222"/>
          <w:sz w:val="20"/>
          <w:szCs w:val="20"/>
        </w:rPr>
        <w:t xml:space="preserve">Since the bringing about of the new QP in this manner is not a causal process (it is indeterministic), </w:t>
      </w:r>
      <w:r>
        <w:rPr>
          <w:rFonts w:cs="Cambria-Italic" w:ascii="Cambria-Italic" w:hAnsi="Cambria-Italic"/>
          <w:i/>
          <w:iCs/>
          <w:color w:val="222222"/>
          <w:sz w:val="20"/>
          <w:szCs w:val="20"/>
        </w:rPr>
        <w:t>actuals (arising via measurement) acausally dictate what is next possible</w:t>
      </w:r>
      <w:r>
        <w:rPr>
          <w:rFonts w:cs="Cambria" w:ascii="Cambria" w:hAnsi="Cambria"/>
          <w:color w:val="222222"/>
          <w:sz w:val="20"/>
          <w:szCs w:val="20"/>
        </w:rPr>
        <w:t>. (p. 10)</w:t>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r>
    </w:p>
    <w:p>
      <w:pPr>
        <w:pStyle w:val="Normal"/>
        <w:spacing w:before="0" w:after="0"/>
        <w:contextualSpacing/>
        <w:rPr>
          <w:color w:val="222222"/>
        </w:rPr>
      </w:pPr>
      <w:r>
        <w:rPr>
          <w:color w:val="222222"/>
        </w:rPr>
        <w:t>The same verdict about the ideas from these paragraphs:</w:t>
      </w:r>
    </w:p>
    <w:p>
      <w:pPr>
        <w:pStyle w:val="Normal"/>
        <w:spacing w:before="0" w:after="0"/>
        <w:contextualSpacing/>
        <w:rPr>
          <w:color w:val="222222"/>
        </w:rPr>
      </w:pPr>
      <w:r>
        <w:rPr>
          <w:color w:val="222222"/>
        </w:rPr>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pStyle w:val="Normal"/>
        <w:spacing w:before="0" w:after="0"/>
        <w:contextualSpacing/>
        <w:rPr>
          <w:color w:val="222222"/>
          <w:sz w:val="20"/>
          <w:szCs w:val="20"/>
        </w:rPr>
      </w:pPr>
      <w:r>
        <w:rPr>
          <w:color w:val="222222"/>
          <w:sz w:val="20"/>
          <w:szCs w:val="20"/>
        </w:rPr>
      </w:r>
    </w:p>
    <w:p>
      <w:pPr>
        <w:pStyle w:val="Normal"/>
        <w:spacing w:before="0" w:after="0"/>
        <w:contextualSpacing/>
        <w:rPr/>
      </w:pPr>
      <w:r>
        <w:rPr>
          <w:rFonts w:cs="Cambria" w:ascii="Cambria" w:hAnsi="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pStyle w:val="Normal"/>
        <w:spacing w:before="0" w:after="0"/>
        <w:contextualSpacing/>
        <w:rPr>
          <w:color w:val="222222"/>
        </w:rPr>
      </w:pPr>
      <w:r>
        <w:rPr>
          <w:color w:val="222222"/>
        </w:rPr>
      </w:r>
    </w:p>
    <w:p>
      <w:pPr>
        <w:pStyle w:val="Normal"/>
        <w:spacing w:before="0" w:after="0"/>
        <w:contextualSpacing/>
        <w:rPr/>
      </w:pPr>
      <w:r>
        <w:rPr>
          <w:color w:val="222222"/>
        </w:rPr>
        <w:t>Again, exactly these ideas can be found in my works! Moreover, the next section “</w:t>
      </w:r>
      <w:r>
        <w:rPr>
          <w:rFonts w:cs="Cambria-Bold" w:ascii="Cambria-Bold" w:hAnsi="Cambria-Bold"/>
          <w:bCs/>
          <w:color w:val="222222"/>
        </w:rPr>
        <w:t>IV. Potentiae Beyond Quantum Mechanics?”</w:t>
      </w:r>
      <w:r>
        <w:rPr>
          <w:bCs/>
          <w:color w:val="222222"/>
        </w:rPr>
        <w:t xml:space="preserve"> indicate an extension of their “new metaphysical picture” to other things! The next section “</w:t>
      </w:r>
      <w:r>
        <w:rPr>
          <w:rFonts w:cs="Cambria-Bold" w:ascii="Cambria-Bold" w:hAnsi="Cambria-Bold"/>
          <w:b/>
          <w:bCs/>
          <w:color w:val="222222"/>
        </w:rPr>
        <w:t>V. Are Potentiae Outside Spacetime?”</w:t>
      </w:r>
      <w:r>
        <w:rPr>
          <w:bCs/>
          <w:color w:val="222222"/>
        </w:rPr>
        <w:t xml:space="preserve">, the authors introduce doubts about “spacetime”. </w:t>
      </w:r>
    </w:p>
    <w:p>
      <w:pPr>
        <w:pStyle w:val="Normal"/>
        <w:spacing w:before="0" w:after="0"/>
        <w:contextualSpacing/>
        <w:rPr>
          <w:bCs/>
          <w:color w:val="222222"/>
        </w:rPr>
      </w:pPr>
      <w:r>
        <w:rPr>
          <w:bCs/>
          <w:color w:val="222222"/>
        </w:rPr>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pStyle w:val="Normal"/>
        <w:spacing w:before="0" w:after="0"/>
        <w:contextualSpacing/>
        <w:rPr>
          <w:color w:val="222222"/>
        </w:rPr>
      </w:pPr>
      <w:r>
        <w:rPr>
          <w:color w:val="222222"/>
        </w:rPr>
      </w:r>
    </w:p>
    <w:p>
      <w:pPr>
        <w:pStyle w:val="Normal"/>
        <w:spacing w:before="0" w:after="0"/>
        <w:contextualSpacing/>
        <w:rPr>
          <w:bCs/>
          <w:color w:val="222222"/>
        </w:rPr>
      </w:pPr>
      <w:r>
        <w:rPr>
          <w:bCs/>
          <w:color w:val="222222"/>
        </w:rPr>
        <w:t>My brother and me wrote a book in 2016 having exactly the same idea about space and time! In their conclusion we can find this:</w:t>
      </w:r>
    </w:p>
    <w:p>
      <w:pPr>
        <w:pStyle w:val="Normal"/>
        <w:spacing w:before="0" w:after="0"/>
        <w:contextualSpacing/>
        <w:rPr>
          <w:bCs/>
          <w:color w:val="222222"/>
        </w:rPr>
      </w:pPr>
      <w:r>
        <w:rPr>
          <w:bCs/>
          <w:color w:val="222222"/>
        </w:rPr>
      </w:r>
    </w:p>
    <w:p>
      <w:pPr>
        <w:pStyle w:val="Normal"/>
        <w:spacing w:before="0" w:after="0"/>
        <w:contextualSpacing/>
        <w:rPr/>
      </w:pPr>
      <w:r>
        <w:rPr>
          <w:rFonts w:cs="Cambria" w:ascii="Cambria" w:hAnsi="Cambria"/>
          <w:color w:val="222222"/>
          <w:sz w:val="20"/>
          <w:szCs w:val="20"/>
        </w:rPr>
        <w:t xml:space="preserve">We have argued that an appropriate realist understanding of quantum mechanics calls for the metaphysical category of </w:t>
      </w:r>
      <w:r>
        <w:rPr>
          <w:rFonts w:cs="Cambria-Italic" w:ascii="Cambria-Italic" w:hAnsi="Cambria-Italic"/>
          <w:i/>
          <w:iCs/>
          <w:color w:val="222222"/>
          <w:sz w:val="20"/>
          <w:szCs w:val="20"/>
        </w:rPr>
        <w:t>res potentia</w:t>
      </w:r>
      <w:r>
        <w:rPr>
          <w:rFonts w:cs="Cambria" w:ascii="Cambria" w:hAnsi="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cs="Cambria-Italic" w:ascii="Cambria-Italic" w:hAnsi="Cambria-Italic"/>
          <w:i/>
          <w:iCs/>
          <w:color w:val="222222"/>
          <w:sz w:val="20"/>
          <w:szCs w:val="20"/>
        </w:rPr>
        <w:t xml:space="preserve">res extensa </w:t>
      </w:r>
      <w:r>
        <w:rPr>
          <w:rFonts w:cs="Cambria" w:ascii="Cambria" w:hAnsi="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pStyle w:val="Normal"/>
        <w:spacing w:before="0" w:after="0"/>
        <w:contextualSpacing/>
        <w:rPr>
          <w:b/>
          <w:b/>
          <w:sz w:val="28"/>
          <w:szCs w:val="28"/>
        </w:rPr>
      </w:pPr>
      <w:r>
        <w:rPr>
          <w:b/>
          <w:sz w:val="28"/>
          <w:szCs w:val="28"/>
        </w:rPr>
      </w:r>
    </w:p>
    <w:p>
      <w:pPr>
        <w:pStyle w:val="Normal"/>
        <w:spacing w:before="0" w:after="0"/>
        <w:contextualSpacing/>
        <w:rPr>
          <w:b/>
          <w:b/>
          <w:sz w:val="28"/>
          <w:szCs w:val="28"/>
        </w:rPr>
      </w:pPr>
      <w:r>
        <w:rPr>
          <w:b/>
          <w:sz w:val="28"/>
          <w:szCs w:val="28"/>
        </w:rPr>
      </w:r>
    </w:p>
    <w:p>
      <w:pPr>
        <w:pStyle w:val="Normal"/>
        <w:spacing w:before="0" w:after="0"/>
        <w:contextualSpacing/>
        <w:rPr>
          <w:b/>
          <w:b/>
          <w:sz w:val="28"/>
          <w:szCs w:val="28"/>
        </w:rPr>
      </w:pPr>
      <w:r>
        <w:rPr>
          <w:b/>
          <w:sz w:val="28"/>
          <w:szCs w:val="28"/>
        </w:rPr>
      </w:r>
    </w:p>
    <w:p>
      <w:pPr>
        <w:pStyle w:val="ListParagraph"/>
        <w:numPr>
          <w:ilvl w:val="0"/>
          <w:numId w:val="18"/>
        </w:numPr>
        <w:spacing w:before="0" w:after="0"/>
        <w:contextualSpacing/>
        <w:rPr/>
      </w:pPr>
      <w:r>
        <w:rPr>
          <w:b/>
          <w:sz w:val="28"/>
          <w:szCs w:val="28"/>
        </w:rPr>
        <w:t>(2017) Lee Smolin’s trick: UNBELIEVABLE similarities between lee smolin’s ideas (2017) and my ideas (2002-2008) (another ‘reborned dinosaur’!</w:t>
      </w:r>
      <w:r>
        <w:rPr>
          <w:rStyle w:val="FootnoteAnchor"/>
          <w:b/>
          <w:sz w:val="28"/>
          <w:szCs w:val="28"/>
        </w:rPr>
        <w:footnoteReference w:id="96"/>
      </w:r>
      <w:r>
        <w:rPr>
          <w:b/>
          <w:sz w:val="28"/>
          <w:szCs w:val="28"/>
        </w:rPr>
        <w:t xml:space="preserve">) </w:t>
      </w:r>
    </w:p>
    <w:p>
      <w:pPr>
        <w:pStyle w:val="ListParagraph"/>
        <w:spacing w:before="0" w:after="0"/>
        <w:ind w:left="0" w:right="0" w:hanging="0"/>
        <w:contextualSpacing/>
        <w:jc w:val="both"/>
        <w:rPr>
          <w:rFonts w:ascii="Times New Roman" w:hAnsi="Times New Roman"/>
          <w:b/>
          <w:b/>
          <w:sz w:val="28"/>
          <w:szCs w:val="28"/>
        </w:rPr>
      </w:pPr>
      <w:r>
        <w:rPr>
          <w:rFonts w:ascii="Times New Roman" w:hAnsi="Times New Roman"/>
          <w:b/>
          <w:sz w:val="28"/>
          <w:szCs w:val="28"/>
        </w:rPr>
      </w:r>
    </w:p>
    <w:p>
      <w:pPr>
        <w:pStyle w:val="Normal"/>
        <w:spacing w:before="0" w:after="0"/>
        <w:contextualSpacing/>
        <w:rPr/>
      </w:pPr>
      <w:r>
        <w:rP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pStyle w:val="Normal"/>
        <w:spacing w:before="0" w:after="0"/>
        <w:contextualSpacing/>
        <w:rPr/>
      </w:pPr>
      <w:r>
        <w:rPr/>
        <w:tab/>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FootnoteAnchor"/>
        </w:rPr>
        <w:footnoteReference w:id="97"/>
      </w:r>
      <w:r>
        <w:rPr/>
        <w:t xml:space="preserve"> The probability is ZERO! </w:t>
      </w:r>
    </w:p>
    <w:p>
      <w:pPr>
        <w:pStyle w:val="Normal"/>
        <w:spacing w:before="0" w:after="0"/>
        <w:contextualSpacing/>
        <w:rPr/>
      </w:pPr>
      <w:r>
        <w:rP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pStyle w:val="Normal"/>
        <w:spacing w:before="0" w:after="0"/>
        <w:ind w:left="0" w:right="0" w:firstLine="720"/>
        <w:contextualSpacing/>
        <w:rPr/>
      </w:pPr>
      <w:r>
        <w:rP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pStyle w:val="Normal"/>
        <w:spacing w:before="0" w:after="0"/>
        <w:ind w:left="0" w:right="0" w:firstLine="720"/>
        <w:contextualSpacing/>
        <w:rPr/>
      </w:pPr>
      <w:r>
        <w:rPr/>
        <w:t xml:space="preserve">What then is the probability as four reborn dinosaurs (and many others) to publish the same perspective in the same two years 2016-2017? ZERO! </w:t>
      </w:r>
    </w:p>
    <w:p>
      <w:pPr>
        <w:pStyle w:val="Normal"/>
        <w:spacing w:before="0" w:after="0"/>
        <w:contextualSpacing/>
        <w:rPr/>
      </w:pPr>
      <w:r>
        <w:rPr/>
        <w:tab/>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pStyle w:val="Normal"/>
        <w:spacing w:before="0" w:after="0"/>
        <w:contextualSpacing/>
        <w:rPr/>
      </w:pPr>
      <w:r>
        <w:rPr/>
        <w:tab/>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pStyle w:val="Normal"/>
        <w:spacing w:before="0" w:after="0"/>
        <w:ind w:left="0" w:right="0" w:firstLine="720"/>
        <w:contextualSpacing/>
        <w:rPr/>
      </w:pPr>
      <w:r>
        <w:rPr/>
        <w:t xml:space="preserve">In a picture of this article, with lee smolin’s photo it is written: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What’s wonderful about the loop picture is that it’s entirely a picture in terms of relations.</w:t>
      </w:r>
    </w:p>
    <w:p>
      <w:pPr>
        <w:pStyle w:val="Normal"/>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pStyle w:val="Normal"/>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pStyle w:val="Normal"/>
        <w:spacing w:before="0" w:after="0"/>
        <w:contextualSpacing/>
        <w:rPr/>
      </w:pPr>
      <w:r>
        <w:rPr/>
      </w:r>
    </w:p>
    <w:p>
      <w:pPr>
        <w:pStyle w:val="Normal"/>
        <w:spacing w:before="0" w:after="0"/>
        <w:contextualSpacing/>
        <w:rPr/>
      </w:pPr>
      <w:r>
        <w:rPr/>
        <w:t>Reading these paragraphs, I had the feeling of reading my ideas from 2008 to 2016!</w:t>
      </w:r>
    </w:p>
    <w:p>
      <w:pPr>
        <w:pStyle w:val="Normal"/>
        <w:spacing w:before="0" w:after="0"/>
        <w:contextualSpacing/>
        <w:rPr/>
      </w:pPr>
      <w:r>
        <w:rPr/>
        <w:tab/>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pStyle w:val="Normal"/>
        <w:spacing w:before="0" w:after="0"/>
        <w:contextualSpacing/>
        <w:rPr/>
      </w:pPr>
      <w:r>
        <w:rPr/>
        <w:tab/>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pStyle w:val="Normal"/>
        <w:spacing w:before="0" w:after="0"/>
        <w:contextualSpacing/>
        <w:rPr/>
      </w:pPr>
      <w:r>
        <w:rPr/>
      </w:r>
    </w:p>
    <w:p>
      <w:pPr>
        <w:pStyle w:val="Normal"/>
        <w:spacing w:before="0" w:after="0"/>
        <w:contextualSpacing/>
        <w:rPr/>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pStyle w:val="Normal"/>
        <w:spacing w:before="0" w:after="0"/>
        <w:contextualSpacing/>
        <w:rPr/>
      </w:pPr>
      <w:r>
        <w:rP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pStyle w:val="Normal"/>
        <w:shd w:val="clear" w:fill="FFFFFF"/>
        <w:spacing w:before="0" w:after="0"/>
        <w:contextualSpacing/>
        <w:rPr/>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pStyle w:val="Normal"/>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r>
    </w:p>
    <w:p>
      <w:pPr>
        <w:pStyle w:val="Normal"/>
        <w:shd w:val="clear" w:fill="FFFFFF"/>
        <w:spacing w:before="0" w:after="0"/>
        <w:contextualSpacing/>
        <w:rPr/>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pStyle w:val="Normal"/>
        <w:spacing w:before="0" w:after="0"/>
        <w:contextualSpacing/>
        <w:rPr/>
      </w:pPr>
      <w:r>
        <w:rPr/>
      </w:r>
    </w:p>
    <w:p>
      <w:pPr>
        <w:pStyle w:val="Normal"/>
        <w:spacing w:before="0" w:after="0"/>
        <w:contextualSpacing/>
        <w:rPr/>
      </w:pPr>
      <w:r>
        <w:rP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pStyle w:val="Normal"/>
        <w:spacing w:before="0" w:after="0"/>
        <w:contextualSpacing/>
        <w:rPr/>
      </w:pPr>
      <w:r>
        <w:rPr/>
      </w:r>
    </w:p>
    <w:p>
      <w:pPr>
        <w:pStyle w:val="Normal"/>
        <w:spacing w:before="0" w:after="0"/>
        <w:contextualSpacing/>
        <w:rPr/>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pStyle w:val="Normal"/>
        <w:spacing w:before="0" w:after="0"/>
        <w:contextualSpacing/>
        <w:rPr>
          <w:color w:val="222222"/>
          <w:sz w:val="20"/>
          <w:szCs w:val="20"/>
          <w:highlight w:val="white"/>
        </w:rPr>
      </w:pPr>
      <w:r>
        <w:rPr>
          <w:color w:val="222222"/>
          <w:sz w:val="20"/>
          <w:szCs w:val="20"/>
          <w:highlight w:val="white"/>
        </w:rPr>
        <w:t>……</w:t>
      </w:r>
      <w:r>
        <w:rPr>
          <w:color w:val="222222"/>
          <w:sz w:val="20"/>
          <w:szCs w:val="20"/>
          <w:highlight w:val="white"/>
        </w:rPr>
        <w:t>..</w:t>
      </w:r>
    </w:p>
    <w:p>
      <w:pPr>
        <w:pStyle w:val="Normal"/>
        <w:spacing w:before="0" w:after="0"/>
        <w:contextualSpacing/>
        <w:rPr/>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hyperlink r:id="rId76">
        <w:r>
          <w:rPr>
            <w:rStyle w:val="InternetLink"/>
            <w:color w:val="7C93A1"/>
            <w:sz w:val="20"/>
            <w:szCs w:val="20"/>
            <w:highlight w:val="white"/>
          </w:rPr>
          <w:t>“every thing</w:t>
        </w:r>
      </w:hyperlink>
      <w:hyperlink r:id="rId77">
        <w:r>
          <w:rPr>
            <w:rStyle w:val="InternetLink"/>
            <w:b/>
            <w:bCs/>
            <w:color w:val="7C93A1"/>
            <w:sz w:val="20"/>
            <w:szCs w:val="20"/>
            <w:highlight w:val="white"/>
          </w:rPr>
          <w:t> </w:t>
        </w:r>
      </w:hyperlink>
      <w:hyperlink r:id="rId78">
        <w:r>
          <w:rPr>
            <w:rStyle w:val="InternetLink"/>
            <w:color w:val="7C93A1"/>
            <w:sz w:val="20"/>
            <w:szCs w:val="20"/>
            <w:highlight w:val="white"/>
          </w:rPr>
          <w:t>must go”</w:t>
        </w:r>
      </w:hyperlink>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pStyle w:val="Normal"/>
        <w:spacing w:before="0" w:after="0"/>
        <w:contextualSpacing/>
        <w:rPr>
          <w:color w:val="222222"/>
          <w:sz w:val="20"/>
          <w:szCs w:val="20"/>
          <w:highlight w:val="white"/>
        </w:rPr>
      </w:pPr>
      <w:r>
        <w:rPr>
          <w:color w:val="222222"/>
          <w:sz w:val="20"/>
          <w:szCs w:val="20"/>
          <w:highlight w:val="white"/>
        </w:rPr>
        <w:t>…</w:t>
      </w:r>
      <w:r>
        <w:rPr>
          <w:color w:val="222222"/>
          <w:sz w:val="20"/>
          <w:szCs w:val="20"/>
          <w:highlight w:val="white"/>
        </w:rPr>
        <w:t>..</w:t>
      </w:r>
    </w:p>
    <w:p>
      <w:pPr>
        <w:pStyle w:val="Normal"/>
        <w:shd w:val="clear" w:fill="FFFFFF"/>
        <w:spacing w:before="0" w:after="0"/>
        <w:contextualSpacing/>
        <w:rPr/>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pStyle w:val="Normal"/>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r>
    </w:p>
    <w:p>
      <w:pPr>
        <w:pStyle w:val="Normal"/>
        <w:shd w:val="clear" w:fill="FFFFFF"/>
        <w:spacing w:before="0" w:after="0"/>
        <w:contextualSpacing/>
        <w:rPr/>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pStyle w:val="Normal"/>
        <w:spacing w:before="0" w:after="0"/>
        <w:contextualSpacing/>
        <w:rPr>
          <w:color w:val="222222"/>
          <w:sz w:val="20"/>
          <w:szCs w:val="20"/>
          <w:highlight w:val="white"/>
        </w:rPr>
      </w:pPr>
      <w:r>
        <w:rPr>
          <w:color w:val="222222"/>
          <w:sz w:val="20"/>
          <w:szCs w:val="20"/>
          <w:highlight w:val="white"/>
        </w:rPr>
      </w:r>
    </w:p>
    <w:p>
      <w:pPr>
        <w:pStyle w:val="Normal"/>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pStyle w:val="Normal"/>
        <w:spacing w:before="0" w:after="0"/>
        <w:contextualSpacing/>
        <w:rPr>
          <w:color w:val="222222"/>
          <w:highlight w:val="white"/>
        </w:rPr>
      </w:pPr>
      <w:r>
        <w:rPr>
          <w:color w:val="222222"/>
          <w:highlight w:val="white"/>
        </w:rPr>
      </w:r>
    </w:p>
    <w:p>
      <w:pPr>
        <w:pStyle w:val="Normal"/>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pStyle w:val="Normal"/>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pStyle w:val="Normal"/>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r>
    </w:p>
    <w:p>
      <w:pPr>
        <w:pStyle w:val="Normal"/>
        <w:shd w:val="clear" w:fill="FFFFFF"/>
        <w:spacing w:before="0" w:after="0"/>
        <w:contextualSpacing/>
        <w:rPr/>
      </w:pPr>
      <w:r>
        <w:rPr>
          <w:rFonts w:eastAsia="Times New Roman"/>
          <w:color w:val="222222"/>
          <w:sz w:val="20"/>
          <w:szCs w:val="20"/>
          <w:lang w:eastAsia="en-GB"/>
        </w:rPr>
        <w:t>“</w:t>
      </w: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pStyle w:val="Normal"/>
        <w:spacing w:before="0" w:after="0"/>
        <w:contextualSpacing/>
        <w:rPr/>
      </w:pPr>
      <w:r>
        <w:rPr/>
      </w:r>
    </w:p>
    <w:p>
      <w:pPr>
        <w:pStyle w:val="Normal"/>
        <w:spacing w:before="0" w:after="0"/>
        <w:contextualSpacing/>
        <w:rPr/>
      </w:pPr>
      <w:r>
        <w:rPr/>
        <w:t>UNBELIEVABLE similar ideas to my ideas published in 2002-2010!!!</w:t>
      </w:r>
      <w:r>
        <w:rPr>
          <w:rStyle w:val="FootnoteAnchor"/>
        </w:rPr>
        <w:footnoteReference w:id="98"/>
      </w:r>
    </w:p>
    <w:p>
      <w:pPr>
        <w:pStyle w:val="Normal"/>
        <w:spacing w:before="0" w:after="0"/>
        <w:contextualSpacing/>
        <w:rPr/>
      </w:pPr>
      <w:r>
        <w:rPr/>
        <w:tab/>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pStyle w:val="Normal"/>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w:t>
      </w:r>
      <w:r>
        <w:rPr>
          <w:rFonts w:eastAsia="Times New Roman"/>
          <w:color w:val="222222"/>
          <w:sz w:val="20"/>
          <w:szCs w:val="20"/>
          <w:lang w:eastAsia="en-GB"/>
        </w:rPr>
        <w:t>[n]either space nor time has any existence outside the system of evolving relationships that comprises the universe”.</w:t>
      </w:r>
    </w:p>
    <w:p>
      <w:pPr>
        <w:pStyle w:val="Normal"/>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r>
    </w:p>
    <w:p>
      <w:pPr>
        <w:pStyle w:val="Normal"/>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pStyle w:val="Normal"/>
        <w:spacing w:before="0" w:after="0"/>
        <w:contextualSpacing/>
        <w:rPr/>
      </w:pPr>
      <w:r>
        <w:rPr/>
        <w:t>It seems that this paragraph contradicts the idea form the above paragraph regarding space and time: do space and time exist or don’t exist? The last paragraph indicates the same problem:</w:t>
      </w:r>
    </w:p>
    <w:p>
      <w:pPr>
        <w:pStyle w:val="Normal"/>
        <w:spacing w:before="0" w:after="0"/>
        <w:contextualSpacing/>
        <w:rPr/>
      </w:pPr>
      <w:r>
        <w:rPr/>
      </w:r>
    </w:p>
    <w:p>
      <w:pPr>
        <w:pStyle w:val="Normal"/>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pStyle w:val="Normal"/>
        <w:spacing w:before="0" w:after="0"/>
        <w:contextualSpacing/>
        <w:rPr/>
      </w:pPr>
      <w:r>
        <w:rPr/>
      </w:r>
    </w:p>
    <w:p>
      <w:pPr>
        <w:pStyle w:val="Normal"/>
        <w:spacing w:before="0" w:after="0"/>
        <w:contextualSpacing/>
        <w:rPr/>
      </w:pPr>
      <w:r>
        <w:rPr/>
        <w:t>Without having access to his 2017 edition of his previous book, I stop indicating UNBELIEVABLE similarities here. I am sure the reader will find many similar ideas to my ideas…</w:t>
      </w:r>
    </w:p>
    <w:p>
      <w:pPr>
        <w:pStyle w:val="Normal"/>
        <w:spacing w:before="0" w:after="0"/>
        <w:contextualSpacing/>
        <w:rPr/>
      </w:pPr>
      <w:r>
        <w:rPr/>
      </w:r>
    </w:p>
    <w:p>
      <w:pPr>
        <w:pStyle w:val="Normal"/>
        <w:spacing w:before="0" w:after="0"/>
        <w:contextualSpacing/>
        <w:rPr/>
      </w:pPr>
      <w:r>
        <w:rPr/>
      </w:r>
    </w:p>
    <w:p>
      <w:pPr>
        <w:pStyle w:val="ListParagraph"/>
        <w:numPr>
          <w:ilvl w:val="0"/>
          <w:numId w:val="18"/>
        </w:numPr>
        <w:spacing w:before="0" w:after="0"/>
        <w:contextualSpacing/>
        <w:rPr/>
      </w:pPr>
      <w:r>
        <w:rPr>
          <w:b/>
          <w:sz w:val="28"/>
          <w:szCs w:val="28"/>
        </w:rPr>
        <w:t>‘</w:t>
      </w:r>
      <w:r>
        <w:rPr>
          <w:b/>
          <w:sz w:val="28"/>
          <w:szCs w:val="28"/>
        </w:rPr>
        <w:t>Thus spoke Zarathustra!’</w:t>
      </w:r>
      <w:r>
        <w:rPr>
          <w:rStyle w:val="FootnoteAnchor"/>
          <w:b/>
          <w:sz w:val="28"/>
          <w:szCs w:val="28"/>
        </w:rPr>
        <w:footnoteReference w:id="99"/>
      </w:r>
      <w:r>
        <w:rPr>
          <w:b/>
          <w:sz w:val="28"/>
          <w:szCs w:val="28"/>
        </w:rPr>
        <w:t xml:space="preserve"> A fairy-tale with Eugen Ionesco and the Idiot</w:t>
      </w:r>
      <w:r>
        <w:rPr>
          <w:rStyle w:val="FootnoteAnchor"/>
          <w:b/>
          <w:sz w:val="28"/>
          <w:szCs w:val="28"/>
        </w:rPr>
        <w:footnoteReference w:id="100"/>
      </w:r>
    </w:p>
    <w:p>
      <w:pPr>
        <w:pStyle w:val="Normal"/>
        <w:spacing w:before="0" w:after="0"/>
        <w:contextualSpacing/>
        <w:rPr/>
      </w:pPr>
      <w:r>
        <w:rPr>
          <w:b/>
          <w:sz w:val="28"/>
          <w:szCs w:val="28"/>
        </w:rPr>
        <w:t>(May 2018)</w:t>
      </w:r>
      <w:r>
        <w:rPr>
          <w:rStyle w:val="FootnoteCharacters"/>
          <w:b/>
          <w:sz w:val="28"/>
          <w:szCs w:val="28"/>
        </w:rPr>
        <w:t xml:space="preserve"> </w:t>
      </w:r>
      <w:r>
        <w:rPr>
          <w:rStyle w:val="FootnoteAnchor"/>
          <w:b/>
          <w:sz w:val="28"/>
          <w:szCs w:val="28"/>
        </w:rPr>
        <w:footnoteReference w:id="101"/>
      </w:r>
    </w:p>
    <w:p>
      <w:pPr>
        <w:pStyle w:val="Normal"/>
        <w:spacing w:before="0" w:after="0"/>
        <w:contextualSpacing/>
        <w:rPr/>
      </w:pPr>
      <w:r>
        <w:rPr/>
      </w:r>
    </w:p>
    <w:p>
      <w:pPr>
        <w:pStyle w:val="Normal"/>
        <w:spacing w:before="0" w:after="0"/>
        <w:contextualSpacing/>
        <w:rPr/>
      </w:pPr>
      <w:r>
        <w:rP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pStyle w:val="Normal"/>
        <w:spacing w:before="0" w:after="0"/>
        <w:ind w:left="0" w:right="0" w:firstLine="720"/>
        <w:contextualSpacing/>
        <w:rPr/>
      </w:pPr>
      <w:r>
        <w:rP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pStyle w:val="Normal"/>
        <w:spacing w:before="0" w:after="0"/>
        <w:ind w:left="0" w:right="0" w:firstLine="720"/>
        <w:contextualSpacing/>
        <w:rPr>
          <w:b/>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pStyle w:val="Normal"/>
        <w:spacing w:before="0" w:after="0"/>
        <w:ind w:left="0" w:right="0" w:firstLine="720"/>
        <w:contextualSpacing/>
        <w:rPr>
          <w:b/>
          <w:b/>
        </w:rPr>
      </w:pPr>
      <w:r>
        <w:rPr>
          <w:b/>
        </w:rPr>
        <w:t>From 2014, I have sent emails to thousands of people regarding this fact! The people were professors and students (Physics, Cognitive Neuroscience, and Philosophy) from universities that belong to many countries in the entire WORLD!!!</w:t>
      </w:r>
    </w:p>
    <w:p>
      <w:pPr>
        <w:pStyle w:val="Normal"/>
        <w:spacing w:before="0" w:after="0"/>
        <w:contextualSpacing/>
        <w:rPr/>
      </w:pPr>
      <w:r>
        <w:rPr/>
      </w:r>
    </w:p>
    <w:p>
      <w:pPr>
        <w:pStyle w:val="Normal"/>
        <w:spacing w:before="0" w:after="0"/>
        <w:contextualSpacing/>
        <w:rPr/>
      </w:pPr>
      <w:r>
        <w:rPr/>
        <w:t>Eugen Ionesco (EI): You are an Idiot! Of course it is possible such things since the WORLD is ABSURD!!! You have never understood that you have been living in an absurd world! This is your main problem, the Idiot!</w:t>
      </w:r>
    </w:p>
    <w:p>
      <w:pPr>
        <w:pStyle w:val="Normal"/>
        <w:spacing w:before="0" w:after="0"/>
        <w:contextualSpacing/>
        <w:rPr/>
      </w:pPr>
      <w:r>
        <w:rPr/>
      </w:r>
    </w:p>
    <w:p>
      <w:pPr>
        <w:pStyle w:val="Normal"/>
        <w:spacing w:before="0" w:after="0"/>
        <w:contextualSpacing/>
        <w:rPr/>
      </w:pPr>
      <w:r>
        <w:rP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pStyle w:val="Normal"/>
        <w:spacing w:before="0" w:after="0"/>
        <w:ind w:left="0" w:right="0" w:firstLine="720"/>
        <w:contextualSpacing/>
        <w:rPr/>
      </w:pPr>
      <w:r>
        <w:rPr/>
      </w:r>
    </w:p>
    <w:p>
      <w:pPr>
        <w:pStyle w:val="Normal"/>
        <w:spacing w:before="0" w:after="0"/>
        <w:contextualSpacing/>
        <w:rPr/>
      </w:pPr>
      <w:r>
        <w:rP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rPr/>
        <w:t xml:space="preserve"> country of Europe. </w:t>
      </w:r>
    </w:p>
    <w:p>
      <w:pPr>
        <w:pStyle w:val="Normal"/>
        <w:spacing w:before="0" w:after="0"/>
        <w:contextualSpacing/>
        <w:rPr/>
      </w:pPr>
      <w:r>
        <w:rPr/>
      </w:r>
    </w:p>
    <w:p>
      <w:pPr>
        <w:pStyle w:val="Normal"/>
        <w:spacing w:before="0" w:after="0"/>
        <w:contextualSpacing/>
        <w:rPr/>
      </w:pPr>
      <w:r>
        <w:rP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pStyle w:val="Normal"/>
        <w:spacing w:before="0" w:after="0"/>
        <w:contextualSpacing/>
        <w:rPr/>
      </w:pPr>
      <w:r>
        <w:rPr/>
      </w:r>
    </w:p>
    <w:p>
      <w:pPr>
        <w:pStyle w:val="Normal"/>
        <w:spacing w:before="0" w:after="0"/>
        <w:contextualSpacing/>
        <w:rPr/>
      </w:pPr>
      <w:r>
        <w:rPr/>
        <w:t xml:space="preserve">EI: One of these two authors is ‘Zarathustra’! Therefore, they are totally right! Do you understand or not? What are these ideas? </w:t>
      </w:r>
    </w:p>
    <w:p>
      <w:pPr>
        <w:pStyle w:val="Normal"/>
        <w:spacing w:before="0" w:after="0"/>
        <w:contextualSpacing/>
        <w:rPr/>
      </w:pPr>
      <w:r>
        <w:rPr/>
      </w:r>
    </w:p>
    <w:p>
      <w:pPr>
        <w:pStyle w:val="Normal"/>
        <w:spacing w:before="0" w:after="0"/>
        <w:contextualSpacing/>
        <w:rPr/>
      </w:pPr>
      <w:r>
        <w:rPr/>
        <w:t xml:space="preserve">I: The main are below: </w:t>
      </w:r>
    </w:p>
    <w:p>
      <w:pPr>
        <w:pStyle w:val="ListParagraph"/>
        <w:widowControl/>
        <w:numPr>
          <w:ilvl w:val="0"/>
          <w:numId w:val="22"/>
        </w:numPr>
        <w:suppressAutoHyphens w:val="false"/>
        <w:overflowPunct w:val="false"/>
        <w:spacing w:before="0" w:after="0"/>
        <w:ind w:left="0" w:right="0" w:hanging="360"/>
        <w:contextualSpacing/>
        <w:jc w:val="both"/>
        <w:textAlignment w:val="auto"/>
        <w:rPr>
          <w:szCs w:val="24"/>
        </w:rPr>
      </w:pPr>
      <w:r>
        <w:rPr>
          <w:szCs w:val="24"/>
        </w:rPr>
        <w:t>the world/universe does not exist, but a ‘hologram’ exist very similar to the ‘Hyperverse’;</w:t>
      </w:r>
    </w:p>
    <w:p>
      <w:pPr>
        <w:pStyle w:val="ListParagraph"/>
        <w:widowControl/>
        <w:numPr>
          <w:ilvl w:val="0"/>
          <w:numId w:val="22"/>
        </w:numPr>
        <w:suppressAutoHyphens w:val="false"/>
        <w:overflowPunct w:val="false"/>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pStyle w:val="ListParagraph"/>
        <w:widowControl/>
        <w:numPr>
          <w:ilvl w:val="0"/>
          <w:numId w:val="22"/>
        </w:numPr>
        <w:suppressAutoHyphens w:val="false"/>
        <w:overflowPunct w:val="false"/>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pStyle w:val="ListParagraph"/>
        <w:widowControl/>
        <w:numPr>
          <w:ilvl w:val="0"/>
          <w:numId w:val="22"/>
        </w:numPr>
        <w:suppressAutoHyphens w:val="false"/>
        <w:overflowPunct w:val="false"/>
        <w:spacing w:before="0" w:after="0"/>
        <w:ind w:left="0" w:right="0" w:hanging="360"/>
        <w:contextualSpacing/>
        <w:jc w:val="both"/>
        <w:textAlignment w:val="auto"/>
        <w:rPr/>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pStyle w:val="ListParagraph"/>
        <w:widowControl/>
        <w:numPr>
          <w:ilvl w:val="0"/>
          <w:numId w:val="22"/>
        </w:numPr>
        <w:suppressAutoHyphens w:val="false"/>
        <w:overflowPunct w:val="false"/>
        <w:spacing w:before="0" w:after="0"/>
        <w:ind w:left="0" w:right="0" w:hanging="360"/>
        <w:contextualSpacing/>
        <w:jc w:val="both"/>
        <w:textAlignment w:val="auto"/>
        <w:rPr/>
      </w:pPr>
      <w:r>
        <w:rPr>
          <w:szCs w:val="24"/>
          <w:highlight w:val="white"/>
        </w:rPr>
        <w:t>Keywords: correspondence, for instance,</w:t>
      </w:r>
      <w:r>
        <w:rPr>
          <w:szCs w:val="24"/>
        </w:rPr>
        <w:t xml:space="preserve"> ‘Gauge-gravity correspondence’</w:t>
      </w:r>
    </w:p>
    <w:p>
      <w:pPr>
        <w:pStyle w:val="ListParagraph"/>
        <w:spacing w:before="0" w:after="0"/>
        <w:ind w:left="0" w:right="0" w:hanging="0"/>
        <w:contextualSpacing/>
        <w:jc w:val="both"/>
        <w:rPr>
          <w:szCs w:val="24"/>
        </w:rPr>
      </w:pPr>
      <w:r>
        <w:rPr>
          <w:szCs w:val="24"/>
        </w:rPr>
      </w:r>
    </w:p>
    <w:p>
      <w:pPr>
        <w:pStyle w:val="Normal"/>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pStyle w:val="Normal"/>
        <w:spacing w:before="0" w:after="0"/>
        <w:contextualSpacing/>
        <w:rPr/>
      </w:pPr>
      <w:r>
        <w:rPr/>
      </w:r>
    </w:p>
    <w:p>
      <w:pPr>
        <w:pStyle w:val="Normal"/>
        <w:spacing w:before="0" w:after="0"/>
        <w:contextualSpacing/>
        <w:rPr/>
      </w:pPr>
      <w:r>
        <w:rP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rP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pStyle w:val="Normal"/>
        <w:spacing w:before="0" w:after="0"/>
        <w:contextualSpacing/>
        <w:rPr/>
      </w:pPr>
      <w:r>
        <w:rPr/>
      </w:r>
    </w:p>
    <w:p>
      <w:pPr>
        <w:pStyle w:val="Normal"/>
        <w:spacing w:before="0" w:after="0"/>
        <w:contextualSpacing/>
        <w:rPr/>
      </w:pPr>
      <w:r>
        <w:rP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pStyle w:val="Normal"/>
        <w:spacing w:before="0" w:after="0"/>
        <w:contextualSpacing/>
        <w:rPr/>
      </w:pPr>
      <w:r>
        <w:rPr/>
      </w:r>
    </w:p>
    <w:p>
      <w:pPr>
        <w:pStyle w:val="Normal"/>
        <w:spacing w:before="0" w:after="0"/>
        <w:contextualSpacing/>
        <w:rPr/>
      </w:pPr>
      <w:r>
        <w:rPr/>
        <w:t>EI: I repeat: the world is absurd! For you, it is clear that I have to repeat many times this slogan: the world is absurd! However, you are such an Idiot, you are unable to understand this slogan!</w:t>
      </w:r>
    </w:p>
    <w:p>
      <w:pPr>
        <w:pStyle w:val="Normal"/>
        <w:spacing w:before="0" w:after="0"/>
        <w:contextualSpacing/>
        <w:rPr/>
      </w:pPr>
      <w:r>
        <w:rPr/>
      </w:r>
    </w:p>
    <w:p>
      <w:pPr>
        <w:pStyle w:val="Normal"/>
        <w:spacing w:before="0" w:after="0"/>
        <w:contextualSpacing/>
        <w:rPr/>
      </w:pPr>
      <w:r>
        <w:rPr/>
        <w:t>I: Wait a moment, long time ago, I showed that the ‘world/universe’ does not even exist! So your slogan is wrong…</w:t>
      </w:r>
    </w:p>
    <w:p>
      <w:pPr>
        <w:pStyle w:val="Normal"/>
        <w:spacing w:before="0" w:after="0"/>
        <w:contextualSpacing/>
        <w:rPr/>
      </w:pPr>
      <w:r>
        <w:rPr/>
      </w:r>
    </w:p>
    <w:p>
      <w:pPr>
        <w:pStyle w:val="Normal"/>
        <w:spacing w:before="0" w:after="0"/>
        <w:contextualSpacing/>
        <w:rPr/>
      </w:pPr>
      <w:r>
        <w:rPr/>
        <w:t xml:space="preserve">EI: You are an Idiot! You don’t understand that this world fits perfectly with your theory? Who have published UNBELEVABLE similar ideas to yours, not the ‘entire world’? </w:t>
      </w:r>
    </w:p>
    <w:p>
      <w:pPr>
        <w:pStyle w:val="Normal"/>
        <w:spacing w:before="0" w:after="0"/>
        <w:contextualSpacing/>
        <w:rPr/>
      </w:pPr>
      <w:r>
        <w:rPr/>
      </w:r>
    </w:p>
    <w:p>
      <w:pPr>
        <w:pStyle w:val="Normal"/>
        <w:spacing w:before="0" w:after="0"/>
        <w:contextualSpacing/>
        <w:rPr/>
      </w:pPr>
      <w:r>
        <w:rPr/>
        <w:t>I: Indeed, many people, from many countries, from many domains, on many topics…</w:t>
      </w:r>
    </w:p>
    <w:p>
      <w:pPr>
        <w:pStyle w:val="Normal"/>
        <w:spacing w:before="0" w:after="0"/>
        <w:contextualSpacing/>
        <w:rPr/>
      </w:pPr>
      <w:r>
        <w:rPr/>
      </w:r>
    </w:p>
    <w:p>
      <w:pPr>
        <w:pStyle w:val="Normal"/>
        <w:spacing w:before="0" w:after="0"/>
        <w:contextualSpacing/>
        <w:rPr/>
      </w:pPr>
      <w:r>
        <w:rPr/>
        <w:t>EI: So, the ‘world’ (which you denied it) is completely ABSURD… What have happened to you is ITS REVENGE on your position, do you understand now, man? Moreover, you have not to forget that the paper is written by one death man and one living man!</w:t>
      </w:r>
    </w:p>
    <w:p>
      <w:pPr>
        <w:pStyle w:val="Normal"/>
        <w:spacing w:before="0" w:after="0"/>
        <w:contextualSpacing/>
        <w:rPr/>
      </w:pPr>
      <w:r>
        <w:rPr/>
      </w:r>
    </w:p>
    <w:p>
      <w:pPr>
        <w:pStyle w:val="Normal"/>
        <w:spacing w:before="0" w:after="0"/>
        <w:contextualSpacing/>
        <w:rPr/>
      </w:pPr>
      <w:r>
        <w:rPr/>
        <w:t>I: Exactly this is the problem: how a death person can write something?</w:t>
      </w:r>
    </w:p>
    <w:p>
      <w:pPr>
        <w:pStyle w:val="Normal"/>
        <w:spacing w:before="0" w:after="0"/>
        <w:contextualSpacing/>
        <w:rPr/>
      </w:pPr>
      <w:r>
        <w:rPr/>
      </w:r>
    </w:p>
    <w:p>
      <w:pPr>
        <w:pStyle w:val="Normal"/>
        <w:spacing w:before="0" w:after="0"/>
        <w:contextualSpacing/>
        <w:rPr/>
      </w:pPr>
      <w:r>
        <w:rPr/>
        <w:t xml:space="preserve">EI: Of course, it is possible! You are the Idiot! I repeat only for you (the reader have already knows this information): the world is ABSURD! Therefore, everything is </w:t>
      </w:r>
      <w:r>
        <w:rPr>
          <w:i/>
        </w:rPr>
        <w:t>possible</w:t>
      </w:r>
      <w:r>
        <w:rPr/>
        <w:t xml:space="preserve"> in this ‘world’! </w:t>
      </w:r>
    </w:p>
    <w:p>
      <w:pPr>
        <w:pStyle w:val="Normal"/>
        <w:spacing w:before="0" w:after="0"/>
        <w:contextualSpacing/>
        <w:rPr/>
      </w:pPr>
      <w:r>
        <w:rPr/>
      </w:r>
    </w:p>
    <w:p>
      <w:pPr>
        <w:pStyle w:val="Normal"/>
        <w:spacing w:before="0" w:after="0"/>
        <w:contextualSpacing/>
        <w:rPr/>
      </w:pPr>
      <w:r>
        <w:rPr/>
        <w:t>I: In what sense, the world is absurd?</w:t>
      </w:r>
    </w:p>
    <w:p>
      <w:pPr>
        <w:pStyle w:val="Normal"/>
        <w:spacing w:before="0" w:after="0"/>
        <w:contextualSpacing/>
        <w:rPr/>
      </w:pPr>
      <w:r>
        <w:rPr/>
      </w:r>
    </w:p>
    <w:p>
      <w:pPr>
        <w:pStyle w:val="Normal"/>
        <w:spacing w:before="0" w:after="0"/>
        <w:contextualSpacing/>
        <w:rPr/>
      </w:pPr>
      <w:r>
        <w:rPr/>
        <w:t>EI: In the sense that the ‘wor(l)d’ is ABSURD! Is it clear, the Idiot, you are? Recall the slogan from the Bible, ‘At the beginning, it was the word….’</w:t>
      </w:r>
    </w:p>
    <w:p>
      <w:pPr>
        <w:pStyle w:val="Normal"/>
        <w:spacing w:before="0" w:after="0"/>
        <w:contextualSpacing/>
        <w:rPr/>
      </w:pPr>
      <w:r>
        <w:rPr/>
      </w:r>
    </w:p>
    <w:p>
      <w:pPr>
        <w:pStyle w:val="Normal"/>
        <w:spacing w:before="0" w:after="0"/>
        <w:contextualSpacing/>
        <w:rPr/>
      </w:pPr>
      <w:r>
        <w:rPr/>
        <w:t xml:space="preserve">I: I understand, but in one of my articles I showed that ‘God cannot even exist’. </w:t>
      </w:r>
    </w:p>
    <w:p>
      <w:pPr>
        <w:pStyle w:val="Normal"/>
        <w:spacing w:before="0" w:after="0"/>
        <w:contextualSpacing/>
        <w:rPr/>
      </w:pPr>
      <w:r>
        <w:rPr/>
      </w:r>
    </w:p>
    <w:p>
      <w:pPr>
        <w:pStyle w:val="Normal"/>
        <w:spacing w:before="0" w:after="0"/>
        <w:contextualSpacing/>
        <w:rPr/>
      </w:pPr>
      <w:r>
        <w:rPr/>
        <w:t>EU: You are really an Idiot! How do you dare to deny the existence of GOD??? You are an Idiot, if you dare such thing…. More exactly, you are the IDIOT! So, we can consider that the IDIOT replaced GOD! Are you now content?</w:t>
      </w:r>
    </w:p>
    <w:p>
      <w:pPr>
        <w:pStyle w:val="Normal"/>
        <w:spacing w:before="0" w:after="0"/>
        <w:contextualSpacing/>
        <w:rPr/>
      </w:pPr>
      <w:r>
        <w:rPr/>
      </w:r>
    </w:p>
    <w:p>
      <w:pPr>
        <w:pStyle w:val="Normal"/>
        <w:spacing w:before="0" w:after="0"/>
        <w:contextualSpacing/>
        <w:rPr/>
      </w:pPr>
      <w:r>
        <w:rPr/>
        <w:t xml:space="preserve">I: Ok, you said that ‘everything is possible in this world’. It means that the ‘possible’ exists. </w:t>
      </w:r>
    </w:p>
    <w:p>
      <w:pPr>
        <w:pStyle w:val="Normal"/>
        <w:spacing w:before="0" w:after="0"/>
        <w:contextualSpacing/>
        <w:rPr/>
      </w:pPr>
      <w:r>
        <w:rPr/>
      </w:r>
    </w:p>
    <w:p>
      <w:pPr>
        <w:pStyle w:val="Normal"/>
        <w:spacing w:before="0" w:after="0"/>
        <w:contextualSpacing/>
        <w:rPr/>
      </w:pPr>
      <w:r>
        <w:rPr/>
        <w:t>EI: You really have no idea about this absurd world. You have to understand that Picasso was right: ‘Everything you can imagine is real!’ So…</w:t>
      </w:r>
    </w:p>
    <w:p>
      <w:pPr>
        <w:pStyle w:val="Normal"/>
        <w:spacing w:before="0" w:after="0"/>
        <w:contextualSpacing/>
        <w:rPr/>
      </w:pPr>
      <w:r>
        <w:rPr/>
      </w:r>
    </w:p>
    <w:p>
      <w:pPr>
        <w:pStyle w:val="Normal"/>
        <w:spacing w:before="0" w:after="0"/>
        <w:contextualSpacing/>
        <w:rPr/>
      </w:pPr>
      <w:r>
        <w:rP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pStyle w:val="Normal"/>
        <w:spacing w:before="0" w:after="0"/>
        <w:contextualSpacing/>
        <w:rPr/>
      </w:pPr>
      <w:r>
        <w:rPr/>
      </w:r>
    </w:p>
    <w:p>
      <w:pPr>
        <w:pStyle w:val="Normal"/>
        <w:spacing w:before="0" w:after="0"/>
        <w:contextualSpacing/>
        <w:rPr/>
      </w:pPr>
      <w:r>
        <w:rPr/>
        <w:t>EI: You are really an Idiot: you have plagiarized the title of my work, ‘Rhinoceros’!</w:t>
      </w:r>
    </w:p>
    <w:p>
      <w:pPr>
        <w:pStyle w:val="Normal"/>
        <w:spacing w:before="0" w:after="0"/>
        <w:contextualSpacing/>
        <w:rPr/>
      </w:pPr>
      <w:r>
        <w:rPr/>
      </w:r>
    </w:p>
    <w:p>
      <w:pPr>
        <w:pStyle w:val="Normal"/>
        <w:spacing w:before="0" w:after="0"/>
        <w:contextualSpacing/>
        <w:rPr/>
      </w:pPr>
      <w:r>
        <w:rPr/>
        <w:t>I: But I used ‘dinosaurs’, not ‘rhinoceros’…</w:t>
      </w:r>
    </w:p>
    <w:p>
      <w:pPr>
        <w:pStyle w:val="Normal"/>
        <w:spacing w:before="0" w:after="0"/>
        <w:contextualSpacing/>
        <w:rPr/>
      </w:pPr>
      <w:r>
        <w:rPr/>
      </w:r>
    </w:p>
    <w:p>
      <w:pPr>
        <w:pStyle w:val="Normal"/>
        <w:spacing w:before="0" w:after="0"/>
        <w:contextualSpacing/>
        <w:rPr/>
      </w:pPr>
      <w:r>
        <w:rPr/>
        <w:t xml:space="preserve">EI: In this context, it has the same meaning (even if it is not the same notion). So, the source of your concept is my notion, the Idiot. You have plagiarized my concept! </w:t>
      </w:r>
    </w:p>
    <w:p>
      <w:pPr>
        <w:pStyle w:val="Normal"/>
        <w:spacing w:before="0" w:after="0"/>
        <w:contextualSpacing/>
        <w:rPr/>
      </w:pPr>
      <w:r>
        <w:rPr/>
      </w:r>
    </w:p>
    <w:p>
      <w:pPr>
        <w:pStyle w:val="Normal"/>
        <w:spacing w:before="0" w:after="0"/>
        <w:contextualSpacing/>
        <w:rPr/>
      </w:pPr>
      <w:r>
        <w:rPr/>
        <w:t>I: Sorry, but I don’t agree!</w:t>
      </w:r>
    </w:p>
    <w:p>
      <w:pPr>
        <w:pStyle w:val="Normal"/>
        <w:spacing w:before="0" w:after="0"/>
        <w:contextualSpacing/>
        <w:rPr/>
      </w:pPr>
      <w:r>
        <w:rPr/>
      </w:r>
    </w:p>
    <w:p>
      <w:pPr>
        <w:pStyle w:val="Normal"/>
        <w:spacing w:before="0" w:after="0"/>
        <w:contextualSpacing/>
        <w:rPr/>
      </w:pPr>
      <w:r>
        <w:rP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pStyle w:val="Normal"/>
        <w:spacing w:before="0" w:after="0"/>
        <w:contextualSpacing/>
        <w:rPr/>
      </w:pPr>
      <w:r>
        <w:rPr/>
      </w:r>
    </w:p>
    <w:p>
      <w:pPr>
        <w:pStyle w:val="Normal"/>
        <w:spacing w:before="0" w:after="0"/>
        <w:contextualSpacing/>
        <w:rPr/>
      </w:pPr>
      <w:r>
        <w:rPr/>
        <w:t>I: Yes, there are so many who have plagiarized my ideas in the last time. Why?</w:t>
      </w:r>
    </w:p>
    <w:p>
      <w:pPr>
        <w:pStyle w:val="Normal"/>
        <w:spacing w:before="0" w:after="0"/>
        <w:contextualSpacing/>
        <w:rPr/>
      </w:pPr>
      <w:r>
        <w:rPr/>
      </w:r>
    </w:p>
    <w:p>
      <w:pPr>
        <w:pStyle w:val="Normal"/>
        <w:spacing w:before="0" w:after="0"/>
        <w:contextualSpacing/>
        <w:rPr/>
      </w:pPr>
      <w:r>
        <w:rP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pStyle w:val="Normal"/>
        <w:spacing w:before="0" w:after="0"/>
        <w:contextualSpacing/>
        <w:rPr/>
      </w:pPr>
      <w:r>
        <w:rPr/>
      </w:r>
    </w:p>
    <w:p>
      <w:pPr>
        <w:pStyle w:val="Normal"/>
        <w:spacing w:before="0" w:after="0"/>
        <w:contextualSpacing/>
        <w:rPr/>
      </w:pPr>
      <w:r>
        <w:rPr/>
        <w:t xml:space="preserve">I: I understand. Another question then: why only few people quote my name? </w:t>
      </w:r>
    </w:p>
    <w:p>
      <w:pPr>
        <w:pStyle w:val="Normal"/>
        <w:spacing w:before="0" w:after="0"/>
        <w:contextualSpacing/>
        <w:rPr/>
      </w:pPr>
      <w:r>
        <w:rPr/>
      </w:r>
    </w:p>
    <w:p>
      <w:pPr>
        <w:pStyle w:val="Normal"/>
        <w:spacing w:before="0" w:after="0"/>
        <w:contextualSpacing/>
        <w:rPr/>
      </w:pPr>
      <w:r>
        <w:rPr/>
        <w:t xml:space="preserve">EI: Even this thing you don’t understand. There are three factors: </w:t>
      </w:r>
    </w:p>
    <w:p>
      <w:pPr>
        <w:pStyle w:val="ListParagraph"/>
        <w:widowControl/>
        <w:numPr>
          <w:ilvl w:val="0"/>
          <w:numId w:val="23"/>
        </w:numPr>
        <w:suppressAutoHyphens w:val="false"/>
        <w:overflowPunct w:val="false"/>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pStyle w:val="ListParagraph"/>
        <w:widowControl/>
        <w:numPr>
          <w:ilvl w:val="0"/>
          <w:numId w:val="23"/>
        </w:numPr>
        <w:suppressAutoHyphens w:val="false"/>
        <w:overflowPunct w:val="false"/>
        <w:spacing w:before="0" w:after="0"/>
        <w:ind w:left="0" w:right="0" w:hanging="360"/>
        <w:contextualSpacing/>
        <w:jc w:val="both"/>
        <w:textAlignment w:val="auto"/>
        <w:rPr/>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pStyle w:val="ListParagraph"/>
        <w:widowControl/>
        <w:numPr>
          <w:ilvl w:val="0"/>
          <w:numId w:val="23"/>
        </w:numPr>
        <w:suppressAutoHyphens w:val="false"/>
        <w:overflowPunct w:val="false"/>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pStyle w:val="Normal"/>
        <w:spacing w:before="0" w:after="0"/>
        <w:contextualSpacing/>
        <w:rPr/>
      </w:pPr>
      <w:r>
        <w:rPr/>
      </w:r>
    </w:p>
    <w:p>
      <w:pPr>
        <w:pStyle w:val="Normal"/>
        <w:spacing w:before="0" w:after="0"/>
        <w:contextualSpacing/>
        <w:rPr/>
      </w:pPr>
      <w:r>
        <w:rP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pStyle w:val="Normal"/>
        <w:spacing w:before="0" w:after="0"/>
        <w:contextualSpacing/>
        <w:rPr/>
      </w:pPr>
      <w:r>
        <w:rPr/>
      </w:r>
    </w:p>
    <w:p>
      <w:pPr>
        <w:pStyle w:val="Normal"/>
        <w:spacing w:before="0" w:after="0"/>
        <w:contextualSpacing/>
        <w:rPr/>
      </w:pPr>
      <w:r>
        <w:rPr/>
        <w:t xml:space="preserve">EI: Again, you don’t understand: the ‘world’ is ABSURD, the wo(l)rd is absurd (don’t forget, ‘At the beginning, it was the word’…), and you are nobody, i.e., you are </w:t>
      </w:r>
      <w:r>
        <w:rPr>
          <w:i/>
        </w:rPr>
        <w:t>nothing</w:t>
      </w:r>
      <w:r>
        <w:rPr/>
        <w:t>.</w:t>
      </w:r>
    </w:p>
    <w:p>
      <w:pPr>
        <w:pStyle w:val="Normal"/>
        <w:spacing w:before="0" w:after="0"/>
        <w:contextualSpacing/>
        <w:rPr/>
      </w:pPr>
      <w:r>
        <w:rPr/>
      </w:r>
    </w:p>
    <w:p>
      <w:pPr>
        <w:pStyle w:val="Normal"/>
        <w:spacing w:before="0" w:after="0"/>
        <w:contextualSpacing/>
        <w:rPr/>
      </w:pPr>
      <w:r>
        <w:rPr/>
        <w:t>I: In December last year, I published another book there is a chapter there about the ‘nothing’ and about ‘Hypernothing’… Indeed, the ‘nothing’ has no ontological background…</w:t>
      </w:r>
    </w:p>
    <w:p>
      <w:pPr>
        <w:pStyle w:val="Normal"/>
        <w:spacing w:before="0" w:after="0"/>
        <w:contextualSpacing/>
        <w:rPr/>
      </w:pPr>
      <w:r>
        <w:rPr/>
      </w:r>
    </w:p>
    <w:p>
      <w:pPr>
        <w:pStyle w:val="Normal"/>
        <w:spacing w:before="0" w:after="0"/>
        <w:contextualSpacing/>
        <w:rPr/>
      </w:pPr>
      <w:r>
        <w:rP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pStyle w:val="Normal"/>
        <w:spacing w:before="0" w:after="0"/>
        <w:contextualSpacing/>
        <w:rPr/>
      </w:pPr>
      <w:r>
        <w:rPr/>
      </w:r>
    </w:p>
    <w:p>
      <w:pPr>
        <w:pStyle w:val="Normal"/>
        <w:spacing w:before="0" w:after="0"/>
        <w:contextualSpacing/>
        <w:rPr/>
      </w:pPr>
      <w:r>
        <w:rP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pStyle w:val="Normal"/>
        <w:spacing w:before="0" w:after="0"/>
        <w:contextualSpacing/>
        <w:rPr/>
      </w:pPr>
      <w:r>
        <w:rPr/>
        <w:t>“</w:t>
      </w:r>
      <w:r>
        <w:rPr/>
        <w:t>A living man and a dead one,” replied Zarathustra. “Give me food and drink, I forgot it during the day. Whoever feeds the hungry quickens his own soul – thus speaks wisdom.</w:t>
      </w:r>
      <w:r>
        <w:rPr>
          <w:rStyle w:val="FootnoteAnchor"/>
        </w:rPr>
        <w:footnoteReference w:id="102"/>
      </w:r>
      <w:r>
        <w:rPr/>
        <w:t xml:space="preserve"> (p. 13, 2006, Cambridge Texts) </w:t>
      </w:r>
    </w:p>
    <w:p>
      <w:pPr>
        <w:pStyle w:val="Normal"/>
        <w:spacing w:before="0" w:after="0"/>
        <w:contextualSpacing/>
        <w:rPr/>
      </w:pPr>
      <w:r>
        <w:rPr/>
      </w:r>
    </w:p>
    <w:p>
      <w:pPr>
        <w:pStyle w:val="Normal"/>
        <w:spacing w:before="0" w:after="0"/>
        <w:contextualSpacing/>
        <w:rPr/>
      </w:pPr>
      <w:r>
        <w:rPr/>
        <w:t xml:space="preserve">EI: In Nietzsche’s story, there is a living man and a dead one. In that paper, the authors are exactly in the same situation. Therefore, nothing is wrong with that paper. You are the Idiot, do you understand now? One of them is Zarathustra!!! </w:t>
      </w:r>
    </w:p>
    <w:p>
      <w:pPr>
        <w:pStyle w:val="Normal"/>
        <w:spacing w:before="0" w:after="0"/>
        <w:contextualSpacing/>
        <w:rPr/>
      </w:pPr>
      <w:r>
        <w:rPr/>
      </w:r>
    </w:p>
    <w:p>
      <w:pPr>
        <w:pStyle w:val="Normal"/>
        <w:spacing w:before="0" w:after="0"/>
        <w:contextualSpacing/>
        <w:rPr/>
      </w:pPr>
      <w:r>
        <w:rP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pStyle w:val="Normal"/>
        <w:spacing w:before="0" w:after="0"/>
        <w:contextualSpacing/>
        <w:rPr/>
      </w:pPr>
      <w:r>
        <w:rPr/>
      </w:r>
    </w:p>
    <w:p>
      <w:pPr>
        <w:pStyle w:val="Normal"/>
        <w:spacing w:before="0" w:after="0"/>
        <w:contextualSpacing/>
        <w:rPr/>
      </w:pPr>
      <w:r>
        <w:rPr/>
        <w:t>EI: On what was that paper?</w:t>
      </w:r>
    </w:p>
    <w:p>
      <w:pPr>
        <w:pStyle w:val="Normal"/>
        <w:spacing w:before="0" w:after="0"/>
        <w:contextualSpacing/>
        <w:rPr/>
      </w:pPr>
      <w:r>
        <w:rPr/>
      </w:r>
    </w:p>
    <w:p>
      <w:pPr>
        <w:pStyle w:val="Normal"/>
        <w:spacing w:before="0" w:after="0"/>
        <w:contextualSpacing/>
        <w:rPr/>
      </w:pPr>
      <w:r>
        <w:rPr/>
        <w:t>I: On Nietzsche’s main works related to the Pre-Socratic philosophers.</w:t>
      </w:r>
    </w:p>
    <w:p>
      <w:pPr>
        <w:pStyle w:val="Normal"/>
        <w:spacing w:before="0" w:after="0"/>
        <w:contextualSpacing/>
        <w:rPr/>
      </w:pPr>
      <w:r>
        <w:rPr/>
      </w:r>
    </w:p>
    <w:p>
      <w:pPr>
        <w:pStyle w:val="Normal"/>
        <w:spacing w:before="0" w:after="0"/>
        <w:contextualSpacing/>
        <w:rPr/>
      </w:pPr>
      <w:r>
        <w:rPr/>
        <w:t>EI: Wait a moment. Do you know Germany and Ancient Greek?</w:t>
      </w:r>
    </w:p>
    <w:p>
      <w:pPr>
        <w:pStyle w:val="Normal"/>
        <w:spacing w:before="0" w:after="0"/>
        <w:contextualSpacing/>
        <w:rPr/>
      </w:pPr>
      <w:r>
        <w:rPr/>
      </w:r>
    </w:p>
    <w:p>
      <w:pPr>
        <w:pStyle w:val="Normal"/>
        <w:spacing w:before="0" w:after="0"/>
        <w:contextualSpacing/>
        <w:rPr/>
      </w:pPr>
      <w:r>
        <w:rPr/>
        <w:t xml:space="preserve">I: No. </w:t>
      </w:r>
    </w:p>
    <w:p>
      <w:pPr>
        <w:pStyle w:val="Normal"/>
        <w:spacing w:before="0" w:after="0"/>
        <w:contextualSpacing/>
        <w:rPr/>
      </w:pPr>
      <w:r>
        <w:rPr/>
      </w:r>
    </w:p>
    <w:p>
      <w:pPr>
        <w:pStyle w:val="Normal"/>
        <w:spacing w:before="0" w:after="0"/>
        <w:contextualSpacing/>
        <w:rPr/>
      </w:pPr>
      <w:r>
        <w:rPr/>
        <w:t>EI: Then you are an Idiot! How to understand Nietzsche without knowing Germany. How to write a paper about Pre-Socratics without knowing Ancient Greek? You are the IDIOT!</w:t>
      </w:r>
    </w:p>
    <w:p>
      <w:pPr>
        <w:pStyle w:val="Normal"/>
        <w:spacing w:before="0" w:after="0"/>
        <w:contextualSpacing/>
        <w:rPr/>
      </w:pPr>
      <w:r>
        <w:rPr/>
      </w:r>
    </w:p>
    <w:p>
      <w:pPr>
        <w:pStyle w:val="Normal"/>
        <w:spacing w:before="0" w:after="0"/>
        <w:contextualSpacing/>
        <w:rPr/>
      </w:pPr>
      <w:r>
        <w:rP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pStyle w:val="Normal"/>
        <w:spacing w:before="0" w:after="0"/>
        <w:contextualSpacing/>
        <w:rPr/>
      </w:pPr>
      <w:r>
        <w:rPr/>
      </w:r>
    </w:p>
    <w:p>
      <w:pPr>
        <w:pStyle w:val="Normal"/>
        <w:spacing w:before="0" w:after="0"/>
        <w:contextualSpacing/>
        <w:rPr/>
      </w:pPr>
      <w:r>
        <w:rPr/>
        <w:t xml:space="preserve">EI: It does not matter. Anyway, you are an Idiot! An HyperIdiot…For not making confusion: you are the HyperIdiot, not Dostoevsky’s </w:t>
      </w:r>
      <w:r>
        <w:rPr>
          <w:i/>
        </w:rPr>
        <w:t>Idiot</w:t>
      </w:r>
      <w:r>
        <w:rPr/>
        <w:t>… Do you understand me, now?</w:t>
      </w:r>
    </w:p>
    <w:p>
      <w:pPr>
        <w:pStyle w:val="Normal"/>
        <w:spacing w:before="0" w:after="0"/>
        <w:contextualSpacing/>
        <w:rPr/>
      </w:pPr>
      <w:r>
        <w:rPr/>
      </w:r>
    </w:p>
    <w:p>
      <w:pPr>
        <w:pStyle w:val="Normal"/>
        <w:spacing w:before="0" w:after="0"/>
        <w:contextualSpacing/>
        <w:rPr/>
      </w:pPr>
      <w:r>
        <w:rPr/>
        <w:t>I: Of course. We end our discussion with your visit to Brancusi (my first Idol from those seven idols</w:t>
      </w:r>
      <w:r>
        <w:rPr>
          <w:rStyle w:val="FootnoteAnchor"/>
        </w:rPr>
        <w:footnoteReference w:id="103"/>
      </w:r>
      <w:r>
        <w:rPr/>
        <w:t>), just because I detest theatre too and what it was above is ‘theatre’, isn’t it?</w:t>
      </w:r>
    </w:p>
    <w:p>
      <w:pPr>
        <w:pStyle w:val="Normal"/>
        <w:spacing w:before="0" w:after="0"/>
        <w:contextualSpacing/>
        <w:rPr/>
      </w:pPr>
      <w:r>
        <w:rPr/>
      </w:r>
    </w:p>
    <w:p>
      <w:pPr>
        <w:pStyle w:val="Normal"/>
        <w:spacing w:before="0" w:after="0"/>
        <w:contextualSpacing/>
        <w:rPr/>
      </w:pPr>
      <w:r>
        <w:rPr/>
        <w:t>EI: Yes, it is ‘theatre’ I agree! And a theatre is the ‘theatre’, no more or less…</w:t>
      </w:r>
    </w:p>
    <w:p>
      <w:pPr>
        <w:pStyle w:val="Normal"/>
        <w:spacing w:before="0" w:after="0"/>
        <w:contextualSpacing/>
        <w:rPr/>
      </w:pPr>
      <w:r>
        <w:rPr/>
      </w:r>
    </w:p>
    <w:p>
      <w:pPr>
        <w:pStyle w:val="Normal"/>
        <w:spacing w:before="0" w:after="0"/>
        <w:contextualSpacing/>
        <w:rPr/>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pStyle w:val="Normal"/>
        <w:spacing w:before="0" w:after="0"/>
        <w:contextualSpacing/>
        <w:rPr/>
      </w:pPr>
      <w:r>
        <w:rPr/>
      </w:r>
    </w:p>
    <w:p>
      <w:pPr>
        <w:pStyle w:val="Normal"/>
        <w:spacing w:before="0" w:after="0"/>
        <w:contextualSpacing/>
        <w:rPr/>
      </w:pPr>
      <w:r>
        <w:rPr/>
        <w:t xml:space="preserve"> </w:t>
      </w:r>
      <w:r>
        <w:rPr/>
        <w:t>I: With so many people plagiarizing so of my ideas (from so many domains, countries), I have the feeling that the academic environment is a THEATRE!</w:t>
      </w:r>
    </w:p>
    <w:p>
      <w:pPr>
        <w:pStyle w:val="Normal"/>
        <w:spacing w:before="0" w:after="0"/>
        <w:contextualSpacing/>
        <w:rPr/>
      </w:pPr>
      <w:r>
        <w:rPr/>
      </w:r>
    </w:p>
    <w:p>
      <w:pPr>
        <w:pStyle w:val="Normal"/>
        <w:spacing w:before="0" w:after="0"/>
        <w:contextualSpacing/>
        <w:rPr/>
      </w:pPr>
      <w:r>
        <w:rP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rPr/>
        <w:t xml:space="preserve">! In reality, you have mocked the unicorn-world! (isn’t it your label for the ‘world’?) This is the reason, so many people have plagiarized your ideas in the last years but mainly after you have published the book at </w:t>
      </w:r>
      <w:r>
        <w:rPr>
          <w:i/>
        </w:rPr>
        <w:t>Springer</w:t>
      </w:r>
      <w:r>
        <w:rPr/>
        <w:t>! It is clear now, isn’t it?</w:t>
      </w:r>
    </w:p>
    <w:p>
      <w:pPr>
        <w:pStyle w:val="Normal"/>
        <w:spacing w:before="0" w:after="0"/>
        <w:contextualSpacing/>
        <w:rPr/>
      </w:pPr>
      <w:r>
        <w:rPr/>
      </w:r>
    </w:p>
    <w:p>
      <w:pPr>
        <w:pStyle w:val="Normal"/>
        <w:spacing w:before="0" w:after="0"/>
        <w:contextualSpacing/>
        <w:rPr/>
      </w:pPr>
      <w:r>
        <w:rPr/>
        <w:t xml:space="preserve">I: Somebody on Facebook (MC, 08 May 2018) wrote me: ‘Sorry that your work was stolen.’ </w:t>
      </w:r>
    </w:p>
    <w:p>
      <w:pPr>
        <w:pStyle w:val="Normal"/>
        <w:spacing w:before="0" w:after="0"/>
        <w:contextualSpacing/>
        <w:rPr/>
      </w:pPr>
      <w:r>
        <w:rPr/>
        <w:t xml:space="preserve">I replied to him: ‘Something NORMAL in this ABSURD world!’ I add here that I have known that the country in which I was born and lived is the most absurd in Europe, but I didn’t believe the academic WORLD is so ABSURD! </w:t>
      </w:r>
    </w:p>
    <w:p>
      <w:pPr>
        <w:pStyle w:val="Normal"/>
        <w:spacing w:before="0" w:after="0"/>
        <w:contextualSpacing/>
        <w:rPr/>
      </w:pPr>
      <w:r>
        <w:rPr/>
      </w:r>
    </w:p>
    <w:p>
      <w:pPr>
        <w:pStyle w:val="Normal"/>
        <w:spacing w:before="0" w:after="0"/>
        <w:contextualSpacing/>
        <w:rPr/>
      </w:pPr>
      <w:r>
        <w:rPr/>
        <w:t>EI: Then I was right: the world is absurd! You were right: the world does not even exist! So I was right to MOCK the ‘World’…</w:t>
      </w:r>
    </w:p>
    <w:p>
      <w:pPr>
        <w:pStyle w:val="Normal"/>
        <w:spacing w:before="0" w:after="0"/>
        <w:contextualSpacing/>
        <w:rPr>
          <w:color w:val="1D2129"/>
          <w:highlight w:val="white"/>
        </w:rPr>
      </w:pPr>
      <w:r>
        <w:rPr>
          <w:color w:val="1D2129"/>
          <w:highlight w:val="white"/>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b/>
          <w:b/>
          <w:sz w:val="40"/>
          <w:szCs w:val="40"/>
        </w:rPr>
      </w:pPr>
      <w:r>
        <w:rPr>
          <w:b/>
          <w:sz w:val="40"/>
          <w:szCs w:val="40"/>
        </w:rPr>
        <w:t>II. PHYSICS</w:t>
      </w:r>
    </w:p>
    <w:p>
      <w:pPr>
        <w:pStyle w:val="Normal"/>
        <w:spacing w:before="0" w:after="0"/>
        <w:contextualSpacing/>
        <w:rPr>
          <w:b/>
          <w:b/>
          <w:sz w:val="28"/>
          <w:szCs w:val="28"/>
        </w:rPr>
      </w:pPr>
      <w:r>
        <w:rPr>
          <w:b/>
          <w:sz w:val="28"/>
          <w:szCs w:val="28"/>
        </w:rPr>
      </w:r>
    </w:p>
    <w:p>
      <w:pPr>
        <w:pStyle w:val="ListParagraph"/>
        <w:numPr>
          <w:ilvl w:val="0"/>
          <w:numId w:val="18"/>
        </w:numPr>
        <w:spacing w:before="0" w:after="0"/>
        <w:contextualSpacing/>
        <w:rPr/>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FootnoteAnchor"/>
          <w:b/>
          <w:sz w:val="28"/>
          <w:szCs w:val="28"/>
        </w:rPr>
        <w:footnoteReference w:id="104"/>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pStyle w:val="Normal"/>
        <w:spacing w:before="0" w:after="0"/>
        <w:contextualSpacing/>
        <w:rPr/>
      </w:pPr>
      <w:r>
        <w:rPr/>
      </w:r>
    </w:p>
    <w:p>
      <w:pPr>
        <w:pStyle w:val="Normal"/>
        <w:spacing w:before="0" w:after="0"/>
        <w:contextualSpacing/>
        <w:rPr/>
      </w:pPr>
      <w:r>
        <w:rPr/>
        <w:t>About Ionicioiu and Terno’s article on quantum mechanics from 2011 and my “epistemologically different worlds” perspective from 2005, 2006, 2008, 2010 on quantum mechanics</w:t>
      </w:r>
    </w:p>
    <w:p>
      <w:pPr>
        <w:pStyle w:val="Normal"/>
        <w:spacing w:before="0" w:after="0"/>
        <w:contextualSpacing/>
        <w:rPr>
          <w:b/>
          <w:b/>
        </w:rPr>
      </w:pPr>
      <w:r>
        <w:rPr>
          <w:b/>
        </w:rPr>
      </w:r>
    </w:p>
    <w:p>
      <w:pPr>
        <w:pStyle w:val="Normal"/>
        <w:spacing w:before="0" w:after="0"/>
        <w:contextualSpacing/>
        <w:rPr/>
      </w:pPr>
      <w:r>
        <w:rP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pStyle w:val="Normal"/>
        <w:spacing w:before="0" w:after="0"/>
        <w:ind w:left="0" w:right="0" w:firstLine="720"/>
        <w:contextualSpacing/>
        <w:rPr/>
      </w:pPr>
      <w:r>
        <w:rP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pStyle w:val="Normal"/>
        <w:spacing w:before="0" w:after="0"/>
        <w:contextualSpacing/>
        <w:rPr/>
      </w:pPr>
      <w:r>
        <w:rPr/>
        <w:tab/>
      </w:r>
      <w:r>
        <w:rPr>
          <w:rStyle w:val="Strong"/>
          <w:b w:val="false"/>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rP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hyperlink r:id="rId79">
        <w:r>
          <w:rPr>
            <w:rStyle w:val="InternetLink"/>
            <w:color w:val="auto"/>
            <w:u w:val="none"/>
          </w:rPr>
          <w:t>Brain, mind and the perspective of the observer</w:t>
        </w:r>
      </w:hyperlink>
      <w:r>
        <w:rPr/>
        <w:t>”,</w:t>
      </w:r>
      <w:r>
        <w:rPr>
          <w:rStyle w:val="Appleconvertedspace"/>
        </w:rPr>
        <w:t> </w:t>
      </w:r>
      <w:r>
        <w:rPr>
          <w:rStyle w:val="Emphasis"/>
        </w:rPr>
        <w:t>Revue Roumanie de Philosophie</w:t>
      </w:r>
      <w:r>
        <w:rPr/>
        <w:t>, 46, no. 1-2 and Vacariu, Gabriel and Terhesiu, Dalia</w:t>
      </w:r>
    </w:p>
    <w:p>
      <w:pPr>
        <w:pStyle w:val="Normal"/>
        <w:spacing w:before="0" w:after="0"/>
        <w:contextualSpacing/>
        <w:rPr/>
      </w:pPr>
      <w:r>
        <w:rPr/>
        <w:t xml:space="preserve">(2002), “Brain, mind and the role of the observer”) in which we extend Bohr’s principle of complementarity to the mind-brain problem. This extension represented a movement from Bohr’s epistemological status to an ontological one. </w:t>
      </w:r>
    </w:p>
    <w:p>
      <w:pPr>
        <w:pStyle w:val="Normal"/>
        <w:spacing w:before="0" w:after="0"/>
        <w:contextualSpacing/>
        <w:rPr>
          <w:b/>
          <w:b/>
        </w:rPr>
      </w:pPr>
      <w:r>
        <w:rPr>
          <w:b/>
        </w:rPr>
      </w:r>
    </w:p>
    <w:p>
      <w:pPr>
        <w:pStyle w:val="Normal"/>
        <w:spacing w:before="0" w:after="0"/>
        <w:contextualSpacing/>
        <w:rPr/>
      </w:pPr>
      <w:r>
        <w:rPr/>
        <w:tab/>
        <w:t>On 15</w:t>
      </w:r>
      <w:r>
        <w:rPr>
          <w:vertAlign w:val="superscript"/>
        </w:rPr>
        <w:t>th</w:t>
      </w:r>
      <w:r>
        <w:rPr/>
        <w:t xml:space="preserve"> October 2014, the physicist Radu Ionicioiu (</w:t>
      </w:r>
      <w:r>
        <w:rPr>
          <w:highlight w:val="white"/>
        </w:rPr>
        <w:t>Faculty of Physics, University of Bucharest)</w:t>
      </w:r>
      <w:r>
        <w:rP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rPr/>
        <w:t xml:space="preserve">Ionicioiu and Daniel R. Terno (2011): “Proposal for a quantum delayed-choice experiment” from </w:t>
      </w:r>
      <w:r>
        <w:rPr>
          <w:i/>
          <w:iCs/>
        </w:rPr>
        <w:t xml:space="preserve">Physical Review Letters </w:t>
      </w:r>
      <w:r>
        <w:rP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pStyle w:val="Normal"/>
        <w:spacing w:before="0" w:after="0"/>
        <w:contextualSpacing/>
        <w:rPr/>
      </w:pPr>
      <w:r>
        <w:rPr>
          <w:rStyle w:val="Strong"/>
          <w:b w:val="false"/>
          <w:highlight w:val="white"/>
        </w:rPr>
        <w:tab/>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hyperlink r:id="rId80">
        <w:r>
          <w:rPr>
            <w:rStyle w:val="InternetLink"/>
            <w:bCs/>
            <w:color w:val="auto"/>
            <w:u w:val="none"/>
            <w:lang w:val="ro-RO"/>
          </w:rPr>
          <w:t>http://filosofie.unibuc.ro/cv_gabriel_vacariu/</w:t>
        </w:r>
      </w:hyperlink>
      <w:r>
        <w:rPr>
          <w:bCs/>
          <w:lang w:val="ro-RO"/>
        </w:rPr>
        <w:t xml:space="preserve">. I remind you that I posted all my books and article on the Internet at my webpage immediately after being published at journals and publishing company of University of Bucharest. </w:t>
      </w:r>
    </w:p>
    <w:p>
      <w:pPr>
        <w:pStyle w:val="Normal"/>
        <w:spacing w:before="0" w:after="0"/>
        <w:contextualSpacing/>
        <w:rPr/>
      </w:pPr>
      <w:r>
        <w:rPr/>
      </w:r>
    </w:p>
    <w:p>
      <w:pPr>
        <w:pStyle w:val="ListParagraph"/>
        <w:numPr>
          <w:ilvl w:val="0"/>
          <w:numId w:val="18"/>
        </w:numPr>
        <w:tabs>
          <w:tab w:val="clear" w:pos="720"/>
          <w:tab w:val="left" w:pos="0" w:leader="none"/>
        </w:tabs>
        <w:spacing w:before="0" w:after="0"/>
        <w:contextualSpacing/>
        <w:jc w:val="both"/>
        <w:rPr/>
      </w:pPr>
      <w:r>
        <w:rPr>
          <w:rFonts w:eastAsia="Calibri" w:ascii="Times New Roman" w:hAnsi="Times New Roman"/>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pStyle w:val="ListParagraph"/>
        <w:tabs>
          <w:tab w:val="clear" w:pos="720"/>
          <w:tab w:val="left" w:pos="0" w:leader="none"/>
        </w:tabs>
        <w:spacing w:before="0" w:after="0"/>
        <w:ind w:left="0" w:right="0" w:hanging="0"/>
        <w:contextualSpacing/>
        <w:jc w:val="both"/>
        <w:rPr>
          <w:rFonts w:ascii="Times New Roman" w:hAnsi="Times New Roman" w:eastAsia="Calibri"/>
          <w:color w:val="000000"/>
          <w:sz w:val="28"/>
          <w:szCs w:val="28"/>
        </w:rPr>
      </w:pPr>
      <w:r>
        <w:rPr>
          <w:rFonts w:eastAsia="Calibri" w:ascii="Times New Roman" w:hAnsi="Times New Roman"/>
          <w:color w:val="000000"/>
          <w:sz w:val="28"/>
          <w:szCs w:val="28"/>
        </w:rPr>
      </w:r>
    </w:p>
    <w:p>
      <w:pPr>
        <w:pStyle w:val="ListParagraph"/>
        <w:tabs>
          <w:tab w:val="clear" w:pos="720"/>
          <w:tab w:val="left" w:pos="0" w:leader="none"/>
        </w:tabs>
        <w:spacing w:before="0" w:after="0"/>
        <w:ind w:left="0" w:right="0" w:hanging="0"/>
        <w:contextualSpacing/>
        <w:jc w:val="both"/>
        <w:rPr/>
      </w:pPr>
      <w:r>
        <w:rPr>
          <w:rFonts w:ascii="Times New Roman" w:hAnsi="Times New Roman"/>
          <w:sz w:val="24"/>
          <w:szCs w:val="24"/>
        </w:rPr>
        <w:t>Abstract:</w:t>
      </w:r>
      <w:r>
        <w:rPr>
          <w:rFonts w:eastAsia="Calibri" w:ascii="Times New Roman" w:hAnsi="Times New Roman"/>
          <w:kern w:val="0"/>
          <w:sz w:val="24"/>
          <w:szCs w:val="24"/>
        </w:rPr>
        <w:t xml:space="preserve"> “</w:t>
      </w:r>
      <w:r>
        <w:rPr>
          <w:rFonts w:eastAsia="Calibri" w:ascii="Times New Roman" w:hAnsi="Times New Roman"/>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pStyle w:val="Normal"/>
        <w:spacing w:before="0" w:after="0"/>
        <w:contextualSpacing/>
        <w:rPr>
          <w:b/>
          <w:b/>
          <w:sz w:val="28"/>
          <w:szCs w:val="28"/>
        </w:rPr>
      </w:pPr>
      <w:r>
        <w:rPr>
          <w:b/>
          <w:sz w:val="28"/>
          <w:szCs w:val="28"/>
        </w:rPr>
      </w:r>
    </w:p>
    <w:p>
      <w:pPr>
        <w:pStyle w:val="Normal"/>
        <w:spacing w:before="0" w:after="0"/>
        <w:contextualSpacing/>
        <w:rPr>
          <w:b/>
          <w:b/>
        </w:rPr>
      </w:pPr>
      <w:r>
        <w:rPr>
          <w:b/>
        </w:rPr>
        <w:t>No comments!</w:t>
      </w:r>
    </w:p>
    <w:p>
      <w:pPr>
        <w:pStyle w:val="Normal"/>
        <w:spacing w:before="0" w:after="0"/>
        <w:contextualSpacing/>
        <w:rPr>
          <w:b/>
          <w:b/>
          <w:sz w:val="28"/>
          <w:szCs w:val="28"/>
        </w:rPr>
      </w:pPr>
      <w:r>
        <w:rPr>
          <w:b/>
          <w:sz w:val="28"/>
          <w:szCs w:val="28"/>
        </w:rPr>
      </w:r>
    </w:p>
    <w:p>
      <w:pPr>
        <w:pStyle w:val="Normal"/>
        <w:spacing w:before="0" w:after="0"/>
        <w:contextualSpacing/>
        <w:rPr>
          <w:b/>
          <w:b/>
          <w:sz w:val="28"/>
          <w:szCs w:val="28"/>
        </w:rPr>
      </w:pPr>
      <w:r>
        <w:rPr>
          <w:b/>
          <w:sz w:val="28"/>
          <w:szCs w:val="28"/>
        </w:rPr>
      </w:r>
    </w:p>
    <w:p>
      <w:pPr>
        <w:pStyle w:val="ListParagraph"/>
        <w:numPr>
          <w:ilvl w:val="0"/>
          <w:numId w:val="18"/>
        </w:numPr>
        <w:spacing w:before="0" w:after="0"/>
        <w:contextualSpacing/>
        <w:rPr/>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FootnoteCharacters"/>
          <w:b/>
          <w:sz w:val="28"/>
          <w:szCs w:val="28"/>
        </w:rPr>
        <w:t xml:space="preserve"> </w:t>
      </w:r>
      <w:r>
        <w:rPr>
          <w:rStyle w:val="FootnoteAnchor"/>
          <w:b/>
          <w:sz w:val="28"/>
          <w:szCs w:val="28"/>
        </w:rPr>
        <w:footnoteReference w:id="105"/>
      </w:r>
    </w:p>
    <w:p>
      <w:pPr>
        <w:pStyle w:val="Normal"/>
        <w:spacing w:before="0" w:after="0"/>
        <w:contextualSpacing/>
        <w:rPr>
          <w:b/>
          <w:b/>
        </w:rPr>
      </w:pPr>
      <w:r>
        <w:rPr>
          <w:b/>
        </w:rPr>
      </w:r>
    </w:p>
    <w:p>
      <w:pPr>
        <w:pStyle w:val="Normal"/>
        <w:spacing w:before="0" w:after="0"/>
        <w:contextualSpacing/>
        <w:rPr/>
      </w:pPr>
      <w:r>
        <w:rPr/>
        <w:t>In a paper written by Elisabeth Gibney (in Nature (News) on 17 June 2015) about Pikovski et al. article (June 2015), the first paragraphs are the following:</w:t>
      </w:r>
    </w:p>
    <w:p>
      <w:pPr>
        <w:pStyle w:val="Normal"/>
        <w:spacing w:before="0" w:after="0"/>
        <w:contextualSpacing/>
        <w:rPr/>
      </w:pPr>
      <w:r>
        <w:rPr/>
      </w:r>
    </w:p>
    <w:p>
      <w:pPr>
        <w:pStyle w:val="Normal"/>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pStyle w:val="Normal"/>
        <w:spacing w:before="0" w:after="0"/>
        <w:contextualSpacing/>
        <w:rPr/>
      </w:pPr>
      <w:r>
        <w:rPr/>
      </w:r>
    </w:p>
    <w:p>
      <w:pPr>
        <w:pStyle w:val="Normal"/>
        <w:spacing w:before="0" w:after="0"/>
        <w:contextualSpacing/>
        <w:rPr/>
      </w:pPr>
      <w:r>
        <w:rPr/>
        <w:t>This idea is very similar to my idea from 2007, 2010, 2011, and mainly from 2014. The next paragraph from Gibney’s paper regarding Pikovski et al. paper mirror one of my idea from 2007, 2008, etc.</w:t>
      </w:r>
    </w:p>
    <w:p>
      <w:pPr>
        <w:pStyle w:val="Normal"/>
        <w:spacing w:before="0" w:after="0"/>
        <w:contextualSpacing/>
        <w:rPr>
          <w:sz w:val="20"/>
          <w:szCs w:val="20"/>
          <w:highlight w:val="white"/>
        </w:rPr>
      </w:pPr>
      <w:r>
        <w:rPr>
          <w:sz w:val="20"/>
          <w:szCs w:val="20"/>
          <w:highlight w:val="white"/>
        </w:rPr>
      </w:r>
    </w:p>
    <w:p>
      <w:pPr>
        <w:pStyle w:val="Normal"/>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pStyle w:val="Normal"/>
        <w:spacing w:before="0" w:after="0"/>
        <w:contextualSpacing/>
        <w:rPr/>
      </w:pPr>
      <w:r>
        <w:rPr/>
      </w:r>
    </w:p>
    <w:p>
      <w:pPr>
        <w:pStyle w:val="Normal"/>
        <w:spacing w:before="0" w:after="0"/>
        <w:contextualSpacing/>
        <w:rPr/>
      </w:pPr>
      <w:r>
        <w:rP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pStyle w:val="Normal"/>
        <w:spacing w:before="0" w:after="0"/>
        <w:ind w:left="0" w:right="0" w:firstLine="720"/>
        <w:contextualSpacing/>
        <w:rPr/>
      </w:pPr>
      <w:r>
        <w:rPr/>
        <w:t xml:space="preserve">However, Pikovski et al. accept the superposition states in quantum mechanics. </w:t>
      </w:r>
    </w:p>
    <w:p>
      <w:pPr>
        <w:pStyle w:val="Normal"/>
        <w:spacing w:before="0" w:after="0"/>
        <w:ind w:left="0" w:right="0" w:firstLine="720"/>
        <w:contextualSpacing/>
        <w:rPr>
          <w:highlight w:val="white"/>
        </w:rPr>
      </w:pPr>
      <w:r>
        <w:rPr>
          <w:highlight w:val="white"/>
        </w:rPr>
      </w:r>
    </w:p>
    <w:p>
      <w:pPr>
        <w:pStyle w:val="Normal"/>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pStyle w:val="Normal"/>
        <w:spacing w:before="0" w:after="0"/>
        <w:contextualSpacing/>
        <w:rPr/>
      </w:pPr>
      <w:r>
        <w:rPr/>
      </w:r>
    </w:p>
    <w:p>
      <w:pPr>
        <w:pStyle w:val="Normal"/>
        <w:widowControl w:val="false"/>
        <w:spacing w:before="0" w:after="0"/>
        <w:ind w:left="0" w:right="-20" w:hanging="0"/>
        <w:contextualSpacing/>
        <w:rPr/>
      </w:pPr>
      <w:r>
        <w:rP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pStyle w:val="Normal"/>
        <w:widowControl w:val="false"/>
        <w:spacing w:before="0" w:after="0"/>
        <w:ind w:left="0" w:right="-20" w:hanging="0"/>
        <w:contextualSpacing/>
        <w:rPr>
          <w:b/>
          <w:b/>
          <w:sz w:val="28"/>
          <w:szCs w:val="28"/>
        </w:rPr>
      </w:pPr>
      <w:r>
        <w:rPr>
          <w:b/>
          <w:sz w:val="28"/>
          <w:szCs w:val="28"/>
        </w:rPr>
      </w:r>
    </w:p>
    <w:p>
      <w:pPr>
        <w:pStyle w:val="Normal"/>
        <w:widowControl w:val="false"/>
        <w:spacing w:before="0" w:after="0"/>
        <w:ind w:left="0" w:right="-20" w:hanging="0"/>
        <w:contextualSpacing/>
        <w:rPr>
          <w:b/>
          <w:b/>
          <w:sz w:val="28"/>
          <w:szCs w:val="28"/>
        </w:rPr>
      </w:pPr>
      <w:r>
        <w:rPr>
          <w:b/>
          <w:sz w:val="28"/>
          <w:szCs w:val="28"/>
        </w:rPr>
      </w:r>
    </w:p>
    <w:p>
      <w:pPr>
        <w:pStyle w:val="ListParagraph"/>
        <w:numPr>
          <w:ilvl w:val="0"/>
          <w:numId w:val="18"/>
        </w:numPr>
        <w:spacing w:before="0" w:after="0"/>
        <w:ind w:left="720" w:right="-20" w:hanging="360"/>
        <w:contextualSpacing/>
        <w:rPr/>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FootnoteAnchor"/>
          <w:b/>
          <w:sz w:val="28"/>
          <w:szCs w:val="28"/>
        </w:rPr>
        <w:footnoteReference w:id="106"/>
      </w:r>
    </w:p>
    <w:p>
      <w:pPr>
        <w:pStyle w:val="Normal"/>
        <w:spacing w:before="0" w:after="0"/>
        <w:contextualSpacing/>
        <w:rPr>
          <w:b/>
          <w:b/>
          <w:sz w:val="21"/>
          <w:szCs w:val="21"/>
        </w:rPr>
      </w:pPr>
      <w:r>
        <w:rPr>
          <w:b/>
          <w:sz w:val="21"/>
          <w:szCs w:val="21"/>
        </w:rPr>
      </w:r>
    </w:p>
    <w:p>
      <w:pPr>
        <w:pStyle w:val="Normal"/>
        <w:spacing w:before="0" w:after="0"/>
        <w:contextualSpacing/>
        <w:rPr/>
      </w:pPr>
      <w:r>
        <w:rPr/>
        <w:t xml:space="preserve">In some journals that introduce new ideas, we found that, in June 2015, Elisabetta Caffau introduces the idea that Big Bang appeared in different places. Below, you can find exactly the same idea from my book </w:t>
      </w:r>
      <w:r>
        <w:rPr>
          <w:rStyle w:val="Strong"/>
          <w:bCs w:val="false"/>
          <w:highlight w:val="white"/>
        </w:rPr>
        <w:t>(2014)</w:t>
      </w:r>
      <w:r>
        <w:rPr>
          <w:rStyle w:val="Appleconvertedspace"/>
          <w:highlight w:val="white"/>
        </w:rPr>
        <w:t> </w:t>
      </w:r>
      <w:r>
        <w:rPr>
          <w:highlight w:val="white"/>
        </w:rPr>
        <w:t>“</w:t>
      </w:r>
      <w:r>
        <w:rPr>
          <w:rStyle w:val="Strong"/>
          <w:bCs w:val="false"/>
          <w:highlight w:val="white"/>
        </w:rPr>
        <w:t>More troubles with cognitive neuroscience. Einstein’s theory of relativity and the hyperverse”</w:t>
      </w:r>
      <w:r>
        <w:rPr>
          <w:rStyle w:val="Appleconvertedspace"/>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pStyle w:val="Normal"/>
        <w:spacing w:before="0" w:after="0"/>
        <w:contextualSpacing/>
        <w:rPr>
          <w:b/>
          <w:b/>
          <w:sz w:val="21"/>
          <w:szCs w:val="21"/>
        </w:rPr>
      </w:pPr>
      <w:r>
        <w:rPr>
          <w:b/>
          <w:sz w:val="21"/>
          <w:szCs w:val="21"/>
        </w:rPr>
      </w:r>
    </w:p>
    <w:p>
      <w:pPr>
        <w:pStyle w:val="Normal"/>
        <w:spacing w:before="0" w:after="0"/>
        <w:contextualSpacing/>
        <w:rPr>
          <w:b/>
          <w:b/>
        </w:rPr>
      </w:pPr>
      <w:r>
        <w:rPr>
          <w:b/>
        </w:rPr>
        <w:t>Paragraphs from my book from 2014</w:t>
      </w:r>
    </w:p>
    <w:p>
      <w:pPr>
        <w:pStyle w:val="Normal"/>
        <w:spacing w:before="0" w:after="0"/>
        <w:contextualSpacing/>
        <w:rPr>
          <w:b/>
          <w:b/>
        </w:rPr>
      </w:pPr>
      <w:r>
        <w:rPr>
          <w:b/>
        </w:rPr>
      </w:r>
    </w:p>
    <w:p>
      <w:pPr>
        <w:pStyle w:val="Default"/>
        <w:spacing w:before="0" w:after="0"/>
        <w:contextualSpacing/>
        <w:jc w:val="both"/>
        <w:rPr>
          <w:rFonts w:ascii="Times New Roman" w:hAnsi="Times New Roman" w:cs="Times New Roman"/>
          <w:b/>
          <w:b/>
          <w:bCs/>
          <w:color w:val="auto"/>
          <w:sz w:val="21"/>
          <w:szCs w:val="21"/>
        </w:rPr>
      </w:pPr>
      <w:r>
        <w:rPr>
          <w:rFonts w:cs="Times New Roman" w:ascii="Times New Roman" w:hAnsi="Times New Roman"/>
          <w:b/>
          <w:bCs/>
          <w:color w:val="auto"/>
          <w:sz w:val="21"/>
          <w:szCs w:val="21"/>
        </w:rPr>
        <w:t>“</w:t>
      </w:r>
      <w:r>
        <w:rPr>
          <w:rFonts w:cs="Times New Roman" w:ascii="Times New Roman" w:hAnsi="Times New Roman"/>
          <w:b/>
          <w:bCs/>
          <w:color w:val="auto"/>
          <w:sz w:val="21"/>
          <w:szCs w:val="21"/>
        </w:rPr>
        <w:t xml:space="preserve">7.5 The results of BICEP2 (March 2014) about Big Bang, gravitational waves and inflation </w:t>
      </w:r>
    </w:p>
    <w:p>
      <w:pPr>
        <w:pStyle w:val="Default"/>
        <w:spacing w:before="0" w:after="0"/>
        <w:contextualSpacing/>
        <w:jc w:val="both"/>
        <w:rPr/>
      </w:pPr>
      <w:r>
        <w:rPr>
          <w:rFonts w:cs="Times New Roman" w:ascii="Times New Roman" w:hAnsi="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FootnoteAnchor"/>
          <w:rFonts w:eastAsia="Calibri" w:cs="Times New Roman" w:ascii="Times New Roman" w:hAnsi="Times New Roman"/>
          <w:color w:val="auto"/>
          <w:sz w:val="21"/>
          <w:szCs w:val="21"/>
        </w:rPr>
        <w:footnoteReference w:id="107"/>
      </w:r>
      <w:r>
        <w:rPr>
          <w:rFonts w:cs="Times New Roman" w:ascii="Times New Roman" w:hAnsi="Times New Roman"/>
          <w:color w:val="auto"/>
          <w:sz w:val="14"/>
          <w:szCs w:val="14"/>
        </w:rPr>
        <w:t xml:space="preserve"> </w:t>
      </w:r>
      <w:r>
        <w:rPr>
          <w:rFonts w:cs="Times New Roman" w:ascii="Times New Roman" w:hAnsi="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cs="Times New Roman" w:ascii="Times New Roman" w:hAnsi="Times New Roman"/>
          <w:color w:val="auto"/>
          <w:sz w:val="14"/>
          <w:szCs w:val="14"/>
        </w:rPr>
        <w:t xml:space="preserve">-34 </w:t>
      </w:r>
      <w:r>
        <w:rPr>
          <w:rFonts w:cs="Times New Roman" w:ascii="Times New Roman" w:hAnsi="Times New Roman"/>
          <w:color w:val="auto"/>
          <w:sz w:val="21"/>
          <w:szCs w:val="21"/>
        </w:rPr>
        <w:t>seconds).</w:t>
      </w:r>
      <w:r>
        <w:rPr>
          <w:rStyle w:val="FootnoteAnchor"/>
          <w:rFonts w:eastAsia="Calibri" w:cs="Times New Roman" w:ascii="Times New Roman" w:hAnsi="Times New Roman"/>
          <w:color w:val="auto"/>
          <w:sz w:val="21"/>
          <w:szCs w:val="21"/>
        </w:rPr>
        <w:footnoteReference w:id="108"/>
      </w:r>
    </w:p>
    <w:p>
      <w:pPr>
        <w:pStyle w:val="Normal"/>
        <w:spacing w:before="0" w:after="0"/>
        <w:contextualSpacing/>
        <w:rPr>
          <w:sz w:val="18"/>
          <w:szCs w:val="18"/>
        </w:rPr>
      </w:pPr>
      <w:r>
        <w:rPr>
          <w:sz w:val="18"/>
          <w:szCs w:val="18"/>
        </w:rPr>
      </w:r>
    </w:p>
    <w:p>
      <w:pPr>
        <w:pStyle w:val="Normal"/>
        <w:spacing w:before="0" w:after="0"/>
        <w:contextualSpacing/>
        <w:rPr/>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pStyle w:val="Default"/>
        <w:spacing w:before="0" w:after="0"/>
        <w:ind w:left="0" w:right="0" w:firstLine="720"/>
        <w:contextualSpacing/>
        <w:jc w:val="both"/>
        <w:rPr/>
      </w:pPr>
      <w:r>
        <w:rPr>
          <w:rFonts w:cs="Times New Roman" w:ascii="Times New Roman" w:hAnsi="Times New Roman"/>
          <w:color w:val="auto"/>
          <w:sz w:val="21"/>
          <w:szCs w:val="21"/>
        </w:rPr>
        <w:t>As I mentioned above, in 1979, the pioneer of “inflation” is Alan Guth</w:t>
      </w:r>
      <w:r>
        <w:rPr>
          <w:rStyle w:val="FootnoteAnchor"/>
          <w:rFonts w:eastAsia="Calibri" w:cs="Times New Roman" w:ascii="Times New Roman" w:hAnsi="Times New Roman"/>
          <w:color w:val="auto"/>
          <w:sz w:val="21"/>
          <w:szCs w:val="21"/>
        </w:rPr>
        <w:footnoteReference w:id="109"/>
      </w:r>
      <w:r>
        <w:rPr>
          <w:rFonts w:cs="Times New Roman" w:ascii="Times New Roman" w:hAnsi="Times New Roman"/>
          <w:color w:val="auto"/>
          <w:sz w:val="21"/>
          <w:szCs w:val="21"/>
        </w:rPr>
        <w:t xml:space="preserve">: </w:t>
      </w:r>
    </w:p>
    <w:p>
      <w:pPr>
        <w:pStyle w:val="Default"/>
        <w:spacing w:before="0" w:after="0"/>
        <w:ind w:left="0" w:right="0" w:firstLine="72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pStyle w:val="Normal"/>
        <w:spacing w:before="0" w:after="0"/>
        <w:contextualSpacing/>
        <w:rPr>
          <w:sz w:val="18"/>
          <w:szCs w:val="18"/>
        </w:rPr>
      </w:pPr>
      <w:r>
        <w:rPr>
          <w:sz w:val="18"/>
          <w:szCs w:val="18"/>
        </w:rPr>
      </w:r>
    </w:p>
    <w:p>
      <w:pPr>
        <w:pStyle w:val="Normal"/>
        <w:spacing w:before="0" w:after="0"/>
        <w:contextualSpacing/>
        <w:rPr/>
      </w:pPr>
      <w:r>
        <w:rP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pStyle w:val="Normal"/>
        <w:spacing w:before="0" w:after="0"/>
        <w:contextualSpacing/>
        <w:rPr/>
      </w:pPr>
      <w:r>
        <w:rPr/>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In more details: </w:t>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r>
    </w:p>
    <w:p>
      <w:pPr>
        <w:pStyle w:val="Storybodytext1"/>
        <w:spacing w:before="0" w:after="0"/>
        <w:contextualSpacing/>
        <w:jc w:val="both"/>
        <w:rPr/>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FootnoteAnchor"/>
          <w:rFonts w:eastAsia="Calibri"/>
          <w:sz w:val="18"/>
          <w:szCs w:val="18"/>
        </w:rPr>
        <w:footnoteReference w:id="110"/>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pStyle w:val="Normal"/>
        <w:spacing w:before="0" w:after="0"/>
        <w:contextualSpacing/>
        <w:rPr>
          <w:sz w:val="21"/>
          <w:szCs w:val="21"/>
        </w:rPr>
      </w:pPr>
      <w:r>
        <w:rPr>
          <w:sz w:val="21"/>
          <w:szCs w:val="21"/>
        </w:rPr>
      </w:r>
    </w:p>
    <w:p>
      <w:pPr>
        <w:pStyle w:val="Normal"/>
        <w:spacing w:before="0" w:after="0"/>
        <w:contextualSpacing/>
        <w:rPr/>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pStyle w:val="Normal"/>
        <w:spacing w:before="0" w:after="0"/>
        <w:contextualSpacing/>
        <w:rPr>
          <w:sz w:val="21"/>
          <w:szCs w:val="21"/>
        </w:rPr>
      </w:pPr>
      <w:r>
        <w:rPr>
          <w:sz w:val="21"/>
          <w:szCs w:val="21"/>
        </w:rPr>
      </w:r>
    </w:p>
    <w:p>
      <w:pPr>
        <w:pStyle w:val="Default"/>
        <w:spacing w:before="0" w:after="0"/>
        <w:contextualSpacing/>
        <w:jc w:val="both"/>
        <w:rPr/>
      </w:pPr>
      <w:r>
        <w:rPr>
          <w:rFonts w:cs="Times New Roman" w:ascii="Times New Roman" w:hAnsi="Times New Roman"/>
          <w:color w:val="auto"/>
          <w:sz w:val="12"/>
          <w:szCs w:val="12"/>
        </w:rPr>
        <w:t xml:space="preserve">2 </w:t>
      </w:r>
      <w:r>
        <w:rPr>
          <w:rFonts w:cs="Times New Roman" w:ascii="Times New Roman" w:hAnsi="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pStyle w:val="Normal"/>
        <w:spacing w:before="0" w:after="0"/>
        <w:contextualSpacing/>
        <w:rPr/>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rPr/>
        <w:t xml:space="preserve"> </w:t>
      </w:r>
    </w:p>
    <w:p>
      <w:pPr>
        <w:pStyle w:val="Normal"/>
        <w:spacing w:before="0" w:after="0"/>
        <w:contextualSpacing/>
        <w:rPr/>
      </w:pPr>
      <w:r>
        <w:rPr/>
      </w:r>
    </w:p>
    <w:p>
      <w:pPr>
        <w:pStyle w:val="Normal"/>
        <w:spacing w:before="0" w:after="0"/>
        <w:contextualSpacing/>
        <w:rPr/>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pStyle w:val="Normal"/>
        <w:spacing w:before="0" w:after="0"/>
        <w:contextualSpacing/>
        <w:rPr>
          <w:sz w:val="21"/>
          <w:szCs w:val="21"/>
        </w:rPr>
      </w:pPr>
      <w:r>
        <w:rPr>
          <w:sz w:val="21"/>
          <w:szCs w:val="21"/>
        </w:rPr>
      </w:r>
    </w:p>
    <w:p>
      <w:pPr>
        <w:pStyle w:val="Default"/>
        <w:spacing w:before="0" w:after="0"/>
        <w:contextualSpacing/>
        <w:jc w:val="both"/>
        <w:rPr/>
      </w:pPr>
      <w:r>
        <w:rPr>
          <w:rFonts w:cs="Times New Roman" w:ascii="Times New Roman" w:hAnsi="Times New Roman"/>
          <w:color w:val="auto"/>
          <w:sz w:val="12"/>
          <w:szCs w:val="12"/>
        </w:rPr>
        <w:t xml:space="preserve">1 </w:t>
      </w:r>
      <w:r>
        <w:rPr>
          <w:rFonts w:cs="Times New Roman" w:ascii="Times New Roman" w:hAnsi="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pStyle w:val="Default"/>
        <w:spacing w:before="0" w:after="0"/>
        <w:contextualSpacing/>
        <w:jc w:val="both"/>
        <w:rPr/>
      </w:pPr>
      <w:r>
        <w:rPr>
          <w:rFonts w:cs="Times New Roman" w:ascii="Times New Roman" w:hAnsi="Times New Roman"/>
          <w:color w:val="auto"/>
          <w:sz w:val="12"/>
          <w:szCs w:val="12"/>
        </w:rPr>
        <w:t xml:space="preserve">2 </w:t>
      </w:r>
      <w:r>
        <w:rPr>
          <w:rFonts w:cs="Times New Roman" w:ascii="Times New Roman" w:hAnsi="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pStyle w:val="Normal"/>
        <w:spacing w:before="0" w:after="0"/>
        <w:contextualSpacing/>
        <w:rPr/>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rPr/>
        <w:t xml:space="preserve"> </w:t>
      </w:r>
    </w:p>
    <w:p>
      <w:pPr>
        <w:pStyle w:val="Normal"/>
        <w:spacing w:before="0" w:after="0"/>
        <w:contextualSpacing/>
        <w:rPr/>
      </w:pPr>
      <w:r>
        <w:rPr/>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r>
    </w:p>
    <w:p>
      <w:pPr>
        <w:pStyle w:val="Default"/>
        <w:spacing w:before="0" w:after="0"/>
        <w:contextualSpacing/>
        <w:jc w:val="both"/>
        <w:rPr/>
      </w:pPr>
      <w:r>
        <w:rPr>
          <w:rFonts w:cs="Times New Roman" w:ascii="Times New Roman" w:hAnsi="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FootnoteAnchor"/>
          <w:rFonts w:eastAsia="Calibri" w:cs="Times New Roman" w:ascii="Times New Roman" w:hAnsi="Times New Roman"/>
          <w:color w:val="auto"/>
          <w:sz w:val="18"/>
          <w:szCs w:val="18"/>
        </w:rPr>
        <w:footnoteReference w:id="111"/>
      </w:r>
      <w:r>
        <w:rPr>
          <w:rFonts w:cs="Times New Roman" w:ascii="Times New Roman" w:hAnsi="Times New Roman"/>
          <w:color w:val="auto"/>
          <w:sz w:val="18"/>
          <w:szCs w:val="18"/>
        </w:rPr>
        <w:t xml:space="preserve"> </w:t>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r>
    </w:p>
    <w:p>
      <w:pPr>
        <w:pStyle w:val="Default"/>
        <w:spacing w:before="0" w:after="0"/>
        <w:contextualSpacing/>
        <w:jc w:val="both"/>
        <w:rPr/>
      </w:pPr>
      <w:r>
        <w:rPr>
          <w:rFonts w:cs="Times New Roman" w:ascii="Times New Roman" w:hAnsi="Times New Roman"/>
          <w:color w:val="auto"/>
          <w:sz w:val="18"/>
          <w:szCs w:val="18"/>
        </w:rPr>
        <w:t xml:space="preserve">The BICEP2 researchers have reported a surprisingly large number for </w:t>
      </w:r>
      <w:r>
        <w:rPr>
          <w:rFonts w:cs="Times New Roman" w:ascii="Times New Roman" w:hAnsi="Times New Roman"/>
          <w:i/>
          <w:iCs/>
          <w:color w:val="auto"/>
          <w:sz w:val="18"/>
          <w:szCs w:val="18"/>
        </w:rPr>
        <w:t>r</w:t>
      </w:r>
      <w:r>
        <w:rPr>
          <w:rFonts w:cs="Times New Roman" w:ascii="Times New Roman" w:hAnsi="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cs="Times New Roman" w:ascii="Times New Roman" w:hAnsi="Times New Roman"/>
          <w:i/>
          <w:iCs/>
          <w:color w:val="auto"/>
          <w:sz w:val="18"/>
          <w:szCs w:val="18"/>
        </w:rPr>
        <w:t>r</w:t>
      </w:r>
      <w:r>
        <w:rPr>
          <w:rFonts w:cs="Times New Roman" w:ascii="Times New Roman" w:hAnsi="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pStyle w:val="Normal"/>
        <w:spacing w:before="0" w:after="0"/>
        <w:contextualSpacing/>
        <w:rPr>
          <w:sz w:val="21"/>
          <w:szCs w:val="21"/>
        </w:rPr>
      </w:pPr>
      <w:r>
        <w:rPr>
          <w:sz w:val="21"/>
          <w:szCs w:val="21"/>
        </w:rPr>
      </w:r>
    </w:p>
    <w:p>
      <w:pPr>
        <w:pStyle w:val="Normal"/>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pStyle w:val="Normal"/>
        <w:spacing w:before="0" w:after="0"/>
        <w:contextualSpacing/>
        <w:rPr>
          <w:sz w:val="21"/>
          <w:szCs w:val="21"/>
        </w:rPr>
      </w:pPr>
      <w:r>
        <w:rPr>
          <w:sz w:val="21"/>
          <w:szCs w:val="21"/>
        </w:rPr>
      </w:r>
    </w:p>
    <w:p>
      <w:pPr>
        <w:pStyle w:val="Default"/>
        <w:spacing w:before="0" w:after="0"/>
        <w:contextualSpacing/>
        <w:jc w:val="both"/>
        <w:rPr/>
      </w:pPr>
      <w:r>
        <w:rPr>
          <w:rFonts w:cs="Times New Roman" w:ascii="Times New Roman" w:hAnsi="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cs="Times New Roman" w:ascii="Times New Roman" w:hAnsi="Times New Roman"/>
          <w:i/>
          <w:iCs/>
          <w:color w:val="auto"/>
          <w:sz w:val="18"/>
          <w:szCs w:val="18"/>
        </w:rPr>
        <w:t xml:space="preserve">spontaneous </w:t>
      </w:r>
      <w:r>
        <w:rPr>
          <w:rFonts w:cs="Times New Roman" w:ascii="Times New Roman" w:hAnsi="Times New Roman"/>
          <w:color w:val="auto"/>
          <w:sz w:val="18"/>
          <w:szCs w:val="18"/>
        </w:rPr>
        <w:t xml:space="preserve">appearance from hyper-nothing that </w:t>
      </w:r>
      <w:r>
        <w:rPr>
          <w:rFonts w:cs="Times New Roman" w:ascii="Times New Roman" w:hAnsi="Times New Roman"/>
          <w:i/>
          <w:iCs/>
          <w:color w:val="auto"/>
          <w:sz w:val="18"/>
          <w:szCs w:val="18"/>
        </w:rPr>
        <w:t xml:space="preserve">corresponds </w:t>
      </w:r>
      <w:r>
        <w:rPr>
          <w:rFonts w:cs="Times New Roman" w:ascii="Times New Roman" w:hAnsi="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cs="Times New Roman" w:ascii="Times New Roman" w:hAnsi="Times New Roman"/>
          <w:color w:val="auto"/>
          <w:sz w:val="21"/>
          <w:szCs w:val="21"/>
        </w:rPr>
        <w:t xml:space="preserve">(Vacariu 2011, footnote p. 50) </w:t>
      </w:r>
    </w:p>
    <w:p>
      <w:pPr>
        <w:pStyle w:val="Normal"/>
        <w:spacing w:before="0" w:after="0"/>
        <w:contextualSpacing/>
        <w:rPr>
          <w:sz w:val="21"/>
          <w:szCs w:val="21"/>
        </w:rPr>
      </w:pPr>
      <w:r>
        <w:rPr>
          <w:sz w:val="21"/>
          <w:szCs w:val="21"/>
        </w:rPr>
      </w:r>
    </w:p>
    <w:p>
      <w:pPr>
        <w:pStyle w:val="Normal"/>
        <w:spacing w:before="0" w:after="0"/>
        <w:contextualSpacing/>
        <w:rPr/>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FootnoteAnchor"/>
          <w:sz w:val="21"/>
          <w:szCs w:val="21"/>
        </w:rPr>
        <w:footnoteReference w:id="112"/>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pStyle w:val="Default"/>
        <w:spacing w:before="0" w:after="0"/>
        <w:ind w:left="0" w:right="0" w:firstLine="720"/>
        <w:contextualSpacing/>
        <w:jc w:val="both"/>
        <w:rPr/>
      </w:pPr>
      <w:r>
        <w:rPr>
          <w:rFonts w:cs="Times New Roman" w:ascii="Times New Roman" w:hAnsi="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FootnoteAnchor"/>
          <w:rFonts w:eastAsia="Calibri" w:cs="Times New Roman" w:ascii="Times New Roman" w:hAnsi="Times New Roman"/>
          <w:color w:val="auto"/>
          <w:sz w:val="21"/>
          <w:szCs w:val="21"/>
        </w:rPr>
        <w:footnoteReference w:id="113"/>
      </w:r>
      <w:r>
        <w:rPr>
          <w:rFonts w:cs="Times New Roman" w:ascii="Times New Roman" w:hAnsi="Times New Roman"/>
          <w:color w:val="auto"/>
          <w:sz w:val="14"/>
          <w:szCs w:val="14"/>
        </w:rPr>
        <w:t xml:space="preserve"> </w:t>
      </w:r>
      <w:r>
        <w:rPr>
          <w:rFonts w:cs="Times New Roman" w:ascii="Times New Roman" w:hAnsi="Times New Roman"/>
          <w:color w:val="auto"/>
          <w:sz w:val="21"/>
          <w:szCs w:val="21"/>
        </w:rPr>
        <w:t xml:space="preserve">We can avoid these complicated inventions by replacing the unicorn world, “multiverse”, or hyperspace with EDWs. Let me analyze these two points in more details. </w:t>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pStyle w:val="Normal"/>
        <w:spacing w:before="0" w:after="0"/>
        <w:contextualSpacing/>
        <w:rPr/>
      </w:pPr>
      <w:r>
        <w:rPr/>
      </w:r>
    </w:p>
    <w:p>
      <w:pPr>
        <w:pStyle w:val="Default"/>
        <w:spacing w:before="0" w:after="0"/>
        <w:contextualSpacing/>
        <w:jc w:val="both"/>
        <w:rPr/>
      </w:pPr>
      <w:r>
        <w:rPr>
          <w:rFonts w:cs="Times New Roman" w:ascii="Times New Roman" w:hAnsi="Times New Roman"/>
          <w:color w:val="auto"/>
          <w:sz w:val="18"/>
          <w:szCs w:val="18"/>
        </w:rPr>
        <w:t xml:space="preserve">… </w:t>
      </w:r>
      <w:r>
        <w:rPr>
          <w:rFonts w:cs="Times New Roman" w:ascii="Times New Roman" w:hAnsi="Times New Roman"/>
          <w:color w:val="auto"/>
          <w:sz w:val="18"/>
          <w:szCs w:val="18"/>
        </w:rPr>
        <w:t xml:space="preserve">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cs="Times New Roman" w:ascii="Times New Roman" w:hAnsi="Times New Roman"/>
          <w:i/>
          <w:iCs/>
          <w:color w:val="auto"/>
          <w:sz w:val="18"/>
          <w:szCs w:val="18"/>
        </w:rPr>
        <w:t>New Scientist</w:t>
      </w:r>
      <w:r>
        <w:rPr>
          <w:rFonts w:cs="Times New Roman" w:ascii="Times New Roman" w:hAnsi="Times New Roman"/>
          <w:color w:val="auto"/>
          <w:sz w:val="18"/>
          <w:szCs w:val="18"/>
        </w:rPr>
        <w:t xml:space="preserve">. “So we really are seeing a direct effect caused by the quantization of gravity, and it is the first time we’ve seen anything like that.” </w:t>
      </w:r>
      <w:r>
        <w:rPr>
          <w:rFonts w:cs="Times New Roman" w:ascii="Times New Roman" w:hAnsi="Times New Roman"/>
          <w:color w:val="auto"/>
          <w:sz w:val="21"/>
          <w:szCs w:val="21"/>
        </w:rPr>
        <w:t xml:space="preserve">(O’Neill 2014) </w:t>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Therefore, it seems that inflation is produced by gravitons: </w:t>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pStyle w:val="Default"/>
        <w:spacing w:before="0" w:after="0"/>
        <w:contextualSpacing/>
        <w:jc w:val="both"/>
        <w:rPr/>
      </w:pPr>
      <w:r>
        <w:rPr>
          <w:rFonts w:cs="Times New Roman" w:ascii="Times New Roman" w:hAnsi="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cs="Times New Roman" w:ascii="Times New Roman" w:hAnsi="Times New Roman"/>
          <w:color w:val="auto"/>
          <w:sz w:val="21"/>
          <w:szCs w:val="21"/>
        </w:rPr>
        <w:t xml:space="preserve">(Cowen 2013) </w:t>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r>
    </w:p>
    <w:p>
      <w:pPr>
        <w:pStyle w:val="Default"/>
        <w:spacing w:before="0" w:after="0"/>
        <w:contextualSpacing/>
        <w:jc w:val="both"/>
        <w:rPr/>
      </w:pPr>
      <w:r>
        <w:rPr>
          <w:rFonts w:cs="Times New Roman" w:ascii="Times New Roman" w:hAnsi="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cs="Times New Roman" w:ascii="Times New Roman" w:hAnsi="Times New Roman"/>
          <w:color w:val="auto"/>
          <w:sz w:val="21"/>
          <w:szCs w:val="21"/>
        </w:rPr>
        <w:t xml:space="preserve">(Cowen 2013) </w:t>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pStyle w:val="Default"/>
        <w:spacing w:before="0" w:after="0"/>
        <w:contextualSpacing/>
        <w:jc w:val="both"/>
        <w:rPr/>
      </w:pPr>
      <w:r>
        <w:rPr>
          <w:rFonts w:cs="Times New Roman" w:ascii="Times New Roman" w:hAnsi="Times New Roman"/>
          <w:color w:val="auto"/>
          <w:sz w:val="21"/>
          <w:szCs w:val="21"/>
        </w:rPr>
        <w:t>(2) The theory of inflation favors the existence of “multiverse”.</w:t>
      </w:r>
      <w:r>
        <w:rPr>
          <w:rStyle w:val="FootnoteAnchor"/>
          <w:rFonts w:eastAsia="Calibri" w:cs="Times New Roman" w:ascii="Times New Roman" w:hAnsi="Times New Roman"/>
          <w:color w:val="auto"/>
          <w:sz w:val="21"/>
          <w:szCs w:val="21"/>
        </w:rPr>
        <w:footnoteReference w:id="114"/>
      </w:r>
      <w:r>
        <w:rPr>
          <w:rFonts w:cs="Times New Roman" w:ascii="Times New Roman" w:hAnsi="Times New Roman"/>
          <w:color w:val="auto"/>
          <w:sz w:val="14"/>
          <w:szCs w:val="14"/>
        </w:rPr>
        <w:t xml:space="preserve"> </w:t>
      </w:r>
    </w:p>
    <w:p>
      <w:pPr>
        <w:pStyle w:val="Default"/>
        <w:spacing w:before="0" w:after="0"/>
        <w:contextualSpacing/>
        <w:jc w:val="both"/>
        <w:rPr>
          <w:rFonts w:ascii="Times New Roman" w:hAnsi="Times New Roman" w:cs="Times New Roman"/>
          <w:color w:val="auto"/>
          <w:sz w:val="14"/>
          <w:szCs w:val="14"/>
        </w:rPr>
      </w:pPr>
      <w:r>
        <w:rPr>
          <w:rFonts w:cs="Times New Roman" w:ascii="Times New Roman" w:hAnsi="Times New Roman"/>
          <w:color w:val="auto"/>
          <w:sz w:val="14"/>
          <w:szCs w:val="14"/>
        </w:rPr>
      </w:r>
    </w:p>
    <w:p>
      <w:pPr>
        <w:pStyle w:val="Default"/>
        <w:spacing w:before="0" w:after="0"/>
        <w:contextualSpacing/>
        <w:jc w:val="both"/>
        <w:rPr/>
      </w:pPr>
      <w:r>
        <w:rPr>
          <w:rFonts w:cs="Times New Roman" w:ascii="Times New Roman" w:hAnsi="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cs="Times New Roman" w:ascii="Times New Roman" w:hAnsi="Times New Roman"/>
          <w:color w:val="auto"/>
          <w:sz w:val="20"/>
          <w:szCs w:val="20"/>
        </w:rPr>
        <w:t xml:space="preserve">. </w:t>
      </w:r>
      <w:r>
        <w:rPr>
          <w:rFonts w:cs="Times New Roman" w:ascii="Times New Roman" w:hAnsi="Times New Roman"/>
          <w:color w:val="auto"/>
          <w:sz w:val="21"/>
          <w:szCs w:val="21"/>
        </w:rPr>
        <w:t xml:space="preserve">(Kramer and Writer 2014) </w:t>
      </w:r>
    </w:p>
    <w:p>
      <w:pPr>
        <w:pStyle w:val="Normal"/>
        <w:spacing w:before="0" w:after="0"/>
        <w:contextualSpacing/>
        <w:rPr>
          <w:sz w:val="21"/>
          <w:szCs w:val="21"/>
        </w:rPr>
      </w:pPr>
      <w:r>
        <w:rPr>
          <w:sz w:val="21"/>
          <w:szCs w:val="21"/>
        </w:rPr>
      </w:r>
    </w:p>
    <w:p>
      <w:pPr>
        <w:pStyle w:val="Normal"/>
        <w:spacing w:before="0" w:after="0"/>
        <w:contextualSpacing/>
        <w:rPr/>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FootnoteAnchor"/>
          <w:sz w:val="21"/>
          <w:szCs w:val="21"/>
        </w:rPr>
        <w:footnoteReference w:id="115"/>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pStyle w:val="Normal"/>
        <w:spacing w:before="0" w:after="0"/>
        <w:ind w:left="0" w:right="0" w:firstLine="720"/>
        <w:contextualSpacing/>
        <w:rPr/>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FootnoteAnchor"/>
          <w:sz w:val="21"/>
          <w:szCs w:val="21"/>
        </w:rPr>
        <w:footnoteReference w:id="116"/>
      </w:r>
    </w:p>
    <w:p>
      <w:pPr>
        <w:pStyle w:val="Normal"/>
        <w:spacing w:before="0" w:after="0"/>
        <w:contextualSpacing/>
        <w:rPr>
          <w:sz w:val="14"/>
          <w:szCs w:val="14"/>
        </w:rPr>
      </w:pPr>
      <w:r>
        <w:rPr>
          <w:sz w:val="14"/>
          <w:szCs w:val="14"/>
        </w:rPr>
      </w:r>
    </w:p>
    <w:p>
      <w:pPr>
        <w:pStyle w:val="Default"/>
        <w:spacing w:before="0" w:after="0"/>
        <w:contextualSpacing/>
        <w:jc w:val="both"/>
        <w:rPr>
          <w:rFonts w:ascii="Times New Roman" w:hAnsi="Times New Roman" w:cs="Times New Roman"/>
          <w:b/>
          <w:b/>
          <w:bCs/>
          <w:color w:val="auto"/>
          <w:sz w:val="21"/>
          <w:szCs w:val="21"/>
        </w:rPr>
      </w:pPr>
      <w:r>
        <w:rPr>
          <w:rFonts w:cs="Times New Roman" w:ascii="Times New Roman" w:hAnsi="Times New Roman"/>
          <w:b/>
          <w:bCs/>
          <w:color w:val="auto"/>
          <w:sz w:val="21"/>
          <w:szCs w:val="21"/>
        </w:rPr>
        <w:t xml:space="preserve">7.6 Conclusion </w:t>
      </w:r>
    </w:p>
    <w:p>
      <w:pPr>
        <w:pStyle w:val="Normal"/>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pStyle w:val="Default"/>
        <w:spacing w:before="0" w:after="0"/>
        <w:ind w:left="0" w:right="0" w:firstLine="72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pStyle w:val="Normal"/>
        <w:spacing w:before="0" w:after="0"/>
        <w:ind w:left="0" w:right="0" w:firstLine="720"/>
        <w:contextualSpacing/>
        <w:rPr/>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pStyle w:val="Default"/>
        <w:spacing w:before="0" w:after="0"/>
        <w:ind w:left="0" w:right="0" w:firstLine="720"/>
        <w:contextualSpacing/>
        <w:jc w:val="both"/>
        <w:rPr/>
      </w:pPr>
      <w:r>
        <w:rPr>
          <w:rFonts w:cs="Times New Roman" w:ascii="Times New Roman" w:hAnsi="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cs="Times New Roman" w:ascii="Times New Roman" w:hAnsi="Times New Roman"/>
          <w:i/>
          <w:iCs/>
          <w:color w:val="auto"/>
          <w:sz w:val="21"/>
          <w:szCs w:val="21"/>
        </w:rPr>
        <w:t xml:space="preserve">non-locality </w:t>
      </w:r>
      <w:r>
        <w:rPr>
          <w:rFonts w:cs="Times New Roman" w:ascii="Times New Roman" w:hAnsi="Times New Roman"/>
          <w:color w:val="auto"/>
          <w:sz w:val="21"/>
          <w:szCs w:val="21"/>
        </w:rPr>
        <w:t xml:space="preserve">in quantum mechanics: two points (among those many points) are those (un)famous two microparticles, while the Flatland is the wave; we have here EDWs (2) the </w:t>
      </w:r>
      <w:r>
        <w:rPr>
          <w:rFonts w:cs="Times New Roman" w:ascii="Times New Roman" w:hAnsi="Times New Roman"/>
          <w:i/>
          <w:iCs/>
          <w:color w:val="auto"/>
          <w:sz w:val="21"/>
          <w:szCs w:val="21"/>
        </w:rPr>
        <w:t>inflation</w:t>
      </w:r>
      <w:r>
        <w:rPr>
          <w:rFonts w:cs="Times New Roman" w:ascii="Times New Roman" w:hAnsi="Times New Roman"/>
          <w:color w:val="auto"/>
          <w:sz w:val="21"/>
          <w:szCs w:val="21"/>
        </w:rPr>
        <w:t xml:space="preserve">: even if the square does not surpass the speed of light, the bidimensional being observed some processes that surpassed c. </w:t>
      </w:r>
    </w:p>
    <w:p>
      <w:pPr>
        <w:pStyle w:val="Default"/>
        <w:spacing w:before="0" w:after="0"/>
        <w:ind w:left="0" w:right="0" w:firstLine="72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pStyle w:val="Normal"/>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pStyle w:val="Default"/>
        <w:spacing w:before="0" w:after="0"/>
        <w:ind w:left="0" w:right="0" w:firstLine="72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pStyle w:val="Normal"/>
        <w:spacing w:before="0" w:after="0"/>
        <w:ind w:left="0" w:right="0" w:firstLine="720"/>
        <w:contextualSpacing/>
        <w:rPr/>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FootnoteAnchor"/>
          <w:sz w:val="21"/>
          <w:szCs w:val="21"/>
        </w:rPr>
        <w:footnoteReference w:id="117"/>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FootnoteAnchor"/>
          <w:sz w:val="21"/>
          <w:szCs w:val="21"/>
        </w:rPr>
        <w:footnoteReference w:id="118"/>
      </w:r>
    </w:p>
    <w:p>
      <w:pPr>
        <w:pStyle w:val="Normal"/>
        <w:widowControl w:val="false"/>
        <w:spacing w:before="0" w:after="0"/>
        <w:ind w:left="0" w:right="-20" w:hanging="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pStyle w:val="Normal"/>
        <w:widowControl w:val="false"/>
        <w:spacing w:before="0" w:after="0"/>
        <w:ind w:left="0" w:right="-20" w:hanging="0"/>
        <w:contextualSpacing/>
        <w:rPr>
          <w:sz w:val="21"/>
          <w:szCs w:val="21"/>
        </w:rPr>
      </w:pPr>
      <w:r>
        <w:rPr>
          <w:sz w:val="21"/>
          <w:szCs w:val="21"/>
        </w:rPr>
      </w:r>
    </w:p>
    <w:p>
      <w:pPr>
        <w:pStyle w:val="Normal"/>
        <w:widowControl w:val="false"/>
        <w:spacing w:before="0" w:after="0"/>
        <w:ind w:left="0" w:right="-20" w:hanging="0"/>
        <w:contextualSpacing/>
        <w:rPr>
          <w:sz w:val="21"/>
          <w:szCs w:val="21"/>
        </w:rPr>
      </w:pPr>
      <w:r>
        <w:rPr>
          <w:sz w:val="21"/>
          <w:szCs w:val="21"/>
        </w:rPr>
      </w:r>
    </w:p>
    <w:p>
      <w:pPr>
        <w:pStyle w:val="ListParagraph"/>
        <w:numPr>
          <w:ilvl w:val="0"/>
          <w:numId w:val="18"/>
        </w:numPr>
        <w:spacing w:before="0" w:after="0"/>
        <w:ind w:left="720" w:right="-20" w:hanging="360"/>
        <w:contextualSpacing/>
        <w:rPr/>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FootnoteAnchor"/>
          <w:b/>
          <w:sz w:val="28"/>
          <w:szCs w:val="28"/>
        </w:rPr>
        <w:footnoteReference w:id="119"/>
      </w:r>
    </w:p>
    <w:p>
      <w:pPr>
        <w:pStyle w:val="Normal"/>
        <w:spacing w:before="0" w:after="0"/>
        <w:contextualSpacing/>
        <w:rPr>
          <w:b/>
          <w:b/>
        </w:rPr>
      </w:pPr>
      <w:r>
        <w:rPr>
          <w:b/>
        </w:rPr>
      </w:r>
    </w:p>
    <w:p>
      <w:pPr>
        <w:pStyle w:val="Normal"/>
        <w:spacing w:before="0" w:after="0"/>
        <w:contextualSpacing/>
        <w:rPr/>
      </w:pPr>
      <w:r>
        <w:rPr/>
        <w:t>In 2015, Wolfram Schommers</w:t>
      </w:r>
      <w:r>
        <w:rPr>
          <w:rStyle w:val="FootnoteAnchor"/>
        </w:rPr>
        <w:footnoteReference w:id="120"/>
      </w:r>
      <w:r>
        <w:rPr/>
        <w:t xml:space="preserve"> published the book </w:t>
      </w:r>
      <w:r>
        <w:rPr>
          <w:i/>
        </w:rPr>
        <w:t xml:space="preserve">Mind and Reality – The Space-Time Window </w:t>
      </w:r>
      <w:r>
        <w:rPr/>
        <w:t>at World Scientific publishing company.</w:t>
      </w:r>
      <w:r>
        <w:rPr>
          <w:rStyle w:val="FootnoteAnchor"/>
        </w:rPr>
        <w:footnoteReference w:id="121"/>
      </w:r>
      <w:r>
        <w:rPr/>
        <w:t xml:space="preserve"> In this book, there are </w:t>
      </w:r>
      <w:r>
        <w:rPr>
          <w:i/>
        </w:rPr>
        <w:t>unbelievable similar</w:t>
      </w:r>
      <w:r>
        <w:rPr/>
        <w:t xml:space="preserve"> ideas to my ideas published from 2002 to 2014!</w:t>
      </w:r>
    </w:p>
    <w:p>
      <w:pPr>
        <w:pStyle w:val="Normal"/>
        <w:spacing w:before="0" w:after="0"/>
        <w:contextualSpacing/>
        <w:rPr>
          <w:b/>
          <w:b/>
        </w:rPr>
      </w:pPr>
      <w:r>
        <w:rPr>
          <w:b/>
        </w:rPr>
      </w:r>
    </w:p>
    <w:p>
      <w:pPr>
        <w:pStyle w:val="Normal"/>
        <w:spacing w:before="0" w:after="0"/>
        <w:contextualSpacing/>
        <w:rPr>
          <w:b/>
          <w:b/>
        </w:rPr>
      </w:pPr>
      <w:r>
        <w:rPr>
          <w:b/>
        </w:rPr>
        <w:t>A very short summary of Schommers’ aproach</w:t>
      </w:r>
    </w:p>
    <w:p>
      <w:pPr>
        <w:pStyle w:val="Normal"/>
        <w:spacing w:before="0" w:after="0"/>
        <w:contextualSpacing/>
        <w:rPr/>
      </w:pPr>
      <w:r>
        <w:rP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pStyle w:val="ListParagraph"/>
        <w:widowControl/>
        <w:numPr>
          <w:ilvl w:val="0"/>
          <w:numId w:val="24"/>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pStyle w:val="ListParagraph"/>
        <w:widowControl/>
        <w:numPr>
          <w:ilvl w:val="0"/>
          <w:numId w:val="24"/>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pStyle w:val="ListParagraph"/>
        <w:spacing w:before="0" w:after="0"/>
        <w:ind w:left="0" w:right="0" w:hanging="0"/>
        <w:contextualSpacing/>
        <w:jc w:val="both"/>
        <w:rPr>
          <w:rFonts w:ascii="Times New Roman" w:hAnsi="Times New Roman"/>
          <w:sz w:val="24"/>
          <w:szCs w:val="24"/>
        </w:rPr>
      </w:pPr>
      <w:r>
        <w:rPr>
          <w:rFonts w:ascii="Times New Roman" w:hAnsi="Times New Roman"/>
          <w:sz w:val="24"/>
          <w:szCs w:val="24"/>
        </w:rPr>
        <w:t>Therefore,</w:t>
      </w:r>
    </w:p>
    <w:p>
      <w:pPr>
        <w:pStyle w:val="ListParagraph"/>
        <w:widowControl/>
        <w:numPr>
          <w:ilvl w:val="0"/>
          <w:numId w:val="24"/>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pStyle w:val="Normal"/>
        <w:spacing w:before="0" w:after="0"/>
        <w:contextualSpacing/>
        <w:rPr/>
      </w:pPr>
      <w:r>
        <w:rPr/>
      </w:r>
    </w:p>
    <w:p>
      <w:pPr>
        <w:pStyle w:val="Normal"/>
        <w:spacing w:before="0" w:after="0"/>
        <w:contextualSpacing/>
        <w:rPr/>
      </w:pPr>
      <w:r>
        <w:rP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pStyle w:val="Normal"/>
        <w:spacing w:before="0" w:after="0"/>
        <w:contextualSpacing/>
        <w:rPr/>
      </w:pPr>
      <w:r>
        <w:rPr/>
      </w:r>
    </w:p>
    <w:p>
      <w:pPr>
        <w:pStyle w:val="Normal"/>
        <w:spacing w:before="0" w:after="0"/>
        <w:contextualSpacing/>
        <w:rPr>
          <w:b/>
          <w:b/>
        </w:rPr>
      </w:pPr>
      <w:r>
        <w:rPr>
          <w:b/>
        </w:rPr>
        <w:t>The role of observer</w:t>
      </w:r>
    </w:p>
    <w:p>
      <w:pPr>
        <w:pStyle w:val="Normal"/>
        <w:spacing w:before="0" w:after="0"/>
        <w:contextualSpacing/>
        <w:rPr/>
      </w:pPr>
      <w:r>
        <w:rPr/>
        <w:t xml:space="preserve">Let me start analyzing Schommers’ book. He accentuates the role of observations (and measurement apparatus): </w:t>
      </w:r>
    </w:p>
    <w:p>
      <w:pPr>
        <w:pStyle w:val="Normal"/>
        <w:spacing w:before="0" w:after="0"/>
        <w:contextualSpacing/>
        <w:rPr/>
      </w:pPr>
      <w:r>
        <w:rPr/>
      </w:r>
    </w:p>
    <w:p>
      <w:pPr>
        <w:pStyle w:val="Normal"/>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pStyle w:val="Normal"/>
        <w:spacing w:before="0" w:after="0"/>
        <w:contextualSpacing/>
        <w:rPr>
          <w:b/>
          <w:b/>
        </w:rPr>
      </w:pPr>
      <w:r>
        <w:rPr>
          <w:b/>
        </w:rPr>
      </w:r>
    </w:p>
    <w:p>
      <w:pPr>
        <w:pStyle w:val="Normal"/>
        <w:spacing w:before="0" w:after="0"/>
        <w:contextualSpacing/>
        <w:rPr/>
      </w:pPr>
      <w:r>
        <w:rPr/>
        <w:t>Moreover, the world that we see dependents on human observer:</w:t>
      </w:r>
    </w:p>
    <w:p>
      <w:pPr>
        <w:pStyle w:val="Normal"/>
        <w:spacing w:before="0" w:after="0"/>
        <w:contextualSpacing/>
        <w:rPr/>
      </w:pPr>
      <w:r>
        <w:rPr/>
      </w:r>
    </w:p>
    <w:p>
      <w:pPr>
        <w:pStyle w:val="Normal"/>
        <w:spacing w:before="0" w:after="0"/>
        <w:contextualSpacing/>
        <w:rPr/>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FootnoteAnchor"/>
        </w:rPr>
        <w:footnoteReference w:id="122"/>
      </w:r>
    </w:p>
    <w:p>
      <w:pPr>
        <w:pStyle w:val="Normal"/>
        <w:spacing w:before="0" w:after="0"/>
        <w:contextualSpacing/>
        <w:rPr/>
      </w:pPr>
      <w:r>
        <w:rPr/>
      </w:r>
    </w:p>
    <w:p>
      <w:pPr>
        <w:pStyle w:val="Normal"/>
        <w:spacing w:before="0" w:after="0"/>
        <w:contextualSpacing/>
        <w:rPr/>
      </w:pPr>
      <w:r>
        <w:rP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rPr/>
        <w:t>.” (p. ix)</w:t>
      </w:r>
    </w:p>
    <w:p>
      <w:pPr>
        <w:pStyle w:val="Normal"/>
        <w:spacing w:before="0" w:after="0"/>
        <w:contextualSpacing/>
        <w:rPr/>
      </w:pPr>
      <w:r>
        <w:rPr/>
      </w:r>
    </w:p>
    <w:p>
      <w:pPr>
        <w:pStyle w:val="Normal"/>
        <w:spacing w:before="0" w:after="0"/>
        <w:contextualSpacing/>
        <w:rPr/>
      </w:pPr>
      <w:r>
        <w:rPr/>
        <w:t>Another paragraph that seems to be taken from my books:</w:t>
      </w:r>
    </w:p>
    <w:p>
      <w:pPr>
        <w:pStyle w:val="Normal"/>
        <w:spacing w:before="0" w:after="0"/>
        <w:contextualSpacing/>
        <w:rPr/>
      </w:pPr>
      <w:r>
        <w:rPr/>
      </w:r>
    </w:p>
    <w:p>
      <w:pPr>
        <w:pStyle w:val="Normal"/>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pStyle w:val="Normal"/>
        <w:spacing w:before="0" w:after="0"/>
        <w:contextualSpacing/>
        <w:rPr/>
      </w:pPr>
      <w:r>
        <w:rPr/>
      </w:r>
    </w:p>
    <w:p>
      <w:pPr>
        <w:pStyle w:val="Normal"/>
        <w:spacing w:before="0" w:after="0"/>
        <w:contextualSpacing/>
        <w:rPr/>
      </w:pPr>
      <w:r>
        <w:rPr/>
        <w:t>I extended the human perception (observation) to all classes of entities (living and non-living). Schommers extends human observation to living species. However, see Searle’s famous example with bat but Schommers did not mention Searle!</w:t>
      </w:r>
      <w:r>
        <w:rPr>
          <w:rStyle w:val="FootnoteAnchor"/>
        </w:rPr>
        <w:footnoteReference w:id="123"/>
      </w:r>
      <w:r>
        <w:rPr/>
        <w:t xml:space="preserve"> Also, Schommers introduce Kant’s philosophy. It seems that this is the only philosopher mentioned by the German physicist, even if I did not seem that Schommers is specialist in Kant’s transcendental philosophy.</w:t>
      </w:r>
      <w:r>
        <w:rPr>
          <w:rStyle w:val="FootnoteAnchor"/>
        </w:rPr>
        <w:footnoteReference w:id="124"/>
      </w:r>
      <w:r>
        <w:rPr/>
        <w:t xml:space="preserve"> Regarding transcendental philosophy, Schommmers just introduces few ideas from other authors. We cannot consider Schommers knows Kant’s transcendental philosophy, even if an Appendix of his book is dedicated to this philosopher. </w:t>
      </w:r>
    </w:p>
    <w:p>
      <w:pPr>
        <w:pStyle w:val="Normal"/>
        <w:spacing w:before="0" w:after="0"/>
        <w:contextualSpacing/>
        <w:rPr/>
      </w:pPr>
      <w:r>
        <w:rPr/>
        <w:tab/>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pStyle w:val="Normal"/>
        <w:spacing w:before="0" w:after="0"/>
        <w:contextualSpacing/>
        <w:rPr/>
      </w:pPr>
      <w:r>
        <w:rPr/>
      </w:r>
    </w:p>
    <w:p>
      <w:pPr>
        <w:pStyle w:val="Normal"/>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pStyle w:val="Normal"/>
        <w:spacing w:before="0" w:after="0"/>
        <w:contextualSpacing/>
        <w:rPr/>
      </w:pPr>
      <w:r>
        <w:rPr/>
      </w:r>
    </w:p>
    <w:p>
      <w:pPr>
        <w:pStyle w:val="Normal"/>
        <w:spacing w:before="0" w:after="0"/>
        <w:contextualSpacing/>
        <w:rPr/>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FootnoteAnchor"/>
        </w:rPr>
        <w:footnoteReference w:id="125"/>
      </w:r>
    </w:p>
    <w:p>
      <w:pPr>
        <w:pStyle w:val="Normal"/>
        <w:tabs>
          <w:tab w:val="clear" w:pos="720"/>
          <w:tab w:val="left" w:pos="3420" w:leader="none"/>
        </w:tabs>
        <w:spacing w:before="0" w:after="0"/>
        <w:contextualSpacing/>
        <w:rPr/>
      </w:pPr>
      <w:r>
        <w:rPr/>
        <w:tab/>
        <w:t xml:space="preserve"> </w:t>
      </w:r>
    </w:p>
    <w:p>
      <w:pPr>
        <w:pStyle w:val="Normal"/>
        <w:spacing w:before="0" w:after="0"/>
        <w:contextualSpacing/>
        <w:rPr/>
      </w:pPr>
      <w:r>
        <w:rP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rPr/>
        <w:t xml:space="preserve"> century, maybe in the future we will be able to construct instruments that can “observe” space and time. So, his arguments cannot reject the existence of space. Schommers introduces the container principle:</w:t>
      </w:r>
    </w:p>
    <w:p>
      <w:pPr>
        <w:pStyle w:val="Normal"/>
        <w:spacing w:before="0" w:after="0"/>
        <w:contextualSpacing/>
        <w:rPr/>
      </w:pPr>
      <w:r>
        <w:rPr/>
      </w:r>
    </w:p>
    <w:p>
      <w:pPr>
        <w:pStyle w:val="Normal"/>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pStyle w:val="Normal"/>
        <w:spacing w:before="0" w:after="0"/>
        <w:contextualSpacing/>
        <w:rPr/>
      </w:pPr>
      <w:r>
        <w:rPr/>
        <w:t xml:space="preserve"> </w:t>
      </w:r>
    </w:p>
    <w:p>
      <w:pPr>
        <w:pStyle w:val="Normal"/>
        <w:spacing w:before="0" w:after="0"/>
        <w:contextualSpacing/>
        <w:rPr/>
      </w:pPr>
      <w:r>
        <w:rPr/>
        <w:t>At page 3, there is another paragraph that seems to be taken from one of my book:</w:t>
      </w:r>
    </w:p>
    <w:p>
      <w:pPr>
        <w:pStyle w:val="Normal"/>
        <w:spacing w:before="0" w:after="0"/>
        <w:contextualSpacing/>
        <w:rPr/>
      </w:pPr>
      <w:r>
        <w:rPr/>
      </w:r>
    </w:p>
    <w:p>
      <w:pPr>
        <w:pStyle w:val="Normal"/>
        <w:spacing w:before="0" w:after="0"/>
        <w:contextualSpacing/>
        <w:rPr/>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FootnoteAnchor"/>
        </w:rPr>
        <w:footnoteReference w:id="126"/>
      </w:r>
    </w:p>
    <w:p>
      <w:pPr>
        <w:pStyle w:val="Normal"/>
        <w:spacing w:before="0" w:after="0"/>
        <w:contextualSpacing/>
        <w:rPr/>
      </w:pPr>
      <w:r>
        <w:rPr/>
      </w:r>
    </w:p>
    <w:p>
      <w:pPr>
        <w:pStyle w:val="Normal"/>
        <w:spacing w:before="0" w:after="0"/>
        <w:contextualSpacing/>
        <w:rPr/>
      </w:pPr>
      <w:r>
        <w:rPr/>
        <w:t xml:space="preserve">Section </w:t>
      </w:r>
      <w:r>
        <w:rPr>
          <w:bCs/>
        </w:rPr>
        <w:t>1.1.2 “No Direct Access to the World Outside!” seems also taken from my books.</w:t>
      </w:r>
      <w:r>
        <w:rPr>
          <w:rStyle w:val="FootnoteAnchor"/>
          <w:bCs/>
        </w:rPr>
        <w:footnoteReference w:id="127"/>
      </w:r>
      <w:r>
        <w:rPr>
          <w:bCs/>
        </w:rPr>
        <w:t xml:space="preserve"> </w:t>
      </w:r>
      <w:r>
        <w:rPr/>
        <w:t xml:space="preserve">Important for Schommers is the “projection”: </w:t>
      </w:r>
    </w:p>
    <w:p>
      <w:pPr>
        <w:pStyle w:val="Normal"/>
        <w:spacing w:before="0" w:after="0"/>
        <w:contextualSpacing/>
        <w:rPr/>
      </w:pPr>
      <w:r>
        <w:rPr/>
      </w:r>
    </w:p>
    <w:p>
      <w:pPr>
        <w:pStyle w:val="Normal"/>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pStyle w:val="Normal"/>
        <w:spacing w:before="0" w:after="0"/>
        <w:contextualSpacing/>
        <w:rPr/>
      </w:pPr>
      <w:r>
        <w:rPr/>
      </w:r>
    </w:p>
    <w:p>
      <w:pPr>
        <w:pStyle w:val="Normal"/>
        <w:spacing w:before="0" w:after="0"/>
        <w:contextualSpacing/>
        <w:rPr/>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FootnoteAnchor"/>
        </w:rPr>
        <w:footnoteReference w:id="128"/>
      </w:r>
    </w:p>
    <w:p>
      <w:pPr>
        <w:pStyle w:val="Normal"/>
        <w:spacing w:before="0" w:after="0"/>
        <w:contextualSpacing/>
        <w:rPr/>
      </w:pPr>
      <w:r>
        <w:rPr/>
      </w:r>
    </w:p>
    <w:p>
      <w:pPr>
        <w:pStyle w:val="Normal"/>
        <w:spacing w:before="0" w:after="0"/>
        <w:contextualSpacing/>
        <w:rPr/>
      </w:pPr>
      <w:r>
        <w:rP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rPr/>
        <w:t>within the General Theory of Relativity there is a problem with space and time, i.e., with the space-time block.”</w:t>
      </w:r>
      <w:r>
        <w:rPr>
          <w:rStyle w:val="FootnoteAnchor"/>
        </w:rPr>
        <w:footnoteReference w:id="129"/>
      </w:r>
      <w:r>
        <w:rPr/>
        <w:t xml:space="preserve"> (p. 17)</w:t>
      </w:r>
    </w:p>
    <w:p>
      <w:pPr>
        <w:pStyle w:val="Normal"/>
        <w:spacing w:before="0" w:after="0"/>
        <w:contextualSpacing/>
        <w:rPr>
          <w:iCs/>
        </w:rPr>
      </w:pPr>
      <w:r>
        <w:rPr>
          <w:iCs/>
        </w:rPr>
      </w:r>
    </w:p>
    <w:p>
      <w:pPr>
        <w:pStyle w:val="Normal"/>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pStyle w:val="Normal"/>
        <w:spacing w:before="0" w:after="0"/>
        <w:contextualSpacing/>
        <w:rPr/>
      </w:pPr>
      <w:r>
        <w:rPr/>
      </w:r>
    </w:p>
    <w:p>
      <w:pPr>
        <w:pStyle w:val="Normal"/>
        <w:spacing w:before="0" w:after="0"/>
        <w:contextualSpacing/>
        <w:rPr/>
      </w:pPr>
      <w:r>
        <w:rPr/>
        <w:t>Essentially, Schommers believes that we</w:t>
      </w:r>
    </w:p>
    <w:p>
      <w:pPr>
        <w:pStyle w:val="Normal"/>
        <w:spacing w:before="0" w:after="0"/>
        <w:contextualSpacing/>
        <w:rPr/>
      </w:pPr>
      <w:r>
        <w:rPr/>
      </w:r>
    </w:p>
    <w:p>
      <w:pPr>
        <w:pStyle w:val="Normal"/>
        <w:spacing w:before="0" w:after="0"/>
        <w:contextualSpacing/>
        <w:rPr/>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FootnoteAnchor"/>
        </w:rPr>
        <w:footnoteReference w:id="130"/>
      </w:r>
      <w:r>
        <w:rPr>
          <w:sz w:val="20"/>
          <w:szCs w:val="20"/>
        </w:rPr>
        <w:t xml:space="preserve"> (p. 21) </w:t>
      </w:r>
    </w:p>
    <w:p>
      <w:pPr>
        <w:pStyle w:val="Normal"/>
        <w:spacing w:before="0" w:after="0"/>
        <w:contextualSpacing/>
        <w:rPr/>
      </w:pPr>
      <w:r>
        <w:rPr/>
      </w:r>
    </w:p>
    <w:p>
      <w:pPr>
        <w:pStyle w:val="Normal"/>
        <w:spacing w:before="0" w:after="0"/>
        <w:contextualSpacing/>
        <w:rPr/>
      </w:pPr>
      <w:r>
        <w:rPr/>
        <w:t xml:space="preserve">This idea, related to the idea of interactions constitute the existence (Vacariu 2005) can be obtained from my EDWs directly. Important for me is Mach’s principle (section 1.4.2) who rejected Newton’s absolute space and time: </w:t>
      </w:r>
    </w:p>
    <w:p>
      <w:pPr>
        <w:pStyle w:val="Normal"/>
        <w:spacing w:before="0" w:after="0"/>
        <w:ind w:left="0" w:right="0" w:firstLine="720"/>
        <w:contextualSpacing/>
        <w:rPr>
          <w:sz w:val="20"/>
          <w:szCs w:val="20"/>
        </w:rPr>
      </w:pPr>
      <w:r>
        <w:rPr>
          <w:sz w:val="20"/>
          <w:szCs w:val="20"/>
        </w:rPr>
      </w:r>
    </w:p>
    <w:p>
      <w:pPr>
        <w:pStyle w:val="Normal"/>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pStyle w:val="Normal"/>
        <w:spacing w:before="0" w:after="0"/>
        <w:contextualSpacing/>
        <w:rPr/>
      </w:pPr>
      <w:r>
        <w:rPr/>
      </w:r>
    </w:p>
    <w:p>
      <w:pPr>
        <w:pStyle w:val="Normal"/>
        <w:spacing w:before="0" w:after="0"/>
        <w:contextualSpacing/>
        <w:rPr/>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FootnoteAnchor"/>
        </w:rPr>
        <w:footnoteReference w:id="131"/>
      </w:r>
      <w:r>
        <w:rPr>
          <w:sz w:val="20"/>
          <w:szCs w:val="20"/>
        </w:rPr>
        <w:t xml:space="preserve"> (pp. 22-23)</w:t>
      </w:r>
    </w:p>
    <w:p>
      <w:pPr>
        <w:pStyle w:val="Normal"/>
        <w:spacing w:before="0" w:after="0"/>
        <w:contextualSpacing/>
        <w:rPr>
          <w:sz w:val="20"/>
          <w:szCs w:val="20"/>
        </w:rPr>
      </w:pPr>
      <w:r>
        <w:rPr>
          <w:sz w:val="20"/>
          <w:szCs w:val="20"/>
        </w:rPr>
      </w:r>
    </w:p>
    <w:p>
      <w:pPr>
        <w:pStyle w:val="Normal"/>
        <w:spacing w:before="0" w:after="0"/>
        <w:contextualSpacing/>
        <w:rPr/>
      </w:pPr>
      <w:r>
        <w:rPr/>
        <w:t>Following Kant’s philosophy (very close to my EDWs perspective and Frith’s idea), Schommers believes that “we have recognized, these everyday life impressions do not reflect reality itself but ‘only’ an image of it.”</w:t>
      </w:r>
      <w:r>
        <w:rPr>
          <w:rStyle w:val="FootnoteAnchor"/>
        </w:rPr>
        <w:footnoteReference w:id="132"/>
      </w:r>
      <w:r>
        <w:rPr/>
        <w:t xml:space="preserve"> (p. 23)</w:t>
      </w:r>
    </w:p>
    <w:p>
      <w:pPr>
        <w:pStyle w:val="Normal"/>
        <w:spacing w:before="0" w:after="0"/>
        <w:contextualSpacing/>
        <w:rPr/>
      </w:pPr>
      <w:r>
        <w:rPr/>
        <w:tab/>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pStyle w:val="Normal"/>
        <w:spacing w:before="0" w:after="0"/>
        <w:contextualSpacing/>
        <w:rPr>
          <w:bCs/>
          <w:i/>
          <w:i/>
        </w:rPr>
      </w:pPr>
      <w:r>
        <w:rPr>
          <w:bCs/>
          <w:i/>
        </w:rPr>
      </w:r>
    </w:p>
    <w:p>
      <w:pPr>
        <w:pStyle w:val="Normal"/>
        <w:spacing w:before="0" w:after="0"/>
        <w:contextualSpacing/>
        <w:rPr>
          <w:b/>
          <w:b/>
          <w:bCs/>
        </w:rPr>
      </w:pPr>
      <w:r>
        <w:rPr>
          <w:b/>
          <w:bCs/>
        </w:rPr>
        <w:t>In section “1.4.6 Existence-Inducing Interactions” Schommers introduces his main “principle” that is identical with my main principle from 2002, 2005, 2007, 2008, etc.!</w:t>
      </w:r>
    </w:p>
    <w:p>
      <w:pPr>
        <w:pStyle w:val="Normal"/>
        <w:spacing w:before="0" w:after="0"/>
        <w:contextualSpacing/>
        <w:rPr>
          <w:bCs/>
        </w:rPr>
      </w:pPr>
      <w:r>
        <w:rPr>
          <w:bCs/>
        </w:rPr>
        <w:t xml:space="preserve">Let me quote certain paragraphs from this section: </w:t>
      </w:r>
    </w:p>
    <w:p>
      <w:pPr>
        <w:pStyle w:val="Normal"/>
        <w:spacing w:before="0" w:after="0"/>
        <w:contextualSpacing/>
        <w:rPr>
          <w:bCs/>
        </w:rPr>
      </w:pPr>
      <w:r>
        <w:rPr>
          <w:bCs/>
        </w:rPr>
      </w:r>
    </w:p>
    <w:p>
      <w:pPr>
        <w:pStyle w:val="Normal"/>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pStyle w:val="Normal"/>
        <w:spacing w:before="0" w:after="0"/>
        <w:ind w:left="0" w:right="0" w:firstLine="720"/>
        <w:contextualSpacing/>
        <w:rPr/>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FootnoteAnchor"/>
        </w:rPr>
        <w:footnoteReference w:id="133"/>
      </w:r>
    </w:p>
    <w:p>
      <w:pPr>
        <w:pStyle w:val="Normal"/>
        <w:spacing w:before="0" w:after="0"/>
        <w:contextualSpacing/>
        <w:rPr>
          <w:sz w:val="20"/>
          <w:szCs w:val="20"/>
        </w:rPr>
      </w:pPr>
      <w:r>
        <w:rPr>
          <w:sz w:val="20"/>
          <w:szCs w:val="20"/>
        </w:rPr>
      </w:r>
    </w:p>
    <w:p>
      <w:pPr>
        <w:pStyle w:val="Normal"/>
        <w:spacing w:before="0" w:after="0"/>
        <w:contextualSpacing/>
        <w:rPr/>
      </w:pPr>
      <w:r>
        <w:rPr>
          <w:i/>
        </w:rPr>
        <w:t xml:space="preserve">This is exactly my main principle written in all my works after 2002! </w:t>
      </w:r>
      <w:r>
        <w:rP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pStyle w:val="Normal"/>
        <w:spacing w:before="0" w:after="0"/>
        <w:ind w:left="0" w:right="0" w:firstLine="720"/>
        <w:contextualSpacing/>
        <w:rPr>
          <w:sz w:val="20"/>
          <w:szCs w:val="20"/>
        </w:rPr>
      </w:pPr>
      <w:r>
        <w:rPr>
          <w:sz w:val="20"/>
          <w:szCs w:val="20"/>
        </w:rPr>
      </w:r>
    </w:p>
    <w:p>
      <w:pPr>
        <w:pStyle w:val="Normal"/>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pStyle w:val="Normal"/>
        <w:spacing w:before="0" w:after="0"/>
        <w:contextualSpacing/>
        <w:rPr/>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FootnoteAnchor"/>
        </w:rPr>
        <w:footnoteReference w:id="134"/>
      </w:r>
    </w:p>
    <w:p>
      <w:pPr>
        <w:pStyle w:val="Normal"/>
        <w:spacing w:before="0" w:after="0"/>
        <w:contextualSpacing/>
        <w:rPr>
          <w:sz w:val="20"/>
          <w:szCs w:val="20"/>
        </w:rPr>
      </w:pPr>
      <w:r>
        <w:rPr>
          <w:sz w:val="20"/>
          <w:szCs w:val="20"/>
        </w:rPr>
      </w:r>
    </w:p>
    <w:p>
      <w:pPr>
        <w:pStyle w:val="Normal"/>
        <w:spacing w:before="0" w:after="0"/>
        <w:contextualSpacing/>
        <w:rPr/>
      </w:pPr>
      <w:r>
        <w:rP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pStyle w:val="Normal"/>
        <w:spacing w:before="0" w:after="0"/>
        <w:contextualSpacing/>
        <w:rPr/>
      </w:pPr>
      <w:r>
        <w:rPr/>
        <w:tab/>
        <w:t xml:space="preserve">Following Kant about space, Schommer writes that the “brain organizes this ‘ensemble of extensions’ as </w:t>
      </w:r>
      <w:r>
        <w:rPr>
          <w:i/>
          <w:iCs/>
        </w:rPr>
        <w:t xml:space="preserve">one </w:t>
      </w:r>
      <w:r>
        <w:rPr/>
        <w:t>phenomenon which we call ‘space’. That is all what we can say about space within our assumption-less everyday impressions.  (p. 37) This idea mirrors exactly my idea about “scene” (Vacariu 2014)!</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pStyle w:val="Normal"/>
        <w:spacing w:before="0" w:after="0"/>
        <w:contextualSpacing/>
        <w:rPr/>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pStyle w:val="Normal"/>
        <w:spacing w:before="0" w:after="0"/>
        <w:contextualSpacing/>
        <w:rPr>
          <w:sz w:val="20"/>
          <w:szCs w:val="20"/>
        </w:rPr>
      </w:pPr>
      <w:r>
        <w:rPr>
          <w:sz w:val="20"/>
          <w:szCs w:val="20"/>
        </w:rPr>
      </w:r>
    </w:p>
    <w:p>
      <w:pPr>
        <w:pStyle w:val="Normal"/>
        <w:spacing w:before="0" w:after="0"/>
        <w:contextualSpacing/>
        <w:rPr/>
      </w:pPr>
      <w:r>
        <w:rPr/>
        <w:t>It seems that these ideas were written under the EDWs perspective! “Correlations” (a word that is very used in cognitive neuroscience) is equivalent with my “correspondence”. Schommers uses commas for “correlations” and his main notion is “correspondence”!</w:t>
      </w:r>
    </w:p>
    <w:p>
      <w:pPr>
        <w:pStyle w:val="Normal"/>
        <w:spacing w:before="0" w:after="0"/>
        <w:contextualSpacing/>
        <w:rPr/>
      </w:pPr>
      <w:r>
        <w:rPr/>
        <w:tab/>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pStyle w:val="Normal"/>
        <w:spacing w:before="0" w:after="0"/>
        <w:contextualSpacing/>
        <w:rPr>
          <w:sz w:val="20"/>
          <w:szCs w:val="20"/>
        </w:rPr>
      </w:pPr>
      <w:r>
        <w:rPr>
          <w:sz w:val="20"/>
          <w:szCs w:val="20"/>
        </w:rPr>
      </w:r>
    </w:p>
    <w:p>
      <w:pPr>
        <w:pStyle w:val="Normal"/>
        <w:spacing w:before="0" w:after="0"/>
        <w:contextualSpacing/>
        <w:rPr/>
      </w:pPr>
      <w:r>
        <w:rPr/>
        <w:t>Within Leibniz’s framework Schommers writes that “the observation of one body, which is alone in the cosmos or does not interact with other bodies, is not possible; the minimal information Eq. (1) does not allow that (see also Fig. 7)”. (p. 45)</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FootnoteAnchor"/>
        </w:rPr>
        <w:footnoteReference w:id="135"/>
      </w:r>
      <w:r>
        <w:rPr>
          <w:sz w:val="20"/>
          <w:szCs w:val="20"/>
        </w:rPr>
        <w:t xml:space="preserve"> (p. 47)</w:t>
      </w:r>
    </w:p>
    <w:p>
      <w:pPr>
        <w:pStyle w:val="Normal"/>
        <w:spacing w:before="0" w:after="0"/>
        <w:contextualSpacing/>
        <w:rPr>
          <w:sz w:val="20"/>
          <w:szCs w:val="20"/>
        </w:rPr>
      </w:pPr>
      <w:r>
        <w:rPr>
          <w:sz w:val="20"/>
          <w:szCs w:val="20"/>
        </w:rPr>
      </w:r>
    </w:p>
    <w:p>
      <w:pPr>
        <w:pStyle w:val="Normal"/>
        <w:spacing w:before="0" w:after="0"/>
        <w:contextualSpacing/>
        <w:rPr>
          <w:b/>
          <w:b/>
        </w:rPr>
      </w:pPr>
      <w:r>
        <w:rPr>
          <w:b/>
        </w:rPr>
        <w:t>“</w:t>
      </w:r>
      <w:r>
        <w:rPr>
          <w:b/>
        </w:rPr>
        <w:t xml:space="preserve">Fictitious realities” </w:t>
      </w:r>
    </w:p>
    <w:p>
      <w:pPr>
        <w:pStyle w:val="Normal"/>
        <w:spacing w:before="0" w:after="0"/>
        <w:contextualSpacing/>
        <w:rPr/>
      </w:pPr>
      <w:r>
        <w:rPr/>
        <w:t xml:space="preserve">About “fictitious realities” (section 1.6.3), Schommers writes that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FootnoteAnchor"/>
        </w:rPr>
        <w:footnoteReference w:id="136"/>
      </w:r>
    </w:p>
    <w:p>
      <w:pPr>
        <w:pStyle w:val="Normal"/>
        <w:spacing w:before="0" w:after="0"/>
        <w:contextualSpacing/>
        <w:rPr/>
      </w:pPr>
      <w:r>
        <w:rPr/>
      </w:r>
    </w:p>
    <w:p>
      <w:pPr>
        <w:pStyle w:val="Normal"/>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pStyle w:val="Normal"/>
        <w:spacing w:before="0" w:after="0"/>
        <w:contextualSpacing/>
        <w:rPr/>
      </w:pPr>
      <w:r>
        <w:rPr/>
      </w:r>
    </w:p>
    <w:p>
      <w:pPr>
        <w:pStyle w:val="Normal"/>
        <w:spacing w:before="0" w:after="0"/>
        <w:contextualSpacing/>
        <w:rPr/>
      </w:pPr>
      <w:r>
        <w:rP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pStyle w:val="Normal"/>
        <w:spacing w:before="0" w:after="0"/>
        <w:contextualSpacing/>
        <w:rPr/>
      </w:pPr>
      <w:r>
        <w:rPr/>
        <w:tab/>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pStyle w:val="Normal"/>
        <w:spacing w:before="0" w:after="0"/>
        <w:contextualSpacing/>
        <w:rPr/>
      </w:pPr>
      <w:r>
        <w:rPr/>
      </w:r>
    </w:p>
    <w:p>
      <w:pPr>
        <w:pStyle w:val="Normal"/>
        <w:spacing w:before="0" w:after="0"/>
        <w:contextualSpacing/>
        <w:rPr>
          <w:b/>
          <w:b/>
        </w:rPr>
      </w:pPr>
      <w:r>
        <w:rPr>
          <w:b/>
        </w:rPr>
        <w:t>“</w:t>
      </w:r>
      <w:r>
        <w:rPr>
          <w:b/>
        </w:rPr>
        <w:t>Levels of reality” and “levels of observation”</w:t>
      </w:r>
    </w:p>
    <w:p>
      <w:pPr>
        <w:pStyle w:val="Normal"/>
        <w:spacing w:before="0" w:after="0"/>
        <w:contextualSpacing/>
        <w:rPr/>
      </w:pPr>
      <w:r>
        <w:rPr/>
        <w:t xml:space="preserve">At 1.11.4-5, Schommers investigates </w:t>
      </w:r>
      <w:r>
        <w:rPr>
          <w:i/>
        </w:rPr>
        <w:t>“levels of reality”</w:t>
      </w:r>
      <w:r>
        <w:rPr/>
        <w:t>, “principle of level-analysis”:</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pStyle w:val="Normal"/>
        <w:spacing w:before="0" w:after="0"/>
        <w:contextualSpacing/>
        <w:rPr/>
      </w:pPr>
      <w:r>
        <w:rPr/>
      </w:r>
    </w:p>
    <w:p>
      <w:pPr>
        <w:pStyle w:val="Normal"/>
        <w:spacing w:before="0" w:after="0"/>
        <w:contextualSpacing/>
        <w:rPr/>
      </w:pPr>
      <w:r>
        <w:rPr/>
        <w:t>This seems to be different than my EDWs: for me these “levels” are, in general not in every case) EDWs and one ED does not exist for an EDW. So, such “verticality” is quite a wrong notion. Let me introduce another paragraph that mirrors exactly my EDWs:</w:t>
      </w:r>
    </w:p>
    <w:p>
      <w:pPr>
        <w:pStyle w:val="Normal"/>
        <w:spacing w:before="0" w:after="0"/>
        <w:contextualSpacing/>
        <w:rPr/>
      </w:pPr>
      <w:r>
        <w:rPr/>
      </w:r>
    </w:p>
    <w:p>
      <w:pPr>
        <w:pStyle w:val="Normal"/>
        <w:spacing w:before="0" w:after="0"/>
        <w:contextualSpacing/>
        <w:rPr>
          <w:b/>
          <w:b/>
          <w:bCs/>
          <w:sz w:val="20"/>
          <w:szCs w:val="20"/>
        </w:rPr>
      </w:pPr>
      <w:r>
        <w:rPr>
          <w:b/>
          <w:bCs/>
          <w:sz w:val="20"/>
          <w:szCs w:val="20"/>
        </w:rPr>
        <w:t>1.11.5 Principle of Level-Analysis</w:t>
      </w:r>
    </w:p>
    <w:p>
      <w:pPr>
        <w:pStyle w:val="Normal"/>
        <w:spacing w:before="0" w:after="0"/>
        <w:contextualSpacing/>
        <w:rPr/>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pStyle w:val="Normal"/>
        <w:spacing w:before="0" w:after="0"/>
        <w:contextualSpacing/>
        <w:rPr/>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pStyle w:val="Normal"/>
        <w:spacing w:before="0" w:after="0"/>
        <w:contextualSpacing/>
        <w:rPr/>
      </w:pPr>
      <w:r>
        <w:rPr/>
      </w:r>
    </w:p>
    <w:p>
      <w:pPr>
        <w:pStyle w:val="Normal"/>
        <w:spacing w:before="0" w:after="0"/>
        <w:contextualSpacing/>
        <w:rPr/>
      </w:pPr>
      <w:r>
        <w:rPr/>
        <w:t xml:space="preserve">Do you want more “unbelievable similarities” between my ideas (2002-2014) and Schommer’s ideas (2015)? Fig. 18 mirrors exactly my EDWs! Beyond this figure, it is the following text: </w:t>
      </w:r>
    </w:p>
    <w:p>
      <w:pPr>
        <w:pStyle w:val="Normal"/>
        <w:spacing w:before="0" w:after="0"/>
        <w:contextualSpacing/>
        <w:rPr/>
      </w:pPr>
      <w:r>
        <w:rPr/>
      </w:r>
    </w:p>
    <w:p>
      <w:pPr>
        <w:pStyle w:val="Normal"/>
        <w:spacing w:before="0" w:after="0"/>
        <w:contextualSpacing/>
        <w:rPr>
          <w:sz w:val="20"/>
          <w:szCs w:val="20"/>
        </w:rPr>
      </w:pPr>
      <w:r>
        <w:rPr>
          <w:sz w:val="20"/>
          <w:szCs w:val="20"/>
        </w:rPr>
        <w:t>“</w:t>
      </w:r>
      <w:r>
        <w:rPr>
          <w:sz w:val="20"/>
          <w:szCs w:val="20"/>
        </w:rPr>
        <w:t>Fig. 18 Real bodies (matter), real processes, metaphysical entities and that is what we have called the ‘theoretical</w:t>
      </w:r>
    </w:p>
    <w:p>
      <w:pPr>
        <w:pStyle w:val="Normal"/>
        <w:spacing w:before="0" w:after="0"/>
        <w:contextualSpacing/>
        <w:rPr/>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pStyle w:val="Normal"/>
        <w:spacing w:before="0" w:after="0"/>
        <w:contextualSpacing/>
        <w:rPr/>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pStyle w:val="Normal"/>
        <w:spacing w:before="0" w:after="0"/>
        <w:contextualSpacing/>
        <w:rPr/>
      </w:pPr>
      <w:r>
        <w:rPr/>
      </w:r>
    </w:p>
    <w:p>
      <w:pPr>
        <w:pStyle w:val="Normal"/>
        <w:spacing w:before="0" w:after="0"/>
        <w:contextualSpacing/>
        <w:rPr/>
      </w:pPr>
      <w:r>
        <w:rP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pStyle w:val="Normal"/>
        <w:spacing w:before="0" w:after="0"/>
        <w:contextualSpacing/>
        <w:rPr/>
      </w:pPr>
      <w:r>
        <w:rPr/>
        <w:tab/>
        <w:t xml:space="preserve">At 1.11.7, it seems that we return to EDWs perspective: </w:t>
      </w:r>
      <w:r>
        <w:rPr>
          <w:i/>
        </w:rPr>
        <w:t>“levels of observations”</w:t>
      </w:r>
      <w:r>
        <w:rPr/>
        <w:t xml:space="preserve"> (see my paper from 2005), but Schommers’s ideas send to an ontological paradox: </w:t>
      </w:r>
    </w:p>
    <w:p>
      <w:pPr>
        <w:pStyle w:val="Normal"/>
        <w:spacing w:before="0" w:after="0"/>
        <w:contextualSpacing/>
        <w:rPr/>
      </w:pPr>
      <w:r>
        <w:rPr/>
      </w:r>
    </w:p>
    <w:p>
      <w:pPr>
        <w:pStyle w:val="Normal"/>
        <w:spacing w:before="0" w:after="0"/>
        <w:contextualSpacing/>
        <w:rPr/>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pStyle w:val="Normal"/>
        <w:spacing w:before="0" w:after="0"/>
        <w:contextualSpacing/>
        <w:rPr/>
      </w:pPr>
      <w:r>
        <w:rPr/>
      </w:r>
    </w:p>
    <w:p>
      <w:pPr>
        <w:pStyle w:val="Normal"/>
        <w:spacing w:before="0" w:after="0"/>
        <w:contextualSpacing/>
        <w:rPr/>
      </w:pPr>
      <w:r>
        <w:rPr/>
        <w:t xml:space="preserve">That is: “Basic reality → “Levels of reality” → “Levels of observation” (p. 91) The text behind Figure 19 is </w:t>
      </w:r>
    </w:p>
    <w:p>
      <w:pPr>
        <w:pStyle w:val="Normal"/>
        <w:spacing w:before="0" w:after="0"/>
        <w:contextualSpacing/>
        <w:rPr>
          <w:sz w:val="20"/>
          <w:szCs w:val="20"/>
        </w:rPr>
      </w:pPr>
      <w:r>
        <w:rPr>
          <w:sz w:val="20"/>
          <w:szCs w:val="20"/>
        </w:rPr>
      </w:r>
    </w:p>
    <w:p>
      <w:pPr>
        <w:pStyle w:val="Normal"/>
        <w:spacing w:before="0" w:after="0"/>
        <w:contextualSpacing/>
        <w:rPr>
          <w:b/>
          <w:b/>
          <w:bCs/>
          <w:sz w:val="20"/>
          <w:szCs w:val="20"/>
        </w:rPr>
      </w:pPr>
      <w:r>
        <w:rPr>
          <w:b/>
          <w:bCs/>
          <w:sz w:val="20"/>
          <w:szCs w:val="20"/>
        </w:rPr>
        <w:t>LEVELS OF REALITY LEVELS OF OBSERVATION</w:t>
      </w:r>
    </w:p>
    <w:p>
      <w:pPr>
        <w:pStyle w:val="Normal"/>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pStyle w:val="Normal"/>
        <w:spacing w:before="0" w:after="0"/>
        <w:contextualSpacing/>
        <w:rPr/>
      </w:pPr>
      <w:r>
        <w:rPr/>
      </w:r>
    </w:p>
    <w:p>
      <w:pPr>
        <w:pStyle w:val="Normal"/>
        <w:spacing w:before="0" w:after="0"/>
        <w:contextualSpacing/>
        <w:rPr/>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FootnoteAnchor"/>
        </w:rPr>
        <w:footnoteReference w:id="137"/>
      </w:r>
    </w:p>
    <w:p>
      <w:pPr>
        <w:pStyle w:val="Normal"/>
        <w:spacing w:before="0" w:after="0"/>
        <w:contextualSpacing/>
        <w:rPr/>
      </w:pPr>
      <w:r>
        <w:rPr/>
      </w:r>
    </w:p>
    <w:p>
      <w:pPr>
        <w:pStyle w:val="Normal"/>
        <w:spacing w:before="0" w:after="0"/>
        <w:contextualSpacing/>
        <w:rPr/>
      </w:pPr>
      <w:r>
        <w:rP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pStyle w:val="Normal"/>
        <w:spacing w:before="0" w:after="0"/>
        <w:ind w:left="0" w:right="0" w:firstLine="720"/>
        <w:contextualSpacing/>
        <w:rPr/>
      </w:pPr>
      <w:r>
        <w:rPr/>
        <w:t>Schommers believes that the “basic reality” is a “unified whole”:</w:t>
      </w:r>
    </w:p>
    <w:p>
      <w:pPr>
        <w:pStyle w:val="Normal"/>
        <w:spacing w:before="0" w:after="0"/>
        <w:ind w:left="0" w:right="0" w:firstLine="720"/>
        <w:contextualSpacing/>
        <w:rPr>
          <w:sz w:val="20"/>
          <w:szCs w:val="20"/>
        </w:rPr>
      </w:pPr>
      <w:r>
        <w:rPr>
          <w:sz w:val="20"/>
          <w:szCs w:val="20"/>
        </w:rPr>
      </w:r>
    </w:p>
    <w:p>
      <w:pPr>
        <w:pStyle w:val="Normal"/>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pStyle w:val="Normal"/>
        <w:spacing w:before="0" w:after="0"/>
        <w:ind w:left="0" w:right="0" w:firstLine="720"/>
        <w:contextualSpacing/>
        <w:rPr/>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FootnoteAnchor"/>
        </w:rPr>
        <w:footnoteReference w:id="138"/>
      </w:r>
    </w:p>
    <w:p>
      <w:pPr>
        <w:pStyle w:val="Normal"/>
        <w:spacing w:before="0" w:after="0"/>
        <w:contextualSpacing/>
        <w:rPr/>
      </w:pPr>
      <w:r>
        <w:rPr/>
      </w:r>
    </w:p>
    <w:p>
      <w:pPr>
        <w:pStyle w:val="Normal"/>
        <w:spacing w:before="0" w:after="0"/>
        <w:contextualSpacing/>
        <w:rPr/>
      </w:pPr>
      <w:r>
        <w:rPr/>
        <w:t>We can find here, again, Kant’s noumen-phenomen distinction.</w:t>
      </w:r>
      <w:r>
        <w:rPr>
          <w:rStyle w:val="FootnoteAnchor"/>
        </w:rPr>
        <w:footnoteReference w:id="139"/>
      </w:r>
      <w:r>
        <w:rP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FootnoteAnchor"/>
        </w:rPr>
        <w:footnoteReference w:id="140"/>
      </w:r>
      <w:r>
        <w:rPr/>
        <w:t xml:space="preserve"> (p. 93). In my EDWs perspective, levels of reality are the EDWs and their existence does not depend on any observer. </w:t>
      </w:r>
    </w:p>
    <w:p>
      <w:pPr>
        <w:pStyle w:val="Normal"/>
        <w:spacing w:before="0" w:after="0"/>
        <w:contextualSpacing/>
        <w:rPr/>
      </w:pPr>
      <w:r>
        <w:rPr/>
        <w:tab/>
        <w:t xml:space="preserve">It seems that Schommers’ answer to the mind-brain problem is the identity theory and he explicitly rejects Searle’s idea (mind is the product of the brain). </w:t>
      </w:r>
    </w:p>
    <w:p>
      <w:pPr>
        <w:pStyle w:val="Normal"/>
        <w:spacing w:before="0" w:after="0"/>
        <w:contextualSpacing/>
        <w:rPr/>
      </w:pPr>
      <w:r>
        <w:rPr/>
      </w:r>
    </w:p>
    <w:p>
      <w:pPr>
        <w:pStyle w:val="Normal"/>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pStyle w:val="Normal"/>
        <w:spacing w:before="0" w:after="0"/>
        <w:contextualSpacing/>
        <w:rPr/>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rPr/>
        <w:t xml:space="preserve"> </w:t>
      </w:r>
    </w:p>
    <w:p>
      <w:pPr>
        <w:pStyle w:val="Normal"/>
        <w:spacing w:before="0" w:after="0"/>
        <w:contextualSpacing/>
        <w:rPr/>
      </w:pPr>
      <w:r>
        <w:rPr/>
      </w:r>
    </w:p>
    <w:p>
      <w:pPr>
        <w:pStyle w:val="Normal"/>
        <w:spacing w:before="0" w:after="0"/>
        <w:contextualSpacing/>
        <w:rPr/>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FootnoteAnchor"/>
        </w:rPr>
        <w:footnoteReference w:id="141"/>
      </w:r>
    </w:p>
    <w:p>
      <w:pPr>
        <w:pStyle w:val="Normal"/>
        <w:spacing w:before="0" w:after="0"/>
        <w:contextualSpacing/>
        <w:rPr>
          <w:sz w:val="20"/>
          <w:szCs w:val="20"/>
        </w:rPr>
      </w:pPr>
      <w:r>
        <w:rPr>
          <w:sz w:val="20"/>
          <w:szCs w:val="20"/>
        </w:rPr>
      </w:r>
    </w:p>
    <w:p>
      <w:pPr>
        <w:pStyle w:val="Normal"/>
        <w:spacing w:before="0" w:after="0"/>
        <w:contextualSpacing/>
        <w:rPr/>
      </w:pPr>
      <w:r>
        <w:rPr/>
        <w:t>The ontology missing of these ideas are furnished by the EDWs perspective. Therefore, it seems as if Schommers wrote these paragraphs within the EDWs perspective! At page 131, he wrote</w:t>
      </w:r>
    </w:p>
    <w:p>
      <w:pPr>
        <w:pStyle w:val="Normal"/>
        <w:spacing w:before="0" w:after="0"/>
        <w:contextualSpacing/>
        <w:rPr/>
      </w:pPr>
      <w:r>
        <w:rPr/>
      </w:r>
    </w:p>
    <w:p>
      <w:pPr>
        <w:pStyle w:val="Normal"/>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pStyle w:val="Normal"/>
        <w:spacing w:before="0" w:after="0"/>
        <w:contextualSpacing/>
        <w:rPr/>
      </w:pPr>
      <w:r>
        <w:rPr/>
      </w:r>
    </w:p>
    <w:p>
      <w:pPr>
        <w:pStyle w:val="Normal"/>
        <w:spacing w:before="0" w:after="0"/>
        <w:contextualSpacing/>
        <w:rPr/>
      </w:pPr>
      <w:r>
        <w:rPr/>
        <w:t>If the mind is not “a creation of material part”, and the mind is not something materialistic, than we can understand this paragraph only within the EDWs perspective!</w:t>
      </w:r>
      <w:r>
        <w:rPr>
          <w:rStyle w:val="FootnoteAnchor"/>
        </w:rPr>
        <w:footnoteReference w:id="142"/>
      </w:r>
    </w:p>
    <w:p>
      <w:pPr>
        <w:pStyle w:val="Normal"/>
        <w:spacing w:before="0" w:after="0"/>
        <w:contextualSpacing/>
        <w:rPr/>
      </w:pPr>
      <w:r>
        <w:rPr/>
        <w:tab/>
      </w:r>
    </w:p>
    <w:p>
      <w:pPr>
        <w:pStyle w:val="Normal"/>
        <w:spacing w:before="0" w:after="0"/>
        <w:contextualSpacing/>
        <w:rPr>
          <w:b/>
          <w:b/>
        </w:rPr>
      </w:pPr>
      <w:r>
        <w:rPr>
          <w:b/>
        </w:rPr>
        <w:t>More about “interactions”</w:t>
      </w:r>
    </w:p>
    <w:p>
      <w:pPr>
        <w:pStyle w:val="Normal"/>
        <w:spacing w:before="0" w:after="0"/>
        <w:contextualSpacing/>
        <w:rPr/>
      </w:pPr>
      <w:r>
        <w:rPr/>
        <w:t xml:space="preserve">Schommers writes more about “interactions”.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pStyle w:val="Normal"/>
        <w:spacing w:before="0" w:after="0"/>
        <w:contextualSpacing/>
        <w:rPr/>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pStyle w:val="Normal"/>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pStyle w:val="Normal"/>
        <w:spacing w:before="0" w:after="0"/>
        <w:contextualSpacing/>
        <w:rPr>
          <w:sz w:val="20"/>
          <w:szCs w:val="20"/>
        </w:rPr>
      </w:pPr>
      <w:r>
        <w:rPr>
          <w:sz w:val="20"/>
          <w:szCs w:val="20"/>
        </w:rPr>
      </w:r>
    </w:p>
    <w:p>
      <w:pPr>
        <w:pStyle w:val="Normal"/>
        <w:spacing w:before="0" w:after="0"/>
        <w:contextualSpacing/>
        <w:rPr/>
      </w:pPr>
      <w:r>
        <w:rPr/>
        <w:t>He continues with this idea: “Because isolated space-positions are not existent, a body cannot be defined relative to space, but only relative to another body. Nevertheless, the phenomena of space and time are existent.” (p. 106)</w:t>
      </w:r>
    </w:p>
    <w:p>
      <w:pPr>
        <w:pStyle w:val="Normal"/>
        <w:spacing w:before="0" w:after="0"/>
        <w:contextualSpacing/>
        <w:rPr/>
      </w:pPr>
      <w:r>
        <w:rPr/>
        <w:tab/>
        <w:t>Very close to my notion of “</w:t>
      </w:r>
      <w:r>
        <w:rPr>
          <w:i/>
        </w:rPr>
        <w:t>scene</w:t>
      </w:r>
      <w:r>
        <w:rPr/>
        <w:t>” from my book 2014, Schommers writes:</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pStyle w:val="Normal"/>
        <w:tabs>
          <w:tab w:val="clear" w:pos="720"/>
          <w:tab w:val="left" w:pos="7875" w:leader="none"/>
        </w:tabs>
        <w:spacing w:before="0" w:after="0"/>
        <w:contextualSpacing/>
        <w:rPr/>
      </w:pPr>
      <w:r>
        <w:rPr/>
      </w:r>
    </w:p>
    <w:p>
      <w:pPr>
        <w:pStyle w:val="Normal"/>
        <w:tabs>
          <w:tab w:val="clear" w:pos="720"/>
          <w:tab w:val="left" w:pos="7875" w:leader="none"/>
        </w:tabs>
        <w:spacing w:before="0" w:after="0"/>
        <w:contextualSpacing/>
        <w:rPr/>
      </w:pPr>
      <w:r>
        <w:rPr/>
        <w:t xml:space="preserve">Another Schommers’ idea very similar to one of my ideas from EDWs is the following: he introduces two observers S and S’ that belong to two classes of observers. </w:t>
      </w:r>
    </w:p>
    <w:p>
      <w:pPr>
        <w:pStyle w:val="Normal"/>
        <w:tabs>
          <w:tab w:val="clear" w:pos="720"/>
          <w:tab w:val="left" w:pos="7875" w:leader="none"/>
        </w:tabs>
        <w:spacing w:before="0" w:after="0"/>
        <w:contextualSpacing/>
        <w:rPr/>
      </w:pPr>
      <w:r>
        <w:rPr/>
      </w:r>
    </w:p>
    <w:p>
      <w:pPr>
        <w:pStyle w:val="Normal"/>
        <w:spacing w:before="0" w:after="0"/>
        <w:contextualSpacing/>
        <w:rPr/>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FootnoteAnchor"/>
        </w:rPr>
        <w:footnoteReference w:id="143"/>
      </w:r>
    </w:p>
    <w:p>
      <w:pPr>
        <w:pStyle w:val="Normal"/>
        <w:tabs>
          <w:tab w:val="clear" w:pos="720"/>
          <w:tab w:val="left" w:pos="7875" w:leader="none"/>
        </w:tabs>
        <w:spacing w:before="0" w:after="0"/>
        <w:contextualSpacing/>
        <w:rPr/>
      </w:pPr>
      <w:r>
        <w:rPr/>
      </w:r>
    </w:p>
    <w:p>
      <w:pPr>
        <w:pStyle w:val="Normal"/>
        <w:tabs>
          <w:tab w:val="clear" w:pos="720"/>
          <w:tab w:val="left" w:pos="7875" w:leader="none"/>
        </w:tabs>
        <w:spacing w:before="0" w:after="0"/>
        <w:contextualSpacing/>
        <w:rPr/>
      </w:pPr>
      <w:r>
        <w:rP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rPr/>
        <w:t xml:space="preserve"> In section 2.2.4 (“constructed realities), Schommers introduces Figure 24 with the following text: </w:t>
      </w:r>
    </w:p>
    <w:p>
      <w:pPr>
        <w:pStyle w:val="Normal"/>
        <w:tabs>
          <w:tab w:val="clear" w:pos="720"/>
          <w:tab w:val="left" w:pos="7875" w:leader="none"/>
        </w:tabs>
        <w:spacing w:before="0" w:after="0"/>
        <w:contextualSpacing/>
        <w:rPr/>
      </w:pPr>
      <w:r>
        <w:rPr/>
      </w:r>
    </w:p>
    <w:p>
      <w:pPr>
        <w:pStyle w:val="Normal"/>
        <w:spacing w:before="0" w:after="0"/>
        <w:contextualSpacing/>
        <w:rPr/>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pStyle w:val="Normal"/>
        <w:tabs>
          <w:tab w:val="clear" w:pos="720"/>
          <w:tab w:val="left" w:pos="7875" w:leader="none"/>
        </w:tabs>
        <w:spacing w:before="0" w:after="0"/>
        <w:contextualSpacing/>
        <w:rPr>
          <w:sz w:val="20"/>
          <w:szCs w:val="20"/>
        </w:rPr>
      </w:pPr>
      <w:r>
        <w:rPr>
          <w:sz w:val="20"/>
          <w:szCs w:val="20"/>
        </w:rPr>
      </w:r>
    </w:p>
    <w:p>
      <w:pPr>
        <w:pStyle w:val="Normal"/>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pStyle w:val="Normal"/>
        <w:tabs>
          <w:tab w:val="clear" w:pos="720"/>
          <w:tab w:val="left" w:pos="7875" w:leader="none"/>
        </w:tabs>
        <w:spacing w:before="0" w:after="0"/>
        <w:contextualSpacing/>
        <w:rPr/>
      </w:pPr>
      <w:r>
        <w:rPr/>
      </w:r>
    </w:p>
    <w:p>
      <w:pPr>
        <w:pStyle w:val="Normal"/>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pStyle w:val="Normal"/>
        <w:tabs>
          <w:tab w:val="clear" w:pos="720"/>
          <w:tab w:val="left" w:pos="7875" w:leader="none"/>
        </w:tabs>
        <w:spacing w:before="0" w:after="0"/>
        <w:contextualSpacing/>
        <w:rPr/>
      </w:pPr>
      <w:r>
        <w:rPr/>
      </w:r>
    </w:p>
    <w:p>
      <w:pPr>
        <w:pStyle w:val="Normal"/>
        <w:spacing w:before="0" w:after="0"/>
        <w:contextualSpacing/>
        <w:rPr/>
      </w:pPr>
      <w:r>
        <w:rP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FootnoteAnchor"/>
        </w:rPr>
        <w:footnoteReference w:id="144"/>
      </w:r>
      <w:r>
        <w:rPr/>
        <w:t xml:space="preserve"> Figure 26 mirrors again very important idea of EDWs perspective: </w:t>
      </w:r>
    </w:p>
    <w:p>
      <w:pPr>
        <w:pStyle w:val="Normal"/>
        <w:spacing w:before="0" w:after="0"/>
        <w:contextualSpacing/>
        <w:rPr/>
      </w:pPr>
      <w:r>
        <w:rPr/>
        <w:tab/>
        <w:tab/>
        <w:tab/>
        <w:tab/>
        <w:tab/>
        <w:t xml:space="preserve">                   → physics</w:t>
      </w:r>
    </w:p>
    <w:p>
      <w:pPr>
        <w:pStyle w:val="Normal"/>
        <w:spacing w:before="0" w:after="0"/>
        <w:contextualSpacing/>
        <w:rPr/>
      </w:pPr>
      <w:r>
        <w:rPr/>
        <w:t xml:space="preserve"> </w:t>
      </w:r>
      <w:r>
        <w:rPr/>
        <w:t xml:space="preserve">Fig. 26 Reality outside → constructed reality → </w:t>
      </w:r>
    </w:p>
    <w:p>
      <w:pPr>
        <w:pStyle w:val="Normal"/>
        <w:spacing w:before="0" w:after="0"/>
        <w:ind w:left="0" w:right="0" w:firstLine="720"/>
        <w:contextualSpacing/>
        <w:rPr/>
      </w:pPr>
      <w:r>
        <w:rPr/>
        <w:t xml:space="preserve">                   → </w:t>
      </w:r>
      <w:r>
        <w:rPr/>
        <w:t>psychology</w:t>
      </w:r>
    </w:p>
    <w:p>
      <w:pPr>
        <w:pStyle w:val="Normal"/>
        <w:tabs>
          <w:tab w:val="clear" w:pos="720"/>
          <w:tab w:val="left" w:pos="7875" w:leader="none"/>
        </w:tabs>
        <w:spacing w:before="0" w:after="0"/>
        <w:contextualSpacing/>
        <w:rPr/>
      </w:pPr>
      <w:r>
        <w:rPr/>
      </w:r>
    </w:p>
    <w:p>
      <w:pPr>
        <w:pStyle w:val="Normal"/>
        <w:tabs>
          <w:tab w:val="clear" w:pos="720"/>
          <w:tab w:val="left" w:pos="7875" w:leader="none"/>
        </w:tabs>
        <w:spacing w:before="0" w:after="0"/>
        <w:contextualSpacing/>
        <w:rPr/>
      </w:pPr>
      <w:r>
        <w:rPr/>
        <w:t>The reader can clearly see that this image mirrors exactly the EDWs! I sustain the same thing about the next paragraph:</w:t>
      </w:r>
    </w:p>
    <w:p>
      <w:pPr>
        <w:pStyle w:val="Normal"/>
        <w:tabs>
          <w:tab w:val="clear" w:pos="720"/>
          <w:tab w:val="left" w:pos="7875" w:leader="none"/>
        </w:tabs>
        <w:spacing w:before="0" w:after="0"/>
        <w:contextualSpacing/>
        <w:rPr/>
      </w:pPr>
      <w:r>
        <w:rPr/>
      </w:r>
    </w:p>
    <w:p>
      <w:pPr>
        <w:pStyle w:val="Normal"/>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pStyle w:val="Normal"/>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pStyle w:val="Normal"/>
        <w:tabs>
          <w:tab w:val="clear" w:pos="720"/>
          <w:tab w:val="left" w:pos="7875" w:leader="none"/>
        </w:tabs>
        <w:spacing w:before="0" w:after="0"/>
        <w:contextualSpacing/>
        <w:rPr/>
      </w:pPr>
      <w:r>
        <w:rPr/>
      </w:r>
    </w:p>
    <w:p>
      <w:pPr>
        <w:pStyle w:val="Normal"/>
        <w:tabs>
          <w:tab w:val="clear" w:pos="720"/>
          <w:tab w:val="left" w:pos="7875" w:leader="none"/>
        </w:tabs>
        <w:spacing w:before="0" w:after="0"/>
        <w:contextualSpacing/>
        <w:rPr/>
      </w:pPr>
      <w:r>
        <w:rP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pStyle w:val="Normal"/>
        <w:tabs>
          <w:tab w:val="clear" w:pos="720"/>
          <w:tab w:val="left" w:pos="7875" w:leader="none"/>
        </w:tabs>
        <w:spacing w:before="0" w:after="0"/>
        <w:contextualSpacing/>
        <w:rPr/>
      </w:pPr>
      <w:r>
        <w:rPr/>
      </w:r>
    </w:p>
    <w:p>
      <w:pPr>
        <w:pStyle w:val="Normal"/>
        <w:tabs>
          <w:tab w:val="clear" w:pos="720"/>
          <w:tab w:val="left" w:pos="7875" w:leader="none"/>
        </w:tabs>
        <w:spacing w:before="0" w:after="0"/>
        <w:contextualSpacing/>
        <w:rPr>
          <w:b/>
          <w:b/>
        </w:rPr>
      </w:pPr>
      <w:r>
        <w:rPr>
          <w:b/>
        </w:rPr>
        <w:t>“</w:t>
      </w:r>
      <w:r>
        <w:rPr>
          <w:b/>
        </w:rPr>
        <w:t>Other observers”, the “principle of objectivation” and “constancy phenomena”</w:t>
      </w:r>
    </w:p>
    <w:p>
      <w:pPr>
        <w:pStyle w:val="Normal"/>
        <w:tabs>
          <w:tab w:val="clear" w:pos="720"/>
          <w:tab w:val="left" w:pos="7875" w:leader="none"/>
        </w:tabs>
        <w:spacing w:before="0" w:after="0"/>
        <w:contextualSpacing/>
        <w:rPr/>
      </w:pPr>
      <w:r>
        <w:rPr/>
        <w:t>In Chapter 3, Schommers clarifies “other observers”. He emphasizes that all observers have the same objective reality.</w:t>
      </w:r>
      <w:r>
        <w:rPr>
          <w:rStyle w:val="FootnoteAnchor"/>
        </w:rPr>
        <w:footnoteReference w:id="145"/>
      </w:r>
      <w:r>
        <w:rPr/>
        <w:t xml:space="preserve"> In 3.2, he introduces the idea of “equivalence of all observers”! </w:t>
      </w:r>
      <w:r>
        <w:rPr>
          <w:i/>
        </w:rPr>
        <w:t xml:space="preserve">This idea is one of my main principles (the principle of objective reality) in my paper from 2005 and all my books! </w:t>
      </w:r>
    </w:p>
    <w:p>
      <w:pPr>
        <w:pStyle w:val="Normal"/>
        <w:tabs>
          <w:tab w:val="clear" w:pos="720"/>
          <w:tab w:val="left" w:pos="7875" w:leader="none"/>
        </w:tabs>
        <w:spacing w:before="0" w:after="0"/>
        <w:contextualSpacing/>
        <w:rPr/>
      </w:pPr>
      <w:r>
        <w:rPr/>
      </w:r>
    </w:p>
    <w:p>
      <w:pPr>
        <w:pStyle w:val="Normal"/>
        <w:tabs>
          <w:tab w:val="clear" w:pos="720"/>
          <w:tab w:val="left" w:pos="7875" w:leader="none"/>
        </w:tabs>
        <w:spacing w:before="0" w:after="0"/>
        <w:contextualSpacing/>
        <w:rPr/>
      </w:pPr>
      <w:r>
        <w:rPr>
          <w:sz w:val="20"/>
          <w:szCs w:val="20"/>
        </w:rPr>
        <w:t>“</w:t>
      </w: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FootnoteAnchor"/>
        </w:rPr>
        <w:footnoteReference w:id="146"/>
      </w:r>
    </w:p>
    <w:p>
      <w:pPr>
        <w:pStyle w:val="Normal"/>
        <w:tabs>
          <w:tab w:val="clear" w:pos="720"/>
          <w:tab w:val="left" w:pos="7875" w:leader="none"/>
        </w:tabs>
        <w:spacing w:before="0" w:after="0"/>
        <w:contextualSpacing/>
        <w:rPr>
          <w:sz w:val="20"/>
          <w:szCs w:val="20"/>
        </w:rPr>
      </w:pPr>
      <w:r>
        <w:rPr>
          <w:sz w:val="20"/>
          <w:szCs w:val="20"/>
        </w:rPr>
      </w:r>
    </w:p>
    <w:p>
      <w:pPr>
        <w:pStyle w:val="Normal"/>
        <w:tabs>
          <w:tab w:val="clear" w:pos="720"/>
          <w:tab w:val="left" w:pos="7875" w:leader="none"/>
        </w:tabs>
        <w:spacing w:before="0" w:after="0"/>
        <w:contextualSpacing/>
        <w:rPr/>
      </w:pPr>
      <w:r>
        <w:rPr/>
        <w:t>Again, we can see here exactly my EDWs under Kant’s noumena-phenomena distinction! Moreover, another unbelievable similar idea is in the next paragraph:</w:t>
      </w:r>
    </w:p>
    <w:p>
      <w:pPr>
        <w:pStyle w:val="Normal"/>
        <w:tabs>
          <w:tab w:val="clear" w:pos="720"/>
          <w:tab w:val="left" w:pos="7875" w:leader="none"/>
        </w:tabs>
        <w:spacing w:before="0" w:after="0"/>
        <w:contextualSpacing/>
        <w:rPr/>
      </w:pPr>
      <w:r>
        <w:rPr/>
      </w:r>
    </w:p>
    <w:p>
      <w:pPr>
        <w:pStyle w:val="Normal"/>
        <w:spacing w:before="0" w:after="0"/>
        <w:contextualSpacing/>
        <w:rPr/>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pStyle w:val="Normal"/>
        <w:spacing w:before="0" w:after="0"/>
        <w:contextualSpacing/>
        <w:rPr>
          <w:sz w:val="20"/>
          <w:szCs w:val="20"/>
        </w:rPr>
      </w:pPr>
      <w:r>
        <w:rPr>
          <w:sz w:val="20"/>
          <w:szCs w:val="20"/>
        </w:rPr>
      </w:r>
    </w:p>
    <w:p>
      <w:pPr>
        <w:pStyle w:val="Normal"/>
        <w:spacing w:before="0" w:after="0"/>
        <w:contextualSpacing/>
        <w:rPr/>
      </w:pPr>
      <w:r>
        <w:rPr/>
        <w:t xml:space="preserve">In my articles from 2005 and my books, I wrote that the mind of each human mind is an EW! What do you want more to understand how Schommers’ wrote his unbelievable similar ideas to my ideas? </w:t>
      </w:r>
    </w:p>
    <w:p>
      <w:pPr>
        <w:pStyle w:val="Normal"/>
        <w:spacing w:before="0" w:after="0"/>
        <w:contextualSpacing/>
        <w:rPr/>
      </w:pPr>
      <w:r>
        <w:rPr/>
        <w:tab/>
        <w:t>Focusing on the notion of “reality” and “objectivity”, in section 3.5, Schommers writes about “different images of the same object”. Quoting Konrad Lorenz</w:t>
      </w:r>
      <w:r>
        <w:rPr>
          <w:rStyle w:val="FootnoteAnchor"/>
        </w:rPr>
        <w:footnoteReference w:id="147"/>
      </w:r>
      <w:r>
        <w:rPr/>
        <w:t>, in this section he writes about “constancy phenomena”. I used the same notion from Merzenich and deChlamers in my paper from 2005! But the next paragraph is incredible similar to one of my principle, the “principle of objective reality”:</w:t>
      </w:r>
    </w:p>
    <w:p>
      <w:pPr>
        <w:pStyle w:val="Normal"/>
        <w:spacing w:before="0" w:after="0"/>
        <w:ind w:left="0" w:right="0" w:firstLine="720"/>
        <w:contextualSpacing/>
        <w:rPr/>
      </w:pPr>
      <w:r>
        <w:rPr/>
      </w:r>
    </w:p>
    <w:p>
      <w:pPr>
        <w:pStyle w:val="Normal"/>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pStyle w:val="Normal"/>
        <w:spacing w:before="0" w:after="0"/>
        <w:contextualSpacing/>
        <w:rPr/>
      </w:pPr>
      <w:r>
        <w:rPr/>
      </w:r>
    </w:p>
    <w:p>
      <w:pPr>
        <w:pStyle w:val="Normal"/>
        <w:spacing w:before="0" w:after="0"/>
        <w:contextualSpacing/>
        <w:rPr/>
      </w:pPr>
      <w:r>
        <w:rP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FootnoteAnchor"/>
        </w:rPr>
        <w:footnoteReference w:id="148"/>
      </w:r>
    </w:p>
    <w:p>
      <w:pPr>
        <w:pStyle w:val="Normal"/>
        <w:spacing w:before="0" w:after="0"/>
        <w:contextualSpacing/>
        <w:rPr/>
      </w:pPr>
      <w:r>
        <w:rPr/>
      </w:r>
    </w:p>
    <w:p>
      <w:pPr>
        <w:pStyle w:val="Normal"/>
        <w:spacing w:before="0" w:after="0"/>
        <w:contextualSpacing/>
        <w:rPr/>
      </w:pPr>
      <w:r>
        <w:rPr/>
        <w:t>These ideas mirror directly one of my main principles that all EDWs have the same objective reality and the existence of EDWs (i.e., levels for German physicist).</w:t>
      </w:r>
      <w:r>
        <w:rPr>
          <w:rStyle w:val="FootnoteAnchor"/>
        </w:rPr>
        <w:footnoteReference w:id="149"/>
      </w:r>
      <w:r>
        <w:rPr/>
        <w:t xml:space="preserve"> </w:t>
      </w:r>
    </w:p>
    <w:p>
      <w:pPr>
        <w:pStyle w:val="Normal"/>
        <w:spacing w:before="0" w:after="0"/>
        <w:contextualSpacing/>
        <w:rPr>
          <w:b/>
          <w:b/>
        </w:rPr>
      </w:pPr>
      <w:r>
        <w:rPr>
          <w:b/>
        </w:rPr>
      </w:r>
    </w:p>
    <w:p>
      <w:pPr>
        <w:pStyle w:val="Normal"/>
        <w:spacing w:before="0" w:after="0"/>
        <w:contextualSpacing/>
        <w:rPr/>
      </w:pPr>
      <w:r>
        <w:rPr>
          <w:b/>
        </w:rPr>
        <w:t xml:space="preserve">About </w:t>
      </w:r>
      <w:r>
        <w:rPr>
          <w:b/>
          <w:bCs/>
        </w:rPr>
        <w:t>Newton, Leibniz, and Kant</w:t>
      </w:r>
    </w:p>
    <w:p>
      <w:pPr>
        <w:pStyle w:val="Normal"/>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pStyle w:val="Normal"/>
        <w:spacing w:before="0" w:after="0"/>
        <w:contextualSpacing/>
        <w:rPr/>
      </w:pPr>
      <w:r>
        <w:rPr/>
      </w:r>
    </w:p>
    <w:p>
      <w:pPr>
        <w:pStyle w:val="Normal"/>
        <w:spacing w:before="0" w:after="0"/>
        <w:contextualSpacing/>
        <w:rPr/>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pStyle w:val="Normal"/>
        <w:spacing w:before="0" w:after="0"/>
        <w:contextualSpacing/>
        <w:rPr/>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pStyle w:val="Normal"/>
        <w:spacing w:before="0" w:after="0"/>
        <w:contextualSpacing/>
        <w:rPr>
          <w:sz w:val="20"/>
          <w:szCs w:val="20"/>
        </w:rPr>
      </w:pPr>
      <w:r>
        <w:rPr>
          <w:sz w:val="20"/>
          <w:szCs w:val="20"/>
        </w:rPr>
      </w:r>
    </w:p>
    <w:p>
      <w:pPr>
        <w:pStyle w:val="Normal"/>
        <w:spacing w:before="0" w:after="0"/>
        <w:contextualSpacing/>
        <w:rPr/>
      </w:pPr>
      <w:r>
        <w:rPr/>
        <w:t xml:space="preserve">In Appendix D, Schommers writes that </w:t>
      </w:r>
    </w:p>
    <w:p>
      <w:pPr>
        <w:pStyle w:val="Normal"/>
        <w:spacing w:before="0" w:after="0"/>
        <w:contextualSpacing/>
        <w:rPr/>
      </w:pPr>
      <w:r>
        <w:rPr/>
      </w:r>
    </w:p>
    <w:p>
      <w:pPr>
        <w:pStyle w:val="Normal"/>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pStyle w:val="Normal"/>
        <w:spacing w:before="0" w:after="0"/>
        <w:contextualSpacing/>
        <w:rPr>
          <w:sz w:val="20"/>
          <w:szCs w:val="20"/>
        </w:rPr>
      </w:pPr>
      <w:r>
        <w:rPr>
          <w:sz w:val="20"/>
          <w:szCs w:val="20"/>
        </w:rPr>
      </w:r>
    </w:p>
    <w:p>
      <w:pPr>
        <w:pStyle w:val="Normal"/>
        <w:spacing w:before="0" w:after="0"/>
        <w:contextualSpacing/>
        <w:rPr/>
      </w:pPr>
      <w:r>
        <w:rPr/>
        <w:t>In my paper from 2005, I wrote that the EDWs perspective is beyond the realism-antirealism debate!</w:t>
      </w:r>
    </w:p>
    <w:p>
      <w:pPr>
        <w:pStyle w:val="Normal"/>
        <w:spacing w:before="0" w:after="0"/>
        <w:contextualSpacing/>
        <w:rPr/>
      </w:pPr>
      <w:r>
        <w:rPr/>
      </w:r>
    </w:p>
    <w:p>
      <w:pPr>
        <w:pStyle w:val="Normal"/>
        <w:spacing w:before="0" w:after="0"/>
        <w:contextualSpacing/>
        <w:rPr>
          <w:b/>
          <w:b/>
        </w:rPr>
      </w:pPr>
      <w:r>
        <w:rPr>
          <w:b/>
        </w:rPr>
        <w:t>Appendix F: Quantum mechanics</w:t>
      </w:r>
    </w:p>
    <w:p>
      <w:pPr>
        <w:pStyle w:val="Normal"/>
        <w:spacing w:before="0" w:after="0"/>
        <w:contextualSpacing/>
        <w:rPr/>
      </w:pPr>
      <w:r>
        <w:rP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rPr/>
        <w:t xml:space="preserve">-fluctuations between system </w:t>
      </w:r>
      <w:r>
        <w:rPr>
          <w:i/>
          <w:iCs/>
        </w:rPr>
        <w:t xml:space="preserve">i </w:t>
      </w:r>
      <w:r>
        <w:rPr/>
        <w:t xml:space="preserve">and systems </w:t>
      </w:r>
      <w:r>
        <w:rPr>
          <w:i/>
          <w:iCs/>
        </w:rPr>
        <w:t xml:space="preserve">j </w:t>
      </w:r>
      <w:r>
        <w:rPr/>
        <w:t xml:space="preserve">and lead to distance-independent correlations in </w:t>
      </w:r>
      <w:r>
        <w:rPr>
          <w:i/>
          <w:iCs/>
        </w:rPr>
        <w:t>(</w:t>
      </w:r>
      <w:r>
        <w:rPr>
          <w:b/>
          <w:bCs/>
        </w:rPr>
        <w:t>r</w:t>
      </w:r>
      <w:r>
        <w:rPr>
          <w:i/>
          <w:iCs/>
        </w:rPr>
        <w:t>, t)</w:t>
      </w:r>
      <w:r>
        <w:rPr/>
        <w:t>-space. This kind of interaction produces the system (particle) itself, and the quantity Ψ</w:t>
      </w:r>
      <w:r>
        <w:rPr>
          <w:rFonts w:cs="Cambria Math" w:ascii="Cambria Math" w:hAnsi="Cambria Math"/>
        </w:rPr>
        <w:t>∗</w:t>
      </w:r>
      <w:r>
        <w:rPr/>
        <w:t xml:space="preserve"> </w:t>
      </w:r>
      <w:r>
        <w:rPr>
          <w:i/>
          <w:iCs/>
        </w:rPr>
        <w:t>(</w:t>
      </w:r>
      <w:r>
        <w:rPr>
          <w:b/>
          <w:bCs/>
        </w:rPr>
        <w:t>r</w:t>
      </w:r>
      <w:r>
        <w:rPr>
          <w:i/>
          <w:iCs/>
        </w:rPr>
        <w:t>, t)</w:t>
      </w:r>
      <w:r>
        <w:rPr/>
        <w:t xml:space="preserve"> Ψ</w:t>
      </w:r>
      <w:r>
        <w:rPr>
          <w:i/>
          <w:iCs/>
        </w:rPr>
        <w:t xml:space="preserve"> (</w:t>
      </w:r>
      <w:r>
        <w:rPr>
          <w:b/>
          <w:bCs/>
        </w:rPr>
        <w:t>r</w:t>
      </w:r>
      <w:r>
        <w:rPr>
          <w:i/>
          <w:iCs/>
        </w:rPr>
        <w:t xml:space="preserve">, t) </w:t>
      </w:r>
      <w:r>
        <w:rPr/>
        <w:t>describes its form and shape, respectively; it can therefore be called form-interaction. We showed in [1, 2] that distance-dependent correlations can be introduced within the framework of projection principle.”</w:t>
      </w:r>
      <w:r>
        <w:rPr>
          <w:rStyle w:val="FootnoteAnchor"/>
        </w:rPr>
        <w:footnoteReference w:id="150"/>
      </w:r>
      <w:r>
        <w:rPr/>
        <w:t xml:space="preserve"> (pp. 253-254)</w:t>
      </w:r>
      <w:r>
        <w:rPr>
          <w:rStyle w:val="FootnoteAnchor"/>
        </w:rPr>
        <w:footnoteReference w:id="151"/>
      </w:r>
      <w:r>
        <w:rPr/>
        <w:t xml:space="preserve"> This mirrors exactly my solution to the quantum problem! Eliminating space-time, Schommers introduced the EDWs in other format! In the last sentence “correlation” means exactly my “correspondence”!</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pStyle w:val="Normal"/>
        <w:spacing w:before="0" w:after="0"/>
        <w:contextualSpacing/>
        <w:rPr/>
      </w:pPr>
      <w:r>
        <w:rPr/>
      </w:r>
    </w:p>
    <w:p>
      <w:pPr>
        <w:pStyle w:val="Normal"/>
        <w:spacing w:before="0" w:after="0"/>
        <w:contextualSpacing/>
        <w:rPr/>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pStyle w:val="Normal"/>
        <w:spacing w:before="0" w:after="0"/>
        <w:ind w:left="0" w:right="0" w:firstLine="720"/>
        <w:contextualSpacing/>
        <w:rPr/>
      </w:pPr>
      <w:r>
        <w:rPr>
          <w:sz w:val="20"/>
          <w:szCs w:val="20"/>
        </w:rPr>
        <w:t xml:space="preserve">The states Ψ </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cs="Cambria Math" w:ascii="Cambria Math" w:hAnsi="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pStyle w:val="Normal"/>
        <w:spacing w:before="0" w:after="0"/>
        <w:contextualSpacing/>
        <w:rPr/>
      </w:pPr>
      <w:r>
        <w:rPr>
          <w:sz w:val="20"/>
          <w:szCs w:val="20"/>
        </w:rPr>
        <w:t xml:space="preserve">due to the “motion” of the reference time </w:t>
      </w:r>
      <w:r>
        <w:rPr>
          <w:i/>
          <w:iCs/>
          <w:sz w:val="20"/>
          <w:szCs w:val="20"/>
        </w:rPr>
        <w:t>τ</w:t>
      </w:r>
      <w:r>
        <w:rPr>
          <w:sz w:val="20"/>
          <w:szCs w:val="20"/>
        </w:rPr>
        <w:t>. (p. 269)</w:t>
      </w:r>
    </w:p>
    <w:p>
      <w:pPr>
        <w:pStyle w:val="Normal"/>
        <w:spacing w:before="0" w:after="0"/>
        <w:contextualSpacing/>
        <w:rPr/>
      </w:pPr>
      <w:r>
        <w:rPr/>
      </w:r>
    </w:p>
    <w:p>
      <w:pPr>
        <w:pStyle w:val="Normal"/>
        <w:spacing w:before="0" w:after="0"/>
        <w:contextualSpacing/>
        <w:rPr/>
      </w:pPr>
      <w:r>
        <w:rPr/>
        <w:t>Again these paragraphs mirrors exactly my solution to quantum mechanics! In F.10.2, Schommers writes that about “individuals”. For instance, a particle cannot have a spatial trajectory:</w:t>
      </w:r>
    </w:p>
    <w:p>
      <w:pPr>
        <w:pStyle w:val="Normal"/>
        <w:spacing w:before="0" w:after="0"/>
        <w:contextualSpacing/>
        <w:rPr/>
      </w:pPr>
      <w:r>
        <w:rPr/>
      </w:r>
    </w:p>
    <w:p>
      <w:pPr>
        <w:pStyle w:val="Normal"/>
        <w:spacing w:before="0" w:after="0"/>
        <w:contextualSpacing/>
        <w:rPr/>
      </w:pPr>
      <w:r>
        <w:rPr>
          <w:sz w:val="20"/>
          <w:szCs w:val="20"/>
        </w:rPr>
        <w:t xml:space="preserve">All these problems indicate that the interpretation of </w:t>
      </w:r>
      <w:r>
        <w:rPr>
          <w:i/>
          <w:iCs/>
          <w:sz w:val="20"/>
          <w:szCs w:val="20"/>
        </w:rPr>
        <w:t>ψ</w:t>
      </w:r>
      <w:r>
        <w:rPr>
          <w:rFonts w:cs="Cambria Math" w:ascii="Cambria Math" w:hAnsi="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pStyle w:val="Normal"/>
        <w:spacing w:before="0" w:after="0"/>
        <w:contextualSpacing/>
        <w:rPr>
          <w:sz w:val="20"/>
          <w:szCs w:val="20"/>
        </w:rPr>
      </w:pPr>
      <w:r>
        <w:rPr>
          <w:sz w:val="20"/>
          <w:szCs w:val="20"/>
        </w:rPr>
        <w:t>in space and time. (p. 275)</w:t>
      </w:r>
    </w:p>
    <w:p>
      <w:pPr>
        <w:pStyle w:val="Normal"/>
        <w:spacing w:before="0" w:after="0"/>
        <w:contextualSpacing/>
        <w:rPr/>
      </w:pPr>
      <w:r>
        <w:rPr/>
      </w:r>
    </w:p>
    <w:p>
      <w:pPr>
        <w:pStyle w:val="Normal"/>
        <w:spacing w:before="0" w:after="0"/>
        <w:contextualSpacing/>
        <w:rPr/>
      </w:pPr>
      <w:r>
        <w:rP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pStyle w:val="Normal"/>
        <w:spacing w:before="0" w:after="0"/>
        <w:contextualSpacing/>
        <w:rPr/>
      </w:pPr>
      <w:r>
        <w:rPr/>
      </w:r>
    </w:p>
    <w:p>
      <w:pPr>
        <w:pStyle w:val="Normal"/>
        <w:spacing w:before="0" w:after="0"/>
        <w:contextualSpacing/>
        <w:rPr/>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cs="Cambria Math" w:ascii="Cambria Math" w:hAnsi="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pStyle w:val="Normal"/>
        <w:spacing w:before="0" w:after="0"/>
        <w:contextualSpacing/>
        <w:rPr>
          <w:sz w:val="20"/>
          <w:szCs w:val="20"/>
        </w:rPr>
      </w:pPr>
      <w:r>
        <w:rPr>
          <w:sz w:val="20"/>
          <w:szCs w:val="20"/>
        </w:rPr>
      </w:r>
    </w:p>
    <w:p>
      <w:pPr>
        <w:pStyle w:val="Normal"/>
        <w:spacing w:before="0" w:after="0"/>
        <w:contextualSpacing/>
        <w:rPr/>
      </w:pPr>
      <w:r>
        <w:rPr/>
        <w:t>Also, section F12 “Interactions and correlations” (mainly sub-section F12.1 “Interactions and correlations”) mirrors exactly my ideas that refers to the EDWs.</w:t>
      </w:r>
      <w:r>
        <w:rPr>
          <w:sz w:val="20"/>
          <w:szCs w:val="20"/>
        </w:rPr>
        <w:t xml:space="preserve">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pStyle w:val="Normal"/>
        <w:spacing w:before="0" w:after="0"/>
        <w:contextualSpacing/>
        <w:rPr/>
      </w:pPr>
      <w:r>
        <w:rPr/>
      </w:r>
    </w:p>
    <w:p>
      <w:pPr>
        <w:pStyle w:val="Normal"/>
        <w:spacing w:before="0" w:after="0"/>
        <w:contextualSpacing/>
        <w:rPr/>
      </w:pPr>
      <w:r>
        <w:rPr/>
        <w:t xml:space="preserve">Again, “correlations” mirrors exactly my ideas about the </w:t>
        <w:br/>
        <w:t>“correspondence” between the wave and the particle! Incredible Schommers writes that in</w:t>
      </w:r>
    </w:p>
    <w:p>
      <w:pPr>
        <w:pStyle w:val="Normal"/>
        <w:spacing w:before="0" w:after="0"/>
        <w:contextualSpacing/>
        <w:rPr/>
      </w:pPr>
      <w:r>
        <w:rPr/>
      </w:r>
    </w:p>
    <w:p>
      <w:pPr>
        <w:pStyle w:val="Normal"/>
        <w:spacing w:before="0" w:after="0"/>
        <w:contextualSpacing/>
        <w:rPr/>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pStyle w:val="Normal"/>
        <w:spacing w:before="0" w:after="0"/>
        <w:ind w:left="0" w:right="0" w:firstLine="720"/>
        <w:contextualSpacing/>
        <w:rPr/>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pStyle w:val="Normal"/>
        <w:spacing w:before="0" w:after="0"/>
        <w:ind w:left="0" w:right="0" w:firstLine="720"/>
        <w:contextualSpacing/>
        <w:rPr>
          <w:sz w:val="20"/>
          <w:szCs w:val="20"/>
        </w:rPr>
      </w:pPr>
      <w:r>
        <w:rPr>
          <w:sz w:val="20"/>
          <w:szCs w:val="20"/>
        </w:rPr>
      </w:r>
    </w:p>
    <w:p>
      <w:pPr>
        <w:pStyle w:val="Normal"/>
        <w:spacing w:before="0" w:after="0"/>
        <w:contextualSpacing/>
        <w:rPr/>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pStyle w:val="Normal"/>
        <w:spacing w:before="0" w:after="0"/>
        <w:contextualSpacing/>
        <w:rPr/>
      </w:pPr>
      <w:r>
        <w:rPr/>
      </w:r>
    </w:p>
    <w:p>
      <w:pPr>
        <w:pStyle w:val="Normal"/>
        <w:spacing w:before="0" w:after="0"/>
        <w:contextualSpacing/>
        <w:rPr/>
      </w:pPr>
      <w:r>
        <w:rP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pStyle w:val="Normal"/>
        <w:spacing w:before="0" w:after="0"/>
        <w:contextualSpacing/>
        <w:rPr/>
      </w:pPr>
      <w:r>
        <w:rPr/>
      </w:r>
    </w:p>
    <w:p>
      <w:pPr>
        <w:pStyle w:val="Normal"/>
        <w:spacing w:before="0" w:after="0"/>
        <w:contextualSpacing/>
        <w:rPr/>
      </w:pPr>
      <w:r>
        <w:rPr/>
        <w:t xml:space="preserve">Again, we can find exactly this idea in my book 2008 in other format! “Correlations” means “correspondence” in my EDWs perspective, no more or less. Again about “interaction” </w:t>
      </w:r>
    </w:p>
    <w:p>
      <w:pPr>
        <w:pStyle w:val="Normal"/>
        <w:spacing w:before="0" w:after="0"/>
        <w:contextualSpacing/>
        <w:rPr/>
      </w:pPr>
      <w:r>
        <w:rPr/>
      </w:r>
    </w:p>
    <w:p>
      <w:pPr>
        <w:pStyle w:val="Normal"/>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pStyle w:val="Normal"/>
        <w:spacing w:before="0" w:after="0"/>
        <w:contextualSpacing/>
        <w:rPr/>
      </w:pPr>
      <w:r>
        <w:rPr/>
      </w:r>
    </w:p>
    <w:p>
      <w:pPr>
        <w:pStyle w:val="Normal"/>
        <w:spacing w:before="0" w:after="0"/>
        <w:contextualSpacing/>
        <w:rPr/>
      </w:pPr>
      <w:r>
        <w:rPr/>
        <w:t xml:space="preserve">There are many other paragraphs that mirror exactly my solution to quantum mechanics. I leave the reader to investigate them. </w:t>
      </w:r>
    </w:p>
    <w:p>
      <w:pPr>
        <w:pStyle w:val="Normal"/>
        <w:spacing w:before="0" w:after="0"/>
        <w:contextualSpacing/>
        <w:rPr>
          <w:b/>
          <w:b/>
        </w:rPr>
      </w:pPr>
      <w:r>
        <w:rPr>
          <w:b/>
        </w:rPr>
      </w:r>
    </w:p>
    <w:p>
      <w:pPr>
        <w:pStyle w:val="Normal"/>
        <w:spacing w:before="0" w:after="0"/>
        <w:contextualSpacing/>
        <w:rPr>
          <w:b/>
          <w:b/>
        </w:rPr>
      </w:pPr>
      <w:r>
        <w:rPr>
          <w:b/>
        </w:rPr>
        <w:t>Conclusion</w:t>
      </w:r>
    </w:p>
    <w:p>
      <w:pPr>
        <w:pStyle w:val="Normal"/>
        <w:spacing w:before="0" w:after="0"/>
        <w:contextualSpacing/>
        <w:rPr/>
      </w:pPr>
      <w:r>
        <w:rPr/>
        <w:t>Does anybody need more details to understand the “unbelievable similarities” between my ideas (2002-2011) and Schommers’ ideas (2015)? For more details (if necessary), the reader is invited to read my articles 2002-2005, my books 2008-2014 and Schommers’ book 2015.</w:t>
      </w:r>
      <w:r>
        <w:rPr>
          <w:rStyle w:val="FootnoteAnchor"/>
        </w:rPr>
        <w:footnoteReference w:id="152"/>
      </w:r>
    </w:p>
    <w:p>
      <w:pPr>
        <w:pStyle w:val="Normal"/>
        <w:spacing w:before="0" w:after="0"/>
        <w:contextualSpacing/>
        <w:rPr/>
      </w:pPr>
      <w:r>
        <w:rPr/>
      </w:r>
    </w:p>
    <w:p>
      <w:pPr>
        <w:pStyle w:val="Normal"/>
        <w:spacing w:before="0" w:after="0"/>
        <w:contextualSpacing/>
        <w:rPr/>
      </w:pPr>
      <w:r>
        <w:rPr/>
      </w:r>
    </w:p>
    <w:p>
      <w:pPr>
        <w:pStyle w:val="ListParagraph"/>
        <w:numPr>
          <w:ilvl w:val="0"/>
          <w:numId w:val="18"/>
        </w:numPr>
        <w:spacing w:before="0" w:after="0"/>
        <w:contextualSpacing/>
        <w:rPr/>
      </w:pPr>
      <w:r>
        <w:rPr>
          <w:b/>
          <w:sz w:val="28"/>
          <w:szCs w:val="28"/>
        </w:rPr>
        <w:t xml:space="preserve">(2015) Some astrophysicists: </w:t>
      </w:r>
      <w:hyperlink r:id="rId81">
        <w:r>
          <w:rPr>
            <w:rStyle w:val="ListLabel251"/>
            <w:b/>
            <w:bCs/>
            <w:sz w:val="28"/>
            <w:szCs w:val="28"/>
          </w:rPr>
          <w:t>"Dark Matter May be 'Another Dimension' - Or Even a Major Galactic Transport System"</w:t>
        </w:r>
      </w:hyperlink>
      <w:r>
        <w:rPr>
          <w:b/>
          <w:bCs/>
          <w:sz w:val="28"/>
          <w:szCs w:val="28"/>
        </w:rPr>
        <w:t xml:space="preserve"> </w:t>
      </w:r>
      <w:hyperlink r:id="rId82">
        <w:r>
          <w:rPr>
            <w:rStyle w:val="ListLabel251"/>
            <w:b/>
            <w:bCs/>
            <w:sz w:val="28"/>
            <w:szCs w:val="28"/>
          </w:rPr>
          <w:t>January 22, 2015</w:t>
        </w:r>
      </w:hyperlink>
    </w:p>
    <w:p>
      <w:pPr>
        <w:pStyle w:val="Normal"/>
        <w:spacing w:before="0" w:after="0"/>
        <w:contextualSpacing/>
        <w:rPr/>
      </w:pPr>
      <w:r>
        <w:rPr/>
      </w:r>
    </w:p>
    <w:p>
      <w:pPr>
        <w:pStyle w:val="Normal"/>
        <w:spacing w:before="0" w:after="0"/>
        <w:contextualSpacing/>
        <w:rPr/>
      </w:pPr>
      <w:hyperlink r:id="rId83">
        <w:r>
          <w:rPr>
            <w:rStyle w:val="InternetLink"/>
          </w:rPr>
          <w:t>http://www.dailygalaxy.com/my_weblog/2015/01/-dark-matter-may-be-another-dimension-or-even-a-major-galactic-transport-system.html</w:t>
        </w:r>
      </w:hyperlink>
    </w:p>
    <w:p>
      <w:pPr>
        <w:pStyle w:val="Normal"/>
        <w:spacing w:before="0" w:after="0"/>
        <w:contextualSpacing/>
        <w:rPr>
          <w:rStyle w:val="InternetLink"/>
          <w:color w:val="auto"/>
        </w:rPr>
      </w:pPr>
      <w:r>
        <w:rPr>
          <w:color w:val="auto"/>
        </w:rPr>
      </w:r>
    </w:p>
    <w:p>
      <w:pPr>
        <w:pStyle w:val="Normal"/>
        <w:spacing w:before="0" w:after="0"/>
        <w:contextualSpacing/>
        <w:rPr/>
      </w:pPr>
      <w:r>
        <w:rPr/>
        <w:t xml:space="preserve">For them, dark matter is something from “another dimension”. This idea is very similar to my idea (2007, 2016) that dark matter is “something” that belongs to an EDW. EDW is replaced by “another dimension”! </w:t>
      </w:r>
    </w:p>
    <w:p>
      <w:pPr>
        <w:pStyle w:val="Normal"/>
        <w:spacing w:before="0" w:after="0"/>
        <w:contextualSpacing/>
        <w:rPr>
          <w:b/>
          <w:b/>
          <w:bCs/>
          <w:sz w:val="28"/>
          <w:szCs w:val="28"/>
          <w:lang w:val="ro-RO"/>
        </w:rPr>
      </w:pPr>
      <w:r>
        <w:rPr>
          <w:b/>
          <w:bCs/>
          <w:sz w:val="28"/>
          <w:szCs w:val="28"/>
          <w:lang w:val="ro-RO"/>
        </w:rPr>
      </w:r>
    </w:p>
    <w:p>
      <w:pPr>
        <w:pStyle w:val="Normal"/>
        <w:spacing w:before="0" w:after="0"/>
        <w:contextualSpacing/>
        <w:rPr>
          <w:b/>
          <w:b/>
          <w:bCs/>
          <w:sz w:val="28"/>
          <w:szCs w:val="28"/>
          <w:lang w:val="ro-RO"/>
        </w:rPr>
      </w:pPr>
      <w:r>
        <w:rPr>
          <w:b/>
          <w:bCs/>
          <w:sz w:val="28"/>
          <w:szCs w:val="28"/>
          <w:lang w:val="ro-RO"/>
        </w:rPr>
        <w:t>No comments!</w:t>
      </w:r>
    </w:p>
    <w:p>
      <w:pPr>
        <w:pStyle w:val="Normal"/>
        <w:spacing w:before="0" w:after="0"/>
        <w:contextualSpacing/>
        <w:rPr>
          <w:b/>
          <w:b/>
          <w:bCs/>
          <w:sz w:val="28"/>
          <w:szCs w:val="28"/>
          <w:lang w:val="ro-RO"/>
        </w:rPr>
      </w:pPr>
      <w:r>
        <w:rPr>
          <w:b/>
          <w:bCs/>
          <w:sz w:val="28"/>
          <w:szCs w:val="28"/>
          <w:lang w:val="ro-RO"/>
        </w:rPr>
      </w:r>
    </w:p>
    <w:p>
      <w:pPr>
        <w:pStyle w:val="Normal"/>
        <w:spacing w:before="0" w:after="0"/>
        <w:contextualSpacing/>
        <w:rPr>
          <w:b/>
          <w:b/>
          <w:bCs/>
          <w:sz w:val="28"/>
          <w:szCs w:val="28"/>
          <w:lang w:val="ro-RO"/>
        </w:rPr>
      </w:pPr>
      <w:r>
        <w:rPr>
          <w:b/>
          <w:bCs/>
          <w:sz w:val="28"/>
          <w:szCs w:val="28"/>
          <w:lang w:val="ro-RO"/>
        </w:rPr>
      </w:r>
    </w:p>
    <w:p>
      <w:pPr>
        <w:pStyle w:val="ListParagraph"/>
        <w:numPr>
          <w:ilvl w:val="0"/>
          <w:numId w:val="18"/>
        </w:numPr>
        <w:spacing w:before="0" w:after="0"/>
        <w:contextualSpacing/>
        <w:rPr/>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FootnoteAnchor"/>
          <w:b/>
          <w:sz w:val="28"/>
          <w:szCs w:val="28"/>
          <w:highlight w:val="white"/>
        </w:rPr>
        <w:footnoteReference w:id="153"/>
      </w:r>
    </w:p>
    <w:p>
      <w:pPr>
        <w:pStyle w:val="Normal"/>
        <w:shd w:val="clear" w:fill="FFFFFF"/>
        <w:spacing w:before="0" w:after="0"/>
        <w:contextualSpacing/>
        <w:rPr>
          <w:rFonts w:eastAsia="Times New Roman"/>
          <w:bCs/>
        </w:rPr>
      </w:pPr>
      <w:r>
        <w:rPr>
          <w:rFonts w:eastAsia="Times New Roman"/>
          <w:bCs/>
        </w:rPr>
      </w:r>
    </w:p>
    <w:p>
      <w:pPr>
        <w:pStyle w:val="Normal"/>
        <w:spacing w:before="0" w:after="0"/>
        <w:contextualSpacing/>
        <w:rPr/>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pStyle w:val="Normal"/>
        <w:shd w:val="clear" w:fill="FFFFFF"/>
        <w:spacing w:before="0" w:after="0"/>
        <w:contextualSpacing/>
        <w:rPr>
          <w:rFonts w:eastAsia="Times New Roman"/>
          <w:bCs/>
        </w:rPr>
      </w:pPr>
      <w:r>
        <w:rPr>
          <w:rFonts w:eastAsia="Times New Roman"/>
          <w:bCs/>
        </w:rPr>
      </w:r>
    </w:p>
    <w:p>
      <w:pPr>
        <w:pStyle w:val="Heading2"/>
        <w:spacing w:before="0" w:after="0"/>
        <w:contextualSpacing/>
        <w:jc w:val="both"/>
        <w:rPr>
          <w:rFonts w:ascii="Times New Roman" w:hAnsi="Times New Roman"/>
          <w:b w:val="false"/>
          <w:b w:val="false"/>
          <w:color w:val="auto"/>
          <w:sz w:val="24"/>
          <w:szCs w:val="24"/>
        </w:rPr>
      </w:pPr>
      <w:r>
        <w:rPr>
          <w:rFonts w:ascii="Times New Roman" w:hAnsi="Times New Roman"/>
          <w:b w:val="false"/>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pStyle w:val="Normal"/>
        <w:spacing w:before="0" w:after="0"/>
        <w:contextualSpacing/>
        <w:rPr/>
      </w:pPr>
      <w:r>
        <w:rPr/>
      </w:r>
    </w:p>
    <w:p>
      <w:pPr>
        <w:pStyle w:val="Normal"/>
        <w:spacing w:before="0" w:after="0"/>
        <w:contextualSpacing/>
        <w:rPr/>
      </w:pPr>
      <w:r>
        <w:rPr/>
      </w:r>
    </w:p>
    <w:p>
      <w:pPr>
        <w:pStyle w:val="Heading2"/>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pStyle w:val="NormalWeb"/>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Heading2"/>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r>
    </w:p>
    <w:p>
      <w:pPr>
        <w:pStyle w:val="Heading2"/>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pStyle w:val="Normal"/>
        <w:spacing w:before="0" w:after="0"/>
        <w:contextualSpacing/>
        <w:rPr/>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Appleconvertedspace"/>
          <w:sz w:val="20"/>
          <w:szCs w:val="20"/>
        </w:rPr>
        <w:t> </w:t>
      </w:r>
      <w:r>
        <w:fldChar w:fldCharType="begin"/>
      </w:r>
      <w:r>
        <w:rPr>
          <w:rStyle w:val="InternetLink"/>
          <w:sz w:val="20"/>
          <w:u w:val="none"/>
          <w:b/>
          <w:szCs w:val="20"/>
          <w:bCs/>
        </w:rPr>
        <w:instrText> HYPERLINK "http://advances.sciencemag.org/content/2/2/e1501466.full" \l "F3"</w:instrText>
      </w:r>
      <w:r>
        <w:rPr>
          <w:rStyle w:val="InternetLink"/>
          <w:sz w:val="20"/>
          <w:u w:val="none"/>
          <w:b/>
          <w:szCs w:val="20"/>
          <w:bCs/>
        </w:rPr>
        <w:fldChar w:fldCharType="separate"/>
      </w:r>
      <w:r>
        <w:rPr>
          <w:rStyle w:val="InternetLink"/>
          <w:b/>
          <w:bCs/>
          <w:color w:val="auto"/>
          <w:sz w:val="20"/>
          <w:szCs w:val="20"/>
          <w:u w:val="none"/>
        </w:rPr>
        <w:t>Fig. 3</w:t>
      </w:r>
      <w:r>
        <w:rPr>
          <w:rStyle w:val="InternetLink"/>
          <w:sz w:val="20"/>
          <w:u w:val="none"/>
          <w:b/>
          <w:szCs w:val="20"/>
          <w:bCs/>
        </w:rPr>
        <w:fldChar w:fldCharType="end"/>
      </w:r>
      <w:r>
        <w:rPr>
          <w:sz w:val="20"/>
          <w:szCs w:val="20"/>
        </w:rPr>
        <w:t>, we showed that the trajectory of photon 1 depends on the choice of measurement (polarization basis) for photon 2. In</w:t>
      </w:r>
      <w:r>
        <w:rPr>
          <w:rStyle w:val="Appleconvertedspace"/>
          <w:sz w:val="20"/>
          <w:szCs w:val="20"/>
        </w:rPr>
        <w:t> </w:t>
      </w:r>
      <w:r>
        <w:fldChar w:fldCharType="begin"/>
      </w:r>
      <w:r>
        <w:rPr>
          <w:rStyle w:val="InternetLink"/>
          <w:sz w:val="20"/>
          <w:u w:val="none"/>
          <w:b/>
          <w:szCs w:val="20"/>
          <w:bCs/>
        </w:rPr>
        <w:instrText> HYPERLINK "http://advances.sciencemag.org/content/2/2/e1501466.full" \l "F4"</w:instrText>
      </w:r>
      <w:r>
        <w:rPr>
          <w:rStyle w:val="InternetLink"/>
          <w:sz w:val="20"/>
          <w:u w:val="none"/>
          <w:b/>
          <w:szCs w:val="20"/>
          <w:bCs/>
        </w:rPr>
        <w:fldChar w:fldCharType="separate"/>
      </w:r>
      <w:r>
        <w:rPr>
          <w:rStyle w:val="InternetLink"/>
          <w:b/>
          <w:bCs/>
          <w:color w:val="auto"/>
          <w:sz w:val="20"/>
          <w:szCs w:val="20"/>
          <w:u w:val="none"/>
        </w:rPr>
        <w:t>Fig. 4</w:t>
      </w:r>
      <w:r>
        <w:rPr>
          <w:rStyle w:val="InternetLink"/>
          <w:sz w:val="20"/>
          <w:u w:val="none"/>
          <w:b/>
          <w:szCs w:val="20"/>
          <w:bCs/>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r>
    </w:p>
    <w:p>
      <w:pPr>
        <w:pStyle w:val="NormalWeb"/>
        <w:numPr>
          <w:ilvl w:val="0"/>
          <w:numId w:val="18"/>
        </w:numPr>
        <w:shd w:val="clear" w:fill="FFFFFF"/>
        <w:spacing w:before="0" w:after="0"/>
        <w:contextualSpacing/>
        <w:jc w:val="both"/>
        <w:rPr/>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FootnoteAnchor"/>
          <w:b/>
          <w:sz w:val="28"/>
          <w:szCs w:val="28"/>
        </w:rPr>
        <w:footnoteReference w:id="154"/>
      </w:r>
    </w:p>
    <w:p>
      <w:pPr>
        <w:pStyle w:val="NormalWeb"/>
        <w:shd w:val="clear" w:fill="FFFFFF"/>
        <w:spacing w:before="0" w:after="0"/>
        <w:contextualSpacing/>
        <w:jc w:val="both"/>
        <w:rPr>
          <w:b/>
          <w:b/>
        </w:rPr>
      </w:pPr>
      <w:r>
        <w:rPr>
          <w:b/>
        </w:rPr>
      </w:r>
    </w:p>
    <w:p>
      <w:pPr>
        <w:pStyle w:val="Heading1"/>
        <w:spacing w:before="0" w:after="0"/>
        <w:ind w:left="0" w:right="150" w:hanging="0"/>
        <w:contextualSpacing/>
        <w:rPr/>
      </w:pPr>
      <w:r>
        <w:rPr>
          <w:rFonts w:ascii="Times New Roman" w:hAnsi="Times New Roman"/>
          <w:b w:val="false"/>
          <w:bCs w:val="false"/>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false"/>
          <w:sz w:val="24"/>
          <w:szCs w:val="24"/>
        </w:rPr>
        <w:t>)</w:t>
      </w:r>
    </w:p>
    <w:p>
      <w:pPr>
        <w:pStyle w:val="NormalWeb"/>
        <w:shd w:val="clear" w:fill="FFFFFF"/>
        <w:spacing w:before="0" w:after="0"/>
        <w:contextualSpacing/>
        <w:jc w:val="both"/>
        <w:rPr/>
      </w:pPr>
      <w:r>
        <w:rPr/>
      </w:r>
    </w:p>
    <w:p>
      <w:pPr>
        <w:pStyle w:val="NormalWeb"/>
        <w:shd w:val="clear" w:fill="FFFFFF"/>
        <w:spacing w:before="0" w:after="0"/>
        <w:contextualSpacing/>
        <w:jc w:val="both"/>
        <w:rPr/>
      </w:pPr>
      <w:r>
        <w:rP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pStyle w:val="NormalWeb"/>
        <w:shd w:val="clear" w:fill="FFFFFF"/>
        <w:spacing w:before="0" w:after="0"/>
        <w:contextualSpacing/>
        <w:jc w:val="both"/>
        <w:rPr/>
      </w:pPr>
      <w:r>
        <w:rPr/>
      </w:r>
    </w:p>
    <w:p>
      <w:pPr>
        <w:pStyle w:val="NormalWeb"/>
        <w:shd w:val="clear" w:fill="FFFFFF"/>
        <w:spacing w:before="0" w:after="0"/>
        <w:contextualSpacing/>
        <w:jc w:val="both"/>
        <w:rPr/>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Emphasis"/>
          <w:sz w:val="20"/>
          <w:szCs w:val="20"/>
        </w:rPr>
        <w:t>i.e.</w:t>
      </w:r>
      <w:r>
        <w:rPr>
          <w:sz w:val="20"/>
          <w:szCs w:val="20"/>
        </w:rPr>
        <w:t>, according to the ordinary “Newtonian” physics of our macroscopic experience). But in addition to this, nearby</w:t>
      </w:r>
      <w:r>
        <w:rPr>
          <w:rStyle w:val="Appleconvertedspace"/>
          <w:sz w:val="20"/>
          <w:szCs w:val="20"/>
        </w:rPr>
        <w:t> </w:t>
      </w:r>
      <w:r>
        <w:rPr>
          <w:rStyle w:val="Emphasis"/>
          <w:sz w:val="20"/>
          <w:szCs w:val="20"/>
        </w:rPr>
        <w:t>worlds</w:t>
      </w:r>
      <w:r>
        <w:rPr>
          <w:rStyle w:val="Appleconvertedspace"/>
          <w:sz w:val="20"/>
          <w:szCs w:val="20"/>
        </w:rPr>
        <w:t> </w:t>
      </w:r>
      <w:r>
        <w:rPr>
          <w:sz w:val="20"/>
          <w:szCs w:val="20"/>
        </w:rPr>
        <w:t>also interact, and it’s this world interaction that gives rise to all quantum phenomena observed in nature.</w:t>
      </w:r>
    </w:p>
    <w:p>
      <w:pPr>
        <w:pStyle w:val="NormalWeb"/>
        <w:shd w:val="clear" w:fill="FFFFFF"/>
        <w:spacing w:before="0" w:after="0"/>
        <w:contextualSpacing/>
        <w:jc w:val="both"/>
        <w:rPr>
          <w:sz w:val="26"/>
          <w:szCs w:val="26"/>
        </w:rPr>
      </w:pPr>
      <w:r>
        <w:rPr>
          <w:sz w:val="26"/>
          <w:szCs w:val="26"/>
        </w:rPr>
      </w:r>
    </w:p>
    <w:p>
      <w:pPr>
        <w:pStyle w:val="NormalWeb"/>
        <w:shd w:val="clear" w:fill="FFFFFF"/>
        <w:spacing w:before="0" w:after="0"/>
        <w:contextualSpacing/>
        <w:jc w:val="both"/>
        <w:rPr/>
      </w:pPr>
      <w:r>
        <w:rP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pStyle w:val="NormalWeb"/>
        <w:shd w:val="clear" w:fill="FFFFFF"/>
        <w:spacing w:before="0" w:after="0"/>
        <w:contextualSpacing/>
        <w:jc w:val="both"/>
        <w:rPr/>
      </w:pPr>
      <w:r>
        <w:rPr/>
      </w:r>
    </w:p>
    <w:p>
      <w:pPr>
        <w:pStyle w:val="NormalWeb"/>
        <w:shd w:val="clear" w:fill="FFFFFF"/>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pStyle w:val="NormalWeb"/>
        <w:shd w:val="clear" w:fill="FFFFFF"/>
        <w:spacing w:before="0" w:after="0"/>
        <w:contextualSpacing/>
        <w:jc w:val="both"/>
        <w:rPr/>
      </w:pPr>
      <w:r>
        <w:rPr/>
      </w:r>
    </w:p>
    <w:p>
      <w:pPr>
        <w:pStyle w:val="NormalWeb"/>
        <w:shd w:val="clear" w:fill="FFFFFF"/>
        <w:spacing w:before="0" w:after="0"/>
        <w:contextualSpacing/>
        <w:jc w:val="both"/>
        <w:rPr/>
      </w:pPr>
      <w:r>
        <w:rPr/>
        <w:t>That is, these may worlds are really interacting… Quite strange within my EDWs perspective! Amazing, the next idea of the paragraph almost denies the idea of the previous paragraph:</w:t>
      </w:r>
    </w:p>
    <w:p>
      <w:pPr>
        <w:pStyle w:val="NormalWeb"/>
        <w:shd w:val="clear" w:fill="FFFFFF"/>
        <w:spacing w:before="0" w:after="0"/>
        <w:contextualSpacing/>
        <w:jc w:val="both"/>
        <w:rPr/>
      </w:pPr>
      <w:r>
        <w:rPr/>
      </w:r>
    </w:p>
    <w:p>
      <w:pPr>
        <w:pStyle w:val="NormalWeb"/>
        <w:shd w:val="clear" w:fill="FFFFFF"/>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pStyle w:val="NormalWeb"/>
        <w:shd w:val="clear" w:fill="FFFFFF"/>
        <w:spacing w:before="0" w:after="0"/>
        <w:contextualSpacing/>
        <w:jc w:val="both"/>
        <w:rPr/>
      </w:pPr>
      <w:r>
        <w:rPr/>
      </w:r>
    </w:p>
    <w:p>
      <w:pPr>
        <w:pStyle w:val="NormalWeb"/>
        <w:shd w:val="clear" w:fill="FFFFFF"/>
        <w:spacing w:before="0" w:after="0"/>
        <w:contextualSpacing/>
        <w:jc w:val="both"/>
        <w:rPr/>
      </w:pPr>
      <w:r>
        <w:rPr/>
        <w:t>Obviously, I had the impression this “quantum entanglement is very similar to the explanation that I furnished in my PhD thesis (posted on Internet in 2007) and my first book in 2008! But the next paragraph is quite strange again:</w:t>
      </w:r>
    </w:p>
    <w:p>
      <w:pPr>
        <w:pStyle w:val="NormalWeb"/>
        <w:shd w:val="clear" w:fill="FFFFFF"/>
        <w:spacing w:before="0" w:after="0"/>
        <w:contextualSpacing/>
        <w:jc w:val="both"/>
        <w:rPr/>
      </w:pPr>
      <w:r>
        <w:rPr/>
      </w:r>
    </w:p>
    <w:p>
      <w:pPr>
        <w:pStyle w:val="NormalWeb"/>
        <w:shd w:val="clear" w:fill="FFFFFF"/>
        <w:spacing w:before="0" w:after="0"/>
        <w:contextualSpacing/>
        <w:jc w:val="both"/>
        <w:rPr/>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Appleconvertedspace"/>
          <w:sz w:val="20"/>
          <w:szCs w:val="20"/>
        </w:rPr>
        <w:t> </w:t>
      </w:r>
      <w:r>
        <w:rPr>
          <w:rStyle w:val="Emphasis"/>
          <w:sz w:val="20"/>
          <w:szCs w:val="20"/>
        </w:rPr>
        <w:t>worlds</w:t>
      </w:r>
      <w:r>
        <w:rPr>
          <w:rStyle w:val="Appleconvertedspace"/>
          <w:sz w:val="20"/>
          <w:szCs w:val="20"/>
        </w:rPr>
        <w:t> </w:t>
      </w:r>
      <w:r>
        <w:rPr>
          <w:sz w:val="20"/>
          <w:szCs w:val="20"/>
        </w:rPr>
        <w:t>interact because they are close to each other, even though the two</w:t>
      </w:r>
      <w:r>
        <w:rPr>
          <w:rStyle w:val="Appleconvertedspace"/>
          <w:sz w:val="20"/>
          <w:szCs w:val="20"/>
        </w:rPr>
        <w:t> </w:t>
      </w:r>
      <w:r>
        <w:rPr>
          <w:rStyle w:val="Emphasis"/>
          <w:sz w:val="20"/>
          <w:szCs w:val="20"/>
        </w:rPr>
        <w:t>particles</w:t>
      </w:r>
      <w:r>
        <w:rPr>
          <w:rStyle w:val="Appleconvertedspace"/>
          <w:sz w:val="20"/>
          <w:szCs w:val="20"/>
        </w:rPr>
        <w:t> </w:t>
      </w:r>
      <w:r>
        <w:rPr>
          <w:sz w:val="20"/>
          <w:szCs w:val="20"/>
        </w:rPr>
        <w:t>are far apart.</w:t>
      </w:r>
    </w:p>
    <w:p>
      <w:pPr>
        <w:pStyle w:val="NormalWeb"/>
        <w:shd w:val="clear" w:fill="FFFFFF"/>
        <w:spacing w:before="0" w:after="0"/>
        <w:contextualSpacing/>
        <w:jc w:val="both"/>
        <w:rPr/>
      </w:pPr>
      <w:r>
        <w:rPr/>
      </w:r>
    </w:p>
    <w:p>
      <w:pPr>
        <w:pStyle w:val="NormalWeb"/>
        <w:shd w:val="clear" w:fill="FFFFFF"/>
        <w:spacing w:before="0" w:after="0"/>
        <w:contextualSpacing/>
        <w:jc w:val="both"/>
        <w:rPr/>
      </w:pPr>
      <w:r>
        <w:rPr/>
        <w:t>This idea looks as if it is a distorted image of EDWs perspective: one EW does not exist for any EDW, so these “two worlds” do not “interact” just “because they are close to each other, even though the two</w:t>
      </w:r>
      <w:r>
        <w:rPr>
          <w:rStyle w:val="Appleconvertedspace"/>
        </w:rPr>
        <w:t> </w:t>
      </w:r>
      <w:r>
        <w:rPr>
          <w:rStyle w:val="Emphasis"/>
        </w:rPr>
        <w:t>particles</w:t>
      </w:r>
      <w:r>
        <w:rPr>
          <w:rStyle w:val="Appleconvertedspace"/>
        </w:rPr>
        <w:t> </w:t>
      </w:r>
      <w:r>
        <w:rPr/>
        <w:t xml:space="preserve">are far apart”! Again, this statement is totally wrong, from my EDWs and again, it seems as if the author did not understand correctly my EDWs perspective. Poirier emphasizes that </w:t>
      </w:r>
    </w:p>
    <w:p>
      <w:pPr>
        <w:pStyle w:val="NormalWeb"/>
        <w:shd w:val="clear" w:fill="FFFFFF"/>
        <w:spacing w:before="0" w:after="0"/>
        <w:contextualSpacing/>
        <w:jc w:val="both"/>
        <w:rPr>
          <w:sz w:val="20"/>
          <w:szCs w:val="20"/>
        </w:rPr>
      </w:pPr>
      <w:r>
        <w:rPr>
          <w:sz w:val="20"/>
          <w:szCs w:val="20"/>
        </w:rPr>
      </w:r>
    </w:p>
    <w:p>
      <w:pPr>
        <w:pStyle w:val="NormalWeb"/>
        <w:shd w:val="clear" w:fill="FFFFFF"/>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pStyle w:val="NormalWeb"/>
        <w:shd w:val="clear" w:fill="FFFFFF"/>
        <w:spacing w:before="0" w:after="0"/>
        <w:contextualSpacing/>
        <w:jc w:val="both"/>
        <w:rPr/>
      </w:pPr>
      <w:r>
        <w:rPr/>
      </w:r>
    </w:p>
    <w:p>
      <w:pPr>
        <w:pStyle w:val="NormalWeb"/>
        <w:shd w:val="clear" w:fill="FFFFFF"/>
        <w:spacing w:before="0" w:after="0"/>
        <w:contextualSpacing/>
        <w:jc w:val="both"/>
        <w:rPr/>
      </w:pPr>
      <w:r>
        <w:rPr/>
        <w:t xml:space="preserve">Poirier mentions that he published first paper in 2010 and developed his theory in the next years. </w:t>
      </w:r>
    </w:p>
    <w:p>
      <w:pPr>
        <w:pStyle w:val="NormalWeb"/>
        <w:shd w:val="clear" w:fill="FFFFFF"/>
        <w:spacing w:before="0" w:after="0"/>
        <w:contextualSpacing/>
        <w:jc w:val="both"/>
        <w:rPr/>
      </w:pPr>
      <w:r>
        <w:rPr/>
        <w:t>So, Poirier created MIW in 2011 or 2010 when he published (with Jeremy Schiff at Bar-Ilan University) a paper “Quantum Mechanics Without Wavefunctions.”</w:t>
      </w:r>
      <w:r>
        <w:rPr>
          <w:rStyle w:val="Appleconvertedspace"/>
        </w:rPr>
        <w:t> </w:t>
      </w:r>
      <w:r>
        <w:rPr/>
        <w:t xml:space="preserve"> </w:t>
      </w:r>
    </w:p>
    <w:p>
      <w:pPr>
        <w:pStyle w:val="NormalWeb"/>
        <w:shd w:val="clear" w:fill="FFFFFF"/>
        <w:spacing w:before="0" w:after="0"/>
        <w:ind w:left="0" w:right="0" w:firstLine="720"/>
        <w:contextualSpacing/>
        <w:jc w:val="both"/>
        <w:rPr/>
      </w:pPr>
      <w:r>
        <w:rPr/>
        <w:t>The paper continues with an interview with Poirier. In introduce just the last two questions:</w:t>
      </w:r>
    </w:p>
    <w:p>
      <w:pPr>
        <w:pStyle w:val="NormalWeb"/>
        <w:shd w:val="clear" w:fill="FFFFFF"/>
        <w:spacing w:before="0" w:after="0"/>
        <w:contextualSpacing/>
        <w:jc w:val="both"/>
        <w:rPr/>
      </w:pPr>
      <w:r>
        <w:rPr/>
      </w:r>
    </w:p>
    <w:p>
      <w:pPr>
        <w:pStyle w:val="NormalWeb"/>
        <w:spacing w:before="0" w:after="0"/>
        <w:contextualSpacing/>
        <w:jc w:val="both"/>
        <w:rPr/>
      </w:pPr>
      <w:r>
        <w:rPr>
          <w:rStyle w:val="Emphasis"/>
          <w:sz w:val="20"/>
          <w:szCs w:val="20"/>
        </w:rPr>
        <w:t>“</w:t>
      </w:r>
      <w:r>
        <w:rPr>
          <w:rStyle w:val="Emphasis"/>
          <w:sz w:val="20"/>
          <w:szCs w:val="20"/>
        </w:rPr>
        <w:t>If it works this way, then we can “talk” with other universes. Eventually we may be able to visit or at the very least have an avatar.</w:t>
      </w:r>
    </w:p>
    <w:p>
      <w:pPr>
        <w:pStyle w:val="NormalWeb"/>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pStyle w:val="NormalWeb"/>
        <w:spacing w:before="0" w:after="0"/>
        <w:contextualSpacing/>
        <w:jc w:val="both"/>
        <w:rPr/>
      </w:pPr>
      <w:r>
        <w:rPr>
          <w:rStyle w:val="Emphasis"/>
          <w:sz w:val="20"/>
          <w:szCs w:val="20"/>
        </w:rPr>
        <w:t>If the many worlds are real, “where” are they, exactly?</w:t>
      </w:r>
    </w:p>
    <w:p>
      <w:pPr>
        <w:pStyle w:val="NormalWeb"/>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pStyle w:val="NormalWeb"/>
        <w:shd w:val="clear" w:fill="FFFFFF"/>
        <w:spacing w:before="0" w:after="0"/>
        <w:contextualSpacing/>
        <w:jc w:val="both"/>
        <w:rPr/>
      </w:pPr>
      <w:r>
        <w:rPr/>
      </w:r>
    </w:p>
    <w:p>
      <w:pPr>
        <w:pStyle w:val="NormalWeb"/>
        <w:shd w:val="clear" w:fill="FFFFFF"/>
        <w:spacing w:before="0" w:after="0"/>
        <w:contextualSpacing/>
        <w:jc w:val="both"/>
        <w:rPr/>
      </w:pPr>
      <w:r>
        <w:rP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pStyle w:val="Normal"/>
        <w:spacing w:before="0" w:after="0"/>
        <w:contextualSpacing/>
        <w:rPr/>
      </w:pPr>
      <w:r>
        <w:rPr/>
        <w:tab/>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ListParagraph"/>
        <w:numPr>
          <w:ilvl w:val="0"/>
          <w:numId w:val="18"/>
        </w:numPr>
        <w:shd w:val="clear" w:fill="FFFFFF"/>
        <w:spacing w:before="0" w:after="0"/>
        <w:contextualSpacing/>
        <w:rPr/>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FootnoteAnchor"/>
          <w:b/>
          <w:sz w:val="28"/>
          <w:szCs w:val="28"/>
        </w:rPr>
        <w:footnoteReference w:id="155"/>
      </w:r>
      <w:r>
        <w:rPr>
          <w:b/>
          <w:sz w:val="28"/>
          <w:szCs w:val="28"/>
        </w:rPr>
        <w:t>) and my ideas (2005, 2008)</w:t>
      </w:r>
    </w:p>
    <w:p>
      <w:pPr>
        <w:pStyle w:val="Normal"/>
        <w:shd w:val="clear" w:fill="FFFFFF"/>
        <w:spacing w:before="0" w:after="0"/>
        <w:contextualSpacing/>
        <w:rPr>
          <w:rFonts w:eastAsia="Times New Roman"/>
          <w:b/>
          <w:b/>
          <w:sz w:val="28"/>
          <w:szCs w:val="28"/>
        </w:rPr>
      </w:pPr>
      <w:r>
        <w:rPr>
          <w:rFonts w:eastAsia="Times New Roman"/>
          <w:b/>
          <w:sz w:val="28"/>
          <w:szCs w:val="28"/>
        </w:rPr>
      </w:r>
    </w:p>
    <w:p>
      <w:pPr>
        <w:pStyle w:val="Normal"/>
        <w:shd w:val="clear" w:fill="FFFFFF"/>
        <w:spacing w:before="0" w:after="0"/>
        <w:contextualSpacing/>
        <w:rPr/>
      </w:pPr>
      <w:r>
        <w:rPr>
          <w:rFonts w:eastAsia="Times New Roman"/>
          <w:sz w:val="20"/>
          <w:szCs w:val="20"/>
        </w:rPr>
        <w:t xml:space="preserve">(Frank paper at </w:t>
      </w:r>
      <w:hyperlink r:id="rId84">
        <w:r>
          <w:rPr>
            <w:rStyle w:val="InternetLink"/>
            <w:rFonts w:eastAsia="Times New Roman"/>
            <w:sz w:val="20"/>
            <w:szCs w:val="20"/>
          </w:rPr>
          <w:t>https://aeon.co/essays/materialism-alone-cannot-explain-the-riddle-of-consciousness?utm_content=bufferd2006&amp;utm_medium=social&amp;utm_source=facebook.com&amp;utm_campaign=buffer</w:t>
        </w:r>
      </w:hyperlink>
      <w:r>
        <w:rPr>
          <w:rFonts w:eastAsia="Times New Roman"/>
          <w:color w:val="000000"/>
          <w:sz w:val="20"/>
          <w:szCs w:val="20"/>
        </w:rPr>
        <w:t xml:space="preserve"> I downloaded this paper on 15.03.2017)</w:t>
      </w:r>
    </w:p>
    <w:p>
      <w:pPr>
        <w:pStyle w:val="Normal"/>
        <w:shd w:val="clear" w:fill="FFFFFF"/>
        <w:spacing w:before="0" w:after="0"/>
        <w:contextualSpacing/>
        <w:rPr>
          <w:rFonts w:eastAsia="Times New Roman"/>
          <w:color w:val="000000"/>
        </w:rPr>
      </w:pPr>
      <w:r>
        <w:rPr>
          <w:rFonts w:eastAsia="Times New Roman"/>
          <w:color w:val="000000"/>
        </w:rPr>
      </w:r>
    </w:p>
    <w:p>
      <w:pPr>
        <w:pStyle w:val="Normal"/>
        <w:shd w:val="clear" w:fill="FFFFFF"/>
        <w:spacing w:before="0" w:after="0"/>
        <w:contextualSpacing/>
        <w:rPr>
          <w:rFonts w:eastAsia="Times New Roman"/>
          <w:color w:val="000000"/>
        </w:rPr>
      </w:pPr>
      <w:r>
        <w:rPr>
          <w:rFonts w:eastAsia="Times New Roman"/>
          <w:color w:val="000000"/>
        </w:rPr>
        <w:t xml:space="preserve">ABSTRACT </w:t>
      </w:r>
    </w:p>
    <w:p>
      <w:pPr>
        <w:pStyle w:val="Normal"/>
        <w:shd w:val="clear" w:fill="FFFFFF"/>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pStyle w:val="Normal"/>
        <w:shd w:val="clear" w:fill="FFFFFF"/>
        <w:spacing w:before="0" w:after="0"/>
        <w:contextualSpacing/>
        <w:rPr>
          <w:rFonts w:eastAsia="Times New Roman"/>
          <w:color w:val="000000"/>
        </w:rPr>
      </w:pPr>
      <w:r>
        <w:rPr>
          <w:rFonts w:eastAsia="Times New Roman"/>
          <w:color w:val="000000"/>
        </w:rPr>
      </w:r>
    </w:p>
    <w:p>
      <w:pPr>
        <w:pStyle w:val="Normal"/>
        <w:shd w:val="clear" w:fill="FFFFFF"/>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pStyle w:val="Normal"/>
        <w:shd w:val="clear" w:fill="FFFFFF"/>
        <w:spacing w:before="0" w:after="0"/>
        <w:contextualSpacing/>
        <w:rPr>
          <w:rFonts w:eastAsia="Times New Roman"/>
          <w:color w:val="000000"/>
        </w:rPr>
      </w:pPr>
      <w:r>
        <w:rPr>
          <w:rFonts w:eastAsia="Times New Roman"/>
          <w:color w:val="000000"/>
        </w:rPr>
      </w:r>
    </w:p>
    <w:p>
      <w:pPr>
        <w:pStyle w:val="Normal"/>
        <w:shd w:val="clear" w:fill="FFFFFF"/>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pStyle w:val="Normal"/>
        <w:shd w:val="clear" w:fill="FFFFFF"/>
        <w:spacing w:before="0" w:after="0"/>
        <w:contextualSpacing/>
        <w:rPr>
          <w:rFonts w:eastAsia="Times New Roman"/>
          <w:color w:val="000000"/>
        </w:rPr>
      </w:pPr>
      <w:r>
        <w:rPr>
          <w:rFonts w:eastAsia="Times New Roman"/>
          <w:color w:val="000000"/>
        </w:rPr>
      </w:r>
    </w:p>
    <w:p>
      <w:pPr>
        <w:pStyle w:val="Normal"/>
        <w:spacing w:before="0" w:after="0"/>
        <w:contextualSpacing/>
        <w:rPr>
          <w:rFonts w:ascii="TimesNRMT" w:hAnsi="TimesNRMT" w:cs="TimesNRMT"/>
          <w:sz w:val="20"/>
          <w:szCs w:val="20"/>
        </w:rPr>
      </w:pPr>
      <w:r>
        <w:rPr>
          <w:rFonts w:cs="TimesNRMT" w:ascii="TimesNRMT" w:hAnsi="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pStyle w:val="Normal"/>
        <w:shd w:val="clear" w:fill="FFFFFF"/>
        <w:spacing w:before="0" w:after="0"/>
        <w:contextualSpacing/>
        <w:rPr>
          <w:rFonts w:ascii="TimesNRMT" w:hAnsi="TimesNRMT" w:cs="TimesNRMT"/>
        </w:rPr>
      </w:pPr>
      <w:r>
        <w:rPr>
          <w:rFonts w:cs="TimesNRMT" w:ascii="TimesNRMT" w:hAnsi="TimesNRMT"/>
        </w:rPr>
      </w:r>
    </w:p>
    <w:p>
      <w:pPr>
        <w:pStyle w:val="Normal"/>
        <w:shd w:val="clear" w:fill="FFFFFF"/>
        <w:spacing w:before="0" w:after="0"/>
        <w:contextualSpacing/>
        <w:rPr>
          <w:rFonts w:eastAsia="Times New Roman"/>
          <w:color w:val="000000"/>
        </w:rPr>
      </w:pPr>
      <w:r>
        <w:rPr>
          <w:rFonts w:eastAsia="Times New Roman"/>
          <w:color w:val="000000"/>
        </w:rPr>
        <w:t xml:space="preserve">Of course, nothing new in this phrase. Frank writes: </w:t>
      </w:r>
    </w:p>
    <w:p>
      <w:pPr>
        <w:pStyle w:val="Normal"/>
        <w:shd w:val="clear" w:fill="FFFFFF"/>
        <w:spacing w:before="0" w:after="0"/>
        <w:contextualSpacing/>
        <w:rPr>
          <w:rFonts w:eastAsia="Times New Roman"/>
          <w:color w:val="000000"/>
        </w:rPr>
      </w:pPr>
      <w:r>
        <w:rPr>
          <w:rFonts w:eastAsia="Times New Roman"/>
          <w:color w:val="000000"/>
        </w:rPr>
      </w:r>
    </w:p>
    <w:p>
      <w:pPr>
        <w:pStyle w:val="Normal"/>
        <w:shd w:val="clear" w:fill="FFFFFF"/>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pStyle w:val="Normal"/>
        <w:shd w:val="clear" w:fill="FFFFFF"/>
        <w:spacing w:before="0" w:after="0"/>
        <w:contextualSpacing/>
        <w:rPr>
          <w:rFonts w:eastAsia="Times New Roman"/>
          <w:color w:val="000000"/>
        </w:rPr>
      </w:pPr>
      <w:r>
        <w:rPr>
          <w:rFonts w:eastAsia="Times New Roman"/>
          <w:color w:val="000000"/>
        </w:rPr>
      </w:r>
    </w:p>
    <w:p>
      <w:pPr>
        <w:pStyle w:val="Normal"/>
        <w:shd w:val="clear" w:fill="FFFFFF"/>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pStyle w:val="Normal"/>
        <w:shd w:val="clear" w:fill="FFFFFF"/>
        <w:spacing w:before="0" w:after="0"/>
        <w:contextualSpacing/>
        <w:rPr>
          <w:rFonts w:eastAsia="Times New Roman"/>
          <w:color w:val="000000"/>
        </w:rPr>
      </w:pPr>
      <w:r>
        <w:rPr>
          <w:rFonts w:eastAsia="Times New Roman"/>
          <w:color w:val="000000"/>
        </w:rPr>
      </w:r>
    </w:p>
    <w:p>
      <w:pPr>
        <w:pStyle w:val="Normal"/>
        <w:spacing w:before="0" w:after="0"/>
        <w:contextualSpacing/>
        <w:rPr/>
      </w:pPr>
      <w:r>
        <w:rPr>
          <w:rFonts w:eastAsia="TimesNewRomanPSMT" w:cs="TimesNewRomanPSMT" w:ascii="TimesNewRomanPSMT" w:hAnsi="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r>
    </w:p>
    <w:p>
      <w:pPr>
        <w:pStyle w:val="Normal"/>
        <w:spacing w:before="0" w:after="0"/>
        <w:contextualSpacing/>
        <w:rPr>
          <w:rFonts w:ascii="TimesNewRomanPS-BoldMT" w:hAnsi="TimesNewRomanPS-BoldMT" w:eastAsia="TimesNewRomanPSMT" w:cs="TimesNewRomanPS-BoldMT"/>
          <w:b/>
          <w:b/>
          <w:bCs/>
          <w:sz w:val="20"/>
          <w:szCs w:val="20"/>
        </w:rPr>
      </w:pPr>
      <w:r>
        <w:rPr>
          <w:rFonts w:eastAsia="TimesNewRomanPSMT" w:cs="TimesNewRomanPS-BoldMT" w:ascii="TimesNewRomanPS-BoldMT" w:hAnsi="TimesNewRomanPS-BoldMT"/>
          <w:b/>
          <w:bCs/>
          <w:sz w:val="20"/>
          <w:szCs w:val="20"/>
        </w:rPr>
        <w:t xml:space="preserve">Under different conditions of observation, the human subject observes epistemologically different worlds. </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r>
    </w:p>
    <w:p>
      <w:pPr>
        <w:pStyle w:val="Normal"/>
        <w:spacing w:before="0" w:after="0"/>
        <w:contextualSpacing/>
        <w:rPr/>
      </w:pPr>
      <w:r>
        <w:rPr>
          <w:rFonts w:eastAsia="TimesNewRomanPSMT" w:cs="TimesNewRomanPSMT" w:ascii="TimesNewRomanPSMT" w:hAnsi="TimesNewRomanPSMT"/>
          <w:sz w:val="20"/>
          <w:szCs w:val="20"/>
        </w:rPr>
        <w:t xml:space="preserve">If this principle is adopted, it can be assumed that mind and brain or micro- and macro-particles belong to epistemologically different worlds. </w:t>
      </w:r>
      <w:r>
        <w:rPr>
          <w:rFonts w:eastAsia="TimesNewRomanPSMT" w:cs="TimesNewRomanPS-BoldMT" w:ascii="TimesNewRomanPS-BoldMT" w:hAnsi="TimesNewRomanPS-BoldMT"/>
          <w:bCs/>
          <w:sz w:val="20"/>
          <w:szCs w:val="20"/>
        </w:rPr>
        <w:t>(Vacariu 2008, pp. 104-5)</w:t>
      </w:r>
    </w:p>
    <w:p>
      <w:pPr>
        <w:pStyle w:val="Normal"/>
        <w:shd w:val="clear" w:fill="FFFFFF"/>
        <w:spacing w:before="0" w:after="0"/>
        <w:contextualSpacing/>
        <w:rPr>
          <w:rFonts w:eastAsia="Times New Roman"/>
          <w:color w:val="000000"/>
          <w:sz w:val="20"/>
          <w:szCs w:val="20"/>
        </w:rPr>
      </w:pPr>
      <w:r>
        <w:rPr>
          <w:rFonts w:eastAsia="Times New Roman"/>
          <w:color w:val="000000"/>
          <w:sz w:val="20"/>
          <w:szCs w:val="20"/>
        </w:rPr>
      </w:r>
    </w:p>
    <w:p>
      <w:pPr>
        <w:pStyle w:val="Normal"/>
        <w:shd w:val="clear" w:fill="FFFFFF"/>
        <w:spacing w:before="0" w:after="0"/>
        <w:contextualSpacing/>
        <w:rPr>
          <w:rFonts w:eastAsia="Times New Roman"/>
          <w:color w:val="000000"/>
          <w:sz w:val="20"/>
          <w:szCs w:val="20"/>
        </w:rPr>
      </w:pPr>
      <w:r>
        <w:rPr>
          <w:rFonts w:eastAsia="Times New Roman"/>
          <w:color w:val="000000"/>
          <w:sz w:val="20"/>
          <w:szCs w:val="20"/>
        </w:rPr>
      </w:r>
    </w:p>
    <w:p>
      <w:pPr>
        <w:pStyle w:val="Normal"/>
        <w:shd w:val="clear" w:fill="FFFFFF"/>
        <w:spacing w:before="0" w:after="0"/>
        <w:contextualSpacing/>
        <w:rPr/>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FootnoteAnchor"/>
          <w:rFonts w:eastAsia="Times New Roman"/>
          <w:color w:val="000000"/>
        </w:rPr>
        <w:footnoteReference w:id="156"/>
      </w:r>
      <w:r>
        <w:rPr>
          <w:rFonts w:eastAsia="Times New Roman"/>
          <w:color w:val="000000"/>
        </w:rPr>
        <w:t xml:space="preserve"> </w:t>
      </w:r>
    </w:p>
    <w:p>
      <w:pPr>
        <w:pStyle w:val="Normal"/>
        <w:shd w:val="clear" w:fill="FFFFFF"/>
        <w:spacing w:before="0" w:after="0"/>
        <w:contextualSpacing/>
        <w:rPr>
          <w:rFonts w:eastAsia="Times New Roman"/>
          <w:color w:val="000000"/>
        </w:rPr>
      </w:pPr>
      <w:r>
        <w:rPr>
          <w:rFonts w:eastAsia="Times New Roman"/>
          <w:color w:val="000000"/>
        </w:rPr>
      </w:r>
    </w:p>
    <w:p>
      <w:pPr>
        <w:pStyle w:val="Normal"/>
        <w:shd w:val="clear" w:fill="FFFFFF"/>
        <w:spacing w:before="0" w:after="0"/>
        <w:contextualSpacing/>
        <w:rPr>
          <w:rFonts w:eastAsia="Times New Roman"/>
          <w:color w:val="000000"/>
        </w:rPr>
      </w:pPr>
      <w:r>
        <w:rPr>
          <w:rFonts w:eastAsia="Times New Roman"/>
          <w:color w:val="000000"/>
        </w:rPr>
      </w:r>
    </w:p>
    <w:p>
      <w:pPr>
        <w:pStyle w:val="Normal"/>
        <w:shd w:val="clear" w:fill="FFFFFF"/>
        <w:spacing w:before="0" w:after="0"/>
        <w:contextualSpacing/>
        <w:rPr>
          <w:rFonts w:eastAsia="Times New Roman"/>
          <w:color w:val="000000"/>
        </w:rPr>
      </w:pPr>
      <w:r>
        <w:rPr>
          <w:rFonts w:eastAsia="Times New Roman"/>
          <w:color w:val="000000"/>
        </w:rPr>
      </w:r>
    </w:p>
    <w:p>
      <w:pPr>
        <w:pStyle w:val="Normal"/>
        <w:shd w:val="clear" w:fill="FFFFFF"/>
        <w:spacing w:before="0" w:after="0"/>
        <w:contextualSpacing/>
        <w:rPr>
          <w:rFonts w:eastAsia="Times New Roman"/>
          <w:color w:val="000000"/>
        </w:rPr>
      </w:pPr>
      <w:r>
        <w:rPr>
          <w:rFonts w:eastAsia="Times New Roman"/>
          <w:color w:val="000000"/>
        </w:rPr>
        <w:t xml:space="preserve">Next: </w:t>
      </w:r>
    </w:p>
    <w:p>
      <w:pPr>
        <w:pStyle w:val="Normal"/>
        <w:shd w:val="clear" w:fill="FFFFFF"/>
        <w:spacing w:before="0" w:after="0"/>
        <w:contextualSpacing/>
        <w:rPr>
          <w:rFonts w:eastAsia="Times New Roman"/>
          <w:color w:val="000000"/>
        </w:rPr>
      </w:pPr>
      <w:r>
        <w:rPr>
          <w:rFonts w:eastAsia="Times New Roman"/>
          <w:color w:val="000000"/>
        </w:rPr>
      </w:r>
    </w:p>
    <w:p>
      <w:pPr>
        <w:pStyle w:val="Normal"/>
        <w:shd w:val="clear" w:fill="FFFFFF"/>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pStyle w:val="Normal"/>
        <w:shd w:val="clear" w:fill="FFFFFF"/>
        <w:spacing w:before="0" w:after="0"/>
        <w:contextualSpacing/>
        <w:rPr>
          <w:rFonts w:eastAsia="Times New Roman"/>
          <w:color w:val="000000"/>
        </w:rPr>
      </w:pPr>
      <w:r>
        <w:rPr>
          <w:rFonts w:eastAsia="Times New Roman"/>
          <w:color w:val="000000"/>
        </w:rPr>
      </w:r>
    </w:p>
    <w:p>
      <w:pPr>
        <w:pStyle w:val="Normal"/>
        <w:shd w:val="clear" w:fill="FFFFFF"/>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pStyle w:val="Normal"/>
        <w:shd w:val="clear" w:fill="FFFFFF"/>
        <w:spacing w:before="0" w:after="0"/>
        <w:contextualSpacing/>
        <w:rPr>
          <w:rFonts w:eastAsia="Times New Roman"/>
          <w:color w:val="000000"/>
          <w:sz w:val="20"/>
          <w:szCs w:val="20"/>
        </w:rPr>
      </w:pPr>
      <w:r>
        <w:rPr>
          <w:rFonts w:eastAsia="Times New Roman"/>
          <w:color w:val="000000"/>
          <w:sz w:val="20"/>
          <w:szCs w:val="20"/>
        </w:rPr>
      </w:r>
    </w:p>
    <w:p>
      <w:pPr>
        <w:pStyle w:val="Normal"/>
        <w:spacing w:before="0" w:after="0"/>
        <w:contextualSpacing/>
        <w:rPr>
          <w:rFonts w:ascii="TimesNRMT" w:hAnsi="TimesNRMT" w:cs="TimesNRMT"/>
          <w:sz w:val="20"/>
          <w:szCs w:val="20"/>
        </w:rPr>
      </w:pPr>
      <w:r>
        <w:rPr>
          <w:rFonts w:cs="TimesNRMT" w:ascii="TimesNRMT" w:hAnsi="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pStyle w:val="Normal"/>
        <w:spacing w:before="0" w:after="0"/>
        <w:contextualSpacing/>
        <w:rPr>
          <w:rFonts w:ascii="TimesNRMT" w:hAnsi="TimesNRMT" w:cs="TimesNRMT"/>
          <w:sz w:val="20"/>
          <w:szCs w:val="20"/>
        </w:rPr>
      </w:pPr>
      <w:r>
        <w:rPr>
          <w:rFonts w:cs="TimesNRMT" w:ascii="TimesNRMT" w:hAnsi="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pStyle w:val="Normal"/>
        <w:spacing w:before="0" w:after="0"/>
        <w:contextualSpacing/>
        <w:rPr>
          <w:rFonts w:ascii="TimesNRMT" w:hAnsi="TimesNRMT" w:cs="TimesNRMT"/>
          <w:sz w:val="20"/>
          <w:szCs w:val="20"/>
        </w:rPr>
      </w:pPr>
      <w:r>
        <w:rPr>
          <w:rFonts w:cs="TimesNRMT" w:ascii="TimesNRMT" w:hAnsi="TimesNRMT"/>
          <w:sz w:val="20"/>
          <w:szCs w:val="20"/>
        </w:rPr>
      </w:r>
    </w:p>
    <w:p>
      <w:pPr>
        <w:pStyle w:val="Normal"/>
        <w:spacing w:before="0" w:after="0"/>
        <w:contextualSpacing/>
        <w:rPr>
          <w:rFonts w:ascii="TimesNRMT" w:hAnsi="TimesNRMT" w:cs="TimesNRMT"/>
          <w:sz w:val="20"/>
          <w:szCs w:val="20"/>
        </w:rPr>
      </w:pPr>
      <w:r>
        <w:rPr>
          <w:rFonts w:cs="TimesNRMT" w:ascii="TimesNRMT" w:hAnsi="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pStyle w:val="Normal"/>
        <w:spacing w:before="0" w:after="0"/>
        <w:contextualSpacing/>
        <w:rPr>
          <w:rFonts w:ascii="TimesNRMT" w:hAnsi="TimesNRMT" w:cs="TimesNRMT"/>
          <w:sz w:val="20"/>
          <w:szCs w:val="20"/>
        </w:rPr>
      </w:pPr>
      <w:r>
        <w:rPr>
          <w:rFonts w:cs="TimesNRMT" w:ascii="TimesNRMT" w:hAnsi="TimesNRMT"/>
          <w:sz w:val="20"/>
          <w:szCs w:val="20"/>
        </w:rPr>
      </w:r>
    </w:p>
    <w:p>
      <w:pPr>
        <w:pStyle w:val="Normal"/>
        <w:spacing w:before="0" w:after="0"/>
        <w:contextualSpacing/>
        <w:rPr>
          <w:rFonts w:ascii="TimesNRMT" w:hAnsi="TimesNRMT" w:cs="TimesNRMT"/>
          <w:sz w:val="20"/>
          <w:szCs w:val="20"/>
        </w:rPr>
      </w:pPr>
      <w:r>
        <w:rPr>
          <w:rFonts w:cs="TimesNRMT" w:ascii="TimesNRMT" w:hAnsi="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pStyle w:val="Normal"/>
        <w:spacing w:before="0" w:after="0"/>
        <w:contextualSpacing/>
        <w:rPr>
          <w:rFonts w:ascii="TimesNRMT" w:hAnsi="TimesNRMT" w:cs="TimesNRMT"/>
          <w:sz w:val="20"/>
          <w:szCs w:val="20"/>
        </w:rPr>
      </w:pPr>
      <w:r>
        <w:rPr>
          <w:rFonts w:cs="TimesNRMT" w:ascii="TimesNRMT" w:hAnsi="TimesNRMT"/>
          <w:sz w:val="20"/>
          <w:szCs w:val="20"/>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To get rid of reason the powerful distinction between epistemology and ontology which leads us to accept the unicorn-world framework (element (b) from the introduction), we need to</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re-define the notion of ontology: it is about an epistemological ontology and this is the reason for the expression “epistemologically different worlds”. (Vacariu 2008, p. 154)</w:t>
      </w:r>
    </w:p>
    <w:p>
      <w:pPr>
        <w:pStyle w:val="Normal"/>
        <w:spacing w:before="0" w:after="0"/>
        <w:contextualSpacing/>
        <w:rPr>
          <w:rFonts w:ascii="TimesNRMT" w:hAnsi="TimesNRMT" w:cs="TimesNRMT"/>
          <w:sz w:val="20"/>
          <w:szCs w:val="20"/>
        </w:rPr>
      </w:pPr>
      <w:r>
        <w:rPr>
          <w:rFonts w:cs="TimesNRMT" w:ascii="TimesNRMT" w:hAnsi="TimesNRMT"/>
          <w:sz w:val="20"/>
          <w:szCs w:val="20"/>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pStyle w:val="Normal"/>
        <w:spacing w:before="0" w:after="0"/>
        <w:contextualSpacing/>
        <w:rPr/>
      </w:pPr>
      <w:r>
        <w:rPr/>
      </w:r>
    </w:p>
    <w:p>
      <w:pPr>
        <w:pStyle w:val="Normal"/>
        <w:spacing w:before="0" w:after="0"/>
        <w:contextualSpacing/>
        <w:rPr/>
      </w:pPr>
      <w:r>
        <w:rPr/>
        <w:t xml:space="preserve">I ask the reader: do you have the feeling that Mr. Frank read my works before writing his ideas? </w:t>
      </w:r>
    </w:p>
    <w:p>
      <w:pPr>
        <w:pStyle w:val="Normal"/>
        <w:spacing w:before="0" w:after="0"/>
        <w:contextualSpacing/>
        <w:rPr>
          <w:sz w:val="20"/>
          <w:szCs w:val="20"/>
        </w:rPr>
      </w:pPr>
      <w:r>
        <w:rPr>
          <w:sz w:val="20"/>
          <w:szCs w:val="20"/>
        </w:rPr>
      </w:r>
    </w:p>
    <w:p>
      <w:pPr>
        <w:pStyle w:val="Normal"/>
        <w:shd w:val="clear" w:fill="FFFFFF"/>
        <w:spacing w:before="0" w:after="0"/>
        <w:contextualSpacing/>
        <w:rPr/>
      </w:pPr>
      <w:r>
        <w:rPr/>
        <w:t>Next: Frank writes about Everett’s many-worlds.</w:t>
      </w:r>
      <w:r>
        <w:rPr>
          <w:rStyle w:val="FootnoteAnchor"/>
        </w:rPr>
        <w:footnoteReference w:id="157"/>
      </w:r>
      <w:r>
        <w:rP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rPr/>
        <w:t>Then Frank wrote:</w:t>
      </w:r>
      <w:r>
        <w:rPr>
          <w:sz w:val="20"/>
          <w:szCs w:val="20"/>
        </w:rPr>
        <w:t xml:space="preserve"> </w:t>
      </w:r>
    </w:p>
    <w:p>
      <w:pPr>
        <w:pStyle w:val="Normal"/>
        <w:spacing w:before="0" w:after="0"/>
        <w:contextualSpacing/>
        <w:rPr>
          <w:rFonts w:eastAsia="Times New Roman"/>
          <w:sz w:val="20"/>
          <w:szCs w:val="20"/>
        </w:rPr>
      </w:pPr>
      <w:r>
        <w:rPr>
          <w:rFonts w:eastAsia="Times New Roman"/>
          <w:sz w:val="20"/>
          <w:szCs w:val="20"/>
        </w:rPr>
      </w:r>
    </w:p>
    <w:p>
      <w:pPr>
        <w:pStyle w:val="Normal"/>
        <w:spacing w:before="0" w:after="0"/>
        <w:contextualSpacing/>
        <w:rPr/>
      </w:pPr>
      <w:r>
        <w:rPr>
          <w:rFonts w:eastAsia="Times New Roman"/>
          <w:sz w:val="20"/>
          <w:szCs w:val="20"/>
        </w:rPr>
        <w:t>At a </w:t>
      </w:r>
      <w:hyperlink r:id="rId85" w:tgtFrame="_blank">
        <w:r>
          <w:rPr>
            <w:rStyle w:val="ListLabel254"/>
            <w:rFonts w:eastAsia="Times New Roman"/>
            <w:sz w:val="20"/>
            <w:szCs w:val="20"/>
          </w:rPr>
          <w:t>2011</w:t>
        </w:r>
      </w:hyperlink>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pStyle w:val="Normal"/>
        <w:spacing w:before="0" w:after="0"/>
        <w:contextualSpacing/>
        <w:rPr>
          <w:rFonts w:eastAsia="Times New Roman"/>
          <w:sz w:val="20"/>
          <w:szCs w:val="20"/>
        </w:rPr>
      </w:pPr>
      <w:r>
        <w:rPr>
          <w:rFonts w:eastAsia="Times New Roman"/>
          <w:sz w:val="20"/>
          <w:szCs w:val="20"/>
        </w:rPr>
      </w:r>
    </w:p>
    <w:p>
      <w:pPr>
        <w:pStyle w:val="Normal"/>
        <w:spacing w:before="0" w:after="0"/>
        <w:contextualSpacing/>
        <w:rPr>
          <w:rFonts w:eastAsia="Times New Roman"/>
        </w:rPr>
      </w:pPr>
      <w:r>
        <w:rPr>
          <w:rFonts w:eastAsia="Times New Roman"/>
        </w:rPr>
        <w:t xml:space="preserve">Regarding the last sentence, in my book 2008, I wrote: </w:t>
      </w:r>
    </w:p>
    <w:p>
      <w:pPr>
        <w:pStyle w:val="Normal"/>
        <w:spacing w:before="0" w:after="0"/>
        <w:contextualSpacing/>
        <w:rPr>
          <w:rFonts w:eastAsia="Times New Roman"/>
          <w:sz w:val="20"/>
          <w:szCs w:val="20"/>
        </w:rPr>
      </w:pPr>
      <w:r>
        <w:rPr>
          <w:rFonts w:eastAsia="Times New Roman"/>
          <w:sz w:val="20"/>
          <w:szCs w:val="20"/>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pStyle w:val="Normal"/>
        <w:shd w:val="clear" w:fill="FFFFFF"/>
        <w:spacing w:before="0" w:after="0"/>
        <w:contextualSpacing/>
        <w:rPr>
          <w:rFonts w:eastAsia="Times New Roman"/>
          <w:color w:val="035A6D"/>
        </w:rPr>
      </w:pPr>
      <w:r>
        <w:rPr>
          <w:rFonts w:eastAsia="Times New Roman"/>
          <w:color w:val="035A6D"/>
        </w:rPr>
      </w:r>
    </w:p>
    <w:p>
      <w:pPr>
        <w:pStyle w:val="Normal"/>
        <w:spacing w:before="0" w:after="0"/>
        <w:contextualSpacing/>
        <w:rPr/>
      </w:pPr>
      <w:r>
        <w:rPr/>
        <w:t xml:space="preserve">Next Frank’s idea: </w:t>
      </w:r>
    </w:p>
    <w:p>
      <w:pPr>
        <w:pStyle w:val="Normal"/>
        <w:spacing w:before="0" w:after="0"/>
        <w:contextualSpacing/>
        <w:rPr/>
      </w:pPr>
      <w:r>
        <w:rPr/>
      </w:r>
    </w:p>
    <w:p>
      <w:pPr>
        <w:pStyle w:val="Normal"/>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pStyle w:val="Normal"/>
        <w:spacing w:before="0" w:after="0"/>
        <w:contextualSpacing/>
        <w:rPr/>
      </w:pPr>
      <w:r>
        <w:rPr/>
      </w:r>
    </w:p>
    <w:p>
      <w:pPr>
        <w:pStyle w:val="Normal"/>
        <w:spacing w:before="0" w:after="0"/>
        <w:contextualSpacing/>
        <w:rPr/>
      </w:pPr>
      <w:r>
        <w:rPr/>
        <w:t xml:space="preserve">Amazing, again, he switched immediately from quantum mechanics to philosophy of mind (consciousness). This was my main route in all my works! </w:t>
      </w:r>
    </w:p>
    <w:p>
      <w:pPr>
        <w:pStyle w:val="Normal"/>
        <w:spacing w:before="0" w:after="0"/>
        <w:contextualSpacing/>
        <w:rPr/>
      </w:pPr>
      <w:r>
        <w:rPr/>
        <w:t xml:space="preserve">Then Frank mentions Chalmers and Nagel. </w:t>
      </w:r>
    </w:p>
    <w:p>
      <w:pPr>
        <w:pStyle w:val="Normal"/>
        <w:spacing w:before="0" w:after="0"/>
        <w:contextualSpacing/>
        <w:rPr>
          <w:sz w:val="20"/>
          <w:szCs w:val="20"/>
        </w:rPr>
      </w:pPr>
      <w:r>
        <w:rPr>
          <w:sz w:val="20"/>
          <w:szCs w:val="20"/>
        </w:rPr>
      </w:r>
    </w:p>
    <w:p>
      <w:pPr>
        <w:pStyle w:val="Normal"/>
        <w:shd w:val="clear" w:fill="FFFFFF"/>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pStyle w:val="Normal"/>
        <w:shd w:val="clear" w:fill="FFFFFF"/>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t>I wrote about Nagel and Chalmers in my book 2008. “Nagel insists that the methods of objective</w:t>
      </w:r>
    </w:p>
    <w:p>
      <w:pPr>
        <w:pStyle w:val="Normal"/>
        <w:spacing w:before="0" w:after="0"/>
        <w:contextualSpacing/>
        <w:rPr/>
      </w:pPr>
      <w:r>
        <w:rP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pStyle w:val="Normal"/>
        <w:spacing w:before="0" w:after="0"/>
        <w:contextualSpacing/>
        <w:rPr/>
      </w:pPr>
      <w:r>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pStyle w:val="Normal"/>
        <w:spacing w:before="0" w:after="0"/>
        <w:contextualSpacing/>
        <w:rPr/>
      </w:pPr>
      <w:r>
        <w:rPr/>
      </w:r>
    </w:p>
    <w:p>
      <w:pPr>
        <w:pStyle w:val="Normal"/>
        <w:spacing w:before="0" w:after="0"/>
        <w:contextualSpacing/>
        <w:rPr/>
      </w:pPr>
      <w:r>
        <w:rPr>
          <w:rFonts w:eastAsia="TimesNewRomanPSMT" w:cs="TimesNewRomanPSMT" w:ascii="TimesNewRomanPSMT" w:hAnsi="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eastAsia="TimesNewRomanPSMT" w:cs="TimesNewRomanPSMT" w:ascii="TimesNewRomanPSMT" w:hAnsi="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eastAsia="TimesNewRomanPSMT" w:cs="TimesNewRomanPSMT" w:ascii="TimesNewRomanPSMT" w:hAnsi="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pStyle w:val="Normal"/>
        <w:spacing w:before="0" w:after="0"/>
        <w:contextualSpacing/>
        <w:rPr/>
      </w:pPr>
      <w:r>
        <w:rPr/>
        <w:t xml:space="preserve"> </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pStyle w:val="Normal"/>
        <w:spacing w:before="0" w:after="0"/>
        <w:contextualSpacing/>
        <w:rPr/>
      </w:pPr>
      <w:r>
        <w:rPr/>
      </w:r>
    </w:p>
    <w:p>
      <w:pPr>
        <w:pStyle w:val="Normal"/>
        <w:spacing w:before="0" w:after="0"/>
        <w:contextualSpacing/>
        <w:rPr/>
      </w:pPr>
      <w:r>
        <w:rPr/>
        <w:t xml:space="preserve">I do not accuse Frank of plagiarizing my ideas. However, I have the feeling that Frank read my works before writing this paper. But just a feeling. The framework of his paper is, clearly, my EDWs perspective! </w:t>
      </w:r>
    </w:p>
    <w:p>
      <w:pPr>
        <w:pStyle w:val="NormalWeb"/>
        <w:shd w:val="clear" w:fill="FFFFFF"/>
        <w:spacing w:before="0" w:after="0"/>
        <w:contextualSpacing/>
        <w:jc w:val="both"/>
        <w:rPr>
          <w:bCs/>
          <w:spacing w:val="-5"/>
        </w:rPr>
      </w:pPr>
      <w:r>
        <w:rPr>
          <w:bCs/>
          <w:spacing w:val="-5"/>
        </w:rPr>
      </w:r>
    </w:p>
    <w:p>
      <w:pPr>
        <w:pStyle w:val="NormalWeb"/>
        <w:shd w:val="clear" w:fill="FFFFFF"/>
        <w:spacing w:before="0" w:after="0"/>
        <w:contextualSpacing/>
        <w:jc w:val="both"/>
        <w:rPr>
          <w:bCs/>
          <w:spacing w:val="-5"/>
        </w:rPr>
      </w:pPr>
      <w:r>
        <w:rPr>
          <w:bCs/>
          <w:spacing w:val="-5"/>
        </w:rPr>
      </w:r>
    </w:p>
    <w:p>
      <w:pPr>
        <w:pStyle w:val="ListParagraph"/>
        <w:numPr>
          <w:ilvl w:val="0"/>
          <w:numId w:val="18"/>
        </w:numPr>
        <w:spacing w:before="0" w:after="0"/>
        <w:contextualSpacing/>
        <w:rPr/>
      </w:pPr>
      <w:r>
        <w:rPr>
          <w:b/>
          <w:sz w:val="24"/>
          <w:szCs w:val="24"/>
        </w:rPr>
        <w:t>(2017)</w:t>
      </w:r>
      <w:r>
        <w:rPr>
          <w:sz w:val="24"/>
          <w:szCs w:val="24"/>
        </w:rPr>
        <w:t xml:space="preserve"> </w:t>
      </w:r>
      <w:r>
        <w:rPr>
          <w:b/>
          <w:sz w:val="24"/>
          <w:szCs w:val="24"/>
        </w:rPr>
        <w:t>Did Sebastian de Haro (2017, forthcoming 2018</w:t>
      </w:r>
      <w:r>
        <w:rPr>
          <w:rStyle w:val="FootnoteAnchor"/>
          <w:b/>
          <w:sz w:val="24"/>
          <w:szCs w:val="24"/>
        </w:rPr>
        <w:footnoteReference w:id="158"/>
      </w:r>
      <w:r>
        <w:rPr>
          <w:b/>
          <w:sz w:val="24"/>
          <w:szCs w:val="24"/>
        </w:rPr>
        <w:t>, HPS, Cambridge, UK) plagiarize my ideas (2002-2008)</w:t>
      </w:r>
    </w:p>
    <w:p>
      <w:pPr>
        <w:pStyle w:val="Normal"/>
        <w:spacing w:before="0" w:after="0"/>
        <w:contextualSpacing/>
        <w:rPr/>
      </w:pPr>
      <w:r>
        <w:rPr/>
      </w:r>
    </w:p>
    <w:p>
      <w:pPr>
        <w:pStyle w:val="Normal"/>
        <w:spacing w:before="0" w:after="0"/>
        <w:contextualSpacing/>
        <w:rPr/>
      </w:pPr>
      <w:r>
        <w:rPr/>
        <w:t xml:space="preserve">(2017) The title of de Haro’s article is this one: </w:t>
      </w:r>
      <w:r>
        <w:rPr>
          <w:b/>
        </w:rPr>
        <w:t>“Spacetime and Physical Equivalence”.</w:t>
      </w:r>
      <w:r>
        <w:rPr/>
        <w:t xml:space="preserve"> de Haro mentions others of his article from 2017. </w:t>
      </w:r>
    </w:p>
    <w:p>
      <w:pPr>
        <w:pStyle w:val="Normal"/>
        <w:spacing w:before="0" w:after="0"/>
        <w:contextualSpacing/>
        <w:rPr/>
      </w:pPr>
      <w:r>
        <w:rPr/>
        <w:tab/>
        <w:t>At page 10:</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pStyle w:val="Normal"/>
        <w:spacing w:before="0" w:after="0"/>
        <w:contextualSpacing/>
        <w:rPr>
          <w:sz w:val="20"/>
          <w:szCs w:val="20"/>
        </w:rPr>
      </w:pPr>
      <w:r>
        <w:rPr>
          <w:sz w:val="20"/>
          <w:szCs w:val="20"/>
        </w:rPr>
        <w:tab/>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pStyle w:val="Normal"/>
        <w:spacing w:before="0" w:after="0"/>
        <w:contextualSpacing/>
        <w:rPr>
          <w:sz w:val="20"/>
          <w:szCs w:val="20"/>
        </w:rPr>
      </w:pPr>
      <w:r>
        <w:rPr>
          <w:sz w:val="20"/>
          <w:szCs w:val="20"/>
        </w:rPr>
      </w:r>
    </w:p>
    <w:p>
      <w:pPr>
        <w:pStyle w:val="Normal"/>
        <w:spacing w:before="0" w:after="0"/>
        <w:contextualSpacing/>
        <w:rPr/>
      </w:pPr>
      <w:r>
        <w:rP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pStyle w:val="Normal"/>
        <w:spacing w:before="0" w:after="0"/>
        <w:contextualSpacing/>
        <w:rPr/>
      </w:pPr>
      <w:r>
        <w:rPr/>
        <w:tab/>
        <w:t>Next section is “1.3 From theoretical equivalence to physical equivalence”. Translated in my terms: “From theoretical equivalence to EDWs”. It is just a translation, no more or less.</w:t>
      </w:r>
    </w:p>
    <w:p>
      <w:pPr>
        <w:pStyle w:val="Normal"/>
        <w:spacing w:before="0" w:after="0"/>
        <w:contextualSpacing/>
        <w:rPr/>
      </w:pPr>
      <w:r>
        <w:rPr/>
        <w:tab/>
        <w:t xml:space="preserve">Then de Haro introduces the notion: </w:t>
      </w:r>
    </w:p>
    <w:p>
      <w:pPr>
        <w:pStyle w:val="Normal"/>
        <w:spacing w:before="0" w:after="0"/>
        <w:contextualSpacing/>
        <w:rPr/>
      </w:pPr>
      <w:r>
        <w:rPr/>
      </w:r>
    </w:p>
    <w:p>
      <w:pPr>
        <w:pStyle w:val="Normal"/>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pStyle w:val="Normal"/>
        <w:spacing w:before="0" w:after="0"/>
        <w:contextualSpacing/>
        <w:rPr/>
      </w:pPr>
      <w:r>
        <w:rPr/>
      </w:r>
    </w:p>
    <w:p>
      <w:pPr>
        <w:pStyle w:val="Normal"/>
        <w:spacing w:before="0" w:after="0"/>
        <w:contextualSpacing/>
        <w:rPr/>
      </w:pPr>
      <w:r>
        <w:rPr/>
        <w:t xml:space="preserve">It seems as if we are already within the EDWs! See here: </w:t>
      </w:r>
    </w:p>
    <w:p>
      <w:pPr>
        <w:pStyle w:val="Normal"/>
        <w:spacing w:before="0" w:after="0"/>
        <w:contextualSpacing/>
        <w:rPr/>
      </w:pPr>
      <w:r>
        <w:rPr/>
      </w:r>
    </w:p>
    <w:p>
      <w:pPr>
        <w:pStyle w:val="Normal"/>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pStyle w:val="Normal"/>
        <w:spacing w:before="0" w:after="0"/>
        <w:contextualSpacing/>
        <w:rPr/>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pStyle w:val="Normal"/>
        <w:spacing w:before="0" w:after="0"/>
        <w:contextualSpacing/>
        <w:rPr/>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pStyle w:val="Normal"/>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pStyle w:val="Normal"/>
        <w:spacing w:before="0" w:after="0"/>
        <w:contextualSpacing/>
        <w:rPr/>
      </w:pPr>
      <w:r>
        <w:rPr/>
      </w:r>
    </w:p>
    <w:p>
      <w:pPr>
        <w:pStyle w:val="Normal"/>
        <w:spacing w:before="0" w:after="0"/>
        <w:contextualSpacing/>
        <w:rPr/>
      </w:pPr>
      <w:r>
        <w:rPr/>
        <w:t>INCREDIBLE! There are “two worlds”, “domains of the worlds”!!! Italic there is this: “</w:t>
      </w:r>
      <w:r>
        <w:rPr>
          <w:i/>
        </w:rPr>
        <w:t>the domains of the worlds described by two dual models, and the worlds themselves are the same</w:t>
      </w:r>
      <w:r>
        <w:rPr/>
        <w:t>: this is because, on an internal interpretation, the two worlds, in all their physical facts, are `constructed, or obtained from', the triples.” What does the reader want more to see the INCREDIBLE similarities between these “DWs” and my EDWs”???</w:t>
      </w:r>
    </w:p>
    <w:p>
      <w:pPr>
        <w:pStyle w:val="Normal"/>
        <w:spacing w:before="0" w:after="0"/>
        <w:contextualSpacing/>
        <w:rPr/>
      </w:pPr>
      <w:r>
        <w:rPr/>
        <w:tab/>
        <w:t>Few lines later:</w:t>
      </w:r>
    </w:p>
    <w:p>
      <w:pPr>
        <w:pStyle w:val="Normal"/>
        <w:spacing w:before="0" w:after="0"/>
        <w:contextualSpacing/>
        <w:rPr/>
      </w:pPr>
      <w:r>
        <w:rPr/>
      </w:r>
    </w:p>
    <w:p>
      <w:pPr>
        <w:pStyle w:val="Normal"/>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pStyle w:val="Normal"/>
        <w:spacing w:before="0" w:after="0"/>
        <w:contextualSpacing/>
        <w:rPr>
          <w:sz w:val="20"/>
          <w:szCs w:val="20"/>
        </w:rPr>
      </w:pPr>
      <w:r>
        <w:rPr>
          <w:sz w:val="20"/>
          <w:szCs w:val="20"/>
        </w:rPr>
      </w:r>
    </w:p>
    <w:p>
      <w:pPr>
        <w:pStyle w:val="Normal"/>
        <w:spacing w:before="0" w:after="0"/>
        <w:contextualSpacing/>
        <w:rPr/>
      </w:pPr>
      <w:r>
        <w:rPr/>
        <w:t xml:space="preserve">And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pStyle w:val="Normal"/>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pStyle w:val="Normal"/>
        <w:spacing w:before="0" w:after="0"/>
        <w:contextualSpacing/>
        <w:rPr>
          <w:sz w:val="20"/>
          <w:szCs w:val="20"/>
        </w:rPr>
      </w:pPr>
      <w:r>
        <w:rPr>
          <w:sz w:val="20"/>
          <w:szCs w:val="20"/>
        </w:rPr>
      </w:r>
    </w:p>
    <w:p>
      <w:pPr>
        <w:pStyle w:val="Normal"/>
        <w:spacing w:before="0" w:after="0"/>
        <w:contextualSpacing/>
        <w:rPr/>
      </w:pPr>
      <w:r>
        <w:rP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pStyle w:val="NormalWeb"/>
        <w:shd w:val="clear" w:fill="FFFFFF"/>
        <w:spacing w:before="0" w:after="0"/>
        <w:contextualSpacing/>
        <w:jc w:val="both"/>
        <w:rPr>
          <w:bCs/>
          <w:spacing w:val="-5"/>
        </w:rPr>
      </w:pPr>
      <w:r>
        <w:rPr>
          <w:bCs/>
          <w:spacing w:val="-5"/>
        </w:rPr>
      </w:r>
    </w:p>
    <w:p>
      <w:pPr>
        <w:pStyle w:val="NormalWeb"/>
        <w:shd w:val="clear" w:fill="FFFFFF"/>
        <w:spacing w:before="0" w:after="0"/>
        <w:contextualSpacing/>
        <w:jc w:val="both"/>
        <w:rPr>
          <w:bCs/>
          <w:spacing w:val="-5"/>
        </w:rPr>
      </w:pPr>
      <w:r>
        <w:rPr>
          <w:bCs/>
          <w:spacing w:val="-5"/>
        </w:rPr>
      </w:r>
    </w:p>
    <w:p>
      <w:pPr>
        <w:pStyle w:val="NormalWeb"/>
        <w:shd w:val="clear" w:fill="FFFFFF"/>
        <w:spacing w:before="0" w:after="0"/>
        <w:contextualSpacing/>
        <w:jc w:val="both"/>
        <w:rPr>
          <w:bCs/>
          <w:spacing w:val="-5"/>
        </w:rPr>
      </w:pPr>
      <w:r>
        <w:rPr>
          <w:bCs/>
          <w:spacing w:val="-5"/>
        </w:rPr>
      </w:r>
    </w:p>
    <w:p>
      <w:pPr>
        <w:pStyle w:val="ListParagraph"/>
        <w:numPr>
          <w:ilvl w:val="0"/>
          <w:numId w:val="3"/>
        </w:numPr>
        <w:shd w:val="clear" w:fill="FFFFFF"/>
        <w:spacing w:before="0" w:after="0"/>
        <w:ind w:left="0" w:right="0" w:hanging="360"/>
        <w:contextualSpacing/>
        <w:jc w:val="both"/>
        <w:rPr/>
      </w:pPr>
      <w:r>
        <w:rPr>
          <w:rFonts w:ascii="Times New Roman" w:hAnsi="Times New Roman"/>
          <w:b/>
          <w:bCs/>
          <w:spacing w:val="-5"/>
          <w:sz w:val="28"/>
          <w:szCs w:val="28"/>
        </w:rPr>
        <w:t>Unbelivable similarity between Christian de Ronde’s ideas (2017, 2017)</w:t>
      </w:r>
      <w:r>
        <w:rPr>
          <w:rStyle w:val="FootnoteAnchor"/>
          <w:rFonts w:ascii="Times New Roman" w:hAnsi="Times New Roman"/>
          <w:b/>
          <w:bCs/>
          <w:spacing w:val="-5"/>
          <w:sz w:val="28"/>
          <w:szCs w:val="28"/>
        </w:rPr>
        <w:footnoteReference w:id="159"/>
      </w:r>
      <w:r>
        <w:rPr>
          <w:rFonts w:ascii="Times New Roman" w:hAnsi="Times New Roman"/>
          <w:b/>
          <w:bCs/>
          <w:spacing w:val="-5"/>
          <w:sz w:val="28"/>
          <w:szCs w:val="28"/>
        </w:rPr>
        <w:t xml:space="preserve"> + </w:t>
      </w:r>
      <w:r>
        <w:rPr>
          <w:rFonts w:eastAsia="Calibri" w:ascii="Times New Roman" w:hAnsi="Times New Roman"/>
          <w:b/>
          <w:sz w:val="28"/>
          <w:szCs w:val="28"/>
        </w:rPr>
        <w:t xml:space="preserve">C. de Ronde and R. Fernandez Moujan (2017) </w:t>
      </w:r>
    </w:p>
    <w:p>
      <w:pPr>
        <w:pStyle w:val="NormalWeb"/>
        <w:shd w:val="clear" w:fill="FFFFFF"/>
        <w:spacing w:before="0" w:after="0"/>
        <w:contextualSpacing/>
        <w:jc w:val="both"/>
        <w:rPr>
          <w:bCs/>
          <w:spacing w:val="-5"/>
        </w:rPr>
      </w:pPr>
      <w:r>
        <w:rPr>
          <w:bCs/>
          <w:spacing w:val="-5"/>
        </w:rPr>
      </w:r>
    </w:p>
    <w:p>
      <w:pPr>
        <w:pStyle w:val="NormalWeb"/>
        <w:shd w:val="clear" w:fill="FFFFFF"/>
        <w:spacing w:before="0" w:after="0"/>
        <w:contextualSpacing/>
        <w:jc w:val="both"/>
        <w:rPr/>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pStyle w:val="Normal"/>
        <w:spacing w:before="0" w:after="0"/>
        <w:contextualSpacing/>
        <w:rPr/>
      </w:pPr>
      <w:r>
        <w:rPr/>
        <w:t>(</w:t>
      </w:r>
      <w:hyperlink r:id="rId86">
        <w:r>
          <w:rPr>
            <w:rStyle w:val="InternetLink"/>
          </w:rPr>
          <w:t>http://philsci-archive.pitt.edu/13443/1/THIRD%20VERSION%20de%20Ronde%20-%20Qunatum%20Superpositions%20-%20FOS%202017.pdf</w:t>
        </w:r>
      </w:hyperlink>
      <w:r>
        <w:rPr/>
        <w:t>)</w:t>
      </w:r>
    </w:p>
    <w:p>
      <w:pPr>
        <w:pStyle w:val="Normal"/>
        <w:spacing w:before="0" w:after="0"/>
        <w:contextualSpacing/>
        <w:rPr/>
      </w:pPr>
      <w:r>
        <w:rPr/>
      </w:r>
    </w:p>
    <w:p>
      <w:pPr>
        <w:pStyle w:val="Normal"/>
        <w:spacing w:before="0" w:after="0"/>
        <w:contextualSpacing/>
        <w:rPr/>
      </w:pPr>
      <w:r>
        <w:rPr/>
        <w:t xml:space="preserve">In this paper, the reader can find UNBELIEVABLE similar ideas to my ideas on QM. </w:t>
      </w:r>
    </w:p>
    <w:p>
      <w:pPr>
        <w:pStyle w:val="Normal"/>
        <w:spacing w:before="0" w:after="0"/>
        <w:contextualSpacing/>
        <w:rPr/>
      </w:pPr>
      <w:r>
        <w:rPr/>
      </w:r>
    </w:p>
    <w:p>
      <w:pPr>
        <w:pStyle w:val="Normal"/>
        <w:spacing w:before="0" w:after="0"/>
        <w:contextualSpacing/>
        <w:rPr/>
      </w:pPr>
      <w:r>
        <w:rPr>
          <w:rFonts w:eastAsia="Calibri" w:cs="SFRM0900" w:ascii="SFRM0900" w:hAnsi="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eastAsia="Calibri" w:cs="SFTI0900" w:ascii="SFTI0900" w:hAnsi="SFTI0900"/>
          <w:sz w:val="18"/>
          <w:szCs w:val="18"/>
        </w:rPr>
        <w:t xml:space="preserve">necessary conditions </w:t>
      </w:r>
      <w:r>
        <w:rPr>
          <w:rFonts w:eastAsia="Calibri" w:cs="SFRM0900" w:ascii="SFRM0900" w:hAnsi="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pStyle w:val="Normal"/>
        <w:spacing w:before="0" w:after="0"/>
        <w:contextualSpacing/>
        <w:rPr/>
      </w:pPr>
      <w:r>
        <w:rPr/>
      </w:r>
    </w:p>
    <w:p>
      <w:pPr>
        <w:pStyle w:val="Normal"/>
        <w:spacing w:before="0" w:after="0"/>
        <w:contextualSpacing/>
        <w:rPr/>
      </w:pPr>
      <w:r>
        <w:rPr/>
        <w:t xml:space="preserve">Reading this paragraph from the Abstract of the paper, the reader can see very similar ideas to my ideas. </w:t>
      </w:r>
    </w:p>
    <w:p>
      <w:pPr>
        <w:pStyle w:val="Normal"/>
        <w:spacing w:before="0" w:after="0"/>
        <w:contextualSpacing/>
        <w:rPr/>
      </w:pPr>
      <w:r>
        <w:rPr/>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pStyle w:val="Normal"/>
        <w:spacing w:before="0" w:after="0"/>
        <w:contextualSpacing/>
        <w:rPr/>
      </w:pPr>
      <w:r>
        <w:rPr>
          <w:rFonts w:eastAsia="Calibri" w:cs="SFRM0900" w:ascii="SFRM0900" w:hAnsi="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eastAsia="Calibri" w:cs="SFTI0900" w:ascii="SFTI0900" w:hAnsi="SFTI0900"/>
          <w:sz w:val="18"/>
          <w:szCs w:val="18"/>
        </w:rPr>
        <w:t xml:space="preserve">necessary conditions </w:t>
      </w:r>
      <w:r>
        <w:rPr>
          <w:rFonts w:eastAsia="Calibri" w:cs="SFRM0900" w:ascii="SFRM0900" w:hAnsi="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pStyle w:val="Normal"/>
        <w:spacing w:before="0" w:after="0"/>
        <w:contextualSpacing/>
        <w:rPr/>
      </w:pPr>
      <w:r>
        <w:rPr/>
      </w:r>
    </w:p>
    <w:p>
      <w:pPr>
        <w:pStyle w:val="Normal"/>
        <w:spacing w:before="0" w:after="0"/>
        <w:contextualSpacing/>
        <w:rPr/>
      </w:pPr>
      <w:r>
        <w:rPr/>
        <w:t>In fact, the author moves from “mathematics” to “reality”: “</w:t>
      </w:r>
      <w:r>
        <w:rPr>
          <w:rFonts w:eastAsia="Calibri" w:cs="SFRM1000" w:ascii="SFRM1000" w:hAnsi="SFRM1000"/>
          <w:sz w:val="20"/>
          <w:szCs w:val="20"/>
        </w:rPr>
        <w:t xml:space="preserve">Every theory possesses not only its own mathematical formalism but also its own specific set of physical notions.” </w:t>
      </w:r>
      <w:r>
        <w:rPr>
          <w:rStyle w:val="FootnoteAnchor"/>
          <w:rFonts w:eastAsia="Calibri" w:cs="SFRM1000" w:ascii="SFRM1000" w:hAnsi="SFRM1000"/>
          <w:sz w:val="20"/>
          <w:szCs w:val="20"/>
        </w:rPr>
        <w:footnoteReference w:id="160"/>
      </w:r>
      <w:r>
        <w:rPr>
          <w:rFonts w:eastAsia="Calibri" w:cs="SFRM1000" w:ascii="SFRM1000" w:hAnsi="SFRM1000"/>
          <w:sz w:val="20"/>
          <w:szCs w:val="20"/>
        </w:rPr>
        <w:t xml:space="preserve">(p. 2) </w:t>
      </w:r>
    </w:p>
    <w:p>
      <w:pPr>
        <w:pStyle w:val="Normal"/>
        <w:spacing w:before="0" w:after="0"/>
        <w:contextualSpacing/>
        <w:rPr/>
      </w:pPr>
      <w:r>
        <w:rPr/>
      </w:r>
    </w:p>
    <w:p>
      <w:pPr>
        <w:pStyle w:val="Normal"/>
        <w:spacing w:before="0" w:after="0"/>
        <w:contextualSpacing/>
        <w:rPr/>
      </w:pPr>
      <w:r>
        <w:rPr/>
        <w:t>De Ronde writes about the role of the observer into discussion: “</w:t>
      </w:r>
      <w:r>
        <w:rPr>
          <w:rFonts w:eastAsia="Calibri" w:cs="SFRM1000" w:ascii="SFRM1000" w:hAnsi="SFRM1000"/>
          <w:sz w:val="20"/>
          <w:szCs w:val="20"/>
        </w:rPr>
        <w:t xml:space="preserve">According to our stance, individual subjects (also called agents, users, etc.) should play no role in the description of physical reality.” </w:t>
      </w:r>
    </w:p>
    <w:p>
      <w:pPr>
        <w:pStyle w:val="Normal"/>
        <w:spacing w:before="0" w:after="0"/>
        <w:contextualSpacing/>
        <w:rPr/>
      </w:pPr>
      <w:r>
        <w:rPr/>
      </w:r>
    </w:p>
    <w:p>
      <w:pPr>
        <w:pStyle w:val="Normal"/>
        <w:spacing w:before="0" w:after="0"/>
        <w:contextualSpacing/>
        <w:rPr/>
      </w:pPr>
      <w:r>
        <w:rPr/>
        <w:t xml:space="preserve">Exactly this idea is in my works (2002-2008 and later). But anyway, this is not something new, of course. But I want to emphasize de Ronde prepares his framework which is UNBELIEVABLE similar to my EDWs perspective. </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 order to discuss and analyze physical interpretations we need to agree on the definition of what should</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be considered a Meaningful Operational Statements (MOS) within a theory.</w:t>
      </w:r>
    </w:p>
    <w:p>
      <w:pPr>
        <w:pStyle w:val="Normal"/>
        <w:spacing w:before="0" w:after="0"/>
        <w:contextualSpacing/>
        <w:rPr/>
      </w:pPr>
      <w:r>
        <w:rPr>
          <w:rFonts w:eastAsia="Calibri" w:cs="SFCC1000" w:ascii="SFCC1000" w:hAnsi="SFCC1000"/>
          <w:i/>
          <w:sz w:val="20"/>
          <w:szCs w:val="20"/>
        </w:rPr>
        <w:t xml:space="preserve">Definition 2.1 Meaningful Operational Statements: </w:t>
      </w:r>
      <w:r>
        <w:rPr>
          <w:rFonts w:eastAsia="Calibri" w:cs="SFTI1000" w:ascii="SFTI1000" w:hAnsi="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eastAsia="Calibri" w:cs="SFTI1000" w:ascii="SFTI1000" w:hAnsi="SFTI1000"/>
          <w:sz w:val="20"/>
          <w:szCs w:val="20"/>
        </w:rPr>
        <w:t xml:space="preserve"> (de Ronde 2017, p. 5, his italics)</w:t>
      </w:r>
    </w:p>
    <w:p>
      <w:pPr>
        <w:pStyle w:val="Normal"/>
        <w:spacing w:before="0" w:after="0"/>
        <w:contextualSpacing/>
        <w:rPr/>
      </w:pPr>
      <w:r>
        <w:rPr/>
      </w:r>
    </w:p>
    <w:p>
      <w:pPr>
        <w:pStyle w:val="Normal"/>
        <w:spacing w:before="0" w:after="0"/>
        <w:contextualSpacing/>
        <w:rPr/>
      </w:pPr>
      <w:r>
        <w:rPr/>
        <w:t>Again, this definition moves his framework very close to my EDWs perspective. It seems to be very close to EDWs, no more or less. The same verdict is about these statements:</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notion of basis, and thus also of superposition as we defined it above, possesses a physical content</w:t>
      </w:r>
    </w:p>
    <w:p>
      <w:pPr>
        <w:pStyle w:val="Normal"/>
        <w:spacing w:before="0" w:after="0"/>
        <w:contextualSpacing/>
        <w:rPr/>
      </w:pPr>
      <w:r>
        <w:rPr>
          <w:rFonts w:eastAsia="Calibri" w:cs="SFRM1000" w:ascii="SFRM1000" w:hAnsi="SFRM1000"/>
          <w:sz w:val="20"/>
          <w:szCs w:val="20"/>
        </w:rPr>
        <w:t xml:space="preserve">which relates a specific set of epistemic inquiries regarding the abstract state </w:t>
      </w:r>
      <w:r>
        <w:rPr>
          <w:rFonts w:eastAsia="Calibri" w:cs="CMR10" w:ascii="CMR10" w:hAnsi="CMR10"/>
          <w:sz w:val="20"/>
          <w:szCs w:val="20"/>
        </w:rPr>
        <w:t xml:space="preserve">_ </w:t>
      </w:r>
      <w:r>
        <w:rPr>
          <w:rFonts w:eastAsia="Calibri" w:cs="SFRM1000" w:ascii="SFRM1000" w:hAnsi="SFRM1000"/>
          <w:sz w:val="20"/>
          <w:szCs w:val="20"/>
        </w:rPr>
        <w:t>to a set of MOS which provide</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an answer to each specific question. All MOS are context-dependent. (p. 9)</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simplest way to escape this paradox would be to argue that the probabilities that accompany the</w:t>
      </w:r>
    </w:p>
    <w:p>
      <w:pPr>
        <w:pStyle w:val="Normal"/>
        <w:spacing w:before="0" w:after="0"/>
        <w:contextualSpacing/>
        <w:rPr/>
      </w:pPr>
      <w:r>
        <w:rPr>
          <w:rFonts w:eastAsia="Calibri" w:cs="SFRM1000" w:ascii="SFRM1000" w:hAnsi="SFRM1000"/>
          <w:sz w:val="20"/>
          <w:szCs w:val="20"/>
        </w:rPr>
        <w:t xml:space="preserve">states are </w:t>
      </w:r>
      <w:r>
        <w:rPr>
          <w:rFonts w:eastAsia="Calibri" w:cs="SFTI1000" w:ascii="SFTI1000" w:hAnsi="SFTI1000"/>
          <w:i/>
          <w:sz w:val="20"/>
          <w:szCs w:val="20"/>
        </w:rPr>
        <w:t>epistemic probabilities</w:t>
      </w:r>
      <w:r>
        <w:rPr>
          <w:rFonts w:eastAsia="Calibri" w:cs="SFRM1000" w:ascii="SFRM1000" w:hAnsi="SFRM1000"/>
          <w:sz w:val="20"/>
          <w:szCs w:val="20"/>
        </w:rPr>
        <w:t>. (p. 10, his italics) (This “</w:t>
      </w:r>
      <w:r>
        <w:rPr>
          <w:rFonts w:eastAsia="Calibri" w:cs="SFTI1000" w:ascii="SFTI1000" w:hAnsi="SFTI1000"/>
          <w:sz w:val="20"/>
          <w:szCs w:val="20"/>
        </w:rPr>
        <w:t xml:space="preserve">epistemic probabilities” are very close to my EDWs). However, just few lines later, de Ronde moves from “epistemology” to “ontology” (his main goal): </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r>
    </w:p>
    <w:p>
      <w:pPr>
        <w:pStyle w:val="Normal"/>
        <w:spacing w:before="0" w:after="0"/>
        <w:contextualSpacing/>
        <w:rPr/>
      </w:pPr>
      <w:r>
        <w:rPr>
          <w:rFonts w:eastAsia="Calibri" w:cs="SFRM1000" w:ascii="SFRM1000" w:hAnsi="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eastAsia="Calibri" w:cs="SFTI1000" w:ascii="SFTI1000" w:hAnsi="SFTI1000"/>
          <w:sz w:val="20"/>
          <w:szCs w:val="20"/>
        </w:rPr>
        <w:t xml:space="preserve"> (pp. 10-11)</w:t>
      </w:r>
      <w:r>
        <w:rPr>
          <w:rStyle w:val="FootnoteAnchor"/>
          <w:rFonts w:eastAsia="Calibri" w:cs="SFTI1000" w:ascii="SFTI1000" w:hAnsi="SFTI1000"/>
          <w:sz w:val="20"/>
          <w:szCs w:val="20"/>
        </w:rPr>
        <w:footnoteReference w:id="161"/>
      </w:r>
    </w:p>
    <w:p>
      <w:pPr>
        <w:pStyle w:val="Normal"/>
        <w:spacing w:before="0" w:after="0"/>
        <w:contextualSpacing/>
        <w:rPr/>
      </w:pPr>
      <w:r>
        <w:rPr/>
      </w:r>
    </w:p>
    <w:p>
      <w:pPr>
        <w:pStyle w:val="Normal"/>
        <w:spacing w:before="0" w:after="0"/>
        <w:contextualSpacing/>
        <w:rPr/>
      </w:pPr>
      <w:r>
        <w:rPr/>
        <w:t xml:space="preserve">Immediately after this paragraph, de Ronde emphases the role of “interactions” (my main concept): </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pStyle w:val="Normal"/>
        <w:spacing w:before="0" w:after="0"/>
        <w:contextualSpacing/>
        <w:rPr/>
      </w:pPr>
      <w:r>
        <w:rPr/>
      </w:r>
    </w:p>
    <w:p>
      <w:pPr>
        <w:pStyle w:val="Normal"/>
        <w:spacing w:before="0" w:after="0"/>
        <w:contextualSpacing/>
        <w:rPr/>
      </w:pPr>
      <w:r>
        <w:rPr/>
        <w:t xml:space="preserve">I mention that Actuality seems to be very very close to the EDWs! The same about this paragraph: </w:t>
      </w:r>
    </w:p>
    <w:p>
      <w:pPr>
        <w:pStyle w:val="Normal"/>
        <w:spacing w:before="0" w:after="0"/>
        <w:contextualSpacing/>
        <w:rPr/>
      </w:pPr>
      <w:r>
        <w:rPr/>
      </w:r>
    </w:p>
    <w:p>
      <w:pPr>
        <w:pStyle w:val="Normal"/>
        <w:spacing w:before="0" w:after="0"/>
        <w:contextualSpacing/>
        <w:rPr/>
      </w:pPr>
      <w:r>
        <w:rPr>
          <w:rFonts w:eastAsia="Calibri" w:cs="SFRM1000" w:ascii="SFRM1000" w:hAnsi="SFRM1000"/>
          <w:sz w:val="20"/>
          <w:szCs w:val="20"/>
        </w:rPr>
        <w:t xml:space="preserve">Our representational realist stance seems to force us, given the predictions provided by QM, to extend the realm of what is considered to be real. Since both </w:t>
      </w:r>
      <w:r>
        <w:rPr>
          <w:rFonts w:eastAsia="Calibri" w:cs="SFTI1000" w:ascii="SFTI1000" w:hAnsi="SFTI1000"/>
          <w:sz w:val="20"/>
          <w:szCs w:val="20"/>
        </w:rPr>
        <w:t xml:space="preserve">certain </w:t>
      </w:r>
      <w:r>
        <w:rPr>
          <w:rFonts w:eastAsia="Calibri" w:cs="SFRM1000" w:ascii="SFRM1000" w:hAnsi="SFRM1000"/>
          <w:sz w:val="20"/>
          <w:szCs w:val="20"/>
        </w:rPr>
        <w:t xml:space="preserve">(probability equal to unity) and </w:t>
      </w:r>
      <w:r>
        <w:rPr>
          <w:rFonts w:eastAsia="Calibri" w:cs="SFTI1000" w:ascii="SFTI1000" w:hAnsi="SFTI1000"/>
          <w:sz w:val="20"/>
          <w:szCs w:val="20"/>
        </w:rPr>
        <w:t xml:space="preserve">statistical </w:t>
      </w:r>
      <w:r>
        <w:rPr>
          <w:rFonts w:eastAsia="Calibri" w:cs="SFRM1000" w:ascii="SFRM1000" w:hAnsi="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pStyle w:val="Normal"/>
        <w:spacing w:before="0" w:after="0"/>
        <w:contextualSpacing/>
        <w:rPr/>
      </w:pPr>
      <w:r>
        <w:rPr/>
      </w:r>
    </w:p>
    <w:p>
      <w:pPr>
        <w:pStyle w:val="Normal"/>
        <w:spacing w:before="0" w:after="0"/>
        <w:contextualSpacing/>
        <w:rPr/>
      </w:pPr>
      <w:r>
        <w:rPr/>
        <w:t>The reader wants more UNBELIEVABLE similarities? See this one:</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Our approach to QM begins by discussing the extension of the notion of physical reality beyond the limits</w:t>
      </w:r>
    </w:p>
    <w:p>
      <w:pPr>
        <w:pStyle w:val="Normal"/>
        <w:spacing w:before="0" w:after="0"/>
        <w:contextualSpacing/>
        <w:rPr/>
      </w:pPr>
      <w:r>
        <w:rPr>
          <w:rFonts w:eastAsia="Calibri" w:cs="SFRM1000" w:ascii="SFRM1000" w:hAnsi="SFRM1000"/>
          <w:sz w:val="20"/>
          <w:szCs w:val="20"/>
        </w:rPr>
        <w:t xml:space="preserve">of the actual realm taking into account the famous definition of an </w:t>
      </w:r>
      <w:r>
        <w:rPr>
          <w:rFonts w:eastAsia="Calibri" w:cs="SFTI1000" w:ascii="SFTI1000" w:hAnsi="SFTI1000"/>
          <w:sz w:val="20"/>
          <w:szCs w:val="20"/>
        </w:rPr>
        <w:t xml:space="preserve">element of physical reality </w:t>
      </w:r>
      <w:r>
        <w:rPr>
          <w:rFonts w:eastAsia="Calibri" w:cs="SFRM1000" w:ascii="SFRM1000" w:hAnsi="SFRM1000"/>
          <w:sz w:val="20"/>
          <w:szCs w:val="20"/>
        </w:rPr>
        <w:t xml:space="preserve">discussed in the EPR paper [38]. According to it: </w:t>
      </w:r>
      <w:r>
        <w:rPr>
          <w:rFonts w:eastAsia="Calibri" w:cs="SFTI1000" w:ascii="SFTI1000" w:hAnsi="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eastAsia="Calibri" w:cs="SFRM1000" w:ascii="SFRM1000" w:hAnsi="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pStyle w:val="Normal"/>
        <w:spacing w:before="0" w:after="0"/>
        <w:contextualSpacing/>
        <w:rPr/>
      </w:pPr>
      <w:r>
        <w:rPr>
          <w:rFonts w:eastAsia="Calibri" w:cs="SFBX1000" w:ascii="SFBX1000" w:hAnsi="SFBX1000"/>
          <w:sz w:val="20"/>
          <w:szCs w:val="20"/>
        </w:rPr>
        <w:t xml:space="preserve">Generalized Element of Physical Reality: </w:t>
      </w:r>
      <w:r>
        <w:rPr>
          <w:rFonts w:eastAsia="Calibri" w:cs="SFTI1000" w:ascii="SFTI1000" w:hAnsi="SFTI1000"/>
          <w:sz w:val="20"/>
          <w:szCs w:val="20"/>
        </w:rPr>
        <w:t xml:space="preserve">If we can predict in any way (i.e., both probabilistically or with certainty) the value of a physical quantity, then there exists an element of reality corresponding to that quantity. </w:t>
      </w:r>
    </w:p>
    <w:p>
      <w:pPr>
        <w:pStyle w:val="Normal"/>
        <w:spacing w:before="0" w:after="0"/>
        <w:ind w:left="0" w:right="0" w:firstLine="720"/>
        <w:contextualSpacing/>
        <w:rPr/>
      </w:pPr>
      <w:r>
        <w:rPr>
          <w:rFonts w:eastAsia="Calibri" w:cs="SFRM1000" w:ascii="SFRM1000" w:hAnsi="SFRM1000"/>
          <w:sz w:val="20"/>
          <w:szCs w:val="20"/>
        </w:rPr>
        <w:t xml:space="preserve">When considering this redefinition the problem is clearly framed: </w:t>
      </w:r>
      <w:r>
        <w:rPr>
          <w:rFonts w:eastAsia="Calibri" w:cs="SFTI1000" w:ascii="SFTI1000" w:hAnsi="SFTI1000"/>
          <w:sz w:val="20"/>
          <w:szCs w:val="20"/>
        </w:rPr>
        <w:t>we need to find a set of physical oncepts that are capable of being statistically defined in objective terms. (p. 15)</w:t>
      </w:r>
    </w:p>
    <w:p>
      <w:pPr>
        <w:pStyle w:val="Normal"/>
        <w:spacing w:before="0" w:after="0"/>
        <w:contextualSpacing/>
        <w:rPr/>
      </w:pPr>
      <w:r>
        <w:rPr/>
      </w:r>
    </w:p>
    <w:p>
      <w:pPr>
        <w:pStyle w:val="Normal"/>
        <w:spacing w:before="0" w:after="0"/>
        <w:contextualSpacing/>
        <w:rPr/>
      </w:pPr>
      <w:r>
        <w:rPr/>
        <w:t>It seems that this “generalization” sends us directly to the EDWs! However, to avoid the complete similar ideas, de Ronde claims that he talks about “ontological potentiality”, but according to his “representational realism”, “</w:t>
      </w:r>
      <w:r>
        <w:rPr>
          <w:rFonts w:eastAsia="Calibri" w:cs="SFTI1000" w:ascii="SFTI1000" w:hAnsi="SFTI1000"/>
          <w:sz w:val="20"/>
          <w:szCs w:val="20"/>
        </w:rPr>
        <w:t xml:space="preserve">physis </w:t>
      </w:r>
      <w:r>
        <w:rPr>
          <w:rFonts w:eastAsia="Calibri" w:cs="SFRM1000" w:ascii="SFRM1000" w:hAnsi="SFRM1000"/>
          <w:sz w:val="20"/>
          <w:szCs w:val="20"/>
        </w:rPr>
        <w:t xml:space="preserve">is represented in different ways.” (p. 16) </w:t>
      </w:r>
      <w:r>
        <w:rPr>
          <w:rFonts w:eastAsia="Calibri"/>
        </w:rPr>
        <w:t>However, in next footnote, he embraces a view very close to Spinoza’s philosophy:</w:t>
      </w:r>
    </w:p>
    <w:p>
      <w:pPr>
        <w:pStyle w:val="Normal"/>
        <w:spacing w:before="0" w:after="0"/>
        <w:contextualSpacing/>
        <w:rPr>
          <w:rFonts w:eastAsia="Calibri"/>
        </w:rPr>
      </w:pPr>
      <w:r>
        <w:rPr>
          <w:rFonts w:eastAsia="Calibri"/>
        </w:rPr>
      </w:r>
    </w:p>
    <w:p>
      <w:pPr>
        <w:pStyle w:val="Normal"/>
        <w:spacing w:before="0" w:after="0"/>
        <w:contextualSpacing/>
        <w:rPr/>
      </w:pPr>
      <w:r>
        <w:rPr>
          <w:rFonts w:eastAsia="Calibri" w:cs="SFRM0600" w:ascii="SFRM0600" w:hAnsi="SFRM0600"/>
          <w:sz w:val="12"/>
          <w:szCs w:val="12"/>
        </w:rPr>
        <w:t>11</w:t>
      </w:r>
      <w:r>
        <w:rPr>
          <w:rFonts w:eastAsia="Calibri" w:cs="SFRM0800" w:ascii="SFRM0800" w:hAnsi="SFRM0800"/>
          <w:sz w:val="16"/>
          <w:szCs w:val="16"/>
        </w:rPr>
        <w:t xml:space="preserve">There is in our neo-Spinozist account an implicit ontological pluralism of </w:t>
      </w:r>
      <w:r>
        <w:rPr>
          <w:rFonts w:eastAsia="Calibri" w:cs="SFTI0800" w:ascii="SFTI0800" w:hAnsi="SFTI0800"/>
          <w:sz w:val="16"/>
          <w:szCs w:val="16"/>
        </w:rPr>
        <w:t xml:space="preserve">multiple representations </w:t>
      </w:r>
      <w:r>
        <w:rPr>
          <w:rFonts w:eastAsia="Calibri" w:cs="SFRM0800" w:ascii="SFRM0800" w:hAnsi="SFRM0800"/>
          <w:sz w:val="16"/>
          <w:szCs w:val="16"/>
        </w:rPr>
        <w:t>which can be related to</w:t>
      </w:r>
    </w:p>
    <w:p>
      <w:pPr>
        <w:pStyle w:val="Normal"/>
        <w:spacing w:before="0" w:after="0"/>
        <w:contextualSpacing/>
        <w:rPr/>
      </w:pPr>
      <w:r>
        <w:rPr>
          <w:rFonts w:eastAsia="Calibri" w:cs="SFTI0800" w:ascii="SFTI0800" w:hAnsi="SFTI0800"/>
          <w:sz w:val="16"/>
          <w:szCs w:val="16"/>
        </w:rPr>
        <w:t xml:space="preserve">one reality </w:t>
      </w:r>
      <w:r>
        <w:rPr>
          <w:rFonts w:eastAsia="Calibri" w:cs="SFRM0800" w:ascii="SFRM0800" w:hAnsi="SFRM0800"/>
          <w:sz w:val="16"/>
          <w:szCs w:val="16"/>
        </w:rPr>
        <w:t xml:space="preserve">through a </w:t>
      </w:r>
      <w:r>
        <w:rPr>
          <w:rFonts w:eastAsia="Calibri" w:cs="SFTI0800" w:ascii="SFTI0800" w:hAnsi="SFTI0800"/>
          <w:sz w:val="16"/>
          <w:szCs w:val="16"/>
        </w:rPr>
        <w:t>univocity principle</w:t>
      </w:r>
      <w:r>
        <w:rPr>
          <w:rFonts w:eastAsia="Calibri" w:cs="SFRM0800" w:ascii="SFRM0800" w:hAnsi="SFRM0800"/>
          <w:sz w:val="16"/>
          <w:szCs w:val="16"/>
        </w:rPr>
        <w:t>. This is understood in analogous manner to how Spinoza considers in his immanent</w:t>
      </w:r>
    </w:p>
    <w:p>
      <w:pPr>
        <w:pStyle w:val="Normal"/>
        <w:spacing w:before="0" w:after="0"/>
        <w:contextualSpacing/>
        <w:rPr/>
      </w:pPr>
      <w:r>
        <w:rPr>
          <w:rFonts w:eastAsia="Calibri" w:cs="SFRM0800" w:ascii="SFRM0800" w:hAnsi="SFRM0800"/>
          <w:sz w:val="16"/>
          <w:szCs w:val="16"/>
        </w:rPr>
        <w:t xml:space="preserve">metaphysics the </w:t>
      </w:r>
      <w:r>
        <w:rPr>
          <w:rFonts w:eastAsia="Calibri" w:cs="SFTI0800" w:ascii="SFTI0800" w:hAnsi="SFTI0800"/>
          <w:sz w:val="16"/>
          <w:szCs w:val="16"/>
        </w:rPr>
        <w:t xml:space="preserve">multiple attributes </w:t>
      </w:r>
      <w:r>
        <w:rPr>
          <w:rFonts w:eastAsia="Calibri" w:cs="SFRM0800" w:ascii="SFRM0800" w:hAnsi="SFRM0800"/>
          <w:sz w:val="16"/>
          <w:szCs w:val="16"/>
        </w:rPr>
        <w:t xml:space="preserve">as being expressions of the same </w:t>
      </w:r>
      <w:r>
        <w:rPr>
          <w:rFonts w:eastAsia="Calibri" w:cs="SFTI0800" w:ascii="SFTI0800" w:hAnsi="SFTI0800"/>
          <w:sz w:val="16"/>
          <w:szCs w:val="16"/>
        </w:rPr>
        <w:t>one single substance</w:t>
      </w:r>
      <w:r>
        <w:rPr>
          <w:rFonts w:eastAsia="Calibri" w:cs="SFRM0800" w:ascii="SFRM0800" w:hAnsi="SFRM0800"/>
          <w:sz w:val="16"/>
          <w:szCs w:val="16"/>
        </w:rPr>
        <w:t>, namely, nature (see [22, 25]). Our</w:t>
      </w:r>
    </w:p>
    <w:p>
      <w:pPr>
        <w:pStyle w:val="Normal"/>
        <w:spacing w:before="0" w:after="0"/>
        <w:contextualSpacing/>
        <w:rPr>
          <w:rFonts w:ascii="SFRM0800" w:hAnsi="SFRM0800" w:eastAsia="Calibri" w:cs="SFRM0800"/>
          <w:sz w:val="16"/>
          <w:szCs w:val="16"/>
        </w:rPr>
      </w:pPr>
      <w:r>
        <w:rPr>
          <w:rFonts w:eastAsia="Calibri" w:cs="SFRM0800" w:ascii="SFRM0800" w:hAnsi="SFRM0800"/>
          <w:sz w:val="16"/>
          <w:szCs w:val="16"/>
        </w:rPr>
        <w:t>non-reductionistic answer to the problem of inter-theory relation escapes in this way the requirement present in almost all</w:t>
      </w:r>
    </w:p>
    <w:p>
      <w:pPr>
        <w:pStyle w:val="Normal"/>
        <w:spacing w:before="0" w:after="0"/>
        <w:contextualSpacing/>
        <w:rPr>
          <w:rFonts w:ascii="SFRM0800" w:hAnsi="SFRM0800" w:eastAsia="Calibri" w:cs="SFRM0800"/>
          <w:sz w:val="16"/>
          <w:szCs w:val="16"/>
        </w:rPr>
      </w:pPr>
      <w:r>
        <w:rPr>
          <w:rFonts w:eastAsia="Calibri" w:cs="SFRM0800" w:ascii="SFRM0800" w:hAnsi="SFRM0800"/>
          <w:sz w:val="16"/>
          <w:szCs w:val="16"/>
        </w:rPr>
        <w:t>interpretations of QM which implicitly or explicitly attempt to explain the formalism in substantialist atomistic terms. We believe</w:t>
      </w:r>
    </w:p>
    <w:p>
      <w:pPr>
        <w:pStyle w:val="Normal"/>
        <w:spacing w:before="0" w:after="0"/>
        <w:contextualSpacing/>
        <w:rPr>
          <w:rFonts w:ascii="SFRM0800" w:hAnsi="SFRM0800" w:eastAsia="Calibri" w:cs="SFRM0800"/>
          <w:sz w:val="16"/>
          <w:szCs w:val="16"/>
        </w:rPr>
      </w:pPr>
      <w:r>
        <w:rPr>
          <w:rFonts w:eastAsia="Calibri" w:cs="SFRM0800" w:ascii="SFRM0800" w:hAnsi="SFRM0800"/>
          <w:sz w:val="16"/>
          <w:szCs w:val="16"/>
        </w:rPr>
        <w:t>there might be an interesting connection between our neo-Spinozist approach and the ‘multiplex realism’ recently proposed by</w:t>
      </w:r>
    </w:p>
    <w:p>
      <w:pPr>
        <w:pStyle w:val="Normal"/>
        <w:spacing w:before="0" w:after="0"/>
        <w:contextualSpacing/>
        <w:rPr>
          <w:rFonts w:ascii="SFRM0800" w:hAnsi="SFRM0800" w:eastAsia="Calibri" w:cs="SFRM0800"/>
          <w:sz w:val="16"/>
          <w:szCs w:val="16"/>
        </w:rPr>
      </w:pPr>
      <w:r>
        <w:rPr>
          <w:rFonts w:eastAsia="Calibri" w:cs="SFRM0800" w:ascii="SFRM0800" w:hAnsi="SFRM0800"/>
          <w:sz w:val="16"/>
          <w:szCs w:val="16"/>
        </w:rPr>
        <w:t>Aerts and Sassoli de Bianchi [8]. Due to the limited space of this paper we leave this particular analysis and comparison for a</w:t>
      </w:r>
    </w:p>
    <w:p>
      <w:pPr>
        <w:pStyle w:val="Normal"/>
        <w:spacing w:before="0" w:after="0"/>
        <w:contextualSpacing/>
        <w:rPr>
          <w:rFonts w:ascii="SFRM0800" w:hAnsi="SFRM0800" w:eastAsia="Calibri" w:cs="SFRM0800"/>
          <w:sz w:val="16"/>
          <w:szCs w:val="16"/>
        </w:rPr>
      </w:pPr>
      <w:r>
        <w:rPr>
          <w:rFonts w:eastAsia="Calibri" w:cs="SFRM0800" w:ascii="SFRM0800" w:hAnsi="SFRM0800"/>
          <w:sz w:val="16"/>
          <w:szCs w:val="16"/>
        </w:rPr>
        <w:t>future work. (p. 16)</w:t>
      </w:r>
    </w:p>
    <w:p>
      <w:pPr>
        <w:pStyle w:val="Normal"/>
        <w:spacing w:before="0" w:after="0"/>
        <w:contextualSpacing/>
        <w:rPr/>
      </w:pPr>
      <w:r>
        <w:rPr/>
      </w:r>
    </w:p>
    <w:p>
      <w:pPr>
        <w:pStyle w:val="Normal"/>
        <w:spacing w:before="0" w:after="0"/>
        <w:contextualSpacing/>
        <w:rPr/>
      </w:pPr>
      <w:r>
        <w:rPr/>
        <w:t xml:space="preserve">Again, ther reader will have the feeling of reading one of my works! </w:t>
      </w:r>
    </w:p>
    <w:p>
      <w:pPr>
        <w:pStyle w:val="Normal"/>
        <w:spacing w:before="0" w:after="0"/>
        <w:contextualSpacing/>
        <w:rPr/>
      </w:pPr>
      <w:r>
        <w:rPr/>
      </w:r>
    </w:p>
    <w:p>
      <w:pPr>
        <w:pStyle w:val="Normal"/>
        <w:spacing w:before="0" w:after="0"/>
        <w:contextualSpacing/>
        <w:rPr/>
      </w:pPr>
      <w:r>
        <w:rPr>
          <w:sz w:val="20"/>
          <w:szCs w:val="20"/>
        </w:rPr>
        <w:t>“</w:t>
      </w:r>
      <w:r>
        <w:rPr>
          <w:rFonts w:eastAsia="Calibri" w:cs="SFRM1000" w:ascii="SFRM1000" w:hAnsi="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eastAsia="Calibri" w:cs="SFTI1000" w:ascii="SFTI1000" w:hAnsi="SFTI1000"/>
          <w:sz w:val="20"/>
          <w:szCs w:val="20"/>
        </w:rPr>
        <w:t xml:space="preserve">what there is </w:t>
      </w:r>
      <w:r>
        <w:rPr>
          <w:rFonts w:eastAsia="Calibri" w:cs="SFRM1000" w:ascii="SFRM1000" w:hAnsi="SFRM1000"/>
          <w:sz w:val="20"/>
          <w:szCs w:val="20"/>
        </w:rPr>
        <w:t xml:space="preserve">(independently of subjects) according to a theory obviously cannot be solved from an epistemic viewpoint which assumes that theories only make reference to the </w:t>
      </w:r>
      <w:r>
        <w:rPr>
          <w:rFonts w:eastAsia="Calibri" w:cs="SFTI1000" w:ascii="SFTI1000" w:hAnsi="SFTI1000"/>
          <w:sz w:val="20"/>
          <w:szCs w:val="20"/>
        </w:rPr>
        <w:t xml:space="preserve">prediction of observations </w:t>
      </w:r>
      <w:r>
        <w:rPr>
          <w:rFonts w:eastAsia="Calibri" w:cs="SFRM1000" w:ascii="SFRM1000" w:hAnsi="SFRM1000"/>
          <w:sz w:val="20"/>
          <w:szCs w:val="20"/>
        </w:rPr>
        <w:t xml:space="preserve">by individual subjects (agents or users).” (p. 12) I draw the attention that this paragraph is not from my writings! </w:t>
      </w:r>
      <w:r>
        <w:rPr/>
        <w:t xml:space="preserve"> This “potentiality” is very close to “reality”: </w:t>
      </w:r>
    </w:p>
    <w:p>
      <w:pPr>
        <w:pStyle w:val="Normal"/>
        <w:spacing w:before="0" w:after="0"/>
        <w:contextualSpacing/>
        <w:rPr>
          <w:sz w:val="20"/>
          <w:szCs w:val="20"/>
        </w:rPr>
      </w:pPr>
      <w:r>
        <w:rPr>
          <w:sz w:val="20"/>
          <w:szCs w:val="20"/>
        </w:rPr>
      </w:r>
    </w:p>
    <w:p>
      <w:pPr>
        <w:pStyle w:val="Normal"/>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r>
    </w:p>
    <w:p>
      <w:pPr>
        <w:pStyle w:val="Normal"/>
        <w:spacing w:before="0" w:after="0"/>
        <w:contextualSpacing/>
        <w:rPr/>
      </w:pPr>
      <w:r>
        <w:rPr>
          <w:rFonts w:eastAsia="Calibri" w:cs="SFTI1000" w:ascii="SFTI1000" w:hAnsi="SFTI1000"/>
          <w:sz w:val="20"/>
          <w:szCs w:val="20"/>
        </w:rPr>
        <w:t xml:space="preserve">The potential state of affairs as a set of immanent powers with definite potentia. </w:t>
      </w:r>
      <w:r>
        <w:rPr>
          <w:rFonts w:eastAsia="Calibri" w:cs="SFRM1000" w:ascii="SFRM1000" w:hAnsi="SFRM1000"/>
          <w:sz w:val="20"/>
          <w:szCs w:val="20"/>
        </w:rPr>
        <w:t>Our choice to develop an</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pStyle w:val="Normal"/>
        <w:spacing w:before="0" w:after="0"/>
        <w:contextualSpacing/>
        <w:rPr/>
      </w:pPr>
      <w:r>
        <w:rPr/>
      </w:r>
    </w:p>
    <w:p>
      <w:pPr>
        <w:pStyle w:val="Normal"/>
        <w:spacing w:before="0" w:after="0"/>
        <w:contextualSpacing/>
        <w:rPr/>
      </w:pPr>
      <w:r>
        <w:rPr/>
        <w:t xml:space="preserve">The notion of “interactions” is very important for de Ronde: </w:t>
      </w:r>
    </w:p>
    <w:p>
      <w:pPr>
        <w:pStyle w:val="Normal"/>
        <w:spacing w:before="0" w:after="0"/>
        <w:contextualSpacing/>
        <w:rPr/>
      </w:pPr>
      <w:r>
        <w:rPr/>
      </w:r>
    </w:p>
    <w:p>
      <w:pPr>
        <w:pStyle w:val="Normal"/>
        <w:spacing w:before="0" w:after="0"/>
        <w:contextualSpacing/>
        <w:rPr/>
      </w:pPr>
      <w:r>
        <w:rPr>
          <w:rFonts w:eastAsia="Calibri" w:cs="SFRM1000" w:ascii="SFRM1000" w:hAnsi="SFRM1000"/>
          <w:sz w:val="20"/>
          <w:szCs w:val="20"/>
        </w:rPr>
        <w:t xml:space="preserve">The </w:t>
      </w:r>
      <w:r>
        <w:rPr>
          <w:rFonts w:eastAsia="Calibri" w:cs="SFTI1000" w:ascii="SFTI1000" w:hAnsi="SFTI1000"/>
          <w:sz w:val="20"/>
          <w:szCs w:val="20"/>
        </w:rPr>
        <w:t xml:space="preserve">interaction </w:t>
      </w:r>
      <w:r>
        <w:rPr>
          <w:rFonts w:eastAsia="Calibri" w:cs="SFRM1000" w:ascii="SFRM1000" w:hAnsi="SFRM1000"/>
          <w:sz w:val="20"/>
          <w:szCs w:val="20"/>
        </w:rPr>
        <w:t xml:space="preserve">in terms of entanglement, the </w:t>
      </w:r>
      <w:r>
        <w:rPr>
          <w:rFonts w:eastAsia="Calibri" w:cs="SFTI1000" w:ascii="SFTI1000" w:hAnsi="SFTI1000"/>
          <w:sz w:val="20"/>
          <w:szCs w:val="20"/>
        </w:rPr>
        <w:t xml:space="preserve">evolution </w:t>
      </w:r>
      <w:r>
        <w:rPr>
          <w:rFonts w:eastAsia="Calibri" w:cs="SFRM1000" w:ascii="SFRM1000" w:hAnsi="SFRM1000"/>
          <w:sz w:val="20"/>
          <w:szCs w:val="20"/>
        </w:rPr>
        <w:t xml:space="preserve">in terms of the Schrödinger equation of motion and the </w:t>
      </w:r>
      <w:r>
        <w:rPr>
          <w:rFonts w:eastAsia="Calibri" w:cs="SFTI1000" w:ascii="SFTI1000" w:hAnsi="SFTI1000"/>
          <w:sz w:val="20"/>
          <w:szCs w:val="20"/>
        </w:rPr>
        <w:t xml:space="preserve">prediction </w:t>
      </w:r>
      <w:r>
        <w:rPr>
          <w:rFonts w:eastAsia="Calibri" w:cs="SFRM1000" w:ascii="SFRM1000" w:hAnsi="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pStyle w:val="Normal"/>
        <w:spacing w:before="0" w:after="0"/>
        <w:contextualSpacing/>
        <w:rPr/>
      </w:pPr>
      <w:r>
        <w:rPr/>
      </w:r>
    </w:p>
    <w:p>
      <w:pPr>
        <w:pStyle w:val="Normal"/>
        <w:spacing w:before="0" w:after="0"/>
        <w:contextualSpacing/>
        <w:rPr/>
      </w:pPr>
      <w:r>
        <w:rPr/>
        <w:t xml:space="preserve">In my works, the meaning of “interactions” is very close to this meaning. Also, “complementarity” was very important in my first works: </w:t>
      </w:r>
    </w:p>
    <w:p>
      <w:pPr>
        <w:pStyle w:val="Normal"/>
        <w:spacing w:before="0" w:after="0"/>
        <w:contextualSpacing/>
        <w:rPr/>
      </w:pPr>
      <w:r>
        <w:rPr/>
      </w:r>
    </w:p>
    <w:p>
      <w:pPr>
        <w:pStyle w:val="Normal"/>
        <w:spacing w:before="0" w:after="0"/>
        <w:contextualSpacing/>
        <w:rPr/>
      </w:pPr>
      <w:r>
        <w:rPr>
          <w:rFonts w:eastAsia="Calibri" w:cs="SFRM1000" w:ascii="SFRM1000" w:hAnsi="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eastAsia="Calibri" w:cs="CMR10" w:ascii="CMR10" w:hAnsi="CMR10"/>
          <w:sz w:val="20"/>
          <w:szCs w:val="20"/>
        </w:rPr>
        <w:t>[0</w:t>
      </w:r>
      <w:r>
        <w:rPr>
          <w:rFonts w:eastAsia="Calibri" w:cs="CMMI10" w:ascii="CMMI10" w:hAnsi="CMMI10"/>
          <w:sz w:val="20"/>
          <w:szCs w:val="20"/>
        </w:rPr>
        <w:t xml:space="preserve">; </w:t>
      </w:r>
      <w:r>
        <w:rPr>
          <w:rFonts w:eastAsia="Calibri" w:cs="CMR10" w:ascii="CMR10" w:hAnsi="CMR10"/>
          <w:sz w:val="20"/>
          <w:szCs w:val="20"/>
        </w:rPr>
        <w:t>1]</w:t>
      </w:r>
      <w:r>
        <w:rPr>
          <w:rFonts w:eastAsia="Calibri" w:cs="SFRM1000" w:ascii="SFRM1000" w:hAnsi="SFRM1000"/>
          <w:sz w:val="20"/>
          <w:szCs w:val="20"/>
        </w:rPr>
        <w:t xml:space="preserve">. In this way, each </w:t>
      </w:r>
      <w:r>
        <w:rPr>
          <w:rFonts w:eastAsia="Calibri" w:cs="SFTI1000" w:ascii="SFTI1000" w:hAnsi="SFTI1000"/>
          <w:sz w:val="20"/>
          <w:szCs w:val="20"/>
        </w:rPr>
        <w:t xml:space="preserve">immanent power </w:t>
      </w:r>
      <w:r>
        <w:rPr>
          <w:rFonts w:eastAsia="Calibri" w:cs="SFRM1000" w:ascii="SFRM1000" w:hAnsi="SFRM1000"/>
          <w:sz w:val="20"/>
          <w:szCs w:val="20"/>
        </w:rPr>
        <w:t xml:space="preserve">has an intensive characterization which we call </w:t>
      </w:r>
      <w:r>
        <w:rPr>
          <w:rFonts w:eastAsia="Calibri" w:cs="SFTI1000" w:ascii="SFTI1000" w:hAnsi="SFTI1000"/>
          <w:sz w:val="20"/>
          <w:szCs w:val="20"/>
        </w:rPr>
        <w:t>potentia</w:t>
      </w:r>
      <w:r>
        <w:rPr>
          <w:rFonts w:eastAsia="Calibri" w:cs="SFRM1000" w:ascii="SFRM1000" w:hAnsi="SFRM1000"/>
          <w:sz w:val="20"/>
          <w:szCs w:val="20"/>
        </w:rPr>
        <w:t>. (p. 18)</w:t>
      </w:r>
    </w:p>
    <w:p>
      <w:pPr>
        <w:pStyle w:val="Normal"/>
        <w:spacing w:before="0" w:after="0"/>
        <w:contextualSpacing/>
        <w:rPr/>
      </w:pPr>
      <w:r>
        <w:rPr/>
      </w:r>
    </w:p>
    <w:p>
      <w:pPr>
        <w:pStyle w:val="Normal"/>
        <w:spacing w:before="0" w:after="0"/>
        <w:contextualSpacing/>
        <w:rPr/>
      </w:pPr>
      <w:r>
        <w:rPr/>
        <w:t>The next movement places us very very close to the EDWs: ‘</w:t>
      </w:r>
      <w:r>
        <w:rPr>
          <w:rFonts w:eastAsia="Calibri" w:cs="SFTI1000" w:ascii="SFTI1000" w:hAnsi="SFTI1000"/>
          <w:sz w:val="20"/>
          <w:szCs w:val="20"/>
        </w:rPr>
        <w:t xml:space="preserve">Immanent powers and contextuality.” (p. 18) </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r>
    </w:p>
    <w:p>
      <w:pPr>
        <w:pStyle w:val="Normal"/>
        <w:spacing w:before="0" w:after="0"/>
        <w:contextualSpacing/>
        <w:rPr/>
      </w:pPr>
      <w:r>
        <w:rPr>
          <w:rFonts w:eastAsia="Calibri" w:cs="SFTI1000" w:ascii="SFTI1000" w:hAnsi="SFTI1000"/>
          <w:sz w:val="20"/>
          <w:szCs w:val="20"/>
        </w:rPr>
        <w:t xml:space="preserve">The relation and independence of immanent powers with respect to the actual realm. </w:t>
      </w:r>
      <w:r>
        <w:rPr>
          <w:rFonts w:eastAsia="Calibri" w:cs="SFRM1000" w:ascii="SFRM1000" w:hAnsi="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eastAsia="Calibri" w:cs="SFTI1000" w:ascii="SFTI1000" w:hAnsi="SFTI1000"/>
          <w:sz w:val="20"/>
          <w:szCs w:val="20"/>
        </w:rPr>
        <w:t>immanent causality</w:t>
      </w:r>
      <w:r>
        <w:rPr>
          <w:rFonts w:eastAsia="Calibri" w:cs="SFRM1000" w:ascii="SFRM1000" w:hAnsi="SFRM1000"/>
          <w:sz w:val="20"/>
          <w:szCs w:val="20"/>
        </w:rPr>
        <w:t>. The immanent cause allows for the expression of effects remaining both in the effects and its cause. It does not only remain in itself in order to produce, but also, that which it produces stays within… (p. 19)</w:t>
      </w:r>
    </w:p>
    <w:p>
      <w:pPr>
        <w:pStyle w:val="Normal"/>
        <w:spacing w:before="0" w:after="0"/>
        <w:contextualSpacing/>
        <w:rPr/>
      </w:pPr>
      <w:r>
        <w:rPr/>
      </w:r>
    </w:p>
    <w:p>
      <w:pPr>
        <w:pStyle w:val="Normal"/>
        <w:spacing w:before="0" w:after="0"/>
        <w:contextualSpacing/>
        <w:rPr/>
      </w:pPr>
      <w:r>
        <w:rPr/>
        <w:t xml:space="preserve">It seems that we are already in the EDWs! de Ronde’s conclusion is very very close to my conclusion about QM: </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pStyle w:val="Normal"/>
        <w:spacing w:before="0" w:after="0"/>
        <w:contextualSpacing/>
        <w:rPr/>
      </w:pPr>
      <w:r>
        <w:rPr/>
      </w:r>
    </w:p>
    <w:p>
      <w:pPr>
        <w:pStyle w:val="Normal"/>
        <w:spacing w:before="0" w:after="0"/>
        <w:contextualSpacing/>
        <w:rPr/>
      </w:pPr>
      <w:r>
        <w:rPr/>
        <w:t>I am sure the reader will have her conclusion about the UNBELIEVABLE similarities between de Ronde’s ideas and my ideas referring to QM…</w:t>
      </w:r>
    </w:p>
    <w:p>
      <w:pPr>
        <w:pStyle w:val="Normal"/>
        <w:spacing w:before="0" w:after="0"/>
        <w:contextualSpacing/>
        <w:rPr/>
      </w:pPr>
      <w:r>
        <w:rPr/>
      </w:r>
    </w:p>
    <w:p>
      <w:pPr>
        <w:pStyle w:val="Normal"/>
        <w:spacing w:before="0" w:after="0"/>
        <w:contextualSpacing/>
        <w:rPr/>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pStyle w:val="Normal"/>
        <w:spacing w:before="0" w:after="0"/>
        <w:contextualSpacing/>
        <w:rPr/>
      </w:pPr>
      <w:r>
        <w:rPr/>
      </w:r>
    </w:p>
    <w:p>
      <w:pPr>
        <w:pStyle w:val="Normal"/>
        <w:spacing w:before="0" w:after="0"/>
        <w:contextualSpacing/>
        <w:rPr/>
      </w:pPr>
      <w:r>
        <w:rPr/>
        <w:t xml:space="preserve">Very similar ideas to my ideas: </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These ontological relational schemes expose the fact that relationalism does not entail relativism. Thus, at this point of our analysis, it is useful to distinguish between two different types of relations:</w:t>
      </w:r>
    </w:p>
    <w:p>
      <w:pPr>
        <w:pStyle w:val="Normal"/>
        <w:spacing w:before="0" w:after="0"/>
        <w:contextualSpacing/>
        <w:rPr/>
      </w:pPr>
      <w:r>
        <w:rPr>
          <w:rFonts w:eastAsia="Calibri" w:cs="SFBX1000" w:ascii="SFBX1000" w:hAnsi="SFBX1000"/>
          <w:sz w:val="20"/>
          <w:szCs w:val="20"/>
        </w:rPr>
        <w:t xml:space="preserve">Epistemic relations: </w:t>
      </w:r>
      <w:r>
        <w:rPr>
          <w:rFonts w:eastAsia="Calibri" w:cs="SFTI1000" w:ascii="SFTI1000" w:hAnsi="SFTI1000"/>
          <w:sz w:val="20"/>
          <w:szCs w:val="20"/>
        </w:rPr>
        <w:t>Relations as modeled from the empirical subject-object model. What is observed or</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t>perceived (the object or system) is not only related but also is —more importantly— relative to a subject</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t>(an agent, another system or an apparatus). Epistemic relations entail relativism, since we only know how</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t>things (observed or perceived) seem to be as relative to a given perspective, and never how they really are</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t>independently of a perceiving actor (an agent, another system or an apparatus).</w:t>
      </w:r>
    </w:p>
    <w:p>
      <w:pPr>
        <w:pStyle w:val="Normal"/>
        <w:spacing w:before="0" w:after="0"/>
        <w:contextualSpacing/>
        <w:rPr/>
      </w:pPr>
      <w:r>
        <w:rPr>
          <w:rFonts w:eastAsia="Calibri" w:cs="SFBX1000" w:ascii="SFBX1000" w:hAnsi="SFBX1000"/>
          <w:sz w:val="20"/>
          <w:szCs w:val="20"/>
        </w:rPr>
        <w:t xml:space="preserve">Ontic relations: </w:t>
      </w:r>
      <w:r>
        <w:rPr>
          <w:rFonts w:eastAsia="Calibri" w:cs="SFTI1000" w:ascii="SFTI1000" w:hAnsi="SFTI1000"/>
          <w:sz w:val="20"/>
          <w:szCs w:val="20"/>
        </w:rPr>
        <w:t>Relations are the metaphysical building-blocks of reality, they are essential to the representation</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t>of phúsis. Relations exist within reality right from the start and their existence is absolutely independent</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t xml:space="preserve">of observations or a perceiving subject (an agent, another system or experimental arrangement). (p. 15) </w:t>
      </w:r>
    </w:p>
    <w:p>
      <w:pPr>
        <w:pStyle w:val="Normal"/>
        <w:spacing w:before="0" w:after="0"/>
        <w:contextualSpacing/>
        <w:rPr/>
      </w:pPr>
      <w:r>
        <w:rPr>
          <w:rFonts w:eastAsia="Calibri" w:cs="SFRM1000" w:ascii="SFRM1000" w:hAnsi="SFRM1000"/>
          <w:color w:val="000000"/>
          <w:sz w:val="20"/>
          <w:szCs w:val="20"/>
        </w:rPr>
        <w:t xml:space="preserve">Going now back to modal interpretations, we might remark that it is only in the case of </w:t>
      </w:r>
      <w:r>
        <w:rPr>
          <w:rFonts w:eastAsia="Calibri" w:cs="SFTI1000" w:ascii="SFTI1000" w:hAnsi="SFTI1000"/>
          <w:color w:val="000000"/>
          <w:sz w:val="20"/>
          <w:szCs w:val="20"/>
        </w:rPr>
        <w:t>ontological</w:t>
      </w:r>
      <w:r>
        <w:rPr>
          <w:rFonts w:eastAsia="Calibri" w:cs="SFRM0700" w:ascii="SFRM0700" w:hAnsi="SFRM0700"/>
          <w:color w:val="0000FF"/>
          <w:sz w:val="14"/>
          <w:szCs w:val="14"/>
        </w:rPr>
        <w:t>7</w:t>
      </w:r>
    </w:p>
    <w:p>
      <w:pPr>
        <w:pStyle w:val="Normal"/>
        <w:spacing w:before="0" w:after="0"/>
        <w:contextualSpacing/>
        <w:rPr/>
      </w:pPr>
      <w:r>
        <w:rPr>
          <w:rFonts w:eastAsia="Calibri" w:cs="SFTI1000" w:ascii="SFTI1000" w:hAnsi="SFTI1000"/>
          <w:color w:val="000000"/>
          <w:sz w:val="20"/>
          <w:szCs w:val="20"/>
        </w:rPr>
        <w:t xml:space="preserve">relations </w:t>
      </w:r>
      <w:r>
        <w:rPr>
          <w:rFonts w:eastAsia="Calibri" w:cs="SFRM1000" w:ascii="SFRM1000" w:hAnsi="SFRM1000"/>
          <w:color w:val="000000"/>
          <w:sz w:val="20"/>
          <w:szCs w:val="20"/>
        </w:rPr>
        <w:t>that it would make sense to look for joint probability distributions. (16)</w:t>
      </w:r>
    </w:p>
    <w:p>
      <w:pPr>
        <w:pStyle w:val="Normal"/>
        <w:spacing w:before="0" w:after="0"/>
        <w:contextualSpacing/>
        <w:rPr>
          <w:rFonts w:ascii="SFRM1000" w:hAnsi="SFRM1000" w:eastAsia="Calibri" w:cs="SFRM1000"/>
          <w:color w:val="000000"/>
          <w:sz w:val="20"/>
          <w:szCs w:val="20"/>
        </w:rPr>
      </w:pPr>
      <w:r>
        <w:rPr>
          <w:rFonts w:eastAsia="Calibri" w:cs="SFRM1000" w:ascii="SFRM1000" w:hAnsi="SFRM1000"/>
          <w:color w:val="000000"/>
          <w:sz w:val="20"/>
          <w:szCs w:val="20"/>
        </w:rPr>
      </w:r>
    </w:p>
    <w:p>
      <w:pPr>
        <w:pStyle w:val="Normal"/>
        <w:spacing w:before="0" w:after="0"/>
        <w:contextualSpacing/>
        <w:rPr/>
      </w:pPr>
      <w:r>
        <w:rPr>
          <w:rFonts w:eastAsia="Calibri"/>
        </w:rPr>
        <w:t xml:space="preserve">Ronde_ and R. Fernandez Moujan (2017) </w:t>
      </w:r>
      <w:r>
        <w:rPr/>
        <w:t xml:space="preserve">reject Rovelli’s ideas (1996): </w:t>
      </w:r>
    </w:p>
    <w:p>
      <w:pPr>
        <w:pStyle w:val="Normal"/>
        <w:spacing w:before="0" w:after="0"/>
        <w:contextualSpacing/>
        <w:rPr/>
      </w:pPr>
      <w:r>
        <w:rPr/>
      </w:r>
    </w:p>
    <w:p>
      <w:pPr>
        <w:pStyle w:val="Normal"/>
        <w:spacing w:before="0" w:after="0"/>
        <w:contextualSpacing/>
        <w:rPr/>
      </w:pPr>
      <w:r>
        <w:rPr/>
        <w:t>“</w:t>
      </w:r>
      <w:r>
        <w:rPr>
          <w:rFonts w:eastAsia="Calibri" w:cs="SFRM1000" w:ascii="SFRM1000" w:hAnsi="SFRM1000"/>
          <w:sz w:val="20"/>
          <w:szCs w:val="20"/>
        </w:rPr>
        <w:t>Rovelli’s interpretation takes distance from Bohr’s distinction between macroscopic and microscopic systems.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w:t>
      </w:r>
      <w:r>
        <w:rPr>
          <w:rFonts w:eastAsia="Calibri" w:cs="SFRM1000" w:ascii="SFRM1000" w:hAnsi="SFRM1000"/>
          <w:sz w:val="20"/>
          <w:szCs w:val="20"/>
        </w:rPr>
        <w:t>The disturbing aspect of Bohr’s view is the inapplicability of quantum theory to macrophysics. This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disturbing aspect vanishes, I believe, at the light of the discussion in this paper.” Instead of the privileging</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certain observers (classical systems) Rovelli centers his interpretation in the concept of information.</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w:t>
      </w:r>
      <w:r>
        <w:rPr>
          <w:rFonts w:eastAsia="Calibri" w:cs="SFRM0900" w:ascii="SFRM0900" w:hAnsi="SFRM0900"/>
          <w:sz w:val="18"/>
          <w:szCs w:val="18"/>
        </w:rPr>
        <w:t>Information indicates the usual ascription of values to quantities that founds physics, but emphasizes their</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relational aspect. This ascription can be described within the theory itself, as information theoretical</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information, namely correlation. But such a description, in turn, is quantum mechanics and observer</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dependent, because a universal observer-independent description of the states of affairs of the world does</w:t>
      </w:r>
    </w:p>
    <w:p>
      <w:pPr>
        <w:pStyle w:val="Normal"/>
        <w:spacing w:before="0" w:after="0"/>
        <w:contextualSpacing/>
        <w:rPr/>
      </w:pPr>
      <w:r>
        <w:rPr>
          <w:rFonts w:eastAsia="Calibri" w:cs="SFRM0900" w:ascii="SFRM0900" w:hAnsi="SFRM0900"/>
          <w:sz w:val="18"/>
          <w:szCs w:val="18"/>
        </w:rPr>
        <w:t>not exist.” [</w:t>
      </w:r>
      <w:r>
        <w:rPr>
          <w:rFonts w:eastAsia="Calibri" w:cs="SFTI0900" w:ascii="SFTI0900" w:hAnsi="SFTI0900"/>
          <w:sz w:val="18"/>
          <w:szCs w:val="18"/>
        </w:rPr>
        <w:t>Op. cit.</w:t>
      </w:r>
      <w:r>
        <w:rPr>
          <w:rFonts w:eastAsia="Calibri" w:cs="SFRM0900" w:ascii="SFRM0900" w:hAnsi="SFRM0900"/>
          <w:sz w:val="18"/>
          <w:szCs w:val="18"/>
        </w:rPr>
        <w:t>]</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Rovelli recognizes the impossibility of presenting an objective description in terms of systems and replaces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this notion by “net of relations”. According to him: “[...] at the present level of experimental knowledge</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(hypothesis 2), we are forced to accept the result that there is no objective, or more precisely observerindependent</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meaning to the ascription of a property to a system. Thus, the properties of the systems are to</w:t>
      </w:r>
    </w:p>
    <w:p>
      <w:pPr>
        <w:pStyle w:val="Normal"/>
        <w:spacing w:before="0" w:after="0"/>
        <w:contextualSpacing/>
        <w:rPr/>
      </w:pPr>
      <w:r>
        <w:rPr>
          <w:rFonts w:eastAsia="Calibri" w:cs="SFRM1000" w:ascii="SFRM1000" w:hAnsi="SFRM1000"/>
          <w:sz w:val="20"/>
          <w:szCs w:val="20"/>
        </w:rPr>
        <w:t>be described by an interrelated net of observations and information collected from observations.” [</w:t>
      </w:r>
      <w:r>
        <w:rPr>
          <w:rFonts w:eastAsia="Calibri" w:cs="SFTI1000" w:ascii="SFTI1000" w:hAnsi="SFTI1000"/>
          <w:sz w:val="20"/>
          <w:szCs w:val="20"/>
        </w:rPr>
        <w:t>Op. cit.</w:t>
      </w:r>
      <w:r>
        <w:rPr>
          <w:rFonts w:eastAsia="Calibri" w:cs="SFRM1000" w:ascii="SFRM1000" w:hAnsi="SFRM1000"/>
          <w:sz w:val="20"/>
          <w:szCs w:val="20"/>
        </w:rPr>
        <w:t>]</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question becomes then: what can we say about this net of relations. Rovelli, talks about the notion of</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information: “The notion of observer independent state of a system is replaced by the notion of information</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about a system that a physical system may possess.” Still, as in the case of Bohr, Kochen, Bene and Dieks,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ontological question that any realist would want to answer is still present even though in a different form:</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information about what? Although it is possible to maintain a relational view of quantum states in terms of</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information, the ontological status of such information seems to remain a problematic issue —at least, from</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a realist perspective.” (p. 18)</w:t>
      </w:r>
    </w:p>
    <w:p>
      <w:pPr>
        <w:pStyle w:val="Normal"/>
        <w:spacing w:before="0" w:after="0"/>
        <w:contextualSpacing/>
        <w:rPr/>
      </w:pPr>
      <w:r>
        <w:rPr/>
      </w:r>
    </w:p>
    <w:p>
      <w:pPr>
        <w:pStyle w:val="Normal"/>
        <w:spacing w:before="0" w:after="0"/>
        <w:contextualSpacing/>
        <w:rPr/>
      </w:pPr>
      <w:r>
        <w:rP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pStyle w:val="Normal"/>
        <w:spacing w:before="0" w:after="0"/>
        <w:contextualSpacing/>
        <w:rPr/>
      </w:pPr>
      <w:r>
        <w:rPr/>
        <w:tab/>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eastAsia="Calibri" w:cs="SFRM1000" w:ascii="SFRM1000" w:hAnsi="SFRM1000"/>
          <w:sz w:val="20"/>
          <w:szCs w:val="20"/>
        </w:rPr>
        <w:t xml:space="preserve">The ontic viewpoint —as we understand it— differs radically with respect to the epistemic account of physics.” (19) </w:t>
      </w:r>
    </w:p>
    <w:p>
      <w:pPr>
        <w:pStyle w:val="Normal"/>
        <w:spacing w:before="0" w:after="0"/>
        <w:contextualSpacing/>
        <w:rPr/>
      </w:pPr>
      <w:r>
        <w:rPr/>
        <w:t xml:space="preserve">Their last words: </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pStyle w:val="Normal"/>
        <w:spacing w:before="0" w:after="0"/>
        <w:contextualSpacing/>
        <w:rPr/>
      </w:pPr>
      <w:r>
        <w:rPr/>
      </w:r>
    </w:p>
    <w:p>
      <w:pPr>
        <w:pStyle w:val="Normal"/>
        <w:spacing w:before="0" w:after="0"/>
        <w:contextualSpacing/>
        <w:rPr/>
      </w:pPr>
      <w:r>
        <w:rPr/>
        <w:t>Of course, in their future works, I am convinced that we will find many other UNBELIEVABLE similar ideas to my ideas!</w:t>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ListParagraph"/>
        <w:numPr>
          <w:ilvl w:val="0"/>
          <w:numId w:val="18"/>
        </w:numPr>
        <w:spacing w:before="0" w:after="0"/>
        <w:contextualSpacing/>
        <w:rPr/>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pStyle w:val="Normal"/>
        <w:spacing w:before="0" w:after="0"/>
        <w:contextualSpacing/>
        <w:rPr>
          <w:rFonts w:eastAsia="Calibri"/>
          <w:color w:val="00000A"/>
          <w:sz w:val="28"/>
          <w:szCs w:val="28"/>
        </w:rPr>
      </w:pPr>
      <w:r>
        <w:rPr>
          <w:rFonts w:eastAsia="Calibri"/>
          <w:color w:val="00000A"/>
          <w:sz w:val="28"/>
          <w:szCs w:val="28"/>
        </w:rPr>
      </w:r>
    </w:p>
    <w:p>
      <w:pPr>
        <w:pStyle w:val="Normal"/>
        <w:spacing w:before="0" w:after="0"/>
        <w:contextualSpacing/>
        <w:rPr>
          <w:rFonts w:ascii="TimesNewRomanPSMT" w:hAnsi="TimesNewRomanPSMT" w:eastAsia="Calibri" w:cs="TimesNewRomanPSMT"/>
          <w:color w:val="00000A"/>
          <w:sz w:val="20"/>
          <w:szCs w:val="20"/>
        </w:rPr>
      </w:pPr>
      <w:r>
        <w:rPr>
          <w:rFonts w:eastAsia="Calibri" w:cs="TimesNewRomanPSMT" w:ascii="TimesNewRomanPSMT" w:hAnsi="TimesNewRomanPSMT"/>
          <w:color w:val="00000A"/>
          <w:sz w:val="20"/>
          <w:szCs w:val="20"/>
        </w:rPr>
        <w:t>(from University of Edinburgh)</w:t>
      </w:r>
    </w:p>
    <w:p>
      <w:pPr>
        <w:pStyle w:val="Normal"/>
        <w:spacing w:before="0" w:after="0"/>
        <w:contextualSpacing/>
        <w:rPr>
          <w:rFonts w:ascii="TimesNewRomanPSMT" w:hAnsi="TimesNewRomanPSMT" w:eastAsia="Calibri" w:cs="TimesNewRomanPSMT"/>
          <w:color w:val="00000A"/>
          <w:sz w:val="20"/>
          <w:szCs w:val="20"/>
        </w:rPr>
      </w:pPr>
      <w:r>
        <w:rPr>
          <w:rFonts w:eastAsia="Calibri" w:cs="TimesNewRomanPSMT" w:ascii="TimesNewRomanPSMT" w:hAnsi="TimesNewRomanPSMT"/>
          <w:color w:val="00000A"/>
          <w:sz w:val="20"/>
          <w:szCs w:val="20"/>
        </w:rPr>
      </w:r>
    </w:p>
    <w:p>
      <w:pPr>
        <w:pStyle w:val="Normal"/>
        <w:spacing w:before="0" w:after="0"/>
        <w:contextualSpacing/>
        <w:rPr>
          <w:rFonts w:ascii="TimesNewRomanPSMT" w:hAnsi="TimesNewRomanPSMT" w:eastAsia="Calibri" w:cs="TimesNewRomanPSMT"/>
          <w:color w:val="00000A"/>
          <w:sz w:val="20"/>
          <w:szCs w:val="20"/>
        </w:rPr>
      </w:pPr>
      <w:r>
        <w:rPr>
          <w:rFonts w:eastAsia="Calibri" w:cs="TimesNewRomanPSMT" w:ascii="TimesNewRomanPSMT" w:hAnsi="TimesNewRomanPSMT"/>
          <w:color w:val="00000A"/>
          <w:sz w:val="20"/>
          <w:szCs w:val="20"/>
        </w:rPr>
        <w:t xml:space="preserve">Very similar ideas to my ideas: </w:t>
      </w:r>
    </w:p>
    <w:p>
      <w:pPr>
        <w:pStyle w:val="Normal"/>
        <w:spacing w:before="0" w:after="0"/>
        <w:contextualSpacing/>
        <w:rPr>
          <w:rFonts w:ascii="TimesNewRomanPSMT" w:hAnsi="TimesNewRomanPSMT" w:eastAsia="Calibri" w:cs="TimesNewRomanPSMT"/>
          <w:color w:val="00000A"/>
          <w:sz w:val="20"/>
          <w:szCs w:val="20"/>
        </w:rPr>
      </w:pPr>
      <w:r>
        <w:rPr>
          <w:rFonts w:eastAsia="Calibri" w:cs="TimesNewRomanPSMT" w:ascii="TimesNewRomanPSMT" w:hAnsi="TimesNewRomanPSMT"/>
          <w:color w:val="00000A"/>
          <w:sz w:val="20"/>
          <w:szCs w:val="20"/>
        </w:rPr>
      </w:r>
    </w:p>
    <w:p>
      <w:pPr>
        <w:pStyle w:val="Normal"/>
        <w:spacing w:before="0" w:after="0"/>
        <w:contextualSpacing/>
        <w:rPr>
          <w:rFonts w:ascii="TimesNewRomanPSMT" w:hAnsi="TimesNewRomanPSMT" w:eastAsia="Calibri" w:cs="TimesNewRomanPSMT"/>
          <w:color w:val="00000A"/>
          <w:sz w:val="20"/>
          <w:szCs w:val="20"/>
        </w:rPr>
      </w:pPr>
      <w:r>
        <w:rPr>
          <w:rFonts w:eastAsia="Calibri" w:cs="TimesNewRomanPSMT" w:ascii="TimesNewRomanPSMT" w:hAnsi="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pStyle w:val="Normal"/>
        <w:spacing w:before="0" w:after="0"/>
        <w:contextualSpacing/>
        <w:rPr>
          <w:sz w:val="20"/>
          <w:szCs w:val="20"/>
        </w:rPr>
      </w:pPr>
      <w:r>
        <w:rPr>
          <w:sz w:val="20"/>
          <w:szCs w:val="20"/>
        </w:rPr>
      </w:r>
    </w:p>
    <w:p>
      <w:pPr>
        <w:pStyle w:val="Normal"/>
        <w:spacing w:before="0" w:after="0"/>
        <w:contextualSpacing/>
        <w:rPr>
          <w:rFonts w:ascii="TimesNewRomanPSMT" w:hAnsi="TimesNewRomanPSMT" w:eastAsia="Calibri" w:cs="TimesNewRomanPSMT"/>
          <w:sz w:val="20"/>
          <w:szCs w:val="20"/>
        </w:rPr>
      </w:pPr>
      <w:r>
        <w:rPr>
          <w:rFonts w:eastAsia="Calibri" w:cs="TimesNewRomanPSMT" w:ascii="TimesNewRomanPSMT" w:hAnsi="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pStyle w:val="Normal"/>
        <w:spacing w:before="0" w:after="0"/>
        <w:contextualSpacing/>
        <w:rPr/>
      </w:pPr>
      <w:r>
        <w:rPr/>
      </w:r>
    </w:p>
    <w:p>
      <w:pPr>
        <w:pStyle w:val="Normal"/>
        <w:spacing w:before="0" w:after="0"/>
        <w:contextualSpacing/>
        <w:rPr/>
      </w:pPr>
      <w:r>
        <w:rPr/>
        <w:t>Rovelli (2015) is in this manuscript. In my book 2008 (!) I discussed about Nelson Goodman!!! His ideas are exactly in my paper 2006!</w:t>
      </w:r>
    </w:p>
    <w:p>
      <w:pPr>
        <w:pStyle w:val="Normal"/>
        <w:spacing w:before="0" w:after="0"/>
        <w:contextualSpacing/>
        <w:rPr/>
      </w:pPr>
      <w:r>
        <w:rPr/>
      </w:r>
    </w:p>
    <w:p>
      <w:pPr>
        <w:pStyle w:val="Normal"/>
        <w:spacing w:before="0" w:after="0"/>
        <w:contextualSpacing/>
        <w:rPr/>
      </w:pPr>
      <w:r>
        <w:rPr>
          <w:rFonts w:eastAsia="Calibri" w:cs="TimesNewRomanPSMT" w:ascii="TimesNewRomanPSMT" w:hAnsi="TimesNewRomanPSMT"/>
          <w:color w:val="000000"/>
          <w:sz w:val="20"/>
          <w:szCs w:val="20"/>
        </w:rPr>
        <w:t>M</w:t>
      </w:r>
      <w:r>
        <w:rPr>
          <w:rFonts w:eastAsia="Calibri" w:cs="TimesNewRomanPSMT" w:ascii="TimesNewRomanPSMT" w:hAnsi="TimesNewRomanPSMT"/>
          <w:color w:val="00000A"/>
          <w:sz w:val="20"/>
          <w:szCs w:val="20"/>
        </w:rPr>
        <w:t>y claim is that RQM is a realistic theory that assumes the notion of relation as primitive15; or more specifically, the physical interaction between systems and instruments as primitive. (5)</w:t>
      </w:r>
    </w:p>
    <w:p>
      <w:pPr>
        <w:pStyle w:val="Normal"/>
        <w:spacing w:before="0" w:after="0"/>
        <w:contextualSpacing/>
        <w:rPr/>
      </w:pPr>
      <w:r>
        <w:rPr/>
      </w:r>
    </w:p>
    <w:p>
      <w:pPr>
        <w:pStyle w:val="Normal"/>
        <w:spacing w:before="0" w:after="0"/>
        <w:contextualSpacing/>
        <w:rPr/>
      </w:pPr>
      <w:r>
        <w:rPr/>
        <w:t>Exactly my ideas and exactly my concepts from 2006, 2008!!!</w:t>
      </w:r>
    </w:p>
    <w:p>
      <w:pPr>
        <w:pStyle w:val="Normal"/>
        <w:spacing w:before="0" w:after="0"/>
        <w:contextualSpacing/>
        <w:rPr/>
      </w:pPr>
      <w:r>
        <w:rPr/>
      </w:r>
    </w:p>
    <w:p>
      <w:pPr>
        <w:pStyle w:val="Normal"/>
        <w:spacing w:before="0" w:after="0"/>
        <w:contextualSpacing/>
        <w:rPr/>
      </w:pPr>
      <w:r>
        <w:rPr>
          <w:rFonts w:eastAsia="Calibri" w:cs="TimesNewRomanPSMT" w:ascii="TimesNewRomanPSMT" w:hAnsi="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eastAsia="Calibri" w:cs="TimesNewRomanPSMT" w:ascii="TimesNewRomanPSMT" w:hAnsi="TimesNewRomanPSMT"/>
          <w:color w:val="00000A"/>
          <w:sz w:val="20"/>
          <w:szCs w:val="20"/>
        </w:rPr>
        <w:t xml:space="preserve">are to be described by an interrelated net of observations </w:t>
      </w:r>
      <w:r>
        <w:rPr>
          <w:rFonts w:eastAsia="Calibri" w:cs="TimesNewRomanPSMT" w:ascii="TimesNewRomanPSMT" w:hAnsi="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pStyle w:val="Normal"/>
        <w:spacing w:before="0" w:after="0"/>
        <w:contextualSpacing/>
        <w:rPr/>
      </w:pPr>
      <w:r>
        <w:rPr/>
      </w:r>
    </w:p>
    <w:p>
      <w:pPr>
        <w:pStyle w:val="Normal"/>
        <w:spacing w:before="0" w:after="0"/>
        <w:contextualSpacing/>
        <w:rPr/>
      </w:pPr>
      <w:r>
        <w:rPr/>
        <w:t>Those two “thesis” are identical to my main principles! Also, the author emphasizes the “epistemic account” (not metaphysical) transformed in ontology, exactly as I did in my works.</w:t>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ListParagraph"/>
        <w:numPr>
          <w:ilvl w:val="0"/>
          <w:numId w:val="18"/>
        </w:numPr>
        <w:spacing w:before="0" w:after="0"/>
        <w:contextualSpacing/>
        <w:rPr/>
      </w:pPr>
      <w:r>
        <w:rPr>
          <w:b/>
          <w:bCs/>
          <w:sz w:val="24"/>
          <w:szCs w:val="24"/>
        </w:rPr>
        <w:t xml:space="preserve">(2016) Unbelievable similarities between </w:t>
      </w:r>
      <w:r>
        <w:rPr>
          <w:b/>
          <w:iCs/>
          <w:sz w:val="24"/>
          <w:szCs w:val="24"/>
        </w:rPr>
        <w:t>Hugo F. Alrøe and Egon Noe’s ideas (2016) and my ideas (2002-2008)</w:t>
      </w:r>
    </w:p>
    <w:p>
      <w:pPr>
        <w:pStyle w:val="Normal"/>
        <w:spacing w:before="0" w:after="0"/>
        <w:contextualSpacing/>
        <w:rPr>
          <w:b/>
          <w:b/>
          <w:iCs/>
        </w:rPr>
      </w:pPr>
      <w:r>
        <w:rPr>
          <w:b/>
          <w:iCs/>
        </w:rPr>
      </w:r>
    </w:p>
    <w:p>
      <w:pPr>
        <w:pStyle w:val="Normal"/>
        <w:spacing w:before="0" w:after="0"/>
        <w:contextualSpacing/>
        <w:rPr/>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pStyle w:val="Normal"/>
        <w:spacing w:before="0" w:after="0"/>
        <w:contextualSpacing/>
        <w:rPr>
          <w:iCs/>
        </w:rPr>
      </w:pPr>
      <w:r>
        <w:rPr>
          <w:iCs/>
        </w:rPr>
      </w:r>
    </w:p>
    <w:p>
      <w:pPr>
        <w:pStyle w:val="Normal"/>
        <w:spacing w:before="0" w:after="0"/>
        <w:contextualSpacing/>
        <w:rPr>
          <w:iCs/>
        </w:rPr>
      </w:pPr>
      <w:r>
        <w:rPr>
          <w:iCs/>
        </w:rPr>
        <w:t xml:space="preserve">The authors mention a paper written by Alroe and Kristensen (2002). Let me investigate this paper and then the paper from 2017. </w:t>
      </w:r>
    </w:p>
    <w:p>
      <w:pPr>
        <w:pStyle w:val="Normal"/>
        <w:spacing w:before="0" w:after="0"/>
        <w:contextualSpacing/>
        <w:rPr>
          <w:iCs/>
        </w:rPr>
      </w:pPr>
      <w:r>
        <w:rPr>
          <w:iCs/>
        </w:rPr>
      </w:r>
    </w:p>
    <w:p>
      <w:pPr>
        <w:pStyle w:val="Normal"/>
        <w:spacing w:before="0" w:after="0"/>
        <w:contextualSpacing/>
        <w:rPr/>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pStyle w:val="Normal"/>
        <w:spacing w:before="0" w:after="0"/>
        <w:contextualSpacing/>
        <w:rPr>
          <w:b/>
          <w:b/>
          <w:bCs/>
        </w:rPr>
      </w:pPr>
      <w:r>
        <w:rPr>
          <w:b/>
          <w:bCs/>
        </w:rPr>
      </w:r>
    </w:p>
    <w:p>
      <w:pPr>
        <w:pStyle w:val="Normal"/>
        <w:spacing w:before="0" w:after="0"/>
        <w:contextualSpacing/>
        <w:rPr/>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FootnoteAnchor"/>
          <w:sz w:val="21"/>
          <w:szCs w:val="21"/>
        </w:rPr>
        <w:footnoteReference w:id="162"/>
      </w:r>
      <w:r>
        <w:rPr>
          <w:sz w:val="21"/>
          <w:szCs w:val="21"/>
        </w:rPr>
        <w:t xml:space="preserve"> </w:t>
      </w:r>
    </w:p>
    <w:p>
      <w:pPr>
        <w:pStyle w:val="Normal"/>
        <w:spacing w:before="0" w:after="0"/>
        <w:contextualSpacing/>
        <w:rPr>
          <w:bCs/>
        </w:rPr>
      </w:pPr>
      <w:r>
        <w:rPr>
          <w:bCs/>
        </w:rPr>
      </w:r>
    </w:p>
    <w:p>
      <w:pPr>
        <w:pStyle w:val="Normal"/>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pStyle w:val="Normal"/>
        <w:spacing w:before="0" w:after="0"/>
        <w:contextualSpacing/>
        <w:rPr>
          <w:bCs/>
        </w:rPr>
      </w:pPr>
      <w:r>
        <w:rPr>
          <w:bCs/>
        </w:rPr>
      </w:r>
    </w:p>
    <w:p>
      <w:pPr>
        <w:pStyle w:val="Normal"/>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pStyle w:val="Normal"/>
        <w:spacing w:before="0" w:after="0"/>
        <w:contextualSpacing/>
        <w:rPr>
          <w:bCs/>
        </w:rPr>
      </w:pPr>
      <w:r>
        <w:rPr>
          <w:bCs/>
        </w:rPr>
      </w:r>
    </w:p>
    <w:p>
      <w:pPr>
        <w:pStyle w:val="Normal"/>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pStyle w:val="Normal"/>
        <w:spacing w:before="0" w:after="0"/>
        <w:contextualSpacing/>
        <w:rPr>
          <w:bCs/>
        </w:rPr>
      </w:pPr>
      <w:r>
        <w:rPr>
          <w:bCs/>
        </w:rPr>
      </w:r>
    </w:p>
    <w:p>
      <w:pPr>
        <w:pStyle w:val="Normal"/>
        <w:spacing w:before="0" w:after="0"/>
        <w:contextualSpacing/>
        <w:rPr/>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pStyle w:val="Normal"/>
        <w:spacing w:before="0" w:after="0"/>
        <w:ind w:left="0" w:right="0" w:firstLine="720"/>
        <w:contextualSpacing/>
        <w:rPr/>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pStyle w:val="Normal"/>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pStyle w:val="Normal"/>
        <w:spacing w:before="0" w:after="0"/>
        <w:contextualSpacing/>
        <w:rPr>
          <w:bCs/>
        </w:rPr>
      </w:pPr>
      <w:r>
        <w:rPr>
          <w:bCs/>
        </w:rPr>
      </w:r>
    </w:p>
    <w:p>
      <w:pPr>
        <w:pStyle w:val="Normal"/>
        <w:spacing w:before="0" w:after="0"/>
        <w:contextualSpacing/>
        <w:rPr>
          <w:bCs/>
        </w:rPr>
      </w:pPr>
      <w:r>
        <w:rPr>
          <w:bCs/>
        </w:rPr>
        <w:t xml:space="preserve">Quite close to my ideas is their following idea: </w:t>
      </w:r>
    </w:p>
    <w:p>
      <w:pPr>
        <w:pStyle w:val="Normal"/>
        <w:spacing w:before="0" w:after="0"/>
        <w:contextualSpacing/>
        <w:rPr>
          <w:sz w:val="21"/>
          <w:szCs w:val="21"/>
        </w:rPr>
      </w:pPr>
      <w:r>
        <w:rPr>
          <w:sz w:val="21"/>
          <w:szCs w:val="21"/>
        </w:rPr>
      </w:r>
    </w:p>
    <w:p>
      <w:pPr>
        <w:pStyle w:val="Normal"/>
        <w:spacing w:before="0" w:after="0"/>
        <w:contextualSpacing/>
        <w:rPr/>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pStyle w:val="Normal"/>
        <w:spacing w:before="0" w:after="0"/>
        <w:contextualSpacing/>
        <w:rPr/>
      </w:pPr>
      <w:r>
        <w:rPr>
          <w:sz w:val="21"/>
          <w:szCs w:val="21"/>
        </w:rPr>
        <w:t>and observer,</w:t>
      </w:r>
      <w:r>
        <w:rPr>
          <w:sz w:val="16"/>
          <w:szCs w:val="16"/>
        </w:rPr>
        <w:t xml:space="preserve">13 </w:t>
      </w:r>
      <w:r>
        <w:rPr>
          <w:sz w:val="21"/>
          <w:szCs w:val="21"/>
        </w:rPr>
        <w:t xml:space="preserve">or the simple terms inside and outside viewpoint, for several reasons. (p. 8) </w:t>
      </w:r>
    </w:p>
    <w:p>
      <w:pPr>
        <w:pStyle w:val="Normal"/>
        <w:spacing w:before="0" w:after="0"/>
        <w:contextualSpacing/>
        <w:rPr>
          <w:bCs/>
        </w:rPr>
      </w:pPr>
      <w:r>
        <w:rPr>
          <w:bCs/>
        </w:rPr>
      </w:r>
    </w:p>
    <w:p>
      <w:pPr>
        <w:pStyle w:val="Normal"/>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pStyle w:val="Normal"/>
        <w:spacing w:before="0" w:after="0"/>
        <w:contextualSpacing/>
        <w:rPr>
          <w:bCs/>
        </w:rPr>
      </w:pPr>
      <w:r>
        <w:rPr>
          <w:bCs/>
        </w:rPr>
      </w:r>
    </w:p>
    <w:p>
      <w:pPr>
        <w:pStyle w:val="Normal"/>
        <w:spacing w:before="0" w:after="0"/>
        <w:contextualSpacing/>
        <w:rPr/>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FootnoteAnchor"/>
          <w:bCs/>
        </w:rPr>
        <w:footnoteReference w:id="163"/>
      </w:r>
      <w:r>
        <w:rPr>
          <w:bCs/>
        </w:rPr>
        <w:t xml:space="preserve"> for grasping the “complex” relationship between subject and the world.</w:t>
      </w:r>
      <w:r>
        <w:rPr>
          <w:rStyle w:val="FootnoteAnchor"/>
          <w:bCs/>
        </w:rPr>
        <w:footnoteReference w:id="164"/>
      </w:r>
      <w:r>
        <w:rPr>
          <w:bCs/>
        </w:rPr>
        <w:t xml:space="preserve"> The notion of the “world” is not rejected at all, the authors working within a Kantian (and Bohr) view. No more or less. </w:t>
      </w:r>
    </w:p>
    <w:p>
      <w:pPr>
        <w:pStyle w:val="Normal"/>
        <w:spacing w:before="0" w:after="0"/>
        <w:contextualSpacing/>
        <w:rPr>
          <w:bCs/>
        </w:rPr>
      </w:pPr>
      <w:r>
        <w:rPr>
          <w:bCs/>
        </w:rPr>
      </w:r>
    </w:p>
    <w:p>
      <w:pPr>
        <w:pStyle w:val="Normal"/>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pStyle w:val="Normal"/>
        <w:spacing w:before="0" w:after="0"/>
        <w:contextualSpacing/>
        <w:rPr>
          <w:bCs/>
        </w:rPr>
      </w:pPr>
      <w:r>
        <w:rPr>
          <w:bCs/>
        </w:rPr>
      </w:r>
    </w:p>
    <w:p>
      <w:pPr>
        <w:pStyle w:val="Normal"/>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pStyle w:val="Normal"/>
        <w:spacing w:before="0" w:after="0"/>
        <w:contextualSpacing/>
        <w:rPr>
          <w:bCs/>
          <w:sz w:val="20"/>
          <w:szCs w:val="20"/>
        </w:rPr>
      </w:pPr>
      <w:r>
        <w:rPr>
          <w:bCs/>
          <w:sz w:val="20"/>
          <w:szCs w:val="20"/>
        </w:rPr>
      </w:r>
    </w:p>
    <w:p>
      <w:pPr>
        <w:pStyle w:val="Normal"/>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pStyle w:val="Normal"/>
        <w:spacing w:before="0" w:after="0"/>
        <w:contextualSpacing/>
        <w:rPr/>
      </w:pPr>
      <w:r>
        <w:rPr>
          <w:sz w:val="20"/>
          <w:szCs w:val="20"/>
        </w:rPr>
        <w:t>there is a need for a common framework that can serve as a basis for doing transdisciplinary systemic research.</w:t>
      </w:r>
      <w:r>
        <w:rPr/>
        <w:t xml:space="preserve"> (p. 12) </w:t>
      </w:r>
    </w:p>
    <w:p>
      <w:pPr>
        <w:pStyle w:val="Normal"/>
        <w:spacing w:before="0" w:after="0"/>
        <w:contextualSpacing/>
        <w:rPr>
          <w:bCs/>
        </w:rPr>
      </w:pPr>
      <w:r>
        <w:rPr>
          <w:bCs/>
        </w:rPr>
      </w:r>
    </w:p>
    <w:p>
      <w:pPr>
        <w:pStyle w:val="Normal"/>
        <w:spacing w:before="0" w:after="0"/>
        <w:contextualSpacing/>
        <w:rPr/>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FootnoteAnchor"/>
          <w:bCs/>
        </w:rPr>
        <w:footnoteReference w:id="165"/>
      </w:r>
      <w:r>
        <w:rPr>
          <w:bCs/>
        </w:rPr>
        <w:t xml:space="preserve"> Later they authors investigate Habermas and other thinkers but the main idea is the duality between theories and the world, i.e., “descriptions of the world”. Nothing new…</w:t>
      </w:r>
    </w:p>
    <w:p>
      <w:pPr>
        <w:pStyle w:val="Normal"/>
        <w:spacing w:before="0" w:after="0"/>
        <w:contextualSpacing/>
        <w:rPr>
          <w:bCs/>
        </w:rPr>
      </w:pPr>
      <w:r>
        <w:rPr>
          <w:bCs/>
        </w:rPr>
        <w:tab/>
        <w:t>Their conclusion clearly shows us that the authors work within the unicorn world and their “transdisciplinary research”:</w:t>
      </w:r>
    </w:p>
    <w:p>
      <w:pPr>
        <w:pStyle w:val="Normal"/>
        <w:spacing w:before="0" w:after="0"/>
        <w:contextualSpacing/>
        <w:rPr>
          <w:bCs/>
        </w:rPr>
      </w:pPr>
      <w:r>
        <w:rPr>
          <w:bCs/>
        </w:rPr>
      </w:r>
    </w:p>
    <w:p>
      <w:pPr>
        <w:pStyle w:val="Normal"/>
        <w:spacing w:before="0" w:after="0"/>
        <w:contextualSpacing/>
        <w:rPr>
          <w:rFonts w:ascii="Times-Roman" w:hAnsi="Times-Roman" w:cs="Times-Roman"/>
          <w:sz w:val="20"/>
          <w:szCs w:val="20"/>
        </w:rPr>
      </w:pPr>
      <w:r>
        <w:rPr>
          <w:rFonts w:cs="Times-Roman" w:ascii="Times-Roman" w:hAnsi="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pStyle w:val="Normal"/>
        <w:spacing w:before="0" w:after="0"/>
        <w:contextualSpacing/>
        <w:rPr>
          <w:rFonts w:ascii="Times-Roman" w:hAnsi="Times-Roman" w:cs="Times-Roman"/>
          <w:sz w:val="20"/>
          <w:szCs w:val="20"/>
        </w:rPr>
      </w:pPr>
      <w:r>
        <w:rPr>
          <w:rFonts w:cs="Times-Roman" w:ascii="Times-Roman" w:hAnsi="Times-Roman"/>
          <w:sz w:val="20"/>
          <w:szCs w:val="20"/>
        </w:rPr>
        <w:t>role in science – not only in normative sciences such as ethics and theory of science, but also in empirical sciences. This view necessitates a revision of the conventional ideal of objectivity. (p. 17)</w:t>
      </w:r>
    </w:p>
    <w:p>
      <w:pPr>
        <w:pStyle w:val="Normal"/>
        <w:spacing w:before="0" w:after="0"/>
        <w:contextualSpacing/>
        <w:rPr>
          <w:bCs/>
        </w:rPr>
      </w:pPr>
      <w:r>
        <w:rPr>
          <w:bCs/>
        </w:rPr>
      </w:r>
    </w:p>
    <w:p>
      <w:pPr>
        <w:pStyle w:val="Normal"/>
        <w:spacing w:before="0" w:after="0"/>
        <w:contextualSpacing/>
        <w:rPr/>
      </w:pPr>
      <w:r>
        <w:rPr>
          <w:bCs/>
        </w:rPr>
        <w:t xml:space="preserve">My conclusion is that </w:t>
      </w:r>
      <w:r>
        <w:rPr/>
        <w:t xml:space="preserve">Alrøe and Kristensen have no idea about the EDWs; they have been writing this paper within the unicorn world, borrowing some Kantian idea and Bohr’s complementarity within a transdisciplinary” framework. </w:t>
      </w:r>
    </w:p>
    <w:p>
      <w:pPr>
        <w:pStyle w:val="Normal"/>
        <w:spacing w:before="0" w:after="0"/>
        <w:contextualSpacing/>
        <w:rPr/>
      </w:pPr>
      <w:r>
        <w:rPr/>
      </w:r>
    </w:p>
    <w:p>
      <w:pPr>
        <w:pStyle w:val="Normal"/>
        <w:spacing w:before="0" w:after="0"/>
        <w:contextualSpacing/>
        <w:rPr/>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hyperlink r:id="rId87">
        <w:r>
          <w:rPr>
            <w:rStyle w:val="InternetLink"/>
            <w:b/>
            <w:sz w:val="28"/>
            <w:szCs w:val="28"/>
          </w:rPr>
          <w:t>http://dx.doi</w:t>
        </w:r>
      </w:hyperlink>
      <w:r>
        <w:rPr>
          <w:b/>
          <w:color w:val="008080"/>
          <w:sz w:val="28"/>
          <w:szCs w:val="28"/>
        </w:rPr>
        <w:t>. org/10.5751/ES-08220-210130</w:t>
      </w:r>
    </w:p>
    <w:p>
      <w:pPr>
        <w:pStyle w:val="Normal"/>
        <w:spacing w:before="0" w:after="0"/>
        <w:contextualSpacing/>
        <w:rPr>
          <w:bCs/>
          <w:i/>
          <w:i/>
        </w:rPr>
      </w:pPr>
      <w:r>
        <w:rPr>
          <w:bCs/>
          <w:i/>
        </w:rPr>
      </w:r>
    </w:p>
    <w:p>
      <w:pPr>
        <w:pStyle w:val="Normal"/>
        <w:spacing w:before="0" w:after="0"/>
        <w:contextualSpacing/>
        <w:rPr/>
      </w:pPr>
      <w:r>
        <w:rP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pStyle w:val="Normal"/>
        <w:spacing w:before="0" w:after="0"/>
        <w:contextualSpacing/>
        <w:rPr>
          <w:iCs/>
        </w:rPr>
      </w:pPr>
      <w:r>
        <w:rPr>
          <w:iCs/>
        </w:rPr>
        <w:tab/>
        <w:t xml:space="preserve">In the introduction, Alrøe and Noe write about “holistic view” within the “food system”. (I recall, the authors work in Agriculture…) They write about “sustainability”, “integration” and “implementation” in this domain. </w:t>
      </w:r>
    </w:p>
    <w:p>
      <w:pPr>
        <w:pStyle w:val="Normal"/>
        <w:spacing w:before="0" w:after="0"/>
        <w:contextualSpacing/>
        <w:rPr>
          <w:iCs/>
          <w:sz w:val="20"/>
          <w:szCs w:val="20"/>
        </w:rPr>
      </w:pPr>
      <w:r>
        <w:rPr>
          <w:iCs/>
          <w:sz w:val="20"/>
          <w:szCs w:val="20"/>
        </w:rPr>
      </w:r>
    </w:p>
    <w:p>
      <w:pPr>
        <w:pStyle w:val="Normal"/>
        <w:spacing w:before="0" w:after="0"/>
        <w:contextualSpacing/>
        <w:rPr/>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FootnoteAnchor"/>
          <w:sz w:val="20"/>
          <w:szCs w:val="20"/>
        </w:rPr>
        <w:footnoteReference w:id="166"/>
      </w:r>
      <w:r>
        <w:rPr>
          <w:sz w:val="20"/>
          <w:szCs w:val="20"/>
        </w:rPr>
        <w:t xml:space="preserve"> </w:t>
      </w:r>
    </w:p>
    <w:p>
      <w:pPr>
        <w:pStyle w:val="Normal"/>
        <w:spacing w:before="0" w:after="0"/>
        <w:contextualSpacing/>
        <w:rPr>
          <w:iCs/>
        </w:rPr>
      </w:pPr>
      <w:r>
        <w:rPr>
          <w:iCs/>
        </w:rPr>
      </w:r>
    </w:p>
    <w:p>
      <w:pPr>
        <w:pStyle w:val="Normal"/>
        <w:spacing w:before="0" w:after="0"/>
        <w:contextualSpacing/>
        <w:rPr>
          <w:iCs/>
        </w:rPr>
      </w:pPr>
      <w:r>
        <w:rPr>
          <w:iCs/>
        </w:rPr>
        <w:t xml:space="preserve">I had the impression that I read a paragraph from my book 2008! </w:t>
      </w:r>
    </w:p>
    <w:p>
      <w:pPr>
        <w:pStyle w:val="Normal"/>
        <w:spacing w:before="0" w:after="0"/>
        <w:contextualSpacing/>
        <w:rPr>
          <w:iCs/>
        </w:rPr>
      </w:pPr>
      <w:r>
        <w:rPr>
          <w:iCs/>
        </w:rPr>
        <w:tab/>
        <w:t xml:space="preserve">The title of next section: “The complementarity principle”. In my book 2008: </w:t>
      </w:r>
    </w:p>
    <w:p>
      <w:pPr>
        <w:pStyle w:val="Normal"/>
        <w:spacing w:before="0" w:after="0"/>
        <w:contextualSpacing/>
        <w:rPr>
          <w:iCs/>
        </w:rPr>
      </w:pPr>
      <w:r>
        <w:rPr>
          <w:iCs/>
        </w:rPr>
      </w:r>
    </w:p>
    <w:p>
      <w:pPr>
        <w:pStyle w:val="Normal"/>
        <w:spacing w:before="0" w:after="0"/>
        <w:contextualSpacing/>
        <w:rPr/>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pStyle w:val="Normal"/>
        <w:spacing w:before="0" w:after="0"/>
        <w:contextualSpacing/>
        <w:rPr/>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pStyle w:val="Normal"/>
        <w:spacing w:before="0" w:after="0"/>
        <w:contextualSpacing/>
        <w:rPr>
          <w:sz w:val="20"/>
          <w:szCs w:val="20"/>
        </w:rPr>
      </w:pPr>
      <w:r>
        <w:rPr>
          <w:sz w:val="20"/>
          <w:szCs w:val="20"/>
        </w:rPr>
      </w:r>
    </w:p>
    <w:p>
      <w:pPr>
        <w:pStyle w:val="Normal"/>
        <w:spacing w:before="0" w:after="0"/>
        <w:contextualSpacing/>
        <w:rPr/>
      </w:pPr>
      <w:r>
        <w:rPr/>
        <w:t xml:space="preserve">Just coincidence: the “principle of complementarity”! They write: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pPr>
      <w:r>
        <w:rPr/>
        <w:t xml:space="preserve">My book 2008: </w:t>
      </w:r>
    </w:p>
    <w:p>
      <w:pPr>
        <w:pStyle w:val="Normal"/>
        <w:spacing w:before="0" w:after="0"/>
        <w:contextualSpacing/>
        <w:rPr/>
      </w:pPr>
      <w:r>
        <w:rPr/>
      </w:r>
    </w:p>
    <w:p>
      <w:pPr>
        <w:pStyle w:val="Normal"/>
        <w:spacing w:before="0" w:after="0"/>
        <w:contextualSpacing/>
        <w:rPr>
          <w:sz w:val="20"/>
          <w:szCs w:val="20"/>
        </w:rPr>
      </w:pPr>
      <w:r>
        <w:rPr>
          <w:sz w:val="20"/>
          <w:szCs w:val="20"/>
        </w:rPr>
        <w:t>The principle of conceptual containment specific for our analysis:</w:t>
      </w:r>
    </w:p>
    <w:p>
      <w:pPr>
        <w:pStyle w:val="Normal"/>
        <w:spacing w:before="0" w:after="0"/>
        <w:contextualSpacing/>
        <w:rPr>
          <w:sz w:val="20"/>
          <w:szCs w:val="20"/>
        </w:rPr>
      </w:pPr>
      <w:r>
        <w:rPr>
          <w:sz w:val="20"/>
          <w:szCs w:val="20"/>
        </w:rPr>
      </w:r>
    </w:p>
    <w:p>
      <w:pPr>
        <w:pStyle w:val="Normal"/>
        <w:spacing w:before="0" w:after="0"/>
        <w:contextualSpacing/>
        <w:rPr>
          <w:b/>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pStyle w:val="Normal"/>
        <w:spacing w:before="0" w:after="0"/>
        <w:contextualSpacing/>
        <w:rPr>
          <w:b/>
          <w:b/>
          <w:bCs/>
        </w:rPr>
      </w:pPr>
      <w:r>
        <w:rPr>
          <w:b/>
          <w:bCs/>
        </w:rPr>
      </w:r>
    </w:p>
    <w:p>
      <w:pPr>
        <w:pStyle w:val="Normal"/>
        <w:spacing w:before="0" w:after="0"/>
        <w:contextualSpacing/>
        <w:rPr>
          <w:bCs/>
        </w:rPr>
      </w:pPr>
      <w:r>
        <w:rPr>
          <w:bCs/>
        </w:rPr>
        <w:t>They write:</w:t>
      </w:r>
    </w:p>
    <w:p>
      <w:pPr>
        <w:pStyle w:val="Normal"/>
        <w:spacing w:before="0" w:after="0"/>
        <w:contextualSpacing/>
        <w:rPr>
          <w:rFonts w:ascii="TimesNewRomanPS-BoldMT" w:hAnsi="TimesNewRomanPS-BoldMT" w:cs="TimesNewRomanPS-BoldMT"/>
          <w:b/>
          <w:b/>
          <w:bCs/>
        </w:rPr>
      </w:pPr>
      <w:r>
        <w:rPr>
          <w:rFonts w:cs="TimesNewRomanPS-BoldMT" w:ascii="TimesNewRomanPS-BoldMT" w:hAnsi="TimesNewRomanPS-BoldMT"/>
          <w:b/>
          <w:bCs/>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Complementarity “implies the impossibility of any sharp separation between the behaviour of atomic objects and the</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pStyle w:val="Normal"/>
        <w:spacing w:before="0" w:after="0"/>
        <w:ind w:left="0" w:right="0" w:firstLine="720"/>
        <w:contextualSpacing/>
        <w:rPr>
          <w:rFonts w:ascii="TimesNewRomanMTStd" w:hAnsi="TimesNewRomanMTStd" w:cs="TimesNewRomanMTStd"/>
          <w:sz w:val="18"/>
          <w:szCs w:val="18"/>
        </w:rPr>
      </w:pPr>
      <w:r>
        <w:rPr>
          <w:rFonts w:cs="TimesNewRomanMTStd" w:ascii="TimesNewRomanMTStd" w:hAnsi="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pStyle w:val="Normal"/>
        <w:spacing w:before="0" w:after="0"/>
        <w:contextualSpacing/>
        <w:rPr/>
      </w:pPr>
      <w:r>
        <w:rPr/>
      </w:r>
    </w:p>
    <w:p>
      <w:pPr>
        <w:pStyle w:val="Normal"/>
        <w:spacing w:before="0" w:after="0"/>
        <w:contextualSpacing/>
        <w:rPr/>
      </w:pPr>
      <w:r>
        <w:rPr/>
        <w:t xml:space="preserve">My book 2008: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According to Kaiser, “one must include the conditions under which an object is perceived in order for judgments</w:t>
      </w:r>
    </w:p>
    <w:p>
      <w:pPr>
        <w:pStyle w:val="Normal"/>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pStyle w:val="Normal"/>
        <w:spacing w:before="0" w:after="0"/>
        <w:contextualSpacing/>
        <w:rPr/>
      </w:pPr>
      <w:r>
        <w:rPr/>
      </w:r>
    </w:p>
    <w:p>
      <w:pPr>
        <w:pStyle w:val="Normal"/>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pStyle w:val="Normal"/>
        <w:spacing w:before="0" w:after="0"/>
        <w:contextualSpacing/>
        <w:rPr/>
      </w:pPr>
      <w:r>
        <w:rPr>
          <w:sz w:val="20"/>
          <w:szCs w:val="20"/>
        </w:rPr>
        <w:t xml:space="preserve">of measured something, but only that under certain conditions certain measurable effects open to observation and reproduction by anybody have been obtained. </w:t>
      </w:r>
      <w:r>
        <w:rPr/>
        <w:t>(Bohr 1957 in Kaiser 2003, p. 230)</w:t>
        <w:tab/>
        <w:t>(Vacariu 2008, p. 115)</w:t>
      </w:r>
    </w:p>
    <w:p>
      <w:pPr>
        <w:pStyle w:val="Normal"/>
        <w:spacing w:before="0" w:after="0"/>
        <w:contextualSpacing/>
        <w:rPr/>
      </w:pPr>
      <w:r>
        <w:rPr/>
      </w:r>
    </w:p>
    <w:p>
      <w:pPr>
        <w:pStyle w:val="Normal"/>
        <w:spacing w:before="0" w:after="0"/>
        <w:contextualSpacing/>
        <w:rPr/>
      </w:pPr>
      <w:r>
        <w:rPr/>
        <w:t xml:space="preserve">Then the authors move to the “generalization of complementarity” (next section). </w:t>
      </w:r>
    </w:p>
    <w:p>
      <w:pPr>
        <w:pStyle w:val="Normal"/>
        <w:spacing w:before="0" w:after="0"/>
        <w:contextualSpacing/>
        <w:rPr/>
      </w:pPr>
      <w:r>
        <w:rPr/>
      </w:r>
    </w:p>
    <w:p>
      <w:pPr>
        <w:pStyle w:val="Normal"/>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pStyle w:val="Normal"/>
        <w:spacing w:before="0" w:after="0"/>
        <w:contextualSpacing/>
        <w:rPr/>
      </w:pPr>
      <w:r>
        <w:rPr/>
      </w:r>
    </w:p>
    <w:p>
      <w:pPr>
        <w:pStyle w:val="Normal"/>
        <w:spacing w:before="0" w:after="0"/>
        <w:contextualSpacing/>
        <w:rPr/>
      </w:pPr>
      <w:r>
        <w:rPr/>
        <w:t xml:space="preserve">Very important the authors write that </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construct a separation, a cut that delineates what is observer and what is observed (see further in Barad 2007).</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pPr>
      <w:r>
        <w:rPr/>
        <w:t xml:space="preserve">In my paper 2005 (also my book 2008): </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rFonts w:ascii="TimesNRMT" w:hAnsi="TimesNRMT" w:cs="TimesNRMT"/>
          <w:sz w:val="20"/>
          <w:szCs w:val="20"/>
        </w:rPr>
      </w:pPr>
      <w:r>
        <w:rPr>
          <w:rFonts w:cs="TimesNRMT" w:ascii="TimesNRMT" w:hAnsi="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pStyle w:val="Normal"/>
        <w:spacing w:before="0" w:after="0"/>
        <w:contextualSpacing/>
        <w:rPr>
          <w:rFonts w:ascii="TimesNewRomanMTStd" w:hAnsi="TimesNewRomanMTStd" w:cs="TimesNewRomanMTStd"/>
          <w:sz w:val="20"/>
          <w:szCs w:val="20"/>
        </w:rPr>
      </w:pPr>
      <w:r>
        <w:rPr>
          <w:rFonts w:cs="TimesNewRomanMTStd" w:ascii="TimesNewRomanMTStd" w:hAnsi="TimesNewRomanMTStd"/>
          <w:sz w:val="20"/>
          <w:szCs w:val="20"/>
        </w:rPr>
        <w:t xml:space="preserve"> </w:t>
      </w:r>
    </w:p>
    <w:p>
      <w:pPr>
        <w:pStyle w:val="Normal"/>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pStyle w:val="Normal"/>
        <w:spacing w:before="0" w:after="0"/>
        <w:contextualSpacing/>
        <w:rPr/>
      </w:pPr>
      <w:r>
        <w:rPr/>
      </w:r>
    </w:p>
    <w:p>
      <w:pPr>
        <w:pStyle w:val="Normal"/>
        <w:spacing w:before="0" w:after="0"/>
        <w:contextualSpacing/>
        <w:rPr/>
      </w:pPr>
      <w:r>
        <w:rPr/>
        <w:t>In the next page they write:</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Based on the above generalization of the notion of complementarity, we are able to formulate new conceptions of</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complementarity that are more generally applicable in science. All empirical sciences share the common “problem of</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pPr>
      <w:r>
        <w:rPr/>
        <w:t>I indicate to the readers that are reading my paper now that the above paragraph is not from my works (2002, 2005, 2008, etc.)! Then they write</w:t>
      </w:r>
    </w:p>
    <w:p>
      <w:pPr>
        <w:pStyle w:val="Normal"/>
        <w:spacing w:before="0" w:after="0"/>
        <w:ind w:left="0" w:right="0" w:firstLine="72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pPr>
      <w:r>
        <w:rPr/>
        <w:t xml:space="preserve">To save of being accused of plagiarizing my ideas, the authors introduce “perspectivism”, but what they write about perspectivism are identical to sentences from my works: </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pPr>
      <w:r>
        <w:rPr/>
        <w:t>Another sentence from their paper:</w:t>
      </w:r>
    </w:p>
    <w:p>
      <w:pPr>
        <w:pStyle w:val="Normal"/>
        <w:spacing w:before="0" w:after="0"/>
        <w:contextualSpacing/>
        <w:rPr/>
      </w:pPr>
      <w:r>
        <w:rPr/>
      </w:r>
    </w:p>
    <w:p>
      <w:pPr>
        <w:pStyle w:val="Normal"/>
        <w:spacing w:before="0" w:after="0"/>
        <w:contextualSpacing/>
        <w:rPr/>
      </w:pPr>
      <w:r>
        <w:rPr>
          <w:rFonts w:cs="TimesNewRomanMTStd" w:ascii="TimesNewRomanMTStd" w:hAnsi="TimesNewRomanMTStd"/>
          <w:sz w:val="18"/>
          <w:szCs w:val="18"/>
        </w:rPr>
        <w:t>To be more concise, an observation is a relation between observer and observed (cf. Alrøe and Noe 2011, 2014</w:t>
      </w:r>
      <w:r>
        <w:rPr>
          <w:rFonts w:cs="TimesNewRomanMTStd-Italic" w:ascii="TimesNewRomanMTStd-Italic" w:hAnsi="TimesNewRomanMTStd-Italic"/>
          <w:i/>
          <w:iCs/>
          <w:sz w:val="18"/>
          <w:szCs w:val="18"/>
        </w:rPr>
        <w:t>a</w:t>
      </w:r>
      <w:r>
        <w:rPr>
          <w:rFonts w:cs="TimesNewRomanMTStd" w:ascii="TimesNewRomanMTStd" w:hAnsi="TimesNewRomanMTStd"/>
          <w:sz w:val="18"/>
          <w:szCs w:val="18"/>
        </w:rPr>
        <w:t xml:space="preserve">); a relation that at the same time establishes the perspective as the frame of the observation and the phenomenon as the result of the observation. </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pPr>
      <w:r>
        <w:rPr/>
        <w:t>Nothing new! I emphasized these ideas, word by word, in my works. However, we have here just Bohr’s complementarity. The authors apply this complementarity to “farms”, but this topic is beyond my knowledge!</w:t>
      </w:r>
      <w:r>
        <w:rPr>
          <w:rStyle w:val="FootnoteAnchor"/>
        </w:rPr>
        <w:footnoteReference w:id="167"/>
      </w:r>
      <w:r>
        <w:rPr/>
        <w:t xml:space="preserve"> However, see this paragraph:</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pStyle w:val="Normal"/>
        <w:spacing w:before="0" w:after="0"/>
        <w:contextualSpacing/>
        <w:rPr/>
      </w:pPr>
      <w:r>
        <w:rPr/>
      </w:r>
    </w:p>
    <w:p>
      <w:pPr>
        <w:pStyle w:val="Normal"/>
        <w:spacing w:before="0" w:after="0"/>
        <w:contextualSpacing/>
        <w:rPr/>
      </w:pPr>
      <w:r>
        <w:rPr/>
        <w:t>Neither this paragraph is from my works! In their section “Discussion”, the authors writes:</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pStyle w:val="Normal"/>
        <w:spacing w:before="0" w:after="0"/>
        <w:contextualSpacing/>
        <w:rPr/>
      </w:pPr>
      <w:r>
        <w:rPr/>
      </w:r>
    </w:p>
    <w:p>
      <w:pPr>
        <w:pStyle w:val="Normal"/>
        <w:spacing w:before="0" w:after="0"/>
        <w:contextualSpacing/>
        <w:rPr/>
      </w:pPr>
      <w:r>
        <w:rP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pStyle w:val="Normal"/>
        <w:spacing w:before="0" w:after="0"/>
        <w:contextualSpacing/>
        <w:rPr/>
      </w:pPr>
      <w:r>
        <w:rPr/>
      </w:r>
    </w:p>
    <w:p>
      <w:pPr>
        <w:pStyle w:val="Normal"/>
        <w:spacing w:before="0" w:after="0"/>
        <w:contextualSpacing/>
        <w:rPr/>
      </w:pPr>
      <w:r>
        <w:rPr>
          <w:rFonts w:cs="TimesNewRomanMTStd-Italic" w:ascii="TimesNewRomanMTStd-Italic" w:hAnsi="TimesNewRomanMTStd-Italic"/>
          <w:i/>
          <w:iCs/>
          <w:sz w:val="18"/>
          <w:szCs w:val="18"/>
        </w:rPr>
        <w:t xml:space="preserve">Integration and levels of assessment </w:t>
      </w:r>
      <w:r>
        <w:rPr>
          <w:rFonts w:cs="TimesNewRomanMTStd" w:ascii="TimesNewRomanMTStd" w:hAnsi="TimesNewRomanMTStd"/>
          <w:sz w:val="18"/>
          <w:szCs w:val="18"/>
        </w:rPr>
        <w:t>We have analyzed examples of value complementarity at two different levels, specific issues about animal welfare and nature quality and complementarity issues concerning sustainability at an overall level. (p. 10)</w:t>
      </w:r>
    </w:p>
    <w:p>
      <w:pPr>
        <w:pStyle w:val="Normal"/>
        <w:spacing w:before="0" w:after="0"/>
        <w:contextualSpacing/>
        <w:rPr/>
      </w:pPr>
      <w:r>
        <w:rPr/>
      </w:r>
    </w:p>
    <w:p>
      <w:pPr>
        <w:pStyle w:val="Normal"/>
        <w:spacing w:before="0" w:after="0"/>
        <w:contextualSpacing/>
        <w:rPr/>
      </w:pPr>
      <w:r>
        <w:rPr/>
        <w:t>I had no ideas about this wonderful application. I believe these authors deserve Nobel prize for Physics and Pace! The readers have to read their section: “</w:t>
      </w:r>
      <w:r>
        <w:rPr>
          <w:rFonts w:cs="TimesNewRomanMTStd-Italic" w:ascii="TimesNewRomanMTStd-Italic" w:hAnsi="TimesNewRomanMTStd-Italic"/>
          <w:i/>
          <w:iCs/>
          <w:sz w:val="18"/>
          <w:szCs w:val="18"/>
        </w:rPr>
        <w:t>Complementarity and food system dilemmas”</w:t>
      </w:r>
    </w:p>
    <w:p>
      <w:pPr>
        <w:pStyle w:val="Normal"/>
        <w:spacing w:before="0" w:after="0"/>
        <w:contextualSpacing/>
        <w:rPr/>
      </w:pPr>
      <w:r>
        <w:rPr/>
        <w:t xml:space="preserve">I am sure the readers would agree these authors are nobles, therefore they deserve Nobel! </w:t>
      </w:r>
    </w:p>
    <w:p>
      <w:pPr>
        <w:pStyle w:val="Normal"/>
        <w:spacing w:before="0" w:after="0"/>
        <w:contextualSpacing/>
        <w:rPr/>
      </w:pPr>
      <w:r>
        <w:rPr/>
      </w:r>
    </w:p>
    <w:p>
      <w:pPr>
        <w:pStyle w:val="Normal"/>
        <w:spacing w:before="0" w:after="0"/>
        <w:contextualSpacing/>
        <w:rPr>
          <w:rFonts w:ascii="TimesNewRomanMTStd-Italic" w:hAnsi="TimesNewRomanMTStd-Italic" w:cs="TimesNewRomanMTStd-Italic"/>
          <w:i/>
          <w:i/>
          <w:iCs/>
          <w:sz w:val="18"/>
          <w:szCs w:val="18"/>
        </w:rPr>
      </w:pPr>
      <w:r>
        <w:rPr>
          <w:rFonts w:cs="TimesNewRomanMTStd-Italic" w:ascii="TimesNewRomanMTStd-Italic" w:hAnsi="TimesNewRomanMTStd-Italic"/>
          <w:i/>
          <w:iCs/>
          <w:sz w:val="18"/>
          <w:szCs w:val="18"/>
        </w:rPr>
        <w:t>Complementarity between assessment and transformation</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making, e.g., a farm or a food chain more sustainable, and to do this science takes an involved actor stance. Here, the weight is on the means of operation (initiatives, interventions, changes of practices, etc.). (p. 11)</w:t>
      </w:r>
    </w:p>
    <w:p>
      <w:pPr>
        <w:pStyle w:val="Normal"/>
        <w:spacing w:before="0" w:after="0"/>
        <w:contextualSpacing/>
        <w:rPr/>
      </w:pPr>
      <w:r>
        <w:rPr/>
      </w:r>
    </w:p>
    <w:p>
      <w:pPr>
        <w:pStyle w:val="Normal"/>
        <w:spacing w:before="0" w:after="0"/>
        <w:contextualSpacing/>
        <w:rPr/>
      </w:pPr>
      <w:r>
        <w:rPr/>
        <w:t xml:space="preserve">Reading this wonderful paragraph, the readers would vote these great, great authors for Noble, maybe even for Literature! </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The differentiation of science into specialized scientific perspectives is an important reason why it is often difficult to</w:t>
      </w:r>
    </w:p>
    <w:p>
      <w:pPr>
        <w:pStyle w:val="Normal"/>
        <w:spacing w:before="0" w:after="0"/>
        <w:contextualSpacing/>
        <w:rPr/>
      </w:pPr>
      <w:r>
        <w:rPr>
          <w:rFonts w:cs="TimesNewRomanMTStd" w:ascii="TimesNewRomanMTStd" w:hAnsi="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cs="TimesNewRomanMTStd-Italic" w:ascii="TimesNewRomanMTStd-Italic" w:hAnsi="TimesNewRomanMTStd-Italic"/>
          <w:i/>
          <w:iCs/>
          <w:sz w:val="18"/>
          <w:szCs w:val="18"/>
        </w:rPr>
        <w:t>a</w:t>
      </w:r>
      <w:r>
        <w:rPr>
          <w:rFonts w:cs="TimesNewRomanMTStd" w:ascii="TimesNewRomanMTStd" w:hAnsi="TimesNewRomanMTStd"/>
          <w:sz w:val="18"/>
          <w:szCs w:val="18"/>
        </w:rPr>
        <w:t>). (p. 12)</w:t>
      </w:r>
      <w:r>
        <w:rPr>
          <w:rStyle w:val="FootnoteAnchor"/>
          <w:rFonts w:cs="TimesNewRomanMTStd" w:ascii="TimesNewRomanMTStd" w:hAnsi="TimesNewRomanMTStd"/>
          <w:sz w:val="18"/>
          <w:szCs w:val="18"/>
        </w:rPr>
        <w:footnoteReference w:id="168"/>
      </w:r>
    </w:p>
    <w:p>
      <w:pPr>
        <w:pStyle w:val="Normal"/>
        <w:spacing w:before="0" w:after="0"/>
        <w:contextualSpacing/>
        <w:rPr/>
      </w:pPr>
      <w:r>
        <w:rPr/>
      </w:r>
    </w:p>
    <w:p>
      <w:pPr>
        <w:pStyle w:val="Normal"/>
        <w:spacing w:before="0" w:after="0"/>
        <w:contextualSpacing/>
        <w:rPr/>
      </w:pPr>
      <w:r>
        <w:rP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pStyle w:val="Normal"/>
        <w:spacing w:before="0" w:after="0"/>
        <w:contextualSpacing/>
        <w:rPr/>
      </w:pPr>
      <w:r>
        <w:rPr/>
        <w:tab/>
        <w:t>Later, the authors talk about “complementarity and problem solving”: it means “complementarity” applied to “cross-disciplinary research”.</w:t>
      </w:r>
      <w:r>
        <w:rPr>
          <w:rStyle w:val="FootnoteAnchor"/>
        </w:rPr>
        <w:footnoteReference w:id="169"/>
      </w:r>
      <w:r>
        <w:rPr/>
        <w:t xml:space="preserve"> Great! A paragraph from their conclusion: </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pStyle w:val="Normal"/>
        <w:spacing w:before="0" w:after="0"/>
        <w:contextualSpacing/>
        <w:rPr/>
      </w:pPr>
      <w:r>
        <w:rPr/>
      </w:r>
    </w:p>
    <w:p>
      <w:pPr>
        <w:pStyle w:val="Normal"/>
        <w:spacing w:before="0" w:after="0"/>
        <w:contextualSpacing/>
        <w:rPr/>
      </w:pPr>
      <w:r>
        <w:rP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pStyle w:val="Normal"/>
        <w:spacing w:before="0" w:after="0"/>
        <w:contextualSpacing/>
        <w:rPr/>
      </w:pPr>
      <w:r>
        <w:rPr/>
      </w:r>
    </w:p>
    <w:p>
      <w:pPr>
        <w:pStyle w:val="Normal"/>
        <w:spacing w:before="0" w:after="0"/>
        <w:contextualSpacing/>
        <w:rPr/>
      </w:pPr>
      <w:r>
        <w:rPr>
          <w:sz w:val="20"/>
          <w:szCs w:val="20"/>
        </w:rPr>
        <w:t xml:space="preserve">Their </w:t>
      </w:r>
      <w:r>
        <w:rPr>
          <w:rFonts w:cs="TimesNewRomanMTStd-Bold" w:ascii="TimesNewRomanMTStd-Bold" w:hAnsi="TimesNewRomanMTStd-Bold"/>
          <w:b/>
          <w:bCs/>
          <w:sz w:val="20"/>
          <w:szCs w:val="20"/>
        </w:rPr>
        <w:t>Acknowledgments:</w:t>
      </w:r>
    </w:p>
    <w:p>
      <w:pPr>
        <w:pStyle w:val="Normal"/>
        <w:spacing w:before="0" w:after="0"/>
        <w:contextualSpacing/>
        <w:rPr/>
      </w:pPr>
      <w:r>
        <w:rPr>
          <w:rFonts w:cs="TimesNewRomanMTStd-Italic" w:ascii="TimesNewRomanMTStd-Italic" w:hAnsi="TimesNewRomanMTStd-Italic"/>
          <w:i/>
          <w:iCs/>
          <w:sz w:val="20"/>
          <w:szCs w:val="20"/>
        </w:rPr>
        <w:t>“</w:t>
      </w:r>
      <w:r>
        <w:rPr>
          <w:rFonts w:cs="TimesNewRomanMTStd-Italic" w:ascii="TimesNewRomanMTStd-Italic" w:hAnsi="TimesNewRomanMTStd-Italic"/>
          <w:i/>
          <w:iCs/>
          <w:sz w:val="20"/>
          <w:szCs w:val="20"/>
        </w:rPr>
        <w:t>Some of the research behind this paper was carried out in the MultiTrust project, “Multicriteria assessment and communication of the effects of organic food systems” (</w:t>
      </w:r>
      <w:hyperlink r:id="rId88">
        <w:r>
          <w:rPr>
            <w:rStyle w:val="InternetLink"/>
            <w:rFonts w:cs="TimesNewRomanMTStd-Italic" w:ascii="TimesNewRomanMTStd-Italic" w:hAnsi="TimesNewRomanMTStd-Italic"/>
            <w:i/>
            <w:iCs/>
          </w:rPr>
          <w:t>http://www.multitrust.org</w:t>
        </w:r>
      </w:hyperlink>
      <w:r>
        <w:rPr>
          <w:rFonts w:cs="TimesNewRomanMTStd-Italic" w:ascii="TimesNewRomanMTStd-Italic" w:hAnsi="TimesNewRomanMTStd-Italic"/>
          <w:i/>
          <w:iCs/>
          <w:sz w:val="20"/>
          <w:szCs w:val="20"/>
        </w:rPr>
        <w:t>)...”</w:t>
      </w:r>
    </w:p>
    <w:p>
      <w:pPr>
        <w:pStyle w:val="Normal"/>
        <w:spacing w:before="0" w:after="0"/>
        <w:contextualSpacing/>
        <w:rPr/>
      </w:pPr>
      <w:r>
        <w:rPr/>
      </w:r>
    </w:p>
    <w:p>
      <w:pPr>
        <w:pStyle w:val="Normal"/>
        <w:spacing w:before="0" w:after="0"/>
        <w:contextualSpacing/>
        <w:rPr/>
      </w:pPr>
      <w:r>
        <w:rPr/>
        <w:t>This verdict reflects the difference between working in Philosophy (myself) and working in Agriculture (all these three authors of these two papers)</w:t>
      </w:r>
    </w:p>
    <w:p>
      <w:pPr>
        <w:pStyle w:val="Normal"/>
        <w:spacing w:before="0" w:after="0"/>
        <w:contextualSpacing/>
        <w:rPr/>
      </w:pPr>
      <w:r>
        <w:rPr/>
      </w:r>
    </w:p>
    <w:p>
      <w:pPr>
        <w:pStyle w:val="Normal"/>
        <w:spacing w:before="0" w:after="0"/>
        <w:contextualSpacing/>
        <w:rPr>
          <w:b/>
          <w:b/>
        </w:rPr>
      </w:pPr>
      <w:r>
        <w:rPr>
          <w:b/>
        </w:rPr>
        <w:t>My conclusion</w:t>
      </w:r>
    </w:p>
    <w:p>
      <w:pPr>
        <w:pStyle w:val="Normal"/>
        <w:spacing w:before="0" w:after="0"/>
        <w:contextualSpacing/>
        <w:rPr/>
      </w:pPr>
      <w:r>
        <w:rPr/>
        <w:t xml:space="preserve">If the reader compares the two articles that I investigate, she will see great, great differences regarding the concepts used in the first article and in the second article. It seems that the common author changed his framework of thinking! </w:t>
      </w:r>
    </w:p>
    <w:p>
      <w:pPr>
        <w:pStyle w:val="Normal"/>
        <w:spacing w:before="0" w:after="0"/>
        <w:contextualSpacing/>
        <w:rPr/>
      </w:pPr>
      <w:r>
        <w:rP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pStyle w:val="Normal"/>
        <w:spacing w:before="0" w:after="0"/>
        <w:contextualSpacing/>
        <w:rPr/>
      </w:pPr>
      <w:r>
        <w:rPr/>
      </w:r>
    </w:p>
    <w:p>
      <w:pPr>
        <w:pStyle w:val="Normal"/>
        <w:spacing w:before="0" w:after="0"/>
        <w:contextualSpacing/>
        <w:rPr/>
      </w:pPr>
      <w:r>
        <w:rPr/>
      </w:r>
    </w:p>
    <w:p>
      <w:pPr>
        <w:pStyle w:val="ListParagraph"/>
        <w:numPr>
          <w:ilvl w:val="0"/>
          <w:numId w:val="18"/>
        </w:numPr>
        <w:spacing w:before="0" w:after="0"/>
        <w:contextualSpacing/>
        <w:rPr>
          <w:b/>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pStyle w:val="Normal"/>
        <w:spacing w:before="0" w:after="0"/>
        <w:contextualSpacing/>
        <w:rPr>
          <w:rFonts w:ascii="NimbusRomNo9L-Regu" w:hAnsi="NimbusRomNo9L-Regu" w:cs="NimbusRomNo9L-Regu"/>
        </w:rPr>
      </w:pPr>
      <w:r>
        <w:rPr>
          <w:rFonts w:cs="NimbusRomNo9L-Regu" w:ascii="NimbusRomNo9L-Regu" w:hAnsi="NimbusRomNo9L-Regu"/>
        </w:rPr>
      </w:r>
    </w:p>
    <w:p>
      <w:pPr>
        <w:pStyle w:val="Normal"/>
        <w:spacing w:before="0" w:after="0"/>
        <w:contextualSpacing/>
        <w:rPr/>
      </w:pPr>
      <w:r>
        <w:rPr/>
        <w:t xml:space="preserve">Let see what the author writes in the Abstract: </w:t>
      </w:r>
    </w:p>
    <w:p>
      <w:pPr>
        <w:pStyle w:val="Normal"/>
        <w:spacing w:before="0" w:after="0"/>
        <w:contextualSpacing/>
        <w:rPr>
          <w:rFonts w:ascii="NimbusRomNo9L-Regu" w:hAnsi="NimbusRomNo9L-Regu" w:cs="NimbusRomNo9L-Regu"/>
        </w:rPr>
      </w:pPr>
      <w:r>
        <w:rPr>
          <w:rFonts w:cs="NimbusRomNo9L-Regu" w:ascii="NimbusRomNo9L-Regu" w:hAnsi="NimbusRomNo9L-Regu"/>
        </w:rPr>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pPr>
      <w:r>
        <w:rPr/>
        <w:t>Only reading the abstract, and you can see the UNBELIEVABLE similarities between my ideas (2002-2008) and Zalamea’s ideas (2017)! As usually regarding the authors from this manuscript, Zalamea does not mention any of my works…</w:t>
      </w:r>
    </w:p>
    <w:p>
      <w:pPr>
        <w:pStyle w:val="Normal"/>
        <w:spacing w:before="0" w:after="0"/>
        <w:contextualSpacing/>
        <w:rPr/>
      </w:pPr>
      <w:r>
        <w:rPr/>
        <w:tab/>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pStyle w:val="Normal"/>
        <w:spacing w:before="0" w:after="0"/>
        <w:contextualSpacing/>
        <w:rPr/>
      </w:pPr>
      <w:r>
        <w:rPr/>
        <w:tab/>
      </w:r>
    </w:p>
    <w:p>
      <w:pPr>
        <w:pStyle w:val="Normal"/>
        <w:spacing w:before="0" w:after="0"/>
        <w:contextualSpacing/>
        <w:rPr/>
      </w:pPr>
      <w:r>
        <w:rPr>
          <w:rFonts w:cs="NimbusRomNo9L-Regu" w:ascii="NimbusRomNo9L-Regu" w:hAnsi="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cs="NimbusRomNo9L-ReguItal" w:ascii="NimbusRomNo9L-ReguItal" w:hAnsi="NimbusRomNo9L-ReguItal"/>
          <w:i/>
          <w:iCs/>
          <w:sz w:val="20"/>
          <w:szCs w:val="20"/>
        </w:rPr>
        <w:t xml:space="preserve">separate </w:t>
      </w:r>
      <w:r>
        <w:rPr>
          <w:rFonts w:cs="NimbusRomNo9L-Regu" w:ascii="NimbusRomNo9L-Regu" w:hAnsi="NimbusRomNo9L-Regu"/>
          <w:sz w:val="20"/>
          <w:szCs w:val="20"/>
        </w:rPr>
        <w:t xml:space="preserve">different points of the space of states; on the other hand, when viewed as the generators of transformations on the space of states, they instead allow to </w:t>
      </w:r>
      <w:r>
        <w:rPr>
          <w:rFonts w:cs="NimbusRomNo9L-ReguItal" w:ascii="NimbusRomNo9L-ReguItal" w:hAnsi="NimbusRomNo9L-ReguItal"/>
          <w:i/>
          <w:iCs/>
          <w:sz w:val="20"/>
          <w:szCs w:val="20"/>
        </w:rPr>
        <w:t xml:space="preserve">relate </w:t>
      </w:r>
      <w:r>
        <w:rPr>
          <w:rFonts w:cs="NimbusRomNo9L-Regu" w:ascii="NimbusRomNo9L-Regu" w:hAnsi="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pPr>
      <w:r>
        <w:rPr/>
        <w:t xml:space="preserve">Again, avoiding the mathematical notions from this paragraph, we can see unbelievable similar ideas to my ideas! Then Mathematics covers many parts of the article. </w:t>
      </w:r>
    </w:p>
    <w:p>
      <w:pPr>
        <w:pStyle w:val="Normal"/>
        <w:spacing w:before="0" w:after="0"/>
        <w:contextualSpacing/>
        <w:rPr/>
      </w:pPr>
      <w:r>
        <w:rPr/>
      </w:r>
    </w:p>
    <w:p>
      <w:pPr>
        <w:pStyle w:val="Normal"/>
        <w:spacing w:before="0" w:after="0"/>
        <w:contextualSpacing/>
        <w:rPr>
          <w:rFonts w:ascii="NimbusRomNo9L-Regu" w:hAnsi="NimbusRomNo9L-Regu" w:cs="NimbusRomNo9L-Regu"/>
          <w:color w:val="000000"/>
          <w:sz w:val="20"/>
          <w:szCs w:val="20"/>
        </w:rPr>
      </w:pPr>
      <w:r>
        <w:rPr>
          <w:rFonts w:cs="NimbusRomNo9L-Regu" w:ascii="NimbusRomNo9L-Regu" w:hAnsi="NimbusRomNo9L-Regu"/>
          <w:color w:val="000000"/>
          <w:sz w:val="20"/>
          <w:szCs w:val="20"/>
        </w:rPr>
        <w:t>For in the dominant conception of quantum mechanics, the linearity of the space of states is concomitant</w:t>
      </w:r>
    </w:p>
    <w:p>
      <w:pPr>
        <w:pStyle w:val="Normal"/>
        <w:spacing w:before="0" w:after="0"/>
        <w:contextualSpacing/>
        <w:rPr/>
      </w:pPr>
      <w:r>
        <w:rPr>
          <w:rFonts w:cs="NimbusRomNo9L-Regu" w:ascii="NimbusRomNo9L-Regu" w:hAnsi="NimbusRomNo9L-Regu"/>
          <w:color w:val="000000"/>
          <w:sz w:val="20"/>
          <w:szCs w:val="20"/>
        </w:rPr>
        <w:t xml:space="preserve">of the </w:t>
      </w:r>
      <w:r>
        <w:rPr>
          <w:rFonts w:cs="NimbusRomNo9L-ReguItal" w:ascii="NimbusRomNo9L-ReguItal" w:hAnsi="NimbusRomNo9L-ReguItal"/>
          <w:i/>
          <w:iCs/>
          <w:color w:val="000000"/>
          <w:sz w:val="20"/>
          <w:szCs w:val="20"/>
        </w:rPr>
        <w:t>superposition principle</w:t>
      </w:r>
      <w:r>
        <w:rPr>
          <w:rFonts w:cs="NimbusRomNo9L-Regu" w:ascii="NimbusRomNo9L-Regu" w:hAnsi="NimbusRomNo9L-Regu"/>
          <w:color w:val="000000"/>
          <w:sz w:val="20"/>
          <w:szCs w:val="20"/>
        </w:rPr>
        <w:t xml:space="preserve">, which in turn is often regarded as one—or perhaps </w:t>
      </w:r>
      <w:r>
        <w:rPr>
          <w:rFonts w:cs="NimbusRomNo9L-ReguItal" w:ascii="NimbusRomNo9L-ReguItal" w:hAnsi="NimbusRomNo9L-ReguItal"/>
          <w:i/>
          <w:iCs/>
          <w:color w:val="000000"/>
          <w:sz w:val="20"/>
          <w:szCs w:val="20"/>
        </w:rPr>
        <w:t>the</w:t>
      </w:r>
      <w:r>
        <w:rPr>
          <w:rFonts w:cs="NimbusRomNo9L-Regu" w:ascii="NimbusRomNo9L-Regu" w:hAnsi="NimbusRomNo9L-Regu"/>
          <w:color w:val="000000"/>
          <w:sz w:val="20"/>
          <w:szCs w:val="20"/>
        </w:rPr>
        <w:t xml:space="preserve">—fundamental feature of the theory, as Dirac asserts: </w:t>
      </w:r>
    </w:p>
    <w:p>
      <w:pPr>
        <w:pStyle w:val="Normal"/>
        <w:spacing w:before="0" w:after="0"/>
        <w:contextualSpacing/>
        <w:rPr>
          <w:rFonts w:ascii="NimbusRomNo9L-Regu" w:hAnsi="NimbusRomNo9L-Regu" w:cs="NimbusRomNo9L-Regu"/>
          <w:color w:val="000000"/>
          <w:sz w:val="20"/>
          <w:szCs w:val="20"/>
        </w:rPr>
      </w:pPr>
      <w:r>
        <w:rPr>
          <w:rFonts w:cs="NimbusRomNo9L-Regu" w:ascii="NimbusRomNo9L-Regu" w:hAnsi="NimbusRomNo9L-Regu"/>
          <w:color w:val="000000"/>
          <w:sz w:val="20"/>
          <w:szCs w:val="20"/>
        </w:rPr>
      </w:r>
    </w:p>
    <w:p>
      <w:pPr>
        <w:pStyle w:val="Normal"/>
        <w:spacing w:before="0" w:after="0"/>
        <w:contextualSpacing/>
        <w:rPr/>
      </w:pPr>
      <w:r>
        <w:rPr>
          <w:rFonts w:cs="NimbusRomNo9L-Regu" w:ascii="NimbusRomNo9L-Regu" w:hAnsi="NimbusRomNo9L-Regu"/>
          <w:color w:val="000000"/>
          <w:sz w:val="20"/>
          <w:szCs w:val="20"/>
        </w:rPr>
        <w:t xml:space="preserve">For this purpose [of building up quantum mechanics] a new set of accurate laws of nature is required. One of the most fundamental and the most drastic of these is the </w:t>
      </w:r>
      <w:r>
        <w:rPr>
          <w:rFonts w:cs="NimbusRomNo9L-ReguItal" w:ascii="NimbusRomNo9L-ReguItal" w:hAnsi="NimbusRomNo9L-ReguItal"/>
          <w:i/>
          <w:iCs/>
          <w:color w:val="000000"/>
          <w:sz w:val="20"/>
          <w:szCs w:val="20"/>
        </w:rPr>
        <w:t>Principle of Superposition</w:t>
      </w:r>
      <w:r>
        <w:rPr>
          <w:rFonts w:cs="NimbusRomNo9L-Regu" w:ascii="NimbusRomNo9L-Regu" w:hAnsi="NimbusRomNo9L-Regu"/>
          <w:color w:val="000000"/>
          <w:sz w:val="20"/>
          <w:szCs w:val="20"/>
        </w:rPr>
        <w:t>. [</w:t>
      </w:r>
      <w:r>
        <w:rPr>
          <w:rFonts w:cs="NimbusRomNo9L-Regu" w:ascii="NimbusRomNo9L-Regu" w:hAnsi="NimbusRomNo9L-Regu"/>
          <w:color w:val="0000FF"/>
          <w:sz w:val="20"/>
          <w:szCs w:val="20"/>
        </w:rPr>
        <w:t>18</w:t>
      </w:r>
      <w:r>
        <w:rPr>
          <w:rFonts w:cs="NimbusRomNo9L-Regu" w:ascii="NimbusRomNo9L-Regu" w:hAnsi="NimbusRomNo9L-Regu"/>
          <w:color w:val="000000"/>
          <w:sz w:val="20"/>
          <w:szCs w:val="20"/>
        </w:rPr>
        <w:t>]</w:t>
      </w:r>
    </w:p>
    <w:p>
      <w:pPr>
        <w:pStyle w:val="Normal"/>
        <w:spacing w:before="0" w:after="0"/>
        <w:contextualSpacing/>
        <w:rPr>
          <w:rFonts w:ascii="NimbusRomNo9L-Regu" w:hAnsi="NimbusRomNo9L-Regu" w:cs="NimbusRomNo9L-Regu"/>
          <w:color w:val="000000"/>
          <w:sz w:val="20"/>
          <w:szCs w:val="20"/>
        </w:rPr>
      </w:pPr>
      <w:r>
        <w:rPr>
          <w:rFonts w:cs="NimbusRomNo9L-Regu" w:ascii="NimbusRomNo9L-Regu" w:hAnsi="NimbusRomNo9L-Regu"/>
          <w:color w:val="000000"/>
          <w:sz w:val="20"/>
          <w:szCs w:val="20"/>
        </w:rPr>
      </w:r>
    </w:p>
    <w:p>
      <w:pPr>
        <w:pStyle w:val="Normal"/>
        <w:spacing w:before="0" w:after="0"/>
        <w:contextualSpacing/>
        <w:rPr>
          <w:rFonts w:ascii="NimbusRomNo9L-Regu" w:hAnsi="NimbusRomNo9L-Regu" w:cs="NimbusRomNo9L-Regu"/>
          <w:color w:val="000000"/>
          <w:sz w:val="20"/>
          <w:szCs w:val="20"/>
        </w:rPr>
      </w:pPr>
      <w:r>
        <w:rPr>
          <w:rFonts w:cs="NimbusRomNo9L-Regu" w:ascii="NimbusRomNo9L-Regu" w:hAnsi="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pStyle w:val="Normal"/>
        <w:spacing w:before="0" w:after="0"/>
        <w:contextualSpacing/>
        <w:rPr>
          <w:color w:val="000000"/>
        </w:rPr>
      </w:pPr>
      <w:r>
        <w:rPr>
          <w:color w:val="000000"/>
        </w:rPr>
      </w:r>
    </w:p>
    <w:p>
      <w:pPr>
        <w:pStyle w:val="Normal"/>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pStyle w:val="Normal"/>
        <w:spacing w:before="0" w:after="0"/>
        <w:contextualSpacing/>
        <w:rPr>
          <w:color w:val="000000"/>
        </w:rPr>
      </w:pPr>
      <w:r>
        <w:rPr>
          <w:color w:val="000000"/>
        </w:rPr>
      </w:r>
    </w:p>
    <w:p>
      <w:pPr>
        <w:pStyle w:val="Normal"/>
        <w:spacing w:before="0" w:after="0"/>
        <w:contextualSpacing/>
        <w:rPr/>
      </w:pPr>
      <w:r>
        <w:rPr>
          <w:rFonts w:cs="NimbusRomNo9L-Medi" w:ascii="NimbusRomNo9L-Medi" w:hAnsi="NimbusRomNo9L-Medi"/>
          <w:sz w:val="20"/>
          <w:szCs w:val="20"/>
        </w:rPr>
        <w:t>Observables</w:t>
      </w:r>
      <w:r>
        <w:rPr>
          <w:rFonts w:cs="NimbusRomNo9L-Regu" w:ascii="NimbusRomNo9L-Regu" w:hAnsi="NimbusRomNo9L-Regu"/>
          <w:sz w:val="20"/>
          <w:szCs w:val="20"/>
        </w:rPr>
        <w:t xml:space="preserve">: an observable of a physical system is a smooth real-valued </w:t>
      </w:r>
      <w:r>
        <w:rPr>
          <w:rFonts w:cs="NimbusRomNo9L-ReguItal" w:ascii="NimbusRomNo9L-ReguItal" w:hAnsi="NimbusRomNo9L-ReguItal"/>
          <w:i/>
          <w:iCs/>
          <w:sz w:val="20"/>
          <w:szCs w:val="20"/>
        </w:rPr>
        <w:t xml:space="preserve">function </w:t>
      </w:r>
      <w:r>
        <w:rPr>
          <w:rFonts w:cs="NimbusRomNo9L-Regu" w:ascii="NimbusRomNo9L-Regu" w:hAnsi="NimbusRomNo9L-Regu"/>
          <w:sz w:val="20"/>
          <w:szCs w:val="20"/>
        </w:rPr>
        <w:t xml:space="preserve">on the space of states </w:t>
      </w:r>
      <w:r>
        <w:rPr>
          <w:rFonts w:cs="NimbusRomNo9L-ReguItal" w:ascii="NimbusRomNo9L-ReguItal" w:hAnsi="NimbusRomNo9L-ReguItal"/>
          <w:i/>
          <w:iCs/>
          <w:sz w:val="20"/>
          <w:szCs w:val="20"/>
        </w:rPr>
        <w:t xml:space="preserve">S </w:t>
      </w:r>
      <w:r>
        <w:rPr>
          <w:rFonts w:cs="NimbusRomNo9L-Regu" w:ascii="NimbusRomNo9L-Regu" w:hAnsi="NimbusRomNo9L-Regu"/>
          <w:sz w:val="20"/>
          <w:szCs w:val="20"/>
        </w:rPr>
        <w:t xml:space="preserve">to which an </w:t>
      </w:r>
      <w:r>
        <w:rPr>
          <w:rFonts w:cs="NimbusRomNo9L-ReguItal" w:ascii="NimbusRomNo9L-ReguItal" w:hAnsi="NimbusRomNo9L-ReguItal"/>
          <w:i/>
          <w:iCs/>
          <w:sz w:val="20"/>
          <w:szCs w:val="20"/>
        </w:rPr>
        <w:t xml:space="preserve">infinitesimal state transformation </w:t>
      </w:r>
      <w:r>
        <w:rPr>
          <w:rFonts w:cs="NimbusRomNo9L-Regu" w:ascii="NimbusRomNo9L-Regu" w:hAnsi="NimbusRomNo9L-Regu"/>
          <w:sz w:val="20"/>
          <w:szCs w:val="20"/>
        </w:rPr>
        <w:t xml:space="preserve">can be associated. That is, it is a function whose associated vector field preserves </w:t>
      </w:r>
      <w:r>
        <w:rPr>
          <w:rFonts w:cs="NimbusRomNo9L-ReguItal" w:ascii="NimbusRomNo9L-ReguItal" w:hAnsi="NimbusRomNo9L-ReguItal"/>
          <w:i/>
          <w:iCs/>
          <w:sz w:val="20"/>
          <w:szCs w:val="20"/>
        </w:rPr>
        <w:t xml:space="preserve">all </w:t>
      </w:r>
      <w:r>
        <w:rPr>
          <w:rFonts w:cs="NimbusRomNo9L-Regu" w:ascii="NimbusRomNo9L-Regu" w:hAnsi="NimbusRomNo9L-Regu"/>
          <w:sz w:val="20"/>
          <w:szCs w:val="20"/>
        </w:rPr>
        <w:t>the geometric structures present in the space of states. (p. 21)</w:t>
      </w:r>
    </w:p>
    <w:p>
      <w:pPr>
        <w:pStyle w:val="Normal"/>
        <w:spacing w:before="0" w:after="0"/>
        <w:contextualSpacing/>
        <w:rPr/>
      </w:pPr>
      <w:r>
        <w:rPr/>
      </w:r>
    </w:p>
    <w:p>
      <w:pPr>
        <w:pStyle w:val="Normal"/>
        <w:spacing w:before="0" w:after="0"/>
        <w:contextualSpacing/>
        <w:rPr/>
      </w:pPr>
      <w:r>
        <w:rPr/>
        <w:t xml:space="preserve">In his Conclusion, Zalamea writes: </w:t>
      </w:r>
    </w:p>
    <w:p>
      <w:pPr>
        <w:pStyle w:val="Normal"/>
        <w:spacing w:before="0" w:after="0"/>
        <w:contextualSpacing/>
        <w:rPr/>
      </w:pPr>
      <w:r>
        <w:rPr/>
      </w:r>
    </w:p>
    <w:p>
      <w:pPr>
        <w:pStyle w:val="Normal"/>
        <w:spacing w:before="0" w:after="0"/>
        <w:contextualSpacing/>
        <w:rPr/>
      </w:pPr>
      <w:r>
        <w:rPr>
          <w:rFonts w:cs="NimbusRomNo9L-Regu" w:ascii="NimbusRomNo9L-Regu" w:hAnsi="NimbusRomNo9L-Regu"/>
          <w:sz w:val="20"/>
          <w:szCs w:val="20"/>
        </w:rPr>
        <w:t xml:space="preserve">In both classical and quantum kinematics, observables play two different conceptual roles: on the one hand, observables are </w:t>
      </w:r>
      <w:r>
        <w:rPr>
          <w:rFonts w:cs="NimbusRomNo9L-ReguItal" w:ascii="NimbusRomNo9L-ReguItal" w:hAnsi="NimbusRomNo9L-ReguItal"/>
          <w:i/>
          <w:iCs/>
          <w:sz w:val="20"/>
          <w:szCs w:val="20"/>
        </w:rPr>
        <w:t xml:space="preserve">quantities </w:t>
      </w:r>
      <w:r>
        <w:rPr>
          <w:rFonts w:cs="NimbusRomNo9L-Regu" w:ascii="NimbusRomNo9L-Regu" w:hAnsi="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pPr>
      <w:r>
        <w:rPr>
          <w:rFonts w:cs="NimbusRomNo9L-Regu" w:ascii="NimbusRomNo9L-Regu" w:hAnsi="NimbusRomNo9L-Regu"/>
          <w:sz w:val="20"/>
          <w:szCs w:val="20"/>
        </w:rPr>
        <w:t xml:space="preserve">In the light of Landsman’s axiomatization of quantum mechanics, we see that this last point may be turned around: </w:t>
      </w:r>
      <w:r>
        <w:rPr>
          <w:rFonts w:cs="NimbusRomNo9L-ReguItal" w:ascii="NimbusRomNo9L-ReguItal" w:hAnsi="NimbusRomNo9L-ReguItal"/>
          <w:i/>
          <w:iCs/>
          <w:sz w:val="20"/>
          <w:szCs w:val="20"/>
        </w:rPr>
        <w:t>given the two-fold role of observables in kinematics, the demand that the two roles be consistent with each other may be seen as the defining trait of the Quantum</w:t>
      </w:r>
      <w:r>
        <w:rPr>
          <w:rFonts w:cs="NimbusRomNo9L-Regu" w:ascii="NimbusRomNo9L-Regu" w:hAnsi="NimbusRomNo9L-Regu"/>
          <w:sz w:val="20"/>
          <w:szCs w:val="20"/>
        </w:rPr>
        <w:t>. (p. 31)</w:t>
      </w:r>
    </w:p>
    <w:p>
      <w:pPr>
        <w:pStyle w:val="Normal"/>
        <w:spacing w:before="0" w:after="0"/>
        <w:contextualSpacing/>
        <w:rPr>
          <w:rFonts w:ascii="NimbusRomNo9L-Regu" w:hAnsi="NimbusRomNo9L-Regu" w:cs="NimbusRomNo9L-Regu"/>
        </w:rPr>
      </w:pPr>
      <w:r>
        <w:rPr>
          <w:rFonts w:cs="NimbusRomNo9L-Regu" w:ascii="NimbusRomNo9L-Regu" w:hAnsi="NimbusRomNo9L-Regu"/>
        </w:rPr>
      </w:r>
    </w:p>
    <w:p>
      <w:pPr>
        <w:pStyle w:val="Normal"/>
        <w:spacing w:before="0" w:after="0"/>
        <w:contextualSpacing/>
        <w:rPr/>
      </w:pPr>
      <w:r>
        <w:rP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pStyle w:val="Normal"/>
        <w:spacing w:before="0" w:after="0"/>
        <w:contextualSpacing/>
        <w:rPr>
          <w:rFonts w:eastAsia="Calibri"/>
          <w:b/>
          <w:b/>
          <w:sz w:val="28"/>
          <w:szCs w:val="28"/>
          <w:lang w:val="en-GB"/>
        </w:rPr>
      </w:pPr>
      <w:r>
        <w:rPr>
          <w:rFonts w:eastAsia="Calibri"/>
          <w:b/>
          <w:sz w:val="28"/>
          <w:szCs w:val="28"/>
          <w:lang w:val="en-GB"/>
        </w:rPr>
      </w:r>
    </w:p>
    <w:p>
      <w:pPr>
        <w:pStyle w:val="Normal"/>
        <w:spacing w:before="0" w:after="0"/>
        <w:contextualSpacing/>
        <w:rPr>
          <w:rFonts w:eastAsia="Calibri"/>
          <w:b/>
          <w:b/>
          <w:sz w:val="28"/>
          <w:szCs w:val="28"/>
          <w:lang w:val="en-GB"/>
        </w:rPr>
      </w:pPr>
      <w:r>
        <w:rPr>
          <w:rFonts w:eastAsia="Calibri"/>
          <w:b/>
          <w:sz w:val="28"/>
          <w:szCs w:val="28"/>
          <w:lang w:val="en-GB"/>
        </w:rPr>
      </w:r>
    </w:p>
    <w:p>
      <w:pPr>
        <w:pStyle w:val="ListParagraph"/>
        <w:numPr>
          <w:ilvl w:val="0"/>
          <w:numId w:val="18"/>
        </w:numPr>
        <w:spacing w:before="0" w:after="0"/>
        <w:contextualSpacing/>
        <w:rPr>
          <w:rFonts w:eastAsia="Calibri"/>
          <w:b/>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pStyle w:val="Normal"/>
        <w:spacing w:before="0" w:after="0"/>
        <w:contextualSpacing/>
        <w:rPr/>
      </w:pPr>
      <w:r>
        <w:rPr/>
      </w:r>
    </w:p>
    <w:p>
      <w:pPr>
        <w:pStyle w:val="Normal"/>
        <w:spacing w:before="0" w:after="0"/>
        <w:contextualSpacing/>
        <w:rPr/>
      </w:pPr>
      <w:r>
        <w:rPr/>
        <w:t>On first page</w:t>
      </w:r>
    </w:p>
    <w:p>
      <w:pPr>
        <w:pStyle w:val="Normal"/>
        <w:spacing w:before="0" w:after="0"/>
        <w:contextualSpacing/>
        <w:rPr/>
      </w:pPr>
      <w:r>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In response to these problems, advocates of collapse theories have pro-</w:t>
      </w:r>
    </w:p>
    <w:p>
      <w:pPr>
        <w:pStyle w:val="Normal"/>
        <w:spacing w:before="0" w:after="0"/>
        <w:contextualSpacing/>
        <w:rPr/>
      </w:pPr>
      <w:r>
        <w:rPr>
          <w:rFonts w:eastAsia="Calibri" w:cs="TTdcr10" w:ascii="TTdcr10" w:hAnsi="TTdcr10"/>
          <w:sz w:val="20"/>
          <w:szCs w:val="20"/>
          <w:lang w:val="en-GB"/>
        </w:rPr>
        <w:t xml:space="preserve">posed various accounts of the </w:t>
      </w:r>
      <w:r>
        <w:rPr>
          <w:rFonts w:eastAsia="Calibri" w:cs="TTdcti10" w:ascii="TTdcti10" w:hAnsi="TTdcti10"/>
          <w:sz w:val="20"/>
          <w:szCs w:val="20"/>
          <w:lang w:val="en-GB"/>
        </w:rPr>
        <w:t xml:space="preserve">primitive ontology </w:t>
      </w:r>
      <w:r>
        <w:rPr>
          <w:rFonts w:eastAsia="Calibri" w:cs="TTdcr10" w:ascii="TTdcr10" w:hAnsi="TTdcr10"/>
          <w:sz w:val="20"/>
          <w:szCs w:val="20"/>
          <w:lang w:val="en-GB"/>
        </w:rPr>
        <w:t>of collapse theories. postulated</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underlying entities governed by the collapse theory and underwriting our ob-</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servations. The most prominent of these are a mass density distribution over</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three-dimensional space, and a set of discrete ..ash.events at space-time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points. These ontologies provide strategies for solving some or all of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problems listed above.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My argument here is that, in the case of spontaneous collapse theories,</w:t>
      </w:r>
    </w:p>
    <w:p>
      <w:pPr>
        <w:pStyle w:val="Normal"/>
        <w:spacing w:before="0" w:after="0"/>
        <w:contextualSpacing/>
        <w:rPr/>
      </w:pPr>
      <w:r>
        <w:rPr>
          <w:rFonts w:eastAsia="Calibri" w:cs="TTdcr10" w:ascii="TTdcr10" w:hAnsi="TTdcr10"/>
          <w:sz w:val="20"/>
          <w:szCs w:val="20"/>
          <w:lang w:val="en-GB"/>
        </w:rPr>
        <w:t xml:space="preserve">primitive ontology is </w:t>
      </w:r>
      <w:r>
        <w:rPr>
          <w:rFonts w:eastAsia="Calibri" w:cs="TTdcti10" w:ascii="TTdcti10" w:hAnsi="TTdcti10"/>
          <w:sz w:val="20"/>
          <w:szCs w:val="20"/>
          <w:lang w:val="en-GB"/>
        </w:rPr>
        <w:t>redundant</w:t>
      </w:r>
      <w:r>
        <w:rPr>
          <w:rFonts w:eastAsia="Calibri" w:cs="TTdcr10" w:ascii="TTdcr10" w:hAnsi="TTdcr10"/>
          <w:sz w:val="20"/>
          <w:szCs w:val="20"/>
          <w:lang w:val="en-GB"/>
        </w:rPr>
        <w:t>, in the sense that the structures exhibited</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by the primitive ontologies that allow them to solve the problems facing</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spontaneous collapse theories are also present in the wave function. But</w:t>
      </w:r>
    </w:p>
    <w:p>
      <w:pPr>
        <w:pStyle w:val="Normal"/>
        <w:spacing w:before="0" w:after="0"/>
        <w:contextualSpacing/>
        <w:rPr/>
      </w:pPr>
      <w:r>
        <w:rPr>
          <w:rFonts w:eastAsia="Calibri" w:cs="TTdcr10" w:ascii="TTdcr10" w:hAnsi="TTdcr10"/>
          <w:sz w:val="20"/>
          <w:szCs w:val="20"/>
          <w:lang w:val="en-GB"/>
        </w:rPr>
        <w:t xml:space="preserve">redundancy is not </w:t>
      </w:r>
      <w:r>
        <w:rPr>
          <w:rFonts w:eastAsia="Calibri" w:cs="TTdcti10" w:ascii="TTdcti10" w:hAnsi="TTdcti10"/>
          <w:sz w:val="20"/>
          <w:szCs w:val="20"/>
          <w:lang w:val="en-GB"/>
        </w:rPr>
        <w:t>nonexistence</w:t>
      </w:r>
      <w:r>
        <w:rPr>
          <w:rFonts w:eastAsia="Calibri" w:cs="TTdcr10" w:ascii="TTdcr10" w:hAnsi="TTdcr10"/>
          <w:sz w:val="20"/>
          <w:szCs w:val="20"/>
          <w:lang w:val="en-GB"/>
        </w:rPr>
        <w:t>; indeed, the fact that the relevant structures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are already there in the wave function shows that the mass density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and the .ash ontology exist whether they are explicitly postulated or not. By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same token, there is no need to decide between a wave function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 mass density ontology and a .ash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In this regard, spontaneous collapse theories can be fruitfully contrasted</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with Bohm.s theory. Bohmian particles are also sometimes described as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primitive ontology, in response to the concern about the dimensionality of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wave function in particular. But in the Bohmian case, the primitive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is not redundant in the above sense: the particle structure is not already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present in the wave function, but must be explicitly postulated. Hence there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is a genuine question about whether Bohmian particles exist. (pp. 1-2)</w:t>
      </w:r>
    </w:p>
    <w:p>
      <w:pPr>
        <w:pStyle w:val="Normal"/>
        <w:spacing w:before="0" w:after="0"/>
        <w:contextualSpacing/>
        <w:rPr>
          <w:rFonts w:eastAsia="Calibri"/>
          <w:sz w:val="20"/>
          <w:szCs w:val="20"/>
          <w:lang w:val="en-GB"/>
        </w:rPr>
      </w:pPr>
      <w:r>
        <w:rPr>
          <w:rFonts w:eastAsia="Calibri"/>
          <w:sz w:val="20"/>
          <w:szCs w:val="20"/>
          <w:lang w:val="en-GB"/>
        </w:rPr>
      </w:r>
    </w:p>
    <w:p>
      <w:pPr>
        <w:pStyle w:val="Normal"/>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pStyle w:val="Normal"/>
        <w:spacing w:before="0" w:after="0"/>
        <w:contextualSpacing/>
        <w:rPr>
          <w:rFonts w:eastAsia="Calibri"/>
          <w:lang w:val="en-GB"/>
        </w:rPr>
      </w:pPr>
      <w:r>
        <w:rPr>
          <w:rFonts w:eastAsia="Calibri"/>
          <w:lang w:val="en-GB"/>
        </w:rPr>
      </w:r>
    </w:p>
    <w:p>
      <w:pPr>
        <w:pStyle w:val="Normal"/>
        <w:spacing w:before="0" w:after="0"/>
        <w:contextualSpacing/>
        <w:rPr/>
      </w:pPr>
      <w:r>
        <w:rPr>
          <w:rFonts w:eastAsia="Calibri" w:cs="TTdcr10" w:ascii="TTdcr10" w:hAnsi="TTdcr10"/>
          <w:sz w:val="20"/>
          <w:szCs w:val="20"/>
          <w:lang w:val="en-GB"/>
        </w:rPr>
        <w:t xml:space="preserve">If we require that </w:t>
      </w:r>
      <w:r>
        <w:rPr>
          <w:rFonts w:eastAsia="Calibri" w:cs="TTdcti10" w:ascii="TTdcti10" w:hAnsi="TTdcti10"/>
          <w:sz w:val="20"/>
          <w:szCs w:val="20"/>
          <w:lang w:val="en-GB"/>
        </w:rPr>
        <w:t xml:space="preserve">all </w:t>
      </w:r>
      <w:r>
        <w:rPr>
          <w:rFonts w:eastAsia="Calibri" w:cs="TTdcr10" w:ascii="TTdcr10" w:hAnsi="TTdcr10"/>
          <w:sz w:val="20"/>
          <w:szCs w:val="20"/>
          <w:lang w:val="en-GB"/>
        </w:rPr>
        <w:t>the wavefunction</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amplitude associated with an object be contained in a particular region if</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object is to count as being located in that region, then neither parti-</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cles nor macroscopic objects ever have determinate locations according to</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spontaneous collapse theories, and we have no solution to the measurement</w:t>
      </w:r>
    </w:p>
    <w:p>
      <w:pPr>
        <w:pStyle w:val="Normal"/>
        <w:spacing w:before="0" w:after="0"/>
        <w:contextualSpacing/>
        <w:rPr/>
      </w:pPr>
      <w:r>
        <w:rPr>
          <w:rFonts w:eastAsia="Calibri" w:cs="TTdcr10" w:ascii="TTdcr10" w:hAnsi="TTdcr10"/>
          <w:sz w:val="20"/>
          <w:szCs w:val="20"/>
          <w:lang w:val="en-GB"/>
        </w:rPr>
        <w:t xml:space="preserve">problem after all (Albert and Loewer 1990). This is called the </w:t>
      </w:r>
      <w:r>
        <w:rPr>
          <w:rFonts w:eastAsia="Calibri" w:cs="TTdcti10" w:ascii="TTdcti10" w:hAnsi="TTdcti10"/>
          <w:sz w:val="20"/>
          <w:szCs w:val="20"/>
          <w:lang w:val="en-GB"/>
        </w:rPr>
        <w:t>tails problem</w:t>
      </w:r>
      <w:r>
        <w:rPr>
          <w:rFonts w:eastAsia="Calibri" w:cs="TTdcr10" w:ascii="TTdcr10" w:hAnsi="TTdcr10"/>
          <w:sz w:val="20"/>
          <w:szCs w:val="20"/>
          <w:lang w:val="en-GB"/>
        </w:rPr>
        <w:t xml:space="preserve">. (p. 5) </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r>
    </w:p>
    <w:p>
      <w:pPr>
        <w:pStyle w:val="Normal"/>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central constraints on primitive ontology are that its entities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reside in three-dimensional space, and that the behaviour of these entities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underwrites all the properties of the macroscopic objects we interact with</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(Allori 2013, 60). Clearly the mass density ontology ful.ls these desiderata.</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claim of the primitive ontologist is that any adequate quantum me-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chanical theory must be written in terms of the behaviour of some or other</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primitive ontology. (p. 7)</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Already, we can see here how close is the author to the EDWs! Then the author quotes </w:t>
      </w:r>
    </w:p>
    <w:p>
      <w:pPr>
        <w:pStyle w:val="Normal"/>
        <w:spacing w:before="0" w:after="0"/>
        <w:contextualSpacing/>
        <w:rPr>
          <w:rFonts w:ascii="TTdcr10" w:hAnsi="TTdcr10" w:eastAsia="Calibri" w:cs="TTdcr10"/>
          <w:lang w:val="en-GB"/>
        </w:rPr>
      </w:pPr>
      <w:r>
        <w:rPr>
          <w:rFonts w:eastAsia="Calibri" w:cs="TTdcr10" w:ascii="TTdcr10" w:hAnsi="TTdcr10"/>
          <w:lang w:val="en-GB"/>
        </w:rPr>
      </w:r>
    </w:p>
    <w:p>
      <w:pPr>
        <w:pStyle w:val="Normal"/>
        <w:spacing w:before="0" w:after="0"/>
        <w:contextualSpacing/>
        <w:rPr/>
      </w:pPr>
      <w:r>
        <w:rPr>
          <w:rFonts w:eastAsia="Calibri" w:cs="TTdcr10" w:ascii="TTdcr10" w:hAnsi="TTdcr10"/>
          <w:sz w:val="20"/>
          <w:szCs w:val="20"/>
          <w:lang w:val="en-GB"/>
        </w:rPr>
        <w:t xml:space="preserve">Tumulka.s </w:t>
      </w:r>
      <w:r>
        <w:rPr>
          <w:rFonts w:eastAsia="Calibri" w:cs="TTdcti10" w:ascii="TTdcti10" w:hAnsi="TTdcti10"/>
          <w:sz w:val="20"/>
          <w:szCs w:val="20"/>
          <w:lang w:val="en-GB"/>
        </w:rPr>
        <w:t xml:space="preserve">.ash ontology </w:t>
      </w:r>
      <w:r>
        <w:rPr>
          <w:rFonts w:eastAsia="Calibri" w:cs="TTdcr10" w:ascii="TTdcr10" w:hAnsi="TTdcr10"/>
          <w:sz w:val="20"/>
          <w:szCs w:val="20"/>
          <w:lang w:val="en-GB"/>
        </w:rPr>
        <w:t>(2006),</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based on some comments by Bell (1987), according to which the primitive on-</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tology consists of discrete events at space-time points corresponding to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 xml:space="preserve">centers of GRW collapse events. (p. 7)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which has a problem: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Hence for a single particle, a ..ashy.version of the GRW theory can</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be made consistent with special relativity. But for two or more particles,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there is still the worry that for entangled particles, a .ash for one particle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can instantly a¤ect the future .ash probabilities of the other, no matter how</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distant. (p. 8)</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And now some paragraphs that seems to be written uner the EDWs perspective: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But now consider the use of primitive ontology to solve the problems fac-</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ing spontaneous collapse theories. These problems are not (directly) causal</w:t>
      </w:r>
    </w:p>
    <w:p>
      <w:pPr>
        <w:pStyle w:val="Normal"/>
        <w:spacing w:before="0" w:after="0"/>
        <w:contextualSpacing/>
        <w:rPr/>
      </w:pPr>
      <w:r>
        <w:rPr>
          <w:rFonts w:eastAsia="Calibri" w:cs="TTdcr10" w:ascii="TTdcr10" w:hAnsi="TTdcr10"/>
          <w:sz w:val="20"/>
          <w:szCs w:val="20"/>
          <w:lang w:val="en-GB"/>
        </w:rPr>
        <w:t xml:space="preserve">in nature, and the role of primitive ontology is not to act as a </w:t>
      </w:r>
      <w:r>
        <w:rPr>
          <w:rFonts w:eastAsia="Calibri" w:cs="TTdcti10" w:ascii="TTdcti10" w:hAnsi="TTdcti10"/>
          <w:sz w:val="20"/>
          <w:szCs w:val="20"/>
          <w:lang w:val="en-GB"/>
        </w:rPr>
        <w:t xml:space="preserve">causal </w:t>
      </w:r>
      <w:r>
        <w:rPr>
          <w:rFonts w:eastAsia="Calibri" w:cs="TTdcr10" w:ascii="TTdcr10" w:hAnsi="TTdcr10"/>
          <w:sz w:val="20"/>
          <w:szCs w:val="20"/>
          <w:lang w:val="en-GB"/>
        </w:rPr>
        <w:t>interme-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diary between the wave function and the phenomena. Rather, the relevant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dependency is something like determination rather than causation. The wave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function at a time determines a mass density distribution at that time over</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three-dimensional space, solving the dimensionality problem and the count-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ing anomaly. Similarly, the evolution of the wave function over a period of</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time time determines a distribution of .ashes over the relevant chunk of four-</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dimensional space-time, solving the dimensionality problem and the counting</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anomaly, and hopefully getting us closer to a recolciliation of spontaneous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 xml:space="preserve">collapse theories with special relativity. </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Even if causal explanations are not typically deductive arguments, expla-</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nations involving determination relations quite plausibly do typically involve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deductive arguments. In a classical world, a suitable arrangement of particles</w:t>
      </w:r>
    </w:p>
    <w:p>
      <w:pPr>
        <w:pStyle w:val="Normal"/>
        <w:spacing w:before="0" w:after="0"/>
        <w:contextualSpacing/>
        <w:rPr/>
      </w:pPr>
      <w:r>
        <w:rPr>
          <w:rFonts w:eastAsia="Calibri" w:cs="TTdcti10" w:ascii="TTdcti10" w:hAnsi="TTdcti10"/>
          <w:sz w:val="20"/>
          <w:szCs w:val="20"/>
          <w:lang w:val="en-GB"/>
        </w:rPr>
        <w:t xml:space="preserve">entails </w:t>
      </w:r>
      <w:r>
        <w:rPr>
          <w:rFonts w:eastAsia="Calibri" w:cs="TTdcr10" w:ascii="TTdcr10" w:hAnsi="TTdcr10"/>
          <w:sz w:val="20"/>
          <w:szCs w:val="20"/>
          <w:lang w:val="en-GB"/>
        </w:rPr>
        <w:t>that there is a table here. Similarly in a spontaneous collapse world</w:t>
      </w:r>
    </w:p>
    <w:p>
      <w:pPr>
        <w:pStyle w:val="Normal"/>
        <w:spacing w:before="0" w:after="0"/>
        <w:contextualSpacing/>
        <w:rPr/>
      </w:pPr>
      <w:r>
        <w:rPr>
          <w:rFonts w:eastAsia="Calibri" w:cs="TTdcr10" w:ascii="TTdcr10" w:hAnsi="TTdcr10"/>
          <w:sz w:val="20"/>
          <w:szCs w:val="20"/>
          <w:lang w:val="en-GB"/>
        </w:rPr>
        <w:t xml:space="preserve">with primitive ontology: a suitable wave function </w:t>
      </w:r>
      <w:r>
        <w:rPr>
          <w:rFonts w:eastAsia="Calibri" w:cs="TTdcti10" w:ascii="TTdcti10" w:hAnsi="TTdcti10"/>
          <w:sz w:val="20"/>
          <w:szCs w:val="20"/>
          <w:lang w:val="en-GB"/>
        </w:rPr>
        <w:t xml:space="preserve">entails </w:t>
      </w:r>
      <w:r>
        <w:rPr>
          <w:rFonts w:eastAsia="Calibri" w:cs="TTdcr10" w:ascii="TTdcr10" w:hAnsi="TTdcr10"/>
          <w:sz w:val="20"/>
          <w:szCs w:val="20"/>
          <w:lang w:val="en-GB"/>
        </w:rPr>
        <w:t>a particular mass</w:t>
      </w:r>
    </w:p>
    <w:p>
      <w:pPr>
        <w:pStyle w:val="Normal"/>
        <w:spacing w:before="0" w:after="0"/>
        <w:contextualSpacing/>
        <w:rPr/>
      </w:pPr>
      <w:r>
        <w:rPr>
          <w:rFonts w:eastAsia="Calibri" w:cs="TTdcr10" w:ascii="TTdcr10" w:hAnsi="TTdcr10"/>
          <w:sz w:val="20"/>
          <w:szCs w:val="20"/>
          <w:lang w:val="en-GB"/>
        </w:rPr>
        <w:t xml:space="preserve">density distribution, which in turn </w:t>
      </w:r>
      <w:r>
        <w:rPr>
          <w:rFonts w:eastAsia="Calibri" w:cs="TTdcti10" w:ascii="TTdcti10" w:hAnsi="TTdcti10"/>
          <w:sz w:val="20"/>
          <w:szCs w:val="20"/>
          <w:lang w:val="en-GB"/>
        </w:rPr>
        <w:t xml:space="preserve">entails </w:t>
      </w:r>
      <w:r>
        <w:rPr>
          <w:rFonts w:eastAsia="Calibri" w:cs="TTdcr10" w:ascii="TTdcr10" w:hAnsi="TTdcr10"/>
          <w:sz w:val="20"/>
          <w:szCs w:val="20"/>
          <w:lang w:val="en-GB"/>
        </w:rPr>
        <w:t>that there is a table here. Alter-</w:t>
      </w:r>
    </w:p>
    <w:p>
      <w:pPr>
        <w:pStyle w:val="Normal"/>
        <w:spacing w:before="0" w:after="0"/>
        <w:contextualSpacing/>
        <w:rPr/>
      </w:pPr>
      <w:r>
        <w:rPr>
          <w:rFonts w:eastAsia="Calibri" w:cs="TTdcr10" w:ascii="TTdcr10" w:hAnsi="TTdcr10"/>
          <w:sz w:val="20"/>
          <w:szCs w:val="20"/>
          <w:lang w:val="en-GB"/>
        </w:rPr>
        <w:t xml:space="preserve">natively, a suitable wave function evolution </w:t>
      </w:r>
      <w:r>
        <w:rPr>
          <w:rFonts w:eastAsia="Calibri" w:cs="TTdcti10" w:ascii="TTdcti10" w:hAnsi="TTdcti10"/>
          <w:sz w:val="20"/>
          <w:szCs w:val="20"/>
          <w:lang w:val="en-GB"/>
        </w:rPr>
        <w:t xml:space="preserve">entails </w:t>
      </w:r>
      <w:r>
        <w:rPr>
          <w:rFonts w:eastAsia="Calibri" w:cs="TTdcr10" w:ascii="TTdcr10" w:hAnsi="TTdcr10"/>
          <w:sz w:val="20"/>
          <w:szCs w:val="20"/>
          <w:lang w:val="en-GB"/>
        </w:rPr>
        <w:t>a particular distribution</w:t>
      </w:r>
    </w:p>
    <w:p>
      <w:pPr>
        <w:pStyle w:val="Normal"/>
        <w:spacing w:before="0" w:after="0"/>
        <w:contextualSpacing/>
        <w:rPr/>
      </w:pPr>
      <w:r>
        <w:rPr>
          <w:rFonts w:eastAsia="Calibri" w:cs="TTdcr10" w:ascii="TTdcr10" w:hAnsi="TTdcr10"/>
          <w:sz w:val="20"/>
          <w:szCs w:val="20"/>
          <w:lang w:val="en-GB"/>
        </w:rPr>
        <w:t xml:space="preserve">of .ashes, which in turn </w:t>
      </w:r>
      <w:r>
        <w:rPr>
          <w:rFonts w:eastAsia="Calibri" w:cs="TTdcti10" w:ascii="TTdcti10" w:hAnsi="TTdcti10"/>
          <w:sz w:val="20"/>
          <w:szCs w:val="20"/>
          <w:lang w:val="en-GB"/>
        </w:rPr>
        <w:t xml:space="preserve">entails </w:t>
      </w:r>
      <w:r>
        <w:rPr>
          <w:rFonts w:eastAsia="Calibri" w:cs="TTdcr10" w:ascii="TTdcr10" w:hAnsi="TTdcr10"/>
          <w:sz w:val="20"/>
          <w:szCs w:val="20"/>
          <w:lang w:val="en-GB"/>
        </w:rPr>
        <w:t>that there is a table here.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In either case, the wave function entails the state of the primitive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and the state of the primitive ontology entails the state of observable things.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Hence Hempel.s dilemma seems to apply here: if the primitive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succeeds in its role as an intermediate step in this deductive chain, then it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is redundant. If the table supervenes on the .ashes, and the .ashes on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wave function, then the table supervenes directly on the wave function. If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primitive ontology doesn.t succeed in this role, then it is trivially redundant.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 xml:space="preserve">So it is redundant. (p. 9) </w:t>
      </w:r>
    </w:p>
    <w:p>
      <w:pPr>
        <w:pStyle w:val="Normal"/>
        <w:spacing w:before="0" w:after="0"/>
        <w:contextualSpacing/>
        <w:rPr>
          <w:rFonts w:ascii="TTdcr10" w:hAnsi="TTdcr10" w:eastAsia="Calibri" w:cs="TTdcr10"/>
          <w:lang w:val="en-GB"/>
        </w:rPr>
      </w:pPr>
      <w:r>
        <w:rPr>
          <w:rFonts w:eastAsia="Calibri" w:cs="TTdcr10" w:ascii="TTdcr10" w:hAnsi="TTdcr10"/>
          <w:lang w:val="en-GB"/>
        </w:rPr>
      </w:r>
    </w:p>
    <w:p>
      <w:pPr>
        <w:pStyle w:val="Normal"/>
        <w:spacing w:before="0" w:after="0"/>
        <w:contextualSpacing/>
        <w:rPr>
          <w:rFonts w:eastAsia="Calibri"/>
          <w:lang w:val="en-GB"/>
        </w:rPr>
      </w:pPr>
      <w:r>
        <w:rPr>
          <w:rFonts w:eastAsia="Calibri"/>
          <w:lang w:val="en-GB"/>
        </w:rPr>
        <w:t>Is it clear? If not read the next paragraphs:</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Alternatively, one can hope that in the ultimate relativistic quantum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ory, the quantum state will not change over time (Dürr, Goldstein and Zanghi</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1992). Goldstein and Zanghi (2013) show how, in a Bohmian theory with</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 time-independent wave function, the particles can still move, and hence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wave function can act as a law directing the primitive ontology. But no</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such approach is applicable to a spontaneous collapse approach, in which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dynamical role of the wave function in undergoing collapses seems essential</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to the theory. Certainly the most straightforward approach to understanding</w:t>
      </w:r>
    </w:p>
    <w:p>
      <w:pPr>
        <w:pStyle w:val="Normal"/>
        <w:spacing w:before="0" w:after="0"/>
        <w:contextualSpacing/>
        <w:rPr/>
      </w:pPr>
      <w:r>
        <w:rPr>
          <w:rFonts w:eastAsia="Calibri" w:cs="TTdcr10" w:ascii="TTdcr10" w:hAnsi="TTdcr10"/>
          <w:sz w:val="20"/>
          <w:szCs w:val="20"/>
          <w:lang w:val="en-GB"/>
        </w:rPr>
        <w:t xml:space="preserve">spontaneous collapse theories is that the quantum state is indeed a </w:t>
      </w:r>
      <w:r>
        <w:rPr>
          <w:rFonts w:eastAsia="Calibri" w:cs="TTdcti10" w:ascii="TTdcti10" w:hAnsi="TTdcti10"/>
          <w:sz w:val="20"/>
          <w:szCs w:val="20"/>
          <w:lang w:val="en-GB"/>
        </w:rPr>
        <w:t>state</w:t>
      </w:r>
      <w:r>
        <w:rPr>
          <w:rFonts w:eastAsia="Calibri" w:cs="TTdcr10" w:ascii="TTdcr10" w:hAnsi="TTdcr10"/>
          <w:sz w:val="20"/>
          <w:szCs w:val="20"/>
          <w:lang w:val="en-GB"/>
        </w:rPr>
        <w:t>, and</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hence a representation of the ontology of the system. (p. 10)</w:t>
      </w:r>
    </w:p>
    <w:p>
      <w:pPr>
        <w:pStyle w:val="Normal"/>
        <w:spacing w:before="0" w:after="0"/>
        <w:contextualSpacing/>
        <w:rPr>
          <w:rFonts w:ascii="TTdcr10" w:hAnsi="TTdcr10" w:eastAsia="Calibri" w:cs="TTdcr10"/>
          <w:lang w:val="en-GB"/>
        </w:rPr>
      </w:pPr>
      <w:r>
        <w:rPr>
          <w:rFonts w:eastAsia="Calibri" w:cs="TTdcr10" w:ascii="TTdcr10" w:hAnsi="TTdcr10"/>
          <w:lang w:val="en-GB"/>
        </w:rPr>
      </w:r>
    </w:p>
    <w:p>
      <w:pPr>
        <w:pStyle w:val="Normal"/>
        <w:spacing w:before="0" w:after="0"/>
        <w:contextualSpacing/>
        <w:rPr>
          <w:rFonts w:ascii="TTdcr10" w:hAnsi="TTdcr10" w:eastAsia="Calibri" w:cs="TTdcr10"/>
          <w:lang w:val="en-GB"/>
        </w:rPr>
      </w:pPr>
      <w:r>
        <w:rPr>
          <w:rFonts w:eastAsia="Calibri" w:cs="TTdcr10" w:ascii="TTdcr10" w:hAnsi="TTdcr10"/>
          <w:lang w:val="en-GB"/>
        </w:rPr>
        <w:t xml:space="preserve">Lewis discusses about the relationship between micro-, macro- and wave-entities. </w:t>
      </w:r>
    </w:p>
    <w:p>
      <w:pPr>
        <w:pStyle w:val="Normal"/>
        <w:spacing w:before="0" w:after="0"/>
        <w:contextualSpacing/>
        <w:rPr>
          <w:rFonts w:ascii="TTdcr10" w:hAnsi="TTdcr10" w:eastAsia="Calibri" w:cs="TTdcr10"/>
          <w:lang w:val="en-GB"/>
        </w:rPr>
      </w:pPr>
      <w:r>
        <w:rPr>
          <w:rFonts w:eastAsia="Calibri" w:cs="TTdcr10" w:ascii="TTdcr10" w:hAnsi="TTdcr10"/>
          <w:lang w:val="en-GB"/>
        </w:rPr>
      </w:r>
    </w:p>
    <w:p>
      <w:pPr>
        <w:pStyle w:val="Normal"/>
        <w:spacing w:before="0" w:after="0"/>
        <w:contextualSpacing/>
        <w:rPr/>
      </w:pPr>
      <w:r>
        <w:rPr>
          <w:rFonts w:eastAsia="Calibri" w:cs="TTdcr10" w:ascii="TTdcr10" w:hAnsi="TTdcr10"/>
          <w:sz w:val="20"/>
          <w:szCs w:val="20"/>
          <w:lang w:val="en-GB"/>
        </w:rPr>
        <w:t xml:space="preserve">The issue here isn.t causal redundancy but what we might call </w:t>
      </w:r>
      <w:r>
        <w:rPr>
          <w:rFonts w:eastAsia="Calibri" w:cs="TTdcti10" w:ascii="TTdcti10" w:hAnsi="TTdcti10"/>
          <w:sz w:val="20"/>
          <w:szCs w:val="20"/>
          <w:lang w:val="en-GB"/>
        </w:rPr>
        <w:t>compositional</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redundancy: if tables are nothing but distributions of mass density, and mass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density distributions are nothing but wave function distributions, then ta-</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bles are nothing but wave function distributions (and similarly for the .ash</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ontology). Compositional redundancy doesn.t lend itself to non-existence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claims. I am nothing but an arrangement of cells (let.s say), and my cells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are nothing but an arrangement of molecules, but it doesn.t follow that cells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don.t exist. Indeed, it trivially follows from the existence and arrangement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of the molecules that my cells exist.</w:t>
      </w:r>
    </w:p>
    <w:p>
      <w:pPr>
        <w:pStyle w:val="Normal"/>
        <w:spacing w:before="0" w:after="0"/>
        <w:contextualSpacing/>
        <w:rPr/>
      </w:pPr>
      <w:r>
        <w:rPr>
          <w:rFonts w:eastAsia="Calibri" w:cs="TTdcr10" w:ascii="TTdcr10" w:hAnsi="TTdcr10"/>
          <w:sz w:val="20"/>
          <w:szCs w:val="20"/>
          <w:lang w:val="en-GB"/>
        </w:rPr>
        <w:t xml:space="preserve">This is an instance the </w:t>
      </w:r>
      <w:r>
        <w:rPr>
          <w:rFonts w:eastAsia="Calibri" w:cs="TTdcti10" w:ascii="TTdcti10" w:hAnsi="TTdcti10"/>
          <w:sz w:val="20"/>
          <w:szCs w:val="20"/>
          <w:lang w:val="en-GB"/>
        </w:rPr>
        <w:t xml:space="preserve">easy </w:t>
      </w:r>
      <w:r>
        <w:rPr>
          <w:rFonts w:eastAsia="Calibri" w:cs="TTdcr10" w:ascii="TTdcr10" w:hAnsi="TTdcr10"/>
          <w:sz w:val="20"/>
          <w:szCs w:val="20"/>
          <w:lang w:val="en-GB"/>
        </w:rPr>
        <w:t>approach to ontology of Thomasson (2014).</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Tables exist, because all it takes for a table to exist is that the more funda-</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mental ontology is arranged in a certain way. So, by the same token, if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wave function represents something physical, then the mass density ontol-</w:t>
      </w:r>
    </w:p>
    <w:p>
      <w:pPr>
        <w:pStyle w:val="Normal"/>
        <w:spacing w:before="0" w:after="0"/>
        <w:contextualSpacing/>
        <w:rPr/>
      </w:pPr>
      <w:r>
        <w:rPr>
          <w:rFonts w:eastAsia="Calibri" w:cs="TTdcr10" w:ascii="TTdcr10" w:hAnsi="TTdcr10"/>
          <w:sz w:val="20"/>
          <w:szCs w:val="20"/>
          <w:lang w:val="en-GB"/>
        </w:rPr>
        <w:t>ogy exists. and so does the .ash ontology. (p. 11)</w:t>
      </w:r>
      <w:r>
        <w:rPr>
          <w:rFonts w:eastAsia="Calibri" w:cs="TTdcr10" w:ascii="TTdcr10" w:hAnsi="TTdcr10"/>
          <w:lang w:val="en-GB"/>
        </w:rPr>
        <w:t xml:space="preserve">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I almost illustrated my EDWs with these examples in exactly the same situation: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So the redundancy argument of the previous section should not be taken</w:t>
      </w:r>
    </w:p>
    <w:p>
      <w:pPr>
        <w:pStyle w:val="Normal"/>
        <w:spacing w:before="0" w:after="0"/>
        <w:contextualSpacing/>
        <w:rPr/>
      </w:pPr>
      <w:r>
        <w:rPr>
          <w:rFonts w:eastAsia="Calibri" w:cs="TTdcr10" w:ascii="TTdcr10" w:hAnsi="TTdcr10"/>
          <w:sz w:val="20"/>
          <w:szCs w:val="20"/>
          <w:lang w:val="en-GB"/>
        </w:rPr>
        <w:t xml:space="preserve">to be an argument against the </w:t>
      </w:r>
      <w:r>
        <w:rPr>
          <w:rFonts w:eastAsia="Calibri" w:cs="TTdcti10" w:ascii="TTdcti10" w:hAnsi="TTdcti10"/>
          <w:sz w:val="20"/>
          <w:szCs w:val="20"/>
          <w:lang w:val="en-GB"/>
        </w:rPr>
        <w:t xml:space="preserve">existence </w:t>
      </w:r>
      <w:r>
        <w:rPr>
          <w:rFonts w:eastAsia="Calibri" w:cs="TTdcr10" w:ascii="TTdcr10" w:hAnsi="TTdcr10"/>
          <w:sz w:val="20"/>
          <w:szCs w:val="20"/>
          <w:lang w:val="en-GB"/>
        </w:rPr>
        <w:t>of either the mass density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or the .ash ontology. Rather, it should be taken as an argument that we</w:t>
      </w:r>
    </w:p>
    <w:p>
      <w:pPr>
        <w:pStyle w:val="Normal"/>
        <w:spacing w:before="0" w:after="0"/>
        <w:contextualSpacing/>
        <w:rPr/>
      </w:pPr>
      <w:r>
        <w:rPr>
          <w:rFonts w:eastAsia="Calibri" w:cs="TTdcr10" w:ascii="TTdcr10" w:hAnsi="TTdcr10"/>
          <w:sz w:val="20"/>
          <w:szCs w:val="20"/>
          <w:lang w:val="en-GB"/>
        </w:rPr>
        <w:t xml:space="preserve">don.t have to explicitly </w:t>
      </w:r>
      <w:r>
        <w:rPr>
          <w:rFonts w:eastAsia="Calibri" w:cs="TTdcti10" w:ascii="TTdcti10" w:hAnsi="TTdcti10"/>
          <w:sz w:val="20"/>
          <w:szCs w:val="20"/>
          <w:lang w:val="en-GB"/>
        </w:rPr>
        <w:t xml:space="preserve">postulate </w:t>
      </w:r>
      <w:r>
        <w:rPr>
          <w:rFonts w:eastAsia="Calibri" w:cs="TTdcr10" w:ascii="TTdcr10" w:hAnsi="TTdcr10"/>
          <w:sz w:val="20"/>
          <w:szCs w:val="20"/>
          <w:lang w:val="en-GB"/>
        </w:rPr>
        <w:t>them, or to decide between them, since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they both come along .for free.with wave function monism.</w:t>
      </w:r>
    </w:p>
    <w:p>
      <w:pPr>
        <w:pStyle w:val="Normal"/>
        <w:spacing w:before="0" w:after="0"/>
        <w:contextualSpacing/>
        <w:rPr/>
      </w:pPr>
      <w:r>
        <w:rPr>
          <w:rFonts w:eastAsia="Calibri" w:cs="TTdcr10" w:ascii="TTdcr10" w:hAnsi="TTdcr10"/>
          <w:sz w:val="20"/>
          <w:szCs w:val="20"/>
          <w:lang w:val="en-GB"/>
        </w:rPr>
        <w:t xml:space="preserve">Indeed, both ontologies are </w:t>
      </w:r>
      <w:r>
        <w:rPr>
          <w:rFonts w:eastAsia="Calibri" w:cs="TTdcti10" w:ascii="TTdcti10" w:hAnsi="TTdcti10"/>
          <w:sz w:val="20"/>
          <w:szCs w:val="20"/>
          <w:lang w:val="en-GB"/>
        </w:rPr>
        <w:t>important</w:t>
      </w:r>
      <w:r>
        <w:rPr>
          <w:rFonts w:eastAsia="Calibri" w:cs="TTdcr10" w:ascii="TTdcr10" w:hAnsi="TTdcr10"/>
          <w:sz w:val="20"/>
          <w:szCs w:val="20"/>
          <w:lang w:val="en-GB"/>
        </w:rPr>
        <w:t>. The wave function is a highly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structured entity. It contains the structures exempli.ed by the mass density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distribution and by the .ash distribution, in the sense that it entails both</w:t>
      </w:r>
    </w:p>
    <w:p>
      <w:pPr>
        <w:pStyle w:val="Normal"/>
        <w:spacing w:before="0" w:after="0"/>
        <w:contextualSpacing/>
        <w:rPr/>
      </w:pPr>
      <w:r>
        <w:rPr>
          <w:rFonts w:eastAsia="Calibri" w:cs="TTdcr10" w:ascii="TTdcr10" w:hAnsi="TTdcr10"/>
          <w:sz w:val="20"/>
          <w:szCs w:val="20"/>
          <w:lang w:val="en-GB"/>
        </w:rPr>
        <w:t xml:space="preserve">these structures. These structures do not </w:t>
      </w:r>
      <w:r>
        <w:rPr>
          <w:rFonts w:eastAsia="Calibri" w:cs="TTdcti10" w:ascii="TTdcti10" w:hAnsi="TTdcti10"/>
          <w:sz w:val="20"/>
          <w:szCs w:val="20"/>
          <w:lang w:val="en-GB"/>
        </w:rPr>
        <w:t xml:space="preserve">exhaust </w:t>
      </w:r>
      <w:r>
        <w:rPr>
          <w:rFonts w:eastAsia="Calibri" w:cs="TTdcr10" w:ascii="TTdcr10" w:hAnsi="TTdcr10"/>
          <w:sz w:val="20"/>
          <w:szCs w:val="20"/>
          <w:lang w:val="en-GB"/>
        </w:rPr>
        <w:t>the structure of the wave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function, of course: the wave function entails the mass density distribution</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 xml:space="preserve">and the .ash distribution, but not vice versa. (p. 11)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And again almost the EDWs here: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It is worth contrasting this with the case of Bohm.s theory. Dürr, Gold-</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stein and Zanghi (1992) and Maudlin (2013) count the particles of Bohm.s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theory as an example of primitive ontology, but it is important to note that,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unlike the primitive ontologies proposed for spontaneous collapse theories,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existence and locations of the Bohmian particles are not entailed by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wave function. Rather, they have to be postulated separately, along with a</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new dynamical law to govern their motion. If you don.t postulate particles in</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addition to the wave function in a no-collapse context, you end up with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ontology of a many-worlds theory. Bohm.s theory and many-worlds theories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are very di¤erent, with di¤erent strengths and weaknesses. So here there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is a genuine, and di¢ cult, ontological question. In the case of spontaneous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collapse theories, though, questions about the existence of primitive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 xml:space="preserve">are easily answerable in the a¢ rmative. (p. 12)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In his Conclusion, we almost have exactly the EDWs: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My argument here is that there is no pressing need to make such a choice. The wave function</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ontology entails the mass density ontology and the .ash ontology, and with it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solutions to the apparent problems facing spontaneous collapse theories.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Indeed, using the language of a mass density distribution or a .ash distribu-</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tion may be useful in explaining exactly how the problems can be resolved.</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But using these languages doesn.t undermine the idea that ultimately, for a</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spontaneous collapse theory, all there is is the wave function. (pp. 12-13)</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r>
    </w:p>
    <w:p>
      <w:pPr>
        <w:pStyle w:val="ListParagraph"/>
        <w:numPr>
          <w:ilvl w:val="0"/>
          <w:numId w:val="18"/>
        </w:numPr>
        <w:spacing w:before="0" w:after="0"/>
        <w:contextualSpacing/>
        <w:rPr/>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pStyle w:val="Normal"/>
        <w:spacing w:before="0" w:after="0"/>
        <w:contextualSpacing/>
        <w:rPr/>
      </w:pPr>
      <w:r>
        <w:rPr/>
      </w:r>
    </w:p>
    <w:p>
      <w:pPr>
        <w:pStyle w:val="Normal"/>
        <w:spacing w:before="0" w:after="0"/>
        <w:contextualSpacing/>
        <w:rPr/>
      </w:pPr>
      <w:r>
        <w:rPr/>
        <w:t xml:space="preserve">In his abstract, Hollowood writes that </w:t>
      </w:r>
    </w:p>
    <w:p>
      <w:pPr>
        <w:pStyle w:val="Normal"/>
        <w:spacing w:before="0" w:after="0"/>
        <w:contextualSpacing/>
        <w:rPr/>
      </w:pPr>
      <w:r>
        <w:rPr/>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By applying Born's Rule, we are led to a particular set of quantum</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trajectories, or an unravelling, that describes the state of the system from the frame of reference of</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the subsystem… The</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implication of the analysis is that this theory can explain in detail how classical mechanics</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arises from quantum mechanics by using only unitary evolution and Born's Rule applied to a</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 xml:space="preserve">subsystem. </w:t>
      </w:r>
    </w:p>
    <w:p>
      <w:pPr>
        <w:pStyle w:val="Normal"/>
        <w:spacing w:before="0" w:after="0"/>
        <w:contextualSpacing/>
        <w:rPr>
          <w:rFonts w:ascii="CMR12" w:hAnsi="CMR12" w:eastAsia="Calibri" w:cs="CMR12"/>
          <w:lang w:val="en-GB"/>
        </w:rPr>
      </w:pPr>
      <w:r>
        <w:rPr>
          <w:rFonts w:eastAsia="Calibri" w:cs="CMR12" w:ascii="CMR12" w:hAnsi="CMR12"/>
          <w:lang w:val="en-GB"/>
        </w:rPr>
      </w:r>
    </w:p>
    <w:p>
      <w:pPr>
        <w:pStyle w:val="Normal"/>
        <w:spacing w:before="0" w:after="0"/>
        <w:contextualSpacing/>
        <w:rPr>
          <w:rFonts w:ascii="CMR12" w:hAnsi="CMR12" w:eastAsia="Calibri" w:cs="CMR12"/>
          <w:lang w:val="en-GB"/>
        </w:rPr>
      </w:pPr>
      <w:r>
        <w:rPr>
          <w:rFonts w:eastAsia="Calibri" w:cs="CMR12" w:ascii="CMR12" w:hAnsi="CMR12"/>
          <w:lang w:val="en-GB"/>
        </w:rPr>
        <w:t xml:space="preserve">It is already very close to my EDWs. After some details, Hollowood writes that </w:t>
      </w:r>
    </w:p>
    <w:p>
      <w:pPr>
        <w:pStyle w:val="Normal"/>
        <w:spacing w:before="0" w:after="0"/>
        <w:contextualSpacing/>
        <w:rPr>
          <w:rFonts w:ascii="CMR12" w:hAnsi="CMR12" w:eastAsia="Calibri" w:cs="CMR12"/>
          <w:lang w:val="en-GB"/>
        </w:rPr>
      </w:pPr>
      <w:r>
        <w:rPr>
          <w:rFonts w:eastAsia="Calibri" w:cs="CMR12" w:ascii="CMR12" w:hAnsi="CMR12"/>
          <w:lang w:val="en-GB"/>
        </w:rPr>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in this scenario classical mechanics really does emerge</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from quantum mechanics! However, the issue of basis ambiguity is unresolved and begs the</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question: is there a more natural way to _x the basis and will the resulting dynamics share the</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good properties of quantum state di_usion?</w:t>
      </w:r>
    </w:p>
    <w:p>
      <w:pPr>
        <w:pStyle w:val="Normal"/>
        <w:spacing w:before="0" w:after="0"/>
        <w:contextualSpacing/>
        <w:rPr/>
      </w:pPr>
      <w:r>
        <w:rPr>
          <w:rFonts w:eastAsia="Calibri" w:cs="CMR12" w:ascii="CMR12" w:hAnsi="CMR12"/>
          <w:sz w:val="20"/>
          <w:szCs w:val="20"/>
          <w:lang w:val="en-GB"/>
        </w:rPr>
        <w:t xml:space="preserve">A key notion in our approach is the idea of the </w:t>
      </w:r>
      <w:r>
        <w:rPr>
          <w:rFonts w:eastAsia="Calibri" w:cs="CMTI12" w:ascii="CMTI12" w:hAnsi="CMTI12"/>
          <w:sz w:val="20"/>
          <w:szCs w:val="20"/>
          <w:lang w:val="en-GB"/>
        </w:rPr>
        <w:t xml:space="preserve">frame of reference </w:t>
      </w:r>
      <w:r>
        <w:rPr>
          <w:rFonts w:eastAsia="Calibri" w:cs="CMR12" w:ascii="CMR12" w:hAnsi="CMR12"/>
          <w:sz w:val="20"/>
          <w:szCs w:val="20"/>
          <w:lang w:val="en-GB"/>
        </w:rPr>
        <w:t>associated to a subsystem</w:t>
      </w:r>
    </w:p>
    <w:p>
      <w:pPr>
        <w:pStyle w:val="Normal"/>
        <w:spacing w:before="0" w:after="0"/>
        <w:contextualSpacing/>
        <w:rPr/>
      </w:pPr>
      <w:r>
        <w:rPr>
          <w:rFonts w:eastAsia="Calibri" w:cs="CMR12" w:ascii="CMR12" w:hAnsi="CMR12"/>
          <w:sz w:val="20"/>
          <w:szCs w:val="20"/>
          <w:lang w:val="en-GB"/>
        </w:rPr>
        <w:t xml:space="preserve">of a large quantum system, what we call the </w:t>
      </w:r>
      <w:r>
        <w:rPr>
          <w:rFonts w:eastAsia="Calibri" w:cs="CMTI12" w:ascii="CMTI12" w:hAnsi="CMTI12"/>
          <w:sz w:val="20"/>
          <w:szCs w:val="20"/>
          <w:lang w:val="en-GB"/>
        </w:rPr>
        <w:t>subsystem frame</w:t>
      </w:r>
      <w:r>
        <w:rPr>
          <w:rFonts w:eastAsia="Calibri" w:cs="CMR12" w:ascii="CMR12" w:hAnsi="CMR12"/>
          <w:sz w:val="20"/>
          <w:szCs w:val="20"/>
          <w:lang w:val="en-GB"/>
        </w:rPr>
        <w:t>. Di_erent frames will necessarily</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associate di_erent states to the same system…. The frames that are important for describing the macroscopic world are necessarily those</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 xml:space="preserve">that correspond to spatially localized, macroscopic subsystems. (p. 1) </w:t>
      </w:r>
    </w:p>
    <w:p>
      <w:pPr>
        <w:pStyle w:val="Normal"/>
        <w:spacing w:before="0" w:after="0"/>
        <w:contextualSpacing/>
        <w:rPr>
          <w:rFonts w:ascii="CMR12" w:hAnsi="CMR12" w:eastAsia="Calibri" w:cs="CMR12"/>
          <w:lang w:val="en-GB"/>
        </w:rPr>
      </w:pPr>
      <w:r>
        <w:rPr>
          <w:rFonts w:eastAsia="Calibri" w:cs="CMR12" w:ascii="CMR12" w:hAnsi="CMR12"/>
          <w:lang w:val="en-GB"/>
        </w:rPr>
      </w:r>
    </w:p>
    <w:p>
      <w:pPr>
        <w:pStyle w:val="Normal"/>
        <w:spacing w:before="0" w:after="0"/>
        <w:contextualSpacing/>
        <w:rPr>
          <w:rFonts w:eastAsia="Calibri"/>
          <w:lang w:val="en-GB"/>
        </w:rPr>
      </w:pPr>
      <w:r>
        <w:rPr>
          <w:rFonts w:eastAsia="Calibri"/>
          <w:lang w:val="en-GB"/>
        </w:rPr>
        <w:t xml:space="preserve">The reader will have the feeling of reading some sentences in my works… at page 5: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The key idea is that interactions between two</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subsystems creates entanglement but, from the view of one of the subsystem frames|the state</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 xml:space="preserve">within the state|entanglement is experienced as a random non-entangled state. (p. 5) </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Of course this is not a realistic model of the measuring process in quantum mechanics,</w:t>
      </w:r>
    </w:p>
    <w:p>
      <w:pPr>
        <w:pStyle w:val="Normal"/>
        <w:spacing w:before="0" w:after="0"/>
        <w:contextualSpacing/>
        <w:rPr/>
      </w:pPr>
      <w:r>
        <w:rPr>
          <w:rFonts w:eastAsia="Calibri" w:cs="CMR12" w:ascii="CMR12" w:hAnsi="CMR12"/>
          <w:sz w:val="20"/>
          <w:szCs w:val="20"/>
          <w:lang w:val="en-GB"/>
        </w:rPr>
        <w:t xml:space="preserve">but it illustrates the concepts that will be important; namely, a subsystem like </w:t>
      </w:r>
      <w:r>
        <w:rPr>
          <w:rFonts w:eastAsia="Calibri" w:cs="CMMI12" w:ascii="CMMI12" w:hAnsi="CMMI12"/>
          <w:sz w:val="20"/>
          <w:szCs w:val="20"/>
          <w:lang w:val="en-GB"/>
        </w:rPr>
        <w:t xml:space="preserve">M </w:t>
      </w:r>
      <w:r>
        <w:rPr>
          <w:rFonts w:eastAsia="Calibri" w:cs="CMR12" w:ascii="CMR12" w:hAnsi="CMR12"/>
          <w:sz w:val="20"/>
          <w:szCs w:val="20"/>
          <w:lang w:val="en-GB"/>
        </w:rPr>
        <w:t>de_nes a</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frame in which entanglement is replaced by randomness. In the following, we must be careful</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 xml:space="preserve">to distinguish which state we are referring to. (p. 5) </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However, the model</w:t>
      </w:r>
    </w:p>
    <w:p>
      <w:pPr>
        <w:pStyle w:val="Normal"/>
        <w:spacing w:before="0" w:after="0"/>
        <w:contextualSpacing/>
        <w:rPr/>
      </w:pPr>
      <w:r>
        <w:rPr>
          <w:rFonts w:eastAsia="Calibri" w:cs="CMR12" w:ascii="CMR12" w:hAnsi="CMR12"/>
          <w:sz w:val="20"/>
          <w:szCs w:val="20"/>
          <w:lang w:val="en-GB"/>
        </w:rPr>
        <w:t xml:space="preserve">points us in the right direction: it is the continual interactions of a macroscopic system </w:t>
      </w:r>
      <w:r>
        <w:rPr>
          <w:rFonts w:eastAsia="Calibri" w:cs="CMMI12" w:ascii="CMMI12" w:hAnsi="CMMI12"/>
          <w:sz w:val="20"/>
          <w:szCs w:val="20"/>
          <w:lang w:val="en-GB"/>
        </w:rPr>
        <w:t xml:space="preserve">M </w:t>
      </w:r>
      <w:r>
        <w:rPr>
          <w:rFonts w:eastAsia="Calibri" w:cs="CMR12" w:ascii="CMR12" w:hAnsi="CMR12"/>
          <w:sz w:val="20"/>
          <w:szCs w:val="20"/>
          <w:lang w:val="en-GB"/>
        </w:rPr>
        <w:t>with</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 xml:space="preserve">its environment that eventually will yield a robust derivation of the classical from the quantum. (p. 6) </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r>
    </w:p>
    <w:p>
      <w:pPr>
        <w:pStyle w:val="Normal"/>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CMR12" w:hAnsi="CMR12" w:eastAsia="Calibri" w:cs="CMR12"/>
          <w:color w:val="000000"/>
          <w:sz w:val="20"/>
          <w:szCs w:val="20"/>
          <w:lang w:val="en-GB"/>
        </w:rPr>
      </w:pPr>
      <w:r>
        <w:rPr>
          <w:rFonts w:eastAsia="Calibri" w:cs="CMR12" w:ascii="CMR12" w:hAnsi="CMR12"/>
          <w:color w:val="000000"/>
          <w:sz w:val="20"/>
          <w:szCs w:val="20"/>
          <w:lang w:val="en-GB"/>
        </w:rPr>
        <w:t>Finally on a historical note, it is interesting to note that early in the history of quantum</w:t>
      </w:r>
    </w:p>
    <w:p>
      <w:pPr>
        <w:pStyle w:val="Normal"/>
        <w:spacing w:before="0" w:after="0"/>
        <w:contextualSpacing/>
        <w:rPr>
          <w:rFonts w:ascii="CMR12" w:hAnsi="CMR12" w:eastAsia="Calibri" w:cs="CMR12"/>
          <w:color w:val="000000"/>
          <w:sz w:val="20"/>
          <w:szCs w:val="20"/>
          <w:lang w:val="en-GB"/>
        </w:rPr>
      </w:pPr>
      <w:r>
        <w:rPr>
          <w:rFonts w:eastAsia="Calibri" w:cs="CMR12" w:ascii="CMR12" w:hAnsi="CMR12"/>
          <w:color w:val="000000"/>
          <w:sz w:val="20"/>
          <w:szCs w:val="20"/>
          <w:lang w:val="en-GB"/>
        </w:rPr>
        <w:t>mechanics it was hoped that particles would correspond to localized solutions of Schrodinger's</w:t>
      </w:r>
    </w:p>
    <w:p>
      <w:pPr>
        <w:pStyle w:val="Normal"/>
        <w:spacing w:before="0" w:after="0"/>
        <w:contextualSpacing/>
        <w:rPr/>
      </w:pPr>
      <w:r>
        <w:rPr>
          <w:rFonts w:eastAsia="Calibri" w:cs="CMR12" w:ascii="CMR12" w:hAnsi="CMR12"/>
          <w:color w:val="000000"/>
          <w:sz w:val="20"/>
          <w:szCs w:val="20"/>
          <w:lang w:val="en-GB"/>
        </w:rPr>
        <w:t>equation [</w:t>
      </w:r>
      <w:r>
        <w:rPr>
          <w:rFonts w:eastAsia="Calibri" w:cs="CMR12" w:ascii="CMR12" w:hAnsi="CMR12"/>
          <w:color w:val="0000FF"/>
          <w:sz w:val="20"/>
          <w:szCs w:val="20"/>
          <w:lang w:val="en-GB"/>
        </w:rPr>
        <w:t>50</w:t>
      </w:r>
      <w:r>
        <w:rPr>
          <w:rFonts w:eastAsia="Calibri" w:cs="CMR12" w:ascii="CMR12" w:hAnsi="CMR12"/>
          <w:color w:val="000000"/>
          <w:sz w:val="20"/>
          <w:szCs w:val="20"/>
          <w:lang w:val="en-GB"/>
        </w:rPr>
        <w:t>]. It was soon realized that this was untenable because solutions do not remain</w:t>
      </w:r>
    </w:p>
    <w:p>
      <w:pPr>
        <w:pStyle w:val="Normal"/>
        <w:spacing w:before="0" w:after="0"/>
        <w:contextualSpacing/>
        <w:rPr/>
      </w:pPr>
      <w:r>
        <w:rPr>
          <w:rFonts w:eastAsia="Calibri" w:cs="CMR12" w:ascii="CMR12" w:hAnsi="CMR12"/>
          <w:color w:val="000000"/>
          <w:sz w:val="20"/>
          <w:szCs w:val="20"/>
          <w:lang w:val="en-GB"/>
        </w:rPr>
        <w:t>localized. Now we see that it is precisely an e_ective, stochastic, Schrodinger equation (</w:t>
      </w:r>
      <w:r>
        <w:rPr>
          <w:rFonts w:eastAsia="Calibri" w:cs="CMR12" w:ascii="CMR12" w:hAnsi="CMR12"/>
          <w:color w:val="0000FF"/>
          <w:sz w:val="20"/>
          <w:szCs w:val="20"/>
          <w:lang w:val="en-GB"/>
        </w:rPr>
        <w:t>4.8</w:t>
      </w:r>
      <w:r>
        <w:rPr>
          <w:rFonts w:eastAsia="Calibri" w:cs="CMR12" w:ascii="CMR12" w:hAnsi="CMR12"/>
          <w:color w:val="000000"/>
          <w:sz w:val="20"/>
          <w:szCs w:val="20"/>
          <w:lang w:val="en-GB"/>
        </w:rPr>
        <w:t>) that</w:t>
      </w:r>
    </w:p>
    <w:p>
      <w:pPr>
        <w:pStyle w:val="Normal"/>
        <w:spacing w:before="0" w:after="0"/>
        <w:contextualSpacing/>
        <w:rPr>
          <w:rFonts w:ascii="CMR12" w:hAnsi="CMR12" w:eastAsia="Calibri" w:cs="CMR12"/>
          <w:color w:val="000000"/>
          <w:sz w:val="20"/>
          <w:szCs w:val="20"/>
          <w:lang w:val="en-GB"/>
        </w:rPr>
      </w:pPr>
      <w:r>
        <w:rPr>
          <w:rFonts w:eastAsia="Calibri" w:cs="CMR12" w:ascii="CMR12" w:hAnsi="CMR12"/>
          <w:color w:val="000000"/>
          <w:sz w:val="20"/>
          <w:szCs w:val="20"/>
          <w:lang w:val="en-GB"/>
        </w:rPr>
        <w:t>has the original desired property and that particle-like states only exist in the subsystem frames</w:t>
      </w:r>
    </w:p>
    <w:p>
      <w:pPr>
        <w:pStyle w:val="Normal"/>
        <w:spacing w:before="0" w:after="0"/>
        <w:contextualSpacing/>
        <w:rPr>
          <w:rFonts w:ascii="CMR12" w:hAnsi="CMR12" w:eastAsia="Calibri" w:cs="CMR12"/>
          <w:color w:val="000000"/>
          <w:sz w:val="20"/>
          <w:szCs w:val="20"/>
          <w:lang w:val="en-GB"/>
        </w:rPr>
      </w:pPr>
      <w:r>
        <w:rPr>
          <w:rFonts w:eastAsia="Calibri" w:cs="CMR12" w:ascii="CMR12" w:hAnsi="CMR12"/>
          <w:color w:val="000000"/>
          <w:sz w:val="20"/>
          <w:szCs w:val="20"/>
          <w:lang w:val="en-GB"/>
        </w:rPr>
        <w:t>on account of their pervasive entanglement with the environment. (p. 22)</w:t>
      </w:r>
    </w:p>
    <w:p>
      <w:pPr>
        <w:pStyle w:val="Normal"/>
        <w:spacing w:before="0" w:after="0"/>
        <w:contextualSpacing/>
        <w:rPr>
          <w:rFonts w:eastAsia="Calibri"/>
          <w:color w:val="000000"/>
          <w:lang w:val="en-GB"/>
        </w:rPr>
      </w:pPr>
      <w:r>
        <w:rPr>
          <w:rFonts w:eastAsia="Calibri"/>
          <w:color w:val="000000"/>
          <w:lang w:val="en-GB"/>
        </w:rPr>
      </w:r>
    </w:p>
    <w:p>
      <w:pPr>
        <w:pStyle w:val="Normal"/>
        <w:spacing w:before="0" w:after="0"/>
        <w:contextualSpacing/>
        <w:rPr/>
      </w:pPr>
      <w:r>
        <w:rPr/>
        <w:t>The authors did not explain exactly what are these subsystems. In reality these subsystem are very close to my EDWs!</w:t>
      </w:r>
    </w:p>
    <w:p>
      <w:pPr>
        <w:pStyle w:val="Normal"/>
        <w:spacing w:before="0" w:after="0"/>
        <w:contextualSpacing/>
        <w:rPr/>
      </w:pPr>
      <w:r>
        <w:rPr/>
      </w:r>
    </w:p>
    <w:p>
      <w:pPr>
        <w:pStyle w:val="Normal"/>
        <w:spacing w:before="0" w:after="0"/>
        <w:contextualSpacing/>
        <w:rPr/>
      </w:pPr>
      <w:r>
        <w:rPr/>
      </w:r>
    </w:p>
    <w:p>
      <w:pPr>
        <w:pStyle w:val="ListParagraph"/>
        <w:numPr>
          <w:ilvl w:val="0"/>
          <w:numId w:val="18"/>
        </w:numPr>
        <w:spacing w:before="0" w:after="0"/>
        <w:contextualSpacing/>
        <w:rPr/>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pStyle w:val="Normal"/>
        <w:spacing w:before="0" w:after="0"/>
        <w:contextualSpacing/>
        <w:rPr>
          <w:rFonts w:eastAsia="Calibri"/>
          <w:b/>
          <w:b/>
          <w:iCs/>
          <w:lang w:val="en-GB"/>
        </w:rPr>
      </w:pPr>
      <w:r>
        <w:rPr>
          <w:rFonts w:eastAsia="Calibri"/>
          <w:b/>
          <w:iCs/>
          <w:lang w:val="en-GB"/>
        </w:rPr>
      </w:r>
    </w:p>
    <w:p>
      <w:pPr>
        <w:pStyle w:val="Normal"/>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pStyle w:val="Normal"/>
        <w:spacing w:before="0" w:after="0"/>
        <w:contextualSpacing/>
        <w:rPr>
          <w:rFonts w:eastAsia="Calibri"/>
          <w:iCs/>
          <w:lang w:val="en-GB"/>
        </w:rPr>
      </w:pPr>
      <w:r>
        <w:rPr>
          <w:rFonts w:eastAsia="Calibri"/>
          <w:iCs/>
          <w:lang w:val="en-GB"/>
        </w:rPr>
      </w:r>
    </w:p>
    <w:p>
      <w:pPr>
        <w:pStyle w:val="Normal"/>
        <w:spacing w:before="0" w:after="0"/>
        <w:contextualSpacing/>
        <w:rPr/>
      </w:pPr>
      <w:r>
        <w:rPr>
          <w:rFonts w:eastAsia="Calibri" w:cs="LMRoman10-Regular" w:ascii="LMRoman10-Regular" w:hAnsi="LMRoman10-Regular"/>
          <w:sz w:val="20"/>
          <w:szCs w:val="20"/>
          <w:lang w:val="en-GB"/>
        </w:rPr>
        <w:t xml:space="preserve">1. </w:t>
      </w:r>
      <w:r>
        <w:rPr>
          <w:rFonts w:eastAsia="Calibri" w:cs="LMRoman10-Italic" w:ascii="LMRoman10-Italic" w:hAnsi="LMRoman10-Italic"/>
          <w:i/>
          <w:iCs/>
          <w:sz w:val="20"/>
          <w:szCs w:val="20"/>
          <w:lang w:val="en-GB"/>
        </w:rPr>
        <w:t>The multi-field doesn’t give us a new ontological understanding of the wave-function.</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We regard the multi-field interpretation as a new ontological interpretation of the</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wave-function that has been so far ignored. This approach is incompatible with</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the nomological interpretation of the wave-function, and its metaphysical characterizations</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in terms of dispositionalism and Humeanism. But one may still ground</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the multi-field on an extended Humean mosaic that also comprises contingent</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non-reducible relations (Darby, 2012). In this way, we would have a Humean</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interpretation, in which the wave-function is no longer a nomological entity because</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it is not part of the best system. The mosaic would be comprised of points</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composing three dimensional space, a particle configuration, and the multi-field.</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Similarly, Loewer (1996) embedded Albert’s marvelous point interpretation in a</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Humean framework. The difference is, however, that Loewer’s mosaic is separable</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in configuration space, while Darby’s mosaic is non-separable in three-dimensional</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 xml:space="preserve">space. (p. 13)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It is difficult to see how the problem of communication arises in the multi-field</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approach. Indeed, there is a problem of communication when different physical</w:t>
      </w:r>
    </w:p>
    <w:p>
      <w:pPr>
        <w:pStyle w:val="Normal"/>
        <w:spacing w:before="0" w:after="0"/>
        <w:contextualSpacing/>
        <w:rPr/>
      </w:pPr>
      <w:r>
        <w:rPr>
          <w:rFonts w:eastAsia="Calibri" w:cs="LMRoman10-Regular" w:ascii="LMRoman10-Regular" w:hAnsi="LMRoman10-Regular"/>
          <w:sz w:val="20"/>
          <w:szCs w:val="20"/>
          <w:lang w:val="en-GB"/>
        </w:rPr>
        <w:t xml:space="preserve">entities live in </w:t>
      </w:r>
      <w:r>
        <w:rPr>
          <w:rFonts w:eastAsia="Calibri" w:cs="LMRoman10-Italic" w:ascii="LMRoman10-Italic" w:hAnsi="LMRoman10-Italic"/>
          <w:i/>
          <w:iCs/>
          <w:sz w:val="20"/>
          <w:szCs w:val="20"/>
          <w:lang w:val="en-GB"/>
        </w:rPr>
        <w:t xml:space="preserve">different </w:t>
      </w:r>
      <w:r>
        <w:rPr>
          <w:rFonts w:eastAsia="Calibri" w:cs="LMRoman10-Regular" w:ascii="LMRoman10-Regular" w:hAnsi="LMRoman10-Regular"/>
          <w:sz w:val="20"/>
          <w:szCs w:val="20"/>
          <w:lang w:val="en-GB"/>
        </w:rPr>
        <w:t>physical spaces and yet influence each other. But, in the</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case of the multi-field approach, both the guiding wave and the particles live in</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the very same space, namely, three-dimensional space. (p. 14)</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This communication is as if is created within the EDWs!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We argue, instead, that the wave-function</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can exist as a certain kind of physical field on three-dimensional space,</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 xml:space="preserve">its mathematical definition notwithstanding. (p. 15) </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The multi-field is a non-local beable; therefore, it does not assign any value to</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single points of space according to Bell’s definition of local beables. The multifield</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exists as a physical field in three-dimensional space by assigning properties</w:t>
      </w:r>
    </w:p>
    <w:p>
      <w:pPr>
        <w:pStyle w:val="Normal"/>
        <w:spacing w:before="0" w:after="0"/>
        <w:contextualSpacing/>
        <w:rPr/>
      </w:pPr>
      <w:r>
        <w:rPr>
          <w:rFonts w:eastAsia="Calibri" w:cs="LMRoman10-Regular" w:ascii="LMRoman10-Regular" w:hAnsi="LMRoman10-Regular"/>
          <w:sz w:val="20"/>
          <w:szCs w:val="20"/>
          <w:lang w:val="en-GB"/>
        </w:rPr>
        <w:t xml:space="preserve">to all </w:t>
      </w:r>
      <w:r>
        <w:rPr>
          <w:rFonts w:eastAsia="Calibri" w:cs="LMMathItalic10-Regular" w:ascii="LMMathItalic10-Regular" w:hAnsi="LMMathItalic10-Regular"/>
          <w:i/>
          <w:iCs/>
          <w:sz w:val="20"/>
          <w:szCs w:val="20"/>
          <w:lang w:val="en-GB"/>
        </w:rPr>
        <w:t>N</w:t>
      </w:r>
      <w:r>
        <w:rPr>
          <w:rFonts w:eastAsia="Calibri" w:cs="LMRoman10-Regular" w:ascii="LMRoman10-Regular" w:hAnsi="LMRoman10-Regular"/>
          <w:sz w:val="20"/>
          <w:szCs w:val="20"/>
          <w:lang w:val="en-GB"/>
        </w:rPr>
        <w:t>-tuples of points of space. The ontology of particles, on the other hand, is</w:t>
      </w:r>
    </w:p>
    <w:p>
      <w:pPr>
        <w:pStyle w:val="Normal"/>
        <w:tabs>
          <w:tab w:val="clear" w:pos="720"/>
          <w:tab w:val="right" w:pos="9360" w:leader="none"/>
        </w:tabs>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local because particles occupy single points in space. The connection between the</w:t>
        <w:tab/>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non-local beable and the local beables is accomplished by the guidance equation,</w:t>
      </w:r>
    </w:p>
    <w:p>
      <w:pPr>
        <w:pStyle w:val="Normal"/>
        <w:spacing w:before="0" w:after="0"/>
        <w:contextualSpacing/>
        <w:rPr/>
      </w:pPr>
      <w:r>
        <w:rPr>
          <w:rFonts w:eastAsia="Calibri" w:cs="LMRoman10-Regular" w:ascii="LMRoman10-Regular" w:hAnsi="LMRoman10-Regular"/>
          <w:sz w:val="20"/>
          <w:szCs w:val="20"/>
          <w:lang w:val="en-GB"/>
        </w:rPr>
        <w:t xml:space="preserve">which projects the non-local property assigned to the </w:t>
      </w:r>
      <w:r>
        <w:rPr>
          <w:rFonts w:eastAsia="Calibri" w:cs="LMMathItalic10-Regular" w:ascii="LMMathItalic10-Regular" w:hAnsi="LMMathItalic10-Regular"/>
          <w:i/>
          <w:iCs/>
          <w:sz w:val="20"/>
          <w:szCs w:val="20"/>
          <w:lang w:val="en-GB"/>
        </w:rPr>
        <w:t>N</w:t>
      </w:r>
      <w:r>
        <w:rPr>
          <w:rFonts w:eastAsia="Calibri" w:cs="LMRoman10-Regular" w:ascii="LMRoman10-Regular" w:hAnsi="LMRoman10-Regular"/>
          <w:sz w:val="20"/>
          <w:szCs w:val="20"/>
          <w:lang w:val="en-GB"/>
        </w:rPr>
        <w:t>-tuple into local properties</w:t>
      </w:r>
    </w:p>
    <w:p>
      <w:pPr>
        <w:pStyle w:val="Normal"/>
        <w:spacing w:before="0" w:after="0"/>
        <w:contextualSpacing/>
        <w:rPr/>
      </w:pPr>
      <w:r>
        <w:rPr>
          <w:rFonts w:eastAsia="Calibri" w:cs="LMRoman10-Regular" w:ascii="LMRoman10-Regular" w:hAnsi="LMRoman10-Regular"/>
          <w:sz w:val="20"/>
          <w:szCs w:val="20"/>
          <w:lang w:val="en-GB"/>
        </w:rPr>
        <w:t>of particles. (p. 15)</w:t>
      </w:r>
      <w:r>
        <w:rPr>
          <w:rFonts w:eastAsia="Calibri" w:cs="LMRoman10-Regular" w:ascii="LMRoman10-Regular" w:hAnsi="LMRoman10-Regular"/>
          <w:sz w:val="22"/>
          <w:szCs w:val="22"/>
          <w:lang w:val="en-GB"/>
        </w:rPr>
        <w:t xml:space="preserve"> </w:t>
      </w:r>
    </w:p>
    <w:p>
      <w:pPr>
        <w:pStyle w:val="Normal"/>
        <w:spacing w:before="0" w:after="0"/>
        <w:contextualSpacing/>
        <w:rPr>
          <w:rFonts w:eastAsia="Calibri"/>
          <w:lang w:val="en-GB"/>
        </w:rPr>
      </w:pPr>
      <w:r>
        <w:rPr>
          <w:rFonts w:eastAsia="Calibri"/>
          <w:lang w:val="en-GB"/>
        </w:rPr>
      </w:r>
    </w:p>
    <w:p>
      <w:pPr>
        <w:pStyle w:val="Normal"/>
        <w:spacing w:before="0" w:after="0"/>
        <w:contextualSpacing/>
        <w:rPr/>
      </w:pPr>
      <w:r>
        <w:rP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pStyle w:val="Normal"/>
        <w:spacing w:before="0" w:after="0"/>
        <w:contextualSpacing/>
        <w:rPr/>
      </w:pPr>
      <w:r>
        <w:rPr/>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We have argued that the multi-field interpretation has been dismissed for the wrong</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reasons owing to prejudices from classical fields. Construing the Bohmian wave-function</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as a multi-field is actually the most conservative physical interpretation compared to</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Albert’s marvelous point interpretation and Norsen’s local fields theory. For it describes</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the entire ontology of the theory in three-dimensions without changing the mathematical</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formalism, thus solving the problem of communication and the problem of perception,</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 xml:space="preserve">and it provides a natural metaphysical explanation for the non-local behavior of particles. (p. 16) </w:t>
      </w:r>
    </w:p>
    <w:p>
      <w:pPr>
        <w:pStyle w:val="Normal"/>
        <w:spacing w:before="0" w:after="0"/>
        <w:contextualSpacing/>
        <w:rPr>
          <w:rFonts w:ascii="LMRoman10-Regular" w:hAnsi="LMRoman10-Regular" w:eastAsia="Calibri" w:cs="LMRoman10-Regular"/>
          <w:sz w:val="22"/>
          <w:szCs w:val="22"/>
          <w:lang w:val="en-GB"/>
        </w:rPr>
      </w:pPr>
      <w:r>
        <w:rPr>
          <w:rFonts w:eastAsia="Calibri" w:cs="LMRoman10-Regular" w:ascii="LMRoman10-Regular" w:hAnsi="LMRoman10-Regular"/>
          <w:sz w:val="22"/>
          <w:szCs w:val="22"/>
          <w:lang w:val="en-GB"/>
        </w:rPr>
      </w:r>
    </w:p>
    <w:p>
      <w:pPr>
        <w:pStyle w:val="Normal"/>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pStyle w:val="Normal"/>
        <w:spacing w:before="0" w:after="0"/>
        <w:contextualSpacing/>
        <w:rPr/>
      </w:pPr>
      <w:r>
        <w:rPr>
          <w:rFonts w:eastAsia="Calibri"/>
          <w:lang w:val="en-GB"/>
        </w:rPr>
        <w:tab/>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ListParagraph"/>
        <w:widowControl/>
        <w:suppressAutoHyphens w:val="false"/>
        <w:overflowPunct w:val="false"/>
        <w:spacing w:before="0" w:after="0"/>
        <w:ind w:left="0" w:right="0" w:hanging="0"/>
        <w:contextualSpacing/>
        <w:jc w:val="both"/>
        <w:textAlignment w:val="auto"/>
        <w:rPr>
          <w:rFonts w:ascii="Times New Roman" w:hAnsi="Times New Roman"/>
          <w:b/>
          <w:b/>
          <w:sz w:val="28"/>
          <w:szCs w:val="28"/>
        </w:rPr>
      </w:pPr>
      <w:r>
        <w:rPr>
          <w:rFonts w:ascii="Times New Roman" w:hAnsi="Times New Roman"/>
          <w:b/>
          <w:sz w:val="28"/>
          <w:szCs w:val="28"/>
        </w:rPr>
      </w:r>
    </w:p>
    <w:p>
      <w:pPr>
        <w:pStyle w:val="ListParagraph"/>
        <w:widowControl/>
        <w:suppressAutoHyphens w:val="false"/>
        <w:overflowPunct w:val="false"/>
        <w:spacing w:before="0" w:after="0"/>
        <w:ind w:left="0" w:right="0" w:hanging="0"/>
        <w:contextualSpacing/>
        <w:jc w:val="both"/>
        <w:textAlignment w:val="auto"/>
        <w:rPr>
          <w:rFonts w:ascii="Times New Roman" w:hAnsi="Times New Roman"/>
          <w:b/>
          <w:b/>
          <w:sz w:val="28"/>
          <w:szCs w:val="28"/>
        </w:rPr>
      </w:pPr>
      <w:r>
        <w:rPr>
          <w:rFonts w:ascii="Times New Roman" w:hAnsi="Times New Roman"/>
          <w:b/>
          <w:sz w:val="28"/>
          <w:szCs w:val="28"/>
        </w:rPr>
      </w:r>
    </w:p>
    <w:p>
      <w:pPr>
        <w:pStyle w:val="ListParagraph"/>
        <w:widowControl/>
        <w:suppressAutoHyphens w:val="false"/>
        <w:overflowPunct w:val="false"/>
        <w:spacing w:before="0" w:after="0"/>
        <w:ind w:left="0" w:right="0" w:hanging="0"/>
        <w:contextualSpacing/>
        <w:jc w:val="both"/>
        <w:textAlignment w:val="auto"/>
        <w:rPr>
          <w:rFonts w:ascii="Times New Roman" w:hAnsi="Times New Roman"/>
          <w:b/>
          <w:b/>
          <w:sz w:val="28"/>
          <w:szCs w:val="28"/>
        </w:rPr>
      </w:pPr>
      <w:r>
        <w:rPr>
          <w:rFonts w:ascii="Times New Roman" w:hAnsi="Times New Roman"/>
          <w:b/>
          <w:sz w:val="28"/>
          <w:szCs w:val="28"/>
        </w:rPr>
      </w:r>
    </w:p>
    <w:p>
      <w:pPr>
        <w:pStyle w:val="ListParagraph"/>
        <w:numPr>
          <w:ilvl w:val="0"/>
          <w:numId w:val="13"/>
        </w:numPr>
        <w:spacing w:before="0" w:after="0"/>
        <w:ind w:left="0" w:right="0" w:hanging="720"/>
        <w:contextualSpacing/>
        <w:jc w:val="both"/>
        <w:rPr>
          <w:rFonts w:ascii="Times New Roman" w:hAnsi="Times New Roman"/>
          <w:b/>
          <w:b/>
          <w:sz w:val="36"/>
          <w:szCs w:val="36"/>
        </w:rPr>
      </w:pPr>
      <w:r>
        <w:rPr>
          <w:rFonts w:ascii="Times New Roman" w:hAnsi="Times New Roman"/>
          <w:b/>
          <w:sz w:val="36"/>
          <w:szCs w:val="36"/>
        </w:rPr>
        <w:t>COGNITIVE NEUROSCIENCE AND PHILOSOPHY OF MIND</w:t>
      </w:r>
    </w:p>
    <w:p>
      <w:pPr>
        <w:pStyle w:val="ListParagraph"/>
        <w:spacing w:before="0" w:after="0"/>
        <w:ind w:left="0" w:right="0" w:hanging="0"/>
        <w:contextualSpacing/>
        <w:jc w:val="both"/>
        <w:rPr>
          <w:rFonts w:ascii="Times New Roman" w:hAnsi="Times New Roman"/>
          <w:b/>
          <w:b/>
          <w:sz w:val="36"/>
          <w:szCs w:val="36"/>
        </w:rPr>
      </w:pPr>
      <w:r>
        <w:rPr>
          <w:rFonts w:ascii="Times New Roman" w:hAnsi="Times New Roman"/>
          <w:b/>
          <w:sz w:val="36"/>
          <w:szCs w:val="36"/>
        </w:rPr>
      </w:r>
    </w:p>
    <w:p>
      <w:pPr>
        <w:pStyle w:val="ListParagraph"/>
        <w:spacing w:before="0" w:after="0"/>
        <w:ind w:left="0" w:right="0" w:hanging="0"/>
        <w:contextualSpacing/>
        <w:jc w:val="both"/>
        <w:rPr>
          <w:rFonts w:ascii="Times New Roman" w:hAnsi="Times New Roman"/>
          <w:b/>
          <w:b/>
          <w:sz w:val="36"/>
          <w:szCs w:val="36"/>
        </w:rPr>
      </w:pPr>
      <w:r>
        <w:rPr>
          <w:rFonts w:ascii="Times New Roman" w:hAnsi="Times New Roman"/>
          <w:b/>
          <w:sz w:val="36"/>
          <w:szCs w:val="36"/>
        </w:rPr>
      </w:r>
    </w:p>
    <w:p>
      <w:pPr>
        <w:pStyle w:val="ListParagraph"/>
        <w:numPr>
          <w:ilvl w:val="0"/>
          <w:numId w:val="18"/>
        </w:numPr>
        <w:spacing w:before="0" w:after="0"/>
        <w:contextualSpacing/>
        <w:jc w:val="both"/>
        <w:rPr/>
      </w:pPr>
      <w:r>
        <w:rPr>
          <w:b/>
          <w:sz w:val="28"/>
          <w:szCs w:val="28"/>
        </w:rPr>
        <w:t>Did Georg Northoff (2011-214, Psychoanalysis, Institute of Mental Health Research, Canada) plagiarize my ideas? (Cognitive Neuroscience)</w:t>
      </w:r>
      <w:r>
        <w:rPr>
          <w:rStyle w:val="FootnoteAnchor"/>
          <w:b/>
          <w:sz w:val="28"/>
          <w:szCs w:val="28"/>
        </w:rPr>
        <w:footnoteReference w:id="170"/>
      </w:r>
    </w:p>
    <w:p>
      <w:pPr>
        <w:pStyle w:val="Normal"/>
        <w:spacing w:before="0" w:after="0"/>
        <w:contextualSpacing/>
        <w:rPr/>
      </w:pPr>
      <w:r>
        <w:rPr/>
      </w:r>
    </w:p>
    <w:p>
      <w:pPr>
        <w:pStyle w:val="Heading1"/>
        <w:spacing w:before="0" w:after="0"/>
        <w:contextualSpacing/>
        <w:rPr>
          <w:rFonts w:ascii="Times New Roman" w:hAnsi="Times New Roman"/>
          <w:b w:val="false"/>
          <w:b w:val="false"/>
          <w:sz w:val="24"/>
          <w:szCs w:val="24"/>
        </w:rPr>
      </w:pPr>
      <w:r>
        <w:rPr>
          <w:rFonts w:ascii="Times New Roman" w:hAnsi="Times New Roman"/>
          <w:b w:val="false"/>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pStyle w:val="Normal"/>
        <w:spacing w:before="0" w:after="0"/>
        <w:ind w:left="0" w:right="0" w:firstLine="720"/>
        <w:contextualSpacing/>
        <w:rPr/>
      </w:pPr>
      <w:r>
        <w:rP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pStyle w:val="Normal"/>
        <w:spacing w:before="0" w:after="0"/>
        <w:ind w:left="0" w:right="0" w:firstLine="720"/>
        <w:contextualSpacing/>
        <w:rPr>
          <w:b/>
          <w:b/>
        </w:rPr>
      </w:pPr>
      <w:r>
        <w:rPr>
          <w:b/>
        </w:rPr>
      </w:r>
    </w:p>
    <w:p>
      <w:pPr>
        <w:pStyle w:val="Normal"/>
        <w:spacing w:before="0" w:after="0"/>
        <w:contextualSpacing/>
        <w:rPr>
          <w:b/>
          <w:b/>
        </w:rPr>
      </w:pPr>
      <w:r>
        <w:rPr>
          <w:b/>
        </w:rPr>
        <w:t>1. Georg Northoff’s works before 2014</w:t>
      </w:r>
    </w:p>
    <w:p>
      <w:pPr>
        <w:pStyle w:val="Normal"/>
        <w:spacing w:before="0" w:after="0"/>
        <w:contextualSpacing/>
        <w:rPr/>
      </w:pPr>
      <w:r>
        <w:rP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FootnoteAnchor"/>
        </w:rPr>
        <w:footnoteReference w:id="171"/>
      </w:r>
      <w:r>
        <w:rP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FootnoteAnchor"/>
        </w:rPr>
        <w:footnoteReference w:id="172"/>
      </w:r>
      <w:r>
        <w:rP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rPr/>
        <w:t>paper published in 2013 starts with the following paragraph:</w:t>
      </w:r>
    </w:p>
    <w:p>
      <w:pPr>
        <w:pStyle w:val="Normal"/>
        <w:spacing w:before="0" w:after="0"/>
        <w:ind w:left="0" w:right="0" w:firstLine="720"/>
        <w:contextualSpacing/>
        <w:rPr/>
      </w:pPr>
      <w:r>
        <w:rPr/>
      </w:r>
    </w:p>
    <w:p>
      <w:pPr>
        <w:pStyle w:val="Normal"/>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pStyle w:val="Normal"/>
        <w:spacing w:before="0" w:after="0"/>
        <w:contextualSpacing/>
        <w:rPr/>
      </w:pPr>
      <w:r>
        <w:rPr/>
      </w:r>
    </w:p>
    <w:p>
      <w:pPr>
        <w:pStyle w:val="Normal"/>
        <w:spacing w:before="0" w:after="0"/>
        <w:contextualSpacing/>
        <w:rPr/>
      </w:pPr>
      <w:r>
        <w:rP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pStyle w:val="Normal"/>
        <w:spacing w:before="0" w:after="0"/>
        <w:contextualSpacing/>
        <w:rPr/>
      </w:pPr>
      <w:r>
        <w:rPr/>
        <w:tab/>
        <w:t>Northoff analyzes four types of “conceptualizing” the self, three of which are mentioned immediately below (Northoff 2013, p. 1)</w:t>
      </w:r>
      <w:r>
        <w:rPr>
          <w:rStyle w:val="FootnoteAnchor"/>
        </w:rPr>
        <w:footnoteReference w:id="173"/>
      </w:r>
      <w:r>
        <w:rPr/>
        <w:t xml:space="preserve">: </w:t>
      </w:r>
    </w:p>
    <w:p>
      <w:pPr>
        <w:pStyle w:val="Normal"/>
        <w:numPr>
          <w:ilvl w:val="0"/>
          <w:numId w:val="25"/>
        </w:numPr>
        <w:spacing w:before="0" w:after="0"/>
        <w:ind w:left="0" w:right="0" w:hanging="0"/>
        <w:contextualSpacing/>
        <w:rPr/>
      </w:pPr>
      <w:r>
        <w:rPr/>
        <w:t xml:space="preserve">The “mental self” (our thoughts and a “specific mental substance”) </w:t>
      </w:r>
    </w:p>
    <w:p>
      <w:pPr>
        <w:pStyle w:val="Normal"/>
        <w:numPr>
          <w:ilvl w:val="0"/>
          <w:numId w:val="25"/>
        </w:numPr>
        <w:spacing w:before="0" w:after="0"/>
        <w:ind w:left="0" w:right="0" w:hanging="0"/>
        <w:contextualSpacing/>
        <w:rPr/>
      </w:pPr>
      <w:r>
        <w:rPr/>
        <w:t>The “empirical self” (the biological processes of body and brain – Metzinger’s view is investigated here)</w:t>
      </w:r>
    </w:p>
    <w:p>
      <w:pPr>
        <w:pStyle w:val="Normal"/>
        <w:numPr>
          <w:ilvl w:val="0"/>
          <w:numId w:val="25"/>
        </w:numPr>
        <w:spacing w:before="0" w:after="0"/>
        <w:ind w:left="0" w:right="0" w:hanging="0"/>
        <w:contextualSpacing/>
        <w:rPr/>
      </w:pPr>
      <w:r>
        <w:rP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pStyle w:val="Normal"/>
        <w:spacing w:before="0" w:after="0"/>
        <w:contextualSpacing/>
        <w:rPr/>
      </w:pPr>
      <w:r>
        <w:rPr/>
      </w:r>
    </w:p>
    <w:p>
      <w:pPr>
        <w:pStyle w:val="Normal"/>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pStyle w:val="Normal"/>
        <w:spacing w:before="0" w:after="0"/>
        <w:contextualSpacing/>
        <w:rPr/>
      </w:pPr>
      <w:r>
        <w:rPr/>
      </w:r>
    </w:p>
    <w:p>
      <w:pPr>
        <w:pStyle w:val="Normal"/>
        <w:spacing w:before="0" w:after="0"/>
        <w:contextualSpacing/>
        <w:rPr/>
      </w:pPr>
      <w:r>
        <w:rP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FootnoteAnchor"/>
        </w:rPr>
        <w:footnoteReference w:id="174"/>
      </w:r>
      <w:r>
        <w:rPr/>
        <w:t xml:space="preserve"> From my viewpoint, even considering that self is involved in any mental state is wrong, since it presupposes a difference between self and its mental state.</w:t>
      </w:r>
      <w:r>
        <w:rPr>
          <w:rStyle w:val="FootnoteAnchor"/>
        </w:rPr>
        <w:footnoteReference w:id="175"/>
      </w:r>
    </w:p>
    <w:p>
      <w:pPr>
        <w:pStyle w:val="Normal"/>
        <w:numPr>
          <w:ilvl w:val="0"/>
          <w:numId w:val="25"/>
        </w:numPr>
        <w:spacing w:before="0" w:after="0"/>
        <w:ind w:left="0" w:right="0" w:hanging="0"/>
        <w:contextualSpacing/>
        <w:rPr/>
      </w:pPr>
      <w:r>
        <w:rPr/>
        <w:t xml:space="preserve">The “minimal self” (based on our body and its physiological processes). This minimal self is strongly related to Zahavi’s pre-reflective experience: </w:t>
      </w:r>
    </w:p>
    <w:p>
      <w:pPr>
        <w:pStyle w:val="Normal"/>
        <w:spacing w:before="0" w:after="0"/>
        <w:contextualSpacing/>
        <w:rPr/>
      </w:pPr>
      <w:r>
        <w:rPr/>
      </w:r>
    </w:p>
    <w:p>
      <w:pPr>
        <w:pStyle w:val="Normal"/>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pStyle w:val="Normal"/>
        <w:spacing w:before="0" w:after="0"/>
        <w:contextualSpacing/>
        <w:rPr/>
      </w:pPr>
      <w:r>
        <w:rPr>
          <w:sz w:val="20"/>
          <w:szCs w:val="20"/>
        </w:rPr>
        <w:t>in consciousness… The minimal self describes a basic form of self that is part of any experience. (Northoff 2013, p. 3)</w:t>
      </w:r>
      <w:r>
        <w:rPr>
          <w:rStyle w:val="FootnoteAnchor"/>
        </w:rPr>
        <w:footnoteReference w:id="176"/>
      </w:r>
    </w:p>
    <w:p>
      <w:pPr>
        <w:pStyle w:val="Normal"/>
        <w:spacing w:before="0" w:after="0"/>
        <w:contextualSpacing/>
        <w:rPr/>
      </w:pPr>
      <w:r>
        <w:rPr/>
      </w:r>
    </w:p>
    <w:p>
      <w:pPr>
        <w:pStyle w:val="Normal"/>
        <w:spacing w:before="0" w:after="0"/>
        <w:contextualSpacing/>
        <w:rPr/>
      </w:pPr>
      <w:r>
        <w:rP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pStyle w:val="Normal"/>
        <w:spacing w:before="0" w:after="0"/>
        <w:contextualSpacing/>
        <w:rPr/>
      </w:pPr>
      <w:r>
        <w:rPr/>
      </w:r>
    </w:p>
    <w:p>
      <w:pPr>
        <w:pStyle w:val="Normal"/>
        <w:spacing w:before="0" w:after="0"/>
        <w:contextualSpacing/>
        <w:rPr/>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pStyle w:val="Normal"/>
        <w:spacing w:before="0" w:after="0"/>
        <w:contextualSpacing/>
        <w:rPr/>
      </w:pPr>
      <w:r>
        <w:rPr/>
        <w:t xml:space="preserve"> </w:t>
      </w:r>
    </w:p>
    <w:p>
      <w:pPr>
        <w:pStyle w:val="Normal"/>
        <w:spacing w:before="0" w:after="0"/>
        <w:contextualSpacing/>
        <w:rPr/>
      </w:pPr>
      <w:r>
        <w:rPr/>
        <w:t>Also Northoff indicates gamma frequency oscillations correlated with self.</w:t>
      </w:r>
      <w:r>
        <w:rPr>
          <w:rStyle w:val="FootnoteAnchor"/>
        </w:rPr>
        <w:footnoteReference w:id="177"/>
      </w:r>
      <w:r>
        <w:rPr/>
        <w:t xml:space="preserve"> His conclusion is the following: </w:t>
      </w:r>
    </w:p>
    <w:p>
      <w:pPr>
        <w:pStyle w:val="Normal"/>
        <w:spacing w:before="0" w:after="0"/>
        <w:contextualSpacing/>
        <w:rPr/>
      </w:pPr>
      <w:r>
        <w:rPr/>
      </w:r>
    </w:p>
    <w:p>
      <w:pPr>
        <w:pStyle w:val="Normal"/>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pStyle w:val="Normal"/>
        <w:spacing w:before="0" w:after="0"/>
        <w:contextualSpacing/>
        <w:rPr>
          <w:b/>
          <w:b/>
        </w:rPr>
      </w:pPr>
      <w:r>
        <w:rPr>
          <w:b/>
        </w:rPr>
      </w:r>
    </w:p>
    <w:p>
      <w:pPr>
        <w:pStyle w:val="Normal"/>
        <w:spacing w:before="0" w:after="0"/>
        <w:contextualSpacing/>
        <w:rPr/>
      </w:pPr>
      <w:r>
        <w:rP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FootnoteAnchor"/>
        </w:rPr>
        <w:footnoteReference w:id="178"/>
      </w:r>
      <w:r>
        <w:rPr/>
        <w:t xml:space="preserve"> It does not seem to be “identical with”, maybe it is about a kind of emergence or even supervenience. Anyway, from my EDWs perspective, the idea that the self is “based” on the brain mirrors directly a mixture of EDWs. </w:t>
      </w:r>
    </w:p>
    <w:p>
      <w:pPr>
        <w:pStyle w:val="Normal"/>
        <w:spacing w:before="0" w:after="0"/>
        <w:ind w:left="0" w:right="0" w:firstLine="720"/>
        <w:contextualSpacing/>
        <w:rPr/>
      </w:pPr>
      <w:r>
        <w:rPr/>
        <w:t>Northoff et al.</w:t>
      </w:r>
      <w:r>
        <w:rPr>
          <w:b/>
        </w:rPr>
        <w:t xml:space="preserve"> </w:t>
      </w:r>
      <w:r>
        <w:rPr/>
        <w:t>(2011) (Feinberg is among the authors)</w:t>
      </w:r>
      <w:r>
        <w:rPr>
          <w:b/>
        </w:rPr>
        <w:t xml:space="preserve"> </w:t>
      </w:r>
      <w:r>
        <w:rP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FootnoteAnchor"/>
        </w:rPr>
        <w:footnoteReference w:id="179"/>
      </w:r>
      <w:r>
        <w:rP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FootnoteAnchor"/>
        </w:rPr>
        <w:footnoteReference w:id="180"/>
      </w:r>
      <w:r>
        <w:rPr/>
        <w:t xml:space="preserve">.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pStyle w:val="Normal"/>
        <w:spacing w:before="0" w:after="0"/>
        <w:contextualSpacing/>
        <w:rPr/>
      </w:pPr>
      <w:r>
        <w:rPr/>
      </w:r>
    </w:p>
    <w:p>
      <w:pPr>
        <w:pStyle w:val="Normal"/>
        <w:spacing w:before="0" w:after="0"/>
        <w:contextualSpacing/>
        <w:rPr/>
      </w:pPr>
      <w:r>
        <w:rP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pStyle w:val="Normal"/>
        <w:spacing w:before="0" w:after="0"/>
        <w:ind w:left="0" w:right="0" w:firstLine="720"/>
        <w:contextualSpacing/>
        <w:rPr/>
      </w:pPr>
      <w:r>
        <w:rPr/>
        <w:t>Northoff et al. make a distinction between “content-based” and “process-based” concepts of the self.</w:t>
      </w:r>
      <w:r>
        <w:rPr>
          <w:rStyle w:val="FootnoteAnchor"/>
        </w:rPr>
        <w:footnoteReference w:id="181"/>
      </w:r>
      <w:r>
        <w:rP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FootnoteAnchor"/>
        </w:rPr>
        <w:footnoteReference w:id="182"/>
      </w:r>
      <w:r>
        <w:rPr/>
        <w:t xml:space="preserve"> (memories) and narrative self. (Northoff et al. 2011, p. 53) In fact, sensorimotor states, bodily contents and mental contents are all the self. Northoff writes that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pStyle w:val="Normal"/>
        <w:spacing w:before="0" w:after="0"/>
        <w:contextualSpacing/>
        <w:rPr/>
      </w:pPr>
      <w:r>
        <w:rPr/>
      </w:r>
    </w:p>
    <w:p>
      <w:pPr>
        <w:pStyle w:val="Normal"/>
        <w:spacing w:before="0" w:after="0"/>
        <w:contextualSpacing/>
        <w:rPr/>
      </w:pPr>
      <w:r>
        <w:rP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pStyle w:val="Normal"/>
        <w:spacing w:before="0" w:after="0"/>
        <w:contextualSpacing/>
        <w:rPr/>
      </w:pPr>
      <w:r>
        <w:rPr/>
        <w:tab/>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pStyle w:val="Normal"/>
        <w:spacing w:before="0" w:after="0"/>
        <w:contextualSpacing/>
        <w:rPr/>
      </w:pPr>
      <w:r>
        <w:rPr/>
        <w:tab/>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FootnoteAnchor"/>
        </w:rPr>
        <w:footnoteReference w:id="183"/>
      </w:r>
      <w:r>
        <w:rPr/>
        <w:t xml:space="preserve"> (Northoff et al. 2011, p. 55) Let me investigate two important paragraphs. </w:t>
      </w:r>
    </w:p>
    <w:p>
      <w:pPr>
        <w:pStyle w:val="Normal"/>
        <w:spacing w:before="0" w:after="0"/>
        <w:contextualSpacing/>
        <w:rPr/>
      </w:pPr>
      <w:r>
        <w:rPr/>
      </w:r>
    </w:p>
    <w:p>
      <w:pPr>
        <w:pStyle w:val="Normal"/>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pStyle w:val="Normal"/>
        <w:spacing w:before="0" w:after="0"/>
        <w:ind w:left="0" w:right="0" w:firstLine="720"/>
        <w:contextualSpacing/>
        <w:rPr/>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FootnoteAnchor"/>
        </w:rPr>
        <w:footnoteReference w:id="184"/>
      </w:r>
    </w:p>
    <w:p>
      <w:pPr>
        <w:pStyle w:val="Normal"/>
        <w:spacing w:before="0" w:after="0"/>
        <w:contextualSpacing/>
        <w:rPr/>
      </w:pPr>
      <w:r>
        <w:rPr/>
      </w:r>
    </w:p>
    <w:p>
      <w:pPr>
        <w:pStyle w:val="Normal"/>
        <w:spacing w:before="0" w:after="0"/>
        <w:contextualSpacing/>
        <w:rPr/>
      </w:pPr>
      <w:r>
        <w:rP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FootnoteAnchor"/>
        </w:rPr>
        <w:footnoteReference w:id="185"/>
      </w:r>
    </w:p>
    <w:p>
      <w:pPr>
        <w:pStyle w:val="Normal"/>
        <w:spacing w:before="0" w:after="0"/>
        <w:contextualSpacing/>
        <w:rPr/>
      </w:pPr>
      <w:r>
        <w:rPr/>
      </w:r>
    </w:p>
    <w:p>
      <w:pPr>
        <w:pStyle w:val="Normal"/>
        <w:spacing w:before="0" w:after="0"/>
        <w:contextualSpacing/>
        <w:rPr/>
      </w:pPr>
      <w:r>
        <w:rP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pStyle w:val="Normal"/>
        <w:spacing w:before="0" w:after="0"/>
        <w:contextualSpacing/>
        <w:rPr/>
      </w:pPr>
      <w:r>
        <w:rPr/>
        <w:tab/>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FootnoteAnchor"/>
        </w:rPr>
        <w:footnoteReference w:id="186"/>
      </w:r>
      <w:r>
        <w:rPr/>
        <w:t xml:space="preserve"> (Feinberg et al. 2011, p. 57) Without going into too many details, I would like to comment on one of the most important notions, a kind of “integration”:</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pStyle w:val="Normal"/>
        <w:spacing w:before="0" w:after="0"/>
        <w:contextualSpacing/>
        <w:rPr>
          <w:sz w:val="20"/>
          <w:szCs w:val="20"/>
        </w:rPr>
      </w:pPr>
      <w:r>
        <w:rPr>
          <w:sz w:val="20"/>
          <w:szCs w:val="20"/>
        </w:rPr>
      </w:r>
    </w:p>
    <w:p>
      <w:pPr>
        <w:pStyle w:val="Normal"/>
        <w:spacing w:before="0" w:after="0"/>
        <w:contextualSpacing/>
        <w:rPr/>
      </w:pPr>
      <w:r>
        <w:rP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FootnoteAnchor"/>
        </w:rPr>
        <w:footnoteReference w:id="187"/>
      </w:r>
      <w:r>
        <w:rPr/>
        <w:t xml:space="preserve"> However, Kant’s philosophy is investigated in greater detail in my book, some of Kant’s ideas are developed in extenso within the EDWs perspective, while some of his philosophical points are rejected. </w:t>
      </w:r>
    </w:p>
    <w:p>
      <w:pPr>
        <w:pStyle w:val="Normal"/>
        <w:spacing w:before="0" w:after="0"/>
        <w:ind w:left="0" w:right="0" w:firstLine="720"/>
        <w:contextualSpacing/>
        <w:rPr/>
      </w:pPr>
      <w:r>
        <w:rPr/>
        <w:t>Let me now discuss Northoff’s ideas (after 2010) that are quite similar to my ideas (2005 and 2008). Northoff introduces the “resting state of the brain”. As I already had said, in my paper from 2005</w:t>
      </w:r>
      <w:r>
        <w:rPr>
          <w:rStyle w:val="FootnoteAnchor"/>
        </w:rPr>
        <w:footnoteReference w:id="188"/>
      </w:r>
      <w:r>
        <w:rPr/>
        <w:t>, this “resting state” is mirrored by the implicit, unconscious knowledge that is the “I”. In 2008, I investigated Raichle’s “dark energy of the brain”, i.e., the “intrinsic activity of the brain”. (Raichle 2006 in Vacariu 2008)</w:t>
      </w:r>
      <w:r>
        <w:rPr>
          <w:rStyle w:val="FootnoteAnchor"/>
        </w:rPr>
        <w:footnoteReference w:id="189"/>
      </w:r>
      <w:r>
        <w:rP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FootnoteAnchor"/>
        </w:rPr>
        <w:footnoteReference w:id="190"/>
      </w:r>
      <w:r>
        <w:rPr/>
        <w:t xml:space="preserve"> Northoff adds these words about Kant: </w:t>
      </w:r>
    </w:p>
    <w:p>
      <w:pPr>
        <w:pStyle w:val="Normal"/>
        <w:spacing w:before="0" w:after="0"/>
        <w:contextualSpacing/>
        <w:rPr/>
      </w:pPr>
      <w:r>
        <w:rPr/>
      </w:r>
    </w:p>
    <w:p>
      <w:pPr>
        <w:pStyle w:val="Normal"/>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pStyle w:val="Normal"/>
        <w:spacing w:before="0" w:after="0"/>
        <w:contextualSpacing/>
        <w:rPr/>
      </w:pPr>
      <w:r>
        <w:rPr/>
      </w:r>
    </w:p>
    <w:p>
      <w:pPr>
        <w:pStyle w:val="Normal"/>
        <w:spacing w:before="0" w:after="0"/>
        <w:contextualSpacing/>
        <w:rPr/>
      </w:pPr>
      <w:r>
        <w:rP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FootnoteAnchor"/>
        </w:rPr>
        <w:footnoteReference w:id="191"/>
      </w:r>
      <w:r>
        <w:rPr/>
        <w:t xml:space="preserve"> </w:t>
      </w:r>
    </w:p>
    <w:p>
      <w:pPr>
        <w:pStyle w:val="Normal"/>
        <w:spacing w:before="0" w:after="0"/>
        <w:ind w:left="0" w:right="0" w:firstLine="720"/>
        <w:contextualSpacing/>
        <w:rPr/>
      </w:pPr>
      <w:r>
        <w:rP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FootnoteAnchor"/>
        </w:rPr>
        <w:footnoteReference w:id="192"/>
      </w:r>
      <w:r>
        <w:rP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FootnoteAnchor"/>
        </w:rPr>
        <w:footnoteReference w:id="193"/>
      </w:r>
      <w:r>
        <w:rPr/>
        <w:t xml:space="preserve"> On the same line, I introduce a paragraph from Qin and Northoff’s paper (2011) (a paper dedicated to their research on “cortical middle structures” and DMN): </w:t>
      </w:r>
    </w:p>
    <w:p>
      <w:pPr>
        <w:pStyle w:val="Normal"/>
        <w:spacing w:before="0" w:after="0"/>
        <w:contextualSpacing/>
        <w:rPr/>
      </w:pPr>
      <w:r>
        <w:rPr/>
      </w:r>
    </w:p>
    <w:p>
      <w:pPr>
        <w:pStyle w:val="Normal"/>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pStyle w:val="Normal"/>
        <w:spacing w:before="0" w:after="0"/>
        <w:contextualSpacing/>
        <w:rPr>
          <w:sz w:val="20"/>
          <w:szCs w:val="20"/>
        </w:rPr>
      </w:pPr>
      <w:r>
        <w:rPr>
          <w:sz w:val="20"/>
          <w:szCs w:val="20"/>
        </w:rPr>
        <w:t>the limitations in our knowledge and epistemic abilities) than to the self and the brain themselves. (Qin and Northoff 2011, p. 1230)</w:t>
      </w:r>
    </w:p>
    <w:p>
      <w:pPr>
        <w:pStyle w:val="Normal"/>
        <w:spacing w:before="0" w:after="0"/>
        <w:contextualSpacing/>
        <w:rPr/>
      </w:pPr>
      <w:r>
        <w:rPr/>
      </w:r>
    </w:p>
    <w:p>
      <w:pPr>
        <w:pStyle w:val="Normal"/>
        <w:spacing w:before="0" w:after="0"/>
        <w:contextualSpacing/>
        <w:rPr/>
      </w:pPr>
      <w:r>
        <w:rPr/>
        <w:t>Also, this paragraph looks as if it was written by somebody working under the EDWs perspective (an extension of Kant’s transcendentalism).</w:t>
      </w:r>
      <w:r>
        <w:rPr>
          <w:rStyle w:val="FootnoteAnchor"/>
        </w:rPr>
        <w:footnoteReference w:id="194"/>
      </w:r>
      <w:r>
        <w:rPr/>
        <w:t xml:space="preserve"> In my paper (2005) and my book (2008), following Kant’s philosophy, I suggested that the “internal-external dichotomy” for explaining the self is quite wrong. In another article Northoff writes that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FootnoteAnchor"/>
        </w:rPr>
        <w:footnoteReference w:id="195"/>
      </w:r>
    </w:p>
    <w:p>
      <w:pPr>
        <w:pStyle w:val="Normal"/>
        <w:spacing w:before="0" w:after="0"/>
        <w:contextualSpacing/>
        <w:rPr/>
      </w:pPr>
      <w:r>
        <w:rPr/>
      </w:r>
    </w:p>
    <w:p>
      <w:pPr>
        <w:pStyle w:val="Normal"/>
        <w:spacing w:before="0" w:after="0"/>
        <w:contextualSpacing/>
        <w:rPr/>
      </w:pPr>
      <w:r>
        <w:rPr/>
        <w:t>Northoff uses this notion of “observer” often in his book (2011).</w:t>
      </w:r>
      <w:r>
        <w:rPr>
          <w:rStyle w:val="FootnoteAnchor"/>
        </w:rPr>
        <w:footnoteReference w:id="196"/>
      </w:r>
      <w:r>
        <w:rPr/>
        <w:t xml:space="preserve"> (see below) As early as 2002, together with Dalia Terhesiu, I wrote two papers </w:t>
      </w:r>
      <w:r>
        <w:rPr>
          <w:highlight w:val="white"/>
        </w:rPr>
        <w:t>in which, following Kant's philosophy, I introduced the notion of the "observer" for the mind-brain problem.</w:t>
      </w:r>
      <w:r>
        <w:rPr>
          <w:rStyle w:val="FootnoteAnchor"/>
        </w:rPr>
        <w:footnoteReference w:id="197"/>
      </w:r>
      <w:r>
        <w:rP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rPr/>
        <w:t xml:space="preserve">to Sporns’s ideas: </w:t>
      </w:r>
    </w:p>
    <w:p>
      <w:pPr>
        <w:pStyle w:val="Normal"/>
        <w:spacing w:before="0" w:after="0"/>
        <w:contextualSpacing/>
        <w:rPr/>
      </w:pPr>
      <w:r>
        <w:rPr/>
      </w:r>
    </w:p>
    <w:p>
      <w:pPr>
        <w:pStyle w:val="Normal"/>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pStyle w:val="Normal"/>
        <w:spacing w:before="0" w:after="0"/>
        <w:contextualSpacing/>
        <w:rPr/>
      </w:pPr>
      <w:r>
        <w:rPr/>
      </w:r>
    </w:p>
    <w:p>
      <w:pPr>
        <w:pStyle w:val="Normal"/>
        <w:spacing w:before="0" w:after="0"/>
        <w:contextualSpacing/>
        <w:rPr/>
      </w:pPr>
      <w:r>
        <w:rPr/>
        <w:t>Also, in the context of the dynamical system approach, I introduce Raichle’s ideas about the “dark energy of the brain” that represents exactly the default mode network.</w:t>
      </w:r>
      <w:r>
        <w:rPr>
          <w:rStyle w:val="FootnoteAnchor"/>
        </w:rPr>
        <w:footnoteReference w:id="198"/>
      </w:r>
      <w:r>
        <w:rPr/>
        <w:t xml:space="preserve"> </w:t>
      </w:r>
    </w:p>
    <w:p>
      <w:pPr>
        <w:pStyle w:val="Normal"/>
        <w:spacing w:before="0" w:after="0"/>
        <w:ind w:left="0" w:right="0" w:firstLine="720"/>
        <w:contextualSpacing/>
        <w:rPr/>
      </w:pPr>
      <w:r>
        <w:rP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FootnoteAnchor"/>
        </w:rPr>
        <w:footnoteReference w:id="199"/>
      </w:r>
      <w:r>
        <w:rPr>
          <w:sz w:val="20"/>
          <w:szCs w:val="20"/>
        </w:rPr>
        <w:t xml:space="preserve"> (Vacariu 2008, p. 191) </w:t>
      </w:r>
    </w:p>
    <w:p>
      <w:pPr>
        <w:pStyle w:val="Normal"/>
        <w:spacing w:before="0" w:after="0"/>
        <w:contextualSpacing/>
        <w:rPr/>
      </w:pPr>
      <w:r>
        <w:rPr/>
      </w:r>
    </w:p>
    <w:p>
      <w:pPr>
        <w:pStyle w:val="Normal"/>
        <w:spacing w:before="0" w:after="0"/>
        <w:contextualSpacing/>
        <w:rPr/>
      </w:pPr>
      <w:r>
        <w:rP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rP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pStyle w:val="Normal"/>
        <w:spacing w:before="0" w:after="0"/>
        <w:contextualSpacing/>
        <w:rPr/>
      </w:pPr>
      <w:r>
        <w:rPr/>
      </w:r>
    </w:p>
    <w:p>
      <w:pPr>
        <w:pStyle w:val="Normal"/>
        <w:spacing w:before="0" w:after="0"/>
        <w:contextualSpacing/>
        <w:rPr/>
      </w:pPr>
      <w:r>
        <w:rPr/>
        <w:t xml:space="preserve">Pushing Kant’s transcendental idealism further, I can say that </w:t>
      </w:r>
      <w:r>
        <w:rPr>
          <w:i/>
          <w:iCs/>
        </w:rPr>
        <w:t xml:space="preserve">epistemologically </w:t>
      </w:r>
      <w:r>
        <w:rPr/>
        <w:t xml:space="preserve">the EDWs are not “my” world but are the knowledge about them that are parts of the “I”. </w:t>
      </w:r>
      <w:r>
        <w:rPr>
          <w:i/>
          <w:iCs/>
        </w:rPr>
        <w:t>Hyperontologically</w:t>
      </w:r>
      <w:r>
        <w:rPr/>
        <w:t>, this knowledge corresponds to real EDWs. (Vacariu 2008)</w:t>
      </w:r>
      <w:r>
        <w:rPr>
          <w:rStyle w:val="FootnoteAnchor"/>
        </w:rPr>
        <w:footnoteReference w:id="200"/>
      </w:r>
      <w:r>
        <w:rPr/>
        <w:t xml:space="preserve"> Any mental state (including perceptual mental representations of the external world or the body) is the “I” and accepting Kantian transcendentalism (“</w:t>
      </w:r>
      <w:r>
        <w:rPr>
          <w:i/>
        </w:rPr>
        <w:t>the</w:t>
      </w:r>
      <w:r>
        <w:rPr/>
        <w:t xml:space="preserve"> world is not simply </w:t>
      </w:r>
      <w:r>
        <w:rPr>
          <w:i/>
        </w:rPr>
        <w:t>my</w:t>
      </w:r>
      <w:r>
        <w:rPr/>
        <w:t xml:space="preserve"> world”, but “the world, for Kant, actually </w:t>
      </w:r>
      <w:r>
        <w:rPr>
          <w:i/>
        </w:rPr>
        <w:t>is</w:t>
      </w:r>
      <w:r>
        <w:rP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pStyle w:val="Normal"/>
        <w:spacing w:before="0" w:after="0"/>
        <w:ind w:left="0" w:right="0" w:firstLine="720"/>
        <w:contextualSpacing/>
        <w:rPr/>
      </w:pPr>
      <w:r>
        <w:rP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pStyle w:val="Normal"/>
        <w:spacing w:before="0" w:after="0"/>
        <w:contextualSpacing/>
        <w:rPr/>
      </w:pPr>
      <w:r>
        <w:rPr/>
      </w:r>
    </w:p>
    <w:p>
      <w:pPr>
        <w:pStyle w:val="Normal"/>
        <w:spacing w:before="0" w:after="0"/>
        <w:contextualSpacing/>
        <w:rPr/>
      </w:pPr>
      <w:r>
        <w:rPr/>
        <w:t>Following Kant, I was the first (from my knowledge) who pointed out that we cannot talk about real “space” in our mind but about the mental representation of space, i.e. a “virtual space”</w:t>
      </w:r>
      <w:r>
        <w:rPr>
          <w:rStyle w:val="FootnoteAnchor"/>
        </w:rPr>
        <w:footnoteReference w:id="201"/>
      </w:r>
      <w:r>
        <w:rP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pStyle w:val="Normal"/>
        <w:spacing w:before="0" w:after="0"/>
        <w:ind w:left="0" w:right="0" w:firstLine="720"/>
        <w:contextualSpacing/>
        <w:rPr/>
      </w:pPr>
      <w:r>
        <w:rP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rPr/>
        <w:t>(as J. Hohwy says in his article, as quoted above)” (Northoff 2014, p. xv)</w:t>
      </w:r>
      <w:r>
        <w:rPr>
          <w:rStyle w:val="FootnoteAnchor"/>
        </w:rPr>
        <w:footnoteReference w:id="202"/>
      </w:r>
      <w:r>
        <w:rP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rP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pStyle w:val="Normal"/>
        <w:spacing w:before="0" w:after="0"/>
        <w:contextualSpacing/>
        <w:rPr/>
      </w:pPr>
      <w:r>
        <w:rPr/>
        <w:tab/>
        <w:t>I return to the last paragraph from the paper of Northoff et al. (2011a). One of the main notions, the “intero–exteroceptive integration” is meaningless!</w:t>
      </w:r>
      <w:r>
        <w:rPr>
          <w:rStyle w:val="FootnoteAnchor"/>
        </w:rPr>
        <w:footnoteReference w:id="203"/>
      </w:r>
      <w:r>
        <w:rP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pStyle w:val="Normal"/>
        <w:spacing w:before="0" w:after="0"/>
        <w:contextualSpacing/>
        <w:rPr/>
      </w:pPr>
      <w:r>
        <w:rPr/>
      </w:r>
    </w:p>
    <w:p>
      <w:pPr>
        <w:pStyle w:val="Normal"/>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pStyle w:val="Normal"/>
        <w:spacing w:before="0" w:after="0"/>
        <w:contextualSpacing/>
        <w:rPr>
          <w:sz w:val="20"/>
          <w:szCs w:val="20"/>
        </w:rPr>
      </w:pPr>
      <w:r>
        <w:rPr>
          <w:sz w:val="20"/>
          <w:szCs w:val="20"/>
        </w:rPr>
      </w:r>
    </w:p>
    <w:p>
      <w:pPr>
        <w:pStyle w:val="Normal"/>
        <w:spacing w:before="0" w:after="0"/>
        <w:contextualSpacing/>
        <w:rPr/>
      </w:pPr>
      <w:r>
        <w:rP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pStyle w:val="Normal"/>
        <w:spacing w:before="0" w:after="0"/>
        <w:ind w:left="0" w:right="0" w:firstLine="720"/>
        <w:contextualSpacing/>
        <w:rPr/>
      </w:pPr>
      <w:r>
        <w:rP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pStyle w:val="Normal"/>
        <w:spacing w:before="0" w:after="0"/>
        <w:contextualSpacing/>
        <w:rPr/>
      </w:pPr>
      <w:r>
        <w:rPr/>
        <w:tab/>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pStyle w:val="Normal"/>
        <w:spacing w:before="0" w:after="0"/>
        <w:contextualSpacing/>
        <w:rPr/>
      </w:pPr>
      <w:r>
        <w:rPr/>
      </w:r>
    </w:p>
    <w:p>
      <w:pPr>
        <w:pStyle w:val="Normal"/>
        <w:spacing w:before="0" w:after="0"/>
        <w:contextualSpacing/>
        <w:rPr/>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rPr/>
        <w:tab/>
      </w:r>
      <w:r>
        <w:rPr>
          <w:sz w:val="20"/>
          <w:szCs w:val="20"/>
        </w:rPr>
        <w:t xml:space="preserve"> </w:t>
      </w:r>
    </w:p>
    <w:p>
      <w:pPr>
        <w:pStyle w:val="Normal"/>
        <w:spacing w:before="0" w:after="0"/>
        <w:contextualSpacing/>
        <w:rPr/>
      </w:pPr>
      <w:r>
        <w:rPr/>
      </w:r>
    </w:p>
    <w:p>
      <w:pPr>
        <w:pStyle w:val="Normal"/>
        <w:spacing w:before="0" w:after="0"/>
        <w:contextualSpacing/>
        <w:rPr/>
      </w:pPr>
      <w:r>
        <w:rP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FootnoteAnchor"/>
        </w:rPr>
        <w:footnoteReference w:id="204"/>
      </w:r>
      <w:r>
        <w:rP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pStyle w:val="Normal"/>
        <w:spacing w:before="0" w:after="0"/>
        <w:contextualSpacing/>
        <w:rPr/>
      </w:pPr>
      <w:r>
        <w:rPr/>
      </w:r>
    </w:p>
    <w:p>
      <w:pPr>
        <w:pStyle w:val="Normal"/>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pStyle w:val="Normal"/>
        <w:spacing w:before="0" w:after="0"/>
        <w:contextualSpacing/>
        <w:rPr/>
      </w:pPr>
      <w:r>
        <w:rPr/>
      </w:r>
    </w:p>
    <w:p>
      <w:pPr>
        <w:pStyle w:val="Normal"/>
        <w:spacing w:before="0" w:after="0"/>
        <w:contextualSpacing/>
        <w:rPr/>
      </w:pPr>
      <w:r>
        <w:rPr/>
        <w:t xml:space="preserve">Northoff insists that NPP is quite different from Koch’s “neural correlates of consciousness” (NCC). NPP is related to the brain’s intrinsic activity (resting state of the brain or default mode network, Raichle’s DMN). </w:t>
      </w:r>
    </w:p>
    <w:p>
      <w:pPr>
        <w:pStyle w:val="Normal"/>
        <w:spacing w:before="0" w:after="0"/>
        <w:ind w:left="0" w:right="0" w:firstLine="720"/>
        <w:contextualSpacing/>
        <w:rPr/>
      </w:pPr>
      <w:r>
        <w:rP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FootnoteAnchor"/>
        </w:rPr>
        <w:footnoteReference w:id="205"/>
      </w:r>
      <w:r>
        <w:rP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FootnoteAnchor"/>
        </w:rPr>
        <w:footnoteReference w:id="206"/>
      </w:r>
      <w:r>
        <w:rPr/>
        <w:t xml:space="preserve"> Anyway, he emphasizes that these distinctions are epistemological notions referring to phenomena and not to noumena. My EDWs perspective rejects the notion of noumena.</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pStyle w:val="Normal"/>
        <w:spacing w:before="0" w:after="0"/>
        <w:contextualSpacing/>
        <w:rPr/>
      </w:pPr>
      <w:r>
        <w:rPr/>
      </w:r>
    </w:p>
    <w:p>
      <w:pPr>
        <w:pStyle w:val="Normal"/>
        <w:spacing w:before="0" w:after="0"/>
        <w:contextualSpacing/>
        <w:rPr/>
      </w:pPr>
      <w:r>
        <w:rPr/>
        <w:t xml:space="preserve">All the ideas from these paragraphs are very similar to my ideas from 2005 and 2008. Avoiding the dualism, Northoff officially avoids any ontological assumptions and wants to work only within an epistemological framework. (Northoff 2011b, p. 46)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FootnoteAnchor"/>
        </w:rPr>
        <w:footnoteReference w:id="207"/>
      </w:r>
    </w:p>
    <w:p>
      <w:pPr>
        <w:pStyle w:val="Normal"/>
        <w:spacing w:before="0" w:after="0"/>
        <w:contextualSpacing/>
        <w:rPr>
          <w:sz w:val="19"/>
          <w:szCs w:val="19"/>
        </w:rPr>
      </w:pPr>
      <w:r>
        <w:rPr>
          <w:sz w:val="19"/>
          <w:szCs w:val="19"/>
        </w:rPr>
      </w:r>
    </w:p>
    <w:p>
      <w:pPr>
        <w:pStyle w:val="Normal"/>
        <w:spacing w:before="0" w:after="0"/>
        <w:contextualSpacing/>
        <w:rPr/>
      </w:pPr>
      <w:r>
        <w:rP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FootnoteAnchor"/>
        </w:rPr>
        <w:footnoteReference w:id="208"/>
      </w:r>
      <w:r>
        <w:rP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pStyle w:val="Normal"/>
        <w:spacing w:before="0" w:after="0"/>
        <w:contextualSpacing/>
        <w:rPr/>
      </w:pPr>
      <w:r>
        <w:rPr/>
      </w:r>
    </w:p>
    <w:p>
      <w:pPr>
        <w:pStyle w:val="Normal"/>
        <w:spacing w:before="0" w:after="0"/>
        <w:contextualSpacing/>
        <w:rPr/>
      </w:pPr>
      <w:r>
        <w:rP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FootnoteAnchor"/>
        </w:rPr>
        <w:footnoteReference w:id="209"/>
      </w:r>
      <w:r>
        <w:rPr/>
        <w:t xml:space="preserve"> Another essential Northoff’s concept is “cathexis”, the brain’s energy or its intrinsic or resting activity of the brain. (Northoff 2011b, p. 85)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pStyle w:val="Normal"/>
        <w:spacing w:before="0" w:after="0"/>
        <w:contextualSpacing/>
        <w:rPr>
          <w:sz w:val="20"/>
          <w:szCs w:val="20"/>
        </w:rPr>
      </w:pPr>
      <w:r>
        <w:rPr>
          <w:sz w:val="20"/>
          <w:szCs w:val="20"/>
        </w:rPr>
        <w:t>thereby accounting for cathexis as a “neuro-mental bridge concept” (see Chapter 5). (Northoff 2011b, p. 85)</w:t>
      </w:r>
    </w:p>
    <w:p>
      <w:pPr>
        <w:pStyle w:val="Normal"/>
        <w:spacing w:before="0" w:after="0"/>
        <w:contextualSpacing/>
        <w:rPr/>
      </w:pPr>
      <w:r>
        <w:rPr/>
      </w:r>
    </w:p>
    <w:p>
      <w:pPr>
        <w:pStyle w:val="Normal"/>
        <w:spacing w:before="0" w:after="0"/>
        <w:contextualSpacing/>
        <w:rPr/>
      </w:pPr>
      <w:r>
        <w:rP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FootnoteAnchor"/>
        </w:rPr>
        <w:footnoteReference w:id="210"/>
      </w:r>
      <w:r>
        <w:rP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FootnoteAnchor"/>
        </w:rPr>
        <w:footnoteReference w:id="211"/>
      </w:r>
      <w:r>
        <w:rPr/>
        <w:t xml:space="preserve"> Within my EDWs perspective, one of the most important notions is that of “correspondence”. I created this notion just to avoid “correlation”. Northoff uses exactly the same notion with the same meaning in order to avoid “correlation”!</w:t>
      </w:r>
      <w:r>
        <w:rPr>
          <w:rStyle w:val="FootnoteAnchor"/>
        </w:rPr>
        <w:footnoteReference w:id="212"/>
      </w:r>
      <w:r>
        <w:rP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FootnoteAnchor"/>
        </w:rPr>
        <w:footnoteReference w:id="213"/>
      </w:r>
      <w:r>
        <w:rP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pStyle w:val="Normal"/>
        <w:spacing w:before="0" w:after="0"/>
        <w:ind w:left="0" w:right="0" w:firstLine="720"/>
        <w:contextualSpacing/>
        <w:rPr/>
      </w:pPr>
      <w:r>
        <w:rPr/>
        <w:t xml:space="preserve"> </w:t>
      </w:r>
    </w:p>
    <w:p>
      <w:pPr>
        <w:pStyle w:val="Normal"/>
        <w:spacing w:before="0" w:after="0"/>
        <w:contextualSpacing/>
        <w:rPr/>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FootnoteAnchor"/>
        </w:rPr>
        <w:footnoteReference w:id="214"/>
      </w:r>
    </w:p>
    <w:p>
      <w:pPr>
        <w:pStyle w:val="Normal"/>
        <w:spacing w:before="0" w:after="0"/>
        <w:contextualSpacing/>
        <w:rPr/>
      </w:pPr>
      <w:r>
        <w:rPr/>
      </w:r>
    </w:p>
    <w:p>
      <w:pPr>
        <w:pStyle w:val="Normal"/>
        <w:spacing w:before="0" w:after="0"/>
        <w:contextualSpacing/>
        <w:rPr/>
      </w:pPr>
      <w:r>
        <w:rPr/>
        <w:t xml:space="preserve">Northoff writes often about the </w:t>
      </w:r>
      <w:r>
        <w:rPr>
          <w:i/>
        </w:rPr>
        <w:t>interactions between mental states and neuronal states</w:t>
      </w:r>
      <w:r>
        <w:rP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FootnoteAnchor"/>
        </w:rPr>
        <w:footnoteReference w:id="215"/>
      </w:r>
      <w:r>
        <w:rPr/>
        <w:t xml:space="preserve"> Northoff considers that the unconscious mental states produce conscious mental state.</w:t>
      </w:r>
      <w:r>
        <w:rPr>
          <w:rStyle w:val="FootnoteAnchor"/>
        </w:rPr>
        <w:footnoteReference w:id="216"/>
      </w:r>
      <w:r>
        <w:rP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pStyle w:val="Normal"/>
        <w:spacing w:before="0" w:after="0"/>
        <w:contextualSpacing/>
        <w:rPr/>
      </w:pPr>
      <w:r>
        <w:rPr/>
      </w:r>
    </w:p>
    <w:p>
      <w:pPr>
        <w:pStyle w:val="Normal"/>
        <w:spacing w:before="0" w:after="0"/>
        <w:contextualSpacing/>
        <w:rPr/>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FootnoteAnchor"/>
        </w:rPr>
        <w:footnoteReference w:id="217"/>
      </w:r>
      <w:r>
        <w:rPr>
          <w:sz w:val="20"/>
          <w:szCs w:val="20"/>
        </w:rPr>
        <w:t xml:space="preserve"> </w:t>
      </w:r>
    </w:p>
    <w:p>
      <w:pPr>
        <w:pStyle w:val="Normal"/>
        <w:spacing w:before="0" w:after="0"/>
        <w:contextualSpacing/>
        <w:rPr/>
      </w:pPr>
      <w:r>
        <w:rPr/>
      </w:r>
    </w:p>
    <w:p>
      <w:pPr>
        <w:pStyle w:val="Normal"/>
        <w:spacing w:before="0" w:after="0"/>
        <w:contextualSpacing/>
        <w:rPr/>
      </w:pPr>
      <w:r>
        <w:rP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FootnoteAnchor"/>
        </w:rPr>
        <w:footnoteReference w:id="218"/>
      </w:r>
    </w:p>
    <w:p>
      <w:pPr>
        <w:pStyle w:val="Normal"/>
        <w:spacing w:before="0" w:after="0"/>
        <w:contextualSpacing/>
        <w:rPr/>
      </w:pPr>
      <w:r>
        <w:rPr/>
      </w:r>
    </w:p>
    <w:p>
      <w:pPr>
        <w:pStyle w:val="Normal"/>
        <w:spacing w:before="0" w:after="0"/>
        <w:contextualSpacing/>
        <w:rPr/>
      </w:pPr>
      <w:r>
        <w:rP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pStyle w:val="Normal"/>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pStyle w:val="Normal"/>
        <w:spacing w:before="0" w:after="0"/>
        <w:contextualSpacing/>
        <w:rPr>
          <w:sz w:val="20"/>
          <w:szCs w:val="20"/>
        </w:rPr>
      </w:pPr>
      <w:r>
        <w:rPr>
          <w:sz w:val="20"/>
          <w:szCs w:val="20"/>
        </w:rPr>
      </w:r>
    </w:p>
    <w:p>
      <w:pPr>
        <w:pStyle w:val="Normal"/>
        <w:spacing w:before="0" w:after="0"/>
        <w:contextualSpacing/>
        <w:rPr/>
      </w:pPr>
      <w:r>
        <w:rP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pStyle w:val="Normal"/>
        <w:spacing w:before="0" w:after="0"/>
        <w:contextualSpacing/>
        <w:rPr>
          <w:sz w:val="20"/>
          <w:szCs w:val="20"/>
        </w:rPr>
      </w:pPr>
      <w:r>
        <w:rPr>
          <w:sz w:val="20"/>
          <w:szCs w:val="20"/>
        </w:rPr>
      </w:r>
    </w:p>
    <w:p>
      <w:pPr>
        <w:pStyle w:val="Normal"/>
        <w:spacing w:before="0" w:after="0"/>
        <w:contextualSpacing/>
        <w:rPr/>
      </w:pPr>
      <w:r>
        <w:rPr/>
        <w:t xml:space="preserve">This paragraph has Footnote 8: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pStyle w:val="Normal"/>
        <w:spacing w:before="0" w:after="0"/>
        <w:contextualSpacing/>
        <w:rPr/>
      </w:pPr>
      <w:r>
        <w:rPr/>
      </w:r>
    </w:p>
    <w:p>
      <w:pPr>
        <w:pStyle w:val="Normal"/>
        <w:spacing w:before="0" w:after="0"/>
        <w:contextualSpacing/>
        <w:rPr/>
      </w:pPr>
      <w:r>
        <w:rP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pStyle w:val="Normal"/>
        <w:spacing w:before="0" w:after="0"/>
        <w:contextualSpacing/>
        <w:rPr/>
      </w:pPr>
      <w:r>
        <w:rPr/>
      </w:r>
    </w:p>
    <w:p>
      <w:pPr>
        <w:pStyle w:val="Normal"/>
        <w:spacing w:before="0" w:after="0"/>
        <w:ind w:left="0" w:right="0" w:firstLine="720"/>
        <w:contextualSpacing/>
        <w:rPr>
          <w:sz w:val="20"/>
          <w:szCs w:val="20"/>
        </w:rPr>
      </w:pPr>
      <w:r>
        <w:rPr>
          <w:sz w:val="20"/>
          <w:szCs w:val="20"/>
        </w:rPr>
      </w:r>
    </w:p>
    <w:p>
      <w:pPr>
        <w:pStyle w:val="Normal"/>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pStyle w:val="Normal"/>
        <w:spacing w:before="0" w:after="0"/>
        <w:contextualSpacing/>
        <w:rPr>
          <w:sz w:val="20"/>
          <w:szCs w:val="20"/>
        </w:rPr>
      </w:pPr>
      <w:r>
        <w:rPr>
          <w:sz w:val="20"/>
          <w:szCs w:val="20"/>
        </w:rPr>
      </w:r>
    </w:p>
    <w:p>
      <w:pPr>
        <w:pStyle w:val="Normal"/>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pStyle w:val="Normal"/>
        <w:spacing w:before="0" w:after="0"/>
        <w:contextualSpacing/>
        <w:rPr>
          <w:sz w:val="20"/>
          <w:szCs w:val="20"/>
        </w:rPr>
      </w:pPr>
      <w:r>
        <w:rPr>
          <w:sz w:val="20"/>
          <w:szCs w:val="20"/>
        </w:rPr>
      </w:r>
    </w:p>
    <w:p>
      <w:pPr>
        <w:pStyle w:val="Normal"/>
        <w:spacing w:before="0" w:after="0"/>
        <w:contextualSpacing/>
        <w:rPr/>
      </w:pPr>
      <w:r>
        <w:rP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FootnoteAnchor"/>
        </w:rPr>
        <w:footnoteReference w:id="219"/>
      </w:r>
    </w:p>
    <w:p>
      <w:pPr>
        <w:pStyle w:val="Normal"/>
        <w:spacing w:before="0" w:after="0"/>
        <w:contextualSpacing/>
        <w:rPr/>
      </w:pPr>
      <w:r>
        <w:rPr/>
      </w:r>
    </w:p>
    <w:p>
      <w:pPr>
        <w:pStyle w:val="Normal"/>
        <w:spacing w:before="0" w:after="0"/>
        <w:contextualSpacing/>
        <w:rPr/>
      </w:pPr>
      <w:r>
        <w:rPr/>
        <w:t xml:space="preserve">We see here a distinction between the self and the organism, and only the organism interacts with the environment. </w:t>
      </w:r>
    </w:p>
    <w:p>
      <w:pPr>
        <w:pStyle w:val="Normal"/>
        <w:spacing w:before="0" w:after="0"/>
        <w:contextualSpacing/>
        <w:rPr/>
      </w:pPr>
      <w:r>
        <w:rPr/>
        <w:tab/>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pStyle w:val="Normal"/>
        <w:spacing w:before="0" w:after="0"/>
        <w:contextualSpacing/>
        <w:rPr/>
      </w:pPr>
      <w:r>
        <w:rP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FootnoteAnchor"/>
        </w:rPr>
        <w:footnoteReference w:id="220"/>
      </w:r>
      <w:r>
        <w:rPr/>
        <w:t xml:space="preserve">  </w:t>
      </w:r>
    </w:p>
    <w:p>
      <w:pPr>
        <w:pStyle w:val="Normal"/>
        <w:spacing w:before="0" w:after="0"/>
        <w:contextualSpacing/>
        <w:rPr/>
      </w:pPr>
      <w:r>
        <w:rPr/>
      </w:r>
    </w:p>
    <w:p>
      <w:pPr>
        <w:pStyle w:val="Normal"/>
        <w:numPr>
          <w:ilvl w:val="0"/>
          <w:numId w:val="26"/>
        </w:numPr>
        <w:spacing w:before="0" w:after="0"/>
        <w:ind w:left="0" w:right="0" w:hanging="0"/>
        <w:contextualSpacing/>
        <w:rPr/>
      </w:pPr>
      <w:r>
        <w:rPr>
          <w:b/>
        </w:rPr>
        <w:t xml:space="preserve">Georg Northoff (2014) </w:t>
      </w:r>
      <w:r>
        <w:rPr>
          <w:b/>
          <w:i/>
        </w:rPr>
        <w:t>Unlocking the brain</w:t>
      </w:r>
      <w:r>
        <w:rPr>
          <w:b/>
        </w:rPr>
        <w:t xml:space="preserve">, Oxford University Press </w:t>
      </w:r>
    </w:p>
    <w:p>
      <w:pPr>
        <w:pStyle w:val="Normal"/>
        <w:spacing w:before="0" w:after="0"/>
        <w:contextualSpacing/>
        <w:rPr/>
      </w:pPr>
      <w:r>
        <w:rP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rPr/>
        <w:t xml:space="preserve"> that are very similar to my ideas from 2002 to 2010. </w:t>
        <w:tab/>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pStyle w:val="Normal"/>
        <w:spacing w:before="0" w:after="0"/>
        <w:contextualSpacing/>
        <w:rPr/>
      </w:pPr>
      <w:r>
        <w:rPr/>
      </w:r>
    </w:p>
    <w:p>
      <w:pPr>
        <w:pStyle w:val="Normal"/>
        <w:spacing w:before="0" w:after="0"/>
        <w:contextualSpacing/>
        <w:rPr>
          <w:b/>
          <w:b/>
        </w:rPr>
      </w:pPr>
      <w:r>
        <w:rPr>
          <w:b/>
        </w:rPr>
        <w:t>Volume 1: “Coding” (2014)</w:t>
      </w:r>
    </w:p>
    <w:p>
      <w:pPr>
        <w:pStyle w:val="Normal"/>
        <w:spacing w:before="0" w:after="0"/>
        <w:contextualSpacing/>
        <w:rPr/>
      </w:pPr>
      <w:r>
        <w:rPr/>
        <w:t xml:space="preserve">Even the title of the first volume maintains the above ideas: “coding”. This volume is about neuronal “coding” of mental states. It is not about neuronal patterns producing mental states, as he supported in his previous works. </w:t>
      </w:r>
    </w:p>
    <w:p>
      <w:pPr>
        <w:pStyle w:val="Normal"/>
        <w:spacing w:before="0" w:after="0"/>
        <w:contextualSpacing/>
        <w:rPr/>
      </w:pPr>
      <w:r>
        <w:rPr/>
        <w:tab/>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pStyle w:val="Normal"/>
        <w:spacing w:before="0" w:after="0"/>
        <w:contextualSpacing/>
        <w:rPr/>
      </w:pPr>
      <w:r>
        <w:rPr/>
      </w:r>
    </w:p>
    <w:p>
      <w:pPr>
        <w:pStyle w:val="Normal"/>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pStyle w:val="Normal"/>
        <w:spacing w:before="0" w:after="0"/>
        <w:contextualSpacing/>
        <w:rPr/>
      </w:pPr>
      <w:r>
        <w:rPr/>
      </w:r>
    </w:p>
    <w:p>
      <w:pPr>
        <w:pStyle w:val="Normal"/>
        <w:spacing w:before="0" w:after="0"/>
        <w:contextualSpacing/>
        <w:rPr/>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pStyle w:val="Normal"/>
        <w:spacing w:before="0" w:after="0"/>
        <w:contextualSpacing/>
        <w:rPr/>
      </w:pPr>
      <w:r>
        <w:rPr/>
      </w:r>
    </w:p>
    <w:p>
      <w:pPr>
        <w:pStyle w:val="Normal"/>
        <w:spacing w:before="0" w:after="0"/>
        <w:contextualSpacing/>
        <w:rPr/>
      </w:pPr>
      <w:r>
        <w:rP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pStyle w:val="Normal"/>
        <w:spacing w:before="0" w:after="0"/>
        <w:contextualSpacing/>
        <w:rPr/>
      </w:pPr>
      <w:r>
        <w:rPr/>
      </w:r>
    </w:p>
    <w:p>
      <w:pPr>
        <w:pStyle w:val="Normal"/>
        <w:spacing w:before="0" w:after="0"/>
        <w:contextualSpacing/>
        <w:rPr>
          <w:b/>
          <w:b/>
        </w:rPr>
      </w:pPr>
      <w:r>
        <w:rPr>
          <w:b/>
        </w:rPr>
        <w:t>Volume 2: “Consciousness” (2014): Did Georg Northoff plagiarize my ideas? Really UNBELIEVABLE similarities between my ideas from 2005 and 2008 and Northoff’s ideas from this volume!</w:t>
      </w:r>
    </w:p>
    <w:p>
      <w:pPr>
        <w:pStyle w:val="Normal"/>
        <w:spacing w:before="0" w:after="0"/>
        <w:contextualSpacing/>
        <w:rPr/>
      </w:pPr>
      <w:r>
        <w:rP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FootnoteAnchor"/>
        </w:rPr>
        <w:footnoteReference w:id="221"/>
      </w:r>
      <w:r>
        <w:rP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rPr/>
        <w:t xml:space="preserve">in contradiction with the following paragraph: </w:t>
      </w:r>
    </w:p>
    <w:p>
      <w:pPr>
        <w:pStyle w:val="Normal"/>
        <w:spacing w:before="0" w:after="0"/>
        <w:contextualSpacing/>
        <w:rPr/>
      </w:pPr>
      <w:r>
        <w:rPr/>
      </w:r>
    </w:p>
    <w:p>
      <w:pPr>
        <w:pStyle w:val="Normal"/>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pStyle w:val="Normal"/>
        <w:spacing w:before="0" w:after="0"/>
        <w:contextualSpacing/>
        <w:rPr/>
      </w:pPr>
      <w:r>
        <w:rPr/>
      </w:r>
    </w:p>
    <w:p>
      <w:pPr>
        <w:pStyle w:val="Normal"/>
        <w:spacing w:before="0" w:after="0"/>
        <w:contextualSpacing/>
        <w:rPr/>
      </w:pPr>
      <w:r>
        <w:rP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FootnoteAnchor"/>
        </w:rPr>
        <w:footnoteReference w:id="222"/>
      </w:r>
      <w:r>
        <w:rPr/>
        <w:t xml:space="preserve"> Again, using directly “association”, his ideas would send directly to my “correspondence”! In fact, in some places Northoff uses even “</w:t>
      </w:r>
      <w:r>
        <w:rPr>
          <w:i/>
        </w:rPr>
        <w:t>correspondence</w:t>
      </w:r>
      <w:r>
        <w:rP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FootnoteAnchor"/>
        </w:rPr>
        <w:footnoteReference w:id="223"/>
      </w:r>
      <w:r>
        <w:rP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FootnoteAnchor"/>
        </w:rPr>
        <w:footnoteReference w:id="224"/>
      </w:r>
      <w:r>
        <w:rP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pStyle w:val="Normal"/>
        <w:spacing w:before="0" w:after="0"/>
        <w:contextualSpacing/>
        <w:rPr/>
      </w:pPr>
      <w:r>
        <w:rPr/>
      </w:r>
    </w:p>
    <w:p>
      <w:pPr>
        <w:pStyle w:val="Normal"/>
        <w:spacing w:before="0" w:after="0"/>
        <w:contextualSpacing/>
        <w:rPr/>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pStyle w:val="Normal"/>
        <w:spacing w:before="0" w:after="0"/>
        <w:contextualSpacing/>
        <w:rPr/>
      </w:pPr>
      <w:r>
        <w:rPr/>
      </w:r>
    </w:p>
    <w:p>
      <w:pPr>
        <w:pStyle w:val="Normal"/>
        <w:spacing w:before="0" w:after="0"/>
        <w:contextualSpacing/>
        <w:rPr/>
      </w:pPr>
      <w:r>
        <w:rPr/>
        <w:t>I really do not understand how someone who just 2, 3 years ago claimed that the mind is produced by the brain to write the above paragraphs! It seems as if Northoff elaborated all the ideas from the above paragraphs within my EDWs perspective!</w:t>
      </w:r>
      <w:r>
        <w:rPr>
          <w:rStyle w:val="FootnoteAnchor"/>
        </w:rPr>
        <w:footnoteReference w:id="225"/>
      </w:r>
      <w:r>
        <w:rPr/>
        <w:t xml:space="preserve"> Anyway, you can find exactly these ideas in my works from 2002-2011!</w:t>
      </w:r>
    </w:p>
    <w:p>
      <w:pPr>
        <w:pStyle w:val="Normal"/>
        <w:spacing w:before="0" w:after="0"/>
        <w:contextualSpacing/>
        <w:rPr/>
      </w:pPr>
      <w:r>
        <w:rPr/>
        <w:tab/>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pStyle w:val="Normal"/>
        <w:spacing w:before="0" w:after="0"/>
        <w:contextualSpacing/>
        <w:rPr/>
      </w:pPr>
      <w:r>
        <w:rPr/>
      </w:r>
    </w:p>
    <w:p>
      <w:pPr>
        <w:pStyle w:val="Normal"/>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pStyle w:val="Normal"/>
        <w:spacing w:before="0" w:after="0"/>
        <w:contextualSpacing/>
        <w:rPr>
          <w:sz w:val="20"/>
          <w:szCs w:val="20"/>
        </w:rPr>
      </w:pPr>
      <w:r>
        <w:rPr>
          <w:sz w:val="20"/>
          <w:szCs w:val="20"/>
        </w:rPr>
      </w:r>
    </w:p>
    <w:p>
      <w:pPr>
        <w:pStyle w:val="Normal"/>
        <w:spacing w:before="0" w:after="0"/>
        <w:contextualSpacing/>
        <w:rPr/>
      </w:pPr>
      <w:r>
        <w:rP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rPr/>
        <w:t xml:space="preserve">The only viable alternative is explicitly the EDWs perspective that seems to be implicit in Northoff’s last work. </w:t>
      </w:r>
    </w:p>
    <w:p>
      <w:pPr>
        <w:pStyle w:val="Normal"/>
        <w:spacing w:before="0" w:after="0"/>
        <w:contextualSpacing/>
        <w:rPr/>
      </w:pPr>
      <w:r>
        <w:rPr/>
        <w:tab/>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pStyle w:val="Normal"/>
        <w:spacing w:before="0" w:after="0"/>
        <w:ind w:left="0" w:right="0" w:firstLine="720"/>
        <w:contextualSpacing/>
        <w:rPr/>
      </w:pPr>
      <w:r>
        <w:rPr/>
        <w:t xml:space="preserve">In the mind-EW, the correspondence between certain states of mind and brain can be understood as an </w:t>
      </w:r>
      <w:r>
        <w:rPr>
          <w:i/>
          <w:iCs/>
        </w:rPr>
        <w:t xml:space="preserve">interval of similarity </w:t>
      </w:r>
      <w:r>
        <w:rP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rP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rPr/>
        <w:t>to them. (Vacariu 2008, p. 264-5 but this idea also appeared in our paper from 2001)</w:t>
      </w:r>
    </w:p>
    <w:p>
      <w:pPr>
        <w:pStyle w:val="Normal"/>
        <w:spacing w:before="0" w:after="0"/>
        <w:contextualSpacing/>
        <w:rPr/>
      </w:pPr>
      <w:r>
        <w:rPr>
          <w:sz w:val="20"/>
          <w:szCs w:val="20"/>
        </w:rPr>
        <w:tab/>
      </w:r>
      <w:r>
        <w:rPr/>
        <w:t>The main idea from this paragraph can be found in Northoff’s book (2014)</w:t>
      </w:r>
      <w:r>
        <w:rPr>
          <w:rStyle w:val="FootnoteAnchor"/>
        </w:rPr>
        <w:footnoteReference w:id="226"/>
      </w:r>
      <w:r>
        <w:rP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pStyle w:val="Normal"/>
        <w:spacing w:before="0" w:after="0"/>
        <w:contextualSpacing/>
        <w:rPr>
          <w:bCs/>
        </w:rPr>
      </w:pPr>
      <w:r>
        <w:rPr>
          <w:bCs/>
        </w:rPr>
      </w:r>
    </w:p>
    <w:p>
      <w:pPr>
        <w:pStyle w:val="Normal"/>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pStyle w:val="Normal"/>
        <w:spacing w:before="0" w:after="0"/>
        <w:contextualSpacing/>
        <w:rPr>
          <w:bCs/>
        </w:rPr>
      </w:pPr>
      <w:r>
        <w:rPr>
          <w:bCs/>
        </w:rPr>
      </w:r>
    </w:p>
    <w:p>
      <w:pPr>
        <w:pStyle w:val="Normal"/>
        <w:spacing w:before="0" w:after="0"/>
        <w:contextualSpacing/>
        <w:rPr/>
      </w:pPr>
      <w:r>
        <w:rP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FootnoteAnchor"/>
          <w:bCs/>
        </w:rPr>
        <w:footnoteReference w:id="227"/>
      </w:r>
      <w:r>
        <w:rPr>
          <w:bCs/>
        </w:rPr>
        <w:t>.</w:t>
      </w:r>
      <w:r>
        <w:rPr>
          <w:rStyle w:val="FootnoteAnchor"/>
          <w:bCs/>
        </w:rPr>
        <w:footnoteReference w:id="228"/>
      </w:r>
      <w:r>
        <w:rPr>
          <w:bCs/>
        </w:rPr>
        <w:t xml:space="preserve"> (idem) </w:t>
      </w:r>
      <w:r>
        <w:rPr/>
        <w:t xml:space="preserve">However, “brain’s phenomenal functions” is a meaningless (contradictory) notion within the EDWs perspective. </w:t>
      </w:r>
    </w:p>
    <w:p>
      <w:pPr>
        <w:pStyle w:val="Normal"/>
        <w:spacing w:before="0" w:after="0"/>
        <w:ind w:left="0" w:right="0" w:firstLine="720"/>
        <w:contextualSpacing/>
        <w:rPr/>
      </w:pPr>
      <w:r>
        <w:rP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pStyle w:val="Normal"/>
        <w:spacing w:before="0" w:after="0"/>
        <w:contextualSpacing/>
        <w:rPr>
          <w:sz w:val="19"/>
          <w:szCs w:val="19"/>
        </w:rPr>
      </w:pPr>
      <w:r>
        <w:rPr>
          <w:sz w:val="19"/>
          <w:szCs w:val="19"/>
        </w:rPr>
      </w:r>
    </w:p>
    <w:p>
      <w:pPr>
        <w:pStyle w:val="Normal"/>
        <w:spacing w:before="0" w:after="0"/>
        <w:contextualSpacing/>
        <w:rPr/>
      </w:pPr>
      <w:r>
        <w:rPr/>
        <w:t xml:space="preserve">It seems as if Northoff constructed these sentences (as many others) under the EDWs perspective! However, he writes that </w:t>
      </w:r>
    </w:p>
    <w:p>
      <w:pPr>
        <w:pStyle w:val="Normal"/>
        <w:spacing w:before="0" w:after="0"/>
        <w:contextualSpacing/>
        <w:rPr/>
      </w:pPr>
      <w:r>
        <w:rPr/>
      </w:r>
    </w:p>
    <w:p>
      <w:pPr>
        <w:pStyle w:val="Normal"/>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pStyle w:val="Normal"/>
        <w:spacing w:before="0" w:after="0"/>
        <w:contextualSpacing/>
        <w:rPr/>
      </w:pPr>
      <w:r>
        <w:rPr/>
      </w:r>
    </w:p>
    <w:p>
      <w:pPr>
        <w:pStyle w:val="Normal"/>
        <w:spacing w:before="0" w:after="0"/>
        <w:contextualSpacing/>
        <w:rPr/>
      </w:pPr>
      <w:r>
        <w:rP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pStyle w:val="Normal"/>
        <w:spacing w:before="0" w:after="0"/>
        <w:contextualSpacing/>
        <w:rPr/>
      </w:pPr>
      <w:r>
        <w:rPr/>
        <w:tab/>
        <w:t>At page xlii, Northoff declares that his “CHC postulates that the brain’s intrinsic features themselves predispose, and thus make necessary or unavoidable, the generation of consciousness”!</w:t>
      </w:r>
      <w:r>
        <w:rPr>
          <w:rStyle w:val="FootnoteAnchor"/>
        </w:rPr>
        <w:footnoteReference w:id="229"/>
      </w:r>
      <w:r>
        <w:rPr/>
        <w:t xml:space="preserve"> “Predispose” and “generation” notions are quite wrong slogans within the EDWs perspective! It seems that even if Northoff does not work on Searle’s view anymore, we can find some notions that still send to Searle’s approach.</w:t>
      </w:r>
      <w:r>
        <w:rPr>
          <w:rStyle w:val="FootnoteAnchor"/>
        </w:rPr>
        <w:footnoteReference w:id="230"/>
      </w:r>
      <w:r>
        <w:rPr/>
        <w:t xml:space="preserve"> Some ideas are very similar to my ideas from the EDWs perspective: </w:t>
      </w:r>
    </w:p>
    <w:p>
      <w:pPr>
        <w:pStyle w:val="Normal"/>
        <w:spacing w:before="0" w:after="0"/>
        <w:contextualSpacing/>
        <w:rPr/>
      </w:pPr>
      <w:r>
        <w:rPr/>
      </w:r>
    </w:p>
    <w:p>
      <w:pPr>
        <w:pStyle w:val="Normal"/>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pStyle w:val="Normal"/>
        <w:spacing w:before="0" w:after="0"/>
        <w:contextualSpacing/>
        <w:rPr>
          <w:sz w:val="20"/>
          <w:szCs w:val="20"/>
        </w:rPr>
      </w:pPr>
      <w:r>
        <w:rPr>
          <w:sz w:val="20"/>
          <w:szCs w:val="20"/>
        </w:rPr>
      </w:r>
    </w:p>
    <w:p>
      <w:pPr>
        <w:pStyle w:val="Normal"/>
        <w:spacing w:before="0" w:after="0"/>
        <w:contextualSpacing/>
        <w:rPr/>
      </w:pPr>
      <w:r>
        <w:rP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FootnoteAnchor"/>
        </w:rPr>
        <w:footnoteReference w:id="231"/>
      </w:r>
      <w:r>
        <w:rPr/>
        <w:t xml:space="preserve"> Northoff considers that the “phenomenal realm of consciousness” is characterized by a tri-dimensional “spatiotemporal continuity”, while matter is placed in a spatio-temporal discontinuity. (p. liii and liv)</w:t>
      </w:r>
      <w:r>
        <w:rPr>
          <w:rStyle w:val="FootnoteAnchor"/>
        </w:rPr>
        <w:footnoteReference w:id="232"/>
      </w:r>
      <w:r>
        <w:rP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FootnoteAnchor"/>
        </w:rPr>
        <w:footnoteReference w:id="233"/>
      </w:r>
      <w:r>
        <w:rP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FootnoteAnchor"/>
        </w:rPr>
        <w:footnoteReference w:id="234"/>
      </w:r>
      <w:r>
        <w:rPr/>
        <w:t xml:space="preserve"> Within this context, let me investigate the second paragraph from part V of the second volume: </w:t>
      </w:r>
    </w:p>
    <w:p>
      <w:pPr>
        <w:pStyle w:val="Normal"/>
        <w:spacing w:before="0" w:after="0"/>
        <w:contextualSpacing/>
        <w:rPr/>
      </w:pPr>
      <w:r>
        <w:rPr/>
      </w:r>
    </w:p>
    <w:p>
      <w:pPr>
        <w:pStyle w:val="Normal"/>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pStyle w:val="Normal"/>
        <w:spacing w:before="0" w:after="0"/>
        <w:contextualSpacing/>
        <w:rPr/>
      </w:pPr>
      <w:r>
        <w:rPr/>
      </w:r>
    </w:p>
    <w:p>
      <w:pPr>
        <w:pStyle w:val="Normal"/>
        <w:spacing w:before="0" w:after="0"/>
        <w:contextualSpacing/>
        <w:rPr/>
      </w:pPr>
      <w:r>
        <w:rP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FootnoteAnchor"/>
        </w:rPr>
        <w:footnoteReference w:id="235"/>
      </w:r>
      <w:r>
        <w:rP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pStyle w:val="Normal"/>
        <w:spacing w:before="0" w:after="0"/>
        <w:contextualSpacing/>
        <w:rPr/>
      </w:pPr>
      <w:r>
        <w:rPr/>
      </w:r>
    </w:p>
    <w:p>
      <w:pPr>
        <w:pStyle w:val="Normal"/>
        <w:spacing w:before="0" w:after="0"/>
        <w:contextualSpacing/>
        <w:rPr/>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FootnoteAnchor"/>
        </w:rPr>
        <w:footnoteReference w:id="236"/>
      </w:r>
    </w:p>
    <w:p>
      <w:pPr>
        <w:pStyle w:val="Normal"/>
        <w:spacing w:before="0" w:after="0"/>
        <w:contextualSpacing/>
        <w:rPr/>
      </w:pPr>
      <w:r>
        <w:rPr/>
      </w:r>
    </w:p>
    <w:p>
      <w:pPr>
        <w:pStyle w:val="Normal"/>
        <w:spacing w:before="0" w:after="0"/>
        <w:contextualSpacing/>
        <w:rPr/>
      </w:pPr>
      <w:r>
        <w:rP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FootnoteAnchor"/>
        </w:rPr>
        <w:footnoteReference w:id="237"/>
      </w:r>
    </w:p>
    <w:p>
      <w:pPr>
        <w:pStyle w:val="Normal"/>
        <w:spacing w:before="0" w:after="0"/>
        <w:contextualSpacing/>
        <w:rPr/>
      </w:pPr>
      <w:r>
        <w:rPr/>
      </w:r>
    </w:p>
    <w:p>
      <w:pPr>
        <w:pStyle w:val="Normal"/>
        <w:spacing w:before="0" w:after="0"/>
        <w:contextualSpacing/>
        <w:rPr/>
      </w:pPr>
      <w:r>
        <w:rP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FootnoteAnchor"/>
        </w:rPr>
        <w:footnoteReference w:id="238"/>
      </w:r>
      <w:r>
        <w:rPr/>
        <w:t xml:space="preserve"> In my works (except the first book from 2014), I specified that each EW has its own spatiotemporal framework, including the mind as an EW and the brain/body that belongs to the macro-EW. Northoff writes the same thing:</w:t>
      </w:r>
    </w:p>
    <w:p>
      <w:pPr>
        <w:pStyle w:val="Normal"/>
        <w:spacing w:before="0" w:after="0"/>
        <w:contextualSpacing/>
        <w:rPr/>
      </w:pPr>
      <w:r>
        <w:rPr/>
      </w:r>
    </w:p>
    <w:p>
      <w:pPr>
        <w:pStyle w:val="Normal"/>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pStyle w:val="Normal"/>
        <w:spacing w:before="0" w:after="0"/>
        <w:contextualSpacing/>
        <w:rPr/>
      </w:pPr>
      <w:r>
        <w:rPr/>
      </w:r>
    </w:p>
    <w:p>
      <w:pPr>
        <w:pStyle w:val="Normal"/>
        <w:spacing w:before="0" w:after="0"/>
        <w:contextualSpacing/>
        <w:rPr/>
      </w:pPr>
      <w:r>
        <w:rP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FootnoteAnchor"/>
        </w:rPr>
        <w:footnoteReference w:id="239"/>
      </w:r>
      <w:r>
        <w:rPr/>
        <w:t xml:space="preserve"> Without the EDWs, there are strong ontological contradictions. The only alternative is that these notions like “underlying”, “association” and “predisposition” send directly to the EDWs.</w:t>
      </w:r>
      <w:r>
        <w:rPr>
          <w:rStyle w:val="FootnoteAnchor"/>
        </w:rPr>
        <w:footnoteReference w:id="240"/>
      </w:r>
      <w:r>
        <w:rP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pStyle w:val="Normal"/>
        <w:spacing w:before="0" w:after="0"/>
        <w:contextualSpacing/>
        <w:rPr>
          <w:bCs/>
          <w:sz w:val="20"/>
          <w:szCs w:val="20"/>
        </w:rPr>
      </w:pPr>
      <w:r>
        <w:rPr>
          <w:bCs/>
          <w:sz w:val="20"/>
          <w:szCs w:val="20"/>
        </w:rPr>
      </w:r>
    </w:p>
    <w:p>
      <w:pPr>
        <w:pStyle w:val="Normal"/>
        <w:spacing w:before="0" w:after="0"/>
        <w:contextualSpacing/>
        <w:rPr/>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pStyle w:val="Normal"/>
        <w:spacing w:before="0" w:after="0"/>
        <w:contextualSpacing/>
        <w:rPr/>
      </w:pPr>
      <w:r>
        <w:rPr>
          <w:sz w:val="20"/>
          <w:szCs w:val="20"/>
        </w:rPr>
        <w:t>underlying neuronal mechanisms, like phase shifting. (Northoff 2014, vol. II, p. 121)</w:t>
      </w:r>
      <w:r>
        <w:rPr>
          <w:rStyle w:val="FootnoteAnchor"/>
        </w:rPr>
        <w:footnoteReference w:id="241"/>
      </w:r>
    </w:p>
    <w:p>
      <w:pPr>
        <w:pStyle w:val="Normal"/>
        <w:spacing w:before="0" w:after="0"/>
        <w:contextualSpacing/>
        <w:rPr/>
      </w:pPr>
      <w:r>
        <w:rPr/>
      </w:r>
    </w:p>
    <w:p>
      <w:pPr>
        <w:pStyle w:val="Normal"/>
        <w:spacing w:before="0" w:after="0"/>
        <w:contextualSpacing/>
        <w:rPr/>
      </w:pPr>
      <w:r>
        <w:rP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pStyle w:val="Normal"/>
        <w:spacing w:before="0" w:after="0"/>
        <w:contextualSpacing/>
        <w:rPr/>
      </w:pPr>
      <w:r>
        <w:rPr/>
      </w:r>
    </w:p>
    <w:p>
      <w:pPr>
        <w:pStyle w:val="Normal"/>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pStyle w:val="Normal"/>
        <w:spacing w:before="0" w:after="0"/>
        <w:contextualSpacing/>
        <w:rPr>
          <w:sz w:val="20"/>
          <w:szCs w:val="20"/>
        </w:rPr>
      </w:pPr>
      <w:r>
        <w:rPr>
          <w:sz w:val="20"/>
          <w:szCs w:val="20"/>
        </w:rPr>
        <w:t>of prephenomenal unity.” (p. 124)</w:t>
      </w:r>
    </w:p>
    <w:p>
      <w:pPr>
        <w:pStyle w:val="Normal"/>
        <w:spacing w:before="0" w:after="0"/>
        <w:contextualSpacing/>
        <w:rPr/>
      </w:pPr>
      <w:r>
        <w:rPr/>
      </w:r>
    </w:p>
    <w:p>
      <w:pPr>
        <w:pStyle w:val="Normal"/>
        <w:spacing w:before="0" w:after="0"/>
        <w:contextualSpacing/>
        <w:rPr/>
      </w:pPr>
      <w:r>
        <w:rP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FootnoteAnchor"/>
        </w:rPr>
        <w:footnoteReference w:id="242"/>
      </w:r>
      <w:r>
        <w:rPr/>
        <w:t xml:space="preserve"> (p. 211) </w:t>
      </w:r>
    </w:p>
    <w:p>
      <w:pPr>
        <w:pStyle w:val="Normal"/>
        <w:spacing w:before="0" w:after="0"/>
        <w:contextualSpacing/>
        <w:rPr/>
      </w:pPr>
      <w:r>
        <w:rPr/>
        <w:tab/>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FootnoteAnchor"/>
        </w:rPr>
        <w:footnoteReference w:id="243"/>
      </w:r>
      <w:r>
        <w:rPr/>
        <w:t xml:space="preserve"> Does Northoff write here about a direct relationship between brain and consciousness? It seems that we have again a contradiction between these two sets of notions! Incredibly, Northoff writes that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pStyle w:val="Normal"/>
        <w:spacing w:before="0" w:after="0"/>
        <w:contextualSpacing/>
        <w:rPr/>
      </w:pPr>
      <w:r>
        <w:rPr/>
      </w:r>
    </w:p>
    <w:p>
      <w:pPr>
        <w:pStyle w:val="Normal"/>
        <w:spacing w:before="0" w:after="0"/>
        <w:contextualSpacing/>
        <w:rPr/>
      </w:pPr>
      <w:r>
        <w:rP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pStyle w:val="Normal"/>
        <w:spacing w:before="0" w:after="0"/>
        <w:contextualSpacing/>
        <w:rPr/>
      </w:pPr>
      <w:r>
        <w:rPr/>
      </w:r>
    </w:p>
    <w:p>
      <w:pPr>
        <w:pStyle w:val="Normal"/>
        <w:spacing w:before="0" w:after="0"/>
        <w:contextualSpacing/>
        <w:rPr/>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FootnoteAnchor"/>
        </w:rPr>
        <w:footnoteReference w:id="244"/>
      </w:r>
      <w:r>
        <w:rPr>
          <w:sz w:val="20"/>
          <w:szCs w:val="20"/>
        </w:rPr>
        <w:t xml:space="preserve"> </w:t>
      </w:r>
    </w:p>
    <w:p>
      <w:pPr>
        <w:pStyle w:val="Normal"/>
        <w:spacing w:before="0" w:after="0"/>
        <w:contextualSpacing/>
        <w:rPr/>
      </w:pPr>
      <w:r>
        <w:rPr/>
      </w:r>
    </w:p>
    <w:p>
      <w:pPr>
        <w:pStyle w:val="Normal"/>
        <w:spacing w:before="0" w:after="0"/>
        <w:contextualSpacing/>
        <w:rPr/>
      </w:pPr>
      <w:r>
        <w:rP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pStyle w:val="Normal"/>
        <w:spacing w:before="0" w:after="0"/>
        <w:contextualSpacing/>
        <w:rPr>
          <w:sz w:val="19"/>
          <w:szCs w:val="19"/>
        </w:rPr>
      </w:pPr>
      <w:r>
        <w:rPr>
          <w:sz w:val="19"/>
          <w:szCs w:val="19"/>
        </w:rPr>
      </w:r>
    </w:p>
    <w:p>
      <w:pPr>
        <w:pStyle w:val="Normal"/>
        <w:spacing w:before="0" w:after="0"/>
        <w:contextualSpacing/>
        <w:rPr/>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FootnoteAnchor"/>
        </w:rPr>
        <w:footnoteReference w:id="245"/>
      </w:r>
    </w:p>
    <w:p>
      <w:pPr>
        <w:pStyle w:val="Normal"/>
        <w:spacing w:before="0" w:after="0"/>
        <w:contextualSpacing/>
        <w:rPr/>
      </w:pPr>
      <w:r>
        <w:rPr/>
      </w:r>
    </w:p>
    <w:p>
      <w:pPr>
        <w:pStyle w:val="Normal"/>
        <w:spacing w:before="0" w:after="0"/>
        <w:contextualSpacing/>
        <w:rPr/>
      </w:pPr>
      <w:r>
        <w:rPr/>
        <w:t>This “phenomenally based subjectivity” mirrors exactly my main idea: the self is an EW “individual specificity” and has nothing to do with brain and “species specificity”!</w:t>
      </w:r>
      <w:r>
        <w:rPr>
          <w:rStyle w:val="FootnoteAnchor"/>
        </w:rPr>
        <w:footnoteReference w:id="246"/>
      </w:r>
      <w:r>
        <w:rPr/>
        <w:t xml:space="preserve"> Incredibly, in this sentence, “predisposition”/“association” are in contradiction with the following ideas from this paragraph. </w:t>
        <w:tab/>
      </w:r>
    </w:p>
    <w:p>
      <w:pPr>
        <w:pStyle w:val="Normal"/>
        <w:spacing w:before="0" w:after="0"/>
        <w:contextualSpacing/>
        <w:rPr/>
      </w:pPr>
      <w:r>
        <w:rPr/>
      </w:r>
    </w:p>
    <w:p>
      <w:pPr>
        <w:pStyle w:val="Normal"/>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pStyle w:val="Normal"/>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pStyle w:val="Normal"/>
        <w:spacing w:before="0" w:after="0"/>
        <w:contextualSpacing/>
        <w:rPr/>
      </w:pPr>
      <w:r>
        <w:rPr/>
      </w:r>
    </w:p>
    <w:p>
      <w:pPr>
        <w:pStyle w:val="Normal"/>
        <w:spacing w:before="0" w:after="0"/>
        <w:contextualSpacing/>
        <w:rPr/>
      </w:pPr>
      <w:r>
        <w:rP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rPr/>
        <w:t xml:space="preserve"> of the subjectivity within the brain! From my EDWs such statements are completely wrong! But even in his book, this statement is in contradiction with this sentence: “However, consciousness cannot be found in</w:t>
      </w:r>
    </w:p>
    <w:p>
      <w:pPr>
        <w:pStyle w:val="Normal"/>
        <w:spacing w:before="0" w:after="0"/>
        <w:contextualSpacing/>
        <w:rPr/>
      </w:pPr>
      <w:r>
        <w:rPr/>
        <w:t>“</w:t>
      </w:r>
      <w:r>
        <w:rPr/>
        <w:t>biophysically based subjectivity.” (p. 217)</w:t>
      </w:r>
      <w:r>
        <w:rPr>
          <w:rStyle w:val="FootnoteAnchor"/>
        </w:rPr>
        <w:footnoteReference w:id="247"/>
      </w:r>
      <w:r>
        <w:rP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FootnoteAnchor"/>
        </w:rPr>
        <w:footnoteReference w:id="248"/>
      </w:r>
    </w:p>
    <w:p>
      <w:pPr>
        <w:pStyle w:val="Normal"/>
        <w:spacing w:before="0" w:after="0"/>
        <w:contextualSpacing/>
        <w:rPr/>
      </w:pPr>
      <w:r>
        <w:rPr/>
        <w:tab/>
      </w:r>
    </w:p>
    <w:p>
      <w:pPr>
        <w:pStyle w:val="Normal"/>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pStyle w:val="Normal"/>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pStyle w:val="Normal"/>
        <w:spacing w:before="0" w:after="0"/>
        <w:contextualSpacing/>
        <w:rPr/>
      </w:pPr>
      <w:r>
        <w:rPr/>
      </w:r>
    </w:p>
    <w:p>
      <w:pPr>
        <w:pStyle w:val="Normal"/>
        <w:spacing w:before="0" w:after="0"/>
        <w:contextualSpacing/>
        <w:rPr/>
      </w:pPr>
      <w:r>
        <w:rP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pStyle w:val="Normal"/>
        <w:spacing w:before="0" w:after="0"/>
        <w:contextualSpacing/>
        <w:rPr/>
      </w:pPr>
      <w:r>
        <w:rPr/>
      </w:r>
    </w:p>
    <w:p>
      <w:pPr>
        <w:pStyle w:val="Normal"/>
        <w:spacing w:before="0" w:after="0"/>
        <w:contextualSpacing/>
        <w:rPr/>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FootnoteAnchor"/>
        </w:rPr>
        <w:footnoteReference w:id="249"/>
      </w:r>
    </w:p>
    <w:p>
      <w:pPr>
        <w:pStyle w:val="Normal"/>
        <w:spacing w:before="0" w:after="0"/>
        <w:contextualSpacing/>
        <w:rPr/>
      </w:pPr>
      <w:r>
        <w:rPr/>
      </w:r>
    </w:p>
    <w:p>
      <w:pPr>
        <w:pStyle w:val="Normal"/>
        <w:spacing w:before="0" w:after="0"/>
        <w:contextualSpacing/>
        <w:rPr/>
      </w:pPr>
      <w:r>
        <w:rP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FootnoteAnchor"/>
        </w:rPr>
        <w:footnoteReference w:id="250"/>
      </w:r>
    </w:p>
    <w:p>
      <w:pPr>
        <w:pStyle w:val="Normal"/>
        <w:spacing w:before="0" w:after="0"/>
        <w:contextualSpacing/>
        <w:rPr/>
      </w:pPr>
      <w:r>
        <w:rPr/>
        <w:tab/>
        <w:t>At page 477, there is this subtitle: “</w:t>
      </w:r>
      <w:r>
        <w:rPr>
          <w:bCs/>
        </w:rPr>
        <w:t xml:space="preserve">Neurophenomenal hypothesis IIIA: ‘Environment–brain unity’ and point of view” in which we can find these paragraphs: </w:t>
      </w:r>
    </w:p>
    <w:p>
      <w:pPr>
        <w:pStyle w:val="Normal"/>
        <w:spacing w:before="0" w:after="0"/>
        <w:contextualSpacing/>
        <w:rPr>
          <w:bCs/>
        </w:rPr>
      </w:pPr>
      <w:r>
        <w:rPr>
          <w:bCs/>
        </w:rPr>
      </w:r>
    </w:p>
    <w:p>
      <w:pPr>
        <w:pStyle w:val="Normal"/>
        <w:spacing w:before="0" w:after="0"/>
        <w:contextualSpacing/>
        <w:rPr/>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FootnoteAnchor"/>
        </w:rPr>
        <w:footnoteReference w:id="251"/>
      </w:r>
    </w:p>
    <w:p>
      <w:pPr>
        <w:pStyle w:val="Normal"/>
        <w:spacing w:before="0" w:after="0"/>
        <w:contextualSpacing/>
        <w:rPr/>
      </w:pPr>
      <w:r>
        <w:rPr/>
      </w:r>
    </w:p>
    <w:p>
      <w:pPr>
        <w:pStyle w:val="Normal"/>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pStyle w:val="Normal"/>
        <w:spacing w:before="0" w:after="0"/>
        <w:contextualSpacing/>
        <w:rPr/>
      </w:pPr>
      <w:r>
        <w:rPr/>
      </w:r>
    </w:p>
    <w:p>
      <w:pPr>
        <w:pStyle w:val="Normal"/>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pStyle w:val="Normal"/>
        <w:spacing w:before="0" w:after="0"/>
        <w:contextualSpacing/>
        <w:rPr/>
      </w:pPr>
      <w:r>
        <w:rPr/>
      </w:r>
    </w:p>
    <w:p>
      <w:pPr>
        <w:pStyle w:val="Normal"/>
        <w:spacing w:before="0" w:after="0"/>
        <w:contextualSpacing/>
        <w:rPr/>
      </w:pPr>
      <w:r>
        <w:rPr/>
        <w:t>Do you want more to understand that here is about the EDWs in other terms? “Virtual position within the world”, i.e., the “point of view” = “stance”</w:t>
      </w:r>
      <w:r>
        <w:rPr>
          <w:rStyle w:val="FootnoteAnchor"/>
        </w:rPr>
        <w:footnoteReference w:id="252"/>
      </w:r>
      <w:r>
        <w:rP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FootnoteAnchor"/>
        </w:rPr>
        <w:footnoteReference w:id="253"/>
      </w:r>
      <w:r>
        <w:rP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FootnoteAnchor"/>
        </w:rPr>
        <w:footnoteReference w:id="254"/>
      </w:r>
      <w:r>
        <w:rPr/>
        <w:t xml:space="preserve"> Another paragraph that reflects exactly my ideas from Vacariu 2008:</w:t>
      </w:r>
    </w:p>
    <w:p>
      <w:pPr>
        <w:pStyle w:val="Normal"/>
        <w:spacing w:before="0" w:after="0"/>
        <w:contextualSpacing/>
        <w:rPr/>
      </w:pPr>
      <w:r>
        <w:rPr/>
      </w:r>
    </w:p>
    <w:p>
      <w:pPr>
        <w:pStyle w:val="Normal"/>
        <w:spacing w:before="0" w:after="0"/>
        <w:contextualSpacing/>
        <w:rPr/>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FootnoteAnchor"/>
        </w:rPr>
        <w:footnoteReference w:id="255"/>
      </w:r>
    </w:p>
    <w:p>
      <w:pPr>
        <w:pStyle w:val="Normal"/>
        <w:spacing w:before="0" w:after="0"/>
        <w:contextualSpacing/>
        <w:rPr>
          <w:sz w:val="20"/>
          <w:szCs w:val="20"/>
        </w:rPr>
      </w:pPr>
      <w:r>
        <w:rPr>
          <w:sz w:val="20"/>
          <w:szCs w:val="20"/>
        </w:rPr>
      </w:r>
    </w:p>
    <w:p>
      <w:pPr>
        <w:pStyle w:val="Normal"/>
        <w:spacing w:before="0" w:after="0"/>
        <w:contextualSpacing/>
        <w:rPr/>
      </w:pPr>
      <w:r>
        <w:rP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pStyle w:val="Normal"/>
        <w:spacing w:before="0" w:after="0"/>
        <w:contextualSpacing/>
        <w:rPr/>
      </w:pPr>
      <w:r>
        <w:rPr/>
      </w:r>
    </w:p>
    <w:p>
      <w:pPr>
        <w:pStyle w:val="Normal"/>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pStyle w:val="Normal"/>
        <w:spacing w:before="0" w:after="0"/>
        <w:contextualSpacing/>
        <w:rPr/>
      </w:pPr>
      <w:r>
        <w:rPr/>
        <w:t xml:space="preserve"> </w:t>
      </w:r>
    </w:p>
    <w:p>
      <w:pPr>
        <w:pStyle w:val="Normal"/>
        <w:spacing w:before="0" w:after="0"/>
        <w:contextualSpacing/>
        <w:rPr/>
      </w:pPr>
      <w:r>
        <w:rPr/>
        <w:t>What does it mean “choosing the ‘right’ starting point” in this paragraph? It sends directly to the choosing the “right” EW! Figure 30-3a mirror (p. 483) exactly my EDWs!</w:t>
      </w:r>
      <w:r>
        <w:rPr>
          <w:rStyle w:val="FootnoteAnchor"/>
        </w:rPr>
        <w:footnoteReference w:id="256"/>
      </w:r>
      <w:r>
        <w:rP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pStyle w:val="Normal"/>
        <w:spacing w:before="0" w:after="0"/>
        <w:contextualSpacing/>
        <w:rPr/>
      </w:pPr>
      <w:r>
        <w:rPr/>
      </w:r>
    </w:p>
    <w:p>
      <w:pPr>
        <w:pStyle w:val="Normal"/>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pStyle w:val="Normal"/>
        <w:spacing w:before="0" w:after="0"/>
        <w:contextualSpacing/>
        <w:rPr/>
      </w:pPr>
      <w:r>
        <w:rPr/>
      </w:r>
    </w:p>
    <w:p>
      <w:pPr>
        <w:pStyle w:val="Normal"/>
        <w:spacing w:before="0" w:after="0"/>
        <w:contextualSpacing/>
        <w:rPr/>
      </w:pPr>
      <w:r>
        <w:rP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FootnoteAnchor"/>
        </w:rPr>
        <w:footnoteReference w:id="257"/>
      </w:r>
      <w:r>
        <w:rPr/>
        <w:t xml:space="preserve"> (p. 528) The word “results” contradicts the “predisposition” or “association” that Northoff uses in this volumes! From my viewpoint, consciousness </w:t>
      </w:r>
      <w:r>
        <w:rPr>
          <w:i/>
        </w:rPr>
        <w:t>corresponds</w:t>
      </w:r>
      <w:r>
        <w:rPr/>
        <w:t xml:space="preserve"> to the more activated neural patterns and to the entire brain and body that strongly interact with environment. However, in other places, Northoff claims exactly my idea! </w:t>
      </w:r>
    </w:p>
    <w:p>
      <w:pPr>
        <w:pStyle w:val="Normal"/>
        <w:spacing w:before="0" w:after="0"/>
        <w:ind w:left="0" w:right="0" w:firstLine="720"/>
        <w:contextualSpacing/>
        <w:rPr/>
      </w:pPr>
      <w:r>
        <w:rP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FootnoteAnchor"/>
        </w:rPr>
        <w:footnoteReference w:id="258"/>
      </w:r>
    </w:p>
    <w:p>
      <w:pPr>
        <w:pStyle w:val="Normal"/>
        <w:spacing w:before="0" w:after="0"/>
        <w:ind w:left="0" w:right="0" w:firstLine="720"/>
        <w:contextualSpacing/>
        <w:rPr/>
      </w:pPr>
      <w:r>
        <w:rPr/>
      </w:r>
    </w:p>
    <w:p>
      <w:pPr>
        <w:pStyle w:val="Normal"/>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pStyle w:val="Normal"/>
        <w:spacing w:before="0" w:after="0"/>
        <w:contextualSpacing/>
        <w:rPr/>
      </w:pPr>
      <w:r>
        <w:rPr/>
      </w:r>
    </w:p>
    <w:p>
      <w:pPr>
        <w:pStyle w:val="Normal"/>
        <w:spacing w:before="0" w:after="0"/>
        <w:contextualSpacing/>
        <w:rPr/>
      </w:pPr>
      <w:r>
        <w:rP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pStyle w:val="Normal"/>
        <w:spacing w:before="0" w:after="0"/>
        <w:contextualSpacing/>
        <w:rPr/>
      </w:pPr>
      <w:r>
        <w:rPr/>
      </w:r>
    </w:p>
    <w:p>
      <w:pPr>
        <w:pStyle w:val="Normal"/>
        <w:spacing w:before="0" w:after="0"/>
        <w:contextualSpacing/>
        <w:rPr/>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FootnoteAnchor"/>
        </w:rPr>
        <w:footnoteReference w:id="259"/>
      </w:r>
    </w:p>
    <w:p>
      <w:pPr>
        <w:pStyle w:val="Normal"/>
        <w:spacing w:before="0" w:after="0"/>
        <w:contextualSpacing/>
        <w:rPr/>
      </w:pPr>
      <w:r>
        <w:rPr/>
      </w:r>
    </w:p>
    <w:p>
      <w:pPr>
        <w:pStyle w:val="Normal"/>
        <w:spacing w:before="0" w:after="0"/>
        <w:contextualSpacing/>
        <w:rPr/>
      </w:pPr>
      <w:r>
        <w:rPr/>
        <w:t>We have here again “associated” but what does it mean “fit and match well”? There are so many Northoff’s conclusions in his Epilogue that are very similar to mines’ from 2005, 2008, 2011 and 2012! His final paragraph:</w:t>
      </w:r>
    </w:p>
    <w:p>
      <w:pPr>
        <w:pStyle w:val="Normal"/>
        <w:spacing w:before="0" w:after="0"/>
        <w:contextualSpacing/>
        <w:rPr/>
      </w:pPr>
      <w:r>
        <w:rPr/>
      </w:r>
    </w:p>
    <w:p>
      <w:pPr>
        <w:pStyle w:val="Normal"/>
        <w:spacing w:before="0" w:after="0"/>
        <w:contextualSpacing/>
        <w:rPr/>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pStyle w:val="Normal"/>
        <w:spacing w:before="0" w:after="0"/>
        <w:contextualSpacing/>
        <w:rPr/>
      </w:pPr>
      <w:r>
        <w:rPr/>
      </w:r>
    </w:p>
    <w:p>
      <w:pPr>
        <w:pStyle w:val="Normal"/>
        <w:spacing w:before="0" w:after="0"/>
        <w:contextualSpacing/>
        <w:rPr/>
      </w:pPr>
      <w:r>
        <w:rP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pStyle w:val="Normal"/>
        <w:spacing w:before="0" w:after="0"/>
        <w:contextualSpacing/>
        <w:rPr/>
      </w:pPr>
      <w:r>
        <w:rPr/>
        <w:tab/>
        <w:t xml:space="preserve">In the four </w:t>
      </w:r>
      <w:r>
        <w:rPr>
          <w:i/>
        </w:rPr>
        <w:t>Appendix</w:t>
      </w:r>
      <w:r>
        <w:rP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pStyle w:val="Normal"/>
        <w:spacing w:before="0" w:after="0"/>
        <w:contextualSpacing/>
        <w:rPr/>
      </w:pPr>
      <w:r>
        <w:rPr/>
      </w:r>
    </w:p>
    <w:p>
      <w:pPr>
        <w:pStyle w:val="Normal"/>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pStyle w:val="Normal"/>
        <w:spacing w:before="0" w:after="0"/>
        <w:contextualSpacing/>
        <w:rPr/>
      </w:pPr>
      <w:r>
        <w:rPr/>
      </w:r>
    </w:p>
    <w:p>
      <w:pPr>
        <w:pStyle w:val="Normal"/>
        <w:spacing w:before="0" w:after="0"/>
        <w:contextualSpacing/>
        <w:rPr/>
      </w:pPr>
      <w:r>
        <w:rP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pStyle w:val="Normal"/>
        <w:spacing w:before="0" w:after="0"/>
        <w:contextualSpacing/>
        <w:rPr/>
      </w:pPr>
      <w:r>
        <w:rPr/>
      </w:r>
    </w:p>
    <w:p>
      <w:pPr>
        <w:pStyle w:val="Normal"/>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pStyle w:val="Normal"/>
        <w:spacing w:before="0" w:after="0"/>
        <w:contextualSpacing/>
        <w:rPr/>
      </w:pPr>
      <w:r>
        <w:rPr/>
      </w:r>
    </w:p>
    <w:p>
      <w:pPr>
        <w:pStyle w:val="Normal"/>
        <w:spacing w:before="0" w:after="0"/>
        <w:contextualSpacing/>
        <w:rPr/>
      </w:pPr>
      <w:r>
        <w:rP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pStyle w:val="Normal"/>
        <w:spacing w:before="0" w:after="0"/>
        <w:contextualSpacing/>
        <w:rPr/>
      </w:pPr>
      <w:r>
        <w:rPr/>
      </w:r>
    </w:p>
    <w:p>
      <w:pPr>
        <w:pStyle w:val="Normal"/>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pStyle w:val="Normal"/>
        <w:spacing w:before="0" w:after="0"/>
        <w:contextualSpacing/>
        <w:rPr>
          <w:sz w:val="20"/>
          <w:szCs w:val="20"/>
        </w:rPr>
      </w:pPr>
      <w:r>
        <w:rPr>
          <w:sz w:val="20"/>
          <w:szCs w:val="20"/>
        </w:rPr>
        <w:t>and consciousness. (vol. II, p. 541)</w:t>
      </w:r>
    </w:p>
    <w:p>
      <w:pPr>
        <w:pStyle w:val="Normal"/>
        <w:spacing w:before="0" w:after="0"/>
        <w:contextualSpacing/>
        <w:rPr/>
      </w:pPr>
      <w:r>
        <w:rPr/>
      </w:r>
    </w:p>
    <w:p>
      <w:pPr>
        <w:pStyle w:val="Normal"/>
        <w:spacing w:before="0" w:after="0"/>
        <w:contextualSpacing/>
        <w:rPr/>
      </w:pPr>
      <w:r>
        <w:rP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pStyle w:val="Normal"/>
        <w:spacing w:before="0" w:after="0"/>
        <w:ind w:left="0" w:right="0" w:firstLine="720"/>
        <w:contextualSpacing/>
        <w:rPr/>
      </w:pPr>
      <w:r>
        <w:rP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pStyle w:val="Normal"/>
        <w:spacing w:before="0" w:after="0"/>
        <w:ind w:left="0" w:right="0" w:firstLine="720"/>
        <w:contextualSpacing/>
        <w:rPr/>
      </w:pPr>
      <w:r>
        <w:rP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pStyle w:val="Normal"/>
        <w:spacing w:before="0" w:after="0"/>
        <w:contextualSpacing/>
        <w:rPr/>
      </w:pPr>
      <w:r>
        <w:rPr/>
      </w:r>
    </w:p>
    <w:p>
      <w:pPr>
        <w:pStyle w:val="Normal"/>
        <w:spacing w:before="0" w:after="0"/>
        <w:contextualSpacing/>
        <w:rPr/>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pStyle w:val="Normal"/>
        <w:spacing w:before="0" w:after="0"/>
        <w:contextualSpacing/>
        <w:rPr/>
      </w:pPr>
      <w:r>
        <w:rPr/>
      </w:r>
    </w:p>
    <w:p>
      <w:pPr>
        <w:pStyle w:val="Normal"/>
        <w:spacing w:before="0" w:after="0"/>
        <w:contextualSpacing/>
        <w:rPr/>
      </w:pPr>
      <w:r>
        <w:rP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FootnoteAnchor"/>
        </w:rPr>
        <w:footnoteReference w:id="260"/>
      </w:r>
      <w:r>
        <w:rP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FootnoteAnchor"/>
        </w:rPr>
        <w:footnoteReference w:id="261"/>
      </w:r>
      <w:r>
        <w:rPr/>
        <w:t xml:space="preserve"> Incredibly, Northoff writes exactly: </w:t>
      </w:r>
    </w:p>
    <w:p>
      <w:pPr>
        <w:pStyle w:val="Normal"/>
        <w:spacing w:before="0" w:after="0"/>
        <w:contextualSpacing/>
        <w:rPr/>
      </w:pPr>
      <w:r>
        <w:rPr/>
      </w:r>
    </w:p>
    <w:p>
      <w:pPr>
        <w:pStyle w:val="Normal"/>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pStyle w:val="Normal"/>
        <w:spacing w:before="0" w:after="0"/>
        <w:contextualSpacing/>
        <w:rPr>
          <w:sz w:val="20"/>
          <w:szCs w:val="20"/>
        </w:rPr>
      </w:pPr>
      <w:r>
        <w:rPr>
          <w:sz w:val="20"/>
          <w:szCs w:val="20"/>
        </w:rPr>
      </w:r>
    </w:p>
    <w:p>
      <w:pPr>
        <w:pStyle w:val="Normal"/>
        <w:spacing w:before="0" w:after="0"/>
        <w:contextualSpacing/>
        <w:rPr/>
      </w:pPr>
      <w:r>
        <w:rP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FootnoteAnchor"/>
        </w:rPr>
        <w:footnoteReference w:id="262"/>
      </w:r>
      <w:r>
        <w:rPr/>
        <w:t xml:space="preserve"> Another paragraph that seems alike mine, from my book of 2008:</w:t>
      </w:r>
    </w:p>
    <w:p>
      <w:pPr>
        <w:pStyle w:val="Normal"/>
        <w:spacing w:before="0" w:after="0"/>
        <w:contextualSpacing/>
        <w:rPr/>
      </w:pPr>
      <w:r>
        <w:rPr/>
      </w:r>
    </w:p>
    <w:p>
      <w:pPr>
        <w:pStyle w:val="Normal"/>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pStyle w:val="Normal"/>
        <w:spacing w:before="0" w:after="0"/>
        <w:contextualSpacing/>
        <w:rPr/>
      </w:pPr>
      <w:r>
        <w:rPr/>
      </w:r>
    </w:p>
    <w:p>
      <w:pPr>
        <w:pStyle w:val="Normal"/>
        <w:spacing w:before="0" w:after="0"/>
        <w:contextualSpacing/>
        <w:rPr/>
      </w:pPr>
      <w:r>
        <w:rPr/>
        <w:t xml:space="preserve">The reader is invited to read Chapter 2 and 3 from my book of 2008 and to identify exactly the same ideas! Incredibly, Northoff writes about what I investigated in detail: </w:t>
      </w:r>
    </w:p>
    <w:p>
      <w:pPr>
        <w:pStyle w:val="Normal"/>
        <w:spacing w:before="0" w:after="0"/>
        <w:contextualSpacing/>
        <w:rPr/>
      </w:pPr>
      <w:r>
        <w:rPr/>
      </w:r>
    </w:p>
    <w:p>
      <w:pPr>
        <w:pStyle w:val="Normal"/>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pStyle w:val="Normal"/>
        <w:spacing w:before="0" w:after="0"/>
        <w:contextualSpacing/>
        <w:rPr/>
      </w:pPr>
      <w:r>
        <w:rPr/>
      </w:r>
    </w:p>
    <w:p>
      <w:pPr>
        <w:pStyle w:val="Normal"/>
        <w:spacing w:before="0" w:after="0"/>
        <w:contextualSpacing/>
        <w:rPr/>
      </w:pPr>
      <w:r>
        <w:rP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pStyle w:val="Normal"/>
        <w:spacing w:before="0" w:after="0"/>
        <w:contextualSpacing/>
        <w:rPr/>
      </w:pPr>
      <w:r>
        <w:rPr/>
      </w:r>
    </w:p>
    <w:p>
      <w:pPr>
        <w:pStyle w:val="Normal"/>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pStyle w:val="Normal"/>
        <w:spacing w:before="0" w:after="0"/>
        <w:contextualSpacing/>
        <w:rPr>
          <w:sz w:val="20"/>
          <w:szCs w:val="20"/>
        </w:rPr>
      </w:pPr>
      <w:r>
        <w:rPr>
          <w:sz w:val="20"/>
          <w:szCs w:val="20"/>
        </w:rPr>
        <w:t>(NPC). This clearly fulfills the criteria for a transcendental, or better, neurotranscendental, role of the environment–brain unity. (vol. II, p. 576)</w:t>
      </w:r>
    </w:p>
    <w:p>
      <w:pPr>
        <w:pStyle w:val="Normal"/>
        <w:spacing w:before="0" w:after="0"/>
        <w:contextualSpacing/>
        <w:rPr/>
      </w:pPr>
      <w:r>
        <w:rPr/>
      </w:r>
    </w:p>
    <w:p>
      <w:pPr>
        <w:pStyle w:val="Normal"/>
        <w:spacing w:before="0" w:after="0"/>
        <w:contextualSpacing/>
        <w:rPr/>
      </w:pPr>
      <w:r>
        <w:rPr/>
        <w:t xml:space="preserve">Another paragraph that seems to be written under the EDWs perspective, even if Northoff did not understand Kant’s philosophy almost at all! His notion of “neurotranscendental” is exactly the same role played by </w:t>
      </w:r>
      <w:r>
        <w:rPr>
          <w:i/>
        </w:rPr>
        <w:t>correspondence</w:t>
      </w:r>
      <w:r>
        <w:rPr/>
        <w:t xml:space="preserve"> in my EDWs perspective: the brain (and body) </w:t>
      </w:r>
      <w:r>
        <w:rPr>
          <w:i/>
        </w:rPr>
        <w:t>corresponds</w:t>
      </w:r>
      <w:r>
        <w:rP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pStyle w:val="Normal"/>
        <w:spacing w:before="0" w:after="0"/>
        <w:ind w:left="0" w:right="0" w:firstLine="720"/>
        <w:contextualSpacing/>
        <w:rPr>
          <w:bCs/>
        </w:rPr>
      </w:pPr>
      <w:r>
        <w:rPr>
          <w:bCs/>
        </w:rPr>
      </w:r>
    </w:p>
    <w:p>
      <w:pPr>
        <w:pStyle w:val="Normal"/>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pStyle w:val="Normal"/>
        <w:spacing w:before="0" w:after="0"/>
        <w:contextualSpacing/>
        <w:rPr/>
      </w:pPr>
      <w:r>
        <w:rPr/>
      </w:r>
    </w:p>
    <w:p>
      <w:pPr>
        <w:pStyle w:val="Normal"/>
        <w:spacing w:before="0" w:after="0"/>
        <w:contextualSpacing/>
        <w:rPr/>
      </w:pPr>
      <w:r>
        <w:rPr/>
        <w:t>I really do not understand how somebody writing this sentence believes that he understood Kant’s philosophy! It is even meaningless to analyze this sentence, believe me Mr. Northoff!</w:t>
      </w:r>
      <w:r>
        <w:rPr>
          <w:rStyle w:val="FootnoteAnchor"/>
        </w:rPr>
        <w:footnoteReference w:id="263"/>
      </w:r>
      <w:r>
        <w:rP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pStyle w:val="Normal"/>
        <w:spacing w:before="0" w:after="0"/>
        <w:contextualSpacing/>
        <w:rPr/>
      </w:pPr>
      <w:r>
        <w:rPr/>
      </w:r>
    </w:p>
    <w:p>
      <w:pPr>
        <w:pStyle w:val="Normal"/>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pStyle w:val="Normal"/>
        <w:spacing w:before="0" w:after="0"/>
        <w:contextualSpacing/>
        <w:rPr/>
      </w:pPr>
      <w:r>
        <w:rPr/>
      </w:r>
    </w:p>
    <w:p>
      <w:pPr>
        <w:pStyle w:val="Normal"/>
        <w:spacing w:before="0" w:after="0"/>
        <w:contextualSpacing/>
        <w:rPr/>
      </w:pPr>
      <w:r>
        <w:rPr/>
        <w:t>Again, this statement would be available only within the EDWs perspective but not within the unicorn world! Within the unicorn world, we would have an ontological contradiction. Why Northoff rejects so strongly to reduce self to the brain and body?</w:t>
      </w:r>
    </w:p>
    <w:p>
      <w:pPr>
        <w:pStyle w:val="ListParagraph"/>
        <w:widowControl/>
        <w:suppressAutoHyphens w:val="false"/>
        <w:overflowPunct w:val="false"/>
        <w:spacing w:before="0" w:after="0"/>
        <w:ind w:left="0" w:right="0" w:hanging="0"/>
        <w:contextualSpacing/>
        <w:jc w:val="both"/>
        <w:textAlignment w:val="auto"/>
        <w:rPr>
          <w:rFonts w:ascii="Times New Roman" w:hAnsi="Times New Roman" w:eastAsia="Calibri"/>
          <w:kern w:val="0"/>
          <w:sz w:val="24"/>
          <w:szCs w:val="24"/>
        </w:rPr>
      </w:pPr>
      <w:r>
        <w:rPr>
          <w:rFonts w:eastAsia="Calibri" w:ascii="Times New Roman" w:hAnsi="Times New Roman"/>
          <w:kern w:val="0"/>
          <w:sz w:val="24"/>
          <w:szCs w:val="24"/>
        </w:rPr>
      </w:r>
    </w:p>
    <w:p>
      <w:pPr>
        <w:pStyle w:val="ListParagraph"/>
        <w:widowControl/>
        <w:suppressAutoHyphens w:val="false"/>
        <w:overflowPunct w:val="false"/>
        <w:spacing w:before="0" w:after="0"/>
        <w:ind w:left="0" w:right="0" w:hanging="0"/>
        <w:contextualSpacing/>
        <w:jc w:val="both"/>
        <w:textAlignment w:val="auto"/>
        <w:rPr/>
      </w:pPr>
      <w:r>
        <w:rPr>
          <w:rStyle w:val="InternetLink"/>
          <w:rFonts w:ascii="Times New Roman" w:hAnsi="Times New Roman"/>
          <w:b/>
          <w:color w:val="auto"/>
          <w:sz w:val="24"/>
          <w:szCs w:val="24"/>
          <w:highlight w:val="white"/>
          <w:u w:val="none"/>
        </w:rPr>
        <w:t>Conclusion</w:t>
      </w:r>
    </w:p>
    <w:p>
      <w:pPr>
        <w:pStyle w:val="Normal"/>
        <w:spacing w:before="0" w:after="0"/>
        <w:contextualSpacing/>
        <w:rPr/>
      </w:pPr>
      <w:r>
        <w:rPr>
          <w:rStyle w:val="InternetLink"/>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InternetLink"/>
          <w:i/>
          <w:color w:val="auto"/>
          <w:highlight w:val="white"/>
          <w:u w:val="none"/>
        </w:rPr>
        <w:t>No man’s land</w:t>
      </w:r>
      <w:r>
        <w:rPr>
          <w:rStyle w:val="InternetLink"/>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Heading1"/>
        <w:shd w:val="clear" w:fill="FFFFFF"/>
        <w:spacing w:before="0" w:after="0"/>
        <w:contextualSpacing/>
        <w:textAlignment w:val="baseline"/>
        <w:rPr>
          <w:rFonts w:ascii="Times New Roman" w:hAnsi="Times New Roman"/>
          <w:sz w:val="28"/>
          <w:szCs w:val="28"/>
        </w:rPr>
      </w:pPr>
      <w:r>
        <w:rPr>
          <w:rFonts w:ascii="Times New Roman" w:hAnsi="Times New Roman"/>
          <w:sz w:val="28"/>
          <w:szCs w:val="28"/>
        </w:rPr>
      </w:r>
    </w:p>
    <w:p>
      <w:pPr>
        <w:pStyle w:val="Heading1"/>
        <w:shd w:val="clear" w:fill="FFFFFF"/>
        <w:spacing w:before="0" w:after="0"/>
        <w:contextualSpacing/>
        <w:textAlignment w:val="baseline"/>
        <w:rPr>
          <w:rFonts w:ascii="Times New Roman" w:hAnsi="Times New Roman"/>
          <w:sz w:val="28"/>
          <w:szCs w:val="28"/>
        </w:rPr>
      </w:pPr>
      <w:r>
        <w:rPr>
          <w:rFonts w:ascii="Times New Roman" w:hAnsi="Times New Roman"/>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ListParagraph"/>
        <w:numPr>
          <w:ilvl w:val="0"/>
          <w:numId w:val="18"/>
        </w:numPr>
        <w:spacing w:before="0" w:after="0"/>
        <w:contextualSpacing/>
        <w:rPr/>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FootnoteAnchor"/>
          <w:b/>
          <w:bCs/>
          <w:sz w:val="28"/>
          <w:szCs w:val="28"/>
          <w:lang w:val="ro-RO"/>
        </w:rPr>
        <w:footnoteReference w:id="264"/>
      </w:r>
    </w:p>
    <w:p>
      <w:pPr>
        <w:pStyle w:val="Normal"/>
        <w:spacing w:before="0" w:after="0"/>
        <w:contextualSpacing/>
        <w:rPr>
          <w:rFonts w:eastAsia="Times New Roman"/>
          <w:b/>
          <w:b/>
        </w:rPr>
      </w:pPr>
      <w:r>
        <w:rPr>
          <w:rFonts w:eastAsia="Times New Roman"/>
          <w:b/>
        </w:rPr>
      </w:r>
    </w:p>
    <w:p>
      <w:pPr>
        <w:pStyle w:val="Normal"/>
        <w:shd w:val="clear" w:fill="FFFFFF"/>
        <w:spacing w:before="0" w:after="0"/>
        <w:contextualSpacing/>
        <w:rPr/>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pStyle w:val="Normal"/>
        <w:spacing w:before="0" w:after="0"/>
        <w:contextualSpacing/>
        <w:rPr>
          <w:b/>
          <w:b/>
        </w:rPr>
      </w:pPr>
      <w:r>
        <w:rPr>
          <w:b/>
        </w:rPr>
      </w:r>
    </w:p>
    <w:p>
      <w:pPr>
        <w:pStyle w:val="Normal"/>
        <w:spacing w:before="0" w:after="0"/>
        <w:contextualSpacing/>
        <w:rPr/>
      </w:pPr>
      <w:r>
        <w:rP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pStyle w:val="Normal"/>
        <w:spacing w:before="0" w:after="0"/>
        <w:contextualSpacing/>
        <w:rPr/>
      </w:pPr>
      <w:r>
        <w:rPr/>
      </w:r>
    </w:p>
    <w:p>
      <w:pPr>
        <w:pStyle w:val="Normal"/>
        <w:spacing w:before="0" w:after="0"/>
        <w:contextualSpacing/>
        <w:rPr/>
      </w:pPr>
      <w:r>
        <w:rP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FootnoteAnchor"/>
        </w:rPr>
        <w:footnoteReference w:id="265"/>
      </w:r>
      <w:r>
        <w:rP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pStyle w:val="Normal"/>
        <w:spacing w:before="0" w:after="0"/>
        <w:contextualSpacing/>
        <w:rPr/>
      </w:pPr>
      <w:r>
        <w:rPr/>
      </w:r>
    </w:p>
    <w:p>
      <w:pPr>
        <w:pStyle w:val="Normal"/>
        <w:spacing w:before="0" w:after="0"/>
        <w:contextualSpacing/>
        <w:rPr/>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pStyle w:val="Normal"/>
        <w:spacing w:before="0" w:after="0"/>
        <w:contextualSpacing/>
        <w:rPr/>
      </w:pPr>
      <w:r>
        <w:rPr/>
      </w:r>
    </w:p>
    <w:p>
      <w:pPr>
        <w:pStyle w:val="Normal"/>
        <w:spacing w:before="0" w:after="0"/>
        <w:contextualSpacing/>
        <w:rPr/>
      </w:pPr>
      <w:r>
        <w:rP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FootnoteAnchor"/>
        </w:rPr>
        <w:footnoteReference w:id="266"/>
      </w:r>
      <w:r>
        <w:rP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rPr/>
        <w:t xml:space="preserve"> More exactly, the images of the environment are the self or the I that is an EW, while the brain and bodily interactions with the environment belong to the macro-EW. </w:t>
      </w:r>
    </w:p>
    <w:p>
      <w:pPr>
        <w:pStyle w:val="Normal"/>
        <w:spacing w:before="0" w:after="0"/>
        <w:ind w:left="0" w:right="0" w:firstLine="720"/>
        <w:contextualSpacing/>
        <w:rPr/>
      </w:pPr>
      <w:r>
        <w:rPr/>
      </w:r>
    </w:p>
    <w:p>
      <w:pPr>
        <w:pStyle w:val="Normal"/>
        <w:spacing w:before="0" w:after="0"/>
        <w:ind w:left="0" w:right="0" w:firstLine="720"/>
        <w:contextualSpacing/>
        <w:rPr/>
      </w:pPr>
      <w:r>
        <w:rPr/>
        <w:t xml:space="preserve">Explaining the sensorimotor integration, one of the major mistakes of Christoff et al. is the introduction of Von Holst and other authors’ of the “comparator” that </w:t>
      </w:r>
    </w:p>
    <w:p>
      <w:pPr>
        <w:pStyle w:val="Normal"/>
        <w:spacing w:before="0" w:after="0"/>
        <w:ind w:left="0" w:right="0" w:firstLine="720"/>
        <w:contextualSpacing/>
        <w:rPr>
          <w:sz w:val="20"/>
          <w:szCs w:val="20"/>
        </w:rPr>
      </w:pPr>
      <w:r>
        <w:rPr>
          <w:sz w:val="20"/>
          <w:szCs w:val="20"/>
        </w:rPr>
      </w:r>
    </w:p>
    <w:p>
      <w:pPr>
        <w:pStyle w:val="Normal"/>
        <w:spacing w:before="0" w:after="0"/>
        <w:ind w:left="0" w:right="0" w:firstLine="720"/>
        <w:contextualSpacing/>
        <w:rPr/>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rPr/>
        <w:t xml:space="preserve"> </w:t>
      </w:r>
      <w:r>
        <w:rPr>
          <w:sz w:val="20"/>
          <w:szCs w:val="20"/>
        </w:rPr>
        <w:t>(Christoff et al. 2011, p. 105-106)</w:t>
      </w:r>
      <w:r>
        <w:rPr>
          <w:rStyle w:val="FootnoteAnchor"/>
        </w:rPr>
        <w:footnoteReference w:id="267"/>
      </w:r>
    </w:p>
    <w:p>
      <w:pPr>
        <w:pStyle w:val="Heading1"/>
        <w:spacing w:before="0" w:after="0"/>
        <w:contextualSpacing/>
        <w:rPr>
          <w:rFonts w:ascii="Times New Roman" w:hAnsi="Times New Roman"/>
          <w:b w:val="false"/>
          <w:b w:val="false"/>
          <w:sz w:val="24"/>
          <w:szCs w:val="24"/>
        </w:rPr>
      </w:pPr>
      <w:r>
        <w:rPr>
          <w:rFonts w:ascii="Times New Roman" w:hAnsi="Times New Roman"/>
          <w:b w:val="false"/>
          <w:sz w:val="24"/>
          <w:szCs w:val="24"/>
        </w:rPr>
      </w:r>
    </w:p>
    <w:p>
      <w:pPr>
        <w:pStyle w:val="Normal"/>
        <w:spacing w:before="0" w:after="0"/>
        <w:contextualSpacing/>
        <w:rPr/>
      </w:pPr>
      <w:r>
        <w:rP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rPr/>
        <w:t xml:space="preserve"> to the brain, body and the environment. As I wrote in 2005 and all my books, all implicit and explicit knowledge is the “I” but the “I” corresponds to the “organism” (i.e., the body and its interactions with the environment). </w:t>
      </w:r>
    </w:p>
    <w:p>
      <w:pPr>
        <w:pStyle w:val="Normal"/>
        <w:spacing w:before="0" w:after="0"/>
        <w:contextualSpacing/>
        <w:rPr/>
      </w:pPr>
      <w:r>
        <w:rPr/>
        <w:tab/>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pStyle w:val="Normal"/>
        <w:spacing w:before="0" w:after="0"/>
        <w:contextualSpacing/>
        <w:rPr/>
      </w:pPr>
      <w:r>
        <w:rPr/>
      </w:r>
    </w:p>
    <w:p>
      <w:pPr>
        <w:pStyle w:val="Normal"/>
        <w:spacing w:before="0" w:after="0"/>
        <w:contextualSpacing/>
        <w:rPr/>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rPr/>
        <w:t xml:space="preserve"> (idem, p. 106)</w:t>
      </w:r>
    </w:p>
    <w:p>
      <w:pPr>
        <w:pStyle w:val="Normal"/>
        <w:spacing w:before="0" w:after="0"/>
        <w:contextualSpacing/>
        <w:rPr/>
      </w:pPr>
      <w:r>
        <w:rPr/>
      </w:r>
    </w:p>
    <w:p>
      <w:pPr>
        <w:pStyle w:val="Normal"/>
        <w:spacing w:before="0" w:after="0"/>
        <w:contextualSpacing/>
        <w:rPr/>
      </w:pPr>
      <w:r>
        <w:rP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pStyle w:val="Normal"/>
        <w:spacing w:before="0" w:after="0"/>
        <w:contextualSpacing/>
        <w:rPr/>
      </w:pPr>
      <w:r>
        <w:rPr/>
      </w:r>
    </w:p>
    <w:p>
      <w:pPr>
        <w:pStyle w:val="Normal"/>
        <w:spacing w:before="0" w:after="0"/>
        <w:contextualSpacing/>
        <w:rPr/>
      </w:pPr>
      <w:r>
        <w:rP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pStyle w:val="Normal"/>
        <w:spacing w:before="0" w:after="0"/>
        <w:contextualSpacing/>
        <w:rPr/>
      </w:pPr>
      <w:r>
        <w:rPr/>
        <w:tab/>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pStyle w:val="Normal"/>
        <w:spacing w:before="0" w:after="0"/>
        <w:contextualSpacing/>
        <w:rPr/>
      </w:pPr>
      <w:r>
        <w:rPr/>
        <w:tab/>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pStyle w:val="Normal"/>
        <w:spacing w:before="0" w:after="0"/>
        <w:contextualSpacing/>
        <w:rPr>
          <w:sz w:val="19"/>
          <w:szCs w:val="19"/>
        </w:rPr>
      </w:pPr>
      <w:r>
        <w:rPr>
          <w:sz w:val="19"/>
          <w:szCs w:val="19"/>
        </w:rPr>
      </w:r>
    </w:p>
    <w:p>
      <w:pPr>
        <w:pStyle w:val="Normal"/>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pStyle w:val="Normal"/>
        <w:spacing w:before="0" w:after="0"/>
        <w:contextualSpacing/>
        <w:rPr/>
      </w:pPr>
      <w:r>
        <w:rPr/>
      </w:r>
    </w:p>
    <w:p>
      <w:pPr>
        <w:pStyle w:val="Normal"/>
        <w:spacing w:before="0" w:after="0"/>
        <w:contextualSpacing/>
        <w:rPr/>
      </w:pPr>
      <w:r>
        <w:rP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FootnoteAnchor"/>
        </w:rPr>
        <w:footnoteReference w:id="268"/>
      </w:r>
      <w:r>
        <w:rP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FootnoteAnchor"/>
        </w:rPr>
        <w:footnoteReference w:id="269"/>
      </w:r>
      <w:r>
        <w:rP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pStyle w:val="Normal"/>
        <w:spacing w:before="0" w:after="0"/>
        <w:contextualSpacing/>
        <w:rPr/>
      </w:pPr>
      <w:r>
        <w:rPr/>
        <w:tab/>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pStyle w:val="Normal"/>
        <w:spacing w:before="0" w:after="0"/>
        <w:contextualSpacing/>
        <w:rPr/>
      </w:pPr>
      <w:r>
        <w:rPr/>
      </w:r>
    </w:p>
    <w:p>
      <w:pPr>
        <w:pStyle w:val="Heading1"/>
        <w:shd w:val="clear" w:fill="FFFFFF"/>
        <w:spacing w:before="0" w:after="0"/>
        <w:contextualSpacing/>
        <w:textAlignment w:val="baseline"/>
        <w:rPr>
          <w:rFonts w:ascii="Times New Roman" w:hAnsi="Times New Roman"/>
          <w:b w:val="false"/>
          <w:b w:val="false"/>
          <w:sz w:val="24"/>
          <w:szCs w:val="24"/>
        </w:rPr>
      </w:pPr>
      <w:r>
        <w:rPr>
          <w:rFonts w:ascii="Times New Roman" w:hAnsi="Times New Roman"/>
          <w:b w:val="false"/>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Heading1"/>
        <w:shd w:val="clear" w:fill="FFFFFF"/>
        <w:spacing w:before="0" w:after="0"/>
        <w:contextualSpacing/>
        <w:textAlignment w:val="baseline"/>
        <w:rPr>
          <w:rFonts w:ascii="Times New Roman" w:hAnsi="Times New Roman"/>
          <w:b w:val="false"/>
          <w:b w:val="false"/>
          <w:sz w:val="24"/>
          <w:szCs w:val="24"/>
        </w:rPr>
      </w:pPr>
      <w:r>
        <w:rPr>
          <w:rFonts w:ascii="Times New Roman" w:hAnsi="Times New Roman"/>
          <w:b w:val="false"/>
          <w:sz w:val="24"/>
          <w:szCs w:val="24"/>
        </w:rPr>
      </w:r>
    </w:p>
    <w:p>
      <w:pPr>
        <w:pStyle w:val="Normal"/>
        <w:rPr/>
      </w:pPr>
      <w:r>
        <w:rPr/>
      </w:r>
    </w:p>
    <w:p>
      <w:pPr>
        <w:pStyle w:val="Heading1"/>
        <w:numPr>
          <w:ilvl w:val="0"/>
          <w:numId w:val="18"/>
        </w:numPr>
        <w:shd w:val="clear" w:fill="FFFFFF"/>
        <w:spacing w:before="0" w:after="0"/>
        <w:contextualSpacing/>
        <w:textAlignment w:val="baseline"/>
        <w:rPr/>
      </w:pPr>
      <w:r>
        <w:rPr>
          <w:rFonts w:ascii="Times New Roman" w:hAnsi="Times New Roman"/>
          <w:sz w:val="28"/>
          <w:szCs w:val="28"/>
        </w:rPr>
        <w:t>(2015) Did David Ludwig Philosophy, University of Amsterdam) plagiarize many of my ideas? (Philosophy (of Mind)</w:t>
      </w:r>
      <w:r>
        <w:rPr>
          <w:rStyle w:val="FootnoteAnchor"/>
          <w:rFonts w:ascii="Times New Roman" w:hAnsi="Times New Roman"/>
          <w:sz w:val="28"/>
          <w:szCs w:val="28"/>
        </w:rPr>
        <w:footnoteReference w:id="270"/>
      </w:r>
    </w:p>
    <w:p>
      <w:pPr>
        <w:pStyle w:val="Heading1"/>
        <w:shd w:val="clear" w:fill="FFFFFF"/>
        <w:spacing w:before="0" w:after="0"/>
        <w:contextualSpacing/>
        <w:textAlignment w:val="baseline"/>
        <w:rPr>
          <w:rFonts w:ascii="Times New Roman" w:hAnsi="Times New Roman"/>
        </w:rPr>
      </w:pPr>
      <w:r>
        <w:rPr>
          <w:rFonts w:ascii="Times New Roman" w:hAnsi="Times New Roman"/>
        </w:rPr>
      </w:r>
    </w:p>
    <w:p>
      <w:pPr>
        <w:pStyle w:val="Normal"/>
        <w:shd w:val="clear" w:fill="FFFFFF"/>
        <w:spacing w:before="0" w:after="0"/>
        <w:contextualSpacing/>
        <w:textAlignment w:val="baseline"/>
        <w:rPr/>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pStyle w:val="ListParagraph"/>
        <w:shd w:val="clear" w:fill="FFFFFF"/>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widowControl/>
        <w:shd w:val="clear" w:fill="FFFFFF"/>
        <w:suppressAutoHyphens w:val="false"/>
        <w:overflowPunct w:val="false"/>
        <w:spacing w:before="0" w:after="0"/>
        <w:ind w:left="0" w:right="0" w:hanging="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pStyle w:val="ListParagraph"/>
        <w:widowControl/>
        <w:shd w:val="clear" w:fill="FFFFFF"/>
        <w:suppressAutoHyphens w:val="false"/>
        <w:overflowPunct w:val="false"/>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widowControl/>
        <w:shd w:val="clear" w:fill="FFFFFF"/>
        <w:suppressAutoHyphens w:val="false"/>
        <w:overflowPunct w:val="false"/>
        <w:spacing w:before="0" w:after="0"/>
        <w:ind w:left="0" w:right="0" w:hanging="0"/>
        <w:contextualSpacing/>
        <w:jc w:val="both"/>
        <w:rPr>
          <w:rFonts w:ascii="Helvetica Neue;Helvetica;Arial;" w:hAnsi="Helvetica Neue;Helvetica;Arial;"/>
          <w:b w:val="false"/>
          <w:b w:val="false"/>
          <w:i w:val="false"/>
          <w:i w:val="false"/>
          <w:caps w:val="false"/>
          <w:smallCaps w:val="false"/>
          <w:color w:val="1D2228"/>
          <w:spacing w:val="0"/>
          <w:sz w:val="16"/>
          <w:szCs w:val="24"/>
        </w:rPr>
      </w:pPr>
      <w:r>
        <w:rPr>
          <w:rFonts w:ascii="Helvetica Neue;Helvetica;Arial;" w:hAnsi="Helvetica Neue;Helvetica;Arial;"/>
          <w:b w:val="false"/>
          <w:i w:val="false"/>
          <w:caps w:val="false"/>
          <w:smallCaps w:val="false"/>
          <w:color w:val="1D2228"/>
          <w:spacing w:val="0"/>
          <w:sz w:val="16"/>
          <w:szCs w:val="24"/>
        </w:rPr>
      </w:r>
    </w:p>
    <w:p>
      <w:pPr>
        <w:pStyle w:val="ListParagraph"/>
        <w:widowControl/>
        <w:shd w:val="clear" w:fill="FFFFFF"/>
        <w:suppressAutoHyphens w:val="false"/>
        <w:overflowPunct w:val="false"/>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pStyle w:val="Normal"/>
        <w:shd w:val="clear" w:fill="FFFFFF"/>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pStyle w:val="ListParagraph"/>
        <w:widowControl/>
        <w:numPr>
          <w:ilvl w:val="0"/>
          <w:numId w:val="27"/>
        </w:numPr>
        <w:shd w:val="clear" w:fill="FFFFFF"/>
        <w:suppressAutoHyphens w:val="false"/>
        <w:overflowPunct w:val="false"/>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pStyle w:val="ListParagraph"/>
        <w:widowControl/>
        <w:numPr>
          <w:ilvl w:val="0"/>
          <w:numId w:val="27"/>
        </w:numPr>
        <w:shd w:val="clear" w:fill="FFFFFF"/>
        <w:suppressAutoHyphens w:val="false"/>
        <w:overflowPunct w:val="false"/>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softHyphen/>
        <w:t xml:space="preserve"> Three Lessons From Feminist Science Studies”. Now I can understand he started to comprehend particular sciences at their most profound backgrounds!</w:t>
      </w:r>
    </w:p>
    <w:p>
      <w:pPr>
        <w:pStyle w:val="ListParagraph"/>
        <w:widowControl/>
        <w:numPr>
          <w:ilvl w:val="0"/>
          <w:numId w:val="27"/>
        </w:numPr>
        <w:shd w:val="clear" w:fill="FFFFFF"/>
        <w:suppressAutoHyphens w:val="false"/>
        <w:overflowPunct w:val="false"/>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pStyle w:val="ListParagraph"/>
        <w:widowControl/>
        <w:numPr>
          <w:ilvl w:val="0"/>
          <w:numId w:val="27"/>
        </w:numPr>
        <w:shd w:val="clear" w:fill="FFFFFF"/>
        <w:suppressAutoHyphens w:val="false"/>
        <w:overflowPunct w:val="false"/>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pStyle w:val="ListParagraph"/>
        <w:widowControl/>
        <w:numPr>
          <w:ilvl w:val="0"/>
          <w:numId w:val="27"/>
        </w:numPr>
        <w:shd w:val="clear" w:fill="FFFFFF"/>
        <w:suppressAutoHyphens w:val="false"/>
        <w:overflowPunct w:val="false"/>
        <w:spacing w:before="0" w:after="0"/>
        <w:ind w:left="0" w:right="0" w:hanging="360"/>
        <w:contextualSpacing/>
        <w:jc w:val="both"/>
        <w:rPr/>
      </w:pPr>
      <w:r>
        <w:rPr>
          <w:rFonts w:ascii="Times New Roman" w:hAnsi="Times New Roman"/>
          <w:sz w:val="24"/>
          <w:szCs w:val="24"/>
        </w:rPr>
        <w:t xml:space="preserve">2013: </w:t>
      </w:r>
      <w:hyperlink r:id="rId89">
        <w:r>
          <w:rPr>
            <w:rStyle w:val="InternetLink"/>
            <w:rFonts w:ascii="Times New Roman" w:hAnsi="Times New Roman"/>
            <w:color w:val="auto"/>
            <w:sz w:val="24"/>
            <w:szCs w:val="24"/>
            <w:highlight w:val="white"/>
            <w:u w:val="none"/>
          </w:rPr>
          <w:t>"A Rediscovery of Scientific Collections as Material Heritage?" Studies in History and Philosophy of Science Part A</w:t>
        </w:r>
      </w:hyperlink>
      <w:r>
        <w:rPr>
          <w:rFonts w:ascii="Times New Roman" w:hAnsi="Times New Roman"/>
          <w:sz w:val="24"/>
          <w:szCs w:val="24"/>
        </w:rPr>
        <w:t xml:space="preserve"> and </w:t>
      </w:r>
      <w:hyperlink r:id="rId90">
        <w:r>
          <w:rPr>
            <w:rStyle w:val="InternetLink"/>
            <w:rFonts w:ascii="Times New Roman" w:hAnsi="Times New Roman"/>
            <w:color w:val="auto"/>
            <w:sz w:val="24"/>
            <w:szCs w:val="24"/>
            <w:highlight w:val="white"/>
            <w:u w:val="none"/>
          </w:rPr>
          <w:t>University Collections as Archives of Scientific Practice - Revista Electrónica de Fuentes y Archivos</w:t>
        </w:r>
      </w:hyperlink>
    </w:p>
    <w:p>
      <w:pPr>
        <w:pStyle w:val="ListParagraph"/>
        <w:widowControl/>
        <w:numPr>
          <w:ilvl w:val="0"/>
          <w:numId w:val="27"/>
        </w:numPr>
        <w:shd w:val="clear" w:fill="FFFFFF"/>
        <w:suppressAutoHyphens w:val="false"/>
        <w:overflowPunct w:val="false"/>
        <w:spacing w:before="0" w:after="0"/>
        <w:ind w:left="0" w:right="0" w:hanging="360"/>
        <w:contextualSpacing/>
        <w:jc w:val="both"/>
        <w:rPr/>
      </w:pPr>
      <w:r>
        <w:rPr>
          <w:rFonts w:ascii="Times New Roman" w:hAnsi="Times New Roman"/>
          <w:sz w:val="24"/>
          <w:szCs w:val="24"/>
        </w:rPr>
        <w:t xml:space="preserve">2014: </w:t>
      </w:r>
      <w:hyperlink r:id="rId91">
        <w:r>
          <w:rPr>
            <w:rStyle w:val="InternetLink"/>
            <w:rFonts w:ascii="Times New Roman" w:hAnsi="Times New Roman"/>
            <w:color w:val="auto"/>
            <w:sz w:val="24"/>
            <w:szCs w:val="24"/>
            <w:highlight w:val="white"/>
            <w:u w:val="none"/>
          </w:rPr>
          <w:t>Hysteria, Race, and Phlogiston. A Model of Ontological Elimination in the Human Sciences" - Studies in the History and Philosophy of Science C</w:t>
        </w:r>
      </w:hyperlink>
    </w:p>
    <w:p>
      <w:pPr>
        <w:pStyle w:val="ListParagraph"/>
        <w:widowControl/>
        <w:numPr>
          <w:ilvl w:val="0"/>
          <w:numId w:val="27"/>
        </w:numPr>
        <w:shd w:val="clear" w:fill="FFFFFF"/>
        <w:suppressAutoHyphens w:val="false"/>
        <w:overflowPunct w:val="false"/>
        <w:spacing w:before="0" w:after="0"/>
        <w:ind w:left="0" w:right="0" w:hanging="360"/>
        <w:contextualSpacing/>
        <w:jc w:val="both"/>
        <w:rPr/>
      </w:pPr>
      <w:hyperlink r:id="rId92">
        <w:r>
          <w:rPr>
            <w:rStyle w:val="InternetLink"/>
            <w:rFonts w:ascii="Times New Roman" w:hAnsi="Times New Roman"/>
            <w:color w:val="auto"/>
            <w:sz w:val="24"/>
            <w:szCs w:val="24"/>
            <w:u w:val="none"/>
          </w:rPr>
          <w:t>2015: "Against the New Metaphysics of Race" Philosophy of Science</w:t>
        </w:r>
      </w:hyperlink>
    </w:p>
    <w:p>
      <w:pPr>
        <w:pStyle w:val="ListParagraph"/>
        <w:widowControl/>
        <w:numPr>
          <w:ilvl w:val="0"/>
          <w:numId w:val="27"/>
        </w:numPr>
        <w:shd w:val="clear" w:fill="FFFFFF"/>
        <w:suppressAutoHyphens w:val="false"/>
        <w:overflowPunct w:val="false"/>
        <w:spacing w:before="0" w:after="0"/>
        <w:ind w:left="0" w:right="0" w:hanging="360"/>
        <w:contextualSpacing/>
        <w:jc w:val="both"/>
        <w:rPr/>
      </w:pPr>
      <w:r>
        <w:rPr>
          <w:rFonts w:ascii="Times New Roman" w:hAnsi="Times New Roman"/>
          <w:sz w:val="24"/>
          <w:szCs w:val="24"/>
          <w:highlight w:val="white"/>
        </w:rPr>
        <w:t>2015: "Ontological Choices and the Value-Free Ideal"</w:t>
      </w:r>
      <w:r>
        <w:rPr>
          <w:rStyle w:val="Appleconvertedspace"/>
          <w:rFonts w:ascii="Times New Roman" w:hAnsi="Times New Roman"/>
          <w:sz w:val="24"/>
          <w:szCs w:val="24"/>
          <w:highlight w:val="white"/>
        </w:rPr>
        <w:t> </w:t>
      </w:r>
    </w:p>
    <w:p>
      <w:pPr>
        <w:pStyle w:val="Normal"/>
        <w:shd w:val="clear" w:fill="FFFFFF"/>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pStyle w:val="Normal"/>
        <w:shd w:val="clear" w:fill="FFFFFF"/>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pStyle w:val="Normal"/>
        <w:shd w:val="clear" w:fill="FFFFFF"/>
        <w:spacing w:before="0" w:after="0"/>
        <w:contextualSpacing/>
        <w:textAlignment w:val="baseline"/>
        <w:rPr>
          <w:rFonts w:eastAsia="Times New Roman"/>
        </w:rPr>
      </w:pPr>
      <w:r>
        <w:rPr>
          <w:rFonts w:eastAsia="Times New Roman"/>
        </w:rPr>
      </w:r>
    </w:p>
    <w:p>
      <w:pPr>
        <w:pStyle w:val="Normal"/>
        <w:shd w:val="clear" w:fill="FFFFFF"/>
        <w:spacing w:before="0" w:after="0"/>
        <w:contextualSpacing/>
        <w:textAlignment w:val="baseline"/>
        <w:rPr>
          <w:rFonts w:eastAsia="Times New Roman"/>
        </w:rPr>
      </w:pPr>
      <w:r>
        <w:rPr>
          <w:rFonts w:eastAsia="Times New Roman"/>
        </w:rPr>
      </w:r>
    </w:p>
    <w:p>
      <w:pPr>
        <w:pStyle w:val="Normal"/>
        <w:shd w:val="clear" w:fill="FFFFFF"/>
        <w:spacing w:before="0" w:after="0"/>
        <w:contextualSpacing/>
        <w:textAlignment w:val="baseline"/>
        <w:rPr>
          <w:rFonts w:eastAsia="Times New Roman"/>
        </w:rPr>
      </w:pPr>
      <w:r>
        <w:rPr>
          <w:rFonts w:eastAsia="Times New Roman"/>
        </w:rPr>
      </w:r>
    </w:p>
    <w:p>
      <w:pPr>
        <w:pStyle w:val="Normal"/>
        <w:shd w:val="clear" w:fill="FFFFFF"/>
        <w:spacing w:before="0" w:after="0"/>
        <w:contextualSpacing/>
        <w:textAlignment w:val="baseline"/>
        <w:rPr>
          <w:rFonts w:eastAsia="Times New Roman"/>
          <w:b/>
          <w:b/>
          <w:sz w:val="30"/>
          <w:szCs w:val="30"/>
        </w:rPr>
      </w:pPr>
      <w:r>
        <w:rPr>
          <w:rFonts w:eastAsia="Times New Roman"/>
          <w:b/>
          <w:sz w:val="30"/>
          <w:szCs w:val="30"/>
        </w:rPr>
        <w:t xml:space="preserve">David Ludwig’s book: “A Pluralist Theory of Mind” (2015, Springer) </w:t>
      </w:r>
    </w:p>
    <w:p>
      <w:pPr>
        <w:pStyle w:val="Normal"/>
        <w:shd w:val="clear" w:fill="FFFFFF"/>
        <w:spacing w:before="0" w:after="0"/>
        <w:ind w:left="0" w:right="0" w:firstLine="720"/>
        <w:contextualSpacing/>
        <w:textAlignment w:val="baseline"/>
        <w:rPr>
          <w:rFonts w:ascii="Times New Roman" w:hAnsi="Times New Roman" w:eastAsia="Times New Roman"/>
          <w:b/>
          <w:b/>
          <w:bCs/>
          <w:sz w:val="28"/>
          <w:szCs w:val="28"/>
        </w:rPr>
      </w:pPr>
      <w:r>
        <w:rPr>
          <w:rFonts w:eastAsia="Times New Roman"/>
          <w:b/>
          <w:bCs/>
          <w:sz w:val="28"/>
          <w:szCs w:val="28"/>
        </w:rPr>
      </w:r>
    </w:p>
    <w:p>
      <w:pPr>
        <w:pStyle w:val="Normal"/>
        <w:shd w:val="clear" w:fill="FFFFFF"/>
        <w:spacing w:before="0" w:after="0"/>
        <w:ind w:left="0" w:right="0" w:firstLine="720"/>
        <w:contextualSpacing/>
        <w:textAlignment w:val="baseline"/>
        <w:rPr>
          <w:rFonts w:eastAsia="Times New Roman"/>
        </w:rPr>
      </w:pPr>
      <w:r>
        <w:rPr>
          <w:rFonts w:eastAsia="Times New Roman"/>
          <w:b/>
          <w:bCs/>
          <w:sz w:val="28"/>
          <w:szCs w:val="28"/>
        </w:rPr>
        <w:t>Here,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2015 Springer – AMAZING; this book was published at SPRINGER in 2015!!!!! I sent my manuscript to Springer in 2014!!! and I made strong pressures on the editor</w:t>
      </w:r>
      <w:r>
        <w:rPr>
          <w:rFonts w:eastAsia="Times New Roman"/>
          <w:b/>
          <w:bCs/>
          <w:i w:val="false"/>
          <w:caps w:val="false"/>
          <w:smallCaps w:val="false"/>
          <w:color w:val="1D2228"/>
          <w:spacing w:val="0"/>
          <w:sz w:val="28"/>
          <w:szCs w:val="28"/>
        </w:rPr>
        <w:t xml:space="preserve"> to publish my manuscript since it was accepted at the beginning of 2015! At my pressure, he finally published my book in November 2015 but he told me, he wroted 2016 on the book because of some commercial reasons!!!! What a coincidence: Ludwig’s book was published in 2015 at the same publishing company, Springer!!!</w:t>
      </w:r>
      <w:r>
        <w:rPr>
          <w:rFonts w:eastAsia="Times New Roman"/>
          <w:b/>
          <w:bCs/>
          <w:sz w:val="28"/>
          <w:szCs w:val="28"/>
        </w:rPr>
        <w:t xml:space="preserve"> ).</w:t>
      </w:r>
    </w:p>
    <w:p>
      <w:pPr>
        <w:pStyle w:val="Normal"/>
        <w:shd w:val="clear" w:fill="FFFFFF"/>
        <w:spacing w:before="0" w:after="0"/>
        <w:contextualSpacing/>
        <w:textAlignment w:val="baseline"/>
        <w:rPr>
          <w:rFonts w:eastAsia="Times New Roman"/>
        </w:rPr>
      </w:pPr>
      <w:r>
        <w:rPr>
          <w:rFonts w:eastAsia="Times New Roman"/>
        </w:rPr>
      </w:r>
    </w:p>
    <w:p>
      <w:pPr>
        <w:pStyle w:val="Normal"/>
        <w:shd w:val="clear" w:fill="FFFFFF"/>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pStyle w:val="Normal"/>
        <w:shd w:val="clear" w:fill="FFFFFF"/>
        <w:spacing w:before="0" w:after="0"/>
        <w:ind w:left="0" w:right="0" w:firstLine="720"/>
        <w:contextualSpacing/>
        <w:textAlignment w:val="baseline"/>
        <w:rPr/>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pStyle w:val="Normal"/>
        <w:shd w:val="clear" w:fill="FFFFFF"/>
        <w:spacing w:before="0" w:after="0"/>
        <w:ind w:left="0" w:right="0" w:firstLine="720"/>
        <w:contextualSpacing/>
        <w:textAlignment w:val="baseline"/>
        <w:rPr/>
      </w:pPr>
      <w:r>
        <w:rPr>
          <w:rFonts w:eastAsia="Times New Roman"/>
        </w:rPr>
        <w:t>At page X: he started to learn philosophy of mind as “</w:t>
      </w:r>
      <w:r>
        <w:rPr/>
        <w:t xml:space="preserve">a student assistant for Tania Munz at the </w:t>
      </w:r>
      <w:r>
        <w:rPr>
          <w:i/>
          <w:iCs/>
        </w:rPr>
        <w:t xml:space="preserve">Max </w:t>
      </w:r>
      <w:r>
        <w:rPr/>
        <w:t xml:space="preserve">- </w:t>
      </w:r>
      <w:r>
        <w:rPr>
          <w:i/>
          <w:iCs/>
        </w:rPr>
        <w:t xml:space="preserve">Planck Institute for the History of Science” </w:t>
      </w:r>
      <w:r>
        <w:rPr>
          <w:iCs/>
        </w:rPr>
        <w:t>(in what year?) and then</w:t>
      </w:r>
    </w:p>
    <w:p>
      <w:pPr>
        <w:pStyle w:val="Normal"/>
        <w:spacing w:before="0" w:after="0"/>
        <w:contextualSpacing/>
        <w:rPr>
          <w:iCs/>
        </w:rPr>
      </w:pPr>
      <w:r>
        <w:rPr>
          <w:iCs/>
        </w:rPr>
      </w:r>
    </w:p>
    <w:p>
      <w:pPr>
        <w:pStyle w:val="Normal"/>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pStyle w:val="Normal"/>
        <w:shd w:val="clear" w:fill="FFFFFF"/>
        <w:spacing w:before="0" w:after="0"/>
        <w:contextualSpacing/>
        <w:textAlignment w:val="baseline"/>
        <w:rPr>
          <w:rFonts w:eastAsia="Times New Roman"/>
        </w:rPr>
      </w:pPr>
      <w:r>
        <w:rPr>
          <w:rFonts w:eastAsia="Times New Roman"/>
        </w:rPr>
      </w:r>
    </w:p>
    <w:p>
      <w:pPr>
        <w:pStyle w:val="Normal"/>
        <w:shd w:val="clear" w:fill="FFFFFF"/>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pStyle w:val="Normal"/>
        <w:shd w:val="clear" w:fill="FFFFFF"/>
        <w:spacing w:before="0" w:after="0"/>
        <w:contextualSpacing/>
        <w:textAlignment w:val="baseline"/>
        <w:rPr>
          <w:rFonts w:eastAsia="Times New Roman"/>
          <w:b/>
          <w:b/>
        </w:rPr>
      </w:pPr>
      <w:r>
        <w:rPr>
          <w:rFonts w:eastAsia="Times New Roman"/>
          <w:b/>
        </w:rPr>
      </w:r>
    </w:p>
    <w:p>
      <w:pPr>
        <w:pStyle w:val="Normal"/>
        <w:shd w:val="clear" w:fill="FFFFFF"/>
        <w:spacing w:before="0" w:after="0"/>
        <w:contextualSpacing/>
        <w:textAlignment w:val="baseline"/>
        <w:rPr>
          <w:rFonts w:eastAsia="Times New Roman"/>
          <w:b/>
          <w:b/>
        </w:rPr>
      </w:pPr>
      <w:r>
        <w:rPr>
          <w:rFonts w:eastAsia="Times New Roman"/>
          <w:b/>
        </w:rPr>
        <w:t>Chapter 1 of his book</w:t>
      </w:r>
    </w:p>
    <w:p>
      <w:pPr>
        <w:pStyle w:val="Normal"/>
        <w:shd w:val="clear" w:fill="FFFFFF"/>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pStyle w:val="Normal"/>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pStyle w:val="Normal"/>
        <w:shd w:val="clear" w:fill="FFFFFF"/>
        <w:spacing w:before="0" w:after="0"/>
        <w:contextualSpacing/>
        <w:textAlignment w:val="baseline"/>
        <w:rPr>
          <w:rFonts w:eastAsia="Times New Roman"/>
        </w:rPr>
      </w:pPr>
      <w:r>
        <w:rPr>
          <w:rFonts w:eastAsia="Times New Roman"/>
        </w:rPr>
      </w:r>
    </w:p>
    <w:p>
      <w:pPr>
        <w:pStyle w:val="Normal"/>
        <w:shd w:val="clear" w:fill="FFFFFF"/>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pStyle w:val="Normal"/>
        <w:spacing w:before="0" w:after="0"/>
        <w:contextualSpacing/>
        <w:rPr>
          <w:rFonts w:eastAsia="Times New Roman"/>
        </w:rPr>
      </w:pPr>
      <w:r>
        <w:rPr>
          <w:rFonts w:eastAsia="Times New Roman"/>
        </w:rPr>
      </w:r>
    </w:p>
    <w:p>
      <w:pPr>
        <w:pStyle w:val="Normal"/>
        <w:shd w:val="clear" w:fill="FFFFFF"/>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pStyle w:val="Normal"/>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pStyle w:val="Normal"/>
        <w:shd w:val="clear" w:fill="FFFFFF"/>
        <w:spacing w:before="0" w:after="0"/>
        <w:contextualSpacing/>
        <w:textAlignment w:val="baseline"/>
        <w:rPr>
          <w:rFonts w:eastAsia="Times New Roman"/>
        </w:rPr>
      </w:pPr>
      <w:r>
        <w:rPr>
          <w:rFonts w:eastAsia="Times New Roman"/>
        </w:rPr>
      </w:r>
    </w:p>
    <w:p>
      <w:pPr>
        <w:pStyle w:val="Normal"/>
        <w:shd w:val="clear" w:fill="FFFFFF"/>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pStyle w:val="Normal"/>
        <w:spacing w:before="0" w:after="0"/>
        <w:contextualSpacing/>
        <w:rPr/>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rP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pStyle w:val="Normal"/>
        <w:spacing w:before="0" w:after="0"/>
        <w:contextualSpacing/>
        <w:rPr>
          <w:rFonts w:eastAsia="Times New Roman"/>
        </w:rPr>
      </w:pPr>
      <w:r>
        <w:rPr>
          <w:rFonts w:eastAsia="Times New Roman"/>
        </w:rPr>
      </w:r>
    </w:p>
    <w:p>
      <w:pPr>
        <w:pStyle w:val="Normal"/>
        <w:spacing w:before="0" w:after="0"/>
        <w:contextualSpacing/>
        <w:rPr/>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pStyle w:val="Normal"/>
        <w:shd w:val="clear" w:fill="FFFFFF"/>
        <w:spacing w:before="0" w:after="0"/>
        <w:contextualSpacing/>
        <w:textAlignment w:val="baseline"/>
        <w:rPr>
          <w:rFonts w:eastAsia="Times New Roman"/>
        </w:rPr>
      </w:pPr>
      <w:r>
        <w:rPr>
          <w:rFonts w:eastAsia="Times New Roman"/>
        </w:rPr>
      </w:r>
    </w:p>
    <w:p>
      <w:pPr>
        <w:pStyle w:val="Normal"/>
        <w:shd w:val="clear" w:fill="FFFFFF"/>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pStyle w:val="Normal"/>
        <w:shd w:val="clear" w:fill="FFFFFF"/>
        <w:spacing w:before="0" w:after="0"/>
        <w:contextualSpacing/>
        <w:textAlignment w:val="baseline"/>
        <w:rPr>
          <w:rFonts w:eastAsia="Times New Roman"/>
        </w:rPr>
      </w:pPr>
      <w:r>
        <w:rPr>
          <w:rFonts w:eastAsia="Times New Roman"/>
        </w:rPr>
      </w:r>
    </w:p>
    <w:p>
      <w:pPr>
        <w:pStyle w:val="Normal"/>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pStyle w:val="Normal"/>
        <w:shd w:val="clear" w:fill="FFFFFF"/>
        <w:spacing w:before="0" w:after="0"/>
        <w:contextualSpacing/>
        <w:textAlignment w:val="baseline"/>
        <w:rPr>
          <w:rFonts w:eastAsia="Times New Roman"/>
        </w:rPr>
      </w:pPr>
      <w:r>
        <w:rPr>
          <w:rFonts w:eastAsia="Times New Roman"/>
        </w:rPr>
      </w:r>
    </w:p>
    <w:p>
      <w:pPr>
        <w:pStyle w:val="Normal"/>
        <w:shd w:val="clear" w:fill="FFFFFF"/>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pStyle w:val="Normal"/>
        <w:shd w:val="clear" w:fill="FFFFFF"/>
        <w:spacing w:before="0" w:after="0"/>
        <w:contextualSpacing/>
        <w:textAlignment w:val="baseline"/>
        <w:rPr>
          <w:rFonts w:eastAsia="Times New Roman"/>
        </w:rPr>
      </w:pPr>
      <w:r>
        <w:rPr>
          <w:rFonts w:eastAsia="Times New Roman"/>
        </w:rPr>
      </w:r>
    </w:p>
    <w:p>
      <w:pPr>
        <w:pStyle w:val="Normal"/>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pStyle w:val="Normal"/>
        <w:spacing w:before="0" w:after="0"/>
        <w:contextualSpacing/>
        <w:rPr/>
      </w:pPr>
      <w:r>
        <w:rPr/>
      </w:r>
    </w:p>
    <w:p>
      <w:pPr>
        <w:pStyle w:val="Normal"/>
        <w:spacing w:before="0" w:after="0"/>
        <w:contextualSpacing/>
        <w:rPr/>
      </w:pPr>
      <w:r>
        <w:rP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pStyle w:val="Normal"/>
        <w:spacing w:before="0" w:after="0"/>
        <w:contextualSpacing/>
        <w:rPr/>
      </w:pPr>
      <w:r>
        <w:rPr/>
      </w:r>
    </w:p>
    <w:p>
      <w:pPr>
        <w:pStyle w:val="Normal"/>
        <w:spacing w:before="0" w:after="0"/>
        <w:contextualSpacing/>
        <w:rPr/>
      </w:pPr>
      <w:r>
        <w:rP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pStyle w:val="Normal"/>
        <w:spacing w:before="0" w:after="0"/>
        <w:contextualSpacing/>
        <w:rPr>
          <w:sz w:val="20"/>
          <w:szCs w:val="20"/>
        </w:rPr>
      </w:pPr>
      <w:r>
        <w:rPr>
          <w:sz w:val="20"/>
          <w:szCs w:val="20"/>
        </w:rPr>
      </w:r>
    </w:p>
    <w:p>
      <w:pPr>
        <w:pStyle w:val="Normal"/>
        <w:spacing w:before="0" w:after="0"/>
        <w:contextualSpacing/>
        <w:rPr/>
      </w:pPr>
      <w:r>
        <w:rPr/>
        <w:t xml:space="preserve">Obviously, David Ludwig knows that “equally fundamental ontologies is highly controversial” (only Gabriel Vacariu wrote about this idea) so he furnished us “justifications”. </w:t>
      </w:r>
    </w:p>
    <w:p>
      <w:pPr>
        <w:pStyle w:val="Normal"/>
        <w:spacing w:before="0" w:after="0"/>
        <w:contextualSpacing/>
        <w:rPr/>
      </w:pPr>
      <w:r>
        <w:rPr/>
      </w:r>
    </w:p>
    <w:p>
      <w:pPr>
        <w:pStyle w:val="Normal"/>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pStyle w:val="Normal"/>
        <w:spacing w:before="0" w:after="0"/>
        <w:contextualSpacing/>
        <w:rPr>
          <w:sz w:val="20"/>
          <w:szCs w:val="20"/>
        </w:rPr>
      </w:pPr>
      <w:r>
        <w:rPr>
          <w:sz w:val="20"/>
          <w:szCs w:val="20"/>
        </w:rPr>
      </w:r>
    </w:p>
    <w:p>
      <w:pPr>
        <w:pStyle w:val="Normal"/>
        <w:spacing w:before="0" w:after="0"/>
        <w:contextualSpacing/>
        <w:rPr/>
      </w:pPr>
      <w:r>
        <w:rPr/>
        <w:t>Exactly as I did it in my works (2008, 2010), David Ludwig rejects the reductionism and introduces an “ontological pluralism”. This “ontological pluralism” is exactly my EDWs!</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pStyle w:val="Normal"/>
        <w:spacing w:before="0" w:after="0"/>
        <w:contextualSpacing/>
        <w:rPr>
          <w:sz w:val="20"/>
          <w:szCs w:val="20"/>
        </w:rPr>
      </w:pPr>
      <w:r>
        <w:rPr>
          <w:sz w:val="20"/>
          <w:szCs w:val="20"/>
        </w:rPr>
      </w:r>
    </w:p>
    <w:p>
      <w:pPr>
        <w:pStyle w:val="Normal"/>
        <w:spacing w:before="0" w:after="0"/>
        <w:contextualSpacing/>
        <w:rPr/>
      </w:pPr>
      <w:r>
        <w:rPr/>
        <w:t>UNBELIEVABLE!!! Exact my EDWs perspective, word by word!!!</w:t>
      </w:r>
    </w:p>
    <w:p>
      <w:pPr>
        <w:pStyle w:val="Normal"/>
        <w:spacing w:before="0" w:after="0"/>
        <w:contextualSpacing/>
        <w:rPr/>
      </w:pPr>
      <w:r>
        <w:rPr/>
        <w:t xml:space="preserve">At page 20, David Ludwig introduces something about “Kuhn’s normal science period”. Moreover, David Ludwig mentions Goodman’s </w:t>
      </w:r>
      <w:r>
        <w:rPr>
          <w:i/>
        </w:rPr>
        <w:t>Ways of worldmaking</w:t>
      </w:r>
      <w:r>
        <w:rPr/>
        <w:t xml:space="preserve">. INCREDIBLE: in my book 2008, I used many times Kuhn’s notions and investigated Goodman’s paper but also one of his book ((in a special section!). </w:t>
      </w:r>
    </w:p>
    <w:p>
      <w:pPr>
        <w:pStyle w:val="Normal"/>
        <w:spacing w:before="0" w:after="0"/>
        <w:contextualSpacing/>
        <w:rPr/>
      </w:pPr>
      <w:r>
        <w:rP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pStyle w:val="Normal"/>
        <w:spacing w:before="0" w:after="0"/>
        <w:contextualSpacing/>
        <w:rPr/>
      </w:pPr>
      <w:r>
        <w:rPr/>
      </w:r>
    </w:p>
    <w:p>
      <w:pPr>
        <w:pStyle w:val="Normal"/>
        <w:spacing w:before="0" w:after="0"/>
        <w:contextualSpacing/>
        <w:rPr/>
      </w:pPr>
      <w:r>
        <w:rPr/>
        <w:t>At page 25, in section “The ontological priority of the physical”, David Ludwig mentions, among other authors, Einstein. My question: “Does David Ludwig read something written about Einstein or something about Einstein?”</w:t>
      </w:r>
    </w:p>
    <w:p>
      <w:pPr>
        <w:pStyle w:val="Normal"/>
        <w:spacing w:before="0" w:after="0"/>
        <w:contextualSpacing/>
        <w:rPr/>
      </w:pPr>
      <w:r>
        <w:rPr/>
      </w:r>
    </w:p>
    <w:p>
      <w:pPr>
        <w:pStyle w:val="Normal"/>
        <w:spacing w:before="0" w:after="0"/>
        <w:contextualSpacing/>
        <w:rPr/>
      </w:pPr>
      <w:r>
        <w:rPr/>
        <w:t xml:space="preserve">David Ludwig writes something about Smart and Place in rejecting their identity theory. Again, in my book from 2008, I rejected the identity theory investigating Place and Smart’s works. </w:t>
      </w:r>
    </w:p>
    <w:p>
      <w:pPr>
        <w:pStyle w:val="Normal"/>
        <w:spacing w:before="0" w:after="0"/>
        <w:contextualSpacing/>
        <w:rPr/>
      </w:pPr>
      <w:r>
        <w:rP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pStyle w:val="Normal"/>
        <w:spacing w:before="0" w:after="0"/>
        <w:contextualSpacing/>
        <w:rPr/>
      </w:pPr>
      <w:r>
        <w:rPr/>
      </w:r>
    </w:p>
    <w:p>
      <w:pPr>
        <w:pStyle w:val="Normal"/>
        <w:spacing w:before="0" w:after="0"/>
        <w:contextualSpacing/>
        <w:rPr/>
      </w:pPr>
      <w:r>
        <w:rPr/>
        <w:t xml:space="preserve">In Chapter 3, the first paragraph: </w:t>
      </w:r>
    </w:p>
    <w:p>
      <w:pPr>
        <w:pStyle w:val="Normal"/>
        <w:spacing w:before="0" w:after="0"/>
        <w:contextualSpacing/>
        <w:rPr/>
      </w:pPr>
      <w:r>
        <w:rPr/>
      </w:r>
    </w:p>
    <w:p>
      <w:pPr>
        <w:pStyle w:val="Normal"/>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pStyle w:val="Normal"/>
        <w:spacing w:before="0" w:after="0"/>
        <w:contextualSpacing/>
        <w:rPr/>
      </w:pPr>
      <w:r>
        <w:rPr/>
      </w:r>
    </w:p>
    <w:p>
      <w:pPr>
        <w:pStyle w:val="Normal"/>
        <w:spacing w:before="0" w:after="0"/>
        <w:contextualSpacing/>
        <w:rPr/>
      </w:pPr>
      <w:r>
        <w:rP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pStyle w:val="Normal"/>
        <w:spacing w:before="0" w:after="0"/>
        <w:contextualSpacing/>
        <w:rPr/>
      </w:pPr>
      <w:r>
        <w:rPr/>
        <w:tab/>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pStyle w:val="Normal"/>
        <w:spacing w:before="0" w:after="0"/>
        <w:contextualSpacing/>
        <w:rPr/>
      </w:pPr>
      <w:r>
        <w:rPr/>
      </w:r>
    </w:p>
    <w:p>
      <w:pPr>
        <w:pStyle w:val="Normal"/>
        <w:spacing w:before="0" w:after="0"/>
        <w:contextualSpacing/>
        <w:rPr/>
      </w:pPr>
      <w:r>
        <w:rP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FootnoteAnchor"/>
        </w:rPr>
        <w:footnoteReference w:id="271"/>
      </w:r>
      <w:r>
        <w:rPr/>
        <w:t xml:space="preserve"> David Ludwig writes quite many pages on Putnam’s “conceptual framework”. I investigated Putnam’s conceptual framework in my book from 2008 exactly with the same conclusions. </w:t>
      </w:r>
    </w:p>
    <w:p>
      <w:pPr>
        <w:pStyle w:val="Normal"/>
        <w:spacing w:before="0" w:after="0"/>
        <w:contextualSpacing/>
        <w:rPr/>
      </w:pPr>
      <w:r>
        <w:rPr/>
      </w:r>
    </w:p>
    <w:p>
      <w:pPr>
        <w:pStyle w:val="Normal"/>
        <w:spacing w:before="0" w:after="0"/>
        <w:contextualSpacing/>
        <w:rPr/>
      </w:pPr>
      <w:r>
        <w:rP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pStyle w:val="Normal"/>
        <w:spacing w:before="0" w:after="0"/>
        <w:contextualSpacing/>
        <w:rPr/>
      </w:pPr>
      <w:r>
        <w:rPr/>
      </w:r>
    </w:p>
    <w:p>
      <w:pPr>
        <w:pStyle w:val="Normal"/>
        <w:spacing w:before="0" w:after="0"/>
        <w:contextualSpacing/>
        <w:rPr/>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pStyle w:val="Normal"/>
        <w:spacing w:before="0" w:after="0"/>
        <w:contextualSpacing/>
        <w:rPr>
          <w:sz w:val="12"/>
          <w:szCs w:val="12"/>
        </w:rPr>
      </w:pPr>
      <w:r>
        <w:rPr>
          <w:sz w:val="12"/>
          <w:szCs w:val="12"/>
        </w:rPr>
      </w:r>
    </w:p>
    <w:p>
      <w:pPr>
        <w:pStyle w:val="Normal"/>
        <w:spacing w:before="0" w:after="0"/>
        <w:contextualSpacing/>
        <w:rPr/>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rPr/>
        <w:t xml:space="preserve"> </w:t>
      </w:r>
    </w:p>
    <w:p>
      <w:pPr>
        <w:pStyle w:val="Normal"/>
        <w:spacing w:before="0" w:after="0"/>
        <w:contextualSpacing/>
        <w:rPr/>
      </w:pPr>
      <w:r>
        <w:rPr/>
      </w:r>
    </w:p>
    <w:p>
      <w:pPr>
        <w:pStyle w:val="Normal"/>
        <w:spacing w:before="0" w:after="0"/>
        <w:contextualSpacing/>
        <w:rPr/>
      </w:pPr>
      <w:r>
        <w:rPr/>
        <w:t xml:space="preserve">We can conclude that other people published UNBELIEVABLE similar ideas to my ideas! David Ludwig emphasizes the “different cognitive ontologies” in cognitive science: </w:t>
      </w:r>
    </w:p>
    <w:p>
      <w:pPr>
        <w:pStyle w:val="Normal"/>
        <w:spacing w:before="0" w:after="0"/>
        <w:contextualSpacing/>
        <w:rPr/>
      </w:pPr>
      <w:r>
        <w:rPr/>
      </w:r>
    </w:p>
    <w:p>
      <w:pPr>
        <w:pStyle w:val="Normal"/>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pStyle w:val="Normal"/>
        <w:spacing w:before="0" w:after="0"/>
        <w:contextualSpacing/>
        <w:rPr/>
      </w:pPr>
      <w:r>
        <w:rPr/>
      </w:r>
    </w:p>
    <w:p>
      <w:pPr>
        <w:pStyle w:val="Normal"/>
        <w:spacing w:before="0" w:after="0"/>
        <w:contextualSpacing/>
        <w:rPr/>
      </w:pPr>
      <w:r>
        <w:rP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pStyle w:val="Normal"/>
        <w:spacing w:before="0" w:after="0"/>
        <w:contextualSpacing/>
        <w:rPr/>
      </w:pPr>
      <w:r>
        <w:rPr/>
      </w:r>
    </w:p>
    <w:p>
      <w:pPr>
        <w:pStyle w:val="Normal"/>
        <w:spacing w:before="0" w:after="0"/>
        <w:contextualSpacing/>
        <w:rPr/>
      </w:pPr>
      <w:r>
        <w:rP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pStyle w:val="Normal"/>
        <w:spacing w:before="0" w:after="0"/>
        <w:contextualSpacing/>
        <w:rPr/>
      </w:pPr>
      <w:r>
        <w:rPr/>
      </w:r>
    </w:p>
    <w:p>
      <w:pPr>
        <w:pStyle w:val="Normal"/>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pStyle w:val="Normal"/>
        <w:spacing w:before="0" w:after="0"/>
        <w:contextualSpacing/>
        <w:rPr/>
      </w:pPr>
      <w:r>
        <w:rPr/>
      </w:r>
    </w:p>
    <w:p>
      <w:pPr>
        <w:pStyle w:val="Normal"/>
        <w:spacing w:before="0" w:after="0"/>
        <w:contextualSpacing/>
        <w:rPr/>
      </w:pPr>
      <w:r>
        <w:rPr/>
        <w:t xml:space="preserve">Exactly the same ideas I wrote in my papers and my books in 2002-2008-2012! “Correlation” is one of my notions in my work from 2002, 2005, 2008, etc. </w:t>
      </w:r>
    </w:p>
    <w:p>
      <w:pPr>
        <w:pStyle w:val="Normal"/>
        <w:spacing w:before="0" w:after="0"/>
        <w:contextualSpacing/>
        <w:rPr/>
      </w:pPr>
      <w:r>
        <w:rPr/>
      </w:r>
    </w:p>
    <w:p>
      <w:pPr>
        <w:pStyle w:val="Normal"/>
        <w:spacing w:before="0" w:after="0"/>
        <w:contextualSpacing/>
        <w:rPr/>
      </w:pPr>
      <w:r>
        <w:rP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pStyle w:val="Normal"/>
        <w:spacing w:before="0" w:after="0"/>
        <w:contextualSpacing/>
        <w:rPr/>
      </w:pPr>
      <w:r>
        <w:rPr/>
        <w:tab/>
        <w:t xml:space="preserve">At page 68, Daivd Ludwig informs us that </w:t>
      </w:r>
    </w:p>
    <w:p>
      <w:pPr>
        <w:pStyle w:val="Normal"/>
        <w:spacing w:before="0" w:after="0"/>
        <w:contextualSpacing/>
        <w:rPr/>
      </w:pPr>
      <w:r>
        <w:rPr/>
      </w:r>
    </w:p>
    <w:p>
      <w:pPr>
        <w:pStyle w:val="Normal"/>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pStyle w:val="Normal"/>
        <w:spacing w:before="0" w:after="0"/>
        <w:contextualSpacing/>
        <w:rPr/>
      </w:pPr>
      <w:r>
        <w:rPr/>
      </w:r>
    </w:p>
    <w:p>
      <w:pPr>
        <w:pStyle w:val="Normal"/>
        <w:spacing w:before="0" w:after="0"/>
        <w:contextualSpacing/>
        <w:rPr/>
      </w:pPr>
      <w:r>
        <w:rP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FootnoteAnchor"/>
        </w:rPr>
        <w:footnoteReference w:id="272"/>
      </w:r>
      <w:r>
        <w:rPr/>
        <w:t xml:space="preserve"> </w:t>
      </w:r>
    </w:p>
    <w:p>
      <w:pPr>
        <w:pStyle w:val="Normal"/>
        <w:spacing w:before="0" w:after="0"/>
        <w:contextualSpacing/>
        <w:rPr/>
      </w:pPr>
      <w:r>
        <w:rPr/>
        <w:tab/>
        <w:t xml:space="preserve">At page 74, David Ludwig emphasizes again the existence of “independent biological kinds” and his “plurality of interest-dependent taxonomies in scientific practice”: </w:t>
      </w:r>
    </w:p>
    <w:p>
      <w:pPr>
        <w:pStyle w:val="Normal"/>
        <w:spacing w:before="0" w:after="0"/>
        <w:contextualSpacing/>
        <w:rPr/>
      </w:pPr>
      <w:r>
        <w:rPr/>
      </w:r>
    </w:p>
    <w:p>
      <w:pPr>
        <w:pStyle w:val="Normal"/>
        <w:spacing w:before="0" w:after="0"/>
        <w:contextualSpacing/>
        <w:rPr/>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rPr/>
        <w:t xml:space="preserve"> </w:t>
      </w:r>
    </w:p>
    <w:p>
      <w:pPr>
        <w:pStyle w:val="Normal"/>
        <w:spacing w:before="0" w:after="0"/>
        <w:contextualSpacing/>
        <w:rPr/>
      </w:pPr>
      <w:r>
        <w:rPr/>
      </w:r>
    </w:p>
    <w:p>
      <w:pPr>
        <w:pStyle w:val="Normal"/>
        <w:spacing w:before="0" w:after="0"/>
        <w:contextualSpacing/>
        <w:rPr/>
      </w:pPr>
      <w:r>
        <w:rP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pStyle w:val="Normal"/>
        <w:spacing w:before="0" w:after="0"/>
        <w:contextualSpacing/>
        <w:rPr/>
      </w:pPr>
      <w:r>
        <w:rPr/>
      </w:r>
    </w:p>
    <w:p>
      <w:pPr>
        <w:pStyle w:val="Normal"/>
        <w:spacing w:before="0" w:after="0"/>
        <w:contextualSpacing/>
        <w:rPr/>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FootnoteAnchor"/>
        </w:rPr>
        <w:footnoteReference w:id="273"/>
      </w:r>
    </w:p>
    <w:p>
      <w:pPr>
        <w:pStyle w:val="Normal"/>
        <w:spacing w:before="0" w:after="0"/>
        <w:contextualSpacing/>
        <w:rPr>
          <w:sz w:val="20"/>
          <w:szCs w:val="20"/>
        </w:rPr>
      </w:pPr>
      <w:r>
        <w:rPr>
          <w:sz w:val="20"/>
          <w:szCs w:val="20"/>
        </w:rPr>
      </w:r>
    </w:p>
    <w:p>
      <w:pPr>
        <w:pStyle w:val="Normal"/>
        <w:spacing w:before="0" w:after="0"/>
        <w:contextualSpacing/>
        <w:rPr/>
      </w:pPr>
      <w:r>
        <w:rPr/>
        <w:t xml:space="preserve">Does the reader needs more arguments to notice the UNBELIEVABLE SIMILARITY between my ideas (2002-2008) and David Ludwig’s ideas (2015)??? </w:t>
      </w:r>
    </w:p>
    <w:p>
      <w:pPr>
        <w:pStyle w:val="Normal"/>
        <w:spacing w:before="0" w:after="0"/>
        <w:contextualSpacing/>
        <w:rPr/>
      </w:pPr>
      <w:r>
        <w:rPr/>
        <w:tab/>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tab/>
        <w:t xml:space="preserve">I analyze another paragraph from this book: </w:t>
      </w:r>
    </w:p>
    <w:p>
      <w:pPr>
        <w:pStyle w:val="Normal"/>
        <w:spacing w:before="0" w:after="0"/>
        <w:contextualSpacing/>
        <w:rPr/>
      </w:pPr>
      <w:r>
        <w:rPr/>
      </w:r>
    </w:p>
    <w:p>
      <w:pPr>
        <w:pStyle w:val="Normal"/>
        <w:spacing w:before="0" w:after="0"/>
        <w:contextualSpacing/>
        <w:rPr>
          <w:sz w:val="20"/>
          <w:szCs w:val="20"/>
        </w:rPr>
      </w:pPr>
      <w:r>
        <w:rPr>
          <w:sz w:val="20"/>
          <w:szCs w:val="20"/>
        </w:rPr>
        <w:t>Cognitive neuroscientists who are primarily concerned with internal mechanisms of the brain have good reasons to</w:t>
      </w:r>
    </w:p>
    <w:p>
      <w:pPr>
        <w:pStyle w:val="Normal"/>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pStyle w:val="Normal"/>
        <w:spacing w:before="0" w:after="0"/>
        <w:contextualSpacing/>
        <w:rPr/>
      </w:pPr>
      <w:r>
        <w:rPr/>
      </w:r>
    </w:p>
    <w:p>
      <w:pPr>
        <w:pStyle w:val="Normal"/>
        <w:spacing w:before="0" w:after="0"/>
        <w:contextualSpacing/>
        <w:rPr/>
      </w:pPr>
      <w:r>
        <w:rPr/>
        <w:t>Again, from this book and the titles of David Ludwig’s papers, I do not believe he has a background in cognitive science, much less in cognitive neuro</w:t>
      </w:r>
      <w:r>
        <w:rPr>
          <w:sz w:val="20"/>
          <w:szCs w:val="20"/>
        </w:rPr>
        <w:t xml:space="preserve">science!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pStyle w:val="Normal"/>
        <w:spacing w:before="0" w:after="0"/>
        <w:contextualSpacing/>
        <w:rPr>
          <w:sz w:val="20"/>
          <w:szCs w:val="20"/>
        </w:rPr>
      </w:pPr>
      <w:r>
        <w:rPr>
          <w:sz w:val="20"/>
          <w:szCs w:val="20"/>
        </w:rPr>
      </w:r>
    </w:p>
    <w:p>
      <w:pPr>
        <w:pStyle w:val="Normal"/>
        <w:spacing w:before="0" w:after="0"/>
        <w:contextualSpacing/>
        <w:rPr/>
      </w:pPr>
      <w:r>
        <w:rPr/>
        <w:t xml:space="preserve">This paragraph continues with the title of a new section and with the following paragraph: </w:t>
      </w:r>
    </w:p>
    <w:p>
      <w:pPr>
        <w:pStyle w:val="Normal"/>
        <w:spacing w:before="0" w:after="0"/>
        <w:contextualSpacing/>
        <w:rPr/>
      </w:pPr>
      <w:r>
        <w:rPr/>
      </w:r>
    </w:p>
    <w:p>
      <w:pPr>
        <w:pStyle w:val="Normal"/>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pStyle w:val="Normal"/>
        <w:spacing w:before="0" w:after="0"/>
        <w:contextualSpacing/>
        <w:rPr>
          <w:sz w:val="20"/>
          <w:szCs w:val="20"/>
        </w:rPr>
      </w:pPr>
      <w:r>
        <w:rPr>
          <w:sz w:val="20"/>
          <w:szCs w:val="20"/>
        </w:rPr>
      </w:r>
    </w:p>
    <w:p>
      <w:pPr>
        <w:pStyle w:val="Normal"/>
        <w:spacing w:before="0" w:after="0"/>
        <w:contextualSpacing/>
        <w:rPr/>
      </w:pPr>
      <w:r>
        <w:rP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pStyle w:val="Normal"/>
        <w:spacing w:before="0" w:after="0"/>
        <w:contextualSpacing/>
        <w:rPr/>
      </w:pPr>
      <w:r>
        <w:rPr/>
      </w:r>
    </w:p>
    <w:p>
      <w:pPr>
        <w:pStyle w:val="Normal"/>
        <w:spacing w:before="0" w:after="0"/>
        <w:contextualSpacing/>
        <w:rPr/>
      </w:pPr>
      <w:r>
        <w:rPr/>
        <w:t>“</w:t>
      </w:r>
      <w:r>
        <w:rPr>
          <w:sz w:val="20"/>
          <w:szCs w:val="20"/>
        </w:rPr>
        <w:t>Different explanatory interests in science require different frameworks that imply the existence of different scientific entities such as biological kinds, cognitive processes, intelligences, and so on.” (p. 78)</w:t>
      </w:r>
    </w:p>
    <w:p>
      <w:pPr>
        <w:pStyle w:val="Normal"/>
        <w:spacing w:before="0" w:after="0"/>
        <w:contextualSpacing/>
        <w:rPr/>
      </w:pPr>
      <w:r>
        <w:rPr/>
      </w:r>
    </w:p>
    <w:p>
      <w:pPr>
        <w:pStyle w:val="Normal"/>
        <w:spacing w:before="0" w:after="0"/>
        <w:contextualSpacing/>
        <w:rPr/>
      </w:pPr>
      <w:r>
        <w:rPr/>
        <w:t xml:space="preserve">It is really INCREDIBLE how a person employed at a university at University of Amsterdam (Netherlands) dares to writes a sentence like this that is, word by word, exactly like my sentences published long time ago! At next page: </w:t>
      </w:r>
    </w:p>
    <w:p>
      <w:pPr>
        <w:pStyle w:val="Normal"/>
        <w:spacing w:before="0" w:after="0"/>
        <w:contextualSpacing/>
        <w:rPr/>
      </w:pPr>
      <w:r>
        <w:rPr/>
      </w:r>
    </w:p>
    <w:p>
      <w:pPr>
        <w:pStyle w:val="Normal"/>
        <w:spacing w:before="0" w:after="0"/>
        <w:contextualSpacing/>
        <w:rPr/>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rPr/>
        <w:t xml:space="preserve"> </w:t>
      </w:r>
    </w:p>
    <w:p>
      <w:pPr>
        <w:pStyle w:val="Normal"/>
        <w:spacing w:before="0" w:after="0"/>
        <w:contextualSpacing/>
        <w:rPr/>
      </w:pPr>
      <w:r>
        <w:rPr/>
      </w:r>
    </w:p>
    <w:p>
      <w:pPr>
        <w:pStyle w:val="Normal"/>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pStyle w:val="Normal"/>
        <w:spacing w:before="0" w:after="0"/>
        <w:contextualSpacing/>
        <w:rPr/>
      </w:pPr>
      <w:r>
        <w:rPr/>
      </w:r>
    </w:p>
    <w:p>
      <w:pPr>
        <w:pStyle w:val="Normal"/>
        <w:spacing w:before="0" w:after="0"/>
        <w:contextualSpacing/>
        <w:rPr/>
      </w:pPr>
      <w:r>
        <w:rP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pStyle w:val="Normal"/>
        <w:spacing w:before="0" w:after="0"/>
        <w:contextualSpacing/>
        <w:rPr/>
      </w:pPr>
      <w:r>
        <w:rPr/>
      </w:r>
    </w:p>
    <w:p>
      <w:pPr>
        <w:pStyle w:val="Normal"/>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pStyle w:val="Normal"/>
        <w:spacing w:before="0" w:after="0"/>
        <w:contextualSpacing/>
        <w:rPr/>
      </w:pPr>
      <w:r>
        <w:rPr/>
      </w:r>
    </w:p>
    <w:p>
      <w:pPr>
        <w:pStyle w:val="Normal"/>
        <w:spacing w:before="0" w:after="0"/>
        <w:contextualSpacing/>
        <w:rPr/>
      </w:pPr>
      <w:r>
        <w:rP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pStyle w:val="Normal"/>
        <w:spacing w:before="0" w:after="0"/>
        <w:contextualSpacing/>
        <w:rPr/>
      </w:pPr>
      <w:r>
        <w:rPr/>
      </w:r>
    </w:p>
    <w:p>
      <w:pPr>
        <w:pStyle w:val="Normal"/>
        <w:spacing w:before="0" w:after="0"/>
        <w:contextualSpacing/>
        <w:rPr/>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rPr/>
        <w:t xml:space="preserve"> </w:t>
      </w:r>
    </w:p>
    <w:p>
      <w:pPr>
        <w:pStyle w:val="Normal"/>
        <w:spacing w:before="0" w:after="0"/>
        <w:contextualSpacing/>
        <w:rPr/>
      </w:pPr>
      <w:r>
        <w:rPr/>
      </w:r>
    </w:p>
    <w:p>
      <w:pPr>
        <w:pStyle w:val="Normal"/>
        <w:spacing w:before="0" w:after="0"/>
        <w:contextualSpacing/>
        <w:rPr/>
      </w:pPr>
      <w:r>
        <w:rP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br/>
        <w:t>“changes” dramatically the “ontology” of “scientific practice”? It seems that David Ludwig have read my books about philosophy of mind, cognitive (neuroscience) and physics in order to write about “scientific practice”!</w:t>
      </w:r>
      <w:r>
        <w:rPr>
          <w:rStyle w:val="FootnoteAnchor"/>
        </w:rPr>
        <w:footnoteReference w:id="274"/>
      </w:r>
    </w:p>
    <w:p>
      <w:pPr>
        <w:pStyle w:val="Normal"/>
        <w:spacing w:before="0" w:after="0"/>
        <w:contextualSpacing/>
        <w:rPr/>
      </w:pPr>
      <w:r>
        <w:rPr/>
        <w:tab/>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FootnoteAnchor"/>
        </w:rPr>
        <w:footnoteReference w:id="275"/>
      </w:r>
    </w:p>
    <w:p>
      <w:pPr>
        <w:pStyle w:val="Normal"/>
        <w:spacing w:before="0" w:after="0"/>
        <w:contextualSpacing/>
        <w:rPr/>
      </w:pPr>
      <w:r>
        <w:rPr/>
        <w:tab/>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pStyle w:val="Normal"/>
        <w:spacing w:before="0" w:after="0"/>
        <w:contextualSpacing/>
        <w:rPr/>
      </w:pPr>
      <w:r>
        <w:rPr/>
      </w:r>
    </w:p>
    <w:p>
      <w:pPr>
        <w:pStyle w:val="Normal"/>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pStyle w:val="Normal"/>
        <w:spacing w:before="0" w:after="0"/>
        <w:contextualSpacing/>
        <w:rPr/>
      </w:pPr>
      <w:r>
        <w:rPr/>
      </w:r>
    </w:p>
    <w:p>
      <w:pPr>
        <w:pStyle w:val="Normal"/>
        <w:spacing w:before="0" w:after="0"/>
        <w:contextualSpacing/>
        <w:rPr/>
      </w:pPr>
      <w:r>
        <w:rP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pStyle w:val="Normal"/>
        <w:spacing w:before="0" w:after="0"/>
        <w:contextualSpacing/>
        <w:rPr/>
      </w:pPr>
      <w:r>
        <w:rPr/>
        <w:tab/>
        <w:t>At page 165, we can find another paragraph with ideas very similar to my ideas:</w:t>
      </w:r>
    </w:p>
    <w:p>
      <w:pPr>
        <w:pStyle w:val="Normal"/>
        <w:spacing w:before="0" w:after="0"/>
        <w:contextualSpacing/>
        <w:rPr/>
      </w:pPr>
      <w:r>
        <w:rPr/>
      </w:r>
    </w:p>
    <w:p>
      <w:pPr>
        <w:pStyle w:val="Normal"/>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pStyle w:val="Normal"/>
        <w:spacing w:before="0" w:after="0"/>
        <w:contextualSpacing/>
        <w:rPr/>
      </w:pPr>
      <w:r>
        <w:rPr/>
      </w:r>
    </w:p>
    <w:p>
      <w:pPr>
        <w:pStyle w:val="Normal"/>
        <w:spacing w:before="0" w:after="0"/>
        <w:contextualSpacing/>
        <w:rPr/>
      </w:pPr>
      <w:r>
        <w:rP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pStyle w:val="Normal"/>
        <w:spacing w:before="0" w:after="0"/>
        <w:contextualSpacing/>
        <w:rPr/>
      </w:pPr>
      <w:r>
        <w:rPr/>
      </w:r>
    </w:p>
    <w:p>
      <w:pPr>
        <w:pStyle w:val="Normal"/>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pStyle w:val="Normal"/>
        <w:spacing w:before="0" w:after="0"/>
        <w:contextualSpacing/>
        <w:rPr/>
      </w:pPr>
      <w:r>
        <w:rPr/>
      </w:r>
    </w:p>
    <w:p>
      <w:pPr>
        <w:pStyle w:val="Normal"/>
        <w:spacing w:before="0" w:after="0"/>
        <w:contextualSpacing/>
        <w:rPr/>
      </w:pPr>
      <w:r>
        <w:rPr/>
        <w:t>Again, I argue that this paragraph is NOT from one of my book/paper even if it is INCREDIBLE similar to many paragraphs in all my papers and books from 2002 to 2008, 2010-2012. But more INCREDIBLE is the next sentence that follows the above paragraph:</w:t>
      </w:r>
    </w:p>
    <w:p>
      <w:pPr>
        <w:pStyle w:val="Normal"/>
        <w:spacing w:before="0" w:after="0"/>
        <w:contextualSpacing/>
        <w:rPr>
          <w:sz w:val="20"/>
          <w:szCs w:val="20"/>
        </w:rPr>
      </w:pPr>
      <w:r>
        <w:rPr>
          <w:sz w:val="20"/>
          <w:szCs w:val="20"/>
        </w:rPr>
      </w:r>
    </w:p>
    <w:p>
      <w:pPr>
        <w:pStyle w:val="Normal"/>
        <w:spacing w:before="0" w:after="0"/>
        <w:contextualSpacing/>
        <w:rPr/>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pStyle w:val="Normal"/>
        <w:spacing w:before="0" w:after="0"/>
        <w:contextualSpacing/>
        <w:rPr/>
      </w:pPr>
      <w:r>
        <w:rPr/>
      </w:r>
    </w:p>
    <w:p>
      <w:pPr>
        <w:pStyle w:val="Normal"/>
        <w:spacing w:before="0" w:after="0"/>
        <w:contextualSpacing/>
        <w:rPr/>
      </w:pPr>
      <w:r>
        <w:rP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pStyle w:val="Normal"/>
        <w:spacing w:before="0" w:after="0"/>
        <w:contextualSpacing/>
        <w:rPr/>
      </w:pPr>
      <w:r>
        <w:rPr/>
        <w:tab/>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pStyle w:val="Normal"/>
        <w:spacing w:before="0" w:after="0"/>
        <w:contextualSpacing/>
        <w:rPr/>
      </w:pPr>
      <w:r>
        <w:rPr/>
      </w:r>
    </w:p>
    <w:p>
      <w:pPr>
        <w:pStyle w:val="Normal"/>
        <w:spacing w:before="0" w:after="0"/>
        <w:contextualSpacing/>
        <w:rPr/>
      </w:pPr>
      <w:r>
        <w:rP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pStyle w:val="Normal"/>
        <w:spacing w:before="0" w:after="0"/>
        <w:contextualSpacing/>
        <w:rPr/>
      </w:pPr>
      <w:r>
        <w:rPr/>
      </w:r>
    </w:p>
    <w:p>
      <w:pPr>
        <w:pStyle w:val="Normal"/>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pStyle w:val="Normal"/>
        <w:spacing w:before="0" w:after="0"/>
        <w:contextualSpacing/>
        <w:rPr/>
      </w:pPr>
      <w:r>
        <w:rPr/>
      </w:r>
    </w:p>
    <w:p>
      <w:pPr>
        <w:pStyle w:val="Normal"/>
        <w:spacing w:before="0" w:after="0"/>
        <w:contextualSpacing/>
        <w:rPr/>
      </w:pPr>
      <w:r>
        <w:rPr/>
        <w:t xml:space="preserve">Considering that minds exist (as EDWs), I had exactly the same conclusion in my book from 2008! </w:t>
      </w:r>
    </w:p>
    <w:p>
      <w:pPr>
        <w:pStyle w:val="Normal"/>
        <w:spacing w:before="0" w:after="0"/>
        <w:contextualSpacing/>
        <w:rPr/>
      </w:pPr>
      <w:r>
        <w:rPr/>
        <w:tab/>
        <w:t>Chapter 11, “Epilogue metaphysics in a complex world”, has this first paragraph:</w:t>
      </w:r>
    </w:p>
    <w:p>
      <w:pPr>
        <w:pStyle w:val="Normal"/>
        <w:spacing w:before="0" w:after="0"/>
        <w:contextualSpacing/>
        <w:rPr/>
      </w:pPr>
      <w:r>
        <w:rPr/>
      </w:r>
    </w:p>
    <w:p>
      <w:pPr>
        <w:pStyle w:val="Normal"/>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pStyle w:val="Normal"/>
        <w:spacing w:before="0" w:after="0"/>
        <w:contextualSpacing/>
        <w:rPr/>
      </w:pPr>
      <w:r>
        <w:rPr/>
      </w:r>
    </w:p>
    <w:p>
      <w:pPr>
        <w:pStyle w:val="Normal"/>
        <w:spacing w:before="0" w:after="0"/>
        <w:contextualSpacing/>
        <w:rPr/>
      </w:pPr>
      <w:r>
        <w:rPr/>
        <w:t xml:space="preserve">Again, it seems as if this paragraph is taken from one of my works! UNBELIEVABLE! INCREDIBLE! What reader do you want me to write more from David Ludwig’s book? </w:t>
      </w:r>
    </w:p>
    <w:p>
      <w:pPr>
        <w:pStyle w:val="Normal"/>
        <w:spacing w:before="0" w:after="0"/>
        <w:contextualSpacing/>
        <w:rPr/>
      </w:pPr>
      <w:r>
        <w:rPr/>
        <w:tab/>
        <w:t xml:space="preserve">Again, without proving any background in cognitive science, David Ludwig writes that </w:t>
      </w:r>
    </w:p>
    <w:p>
      <w:pPr>
        <w:pStyle w:val="Normal"/>
        <w:spacing w:before="0" w:after="0"/>
        <w:contextualSpacing/>
        <w:rPr/>
      </w:pPr>
      <w:r>
        <w:rPr/>
      </w:r>
    </w:p>
    <w:p>
      <w:pPr>
        <w:pStyle w:val="Normal"/>
        <w:spacing w:before="0" w:after="0"/>
        <w:contextualSpacing/>
        <w:rPr/>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rPr/>
        <w:t xml:space="preserve"> </w:t>
      </w:r>
    </w:p>
    <w:p>
      <w:pPr>
        <w:pStyle w:val="Normal"/>
        <w:spacing w:before="0" w:after="0"/>
        <w:contextualSpacing/>
        <w:rPr/>
      </w:pPr>
      <w:r>
        <w:rPr/>
      </w:r>
    </w:p>
    <w:p>
      <w:pPr>
        <w:pStyle w:val="Normal"/>
        <w:spacing w:before="0" w:after="0"/>
        <w:contextualSpacing/>
        <w:rPr/>
      </w:pPr>
      <w:r>
        <w:rP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pStyle w:val="Normal"/>
        <w:spacing w:before="0" w:after="0"/>
        <w:contextualSpacing/>
        <w:rPr/>
      </w:pPr>
      <w:r>
        <w:rPr/>
      </w:r>
    </w:p>
    <w:p>
      <w:pPr>
        <w:pStyle w:val="Normal"/>
        <w:spacing w:before="0" w:after="0"/>
        <w:contextualSpacing/>
        <w:rPr/>
      </w:pPr>
      <w:r>
        <w:rP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FootnoteAnchor"/>
        </w:rPr>
        <w:footnoteReference w:id="276"/>
      </w:r>
      <w:r>
        <w:rPr/>
        <w:t xml:space="preserve"> Again, if you replace “parts of the world” with EDWs, the reader will have the feeling that this sentence is taken from my books. </w:t>
      </w:r>
    </w:p>
    <w:p>
      <w:pPr>
        <w:pStyle w:val="Normal"/>
        <w:spacing w:before="0" w:after="0"/>
        <w:contextualSpacing/>
        <w:rPr/>
      </w:pPr>
      <w:r>
        <w:rPr/>
      </w:r>
    </w:p>
    <w:p>
      <w:pPr>
        <w:pStyle w:val="Normal"/>
        <w:spacing w:before="0" w:after="0"/>
        <w:contextualSpacing/>
        <w:rPr/>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pStyle w:val="Normal"/>
        <w:spacing w:before="0" w:after="0"/>
        <w:contextualSpacing/>
        <w:rPr>
          <w:sz w:val="20"/>
          <w:szCs w:val="20"/>
        </w:rPr>
      </w:pPr>
      <w:r>
        <w:rPr>
          <w:sz w:val="20"/>
          <w:szCs w:val="20"/>
        </w:rPr>
        <w:t>about the mind. (p. 200)</w:t>
      </w:r>
    </w:p>
    <w:p>
      <w:pPr>
        <w:pStyle w:val="Normal"/>
        <w:spacing w:before="0" w:after="0"/>
        <w:contextualSpacing/>
        <w:rPr/>
      </w:pPr>
      <w:r>
        <w:rPr/>
      </w:r>
    </w:p>
    <w:p>
      <w:pPr>
        <w:pStyle w:val="Normal"/>
        <w:spacing w:before="0" w:after="0"/>
        <w:contextualSpacing/>
        <w:rPr/>
      </w:pPr>
      <w:r>
        <w:rP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tab/>
        <w:t xml:space="preserve">In the last pages of his book, David Ludwig repeats again his main ideas about pluralism. These ideas, like many ideas from David Ludwig’s book (2015), are UNBELIEVABLE similar ideas to my ideas that I published from 2002 to 2008 and later. </w:t>
      </w:r>
    </w:p>
    <w:p>
      <w:pPr>
        <w:pStyle w:val="Normal"/>
        <w:spacing w:before="0" w:after="0"/>
        <w:contextualSpacing/>
        <w:rPr/>
      </w:pPr>
      <w:r>
        <w:rPr/>
      </w:r>
    </w:p>
    <w:p>
      <w:pPr>
        <w:pStyle w:val="Normal"/>
        <w:spacing w:before="0" w:after="0"/>
        <w:contextualSpacing/>
        <w:rPr>
          <w:b/>
          <w:b/>
        </w:rPr>
      </w:pPr>
      <w:r>
        <w:rPr>
          <w:b/>
        </w:rPr>
        <w:t>Conclusion</w:t>
      </w:r>
    </w:p>
    <w:p>
      <w:pPr>
        <w:pStyle w:val="ListParagraph"/>
        <w:widowControl/>
        <w:numPr>
          <w:ilvl w:val="0"/>
          <w:numId w:val="28"/>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pStyle w:val="ListParagraph"/>
        <w:widowControl/>
        <w:numPr>
          <w:ilvl w:val="0"/>
          <w:numId w:val="28"/>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pStyle w:val="ListParagraph"/>
        <w:widowControl/>
        <w:numPr>
          <w:ilvl w:val="0"/>
          <w:numId w:val="28"/>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pStyle w:val="ListParagraph"/>
        <w:widowControl/>
        <w:numPr>
          <w:ilvl w:val="0"/>
          <w:numId w:val="28"/>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pStyle w:val="ListParagraph"/>
        <w:widowControl/>
        <w:numPr>
          <w:ilvl w:val="0"/>
          <w:numId w:val="28"/>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pStyle w:val="ListParagraph"/>
        <w:widowControl/>
        <w:numPr>
          <w:ilvl w:val="0"/>
          <w:numId w:val="28"/>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pStyle w:val="ListParagraph"/>
        <w:widowControl/>
        <w:numPr>
          <w:ilvl w:val="0"/>
          <w:numId w:val="28"/>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pStyle w:val="ListParagraph"/>
        <w:widowControl/>
        <w:numPr>
          <w:ilvl w:val="0"/>
          <w:numId w:val="28"/>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pStyle w:val="ListParagraph"/>
        <w:widowControl/>
        <w:numPr>
          <w:ilvl w:val="0"/>
          <w:numId w:val="28"/>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pStyle w:val="ListParagraph"/>
        <w:widowControl/>
        <w:numPr>
          <w:ilvl w:val="0"/>
          <w:numId w:val="28"/>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pStyle w:val="ListParagraph"/>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Normal"/>
        <w:spacing w:before="0" w:after="0"/>
        <w:contextualSpacing/>
        <w:rPr>
          <w:b/>
          <w:b/>
        </w:rPr>
      </w:pPr>
      <w:r>
        <w:rPr>
          <w:b/>
        </w:rPr>
        <w:t xml:space="preserve">General conclusion: </w:t>
      </w:r>
    </w:p>
    <w:p>
      <w:pPr>
        <w:pStyle w:val="Normal"/>
        <w:spacing w:before="0" w:after="0"/>
        <w:contextualSpacing/>
        <w:rPr/>
      </w:pPr>
      <w:r>
        <w:rPr/>
        <w:t xml:space="preserve">David Ludwig is a genius (30-31 years or something like this) working at Department of Philosophy, University of Amsterdam (Netherland). David Ludwig previous interests were on Gender Studies, Democracy and Ancient Philosophy. </w:t>
      </w:r>
    </w:p>
    <w:p>
      <w:pPr>
        <w:pStyle w:val="Normal"/>
        <w:spacing w:before="0" w:after="0"/>
        <w:ind w:left="0" w:right="0" w:firstLine="720"/>
        <w:contextualSpacing/>
        <w:rPr/>
      </w:pPr>
      <w:r>
        <w:rP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pStyle w:val="Normal"/>
        <w:spacing w:before="0" w:after="0"/>
        <w:ind w:left="0" w:right="0" w:firstLine="720"/>
        <w:contextualSpacing/>
        <w:rPr/>
      </w:pPr>
      <w:r>
        <w:rP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pStyle w:val="Normal"/>
        <w:spacing w:before="0" w:after="0"/>
        <w:ind w:left="0" w:right="0" w:firstLine="720"/>
        <w:contextualSpacing/>
        <w:rPr/>
      </w:pPr>
      <w:r>
        <w:rP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pStyle w:val="Normal"/>
        <w:spacing w:before="0" w:after="0"/>
        <w:ind w:left="0" w:right="0" w:firstLine="720"/>
        <w:contextualSpacing/>
        <w:rPr>
          <w:b/>
          <w:b/>
        </w:rPr>
      </w:pPr>
      <w:r>
        <w:rPr>
          <w:b/>
        </w:rPr>
        <w:t>MARKUS GABRIEL (BONN UNIVERSITY, GERMANY) AND  DAVID LUDWIG (UNIVERSITY OF AMSTERDAM, NETHERLAND) ARE BOTH GENIUSES, UNBELIEVABLE GENIUSES!</w:t>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highlight w:val="white"/>
        </w:rPr>
      </w:pPr>
      <w:r>
        <w:rPr>
          <w:highlight w:val="white"/>
        </w:rPr>
      </w:r>
    </w:p>
    <w:p>
      <w:pPr>
        <w:pStyle w:val="ListParagraph"/>
        <w:numPr>
          <w:ilvl w:val="0"/>
          <w:numId w:val="28"/>
        </w:numPr>
        <w:shd w:val="clear" w:fill="FFFFFF"/>
        <w:spacing w:before="0" w:after="0"/>
        <w:contextualSpacing/>
        <w:rPr/>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pStyle w:val="ListParagraph"/>
        <w:spacing w:before="0" w:after="0"/>
        <w:ind w:left="0" w:right="0" w:hanging="0"/>
        <w:contextualSpacing/>
        <w:jc w:val="both"/>
        <w:rPr>
          <w:rFonts w:ascii="Times New Roman" w:hAnsi="Times New Roman"/>
          <w:b/>
          <w:b/>
          <w:sz w:val="28"/>
          <w:szCs w:val="28"/>
        </w:rPr>
      </w:pPr>
      <w:r>
        <w:rPr>
          <w:rFonts w:ascii="Times New Roman" w:hAnsi="Times New Roman"/>
          <w:b/>
          <w:sz w:val="28"/>
          <w:szCs w:val="28"/>
        </w:rPr>
      </w:r>
    </w:p>
    <w:p>
      <w:pPr>
        <w:pStyle w:val="Normal"/>
        <w:spacing w:before="0" w:after="0"/>
        <w:contextualSpacing/>
        <w:rPr>
          <w:b/>
          <w:b/>
        </w:rPr>
      </w:pPr>
      <w:r>
        <w:rPr>
          <w:b/>
        </w:rPr>
      </w:r>
    </w:p>
    <w:p>
      <w:pPr>
        <w:pStyle w:val="Normal"/>
        <w:spacing w:before="0" w:after="0"/>
        <w:contextualSpacing/>
        <w:rPr/>
      </w:pPr>
      <w:r>
        <w:rPr>
          <w:b/>
        </w:rPr>
        <w:t>(2016) Theise D. Neil</w:t>
      </w:r>
      <w:r>
        <w:rPr/>
        <w:t xml:space="preserve"> (Department of Pathology, Icahn School of Medicine at Mount Sinai, New York, NY, USA) and </w:t>
      </w:r>
      <w:r>
        <w:rPr>
          <w:b/>
        </w:rPr>
        <w:t>Kafatos C. Menas</w:t>
      </w:r>
      <w:r>
        <w:rPr/>
        <w:t xml:space="preserve"> (Department of Medicine, Icahn School of Medicine at Mount Sinai, New York, NY, USA; cSchmid College of Science &amp; Technology, Chapman University, Orange, CA, USA) (2016), </w:t>
      </w:r>
      <w:r>
        <w:rPr>
          <w:i/>
        </w:rPr>
        <w:t>REVIEW -</w:t>
      </w:r>
      <w:r>
        <w:rPr/>
        <w:t xml:space="preserve"> </w:t>
      </w:r>
      <w:r>
        <w:rPr>
          <w:i/>
        </w:rPr>
        <w:t xml:space="preserve">Fundamental awareness: A framework for integrating science, philosophy and metaphysics, </w:t>
      </w:r>
      <w:r>
        <w:rPr/>
        <w:t xml:space="preserve">in </w:t>
      </w:r>
      <w:r>
        <w:rPr>
          <w:i/>
        </w:rPr>
        <w:t>COMMUNICATIVE &amp; INTEGRATIVE BIOLOGY</w:t>
      </w:r>
      <w:r>
        <w:rPr/>
        <w:t>, 2016, VOL. 9, NO. 3, e1155010 (19 pages), http://dx.doi.org/10.1080/19420889.2016.1155010</w:t>
      </w:r>
    </w:p>
    <w:p>
      <w:pPr>
        <w:pStyle w:val="Normal"/>
        <w:spacing w:before="0" w:after="0"/>
        <w:contextualSpacing/>
        <w:rPr/>
      </w:pPr>
      <w:r>
        <w:rPr/>
      </w:r>
    </w:p>
    <w:p>
      <w:pPr>
        <w:pStyle w:val="Normal"/>
        <w:spacing w:before="0" w:after="0"/>
        <w:contextualSpacing/>
        <w:rPr/>
      </w:pPr>
      <w:r>
        <w:rPr/>
        <w:t xml:space="preserve">A friend of mine indicated me the </w:t>
      </w:r>
      <w:r>
        <w:rPr>
          <w:b/>
        </w:rPr>
        <w:t>strike similarities</w:t>
      </w:r>
      <w:r>
        <w:rPr/>
        <w:t xml:space="preserve"> between Theise and Kafatos’ ideas in their book (</w:t>
      </w:r>
      <w:r>
        <w:rPr>
          <w:i/>
        </w:rPr>
        <w:t>Fundamental awareness: A framework for integrating science, philosophy and metaphysics</w:t>
      </w:r>
      <w:r>
        <w:rPr/>
        <w:t>) and my ideas in 2002-20008! I do not have access to this book, but I investigate the ideas that are in a review about this work. Let me introduce the abstract of that Review:</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pStyle w:val="Normal"/>
        <w:spacing w:before="0" w:after="0"/>
        <w:contextualSpacing/>
        <w:rPr/>
      </w:pPr>
      <w:r>
        <w:rPr/>
      </w:r>
    </w:p>
    <w:p>
      <w:pPr>
        <w:sectPr>
          <w:footerReference w:type="default" r:id="rId93"/>
          <w:footnotePr>
            <w:numFmt w:val="decimal"/>
            <w:numRestart w:val="eachPage"/>
          </w:footnotePr>
          <w:type w:val="nextPage"/>
          <w:pgSz w:w="12240" w:h="15840"/>
          <w:pgMar w:left="1440" w:right="1440" w:header="0" w:top="1440" w:footer="720" w:bottom="1440" w:gutter="0"/>
          <w:pgNumType w:fmt="decimal"/>
          <w:formProt w:val="false"/>
          <w:textDirection w:val="lrTb"/>
          <w:docGrid w:type="default" w:linePitch="360" w:charSpace="0"/>
        </w:sectPr>
        <w:pStyle w:val="Normal"/>
        <w:spacing w:before="0" w:after="0"/>
        <w:contextualSpacing/>
        <w:rPr/>
      </w:pPr>
      <w:r>
        <w:rP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pStyle w:val="Normal"/>
        <w:spacing w:before="0" w:after="0"/>
        <w:contextualSpacing/>
        <w:rPr/>
      </w:pPr>
      <w:r>
        <w:rPr>
          <w:rStyle w:val="FootnoteAnchor"/>
        </w:rPr>
        <w:footnoteReference w:id="277"/>
      </w:r>
      <w:r>
        <w:rPr/>
        <w:t xml:space="preserve"> </w:t>
      </w:r>
      <w:r>
        <w:rPr/>
        <w:t xml:space="preserve">The same thing about their notion of “Awareness” (“a monistic form of idealism”, p. 2) that is identical to my notion of “subject” as an EW! </w:t>
      </w:r>
    </w:p>
    <w:p>
      <w:pPr>
        <w:pStyle w:val="Normal"/>
        <w:spacing w:before="0" w:after="0"/>
        <w:contextualSpacing/>
        <w:rPr/>
      </w:pPr>
      <w:r>
        <w:rPr/>
        <w:tab/>
        <w:t xml:space="preserve">The authors investigate essential problems of “scientific, philosophical and metaphysical domains”. Exactly these problems of these domains are investigated in all my works since 2008-2015. The dead of “reductionism” is one of my essential ideas. </w:t>
      </w:r>
    </w:p>
    <w:p>
      <w:pPr>
        <w:pStyle w:val="Normal"/>
        <w:spacing w:before="0" w:after="0"/>
        <w:contextualSpacing/>
        <w:rPr/>
      </w:pPr>
      <w:r>
        <w:rPr/>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t>We argue that even for the so-called physical world, any attempt of a Theory of Everything will fail outside the framework proposed here. (p. 2)</w:t>
      </w:r>
    </w:p>
    <w:p>
      <w:pPr>
        <w:pStyle w:val="Normal"/>
        <w:spacing w:before="0" w:after="0"/>
        <w:contextualSpacing/>
        <w:rPr/>
      </w:pPr>
      <w:r>
        <w:rPr/>
      </w:r>
    </w:p>
    <w:p>
      <w:pPr>
        <w:pStyle w:val="Normal"/>
        <w:spacing w:before="0" w:after="0"/>
        <w:contextualSpacing/>
        <w:rPr/>
      </w:pPr>
      <w:r>
        <w:rPr/>
        <w:t xml:space="preserve">Exactly the same idea is in all my works! </w:t>
      </w:r>
    </w:p>
    <w:p>
      <w:pPr>
        <w:pStyle w:val="Normal"/>
        <w:spacing w:before="0" w:after="0"/>
        <w:contextualSpacing/>
        <w:rPr/>
      </w:pPr>
      <w:r>
        <w:rPr/>
      </w:r>
    </w:p>
    <w:p>
      <w:pPr>
        <w:pStyle w:val="Normal"/>
        <w:spacing w:before="0" w:after="0"/>
        <w:contextualSpacing/>
        <w:rPr/>
      </w:pPr>
      <w:r>
        <w:rPr>
          <w:rFonts w:cs="AdvOT1ef757c0" w:ascii="AdvOT1ef757c0" w:hAnsi="AdvOT1ef757c0"/>
          <w:sz w:val="21"/>
          <w:szCs w:val="21"/>
        </w:rPr>
        <w:t>We will then weave these into a statement of Fundamental Awareness beginning with a primary axiom and associated statements to de</w:t>
      </w:r>
      <w:r>
        <w:rPr>
          <w:rFonts w:cs="AdvOT1ef757c0+fb" w:ascii="AdvOT1ef757c0+fb" w:hAnsi="AdvOT1ef757c0+fb"/>
          <w:sz w:val="21"/>
          <w:szCs w:val="21"/>
        </w:rPr>
        <w:t>fi</w:t>
      </w:r>
      <w:r>
        <w:rPr>
          <w:rFonts w:cs="AdvOT1ef757c0" w:ascii="AdvOT1ef757c0" w:hAnsi="AdvOT1ef757c0"/>
          <w:sz w:val="21"/>
          <w:szCs w:val="21"/>
        </w:rPr>
        <w:t xml:space="preserve">ne the </w:t>
      </w:r>
      <w:r>
        <w:rPr>
          <w:rFonts w:cs="AdvOT1ef757c0+20" w:ascii="AdvOT1ef757c0+20" w:hAnsi="AdvOT1ef757c0+20"/>
          <w:sz w:val="21"/>
          <w:szCs w:val="21"/>
        </w:rPr>
        <w:t>“</w:t>
      </w:r>
      <w:r>
        <w:rPr>
          <w:rFonts w:cs="AdvOT1ef757c0" w:ascii="AdvOT1ef757c0" w:hAnsi="AdvOT1ef757c0"/>
          <w:sz w:val="21"/>
          <w:szCs w:val="21"/>
        </w:rPr>
        <w:t>one substance</w:t>
      </w:r>
      <w:r>
        <w:rPr>
          <w:rFonts w:cs="AdvOT1ef757c0+20" w:ascii="AdvOT1ef757c0+20" w:hAnsi="AdvOT1ef757c0+20"/>
          <w:sz w:val="21"/>
          <w:szCs w:val="21"/>
        </w:rPr>
        <w:t xml:space="preserve">” </w:t>
      </w:r>
      <w:r>
        <w:rPr>
          <w:rFonts w:cs="AdvOT1ef757c0" w:ascii="AdvOT1ef757c0" w:hAnsi="AdvOT1ef757c0"/>
          <w:sz w:val="21"/>
          <w:szCs w:val="21"/>
        </w:rPr>
        <w:t xml:space="preserve">underlying existence as non-dual </w:t>
      </w:r>
      <w:r>
        <w:rPr>
          <w:rFonts w:cs="AdvOT1ef757c0+20" w:ascii="AdvOT1ef757c0+20" w:hAnsi="AdvOT1ef757c0+20"/>
          <w:sz w:val="21"/>
          <w:szCs w:val="21"/>
        </w:rPr>
        <w:t>“</w:t>
      </w:r>
      <w:r>
        <w:rPr>
          <w:rFonts w:cs="AdvOT1ef757c0" w:ascii="AdvOT1ef757c0" w:hAnsi="AdvOT1ef757c0"/>
          <w:sz w:val="21"/>
          <w:szCs w:val="21"/>
        </w:rPr>
        <w:t>pure awareness</w:t>
      </w:r>
      <w:r>
        <w:rPr>
          <w:rFonts w:cs="AdvOT1ef757c0+20" w:ascii="AdvOT1ef757c0+20" w:hAnsi="AdvOT1ef757c0+20"/>
          <w:sz w:val="21"/>
          <w:szCs w:val="21"/>
        </w:rPr>
        <w:t xml:space="preserve">” </w:t>
      </w:r>
      <w:r>
        <w:rPr>
          <w:rFonts w:cs="AdvOT1ef757c0" w:ascii="AdvOT1ef757c0" w:hAnsi="AdvOT1ef757c0"/>
          <w:sz w:val="21"/>
          <w:szCs w:val="21"/>
        </w:rPr>
        <w:t xml:space="preserve">or </w:t>
      </w:r>
      <w:r>
        <w:rPr>
          <w:rFonts w:cs="AdvOT1ef757c0+20" w:ascii="AdvOT1ef757c0+20" w:hAnsi="AdvOT1ef757c0+20"/>
          <w:sz w:val="21"/>
          <w:szCs w:val="21"/>
        </w:rPr>
        <w:t>“</w:t>
      </w:r>
      <w:r>
        <w:rPr>
          <w:rFonts w:cs="AdvOT1ef757c0" w:ascii="AdvOT1ef757c0" w:hAnsi="AdvOT1ef757c0"/>
          <w:sz w:val="21"/>
          <w:szCs w:val="21"/>
        </w:rPr>
        <w:t>awareness of awareness,</w:t>
      </w:r>
      <w:r>
        <w:rPr>
          <w:rFonts w:cs="AdvOT1ef757c0+20" w:ascii="AdvOT1ef757c0+20" w:hAnsi="AdvOT1ef757c0+20"/>
          <w:sz w:val="21"/>
          <w:szCs w:val="21"/>
        </w:rPr>
        <w:t xml:space="preserve">” </w:t>
      </w:r>
      <w:r>
        <w:rPr>
          <w:rFonts w:cs="AdvOT1ef757c0" w:ascii="AdvOT1ef757c0" w:hAnsi="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pStyle w:val="Normal"/>
        <w:spacing w:before="0" w:after="0"/>
        <w:contextualSpacing/>
        <w:rPr/>
      </w:pPr>
      <w:r>
        <w:rPr>
          <w:rFonts w:cs="AdvOT1ef757c0" w:ascii="AdvOT1ef757c0" w:hAnsi="AdvOT1ef757c0"/>
          <w:sz w:val="21"/>
          <w:szCs w:val="21"/>
        </w:rPr>
        <w:t xml:space="preserve">process, recursion), and will </w:t>
      </w:r>
      <w:r>
        <w:rPr>
          <w:rFonts w:cs="AdvOT1ef757c0+fb" w:ascii="AdvOT1ef757c0+fb" w:hAnsi="AdvOT1ef757c0+fb"/>
          <w:sz w:val="21"/>
          <w:szCs w:val="21"/>
        </w:rPr>
        <w:t>fi</w:t>
      </w:r>
      <w:r>
        <w:rPr>
          <w:rFonts w:cs="AdvOT1ef757c0" w:ascii="AdvOT1ef757c0" w:hAnsi="AdvOT1ef757c0"/>
          <w:sz w:val="21"/>
          <w:szCs w:val="21"/>
        </w:rPr>
        <w:t>nish by returning to a brief summary of some close af</w:t>
      </w:r>
      <w:r>
        <w:rPr>
          <w:rFonts w:cs="AdvOT1ef757c0+fb" w:ascii="AdvOT1ef757c0+fb" w:hAnsi="AdvOT1ef757c0+fb"/>
          <w:sz w:val="21"/>
          <w:szCs w:val="21"/>
        </w:rPr>
        <w:t>fi</w:t>
      </w:r>
      <w:r>
        <w:rPr>
          <w:rFonts w:cs="AdvOT1ef757c0" w:ascii="AdvOT1ef757c0" w:hAnsi="AdvOT1ef757c0"/>
          <w:sz w:val="21"/>
          <w:szCs w:val="21"/>
        </w:rPr>
        <w:t>nities of these concepts for the scienti</w:t>
      </w:r>
      <w:r>
        <w:rPr>
          <w:rFonts w:cs="AdvOT1ef757c0+fb" w:ascii="AdvOT1ef757c0+fb" w:hAnsi="AdvOT1ef757c0+fb"/>
          <w:sz w:val="21"/>
          <w:szCs w:val="21"/>
        </w:rPr>
        <w:t>fi</w:t>
      </w:r>
      <w:r>
        <w:rPr>
          <w:rFonts w:cs="AdvOT1ef757c0" w:ascii="AdvOT1ef757c0" w:hAnsi="AdvOT1ef757c0"/>
          <w:sz w:val="21"/>
          <w:szCs w:val="21"/>
        </w:rPr>
        <w:t>c, metaphysical and philosophical domains. (p. 2)</w:t>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r>
    </w:p>
    <w:p>
      <w:pPr>
        <w:pStyle w:val="Normal"/>
        <w:spacing w:before="0" w:after="0"/>
        <w:contextualSpacing/>
        <w:rPr/>
      </w:pPr>
      <w:r>
        <w:rPr/>
        <w:t>Again, the same ideas are in all my works…</w:t>
      </w:r>
    </w:p>
    <w:p>
      <w:pPr>
        <w:pStyle w:val="Normal"/>
        <w:spacing w:before="0" w:after="0"/>
        <w:contextualSpacing/>
        <w:rPr/>
      </w:pPr>
      <w:r>
        <w:rPr/>
        <w:tab/>
        <w:t xml:space="preserve">The authors investigate the quantum problems! Even if they have no previous essential works on quantum mechanics, AMAZING, the authors furnish the solution to these problems! </w:t>
      </w:r>
    </w:p>
    <w:p>
      <w:pPr>
        <w:pStyle w:val="Normal"/>
        <w:spacing w:before="0" w:after="0"/>
        <w:contextualSpacing/>
        <w:rPr/>
      </w:pPr>
      <w:r>
        <w:rPr/>
      </w:r>
    </w:p>
    <w:p>
      <w:pPr>
        <w:pStyle w:val="Normal"/>
        <w:spacing w:before="0" w:after="0"/>
        <w:contextualSpacing/>
        <w:rPr/>
      </w:pPr>
      <w:r>
        <w:rPr>
          <w:rFonts w:cs="AdvOT1ef757c0" w:ascii="AdvOT1ef757c0" w:hAnsi="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cs="AdvOT1ef757c0+20" w:ascii="AdvOT1ef757c0+20" w:hAnsi="AdvOT1ef757c0+20"/>
          <w:sz w:val="20"/>
          <w:szCs w:val="20"/>
        </w:rPr>
        <w:t>“</w:t>
      </w:r>
      <w:r>
        <w:rPr>
          <w:rFonts w:cs="AdvOT1ef757c0" w:ascii="AdvOT1ef757c0" w:hAnsi="AdvOT1ef757c0"/>
          <w:sz w:val="20"/>
          <w:szCs w:val="20"/>
        </w:rPr>
        <w:t>independent</w:t>
      </w:r>
      <w:r>
        <w:rPr>
          <w:rFonts w:cs="AdvOT1ef757c0+20" w:ascii="AdvOT1ef757c0+20" w:hAnsi="AdvOT1ef757c0+20"/>
          <w:sz w:val="20"/>
          <w:szCs w:val="20"/>
        </w:rPr>
        <w:t xml:space="preserve">” </w:t>
      </w:r>
      <w:r>
        <w:rPr>
          <w:rFonts w:cs="AdvOT1ef757c0" w:ascii="AdvOT1ef757c0" w:hAnsi="AdvOT1ef757c0"/>
          <w:sz w:val="20"/>
          <w:szCs w:val="20"/>
        </w:rPr>
        <w:t>outcomes without the measurement context used to examine such phenomena. (p. 2)</w:t>
      </w:r>
    </w:p>
    <w:p>
      <w:pPr>
        <w:pStyle w:val="Normal"/>
        <w:spacing w:before="0" w:after="0"/>
        <w:contextualSpacing/>
        <w:rPr/>
      </w:pPr>
      <w:r>
        <w:rPr/>
      </w:r>
    </w:p>
    <w:p>
      <w:pPr>
        <w:pStyle w:val="Normal"/>
        <w:spacing w:before="0" w:after="0"/>
        <w:contextualSpacing/>
        <w:rPr/>
      </w:pPr>
      <w:r>
        <w:rPr/>
        <w:t xml:space="preserve">Another similar idea to my idea…the same for the following ideas: </w:t>
      </w:r>
    </w:p>
    <w:p>
      <w:pPr>
        <w:pStyle w:val="Normal"/>
        <w:spacing w:before="0" w:after="0"/>
        <w:contextualSpacing/>
        <w:rPr/>
      </w:pPr>
      <w:r>
        <w:rPr/>
      </w:r>
    </w:p>
    <w:p>
      <w:pPr>
        <w:pStyle w:val="Normal"/>
        <w:spacing w:before="0" w:after="0"/>
        <w:contextualSpacing/>
        <w:rPr/>
      </w:pPr>
      <w:r>
        <w:rPr>
          <w:rFonts w:cs="AdvOT1ef757c0" w:ascii="AdvOT1ef757c0" w:hAnsi="AdvOT1ef757c0"/>
          <w:sz w:val="21"/>
          <w:szCs w:val="21"/>
        </w:rPr>
        <w:t>While there is as yet no con</w:t>
      </w:r>
      <w:r>
        <w:rPr>
          <w:rFonts w:cs="AdvOT1ef757c0+fb" w:ascii="AdvOT1ef757c0+fb" w:hAnsi="AdvOT1ef757c0+fb"/>
          <w:sz w:val="21"/>
          <w:szCs w:val="21"/>
        </w:rPr>
        <w:t>fi</w:t>
      </w:r>
      <w:r>
        <w:rPr>
          <w:rFonts w:cs="AdvOT1ef757c0" w:ascii="AdvOT1ef757c0" w:hAnsi="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pStyle w:val="Normal"/>
        <w:spacing w:before="0" w:after="0"/>
        <w:contextualSpacing/>
        <w:rPr/>
      </w:pPr>
      <w:r>
        <w:rPr/>
      </w:r>
    </w:p>
    <w:p>
      <w:pPr>
        <w:pStyle w:val="Normal"/>
        <w:spacing w:before="0" w:after="0"/>
        <w:contextualSpacing/>
        <w:rPr/>
      </w:pPr>
      <w:r>
        <w:rPr/>
        <w:t xml:space="preserve">Now I introduce their main ideas that are TOTALLY identical to my ideas: </w:t>
      </w:r>
    </w:p>
    <w:p>
      <w:pPr>
        <w:pStyle w:val="Normal"/>
        <w:spacing w:before="0" w:after="0"/>
        <w:contextualSpacing/>
        <w:rPr/>
      </w:pPr>
      <w:r>
        <w:rPr/>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t xml:space="preserve">What these generalized forms of self –organizing complexity have in common are: </w:t>
      </w:r>
    </w:p>
    <w:p>
      <w:pPr>
        <w:pStyle w:val="Normal"/>
        <w:spacing w:before="0" w:after="0"/>
        <w:contextualSpacing/>
        <w:rPr/>
      </w:pPr>
      <w:r>
        <w:rPr>
          <w:rFonts w:cs="AdvOT1ef757c0" w:ascii="AdvOT1ef757c0" w:hAnsi="AdvOT1ef757c0"/>
          <w:sz w:val="21"/>
          <w:szCs w:val="21"/>
        </w:rPr>
        <w:t xml:space="preserve">1. All systems </w:t>
      </w:r>
      <w:r>
        <w:rPr>
          <w:rFonts w:cs="AdvOT1ef757c0+20" w:ascii="AdvOT1ef757c0+20" w:hAnsi="AdvOT1ef757c0+20"/>
          <w:sz w:val="21"/>
          <w:szCs w:val="21"/>
        </w:rPr>
        <w:t xml:space="preserve">– </w:t>
      </w:r>
      <w:r>
        <w:rPr>
          <w:rFonts w:cs="AdvOT1ef757c0" w:ascii="AdvOT1ef757c0" w:hAnsi="AdvOT1ef757c0"/>
          <w:sz w:val="21"/>
          <w:szCs w:val="21"/>
        </w:rPr>
        <w:t xml:space="preserve">at every level of scale, quantum and classical - are comprised of potentially interactive entities. (Given that </w:t>
      </w:r>
      <w:r>
        <w:rPr>
          <w:rFonts w:cs="AdvOT1ef757c0+20" w:ascii="AdvOT1ef757c0+20" w:hAnsi="AdvOT1ef757c0+20"/>
          <w:sz w:val="21"/>
          <w:szCs w:val="21"/>
        </w:rPr>
        <w:t>“</w:t>
      </w:r>
      <w:r>
        <w:rPr>
          <w:rFonts w:cs="AdvOT1ef757c0" w:ascii="AdvOT1ef757c0" w:hAnsi="AdvOT1ef757c0"/>
          <w:sz w:val="21"/>
          <w:szCs w:val="21"/>
        </w:rPr>
        <w:t>interactions</w:t>
      </w:r>
      <w:r>
        <w:rPr>
          <w:rFonts w:cs="AdvOT1ef757c0+20" w:ascii="AdvOT1ef757c0+20" w:hAnsi="AdvOT1ef757c0+20"/>
          <w:sz w:val="21"/>
          <w:szCs w:val="21"/>
        </w:rPr>
        <w:t xml:space="preserve">” </w:t>
      </w:r>
      <w:r>
        <w:rPr>
          <w:rFonts w:cs="AdvOT1ef757c0" w:ascii="AdvOT1ef757c0" w:hAnsi="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t>2. The nature of self-organization is dependent on the numbers of interacting entities and the richness of the modes of possible interaction.</w:t>
      </w:r>
    </w:p>
    <w:p>
      <w:pPr>
        <w:pStyle w:val="Normal"/>
        <w:spacing w:before="0" w:after="0"/>
        <w:contextualSpacing/>
        <w:rPr/>
      </w:pPr>
      <w:r>
        <w:rPr>
          <w:rFonts w:cs="AdvOT1ef757c0" w:ascii="AdvOT1ef757c0" w:hAnsi="AdvOT1ef757c0"/>
          <w:sz w:val="21"/>
          <w:szCs w:val="21"/>
        </w:rPr>
        <w:t>3. There is a necessary role for limited randomness (</w:t>
      </w:r>
      <w:r>
        <w:rPr>
          <w:rFonts w:cs="AdvOT1ef757c0+20" w:ascii="AdvOT1ef757c0+20" w:hAnsi="AdvOT1ef757c0+20"/>
          <w:sz w:val="21"/>
          <w:szCs w:val="21"/>
        </w:rPr>
        <w:t>“</w:t>
      </w:r>
      <w:r>
        <w:rPr>
          <w:rFonts w:cs="AdvOT1ef757c0" w:ascii="AdvOT1ef757c0" w:hAnsi="AdvOT1ef757c0"/>
          <w:sz w:val="21"/>
          <w:szCs w:val="21"/>
        </w:rPr>
        <w:t>quenched disorder</w:t>
      </w:r>
      <w:r>
        <w:rPr>
          <w:rFonts w:cs="AdvOT1ef757c0+20" w:ascii="AdvOT1ef757c0+20" w:hAnsi="AdvOT1ef757c0+20"/>
          <w:sz w:val="21"/>
          <w:szCs w:val="21"/>
        </w:rPr>
        <w:t>”</w:t>
      </w:r>
      <w:r>
        <w:rPr>
          <w:rFonts w:cs="AdvOT1ef757c0" w:ascii="AdvOT1ef757c0" w:hAnsi="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t xml:space="preserve">the forms of self-organization in response to a changing environment. (p. 3) </w:t>
      </w:r>
    </w:p>
    <w:p>
      <w:pPr>
        <w:pStyle w:val="Normal"/>
        <w:spacing w:before="0" w:after="0"/>
        <w:contextualSpacing/>
        <w:rPr/>
      </w:pPr>
      <w:r>
        <w:rPr/>
      </w:r>
    </w:p>
    <w:p>
      <w:pPr>
        <w:pStyle w:val="Normal"/>
        <w:spacing w:before="0" w:after="0"/>
        <w:contextualSpacing/>
        <w:rPr/>
      </w:pPr>
      <w:r>
        <w:rPr/>
        <w:t>The following phrase mirrors exactly one of my essential idea: “</w:t>
      </w:r>
      <w:r>
        <w:rPr>
          <w:rFonts w:cs="AdvOT1ef757c0" w:ascii="AdvOT1ef757c0" w:hAnsi="AdvOT1ef757c0"/>
          <w:sz w:val="21"/>
          <w:szCs w:val="21"/>
        </w:rPr>
        <w:t>In all of these systems, the properties of the whole are not predicted by the characteristics of the lower scale parts that comprise them, as long as  there are suf</w:t>
      </w:r>
      <w:r>
        <w:rPr>
          <w:rFonts w:cs="AdvOT1ef757c0+fb" w:ascii="AdvOT1ef757c0+fb" w:hAnsi="AdvOT1ef757c0+fb"/>
          <w:sz w:val="21"/>
          <w:szCs w:val="21"/>
        </w:rPr>
        <w:t>fi</w:t>
      </w:r>
      <w:r>
        <w:rPr>
          <w:rFonts w:cs="AdvOT1ef757c0" w:ascii="AdvOT1ef757c0" w:hAnsi="AdvOT1ef757c0"/>
          <w:sz w:val="21"/>
          <w:szCs w:val="21"/>
        </w:rPr>
        <w:t>cient numbers of these parts and the conditions of interaction and environment are appropriate to</w:t>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t>allow for self-organization, relatively stable higher scale, emergent structures will arise.” (p. 3)</w:t>
      </w:r>
    </w:p>
    <w:p>
      <w:pPr>
        <w:pStyle w:val="Normal"/>
        <w:spacing w:before="0" w:after="0"/>
        <w:contextualSpacing/>
        <w:rPr/>
      </w:pPr>
      <w:r>
        <w:rPr/>
      </w:r>
    </w:p>
    <w:p>
      <w:pPr>
        <w:pStyle w:val="Normal"/>
        <w:spacing w:before="0" w:after="0"/>
        <w:contextualSpacing/>
        <w:rPr/>
      </w:pPr>
      <w:r>
        <w:rPr/>
        <w:t xml:space="preserve">The same for the next idea: </w:t>
      </w:r>
    </w:p>
    <w:p>
      <w:pPr>
        <w:pStyle w:val="Normal"/>
        <w:spacing w:before="0" w:after="0"/>
        <w:contextualSpacing/>
        <w:rPr/>
      </w:pPr>
      <w:r>
        <w:rPr/>
      </w:r>
    </w:p>
    <w:p>
      <w:pPr>
        <w:pStyle w:val="Normal"/>
        <w:spacing w:before="0" w:after="0"/>
        <w:contextualSpacing/>
        <w:rPr/>
      </w:pPr>
      <w:r>
        <w:rPr/>
        <w:t>“</w:t>
      </w:r>
      <w:r>
        <w:rPr>
          <w:rFonts w:cs="AdvOT1ef757c0" w:ascii="AdvOT1ef757c0" w:hAnsi="AdvOT1ef757c0"/>
          <w:sz w:val="21"/>
          <w:szCs w:val="21"/>
        </w:rPr>
        <w:t xml:space="preserve">In turn, the bodies of each </w:t>
      </w:r>
      <w:r>
        <w:rPr>
          <w:rFonts w:cs="AdvOT1ef757c0+fb" w:ascii="AdvOT1ef757c0+fb" w:hAnsi="AdvOT1ef757c0+fb"/>
          <w:sz w:val="21"/>
          <w:szCs w:val="21"/>
        </w:rPr>
        <w:t>fi</w:t>
      </w:r>
      <w:r>
        <w:rPr>
          <w:rFonts w:cs="AdvOT1ef757c0" w:ascii="AdvOT1ef757c0" w:hAnsi="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cs="AdvOT1ef757c0+20" w:ascii="AdvOT1ef757c0+20" w:hAnsi="AdvOT1ef757c0+20"/>
          <w:sz w:val="21"/>
          <w:szCs w:val="21"/>
        </w:rPr>
        <w:t>“</w:t>
      </w:r>
      <w:r>
        <w:rPr>
          <w:rFonts w:cs="AdvOT1ef757c0" w:ascii="AdvOT1ef757c0" w:hAnsi="AdvOT1ef757c0"/>
          <w:sz w:val="21"/>
          <w:szCs w:val="21"/>
        </w:rPr>
        <w:t>thingness,</w:t>
      </w:r>
      <w:r>
        <w:rPr>
          <w:rFonts w:cs="AdvOT1ef757c0+20" w:ascii="AdvOT1ef757c0+20" w:hAnsi="AdvOT1ef757c0+20"/>
          <w:sz w:val="21"/>
          <w:szCs w:val="21"/>
        </w:rPr>
        <w:t xml:space="preserve">” </w:t>
      </w:r>
      <w:r>
        <w:rPr>
          <w:rFonts w:cs="AdvOT1ef757c0" w:ascii="AdvOT1ef757c0" w:hAnsi="AdvOT1ef757c0"/>
          <w:sz w:val="21"/>
          <w:szCs w:val="21"/>
        </w:rPr>
        <w:t xml:space="preserve">the </w:t>
      </w:r>
      <w:r>
        <w:rPr>
          <w:rFonts w:cs="AdvOT7d6df7ab.I" w:ascii="AdvOT7d6df7ab.I" w:hAnsi="AdvOT7d6df7ab.I"/>
          <w:sz w:val="21"/>
          <w:szCs w:val="21"/>
        </w:rPr>
        <w:t xml:space="preserve">appearance </w:t>
      </w:r>
      <w:r>
        <w:rPr>
          <w:rFonts w:cs="AdvOT1ef757c0" w:ascii="AdvOT1ef757c0" w:hAnsi="AdvOT1ef757c0"/>
          <w:sz w:val="21"/>
          <w:szCs w:val="21"/>
        </w:rPr>
        <w:t>of materiality, even of living things, is dependent on the scale of observation… Also note that a</w:t>
      </w:r>
      <w:r>
        <w:rPr>
          <w:rFonts w:cs="AdvOT7d6df7ab.I" w:ascii="AdvOT7d6df7ab.I" w:hAnsi="AdvOT7d6df7ab.I"/>
          <w:sz w:val="21"/>
          <w:szCs w:val="21"/>
        </w:rPr>
        <w:t xml:space="preserve">ppearance </w:t>
      </w:r>
      <w:r>
        <w:rPr>
          <w:rFonts w:cs="AdvOT1ef757c0" w:ascii="AdvOT1ef757c0" w:hAnsi="AdvOT1ef757c0"/>
          <w:sz w:val="21"/>
          <w:szCs w:val="21"/>
        </w:rPr>
        <w:t xml:space="preserve">implies observation. Therefore, observation at all levels is implied, it cannot be taken out of the picture at </w:t>
      </w:r>
      <w:r>
        <w:rPr>
          <w:rFonts w:cs="AdvOT7d6df7ab.I" w:ascii="AdvOT7d6df7ab.I" w:hAnsi="AdvOT7d6df7ab.I"/>
          <w:sz w:val="21"/>
          <w:szCs w:val="21"/>
        </w:rPr>
        <w:t xml:space="preserve">any </w:t>
      </w:r>
      <w:r>
        <w:rPr>
          <w:rFonts w:cs="AdvOT1ef757c0" w:ascii="AdvOT1ef757c0" w:hAnsi="AdvOT1ef757c0"/>
          <w:sz w:val="21"/>
          <w:szCs w:val="21"/>
        </w:rPr>
        <w:t>scale.” (p. 5)</w:t>
      </w:r>
    </w:p>
    <w:p>
      <w:pPr>
        <w:pStyle w:val="Normal"/>
        <w:spacing w:before="0" w:after="0"/>
        <w:contextualSpacing/>
        <w:rPr/>
      </w:pPr>
      <w:r>
        <w:rPr/>
      </w:r>
    </w:p>
    <w:p>
      <w:pPr>
        <w:pStyle w:val="Normal"/>
        <w:spacing w:before="0" w:after="0"/>
        <w:contextualSpacing/>
        <w:rPr/>
      </w:pPr>
      <w:r>
        <w:rPr/>
        <w:t xml:space="preserve">For showing their inspiration, the authors mention Vedic, Buddhism, and Lurianic kabbalah ideas. </w:t>
      </w:r>
    </w:p>
    <w:p>
      <w:pPr>
        <w:pStyle w:val="Normal"/>
        <w:spacing w:before="0" w:after="0"/>
        <w:contextualSpacing/>
        <w:rPr/>
      </w:pPr>
      <w:r>
        <w:rPr/>
        <w:tab/>
        <w:t xml:space="preserve">The ideas of the next section (“axioms”) are INCREDIBLE similar to my ideas (“principles” for me): </w:t>
      </w:r>
    </w:p>
    <w:p>
      <w:pPr>
        <w:pStyle w:val="Normal"/>
        <w:spacing w:before="0" w:after="0"/>
        <w:contextualSpacing/>
        <w:rPr/>
      </w:pPr>
      <w:r>
        <w:rPr/>
        <w:t>“</w:t>
      </w:r>
      <w:r>
        <w:rPr>
          <w:rFonts w:cs="AdvOT1ef757c0" w:ascii="AdvOT1ef757c0" w:hAnsi="AdvOT1ef757c0"/>
          <w:sz w:val="21"/>
          <w:szCs w:val="21"/>
        </w:rPr>
        <w:t>1. The substratum of existence is Fundamental Awareness, i.e. pure awareness which is re</w:t>
      </w:r>
      <w:r>
        <w:rPr>
          <w:rFonts w:cs="AdvOT1ef757c0+fb" w:ascii="AdvOT1ef757c0+fb" w:hAnsi="AdvOT1ef757c0+fb"/>
          <w:sz w:val="21"/>
          <w:szCs w:val="21"/>
        </w:rPr>
        <w:t>fl</w:t>
      </w:r>
      <w:r>
        <w:rPr>
          <w:rFonts w:cs="AdvOT1ef757c0" w:ascii="AdvOT1ef757c0" w:hAnsi="AdvOT1ef757c0"/>
          <w:sz w:val="21"/>
          <w:szCs w:val="21"/>
        </w:rPr>
        <w:t>exively self-aware.</w:t>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t>2. Fundamental Awareness is non-dual and nonmaterial.” (p. 7)</w:t>
      </w:r>
    </w:p>
    <w:p>
      <w:pPr>
        <w:pStyle w:val="Normal"/>
        <w:spacing w:before="0" w:after="0"/>
        <w:contextualSpacing/>
        <w:rPr/>
      </w:pPr>
      <w:r>
        <w:rPr/>
        <w:t>In another section, the authors introduce Bohr’s complementarity: “Interestingly, it is often forgotten that Bohr also felt that complementarities existed at higher levels of scale, including the biological and cosmological realms.</w:t>
      </w:r>
      <w:r>
        <w:rPr>
          <w:rStyle w:val="FootnoteAnchor"/>
        </w:rPr>
        <w:footnoteReference w:id="278"/>
      </w:r>
      <w:r>
        <w:rPr/>
        <w:t xml:space="preserve"> (p. 8) </w:t>
      </w:r>
    </w:p>
    <w:p>
      <w:pPr>
        <w:pStyle w:val="Normal"/>
        <w:spacing w:before="0" w:after="0"/>
        <w:contextualSpacing/>
        <w:rPr/>
      </w:pPr>
      <w:r>
        <w:rPr/>
        <w:tab/>
        <w:t xml:space="preserve">Another idea very similar to my idea: </w:t>
      </w:r>
    </w:p>
    <w:p>
      <w:pPr>
        <w:pStyle w:val="Normal"/>
        <w:spacing w:before="0" w:after="0"/>
        <w:contextualSpacing/>
        <w:rPr/>
      </w:pPr>
      <w:r>
        <w:rPr/>
      </w:r>
    </w:p>
    <w:p>
      <w:pPr>
        <w:pStyle w:val="Normal"/>
        <w:spacing w:before="0" w:after="0"/>
        <w:contextualSpacing/>
        <w:rPr>
          <w:rFonts w:ascii="AdvOT7d6df7ab.I" w:hAnsi="AdvOT7d6df7ab.I" w:cs="AdvOT7d6df7ab.I"/>
          <w:color w:val="000000"/>
          <w:sz w:val="21"/>
          <w:szCs w:val="21"/>
        </w:rPr>
      </w:pPr>
      <w:r>
        <w:rPr>
          <w:rFonts w:cs="AdvOT7d6df7ab.I" w:ascii="AdvOT7d6df7ab.I" w:hAnsi="AdvOT7d6df7ab.I"/>
          <w:color w:val="000000"/>
          <w:sz w:val="21"/>
          <w:szCs w:val="21"/>
        </w:rPr>
        <w:t>No single scale of observation can reveal the whole; at the moment selection is made of a scale of observation, the features of other levels of scale are hidden from view. (p. 9)</w:t>
      </w:r>
    </w:p>
    <w:p>
      <w:pPr>
        <w:pStyle w:val="Normal"/>
        <w:spacing w:before="0" w:after="0"/>
        <w:contextualSpacing/>
        <w:rPr>
          <w:color w:val="000000"/>
        </w:rPr>
      </w:pPr>
      <w:r>
        <w:rPr>
          <w:color w:val="000000"/>
        </w:rPr>
      </w:r>
    </w:p>
    <w:p>
      <w:pPr>
        <w:pStyle w:val="Normal"/>
        <w:spacing w:before="0" w:after="0"/>
        <w:contextualSpacing/>
        <w:rPr>
          <w:color w:val="000000"/>
        </w:rPr>
      </w:pPr>
      <w:r>
        <w:rPr>
          <w:color w:val="000000"/>
        </w:rPr>
        <w:t xml:space="preserve">Few lines later, a paragraph with a striking similar idea to my idea (2008): </w:t>
      </w:r>
    </w:p>
    <w:p>
      <w:pPr>
        <w:pStyle w:val="Normal"/>
        <w:spacing w:before="0" w:after="0"/>
        <w:contextualSpacing/>
        <w:rPr>
          <w:color w:val="000000"/>
        </w:rPr>
      </w:pPr>
      <w:r>
        <w:rPr>
          <w:color w:val="000000"/>
        </w:rPr>
      </w:r>
    </w:p>
    <w:p>
      <w:pPr>
        <w:pStyle w:val="Normal"/>
        <w:spacing w:before="0" w:after="0"/>
        <w:contextualSpacing/>
        <w:rPr/>
      </w:pPr>
      <w:r>
        <w:rPr>
          <w:rFonts w:cs="AdvOT7d6df7ab.I" w:ascii="AdvOT7d6df7ab.I" w:hAnsi="AdvOT7d6df7ab.I"/>
          <w:sz w:val="21"/>
          <w:szCs w:val="21"/>
        </w:rPr>
        <w:t>There is no absolute hierarchy within all the (potentially in</w:t>
      </w:r>
      <w:r>
        <w:rPr>
          <w:rFonts w:cs="AdvOT7d6df7ab.I+fb" w:ascii="AdvOT7d6df7ab.I+fb" w:hAnsi="AdvOT7d6df7ab.I+fb"/>
          <w:sz w:val="21"/>
          <w:szCs w:val="21"/>
        </w:rPr>
        <w:t>fi</w:t>
      </w:r>
      <w:r>
        <w:rPr>
          <w:rFonts w:cs="AdvOT7d6df7ab.I" w:ascii="AdvOT7d6df7ab.I" w:hAnsi="AdvOT7d6df7ab.I"/>
          <w:sz w:val="21"/>
          <w:szCs w:val="21"/>
        </w:rPr>
        <w:t>nite) sets of complementary pairs</w:t>
      </w:r>
      <w:r>
        <w:rPr>
          <w:rFonts w:cs="AdvOT1ef757c0" w:ascii="AdvOT1ef757c0" w:hAnsi="AdvOT1ef757c0"/>
          <w:sz w:val="21"/>
          <w:szCs w:val="21"/>
        </w:rPr>
        <w:t>. Whatever hierarchy is presented, it is contextual and dependent on observational choices. As such</w:t>
      </w:r>
      <w:r>
        <w:rPr>
          <w:rFonts w:cs="AdvOT7d6df7ab.I" w:ascii="AdvOT7d6df7ab.I" w:hAnsi="AdvOT7d6df7ab.I"/>
          <w:sz w:val="21"/>
          <w:szCs w:val="21"/>
        </w:rPr>
        <w:t>, all complementarities exist in superposition</w:t>
      </w:r>
      <w:r>
        <w:rPr>
          <w:rFonts w:cs="AdvOT1ef757c0" w:ascii="AdvOT1ef757c0" w:hAnsi="AdvOT1ef757c0"/>
          <w:sz w:val="21"/>
          <w:szCs w:val="21"/>
        </w:rPr>
        <w:t xml:space="preserve">. In the quantum realm these are </w:t>
      </w:r>
      <w:r>
        <w:rPr>
          <w:rFonts w:cs="AdvOT1ef757c0+20" w:ascii="AdvOT1ef757c0+20" w:hAnsi="AdvOT1ef757c0+20"/>
          <w:sz w:val="21"/>
          <w:szCs w:val="21"/>
        </w:rPr>
        <w:t>“</w:t>
      </w:r>
      <w:r>
        <w:rPr>
          <w:rFonts w:cs="AdvOT1ef757c0" w:ascii="AdvOT1ef757c0" w:hAnsi="AdvOT1ef757c0"/>
          <w:sz w:val="21"/>
          <w:szCs w:val="21"/>
        </w:rPr>
        <w:t>true</w:t>
      </w:r>
      <w:r>
        <w:rPr>
          <w:rFonts w:cs="AdvOT1ef757c0+20" w:ascii="AdvOT1ef757c0+20" w:hAnsi="AdvOT1ef757c0+20"/>
          <w:sz w:val="21"/>
          <w:szCs w:val="21"/>
        </w:rPr>
        <w:t xml:space="preserve">” </w:t>
      </w:r>
      <w:r>
        <w:rPr>
          <w:rFonts w:cs="AdvOT1ef757c0" w:ascii="AdvOT1ef757c0" w:hAnsi="AdvOT1ef757c0"/>
          <w:sz w:val="21"/>
          <w:szCs w:val="21"/>
        </w:rPr>
        <w:t>superpositions, in the classical world holarchy provides the corresponding, quantum-like concept. (p. 9)</w:t>
      </w:r>
    </w:p>
    <w:p>
      <w:pPr>
        <w:pStyle w:val="Normal"/>
        <w:spacing w:before="0" w:after="0"/>
        <w:contextualSpacing/>
        <w:rPr>
          <w:color w:val="000000"/>
        </w:rPr>
      </w:pPr>
      <w:r>
        <w:rPr>
          <w:color w:val="000000"/>
        </w:rPr>
      </w:r>
    </w:p>
    <w:p>
      <w:pPr>
        <w:pStyle w:val="Normal"/>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pStyle w:val="Normal"/>
        <w:spacing w:before="0" w:after="0"/>
        <w:contextualSpacing/>
        <w:rPr>
          <w:color w:val="000000"/>
        </w:rPr>
      </w:pPr>
      <w:r>
        <w:rPr>
          <w:color w:val="000000"/>
        </w:rPr>
      </w:r>
    </w:p>
    <w:p>
      <w:pPr>
        <w:pStyle w:val="Normal"/>
        <w:spacing w:before="0" w:after="0"/>
        <w:contextualSpacing/>
        <w:rPr/>
      </w:pPr>
      <w:r>
        <w:rPr>
          <w:rFonts w:cs="AdvOT1ef757c0" w:ascii="AdvOT1ef757c0" w:hAnsi="AdvOT1ef757c0"/>
          <w:sz w:val="21"/>
          <w:szCs w:val="21"/>
        </w:rPr>
        <w:t xml:space="preserve">Thus, the words </w:t>
      </w:r>
      <w:r>
        <w:rPr>
          <w:rFonts w:cs="AdvOT1ef757c0+20" w:ascii="AdvOT1ef757c0+20" w:hAnsi="AdvOT1ef757c0+20"/>
          <w:sz w:val="21"/>
          <w:szCs w:val="21"/>
        </w:rPr>
        <w:t>“</w:t>
      </w:r>
      <w:r>
        <w:rPr>
          <w:rFonts w:cs="AdvOT1ef757c0" w:ascii="AdvOT1ef757c0" w:hAnsi="AdvOT1ef757c0"/>
          <w:sz w:val="21"/>
          <w:szCs w:val="21"/>
        </w:rPr>
        <w:t>environment</w:t>
      </w:r>
      <w:r>
        <w:rPr>
          <w:rFonts w:cs="AdvOT1ef757c0+20" w:ascii="AdvOT1ef757c0+20" w:hAnsi="AdvOT1ef757c0+20"/>
          <w:sz w:val="21"/>
          <w:szCs w:val="21"/>
        </w:rPr>
        <w:t xml:space="preserve">” </w:t>
      </w:r>
      <w:r>
        <w:rPr>
          <w:rFonts w:cs="AdvOT1ef757c0" w:ascii="AdvOT1ef757c0" w:hAnsi="AdvOT1ef757c0"/>
          <w:sz w:val="21"/>
          <w:szCs w:val="21"/>
        </w:rPr>
        <w:t xml:space="preserve">and </w:t>
      </w:r>
      <w:r>
        <w:rPr>
          <w:rFonts w:cs="AdvOT1ef757c0+20" w:ascii="AdvOT1ef757c0+20" w:hAnsi="AdvOT1ef757c0+20"/>
          <w:sz w:val="21"/>
          <w:szCs w:val="21"/>
        </w:rPr>
        <w:t>“</w:t>
      </w:r>
      <w:r>
        <w:rPr>
          <w:rFonts w:cs="AdvOT1ef757c0" w:ascii="AdvOT1ef757c0" w:hAnsi="AdvOT1ef757c0"/>
          <w:sz w:val="21"/>
          <w:szCs w:val="21"/>
        </w:rPr>
        <w:t>internal</w:t>
      </w:r>
      <w:r>
        <w:rPr>
          <w:rFonts w:cs="AdvOT1ef757c0+20" w:ascii="AdvOT1ef757c0+20" w:hAnsi="AdvOT1ef757c0+20"/>
          <w:sz w:val="21"/>
          <w:szCs w:val="21"/>
        </w:rPr>
        <w:t xml:space="preserve">” </w:t>
      </w:r>
      <w:r>
        <w:rPr>
          <w:rFonts w:cs="AdvOT1ef757c0" w:ascii="AdvOT1ef757c0" w:hAnsi="AdvOT1ef757c0"/>
          <w:sz w:val="21"/>
          <w:szCs w:val="21"/>
        </w:rPr>
        <w:t>in the above de</w:t>
      </w:r>
      <w:r>
        <w:rPr>
          <w:rFonts w:cs="AdvOT1ef757c0+fb" w:ascii="AdvOT1ef757c0+fb" w:hAnsi="AdvOT1ef757c0+fb"/>
          <w:sz w:val="21"/>
          <w:szCs w:val="21"/>
        </w:rPr>
        <w:t>fi</w:t>
      </w:r>
      <w:r>
        <w:rPr>
          <w:rFonts w:cs="AdvOT1ef757c0" w:ascii="AdvOT1ef757c0" w:hAnsi="AdvOT1ef757c0"/>
          <w:sz w:val="21"/>
          <w:szCs w:val="21"/>
        </w:rPr>
        <w:t>nitions, in the quantum realm, are not rei</w:t>
      </w:r>
      <w:r>
        <w:rPr>
          <w:rFonts w:cs="AdvOT1ef757c0+fb" w:ascii="AdvOT1ef757c0+fb" w:hAnsi="AdvOT1ef757c0+fb"/>
          <w:sz w:val="21"/>
          <w:szCs w:val="21"/>
        </w:rPr>
        <w:t>fi</w:t>
      </w:r>
      <w:r>
        <w:rPr>
          <w:rFonts w:cs="AdvOT1ef757c0" w:ascii="AdvOT1ef757c0" w:hAnsi="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cs="AdvOT1ef757c0+fb" w:ascii="AdvOT1ef757c0+fb" w:hAnsi="AdvOT1ef757c0+fb"/>
          <w:sz w:val="21"/>
          <w:szCs w:val="21"/>
        </w:rPr>
        <w:t>fi</w:t>
      </w:r>
      <w:r>
        <w:rPr>
          <w:rFonts w:cs="AdvOT1ef757c0" w:ascii="AdvOT1ef757c0" w:hAnsi="AdvOT1ef757c0"/>
          <w:sz w:val="21"/>
          <w:szCs w:val="21"/>
        </w:rPr>
        <w:t xml:space="preserve">able theories of </w:t>
      </w:r>
      <w:r>
        <w:rPr>
          <w:rFonts w:cs="AdvOT1ef757c0+20" w:ascii="AdvOT1ef757c0+20" w:hAnsi="AdvOT1ef757c0+20"/>
          <w:sz w:val="21"/>
          <w:szCs w:val="21"/>
        </w:rPr>
        <w:t>“</w:t>
      </w:r>
      <w:r>
        <w:rPr>
          <w:rFonts w:cs="AdvOT1ef757c0" w:ascii="AdvOT1ef757c0" w:hAnsi="AdvOT1ef757c0"/>
          <w:sz w:val="21"/>
          <w:szCs w:val="21"/>
        </w:rPr>
        <w:t>quantum gravity</w:t>
      </w:r>
      <w:r>
        <w:rPr>
          <w:rFonts w:cs="AdvOT1ef757c0+20" w:ascii="AdvOT1ef757c0+20" w:hAnsi="AdvOT1ef757c0+20"/>
          <w:sz w:val="21"/>
          <w:szCs w:val="21"/>
        </w:rPr>
        <w:t>”</w:t>
      </w:r>
      <w:r>
        <w:rPr>
          <w:rFonts w:cs="AdvOT1ef757c0" w:ascii="AdvOT1ef757c0" w:hAnsi="AdvOT1ef757c0"/>
          <w:sz w:val="21"/>
          <w:szCs w:val="21"/>
        </w:rPr>
        <w:t>). (p. 10)</w:t>
      </w:r>
    </w:p>
    <w:p>
      <w:pPr>
        <w:pStyle w:val="Normal"/>
        <w:spacing w:before="0" w:after="0"/>
        <w:contextualSpacing/>
        <w:rPr>
          <w:color w:val="000000"/>
        </w:rPr>
      </w:pPr>
      <w:r>
        <w:rPr>
          <w:color w:val="000000"/>
        </w:rPr>
      </w:r>
    </w:p>
    <w:p>
      <w:pPr>
        <w:pStyle w:val="Normal"/>
        <w:spacing w:before="0" w:after="0"/>
        <w:contextualSpacing/>
        <w:rPr/>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cs="AdvOT1ef757c0" w:ascii="AdvOT1ef757c0" w:hAnsi="AdvOT1ef757c0"/>
        </w:rPr>
        <w:t>We thus offer this Fundamental Awareness framework, in which an axiomatic, pure, self-re</w:t>
      </w:r>
      <w:r>
        <w:rPr>
          <w:rFonts w:cs="AdvOT1ef757c0+fb" w:ascii="AdvOT1ef757c0+fb" w:hAnsi="AdvOT1ef757c0+fb"/>
        </w:rPr>
        <w:t>fl</w:t>
      </w:r>
      <w:r>
        <w:rPr>
          <w:rFonts w:cs="AdvOT1ef757c0" w:ascii="AdvOT1ef757c0" w:hAnsi="AdvOT1ef757c0"/>
        </w:rPr>
        <w:t>exive, non-dual awareness is the substratum of existence.” (p. 16)</w:t>
      </w:r>
      <w:r>
        <w:rPr>
          <w:color w:val="000000"/>
        </w:rPr>
        <w:t xml:space="preserve"> Again this is one of my essential ideas! </w:t>
      </w:r>
    </w:p>
    <w:p>
      <w:pPr>
        <w:pStyle w:val="Normal"/>
        <w:spacing w:before="0" w:after="0"/>
        <w:contextualSpacing/>
        <w:rPr/>
      </w:pPr>
      <w:r>
        <w:rPr>
          <w:color w:val="000000"/>
        </w:rPr>
        <w:tab/>
      </w:r>
      <w:r>
        <w:rPr>
          <w:b/>
          <w:color w:val="000000"/>
        </w:rPr>
        <w:t>I am sure in the book we can find much more very SIMILAR ideas to my ideas (2002-2008)! The same verdict about the ideas of these authors published in their previous works (2013-2016).</w:t>
      </w:r>
    </w:p>
    <w:p>
      <w:pPr>
        <w:pStyle w:val="Normal"/>
        <w:spacing w:before="0" w:after="0"/>
        <w:contextualSpacing/>
        <w:rPr>
          <w:b/>
          <w:b/>
          <w:color w:val="000000"/>
        </w:rPr>
      </w:pPr>
      <w:r>
        <w:rPr>
          <w:b/>
          <w:color w:val="000000"/>
        </w:rPr>
      </w:r>
    </w:p>
    <w:p>
      <w:pPr>
        <w:pStyle w:val="Normal"/>
        <w:spacing w:before="0" w:after="0"/>
        <w:contextualSpacing/>
        <w:rPr>
          <w:b/>
          <w:b/>
          <w:color w:val="000000"/>
        </w:rPr>
      </w:pPr>
      <w:r>
        <w:rPr>
          <w:b/>
          <w:color w:val="000000"/>
        </w:rPr>
      </w:r>
    </w:p>
    <w:p>
      <w:pPr>
        <w:pStyle w:val="ListParagraph"/>
        <w:numPr>
          <w:ilvl w:val="0"/>
          <w:numId w:val="28"/>
        </w:numPr>
        <w:spacing w:before="0" w:after="0"/>
        <w:contextualSpacing/>
        <w:rPr/>
      </w:pPr>
      <w:r>
        <w:rPr>
          <w:b/>
          <w:sz w:val="28"/>
          <w:szCs w:val="28"/>
        </w:rPr>
        <w:t xml:space="preserve">(2018) Did David Bourget (forthcoming 2018) (Director, </w:t>
      </w:r>
      <w:hyperlink r:id="rId94">
        <w:r>
          <w:rPr>
            <w:rStyle w:val="InternetLink"/>
            <w:b/>
            <w:bCs/>
            <w:color w:val="auto"/>
            <w:sz w:val="28"/>
            <w:szCs w:val="28"/>
            <w:highlight w:val="white"/>
            <w:u w:val="none"/>
          </w:rPr>
          <w:t>Centre for Digital Philosophy</w:t>
        </w:r>
      </w:hyperlink>
      <w:r>
        <w:rPr>
          <w:b/>
          <w:sz w:val="28"/>
          <w:szCs w:val="28"/>
        </w:rPr>
        <w:t>,</w:t>
      </w:r>
      <w:r>
        <w:rPr>
          <w:b/>
          <w:sz w:val="28"/>
          <w:szCs w:val="28"/>
          <w:highlight w:val="white"/>
        </w:rPr>
        <w:t> </w:t>
      </w:r>
      <w:hyperlink r:id="rId95">
        <w:r>
          <w:rPr>
            <w:rStyle w:val="InternetLink"/>
            <w:b/>
            <w:bCs/>
            <w:color w:val="auto"/>
            <w:sz w:val="28"/>
            <w:szCs w:val="28"/>
            <w:highlight w:val="white"/>
            <w:u w:val="none"/>
          </w:rPr>
          <w:t>Western University</w:t>
        </w:r>
      </w:hyperlink>
      <w:r>
        <w:rPr>
          <w:b/>
          <w:sz w:val="28"/>
          <w:szCs w:val="28"/>
          <w:highlight w:val="white"/>
        </w:rPr>
        <w:t xml:space="preserve"> (or University of Western Ontario) </w:t>
      </w:r>
      <w:r>
        <w:rPr>
          <w:b/>
          <w:sz w:val="28"/>
          <w:szCs w:val="28"/>
        </w:rPr>
        <w:t>plagiarize my ideas regarding the mind-brain problem?</w:t>
      </w:r>
      <w:r>
        <w:rPr>
          <w:rStyle w:val="FootnoteAnchor"/>
          <w:b/>
          <w:sz w:val="28"/>
          <w:szCs w:val="28"/>
        </w:rPr>
        <w:footnoteReference w:id="279"/>
      </w:r>
    </w:p>
    <w:p>
      <w:pPr>
        <w:pStyle w:val="Normal"/>
        <w:spacing w:before="0" w:after="0"/>
        <w:contextualSpacing/>
        <w:rPr>
          <w:sz w:val="28"/>
          <w:szCs w:val="28"/>
        </w:rPr>
      </w:pPr>
      <w:r>
        <w:rPr>
          <w:sz w:val="28"/>
          <w:szCs w:val="28"/>
        </w:rPr>
      </w:r>
    </w:p>
    <w:p>
      <w:pPr>
        <w:pStyle w:val="Normal"/>
        <w:spacing w:before="0" w:after="0"/>
        <w:contextualSpacing/>
        <w:rPr/>
      </w:pPr>
      <w:r>
        <w:rPr/>
        <w:t>In this chapter, I will investigate the article “Anomalous Panpsychism: A Novel Approach to the Mind-Body Problem” (forthcoming 2018) by David Bourget</w:t>
      </w:r>
      <w:r>
        <w:rPr>
          <w:rStyle w:val="FootnoteAnchor"/>
        </w:rPr>
        <w:footnoteReference w:id="280"/>
      </w:r>
      <w:r>
        <w:rPr/>
        <w:t xml:space="preserve">. There are quite many important ideas very similar to my ideas. </w:t>
      </w:r>
    </w:p>
    <w:p>
      <w:pPr>
        <w:pStyle w:val="Normal"/>
        <w:spacing w:before="0" w:after="0"/>
        <w:contextualSpacing/>
        <w:rPr/>
      </w:pPr>
      <w:r>
        <w:rPr/>
        <w:tab/>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pStyle w:val="Normal"/>
        <w:spacing w:before="0" w:after="0"/>
        <w:contextualSpacing/>
        <w:rPr/>
      </w:pPr>
      <w:r>
        <w:rPr/>
      </w:r>
    </w:p>
    <w:p>
      <w:pPr>
        <w:pStyle w:val="Normal"/>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pStyle w:val="Normal"/>
        <w:spacing w:before="0" w:after="0"/>
        <w:contextualSpacing/>
        <w:rPr>
          <w:sz w:val="20"/>
          <w:szCs w:val="20"/>
        </w:rPr>
      </w:pPr>
      <w:r>
        <w:rPr>
          <w:sz w:val="20"/>
          <w:szCs w:val="20"/>
        </w:rPr>
        <w:t>for a dualist view. (p. 4)</w:t>
      </w:r>
    </w:p>
    <w:p>
      <w:pPr>
        <w:pStyle w:val="Normal"/>
        <w:spacing w:before="0" w:after="0"/>
        <w:contextualSpacing/>
        <w:rPr/>
      </w:pPr>
      <w:r>
        <w:rPr/>
      </w:r>
    </w:p>
    <w:p>
      <w:pPr>
        <w:pStyle w:val="Normal"/>
        <w:spacing w:before="0" w:after="0"/>
        <w:contextualSpacing/>
        <w:rPr/>
      </w:pPr>
      <w:r>
        <w:rPr/>
        <w:t xml:space="preserve">Suddenly, more and more people are interested in “dualism”. Until I wrote my article (Synthese 2005) and my book (2008) nobody returned to Descartes’ dualism during centuries. Everybody considered a wrong approach during this period. </w:t>
      </w:r>
    </w:p>
    <w:p>
      <w:pPr>
        <w:pStyle w:val="Normal"/>
        <w:spacing w:before="0" w:after="0"/>
        <w:contextualSpacing/>
        <w:rPr/>
      </w:pPr>
      <w:r>
        <w:rPr/>
        <w:tab/>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pStyle w:val="Normal"/>
        <w:spacing w:before="0" w:after="0"/>
        <w:contextualSpacing/>
        <w:rPr/>
      </w:pPr>
      <w:r>
        <w:rPr/>
        <w:tab/>
        <w:t xml:space="preserve">The same situation is for footnote 3:  </w:t>
      </w:r>
    </w:p>
    <w:p>
      <w:pPr>
        <w:pStyle w:val="Normal"/>
        <w:spacing w:before="0" w:after="0"/>
        <w:contextualSpacing/>
        <w:rPr/>
      </w:pPr>
      <w:r>
        <w:rPr/>
      </w:r>
    </w:p>
    <w:p>
      <w:pPr>
        <w:pStyle w:val="Normal"/>
        <w:spacing w:before="0" w:after="0"/>
        <w:contextualSpacing/>
        <w:rPr/>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pStyle w:val="Normal"/>
        <w:spacing w:before="0" w:after="0"/>
        <w:contextualSpacing/>
        <w:rPr/>
      </w:pPr>
      <w:r>
        <w:rPr/>
      </w:r>
    </w:p>
    <w:p>
      <w:pPr>
        <w:pStyle w:val="Normal"/>
        <w:spacing w:before="0" w:after="0"/>
        <w:contextualSpacing/>
        <w:rPr/>
      </w:pPr>
      <w:r>
        <w:rPr/>
        <w:t xml:space="preserve">And suddenly: </w:t>
      </w:r>
    </w:p>
    <w:p>
      <w:pPr>
        <w:pStyle w:val="Normal"/>
        <w:spacing w:before="0" w:after="0"/>
        <w:contextualSpacing/>
        <w:rPr/>
      </w:pPr>
      <w:r>
        <w:rPr/>
      </w:r>
    </w:p>
    <w:p>
      <w:pPr>
        <w:pStyle w:val="Normal"/>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pStyle w:val="Normal"/>
        <w:spacing w:before="0" w:after="0"/>
        <w:contextualSpacing/>
        <w:rPr/>
      </w:pPr>
      <w:r>
        <w:rPr/>
      </w:r>
    </w:p>
    <w:p>
      <w:pPr>
        <w:pStyle w:val="Normal"/>
        <w:spacing w:before="0" w:after="0"/>
        <w:contextualSpacing/>
        <w:rPr/>
      </w:pPr>
      <w:r>
        <w:rP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pStyle w:val="Normal"/>
        <w:spacing w:before="0" w:after="0"/>
        <w:contextualSpacing/>
        <w:rPr/>
      </w:pPr>
      <w:r>
        <w:rPr/>
      </w:r>
    </w:p>
    <w:p>
      <w:pPr>
        <w:pStyle w:val="Normal"/>
        <w:spacing w:before="0" w:after="0"/>
        <w:contextualSpacing/>
        <w:rPr>
          <w:sz w:val="20"/>
          <w:szCs w:val="20"/>
        </w:rPr>
      </w:pPr>
      <w:r>
        <w:rPr>
          <w:sz w:val="20"/>
          <w:szCs w:val="20"/>
        </w:rPr>
        <w:t>One might also argue that it is obvious from everyday experience that</w:t>
      </w:r>
    </w:p>
    <w:p>
      <w:pPr>
        <w:pStyle w:val="Normal"/>
        <w:spacing w:before="0" w:after="0"/>
        <w:contextualSpacing/>
        <w:rPr>
          <w:sz w:val="20"/>
          <w:szCs w:val="20"/>
        </w:rPr>
      </w:pPr>
      <w:r>
        <w:rPr>
          <w:sz w:val="20"/>
          <w:szCs w:val="20"/>
        </w:rPr>
        <w:t>phenomenal states have bodily effects. For example, conscious intentions</w:t>
      </w:r>
    </w:p>
    <w:p>
      <w:pPr>
        <w:pStyle w:val="Normal"/>
        <w:spacing w:before="0" w:after="0"/>
        <w:contextualSpacing/>
        <w:rPr>
          <w:sz w:val="20"/>
          <w:szCs w:val="20"/>
        </w:rPr>
      </w:pPr>
      <w:r>
        <w:rPr>
          <w:sz w:val="20"/>
          <w:szCs w:val="20"/>
        </w:rPr>
        <w:t>seem to cause bodily movements. I am not so sure about this line of argument. (p. 9)</w:t>
      </w:r>
    </w:p>
    <w:p>
      <w:pPr>
        <w:pStyle w:val="Normal"/>
        <w:spacing w:before="0" w:after="0"/>
        <w:contextualSpacing/>
        <w:rPr/>
      </w:pPr>
      <w:r>
        <w:rPr/>
      </w:r>
    </w:p>
    <w:p>
      <w:pPr>
        <w:pStyle w:val="Normal"/>
        <w:spacing w:before="0" w:after="0"/>
        <w:contextualSpacing/>
        <w:rPr/>
      </w:pPr>
      <w:r>
        <w:rPr/>
        <w:t xml:space="preserve">Is it clear or not in which paradigm did Bourget work? Later he shows that dualism is false. (Exactly as I showed in my book 2008) (See more details in Bourget’s paper) </w:t>
      </w:r>
    </w:p>
    <w:p>
      <w:pPr>
        <w:pStyle w:val="Normal"/>
        <w:spacing w:before="0" w:after="0"/>
        <w:contextualSpacing/>
        <w:rPr/>
      </w:pPr>
      <w:r>
        <w:rPr/>
      </w:r>
    </w:p>
    <w:p>
      <w:pPr>
        <w:pStyle w:val="Normal"/>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pStyle w:val="Normal"/>
        <w:spacing w:before="0" w:after="0"/>
        <w:contextualSpacing/>
        <w:rPr/>
      </w:pPr>
      <w:r>
        <w:rPr/>
      </w:r>
    </w:p>
    <w:p>
      <w:pPr>
        <w:pStyle w:val="Normal"/>
        <w:spacing w:before="0" w:after="0"/>
        <w:contextualSpacing/>
        <w:rPr/>
      </w:pPr>
      <w:r>
        <w:rPr/>
        <w:t xml:space="preserve">Again, this paragraph mirrors exactly my position in many works since 2002, 2005, 2008, etc.) </w:t>
      </w:r>
    </w:p>
    <w:p>
      <w:pPr>
        <w:pStyle w:val="Normal"/>
        <w:spacing w:before="0" w:after="0"/>
        <w:ind w:left="0" w:right="0" w:firstLine="720"/>
        <w:contextualSpacing/>
        <w:rPr/>
      </w:pPr>
      <w:r>
        <w:rPr/>
        <w:t xml:space="preserve">Then Bourget investigates the “mapping problem”, i.e., the correlation between mental states and neuronal states. (point 3) </w:t>
      </w:r>
    </w:p>
    <w:p>
      <w:pPr>
        <w:pStyle w:val="Normal"/>
        <w:spacing w:before="0" w:after="0"/>
        <w:ind w:left="0" w:right="0" w:firstLine="720"/>
        <w:contextualSpacing/>
        <w:rPr/>
      </w:pPr>
      <w:r>
        <w:rPr/>
      </w:r>
    </w:p>
    <w:p>
      <w:pPr>
        <w:pStyle w:val="Normal"/>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pStyle w:val="Normal"/>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pStyle w:val="Normal"/>
        <w:spacing w:before="0" w:after="0"/>
        <w:contextualSpacing/>
        <w:rPr/>
      </w:pPr>
      <w:r>
        <w:rPr/>
      </w:r>
    </w:p>
    <w:p>
      <w:pPr>
        <w:pStyle w:val="Normal"/>
        <w:spacing w:before="0" w:after="0"/>
        <w:contextualSpacing/>
        <w:rPr/>
      </w:pPr>
      <w:r>
        <w:rPr/>
        <w:t>Surprisingly, the author does not offer arguments for this idea that indicate his lectures on this topic!</w:t>
      </w:r>
      <w:r>
        <w:rPr>
          <w:rStyle w:val="FootnoteAnchor"/>
        </w:rPr>
        <w:footnoteReference w:id="281"/>
      </w:r>
      <w:r>
        <w:rP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pStyle w:val="Normal"/>
        <w:spacing w:before="0" w:after="0"/>
        <w:contextualSpacing/>
        <w:rPr/>
      </w:pPr>
      <w:r>
        <w:rPr/>
        <w:tab/>
      </w:r>
    </w:p>
    <w:p>
      <w:pPr>
        <w:pStyle w:val="Normal"/>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pStyle w:val="Normal"/>
        <w:spacing w:before="0" w:after="0"/>
        <w:contextualSpacing/>
        <w:rPr/>
      </w:pPr>
      <w:r>
        <w:rPr/>
      </w:r>
    </w:p>
    <w:p>
      <w:pPr>
        <w:pStyle w:val="Normal"/>
        <w:spacing w:before="0" w:after="0"/>
        <w:contextualSpacing/>
        <w:rPr/>
      </w:pPr>
      <w:r>
        <w:rPr/>
        <w:t xml:space="preserve">I had the impression of reading this paragraph in one of my works!! </w:t>
      </w:r>
    </w:p>
    <w:p>
      <w:pPr>
        <w:pStyle w:val="Normal"/>
        <w:spacing w:before="0" w:after="0"/>
        <w:contextualSpacing/>
        <w:rPr/>
      </w:pPr>
      <w:r>
        <w:rPr/>
        <w:tab/>
        <w:t>Next section is about “anomalous panpsychism”. Bouget believes that anomalous dualism is the best alternative for the mind-brain problem. Obviously, this approach is very closed to my EDWs perspective!</w:t>
      </w:r>
    </w:p>
    <w:p>
      <w:pPr>
        <w:pStyle w:val="Normal"/>
        <w:spacing w:before="0" w:after="0"/>
        <w:contextualSpacing/>
        <w:rPr/>
      </w:pPr>
      <w:r>
        <w:rPr/>
        <w:tab/>
      </w:r>
    </w:p>
    <w:p>
      <w:pPr>
        <w:pStyle w:val="Normal"/>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pStyle w:val="Normal"/>
        <w:spacing w:before="0" w:after="0"/>
        <w:contextualSpacing/>
        <w:rPr/>
      </w:pPr>
      <w:r>
        <w:rPr/>
        <w:t xml:space="preserve"> </w:t>
      </w:r>
    </w:p>
    <w:p>
      <w:pPr>
        <w:pStyle w:val="Normal"/>
        <w:spacing w:before="0" w:after="0"/>
        <w:contextualSpacing/>
        <w:rPr/>
      </w:pPr>
      <w:r>
        <w:rPr/>
        <w:t>Again, I draw the attention this paragraph is not from my works! I investigated quantum mechanics in details there and I showed the difference between micro-EW, macro-EW and mind-EW (the brain belongs to the macro-EW).</w:t>
      </w:r>
      <w:r>
        <w:rPr>
          <w:rStyle w:val="FootnoteAnchor"/>
        </w:rPr>
        <w:footnoteReference w:id="282"/>
      </w:r>
      <w:r>
        <w:rPr/>
        <w:t xml:space="preserve"> The same situation for these paragraphs (and many others from this paper):</w:t>
      </w:r>
    </w:p>
    <w:p>
      <w:pPr>
        <w:pStyle w:val="Normal"/>
        <w:spacing w:before="0" w:after="0"/>
        <w:contextualSpacing/>
        <w:rPr/>
      </w:pPr>
      <w:r>
        <w:rPr/>
      </w:r>
    </w:p>
    <w:p>
      <w:pPr>
        <w:pStyle w:val="Normal"/>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pStyle w:val="Normal"/>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pStyle w:val="Normal"/>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pStyle w:val="Normal"/>
        <w:spacing w:before="0" w:after="0"/>
        <w:contextualSpacing/>
        <w:rPr/>
      </w:pPr>
      <w:r>
        <w:rPr/>
      </w:r>
    </w:p>
    <w:p>
      <w:pPr>
        <w:pStyle w:val="Normal"/>
        <w:spacing w:before="0" w:after="0"/>
        <w:contextualSpacing/>
        <w:rPr/>
      </w:pPr>
      <w:r>
        <w:rPr/>
        <w:t xml:space="preserve">Conclusion? The reader has to draw it alone. </w:t>
      </w:r>
    </w:p>
    <w:p>
      <w:pPr>
        <w:pStyle w:val="Normal"/>
        <w:spacing w:before="0" w:after="0"/>
        <w:contextualSpacing/>
        <w:rPr/>
      </w:pPr>
      <w:r>
        <w:rPr/>
      </w:r>
    </w:p>
    <w:p>
      <w:pPr>
        <w:pStyle w:val="Normal"/>
        <w:spacing w:before="0" w:after="0"/>
        <w:contextualSpacing/>
        <w:rPr>
          <w:sz w:val="20"/>
          <w:szCs w:val="20"/>
        </w:rPr>
      </w:pPr>
      <w:r>
        <w:rPr>
          <w:sz w:val="20"/>
          <w:szCs w:val="20"/>
        </w:rPr>
      </w:r>
    </w:p>
    <w:p>
      <w:pPr>
        <w:pStyle w:val="Normal"/>
        <w:spacing w:before="0" w:after="0"/>
        <w:contextualSpacing/>
        <w:rPr>
          <w:b/>
          <w:b/>
        </w:rPr>
      </w:pPr>
      <w:r>
        <w:rPr>
          <w:b/>
        </w:rPr>
        <w:t>Chalmers</w:t>
      </w:r>
    </w:p>
    <w:p>
      <w:pPr>
        <w:pStyle w:val="Normal"/>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pStyle w:val="Normal"/>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There is also room in principle for micro/cosmic and micro/macro/cosmic idealism (p. 6)</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pStyle w:val="Normal"/>
        <w:spacing w:before="0" w:after="0"/>
        <w:contextualSpacing/>
        <w:rPr>
          <w:sz w:val="20"/>
          <w:szCs w:val="20"/>
        </w:rPr>
      </w:pPr>
      <w:r>
        <w:rPr>
          <w:sz w:val="20"/>
          <w:szCs w:val="20"/>
        </w:rPr>
      </w:r>
    </w:p>
    <w:p>
      <w:pPr>
        <w:pStyle w:val="Normal"/>
        <w:spacing w:before="0" w:after="0"/>
        <w:contextualSpacing/>
        <w:rPr>
          <w:rFonts w:eastAsia="Calibri"/>
          <w:b/>
          <w:b/>
          <w:sz w:val="28"/>
          <w:szCs w:val="28"/>
        </w:rPr>
      </w:pPr>
      <w:r>
        <w:rPr>
          <w:rFonts w:eastAsia="Calibri"/>
          <w:b/>
          <w:sz w:val="28"/>
          <w:szCs w:val="28"/>
        </w:rPr>
      </w:r>
    </w:p>
    <w:p>
      <w:pPr>
        <w:pStyle w:val="ListParagraph"/>
        <w:spacing w:before="0" w:after="0"/>
        <w:contextualSpacing/>
        <w:rPr>
          <w:rFonts w:eastAsia="Calibri"/>
          <w:b/>
          <w:b/>
          <w:i/>
          <w:i/>
          <w:sz w:val="28"/>
          <w:szCs w:val="28"/>
        </w:rPr>
      </w:pPr>
      <w:r>
        <w:rPr>
          <w:rFonts w:eastAsia="Calibri"/>
          <w:b/>
          <w:i/>
          <w:sz w:val="28"/>
          <w:szCs w:val="28"/>
        </w:rPr>
      </w:r>
    </w:p>
    <w:p>
      <w:pPr>
        <w:pStyle w:val="ListParagraph"/>
        <w:spacing w:before="0" w:after="0"/>
        <w:contextualSpacing/>
        <w:rPr>
          <w:rFonts w:eastAsia="Calibri"/>
          <w:b/>
          <w:b/>
          <w:i/>
          <w:i/>
          <w:sz w:val="28"/>
          <w:szCs w:val="28"/>
        </w:rPr>
      </w:pPr>
      <w:r>
        <w:rPr>
          <w:rFonts w:eastAsia="Calibri"/>
          <w:b/>
          <w:i/>
          <w:sz w:val="28"/>
          <w:szCs w:val="28"/>
        </w:rPr>
      </w:r>
    </w:p>
    <w:p>
      <w:pPr>
        <w:pStyle w:val="ListParagraph"/>
        <w:numPr>
          <w:ilvl w:val="0"/>
          <w:numId w:val="28"/>
        </w:numPr>
        <w:spacing w:before="0" w:after="0"/>
        <w:contextualSpacing/>
        <w:rPr/>
      </w:pPr>
      <w:r>
        <w:rPr>
          <w:rFonts w:eastAsia="Calibri"/>
          <w:b/>
          <w:sz w:val="28"/>
          <w:szCs w:val="28"/>
        </w:rPr>
        <w:t>(2016) Unbelievable similarities between Dan Siegel’s ideas (</w:t>
      </w:r>
      <w:hyperlink r:id="rId96">
        <w:r>
          <w:rPr>
            <w:rStyle w:val="InternetLink"/>
            <w:b/>
            <w:color w:val="auto"/>
            <w:sz w:val="28"/>
            <w:szCs w:val="28"/>
            <w:highlight w:val="white"/>
            <w:u w:val="none"/>
          </w:rPr>
          <w:t>Mindsight Institute</w:t>
        </w:r>
      </w:hyperlink>
      <w:r>
        <w:rPr>
          <w:b/>
          <w:sz w:val="28"/>
          <w:szCs w:val="28"/>
        </w:rPr>
        <w:t>, USA;</w:t>
      </w:r>
      <w:r>
        <w:rPr>
          <w:rFonts w:eastAsia="Calibri"/>
          <w:b/>
          <w:sz w:val="28"/>
          <w:szCs w:val="28"/>
        </w:rPr>
        <w:t xml:space="preserve"> </w:t>
      </w:r>
      <w:hyperlink r:id="rId97">
        <w:r>
          <w:rPr>
            <w:rStyle w:val="InternetLink"/>
            <w:b/>
            <w:i/>
            <w:iCs/>
            <w:color w:val="auto"/>
            <w:sz w:val="28"/>
            <w:szCs w:val="28"/>
            <w:highlight w:val="white"/>
            <w:u w:val="none"/>
          </w:rPr>
          <w:t>Mind: A Journey to the Heart of Being Human</w:t>
        </w:r>
      </w:hyperlink>
      <w:r>
        <w:rPr>
          <w:rStyle w:val="InternetLink"/>
          <w:b/>
          <w:i/>
          <w:iCs/>
          <w:color w:val="auto"/>
          <w:sz w:val="28"/>
          <w:szCs w:val="28"/>
          <w:highlight w:val="white"/>
          <w:u w:val="none"/>
        </w:rPr>
        <w:t xml:space="preserve">) </w:t>
      </w:r>
      <w:r>
        <w:rPr>
          <w:rStyle w:val="InternetLink"/>
          <w:b/>
          <w:iCs/>
          <w:color w:val="auto"/>
          <w:sz w:val="28"/>
          <w:szCs w:val="28"/>
          <w:highlight w:val="white"/>
          <w:u w:val="none"/>
        </w:rPr>
        <w:t>and my ideas (2002-2008)</w:t>
      </w:r>
    </w:p>
    <w:p>
      <w:pPr>
        <w:pStyle w:val="NormalWeb"/>
        <w:shd w:val="clear" w:fill="F9F9F9"/>
        <w:spacing w:before="0" w:after="0"/>
        <w:contextualSpacing/>
        <w:jc w:val="both"/>
        <w:textAlignment w:val="baseline"/>
        <w:rPr/>
      </w:pPr>
      <w:r>
        <w:rPr>
          <w:sz w:val="20"/>
          <w:szCs w:val="20"/>
        </w:rPr>
        <w:t xml:space="preserve">A comment about Siegel’s book from </w:t>
      </w:r>
      <w:hyperlink r:id="rId98">
        <w:r>
          <w:rPr>
            <w:rStyle w:val="InternetLink"/>
            <w:color w:val="auto"/>
            <w:sz w:val="20"/>
            <w:szCs w:val="20"/>
          </w:rPr>
          <w:t>http://qz.com/866352/scientists-say-your-mind-isnt-confined-to-your-brain-or-even-your-body/</w:t>
        </w:r>
      </w:hyperlink>
    </w:p>
    <w:p>
      <w:pPr>
        <w:pStyle w:val="NormalWeb"/>
        <w:shd w:val="clear" w:fill="F9F9F9"/>
        <w:spacing w:before="0" w:after="0"/>
        <w:contextualSpacing/>
        <w:jc w:val="both"/>
        <w:textAlignment w:val="baseline"/>
        <w:rPr>
          <w:sz w:val="20"/>
          <w:szCs w:val="20"/>
        </w:rPr>
      </w:pPr>
      <w:r>
        <w:rPr>
          <w:sz w:val="20"/>
          <w:szCs w:val="20"/>
        </w:rPr>
      </w:r>
    </w:p>
    <w:p>
      <w:pPr>
        <w:pStyle w:val="NormalWeb"/>
        <w:shd w:val="clear" w:fill="F9F9F9"/>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pStyle w:val="NormalWeb"/>
        <w:shd w:val="clear" w:fill="F9F9F9"/>
        <w:spacing w:before="0" w:after="0"/>
        <w:contextualSpacing/>
        <w:jc w:val="both"/>
        <w:textAlignment w:val="baseline"/>
        <w:rPr/>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Appleconvertedspace"/>
          <w:sz w:val="20"/>
          <w:szCs w:val="20"/>
        </w:rPr>
        <w:t> </w:t>
      </w:r>
      <w:hyperlink r:id="rId99">
        <w:r>
          <w:rPr>
            <w:rStyle w:val="InternetLink"/>
            <w:rFonts w:eastAsia="Calibri"/>
            <w:i/>
            <w:iCs/>
            <w:color w:val="auto"/>
            <w:sz w:val="20"/>
            <w:szCs w:val="20"/>
          </w:rPr>
          <w:t>Mind: A Journey to the Heart of Being Human</w:t>
        </w:r>
      </w:hyperlink>
      <w:r>
        <w:rPr>
          <w:sz w:val="20"/>
          <w:szCs w:val="20"/>
        </w:rPr>
        <w:t>.</w:t>
      </w:r>
    </w:p>
    <w:p>
      <w:pPr>
        <w:pStyle w:val="NormalWeb"/>
        <w:shd w:val="clear" w:fill="F9F9F9"/>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pStyle w:val="NormalWeb"/>
        <w:shd w:val="clear" w:fill="F9F9F9"/>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pStyle w:val="NormalWeb"/>
        <w:shd w:val="clear" w:fill="F9F9F9"/>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pStyle w:val="NormalWeb"/>
        <w:shd w:val="clear" w:fill="F9F9F9"/>
        <w:spacing w:before="0" w:after="0"/>
        <w:contextualSpacing/>
        <w:jc w:val="both"/>
        <w:textAlignment w:val="baseline"/>
        <w:rPr>
          <w:sz w:val="20"/>
          <w:szCs w:val="20"/>
        </w:rPr>
      </w:pPr>
      <w:r>
        <w:rPr>
          <w:sz w:val="20"/>
          <w:szCs w:val="20"/>
        </w:rPr>
        <w:t>“</w:t>
      </w: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pStyle w:val="NormalWeb"/>
        <w:shd w:val="clear" w:fill="F9F9F9"/>
        <w:spacing w:before="0" w:after="0"/>
        <w:contextualSpacing/>
        <w:jc w:val="both"/>
        <w:textAlignment w:val="baseline"/>
        <w:rPr/>
      </w:pPr>
      <w:r>
        <w:rPr/>
        <w:t>[This is exactly my idea…]</w:t>
      </w:r>
    </w:p>
    <w:p>
      <w:pPr>
        <w:pStyle w:val="NormalWeb"/>
        <w:shd w:val="clear" w:fill="F9F9F9"/>
        <w:spacing w:before="0" w:after="0"/>
        <w:contextualSpacing/>
        <w:jc w:val="both"/>
        <w:textAlignment w:val="baseline"/>
        <w:rPr>
          <w:sz w:val="20"/>
          <w:szCs w:val="20"/>
        </w:rPr>
      </w:pPr>
      <w:r>
        <w:rPr>
          <w:sz w:val="20"/>
          <w:szCs w:val="20"/>
        </w:rPr>
      </w:r>
    </w:p>
    <w:p>
      <w:pPr>
        <w:pStyle w:val="NormalWeb"/>
        <w:shd w:val="clear" w:fill="F9F9F9"/>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pStyle w:val="NormalWeb"/>
        <w:shd w:val="clear" w:fill="F9F9F9"/>
        <w:spacing w:before="0" w:after="0"/>
        <w:contextualSpacing/>
        <w:jc w:val="both"/>
        <w:textAlignment w:val="baseline"/>
        <w:rPr/>
      </w:pPr>
      <w:r>
        <w:rPr/>
        <w:t>[It is clear that this person is an incredible mathematician!!!]</w:t>
      </w:r>
    </w:p>
    <w:p>
      <w:pPr>
        <w:pStyle w:val="NormalWeb"/>
        <w:shd w:val="clear" w:fill="F9F9F9"/>
        <w:spacing w:before="0" w:after="0"/>
        <w:contextualSpacing/>
        <w:jc w:val="both"/>
        <w:textAlignment w:val="baseline"/>
        <w:rPr>
          <w:sz w:val="20"/>
          <w:szCs w:val="20"/>
        </w:rPr>
      </w:pPr>
      <w:r>
        <w:rPr>
          <w:sz w:val="20"/>
          <w:szCs w:val="20"/>
        </w:rPr>
        <w:t>…………………………………………………………</w:t>
      </w:r>
      <w:r>
        <w:rPr>
          <w:sz w:val="20"/>
          <w:szCs w:val="20"/>
        </w:rPr>
        <w:t>.</w:t>
      </w:r>
    </w:p>
    <w:p>
      <w:pPr>
        <w:pStyle w:val="NormalWeb"/>
        <w:shd w:val="clear" w:fill="F9F9F9"/>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pStyle w:val="NormalWeb"/>
        <w:shd w:val="clear" w:fill="FFFFFF"/>
        <w:spacing w:before="0" w:after="0"/>
        <w:contextualSpacing/>
        <w:jc w:val="both"/>
        <w:rPr>
          <w:bCs/>
          <w:lang w:val="ro-RO"/>
        </w:rPr>
      </w:pPr>
      <w:r>
        <w:rPr>
          <w:bCs/>
          <w:lang w:val="ro-RO"/>
        </w:rPr>
      </w:r>
    </w:p>
    <w:p>
      <w:pPr>
        <w:pStyle w:val="NormalWeb"/>
        <w:shd w:val="clear" w:fill="FFFFFF"/>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pStyle w:val="NormalWeb"/>
        <w:shd w:val="clear" w:fill="FFFFFF"/>
        <w:spacing w:before="0" w:after="0"/>
        <w:contextualSpacing/>
        <w:jc w:val="both"/>
        <w:rPr/>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pStyle w:val="NormalWeb"/>
        <w:shd w:val="clear" w:fill="FFFFFF"/>
        <w:spacing w:before="0" w:after="0"/>
        <w:contextualSpacing/>
        <w:jc w:val="both"/>
        <w:rPr/>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pStyle w:val="Normal"/>
        <w:spacing w:before="0" w:after="0"/>
        <w:contextualSpacing/>
        <w:rPr>
          <w:highlight w:val="white"/>
        </w:rPr>
      </w:pPr>
      <w:r>
        <w:rPr>
          <w:highlight w:val="white"/>
        </w:rPr>
      </w:r>
      <w:r>
        <w:br w:type="page"/>
      </w:r>
    </w:p>
    <w:p>
      <w:pPr>
        <w:pStyle w:val="ListParagraph"/>
        <w:widowControl/>
        <w:numPr>
          <w:ilvl w:val="0"/>
          <w:numId w:val="13"/>
        </w:numPr>
        <w:suppressAutoHyphens w:val="false"/>
        <w:overflowPunct w:val="false"/>
        <w:spacing w:before="0" w:after="0"/>
        <w:ind w:left="0" w:right="0" w:hanging="720"/>
        <w:contextualSpacing/>
        <w:jc w:val="both"/>
        <w:textAlignment w:val="auto"/>
        <w:rPr>
          <w:rFonts w:ascii="Times New Roman" w:hAnsi="Times New Roman"/>
          <w:b/>
          <w:b/>
          <w:sz w:val="28"/>
          <w:szCs w:val="28"/>
        </w:rPr>
      </w:pPr>
      <w:r>
        <w:rPr>
          <w:rFonts w:ascii="Times New Roman" w:hAnsi="Times New Roman"/>
          <w:b/>
          <w:sz w:val="28"/>
          <w:szCs w:val="28"/>
        </w:rPr>
        <w:t>PHILOSOPHY (of Science)</w:t>
      </w:r>
    </w:p>
    <w:p>
      <w:pPr>
        <w:pStyle w:val="ListParagraph"/>
        <w:widowControl/>
        <w:suppressAutoHyphens w:val="false"/>
        <w:overflowPunct w:val="false"/>
        <w:spacing w:before="0" w:after="0"/>
        <w:ind w:left="0" w:right="0" w:hanging="0"/>
        <w:contextualSpacing/>
        <w:jc w:val="both"/>
        <w:textAlignment w:val="auto"/>
        <w:rPr>
          <w:rFonts w:ascii="Times New Roman" w:hAnsi="Times New Roman"/>
          <w:b/>
          <w:b/>
          <w:sz w:val="28"/>
          <w:szCs w:val="28"/>
        </w:rPr>
      </w:pPr>
      <w:r>
        <w:rPr>
          <w:rFonts w:ascii="Times New Roman" w:hAnsi="Times New Roman"/>
          <w:b/>
          <w:sz w:val="28"/>
          <w:szCs w:val="28"/>
        </w:rPr>
      </w:r>
    </w:p>
    <w:p>
      <w:pPr>
        <w:pStyle w:val="Normal"/>
        <w:spacing w:before="0" w:after="0"/>
        <w:contextualSpacing/>
        <w:rPr>
          <w:b/>
          <w:b/>
          <w:sz w:val="28"/>
          <w:szCs w:val="28"/>
        </w:rPr>
      </w:pPr>
      <w:r>
        <w:rPr>
          <w:b/>
          <w:sz w:val="28"/>
          <w:szCs w:val="28"/>
        </w:rPr>
      </w:r>
    </w:p>
    <w:p>
      <w:pPr>
        <w:pStyle w:val="ListParagraph"/>
        <w:numPr>
          <w:ilvl w:val="0"/>
          <w:numId w:val="28"/>
        </w:numPr>
        <w:spacing w:before="0" w:after="0"/>
        <w:contextualSpacing/>
        <w:rPr/>
      </w:pPr>
      <w:r>
        <w:rPr>
          <w:b/>
          <w:sz w:val="28"/>
          <w:szCs w:val="28"/>
        </w:rPr>
        <w:t>(2010) The unbelievable similarities between Alexey Alyushin (Moscow, Russia) and my ideas (Ontology)</w:t>
      </w:r>
      <w:r>
        <w:rPr>
          <w:rStyle w:val="FootnoteAnchor"/>
          <w:b/>
          <w:sz w:val="28"/>
          <w:szCs w:val="28"/>
        </w:rPr>
        <w:footnoteReference w:id="283"/>
      </w:r>
    </w:p>
    <w:p>
      <w:pPr>
        <w:pStyle w:val="Normal"/>
        <w:spacing w:before="0" w:after="0"/>
        <w:contextualSpacing/>
        <w:rPr>
          <w:b/>
          <w:b/>
        </w:rPr>
      </w:pPr>
      <w:r>
        <w:rPr>
          <w:b/>
        </w:rPr>
      </w:r>
    </w:p>
    <w:p>
      <w:pPr>
        <w:pStyle w:val="Normal"/>
        <w:spacing w:before="0" w:after="0"/>
        <w:contextualSpacing/>
        <w:rPr/>
      </w:pPr>
      <w:r>
        <w:rPr/>
        <w:t xml:space="preserve">I investigate article written by Alexey Alyushin (2010), Time Scales of Observation and Ontological Levels of Reality, </w:t>
      </w:r>
      <w:r>
        <w:rPr>
          <w:i/>
        </w:rPr>
        <w:t>Axiomathes</w:t>
      </w:r>
      <w:r>
        <w:rPr/>
        <w:t xml:space="preserve"> (2010) 20:439–460</w:t>
      </w:r>
    </w:p>
    <w:p>
      <w:pPr>
        <w:pStyle w:val="Normal"/>
        <w:spacing w:before="0" w:after="0"/>
        <w:contextualSpacing/>
        <w:rPr/>
      </w:pPr>
      <w:r>
        <w:rPr/>
      </w:r>
    </w:p>
    <w:p>
      <w:pPr>
        <w:pStyle w:val="Normal"/>
        <w:spacing w:before="0" w:after="0"/>
        <w:contextualSpacing/>
        <w:rPr/>
      </w:pPr>
      <w:r>
        <w:rPr/>
        <w:t xml:space="preserve">Reading this paper I had the feeling that section 6 “Observer and Reality” and other ideas are written by myself! </w:t>
      </w:r>
    </w:p>
    <w:p>
      <w:pPr>
        <w:pStyle w:val="Normal"/>
        <w:spacing w:before="0" w:after="0"/>
        <w:contextualSpacing/>
        <w:rPr/>
      </w:pPr>
      <w:r>
        <w:rPr/>
      </w:r>
    </w:p>
    <w:p>
      <w:pPr>
        <w:pStyle w:val="Normal"/>
        <w:spacing w:before="0" w:after="0"/>
        <w:contextualSpacing/>
        <w:rPr/>
      </w:pPr>
      <w:r>
        <w:rPr/>
        <w:t xml:space="preserve">It seems that Alyushin (Department of Philosophy, Higher School of Economics, Moscow, Russia) is specialized in brain/self and temporal scale. In section 6, however, the first paragraph informs us that </w:t>
      </w:r>
    </w:p>
    <w:p>
      <w:pPr>
        <w:pStyle w:val="Normal"/>
        <w:spacing w:before="0" w:after="0"/>
        <w:contextualSpacing/>
        <w:rPr/>
      </w:pPr>
      <w:r>
        <w:rPr/>
      </w:r>
    </w:p>
    <w:p>
      <w:pPr>
        <w:pStyle w:val="Normal"/>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pStyle w:val="Normal"/>
        <w:spacing w:before="0" w:after="0"/>
        <w:contextualSpacing/>
        <w:rPr/>
      </w:pPr>
      <w:r>
        <w:rPr/>
      </w:r>
    </w:p>
    <w:p>
      <w:pPr>
        <w:pStyle w:val="Normal"/>
        <w:spacing w:before="0" w:after="0"/>
        <w:contextualSpacing/>
        <w:rPr/>
      </w:pPr>
      <w:r>
        <w:rP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pStyle w:val="Normal"/>
        <w:spacing w:before="0" w:after="0"/>
        <w:contextualSpacing/>
        <w:rPr/>
      </w:pPr>
      <w:r>
        <w:rPr/>
      </w:r>
    </w:p>
    <w:p>
      <w:pPr>
        <w:pStyle w:val="Normal"/>
        <w:spacing w:before="0" w:after="0"/>
        <w:contextualSpacing/>
        <w:rPr/>
      </w:pPr>
      <w:r>
        <w:rPr/>
        <w:t xml:space="preserve">We can find another essential notion from my EDWs perspective in this paper: “interactions”! Let me introduce </w:t>
      </w:r>
      <w:r>
        <w:rPr>
          <w:b/>
        </w:rPr>
        <w:t>other paragraphs from this paper that seems to be taken from one of my books/papers:</w:t>
      </w:r>
    </w:p>
    <w:p>
      <w:pPr>
        <w:pStyle w:val="Normal"/>
        <w:spacing w:before="0" w:after="0"/>
        <w:contextualSpacing/>
        <w:rPr/>
      </w:pPr>
      <w:r>
        <w:rPr/>
      </w:r>
    </w:p>
    <w:p>
      <w:pPr>
        <w:pStyle w:val="Normal"/>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pStyle w:val="Normal"/>
        <w:spacing w:before="0" w:after="0"/>
        <w:contextualSpacing/>
        <w:rPr/>
      </w:pPr>
      <w:r>
        <w:rPr/>
      </w:r>
    </w:p>
    <w:p>
      <w:pPr>
        <w:pStyle w:val="Normal"/>
        <w:spacing w:before="0" w:after="0"/>
        <w:contextualSpacing/>
        <w:rPr/>
      </w:pPr>
      <w:r>
        <w:rPr/>
        <w:t>This paragraph introduces the notion of “interaction” having exactly my meaning! But the similarities of next paragraphs shocked me!</w:t>
      </w:r>
    </w:p>
    <w:p>
      <w:pPr>
        <w:pStyle w:val="Normal"/>
        <w:spacing w:before="0" w:after="0"/>
        <w:contextualSpacing/>
        <w:rPr/>
      </w:pPr>
      <w:r>
        <w:rPr/>
      </w:r>
    </w:p>
    <w:p>
      <w:pPr>
        <w:pStyle w:val="Normal"/>
        <w:spacing w:before="0" w:after="0"/>
        <w:contextualSpacing/>
        <w:rPr/>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pStyle w:val="Normal"/>
        <w:spacing w:before="0" w:after="0"/>
        <w:contextualSpacing/>
        <w:rPr/>
      </w:pPr>
      <w:r>
        <w:rPr/>
      </w:r>
    </w:p>
    <w:p>
      <w:pPr>
        <w:pStyle w:val="Normal"/>
        <w:spacing w:before="0" w:after="0"/>
        <w:contextualSpacing/>
        <w:rPr/>
      </w:pPr>
      <w:r>
        <w:rP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pStyle w:val="Normal"/>
        <w:spacing w:before="0" w:after="0"/>
        <w:contextualSpacing/>
        <w:rPr/>
      </w:pPr>
      <w:r>
        <w:rPr/>
      </w:r>
    </w:p>
    <w:p>
      <w:pPr>
        <w:pStyle w:val="Normal"/>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pStyle w:val="Normal"/>
        <w:spacing w:before="0" w:after="0"/>
        <w:contextualSpacing/>
        <w:rPr/>
      </w:pPr>
      <w:r>
        <w:rPr/>
      </w:r>
    </w:p>
    <w:p>
      <w:pPr>
        <w:pStyle w:val="Normal"/>
        <w:spacing w:before="0" w:after="0"/>
        <w:contextualSpacing/>
        <w:rPr/>
      </w:pPr>
      <w:r>
        <w:rP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pStyle w:val="Normal"/>
        <w:spacing w:before="0" w:after="0"/>
        <w:contextualSpacing/>
        <w:rPr/>
      </w:pPr>
      <w:r>
        <w:rPr/>
        <w:tab/>
        <w:t xml:space="preserve">Other paragraphs having exactly my ideas: </w:t>
      </w:r>
    </w:p>
    <w:p>
      <w:pPr>
        <w:pStyle w:val="Normal"/>
        <w:spacing w:before="0" w:after="0"/>
        <w:contextualSpacing/>
        <w:rPr/>
      </w:pPr>
      <w:r>
        <w:rPr/>
      </w:r>
    </w:p>
    <w:p>
      <w:pPr>
        <w:pStyle w:val="Normal"/>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pStyle w:val="Normal"/>
        <w:spacing w:before="0" w:after="0"/>
        <w:contextualSpacing/>
        <w:rPr/>
      </w:pPr>
      <w:r>
        <w:rPr/>
      </w:r>
    </w:p>
    <w:p>
      <w:pPr>
        <w:pStyle w:val="Normal"/>
        <w:spacing w:before="0" w:after="0"/>
        <w:contextualSpacing/>
        <w:rPr/>
      </w:pPr>
      <w:r>
        <w:rPr/>
        <w:t>The author applied the same ideas to quantum mechanics ending that section with this paragraph:</w:t>
      </w:r>
    </w:p>
    <w:p>
      <w:pPr>
        <w:pStyle w:val="Normal"/>
        <w:spacing w:before="0" w:after="0"/>
        <w:contextualSpacing/>
        <w:rPr/>
      </w:pPr>
      <w:r>
        <w:rPr/>
      </w:r>
    </w:p>
    <w:p>
      <w:pPr>
        <w:pStyle w:val="Normal"/>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pStyle w:val="Normal"/>
        <w:spacing w:before="0" w:after="0"/>
        <w:contextualSpacing/>
        <w:rPr/>
      </w:pPr>
      <w:r>
        <w:rPr/>
      </w:r>
    </w:p>
    <w:p>
      <w:pPr>
        <w:pStyle w:val="Normal"/>
        <w:spacing w:before="0" w:after="0"/>
        <w:contextualSpacing/>
        <w:rPr/>
      </w:pPr>
      <w:r>
        <w:rPr/>
        <w:t>Does the reader needs more identical ideas and notions to realize the incredible similarity between my ideas (2002, 2005, 2007, 2008) and Alyushin’s ideas (2010)???</w:t>
      </w:r>
      <w:r>
        <w:rPr>
          <w:rStyle w:val="FootnoteAnchor"/>
        </w:rPr>
        <w:footnoteReference w:id="284"/>
      </w:r>
    </w:p>
    <w:p>
      <w:pPr>
        <w:pStyle w:val="Normal"/>
        <w:spacing w:before="0" w:after="0"/>
        <w:contextualSpacing/>
        <w:rPr>
          <w:b/>
          <w:b/>
        </w:rPr>
      </w:pPr>
      <w:r>
        <w:rPr>
          <w:b/>
        </w:rPr>
      </w:r>
      <w:r>
        <w:br w:type="page"/>
      </w:r>
    </w:p>
    <w:p>
      <w:pPr>
        <w:pStyle w:val="ListParagraph"/>
        <w:numPr>
          <w:ilvl w:val="0"/>
          <w:numId w:val="28"/>
        </w:numPr>
        <w:spacing w:before="0" w:after="0"/>
        <w:contextualSpacing/>
        <w:rPr/>
      </w:pPr>
      <w:r>
        <w:rPr>
          <w:b/>
          <w:sz w:val="32"/>
          <w:szCs w:val="32"/>
        </w:rPr>
        <w:t>(2013) Did Markus Gabriel (Bonn University) plagiarize my ideas?</w:t>
      </w:r>
      <w:r>
        <w:rPr>
          <w:rStyle w:val="FootnoteAnchor"/>
          <w:b/>
          <w:sz w:val="32"/>
          <w:szCs w:val="32"/>
        </w:rPr>
        <w:footnoteReference w:id="285"/>
      </w:r>
      <w:r>
        <w:rPr>
          <w:b/>
          <w:sz w:val="32"/>
          <w:szCs w:val="32"/>
        </w:rPr>
        <w:t xml:space="preserve"> </w:t>
      </w:r>
    </w:p>
    <w:p>
      <w:pPr>
        <w:pStyle w:val="Normal"/>
        <w:spacing w:before="0" w:after="0"/>
        <w:ind w:left="0" w:right="0" w:firstLine="720"/>
        <w:contextualSpacing/>
        <w:jc w:val="right"/>
        <w:rPr/>
      </w:pPr>
      <w:r>
        <w:rPr/>
        <w:t xml:space="preserve">                     “</w:t>
      </w:r>
      <w:r>
        <w:rPr/>
        <w:t>The hell is empty and all the devils are here.”</w:t>
      </w:r>
    </w:p>
    <w:p>
      <w:pPr>
        <w:pStyle w:val="Normal"/>
        <w:spacing w:before="0" w:after="0"/>
        <w:ind w:left="0" w:right="0" w:firstLine="720"/>
        <w:contextualSpacing/>
        <w:jc w:val="right"/>
        <w:rPr/>
      </w:pPr>
      <w:r>
        <w:rPr/>
        <w:t xml:space="preserve">      </w:t>
      </w:r>
      <w:r>
        <w:rPr/>
        <w:t xml:space="preserve">Shakespeare, </w:t>
      </w:r>
      <w:r>
        <w:rPr>
          <w:i/>
        </w:rPr>
        <w:t>The tempest</w:t>
      </w:r>
    </w:p>
    <w:p>
      <w:pPr>
        <w:pStyle w:val="Normal"/>
        <w:spacing w:before="0" w:after="0"/>
        <w:contextualSpacing/>
        <w:rPr>
          <w:b/>
          <w:b/>
        </w:rPr>
      </w:pPr>
      <w:r>
        <w:rPr>
          <w:b/>
        </w:rPr>
        <w:t>Abstract</w:t>
      </w:r>
    </w:p>
    <w:p>
      <w:pPr>
        <w:pStyle w:val="Normal"/>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pStyle w:val="Normal"/>
        <w:spacing w:before="0" w:after="0"/>
        <w:contextualSpacing/>
        <w:rPr/>
      </w:pPr>
      <w:r>
        <w:rPr/>
      </w:r>
    </w:p>
    <w:p>
      <w:pPr>
        <w:pStyle w:val="ListParagraph"/>
        <w:widowControl/>
        <w:numPr>
          <w:ilvl w:val="0"/>
          <w:numId w:val="29"/>
        </w:numPr>
        <w:tabs>
          <w:tab w:val="clear" w:pos="720"/>
          <w:tab w:val="left" w:pos="0" w:leader="none"/>
        </w:tabs>
        <w:suppressAutoHyphens w:val="false"/>
        <w:overflowPunct w:val="false"/>
        <w:spacing w:before="0" w:after="0"/>
        <w:ind w:left="0" w:right="0" w:hanging="0"/>
        <w:contextualSpacing/>
        <w:jc w:val="both"/>
        <w:textAlignment w:val="auto"/>
        <w:rPr>
          <w:rFonts w:ascii="Times New Roman" w:hAnsi="Times New Roman"/>
          <w:b/>
          <w:b/>
          <w:sz w:val="24"/>
          <w:szCs w:val="24"/>
        </w:rPr>
      </w:pPr>
      <w:r>
        <w:rPr>
          <w:rFonts w:ascii="Times New Roman" w:hAnsi="Times New Roman"/>
          <w:b/>
          <w:sz w:val="24"/>
          <w:szCs w:val="24"/>
        </w:rPr>
        <w:t>The “epistemologically different worlds” perspective</w:t>
      </w:r>
    </w:p>
    <w:p>
      <w:pPr>
        <w:pStyle w:val="Normal"/>
        <w:spacing w:before="0" w:after="0"/>
        <w:contextualSpacing/>
        <w:rPr/>
      </w:pPr>
      <w:r>
        <w:rP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rPr/>
        <w:t xml:space="preserve"> journal, I edited one special issue at </w:t>
      </w:r>
      <w:r>
        <w:rPr>
          <w:i/>
        </w:rPr>
        <w:t>Synthese</w:t>
      </w:r>
      <w:r>
        <w:rPr/>
        <w:t xml:space="preserve">, one issue at </w:t>
      </w:r>
      <w:r>
        <w:rPr>
          <w:i/>
        </w:rPr>
        <w:t>Philosophia Scientiae</w:t>
      </w:r>
      <w:r>
        <w:rPr/>
        <w:t xml:space="preserve"> both issues having articles written by researchers that are among the best in (philosophy of) cognitive (neuro)science, in 2000 I started a CEEPUS project on cognitive science for Eastern European countries  etc. My full CV can be found at this address: </w:t>
      </w:r>
      <w:hyperlink r:id="rId100">
        <w:r>
          <w:rPr>
            <w:rStyle w:val="InternetLink"/>
            <w:color w:val="auto"/>
            <w:u w:val="none"/>
          </w:rPr>
          <w:t>http://filosofie.unibuc.ro/cv_gabriel_vacariu</w:t>
        </w:r>
      </w:hyperlink>
      <w:r>
        <w:rPr>
          <w:rStyle w:val="InternetLink"/>
          <w:color w:val="auto"/>
          <w:u w:val="none"/>
        </w:rPr>
        <w:t xml:space="preserve">. </w:t>
      </w:r>
      <w:r>
        <w:rPr>
          <w:rStyle w:val="InternetLink"/>
          <w:color w:val="auto"/>
          <w:highlight w:val="white"/>
          <w:u w:val="none"/>
        </w:rPr>
        <w:t xml:space="preserve">My books and articles are available in an electronic format on my university webpage. I have also presented my general framework in the prestigious philosophical journal </w:t>
      </w:r>
      <w:r>
        <w:rPr>
          <w:rStyle w:val="InternetLink"/>
          <w:i/>
          <w:color w:val="auto"/>
          <w:highlight w:val="white"/>
          <w:u w:val="none"/>
        </w:rPr>
        <w:t>Synthese</w:t>
      </w:r>
      <w:r>
        <w:rPr>
          <w:rStyle w:val="InternetLink"/>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pStyle w:val="Normal"/>
        <w:spacing w:before="0" w:after="0"/>
        <w:contextualSpacing/>
        <w:rPr/>
      </w:pPr>
      <w:r>
        <w:rPr/>
        <w:tab/>
        <w:t xml:space="preserve">In Vacariu (2005) and my book from (2008), I showed that the mind-brain problem is a pseudo-problem constructed within a wrong framework, the “world” or as I called, the “unicorn world”. In the introduction, I indicate: </w:t>
      </w:r>
    </w:p>
    <w:p>
      <w:pPr>
        <w:pStyle w:val="Normal"/>
        <w:spacing w:before="0" w:after="0"/>
        <w:contextualSpacing/>
        <w:rPr/>
      </w:pPr>
      <w:r>
        <w:rPr/>
      </w:r>
    </w:p>
    <w:p>
      <w:pPr>
        <w:pStyle w:val="Normal"/>
        <w:spacing w:before="0" w:after="0"/>
        <w:contextualSpacing/>
        <w:rPr/>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tab/>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rPr/>
        <w:t>(p. 516)</w:t>
      </w:r>
    </w:p>
    <w:p>
      <w:pPr>
        <w:pStyle w:val="Normal"/>
        <w:spacing w:before="0" w:after="0"/>
        <w:contextualSpacing/>
        <w:rPr/>
      </w:pPr>
      <w:r>
        <w:rPr/>
      </w:r>
    </w:p>
    <w:p>
      <w:pPr>
        <w:pStyle w:val="Normal"/>
        <w:spacing w:before="0" w:after="0"/>
        <w:contextualSpacing/>
        <w:rPr/>
      </w:pPr>
      <w:r>
        <w:rPr/>
        <w:t>And one page later:</w:t>
      </w:r>
    </w:p>
    <w:p>
      <w:pPr>
        <w:pStyle w:val="Normal"/>
        <w:spacing w:before="0" w:after="0"/>
        <w:contextualSpacing/>
        <w:rPr/>
      </w:pPr>
      <w:r>
        <w:rPr/>
      </w:r>
    </w:p>
    <w:p>
      <w:pPr>
        <w:pStyle w:val="Normal"/>
        <w:spacing w:before="0" w:after="0"/>
        <w:contextualSpacing/>
        <w:rPr/>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rPr/>
        <w:t>(p. 517)</w:t>
      </w:r>
    </w:p>
    <w:p>
      <w:pPr>
        <w:pStyle w:val="Normal"/>
        <w:spacing w:before="0" w:after="0"/>
        <w:contextualSpacing/>
        <w:rPr/>
      </w:pPr>
      <w:r>
        <w:rPr/>
      </w:r>
    </w:p>
    <w:p>
      <w:pPr>
        <w:pStyle w:val="Normal"/>
        <w:spacing w:before="0" w:after="0"/>
        <w:contextualSpacing/>
        <w:rPr/>
      </w:pPr>
      <w:r>
        <w:rPr/>
        <w:t xml:space="preserve">In my paper from 2005, I elaborated 5 principles that constitute my approach, the </w:t>
      </w:r>
      <w:r>
        <w:rPr>
          <w:rStyle w:val="InternetLink"/>
          <w:color w:val="auto"/>
          <w:highlight w:val="white"/>
          <w:u w:val="none"/>
        </w:rPr>
        <w:t>epistemologically different worlds</w:t>
      </w:r>
      <w:r>
        <w:rP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pStyle w:val="Normal"/>
        <w:spacing w:before="0" w:after="0"/>
        <w:contextualSpacing/>
        <w:rPr/>
      </w:pPr>
      <w:r>
        <w:rPr/>
        <w:tab/>
        <w:t xml:space="preserve">In my next books and articles, I continued developing my perspective and I increased the principles from 5 to 13. Let me introduce again these principles (see 2008, 2010, 2011, 2012): </w:t>
      </w:r>
    </w:p>
    <w:p>
      <w:pPr>
        <w:pStyle w:val="Normal"/>
        <w:spacing w:before="0" w:after="0"/>
        <w:contextualSpacing/>
        <w:rPr/>
      </w:pPr>
      <w:r>
        <w:rPr/>
      </w:r>
    </w:p>
    <w:p>
      <w:pPr>
        <w:pStyle w:val="Normal"/>
        <w:spacing w:before="0" w:after="0"/>
        <w:contextualSpacing/>
        <w:rPr/>
      </w:pPr>
      <w:r>
        <w:rPr/>
        <w:t>“</w:t>
      </w:r>
      <w:r>
        <w:rPr/>
        <w:t xml:space="preserve">(1) Epistemologically different interactions constitute epistemologically different its, and epistemologically different its determine epistemologically different interactions. </w:t>
      </w:r>
    </w:p>
    <w:p>
      <w:pPr>
        <w:pStyle w:val="Normal"/>
        <w:spacing w:before="0" w:after="0"/>
        <w:contextualSpacing/>
        <w:rPr/>
      </w:pPr>
      <w:r>
        <w:rPr/>
        <w:t xml:space="preserve">(2) Any it exists only at "the surface" because of the interactions that constitute it. </w:t>
      </w:r>
    </w:p>
    <w:p>
      <w:pPr>
        <w:pStyle w:val="Normal"/>
        <w:spacing w:before="0" w:after="0"/>
        <w:contextualSpacing/>
        <w:rPr/>
      </w:pPr>
      <w:r>
        <w:rPr/>
        <w:t xml:space="preserve">(3) Any it exists in a single EW and interacts only with the its from the same EW. </w:t>
      </w:r>
    </w:p>
    <w:p>
      <w:pPr>
        <w:pStyle w:val="Normal"/>
        <w:spacing w:before="0" w:after="0"/>
        <w:contextualSpacing/>
        <w:rPr/>
      </w:pPr>
      <w:r>
        <w:rPr/>
        <w:t xml:space="preserve">(4) Any EW (a set of its – and eventually Its – and their interactions) appears from and disappears in the hyper-nothing. </w:t>
      </w:r>
    </w:p>
    <w:p>
      <w:pPr>
        <w:pStyle w:val="Normal"/>
        <w:spacing w:before="0" w:after="0"/>
        <w:contextualSpacing/>
        <w:rPr/>
      </w:pPr>
      <w:r>
        <w:rPr/>
        <w:t xml:space="preserve">(5) Any EW is, therefore all EDWs have the same objective reality. </w:t>
      </w:r>
    </w:p>
    <w:p>
      <w:pPr>
        <w:pStyle w:val="Normal"/>
        <w:spacing w:before="0" w:after="0"/>
        <w:contextualSpacing/>
        <w:rPr/>
      </w:pPr>
      <w:r>
        <w:rPr/>
        <w:t xml:space="preserve">(6) Being corresponds to an It. </w:t>
      </w:r>
    </w:p>
    <w:p>
      <w:pPr>
        <w:pStyle w:val="Normal"/>
        <w:spacing w:before="0" w:after="0"/>
        <w:contextualSpacing/>
        <w:rPr/>
      </w:pPr>
      <w:r>
        <w:rPr/>
        <w:t xml:space="preserve">(7) Being is an EW. Therefore being is. </w:t>
      </w:r>
    </w:p>
    <w:p>
      <w:pPr>
        <w:pStyle w:val="Normal"/>
        <w:spacing w:before="0" w:after="0"/>
        <w:contextualSpacing/>
        <w:rPr/>
      </w:pPr>
      <w:r>
        <w:rPr/>
        <w:t xml:space="preserve">(8) Having certain determinations, from our viewpoint an It is composed of an amalgam of Its/its and their relationships. </w:t>
      </w:r>
    </w:p>
    <w:p>
      <w:pPr>
        <w:pStyle w:val="Normal"/>
        <w:spacing w:before="0" w:after="0"/>
        <w:contextualSpacing/>
        <w:rPr/>
      </w:pPr>
      <w:r>
        <w:rPr/>
        <w:t xml:space="preserve">(9) Certain states and processes form knowledge that is being. </w:t>
      </w:r>
    </w:p>
    <w:p>
      <w:pPr>
        <w:pStyle w:val="Normal"/>
        <w:spacing w:before="0" w:after="0"/>
        <w:contextualSpacing/>
        <w:rPr/>
      </w:pPr>
      <w:r>
        <w:rPr/>
        <w:t xml:space="preserve">(10) As an entity, being has unity as indeterminate individuality. </w:t>
      </w:r>
    </w:p>
    <w:p>
      <w:pPr>
        <w:pStyle w:val="Normal"/>
        <w:spacing w:before="0" w:after="0"/>
        <w:contextualSpacing/>
        <w:rPr/>
      </w:pPr>
      <w:r>
        <w:rPr/>
        <w:t xml:space="preserve">(11) Being is, therefore EDWs are. </w:t>
      </w:r>
    </w:p>
    <w:p>
      <w:pPr>
        <w:pStyle w:val="Normal"/>
        <w:spacing w:before="0" w:after="0"/>
        <w:contextualSpacing/>
        <w:rPr/>
      </w:pPr>
      <w:r>
        <w:rP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pStyle w:val="Normal"/>
        <w:spacing w:before="0" w:after="0"/>
        <w:ind w:left="0" w:right="0" w:firstLine="720"/>
        <w:contextualSpacing/>
        <w:rPr/>
      </w:pPr>
      <w:r>
        <w:rP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pStyle w:val="Normal"/>
        <w:spacing w:before="0" w:after="0"/>
        <w:contextualSpacing/>
        <w:rPr/>
      </w:pPr>
      <w:r>
        <w:rPr/>
      </w:r>
    </w:p>
    <w:p>
      <w:pPr>
        <w:pStyle w:val="ListParagraph"/>
        <w:widowControl/>
        <w:numPr>
          <w:ilvl w:val="0"/>
          <w:numId w:val="29"/>
        </w:numPr>
        <w:suppressAutoHyphens w:val="false"/>
        <w:overflowPunct w:val="false"/>
        <w:spacing w:before="0" w:after="0"/>
        <w:ind w:left="0" w:right="0" w:hanging="0"/>
        <w:contextualSpacing/>
        <w:jc w:val="both"/>
        <w:textAlignment w:val="auto"/>
        <w:rPr/>
      </w:pPr>
      <w:r>
        <w:rPr>
          <w:rStyle w:val="InternetLink"/>
          <w:rFonts w:ascii="Times New Roman" w:hAnsi="Times New Roman"/>
          <w:b/>
          <w:color w:val="auto"/>
          <w:sz w:val="24"/>
          <w:szCs w:val="24"/>
          <w:highlight w:val="white"/>
          <w:u w:val="none"/>
        </w:rPr>
        <w:t>The unbelievable coincidence: two individuals elaborated the same completely new framework of thinking in the same decade!</w:t>
      </w:r>
    </w:p>
    <w:p>
      <w:pPr>
        <w:pStyle w:val="Normal"/>
        <w:spacing w:before="0" w:after="0"/>
        <w:contextualSpacing/>
        <w:rPr/>
      </w:pPr>
      <w:r>
        <w:rPr/>
        <w:t>Recently, one of my colleagues informed me about a clip posted on TED.com</w:t>
      </w:r>
      <w:r>
        <w:rPr>
          <w:rStyle w:val="FootnoteAnchor"/>
        </w:rPr>
        <w:footnoteReference w:id="286"/>
      </w:r>
      <w:r>
        <w:rPr/>
        <w:t xml:space="preserve"> (September 2013, 18 minutes) of Prof. Dr. Markus Gabriel (Philosophy, University of Bonn, and Director of the </w:t>
      </w:r>
      <w:r>
        <w:rPr>
          <w:i/>
          <w:iCs/>
        </w:rPr>
        <w:t>International Centre for Philosophy</w:t>
      </w:r>
      <w:r>
        <w:rPr/>
        <w:t>, Germany) with the title</w:t>
      </w:r>
      <w:r>
        <w:rPr>
          <w:rStyle w:val="InternetLink"/>
          <w:color w:val="auto"/>
          <w:highlight w:val="white"/>
          <w:u w:val="none"/>
        </w:rPr>
        <w:t xml:space="preserve"> “Why the world does not exist” on YouTube at this address: </w:t>
      </w:r>
    </w:p>
    <w:p>
      <w:pPr>
        <w:pStyle w:val="Normal"/>
        <w:spacing w:before="0" w:after="0"/>
        <w:contextualSpacing/>
        <w:rPr/>
      </w:pPr>
      <w:hyperlink r:id="rId101" w:tgtFrame="_blank">
        <w:r>
          <w:rPr>
            <w:rStyle w:val="InternetLink"/>
            <w:color w:val="auto"/>
            <w:highlight w:val="white"/>
            <w:u w:val="none"/>
          </w:rPr>
          <w:t>https://www.youtube.com/watch?v=hzvesGB_TI0&amp;feature=youtube_gdata_player</w:t>
        </w:r>
      </w:hyperlink>
    </w:p>
    <w:p>
      <w:pPr>
        <w:pStyle w:val="Normal"/>
        <w:spacing w:before="0" w:after="0"/>
        <w:contextualSpacing/>
        <w:rPr/>
      </w:pPr>
      <w:r>
        <w:rPr>
          <w:rStyle w:val="InternetLink"/>
          <w:color w:val="auto"/>
          <w:highlight w:val="white"/>
          <w:u w:val="none"/>
        </w:rPr>
        <w:tab/>
        <w:t xml:space="preserve">In 2013, Markus Gabriel has also published a book (in German) with the same title </w:t>
      </w:r>
      <w:r>
        <w:rPr>
          <w:i/>
          <w:iCs/>
        </w:rPr>
        <w:t>Warum es die Welt nicht gibt</w:t>
      </w:r>
      <w:r>
        <w:rPr/>
        <w:t>, Ullstein: Berlin 2013</w:t>
      </w:r>
      <w:r>
        <w:rPr>
          <w:rStyle w:val="InternetLink"/>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rPr/>
        <w:t xml:space="preserve">The main 5 notions/ideas (from which results the same framework of thinking the world does not exist) are “unbelievable similarity”: </w:t>
      </w:r>
    </w:p>
    <w:p>
      <w:pPr>
        <w:pStyle w:val="ListParagraph"/>
        <w:widowControl/>
        <w:numPr>
          <w:ilvl w:val="0"/>
          <w:numId w:val="30"/>
        </w:numPr>
        <w:suppressAutoHyphens w:val="false"/>
        <w:overflowPunct w:val="false"/>
        <w:spacing w:before="0" w:after="0"/>
        <w:ind w:left="0" w:right="0" w:hanging="720"/>
        <w:contextualSpacing/>
        <w:jc w:val="both"/>
        <w:textAlignment w:val="auto"/>
        <w:rPr/>
      </w:pPr>
      <w:r>
        <w:rPr>
          <w:rStyle w:val="InternetLink"/>
          <w:rFonts w:ascii="Times New Roman" w:hAnsi="Times New Roman"/>
          <w:color w:val="auto"/>
          <w:sz w:val="24"/>
          <w:szCs w:val="24"/>
          <w:highlight w:val="white"/>
          <w:u w:val="none"/>
        </w:rPr>
        <w:t xml:space="preserve">Vacariu: The </w:t>
      </w:r>
      <w:r>
        <w:rPr>
          <w:rStyle w:val="InternetLink"/>
          <w:rFonts w:ascii="Times New Roman" w:hAnsi="Times New Roman"/>
          <w:i/>
          <w:color w:val="auto"/>
          <w:sz w:val="24"/>
          <w:szCs w:val="24"/>
          <w:highlight w:val="white"/>
          <w:u w:val="none"/>
        </w:rPr>
        <w:t>“</w:t>
      </w:r>
      <w:r>
        <w:rPr>
          <w:rStyle w:val="InternetLink"/>
          <w:rFonts w:ascii="Times New Roman" w:hAnsi="Times New Roman"/>
          <w:b/>
          <w:color w:val="auto"/>
          <w:sz w:val="24"/>
          <w:szCs w:val="24"/>
          <w:highlight w:val="white"/>
          <w:u w:val="none"/>
        </w:rPr>
        <w:t>world does not exist</w:t>
      </w:r>
      <w:r>
        <w:rPr>
          <w:rStyle w:val="InternetLink"/>
          <w:rFonts w:ascii="Times New Roman" w:hAnsi="Times New Roman"/>
          <w:i/>
          <w:color w:val="auto"/>
          <w:sz w:val="24"/>
          <w:szCs w:val="24"/>
          <w:highlight w:val="white"/>
          <w:u w:val="none"/>
        </w:rPr>
        <w:t>”</w:t>
      </w:r>
      <w:r>
        <w:rPr>
          <w:rStyle w:val="InternetLink"/>
          <w:rFonts w:ascii="Times New Roman" w:hAnsi="Times New Roman"/>
          <w:color w:val="auto"/>
          <w:sz w:val="24"/>
          <w:szCs w:val="24"/>
          <w:highlight w:val="white"/>
          <w:u w:val="none"/>
        </w:rPr>
        <w:t xml:space="preserve"> but “epistemologically different worlds” (</w:t>
      </w:r>
      <w:r>
        <w:rPr>
          <w:rStyle w:val="InternetLink"/>
          <w:rFonts w:ascii="Times New Roman" w:hAnsi="Times New Roman"/>
          <w:i/>
          <w:color w:val="auto"/>
          <w:sz w:val="24"/>
          <w:szCs w:val="24"/>
          <w:highlight w:val="white"/>
          <w:u w:val="none"/>
        </w:rPr>
        <w:t>EDWs</w:t>
      </w:r>
      <w:r>
        <w:rPr>
          <w:rStyle w:val="InternetLink"/>
          <w:rFonts w:ascii="Times New Roman" w:hAnsi="Times New Roman"/>
          <w:color w:val="auto"/>
          <w:sz w:val="24"/>
          <w:szCs w:val="24"/>
          <w:highlight w:val="white"/>
          <w:u w:val="none"/>
        </w:rPr>
        <w:t>) exist. (in my 2005 + book).</w:t>
      </w:r>
      <w:r>
        <w:rPr>
          <w:rStyle w:val="FootnoteAnchor"/>
          <w:rFonts w:ascii="Times New Roman" w:hAnsi="Times New Roman"/>
          <w:sz w:val="24"/>
          <w:szCs w:val="24"/>
          <w:highlight w:val="white"/>
        </w:rPr>
        <w:footnoteReference w:id="287"/>
      </w:r>
      <w:r>
        <w:rPr>
          <w:rStyle w:val="InternetLink"/>
          <w:rFonts w:ascii="Times New Roman" w:hAnsi="Times New Roman"/>
          <w:color w:val="auto"/>
          <w:sz w:val="24"/>
          <w:szCs w:val="24"/>
          <w:highlight w:val="white"/>
          <w:u w:val="none"/>
        </w:rPr>
        <w:t xml:space="preserve"> </w:t>
      </w:r>
    </w:p>
    <w:p>
      <w:pPr>
        <w:pStyle w:val="Normal"/>
        <w:spacing w:before="0" w:after="0"/>
        <w:contextualSpacing/>
        <w:rPr/>
      </w:pPr>
      <w:r>
        <w:rPr>
          <w:rStyle w:val="InternetLink"/>
          <w:color w:val="auto"/>
          <w:u w:val="none"/>
        </w:rPr>
        <w:t>Markus Gabriel: “</w:t>
      </w:r>
      <w:r>
        <w:rPr>
          <w:rStyle w:val="InternetLink"/>
          <w:i/>
          <w:color w:val="auto"/>
          <w:u w:val="none"/>
        </w:rPr>
        <w:t>Why the world does not exist</w:t>
      </w:r>
      <w:r>
        <w:rPr>
          <w:rStyle w:val="InternetLink"/>
          <w:color w:val="auto"/>
          <w:u w:val="none"/>
        </w:rPr>
        <w:t xml:space="preserve">”. (title for TED clips and book) </w:t>
      </w:r>
    </w:p>
    <w:p>
      <w:pPr>
        <w:pStyle w:val="ListParagraph"/>
        <w:widowControl/>
        <w:numPr>
          <w:ilvl w:val="0"/>
          <w:numId w:val="30"/>
        </w:numPr>
        <w:suppressAutoHyphens w:val="false"/>
        <w:overflowPunct w:val="false"/>
        <w:spacing w:before="0" w:after="0"/>
        <w:ind w:left="0" w:right="0" w:hanging="720"/>
        <w:contextualSpacing/>
        <w:jc w:val="both"/>
        <w:textAlignment w:val="auto"/>
        <w:rPr/>
      </w:pPr>
      <w:r>
        <w:rPr>
          <w:rStyle w:val="InternetLink"/>
          <w:rFonts w:ascii="Times New Roman" w:hAnsi="Times New Roman"/>
          <w:color w:val="auto"/>
          <w:sz w:val="24"/>
          <w:szCs w:val="24"/>
          <w:highlight w:val="white"/>
          <w:u w:val="none"/>
        </w:rPr>
        <w:t xml:space="preserve">Vacariu: All objects/entities exist but in </w:t>
      </w:r>
      <w:r>
        <w:rPr>
          <w:rStyle w:val="InternetLink"/>
          <w:rFonts w:ascii="Times New Roman" w:hAnsi="Times New Roman"/>
          <w:b/>
          <w:color w:val="auto"/>
          <w:sz w:val="24"/>
          <w:szCs w:val="24"/>
          <w:highlight w:val="white"/>
          <w:u w:val="none"/>
        </w:rPr>
        <w:t>EDWs</w:t>
      </w:r>
      <w:r>
        <w:rPr>
          <w:rStyle w:val="InternetLink"/>
          <w:rFonts w:ascii="Times New Roman" w:hAnsi="Times New Roman"/>
          <w:color w:val="auto"/>
          <w:sz w:val="24"/>
          <w:szCs w:val="24"/>
          <w:highlight w:val="white"/>
          <w:u w:val="none"/>
        </w:rPr>
        <w:t xml:space="preserve">. </w:t>
      </w:r>
    </w:p>
    <w:p>
      <w:pPr>
        <w:pStyle w:val="Normal"/>
        <w:spacing w:before="0" w:after="0"/>
        <w:contextualSpacing/>
        <w:rPr/>
      </w:pPr>
      <w:r>
        <w:rPr>
          <w:rStyle w:val="InternetLink"/>
          <w:color w:val="auto"/>
          <w:highlight w:val="white"/>
          <w:u w:val="none"/>
        </w:rPr>
        <w:t>Markus Gabriel: All objects are in different “</w:t>
      </w:r>
      <w:r>
        <w:rPr>
          <w:rStyle w:val="InternetLink"/>
          <w:i/>
          <w:color w:val="auto"/>
          <w:highlight w:val="white"/>
          <w:u w:val="none"/>
        </w:rPr>
        <w:t>lists</w:t>
      </w:r>
      <w:r>
        <w:rPr>
          <w:rStyle w:val="InternetLink"/>
          <w:color w:val="auto"/>
          <w:highlight w:val="white"/>
          <w:u w:val="none"/>
        </w:rPr>
        <w:t xml:space="preserve">”.  </w:t>
      </w:r>
    </w:p>
    <w:p>
      <w:pPr>
        <w:pStyle w:val="ListParagraph"/>
        <w:widowControl/>
        <w:numPr>
          <w:ilvl w:val="0"/>
          <w:numId w:val="30"/>
        </w:numPr>
        <w:suppressAutoHyphens w:val="false"/>
        <w:overflowPunct w:val="false"/>
        <w:spacing w:before="0" w:after="0"/>
        <w:ind w:left="0" w:right="0" w:hanging="720"/>
        <w:contextualSpacing/>
        <w:jc w:val="both"/>
        <w:textAlignment w:val="auto"/>
        <w:rPr/>
      </w:pPr>
      <w:r>
        <w:rPr>
          <w:rStyle w:val="InternetLink"/>
          <w:rFonts w:ascii="Times New Roman" w:hAnsi="Times New Roman"/>
          <w:color w:val="auto"/>
          <w:sz w:val="24"/>
          <w:szCs w:val="24"/>
          <w:highlight w:val="white"/>
          <w:u w:val="none"/>
        </w:rPr>
        <w:t xml:space="preserve">Vacariu: The objects/entities from one EW </w:t>
      </w:r>
      <w:r>
        <w:rPr>
          <w:rStyle w:val="InternetLink"/>
          <w:rFonts w:ascii="Times New Roman" w:hAnsi="Times New Roman"/>
          <w:b/>
          <w:color w:val="auto"/>
          <w:sz w:val="24"/>
          <w:szCs w:val="24"/>
          <w:highlight w:val="white"/>
          <w:u w:val="none"/>
        </w:rPr>
        <w:t>interact</w:t>
      </w:r>
      <w:r>
        <w:rPr>
          <w:rStyle w:val="InternetLink"/>
          <w:rFonts w:ascii="Times New Roman" w:hAnsi="Times New Roman"/>
          <w:color w:val="auto"/>
          <w:sz w:val="24"/>
          <w:szCs w:val="24"/>
          <w:highlight w:val="white"/>
          <w:u w:val="none"/>
        </w:rPr>
        <w:t>.</w:t>
      </w:r>
    </w:p>
    <w:p>
      <w:pPr>
        <w:pStyle w:val="Normal"/>
        <w:spacing w:before="0" w:after="0"/>
        <w:contextualSpacing/>
        <w:rPr/>
      </w:pPr>
      <w:r>
        <w:rPr>
          <w:rStyle w:val="InternetLink"/>
          <w:color w:val="auto"/>
          <w:highlight w:val="white"/>
          <w:u w:val="none"/>
        </w:rPr>
        <w:t xml:space="preserve">Markus Gabriel: The objects from a list </w:t>
      </w:r>
      <w:r>
        <w:rPr>
          <w:rStyle w:val="InternetLink"/>
          <w:i/>
          <w:color w:val="auto"/>
          <w:highlight w:val="white"/>
          <w:u w:val="none"/>
        </w:rPr>
        <w:t>intersect</w:t>
      </w:r>
      <w:r>
        <w:rPr>
          <w:rStyle w:val="InternetLink"/>
          <w:color w:val="auto"/>
          <w:highlight w:val="white"/>
          <w:u w:val="none"/>
        </w:rPr>
        <w:t xml:space="preserve">. </w:t>
      </w:r>
    </w:p>
    <w:p>
      <w:pPr>
        <w:pStyle w:val="ListParagraph"/>
        <w:widowControl/>
        <w:numPr>
          <w:ilvl w:val="0"/>
          <w:numId w:val="30"/>
        </w:numPr>
        <w:suppressAutoHyphens w:val="false"/>
        <w:overflowPunct w:val="false"/>
        <w:spacing w:before="0" w:after="0"/>
        <w:ind w:left="0" w:right="0" w:hanging="720"/>
        <w:contextualSpacing/>
        <w:jc w:val="both"/>
        <w:textAlignment w:val="auto"/>
        <w:rPr/>
      </w:pPr>
      <w:r>
        <w:rPr>
          <w:rStyle w:val="InternetLink"/>
          <w:rFonts w:ascii="Times New Roman" w:hAnsi="Times New Roman"/>
          <w:color w:val="auto"/>
          <w:sz w:val="24"/>
          <w:szCs w:val="24"/>
          <w:highlight w:val="white"/>
          <w:u w:val="none"/>
        </w:rPr>
        <w:t xml:space="preserve">Vacariu: Only the objects that belong to a particular EW interact. The objects from one </w:t>
      </w:r>
      <w:r>
        <w:rPr>
          <w:rStyle w:val="InternetLink"/>
          <w:rFonts w:ascii="Times New Roman" w:hAnsi="Times New Roman"/>
          <w:b/>
          <w:color w:val="auto"/>
          <w:sz w:val="24"/>
          <w:szCs w:val="24"/>
          <w:highlight w:val="white"/>
          <w:u w:val="none"/>
        </w:rPr>
        <w:t>EW do not interact</w:t>
      </w:r>
      <w:r>
        <w:rPr>
          <w:rStyle w:val="InternetLink"/>
          <w:rFonts w:ascii="Times New Roman" w:hAnsi="Times New Roman"/>
          <w:color w:val="auto"/>
          <w:sz w:val="24"/>
          <w:szCs w:val="24"/>
          <w:highlight w:val="white"/>
          <w:u w:val="none"/>
        </w:rPr>
        <w:t xml:space="preserve"> with objects from the other EDWs. </w:t>
      </w:r>
    </w:p>
    <w:p>
      <w:pPr>
        <w:pStyle w:val="Normal"/>
        <w:spacing w:before="0" w:after="0"/>
        <w:contextualSpacing/>
        <w:rPr/>
      </w:pPr>
      <w:r>
        <w:rPr>
          <w:rStyle w:val="InternetLink"/>
          <w:color w:val="auto"/>
          <w:highlight w:val="white"/>
          <w:u w:val="none"/>
        </w:rPr>
        <w:t xml:space="preserve">Markus Gabriel: All objects exist but </w:t>
      </w:r>
      <w:r>
        <w:rPr>
          <w:rStyle w:val="InternetLink"/>
          <w:i/>
          <w:color w:val="auto"/>
          <w:highlight w:val="white"/>
          <w:u w:val="none"/>
        </w:rPr>
        <w:t>not</w:t>
      </w:r>
      <w:r>
        <w:rPr>
          <w:rStyle w:val="InternetLink"/>
          <w:color w:val="auto"/>
          <w:highlight w:val="white"/>
          <w:u w:val="none"/>
        </w:rPr>
        <w:t xml:space="preserve"> any object is “</w:t>
      </w:r>
      <w:r>
        <w:rPr>
          <w:rStyle w:val="InternetLink"/>
          <w:i/>
          <w:color w:val="auto"/>
          <w:highlight w:val="white"/>
          <w:u w:val="none"/>
        </w:rPr>
        <w:t>connected with</w:t>
      </w:r>
      <w:r>
        <w:rPr>
          <w:rStyle w:val="InternetLink"/>
          <w:color w:val="auto"/>
          <w:highlight w:val="white"/>
          <w:u w:val="none"/>
        </w:rPr>
        <w:t xml:space="preserve">” all other objects.  </w:t>
      </w:r>
    </w:p>
    <w:p>
      <w:pPr>
        <w:pStyle w:val="ListParagraph"/>
        <w:widowControl/>
        <w:numPr>
          <w:ilvl w:val="0"/>
          <w:numId w:val="30"/>
        </w:numPr>
        <w:suppressAutoHyphens w:val="false"/>
        <w:overflowPunct w:val="false"/>
        <w:spacing w:before="0" w:after="0"/>
        <w:ind w:left="0" w:right="0" w:hanging="720"/>
        <w:contextualSpacing/>
        <w:jc w:val="both"/>
        <w:textAlignment w:val="auto"/>
        <w:rPr/>
      </w:pPr>
      <w:r>
        <w:rPr>
          <w:rStyle w:val="InternetLink"/>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InternetLink"/>
          <w:rFonts w:ascii="Times New Roman" w:hAnsi="Times New Roman"/>
          <w:color w:val="auto"/>
          <w:sz w:val="24"/>
          <w:szCs w:val="24"/>
          <w:highlight w:val="white"/>
          <w:u w:val="none"/>
        </w:rPr>
        <w:t>in many places)</w:t>
      </w:r>
    </w:p>
    <w:p>
      <w:pPr>
        <w:pStyle w:val="Normal"/>
        <w:spacing w:before="0" w:after="0"/>
        <w:ind w:left="0" w:right="0" w:firstLine="360"/>
        <w:contextualSpacing/>
        <w:rPr/>
      </w:pPr>
      <w:r>
        <w:rPr>
          <w:rStyle w:val="InternetLink"/>
          <w:color w:val="auto"/>
          <w:highlight w:val="white"/>
          <w:u w:val="none"/>
        </w:rPr>
        <w:t xml:space="preserve">Markus Gabriel: we have to </w:t>
      </w:r>
      <w:r>
        <w:rPr>
          <w:rStyle w:val="InternetLink"/>
          <w:i/>
          <w:color w:val="auto"/>
          <w:highlight w:val="white"/>
          <w:u w:val="none"/>
        </w:rPr>
        <w:t>reconsider the definition of the “existence”</w:t>
      </w:r>
      <w:r>
        <w:rPr>
          <w:rStyle w:val="InternetLink"/>
          <w:color w:val="auto"/>
          <w:highlight w:val="white"/>
          <w:u w:val="none"/>
        </w:rPr>
        <w:t xml:space="preserve">… </w:t>
      </w:r>
    </w:p>
    <w:p>
      <w:pPr>
        <w:pStyle w:val="Normal"/>
        <w:spacing w:before="0" w:after="0"/>
        <w:contextualSpacing/>
        <w:rPr>
          <w:rStyle w:val="InternetLink"/>
          <w:color w:val="auto"/>
          <w:highlight w:val="white"/>
          <w:u w:val="none"/>
        </w:rPr>
      </w:pPr>
      <w:r>
        <w:rPr>
          <w:color w:val="auto"/>
          <w:highlight w:val="white"/>
          <w:u w:val="none"/>
        </w:rPr>
      </w:r>
    </w:p>
    <w:p>
      <w:pPr>
        <w:pStyle w:val="Normal"/>
        <w:spacing w:before="0" w:after="0"/>
        <w:contextualSpacing/>
        <w:rPr/>
      </w:pPr>
      <w:r>
        <w:rPr>
          <w:rStyle w:val="InternetLink"/>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pStyle w:val="ListParagraph"/>
        <w:spacing w:before="0" w:after="0"/>
        <w:ind w:left="0" w:right="0" w:hanging="0"/>
        <w:contextualSpacing/>
        <w:jc w:val="both"/>
        <w:rPr>
          <w:rStyle w:val="InternetLink"/>
          <w:rFonts w:ascii="Times New Roman" w:hAnsi="Times New Roman"/>
          <w:color w:val="auto"/>
          <w:sz w:val="24"/>
          <w:szCs w:val="24"/>
          <w:highlight w:val="white"/>
          <w:u w:val="none"/>
        </w:rPr>
      </w:pPr>
      <w:r>
        <w:rPr>
          <w:rFonts w:ascii="Times New Roman" w:hAnsi="Times New Roman"/>
          <w:color w:val="auto"/>
          <w:sz w:val="24"/>
          <w:szCs w:val="24"/>
          <w:highlight w:val="white"/>
          <w:u w:val="none"/>
        </w:rPr>
      </w:r>
    </w:p>
    <w:p>
      <w:pPr>
        <w:pStyle w:val="Normal"/>
        <w:spacing w:before="0" w:after="0"/>
        <w:contextualSpacing/>
        <w:rPr/>
      </w:pPr>
      <w:r>
        <w:rPr>
          <w:rStyle w:val="InternetLink"/>
          <w:b/>
          <w:color w:val="auto"/>
          <w:highlight w:val="white"/>
          <w:u w:val="none"/>
        </w:rPr>
        <w:t xml:space="preserve">3. Markus Gabriel’s TED clip </w:t>
      </w:r>
    </w:p>
    <w:p>
      <w:pPr>
        <w:pStyle w:val="ListParagraph"/>
        <w:widowControl/>
        <w:numPr>
          <w:ilvl w:val="0"/>
          <w:numId w:val="31"/>
        </w:numPr>
        <w:suppressAutoHyphens w:val="false"/>
        <w:overflowPunct w:val="false"/>
        <w:spacing w:before="0" w:after="0"/>
        <w:ind w:left="0" w:right="0" w:hanging="0"/>
        <w:contextualSpacing/>
        <w:jc w:val="both"/>
        <w:textAlignment w:val="auto"/>
        <w:rPr/>
      </w:pPr>
      <w:r>
        <w:rPr>
          <w:rStyle w:val="InternetLink"/>
          <w:rFonts w:ascii="Times New Roman" w:hAnsi="Times New Roman"/>
          <w:color w:val="auto"/>
          <w:sz w:val="24"/>
          <w:szCs w:val="24"/>
          <w:highlight w:val="white"/>
          <w:u w:val="none"/>
        </w:rPr>
        <w:t>Markus Gabriel starts his presentation posted on TED site talking about the “</w:t>
      </w:r>
      <w:r>
        <w:rPr>
          <w:rStyle w:val="InternetLink"/>
          <w:rFonts w:ascii="Times New Roman" w:hAnsi="Times New Roman"/>
          <w:i/>
          <w:color w:val="auto"/>
          <w:sz w:val="24"/>
          <w:szCs w:val="24"/>
          <w:highlight w:val="white"/>
          <w:u w:val="none"/>
        </w:rPr>
        <w:t>unicorn</w:t>
      </w:r>
      <w:r>
        <w:rPr>
          <w:rStyle w:val="InternetLink"/>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pStyle w:val="ListParagraph"/>
        <w:spacing w:before="0" w:after="0"/>
        <w:ind w:left="0" w:right="0" w:firstLine="720"/>
        <w:contextualSpacing/>
        <w:jc w:val="both"/>
        <w:rPr/>
      </w:pPr>
      <w:r>
        <w:rPr>
          <w:rStyle w:val="InternetLink"/>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FootnoteAnchor"/>
          <w:rFonts w:ascii="Times New Roman" w:hAnsi="Times New Roman"/>
          <w:sz w:val="24"/>
          <w:szCs w:val="24"/>
        </w:rPr>
        <w:footnoteReference w:id="288"/>
      </w:r>
      <w:r>
        <w:rPr>
          <w:rFonts w:ascii="Times New Roman" w:hAnsi="Times New Roman"/>
          <w:sz w:val="24"/>
          <w:szCs w:val="24"/>
        </w:rPr>
        <w:t xml:space="preserve"> </w:t>
      </w:r>
    </w:p>
    <w:p>
      <w:pPr>
        <w:pStyle w:val="ListParagraph"/>
        <w:widowControl/>
        <w:numPr>
          <w:ilvl w:val="0"/>
          <w:numId w:val="31"/>
        </w:numPr>
        <w:suppressAutoHyphens w:val="false"/>
        <w:overflowPunct w:val="false"/>
        <w:spacing w:before="0" w:after="0"/>
        <w:ind w:left="0" w:right="0" w:hanging="0"/>
        <w:contextualSpacing/>
        <w:jc w:val="both"/>
        <w:textAlignment w:val="auto"/>
        <w:rPr/>
      </w:pPr>
      <w:r>
        <w:rPr>
          <w:rStyle w:val="InternetLink"/>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pStyle w:val="ListParagraph"/>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pStyle w:val="ListParagraph"/>
        <w:widowControl/>
        <w:numPr>
          <w:ilvl w:val="0"/>
          <w:numId w:val="31"/>
        </w:numPr>
        <w:suppressAutoHyphens w:val="false"/>
        <w:overflowPunct w:val="false"/>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pStyle w:val="ListParagraph"/>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widowControl/>
        <w:numPr>
          <w:ilvl w:val="0"/>
          <w:numId w:val="32"/>
        </w:numPr>
        <w:suppressAutoHyphens w:val="false"/>
        <w:overflowPunct w:val="false"/>
        <w:spacing w:before="0" w:after="0"/>
        <w:ind w:left="0" w:right="0" w:hanging="360"/>
        <w:contextualSpacing/>
        <w:jc w:val="both"/>
        <w:textAlignment w:val="auto"/>
        <w:rPr/>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pStyle w:val="ListParagraph"/>
        <w:widowControl/>
        <w:numPr>
          <w:ilvl w:val="0"/>
          <w:numId w:val="32"/>
        </w:numPr>
        <w:suppressAutoHyphens w:val="false"/>
        <w:overflowPunct w:val="false"/>
        <w:spacing w:before="0" w:after="0"/>
        <w:ind w:left="0" w:right="0" w:hanging="360"/>
        <w:contextualSpacing/>
        <w:jc w:val="both"/>
        <w:textAlignment w:val="auto"/>
        <w:rPr/>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InternetLink"/>
          <w:rFonts w:ascii="Times New Roman" w:hAnsi="Times New Roman"/>
          <w:color w:val="auto"/>
          <w:sz w:val="24"/>
          <w:szCs w:val="24"/>
          <w:highlight w:val="white"/>
          <w:u w:val="none"/>
        </w:rPr>
        <w:t xml:space="preserve">2008, </w:t>
      </w:r>
      <w:r>
        <w:rPr>
          <w:rFonts w:ascii="Times New Roman" w:hAnsi="Times New Roman"/>
          <w:sz w:val="24"/>
          <w:szCs w:val="24"/>
        </w:rPr>
        <w:t>p. 101)</w:t>
      </w:r>
    </w:p>
    <w:p>
      <w:pPr>
        <w:pStyle w:val="ListParagraph"/>
        <w:widowControl/>
        <w:numPr>
          <w:ilvl w:val="0"/>
          <w:numId w:val="32"/>
        </w:numPr>
        <w:suppressAutoHyphens w:val="false"/>
        <w:overflowPunct w:val="false"/>
        <w:spacing w:before="0" w:after="0"/>
        <w:ind w:left="0" w:right="0" w:hanging="360"/>
        <w:contextualSpacing/>
        <w:jc w:val="both"/>
        <w:textAlignment w:val="auto"/>
        <w:rPr/>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pStyle w:val="ListParagraph"/>
        <w:widowControl/>
        <w:numPr>
          <w:ilvl w:val="0"/>
          <w:numId w:val="32"/>
        </w:numPr>
        <w:suppressAutoHyphens w:val="false"/>
        <w:overflowPunct w:val="false"/>
        <w:spacing w:before="0" w:after="0"/>
        <w:ind w:left="0" w:right="0" w:hanging="360"/>
        <w:contextualSpacing/>
        <w:jc w:val="both"/>
        <w:textAlignment w:val="auto"/>
        <w:rPr/>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pStyle w:val="ListParagraph"/>
        <w:widowControl/>
        <w:numPr>
          <w:ilvl w:val="0"/>
          <w:numId w:val="32"/>
        </w:numPr>
        <w:suppressAutoHyphens w:val="false"/>
        <w:overflowPunct w:val="false"/>
        <w:spacing w:before="0" w:after="0"/>
        <w:ind w:left="0" w:right="0" w:hanging="360"/>
        <w:contextualSpacing/>
        <w:jc w:val="both"/>
        <w:textAlignment w:val="auto"/>
        <w:rPr/>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pStyle w:val="ListParagraph"/>
        <w:widowControl/>
        <w:numPr>
          <w:ilvl w:val="0"/>
          <w:numId w:val="32"/>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pStyle w:val="ListParagraph"/>
        <w:widowControl/>
        <w:numPr>
          <w:ilvl w:val="0"/>
          <w:numId w:val="32"/>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pStyle w:val="ListParagraph"/>
        <w:spacing w:before="0" w:after="0"/>
        <w:ind w:left="0" w:right="0" w:firstLine="720"/>
        <w:contextualSpacing/>
        <w:jc w:val="both"/>
        <w:rPr/>
      </w:pPr>
      <w:r>
        <w:rPr>
          <w:rStyle w:val="InternetLink"/>
          <w:rFonts w:ascii="Times New Roman" w:hAnsi="Times New Roman"/>
          <w:color w:val="auto"/>
          <w:sz w:val="24"/>
          <w:szCs w:val="24"/>
          <w:highlight w:val="white"/>
          <w:u w:val="none"/>
        </w:rPr>
        <w:t>Markus Gabriel: He uses many of my expressions (but not EDWs, of course). For instance, he tells us that the “</w:t>
      </w:r>
      <w:r>
        <w:rPr>
          <w:rStyle w:val="InternetLink"/>
          <w:rFonts w:ascii="Times New Roman" w:hAnsi="Times New Roman"/>
          <w:i/>
          <w:color w:val="auto"/>
          <w:sz w:val="24"/>
          <w:szCs w:val="24"/>
          <w:highlight w:val="white"/>
          <w:u w:val="none"/>
        </w:rPr>
        <w:t>nature, reality, the universe</w:t>
      </w:r>
      <w:r>
        <w:rPr>
          <w:rStyle w:val="InternetLink"/>
          <w:rFonts w:ascii="Times New Roman" w:hAnsi="Times New Roman"/>
          <w:color w:val="auto"/>
          <w:sz w:val="24"/>
          <w:szCs w:val="24"/>
          <w:highlight w:val="white"/>
          <w:u w:val="none"/>
        </w:rPr>
        <w:t xml:space="preserve">… </w:t>
      </w:r>
      <w:r>
        <w:rPr>
          <w:rStyle w:val="InternetLink"/>
          <w:rFonts w:ascii="Times New Roman" w:hAnsi="Times New Roman"/>
          <w:i/>
          <w:color w:val="auto"/>
          <w:sz w:val="24"/>
          <w:szCs w:val="24"/>
          <w:highlight w:val="white"/>
          <w:u w:val="none"/>
        </w:rPr>
        <w:t>the world</w:t>
      </w:r>
      <w:r>
        <w:rPr>
          <w:rStyle w:val="InternetLink"/>
          <w:rFonts w:ascii="Times New Roman" w:hAnsi="Times New Roman"/>
          <w:color w:val="auto"/>
          <w:sz w:val="24"/>
          <w:szCs w:val="24"/>
          <w:highlight w:val="white"/>
          <w:u w:val="none"/>
        </w:rPr>
        <w:t xml:space="preserve">” does not exist. “I think that this really thing is an </w:t>
      </w:r>
      <w:r>
        <w:rPr>
          <w:rStyle w:val="InternetLink"/>
          <w:rFonts w:ascii="Times New Roman" w:hAnsi="Times New Roman"/>
          <w:i/>
          <w:color w:val="auto"/>
          <w:sz w:val="24"/>
          <w:szCs w:val="24"/>
          <w:highlight w:val="white"/>
          <w:u w:val="none"/>
        </w:rPr>
        <w:t>illusion</w:t>
      </w:r>
      <w:r>
        <w:rPr>
          <w:rStyle w:val="InternetLink"/>
          <w:rFonts w:ascii="Times New Roman" w:hAnsi="Times New Roman"/>
          <w:color w:val="auto"/>
          <w:sz w:val="24"/>
          <w:szCs w:val="24"/>
          <w:highlight w:val="white"/>
          <w:u w:val="none"/>
        </w:rPr>
        <w:t xml:space="preserve">…” “What is the </w:t>
      </w:r>
      <w:r>
        <w:rPr>
          <w:rStyle w:val="InternetLink"/>
          <w:rFonts w:ascii="Times New Roman" w:hAnsi="Times New Roman"/>
          <w:i/>
          <w:color w:val="auto"/>
          <w:sz w:val="24"/>
          <w:szCs w:val="24"/>
          <w:highlight w:val="white"/>
          <w:u w:val="none"/>
        </w:rPr>
        <w:t>world</w:t>
      </w:r>
      <w:r>
        <w:rPr>
          <w:rStyle w:val="InternetLink"/>
          <w:rFonts w:ascii="Times New Roman" w:hAnsi="Times New Roman"/>
          <w:color w:val="auto"/>
          <w:sz w:val="24"/>
          <w:szCs w:val="24"/>
          <w:highlight w:val="white"/>
          <w:u w:val="none"/>
        </w:rPr>
        <w:t xml:space="preserve">? Philosophers have tried to clarify this </w:t>
      </w:r>
      <w:r>
        <w:rPr>
          <w:rStyle w:val="InternetLink"/>
          <w:rFonts w:ascii="Times New Roman" w:hAnsi="Times New Roman"/>
          <w:i/>
          <w:color w:val="auto"/>
          <w:sz w:val="24"/>
          <w:szCs w:val="24"/>
          <w:highlight w:val="white"/>
          <w:u w:val="none"/>
        </w:rPr>
        <w:t>for pretty much 2500 years</w:t>
      </w:r>
      <w:r>
        <w:rPr>
          <w:rStyle w:val="InternetLink"/>
          <w:rFonts w:ascii="Times New Roman" w:hAnsi="Times New Roman"/>
          <w:color w:val="auto"/>
          <w:sz w:val="24"/>
          <w:szCs w:val="24"/>
          <w:highlight w:val="white"/>
          <w:u w:val="none"/>
        </w:rPr>
        <w:t>”, “</w:t>
      </w:r>
      <w:r>
        <w:rPr>
          <w:rStyle w:val="InternetLink"/>
          <w:rFonts w:ascii="Times New Roman" w:hAnsi="Times New Roman"/>
          <w:i/>
          <w:color w:val="auto"/>
          <w:sz w:val="24"/>
          <w:szCs w:val="24"/>
          <w:highlight w:val="white"/>
          <w:u w:val="none"/>
        </w:rPr>
        <w:t>the world is the totality of things, the totality of</w:t>
      </w:r>
      <w:r>
        <w:rPr>
          <w:rStyle w:val="InternetLink"/>
          <w:rFonts w:ascii="Times New Roman" w:hAnsi="Times New Roman"/>
          <w:b/>
          <w:i/>
          <w:color w:val="auto"/>
          <w:sz w:val="24"/>
          <w:szCs w:val="24"/>
          <w:highlight w:val="white"/>
          <w:u w:val="none"/>
        </w:rPr>
        <w:t xml:space="preserve"> </w:t>
      </w:r>
      <w:r>
        <w:rPr>
          <w:rStyle w:val="InternetLink"/>
          <w:rFonts w:ascii="Times New Roman" w:hAnsi="Times New Roman"/>
          <w:i/>
          <w:color w:val="auto"/>
          <w:sz w:val="24"/>
          <w:szCs w:val="24"/>
          <w:highlight w:val="white"/>
          <w:u w:val="none"/>
        </w:rPr>
        <w:t>spatio-temporal things”, the world is planets and trees, and stars and people and friends and etc</w:t>
      </w:r>
      <w:r>
        <w:rPr>
          <w:rStyle w:val="InternetLink"/>
          <w:rFonts w:ascii="Times New Roman" w:hAnsi="Times New Roman"/>
          <w:color w:val="auto"/>
          <w:sz w:val="24"/>
          <w:szCs w:val="24"/>
          <w:highlight w:val="white"/>
          <w:u w:val="none"/>
        </w:rPr>
        <w:t xml:space="preserve">.” He speaks about a </w:t>
      </w:r>
      <w:r>
        <w:rPr>
          <w:rStyle w:val="InternetLink"/>
          <w:rFonts w:ascii="Times New Roman" w:hAnsi="Times New Roman"/>
          <w:i/>
          <w:color w:val="auto"/>
          <w:sz w:val="24"/>
          <w:szCs w:val="24"/>
          <w:highlight w:val="white"/>
          <w:u w:val="none"/>
        </w:rPr>
        <w:t>myth…</w:t>
      </w:r>
    </w:p>
    <w:p>
      <w:pPr>
        <w:pStyle w:val="Normal"/>
        <w:spacing w:before="0" w:after="0"/>
        <w:contextualSpacing/>
        <w:rPr/>
      </w:pPr>
      <w:r>
        <w:rPr>
          <w:rStyle w:val="InternetLink"/>
          <w:color w:val="auto"/>
          <w:highlight w:val="white"/>
          <w:u w:val="none"/>
        </w:rPr>
        <w:tab/>
      </w:r>
    </w:p>
    <w:p>
      <w:pPr>
        <w:pStyle w:val="ListParagraph"/>
        <w:widowControl/>
        <w:numPr>
          <w:ilvl w:val="0"/>
          <w:numId w:val="31"/>
        </w:numPr>
        <w:suppressAutoHyphens w:val="false"/>
        <w:overflowPunct w:val="false"/>
        <w:spacing w:before="0" w:after="0"/>
        <w:ind w:left="0" w:right="0" w:hanging="0"/>
        <w:contextualSpacing/>
        <w:jc w:val="both"/>
        <w:textAlignment w:val="auto"/>
        <w:rPr/>
      </w:pPr>
      <w:r>
        <w:rPr>
          <w:rFonts w:ascii="Times New Roman" w:hAnsi="Times New Roman"/>
          <w:sz w:val="24"/>
          <w:szCs w:val="24"/>
        </w:rPr>
        <w:t>“</w:t>
      </w: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pStyle w:val="ListParagraph"/>
        <w:spacing w:before="0" w:after="0"/>
        <w:ind w:left="0" w:right="0" w:hanging="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pStyle w:val="ListParagraph"/>
        <w:widowControl/>
        <w:numPr>
          <w:ilvl w:val="0"/>
          <w:numId w:val="31"/>
        </w:numPr>
        <w:suppressAutoHyphens w:val="false"/>
        <w:overflowPunct w:val="false"/>
        <w:spacing w:before="0" w:after="0"/>
        <w:ind w:left="0" w:right="0" w:hanging="0"/>
        <w:contextualSpacing/>
        <w:jc w:val="both"/>
        <w:textAlignment w:val="auto"/>
        <w:rPr/>
      </w:pPr>
      <w:r>
        <w:rPr>
          <w:rStyle w:val="InternetLink"/>
          <w:rFonts w:ascii="Times New Roman" w:hAnsi="Times New Roman"/>
          <w:color w:val="auto"/>
          <w:sz w:val="24"/>
          <w:szCs w:val="24"/>
          <w:highlight w:val="white"/>
          <w:u w:val="none"/>
        </w:rPr>
        <w:t>For me something to exist means to belong to a particular EW:</w:t>
      </w:r>
    </w:p>
    <w:p>
      <w:pPr>
        <w:pStyle w:val="ListParagraph"/>
        <w:spacing w:before="0" w:after="0"/>
        <w:ind w:left="0" w:right="0" w:hanging="0"/>
        <w:contextualSpacing/>
        <w:jc w:val="both"/>
        <w:rPr/>
      </w:pPr>
      <w:r>
        <w:rPr>
          <w:rStyle w:val="InternetLink"/>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pStyle w:val="Normal"/>
        <w:spacing w:before="0" w:after="0"/>
        <w:ind w:left="0" w:right="0" w:firstLine="720"/>
        <w:contextualSpacing/>
        <w:rPr/>
      </w:pPr>
      <w:r>
        <w:rPr>
          <w:rStyle w:val="InternetLink"/>
          <w:color w:val="auto"/>
          <w:highlight w:val="white"/>
          <w:u w:val="none"/>
        </w:rPr>
        <w:t>Markus Gabriel: “</w:t>
      </w:r>
      <w:r>
        <w:rPr>
          <w:rStyle w:val="InternetLink"/>
          <w:i/>
          <w:color w:val="auto"/>
          <w:highlight w:val="white"/>
          <w:u w:val="none"/>
        </w:rPr>
        <w:t>Existence is something that appears in context. To exist is to be in context.”</w:t>
      </w:r>
      <w:r>
        <w:rPr>
          <w:rStyle w:val="InternetLink"/>
          <w:color w:val="auto"/>
          <w:highlight w:val="white"/>
          <w:u w:val="none"/>
        </w:rPr>
        <w:t xml:space="preserve"> “</w:t>
      </w:r>
      <w:r>
        <w:rPr>
          <w:rStyle w:val="InternetLink"/>
          <w:i/>
          <w:color w:val="auto"/>
          <w:highlight w:val="white"/>
          <w:u w:val="none"/>
        </w:rPr>
        <w:t>Any object intersects with other objects from the same list.”</w:t>
      </w:r>
      <w:r>
        <w:rPr>
          <w:rStyle w:val="InternetLink"/>
          <w:color w:val="auto"/>
          <w:highlight w:val="white"/>
          <w:u w:val="none"/>
        </w:rPr>
        <w:t xml:space="preserve"> These words are perfectly synonyms with my words! Is it not clear yet?</w:t>
      </w:r>
    </w:p>
    <w:p>
      <w:pPr>
        <w:pStyle w:val="ListParagraph"/>
        <w:widowControl/>
        <w:numPr>
          <w:ilvl w:val="0"/>
          <w:numId w:val="31"/>
        </w:numPr>
        <w:suppressAutoHyphens w:val="false"/>
        <w:overflowPunct w:val="false"/>
        <w:spacing w:before="0" w:after="0"/>
        <w:ind w:left="0" w:right="0" w:hanging="0"/>
        <w:contextualSpacing/>
        <w:jc w:val="both"/>
        <w:textAlignment w:val="auto"/>
        <w:rPr/>
      </w:pPr>
      <w:r>
        <w:rPr>
          <w:rFonts w:ascii="Times New Roman" w:hAnsi="Times New Roman"/>
          <w:sz w:val="24"/>
          <w:szCs w:val="24"/>
        </w:rPr>
        <w:t>“</w:t>
      </w: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pStyle w:val="Normal"/>
        <w:spacing w:before="0" w:after="0"/>
        <w:ind w:left="0" w:right="0" w:firstLine="720"/>
        <w:contextualSpacing/>
        <w:rPr/>
      </w:pPr>
      <w:r>
        <w:rPr>
          <w:rStyle w:val="InternetLink"/>
          <w:color w:val="auto"/>
          <w:highlight w:val="white"/>
          <w:u w:val="none"/>
        </w:rPr>
        <w:t xml:space="preserve">Markus Gabriel: “… an </w:t>
      </w:r>
      <w:r>
        <w:rPr>
          <w:rStyle w:val="InternetLink"/>
          <w:i/>
          <w:color w:val="auto"/>
          <w:highlight w:val="white"/>
          <w:u w:val="none"/>
        </w:rPr>
        <w:t>important step for humanity</w:t>
      </w:r>
      <w:r>
        <w:rPr>
          <w:rStyle w:val="InternetLink"/>
          <w:color w:val="auto"/>
          <w:highlight w:val="white"/>
          <w:u w:val="none"/>
        </w:rPr>
        <w:t xml:space="preserve">, we really have to give up to the idea that all things are connected. Something is connected and something is not. We have to </w:t>
      </w:r>
      <w:r>
        <w:rPr>
          <w:rStyle w:val="InternetLink"/>
          <w:i/>
          <w:color w:val="auto"/>
          <w:highlight w:val="white"/>
          <w:u w:val="none"/>
        </w:rPr>
        <w:t>give up the idea of over structure that settles things</w:t>
      </w:r>
      <w:r>
        <w:rPr>
          <w:rStyle w:val="InternetLink"/>
          <w:color w:val="auto"/>
          <w:highlight w:val="white"/>
          <w:u w:val="none"/>
        </w:rPr>
        <w:t>.”</w:t>
      </w:r>
    </w:p>
    <w:p>
      <w:pPr>
        <w:pStyle w:val="ListParagraph"/>
        <w:widowControl/>
        <w:numPr>
          <w:ilvl w:val="0"/>
          <w:numId w:val="31"/>
        </w:numPr>
        <w:suppressAutoHyphens w:val="false"/>
        <w:overflowPunct w:val="false"/>
        <w:spacing w:before="0" w:after="0"/>
        <w:ind w:left="0" w:right="0" w:hanging="0"/>
        <w:contextualSpacing/>
        <w:jc w:val="both"/>
        <w:textAlignment w:val="auto"/>
        <w:rPr/>
      </w:pPr>
      <w:r>
        <w:rPr>
          <w:rStyle w:val="InternetLink"/>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pStyle w:val="ListParagraph"/>
        <w:spacing w:before="0" w:after="0"/>
        <w:ind w:left="0" w:right="0" w:firstLine="720"/>
        <w:contextualSpacing/>
        <w:jc w:val="both"/>
        <w:rPr/>
      </w:pPr>
      <w:r>
        <w:rPr>
          <w:rStyle w:val="InternetLink"/>
          <w:rFonts w:ascii="Times New Roman" w:hAnsi="Times New Roman"/>
          <w:color w:val="auto"/>
          <w:sz w:val="24"/>
          <w:szCs w:val="24"/>
          <w:highlight w:val="white"/>
          <w:u w:val="none"/>
        </w:rPr>
        <w:t>Markus Gabriel: Without having any background or study in physics, he sustains that the idea of “</w:t>
      </w:r>
      <w:r>
        <w:rPr>
          <w:rStyle w:val="InternetLink"/>
          <w:rFonts w:ascii="Times New Roman" w:hAnsi="Times New Roman"/>
          <w:i/>
          <w:color w:val="auto"/>
          <w:sz w:val="24"/>
          <w:szCs w:val="24"/>
          <w:highlight w:val="white"/>
          <w:u w:val="none"/>
        </w:rPr>
        <w:t>unified physics”</w:t>
      </w:r>
      <w:r>
        <w:rPr>
          <w:rStyle w:val="InternetLink"/>
          <w:rFonts w:ascii="Times New Roman" w:hAnsi="Times New Roman"/>
          <w:color w:val="auto"/>
          <w:sz w:val="24"/>
          <w:szCs w:val="24"/>
          <w:highlight w:val="white"/>
          <w:u w:val="none"/>
        </w:rPr>
        <w:t xml:space="preserve"> is wrong! (Even this expression is wrong!)</w:t>
      </w:r>
    </w:p>
    <w:p>
      <w:pPr>
        <w:pStyle w:val="ListParagraph"/>
        <w:widowControl/>
        <w:numPr>
          <w:ilvl w:val="0"/>
          <w:numId w:val="31"/>
        </w:numPr>
        <w:suppressAutoHyphens w:val="false"/>
        <w:overflowPunct w:val="false"/>
        <w:spacing w:before="0" w:after="0"/>
        <w:ind w:left="0" w:right="0" w:hanging="0"/>
        <w:contextualSpacing/>
        <w:jc w:val="both"/>
        <w:textAlignment w:val="auto"/>
        <w:rPr/>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pStyle w:val="Normal"/>
        <w:spacing w:before="0" w:after="0"/>
        <w:ind w:left="0" w:right="0" w:firstLine="360"/>
        <w:contextualSpacing/>
        <w:rPr/>
      </w:pPr>
      <w:r>
        <w:rPr>
          <w:rStyle w:val="InternetLink"/>
          <w:color w:val="auto"/>
          <w:highlight w:val="white"/>
          <w:u w:val="none"/>
        </w:rPr>
        <w:t xml:space="preserve">Markus Gabriel: He claims that it is </w:t>
      </w:r>
      <w:r>
        <w:rPr>
          <w:rStyle w:val="InternetLink"/>
          <w:i/>
          <w:color w:val="auto"/>
          <w:highlight w:val="white"/>
          <w:u w:val="none"/>
        </w:rPr>
        <w:t>wrong</w:t>
      </w:r>
      <w:r>
        <w:rPr>
          <w:rStyle w:val="InternetLink"/>
          <w:color w:val="auto"/>
          <w:highlight w:val="white"/>
          <w:u w:val="none"/>
        </w:rPr>
        <w:t xml:space="preserve"> to consider “</w:t>
      </w:r>
      <w:r>
        <w:rPr>
          <w:rStyle w:val="InternetLink"/>
          <w:i/>
          <w:color w:val="auto"/>
          <w:highlight w:val="white"/>
          <w:u w:val="none"/>
        </w:rPr>
        <w:t>the world is as being the sum of all things/objects</w:t>
      </w:r>
      <w:r>
        <w:rPr>
          <w:rStyle w:val="InternetLink"/>
          <w:color w:val="auto"/>
          <w:highlight w:val="white"/>
          <w:u w:val="none"/>
        </w:rPr>
        <w:t xml:space="preserve">”. </w:t>
      </w:r>
    </w:p>
    <w:p>
      <w:pPr>
        <w:pStyle w:val="ListParagraph"/>
        <w:widowControl/>
        <w:numPr>
          <w:ilvl w:val="0"/>
          <w:numId w:val="31"/>
        </w:numPr>
        <w:suppressAutoHyphens w:val="false"/>
        <w:overflowPunct w:val="false"/>
        <w:spacing w:before="0" w:after="0"/>
        <w:ind w:left="0" w:right="0" w:hanging="0"/>
        <w:contextualSpacing/>
        <w:jc w:val="both"/>
        <w:textAlignment w:val="auto"/>
        <w:rPr/>
      </w:pPr>
      <w:r>
        <w:rPr>
          <w:rStyle w:val="InternetLink"/>
          <w:rFonts w:ascii="Times New Roman" w:hAnsi="Times New Roman"/>
          <w:color w:val="auto"/>
          <w:sz w:val="24"/>
          <w:szCs w:val="24"/>
          <w:highlight w:val="white"/>
          <w:u w:val="none"/>
        </w:rPr>
        <w:t>At the end of his presentation, Gabriel considers that we are “free” because “</w:t>
      </w:r>
      <w:r>
        <w:rPr>
          <w:rStyle w:val="InternetLink"/>
          <w:rFonts w:ascii="Times New Roman" w:hAnsi="Times New Roman"/>
          <w:i/>
          <w:color w:val="auto"/>
          <w:sz w:val="24"/>
          <w:szCs w:val="24"/>
          <w:highlight w:val="white"/>
          <w:u w:val="none"/>
        </w:rPr>
        <w:t>human beings avoid the determinism, not because of God or univers</w:t>
      </w:r>
      <w:r>
        <w:rPr>
          <w:rStyle w:val="InternetLink"/>
          <w:rFonts w:ascii="Times New Roman" w:hAnsi="Times New Roman"/>
          <w:color w:val="auto"/>
          <w:sz w:val="24"/>
          <w:szCs w:val="24"/>
          <w:highlight w:val="white"/>
          <w:u w:val="none"/>
        </w:rPr>
        <w:t xml:space="preserve">e”, but because we have “infinite possibilities”. </w:t>
      </w:r>
    </w:p>
    <w:p>
      <w:pPr>
        <w:pStyle w:val="ListParagraph"/>
        <w:spacing w:before="0" w:after="0"/>
        <w:ind w:left="0" w:right="0" w:firstLine="720"/>
        <w:contextualSpacing/>
        <w:jc w:val="both"/>
        <w:rPr/>
      </w:pPr>
      <w:r>
        <w:rPr>
          <w:rStyle w:val="InternetLink"/>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pStyle w:val="Normal"/>
        <w:spacing w:before="0" w:after="0"/>
        <w:contextualSpacing/>
        <w:rPr>
          <w:rStyle w:val="InternetLink"/>
          <w:color w:val="auto"/>
          <w:highlight w:val="white"/>
          <w:u w:val="none"/>
        </w:rPr>
      </w:pPr>
      <w:r>
        <w:rPr>
          <w:color w:val="auto"/>
          <w:highlight w:val="white"/>
          <w:u w:val="none"/>
        </w:rPr>
      </w:r>
    </w:p>
    <w:p>
      <w:pPr>
        <w:pStyle w:val="ListParagraph"/>
        <w:widowControl/>
        <w:numPr>
          <w:ilvl w:val="0"/>
          <w:numId w:val="33"/>
        </w:numPr>
        <w:suppressAutoHyphens w:val="false"/>
        <w:overflowPunct w:val="false"/>
        <w:spacing w:before="0" w:after="0"/>
        <w:ind w:left="0" w:right="0" w:hanging="0"/>
        <w:contextualSpacing/>
        <w:jc w:val="both"/>
        <w:textAlignment w:val="auto"/>
        <w:rPr/>
      </w:pPr>
      <w:r>
        <w:rPr>
          <w:rStyle w:val="InternetLink"/>
          <w:rFonts w:ascii="Times New Roman" w:hAnsi="Times New Roman"/>
          <w:b/>
          <w:color w:val="auto"/>
          <w:sz w:val="24"/>
          <w:szCs w:val="24"/>
          <w:highlight w:val="white"/>
          <w:u w:val="none"/>
        </w:rPr>
        <w:t>Markus Gabriel’s book: “</w:t>
      </w:r>
      <w:r>
        <w:rPr>
          <w:rStyle w:val="InternetLink"/>
          <w:rFonts w:ascii="Times New Roman" w:hAnsi="Times New Roman"/>
          <w:b/>
          <w:i/>
          <w:color w:val="auto"/>
          <w:sz w:val="24"/>
          <w:szCs w:val="24"/>
          <w:highlight w:val="white"/>
          <w:u w:val="none"/>
        </w:rPr>
        <w:t>Why the world does not exist”</w:t>
      </w:r>
      <w:r>
        <w:rPr>
          <w:rStyle w:val="InternetLink"/>
          <w:rFonts w:ascii="Times New Roman" w:hAnsi="Times New Roman"/>
          <w:b/>
          <w:color w:val="auto"/>
          <w:sz w:val="24"/>
          <w:szCs w:val="24"/>
          <w:highlight w:val="white"/>
          <w:u w:val="none"/>
        </w:rPr>
        <w:t xml:space="preserve"> (2013) </w:t>
      </w:r>
    </w:p>
    <w:p>
      <w:pPr>
        <w:pStyle w:val="Normal"/>
        <w:spacing w:before="0" w:after="0"/>
        <w:contextualSpacing/>
        <w:rPr/>
      </w:pPr>
      <w:r>
        <w:rPr>
          <w:rStyle w:val="InternetLink"/>
          <w:color w:val="auto"/>
          <w:highlight w:val="white"/>
          <w:u w:val="none"/>
        </w:rPr>
        <w:t xml:space="preserve">In this section, let me analyze six paragraphs from only two pages (pp. 11-12) of his book </w:t>
      </w:r>
      <w:r>
        <w:rPr>
          <w:rStyle w:val="InternetLink"/>
          <w:i/>
          <w:color w:val="auto"/>
          <w:highlight w:val="white"/>
          <w:u w:val="none"/>
        </w:rPr>
        <w:t>Why the world does not exist</w:t>
      </w:r>
      <w:r>
        <w:rPr>
          <w:rStyle w:val="InternetLink"/>
          <w:color w:val="auto"/>
          <w:highlight w:val="white"/>
          <w:u w:val="none"/>
        </w:rPr>
        <w:t xml:space="preserve"> (2013) (in Germany). Using Google translation program from Germany to English and correcting some words, my colleague (Gheorghe Stefanov) helped me translating these paragraphs:</w:t>
      </w:r>
    </w:p>
    <w:p>
      <w:pPr>
        <w:pStyle w:val="ListParagraph"/>
        <w:widowControl/>
        <w:numPr>
          <w:ilvl w:val="0"/>
          <w:numId w:val="34"/>
        </w:numPr>
        <w:suppressAutoHyphens w:val="false"/>
        <w:overflowPunct w:val="false"/>
        <w:spacing w:before="0" w:after="0"/>
        <w:ind w:left="0" w:right="0" w:hanging="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pStyle w:val="ListParagraph"/>
        <w:spacing w:before="0" w:after="0"/>
        <w:ind w:left="0" w:right="0" w:firstLine="720"/>
        <w:contextualSpacing/>
        <w:jc w:val="both"/>
        <w:rPr/>
      </w:pPr>
      <w:r>
        <w:rPr>
          <w:rFonts w:ascii="Times New Roman" w:hAnsi="Times New Roman"/>
          <w:sz w:val="24"/>
          <w:szCs w:val="24"/>
        </w:rPr>
        <w:t>English</w:t>
      </w:r>
      <w:r>
        <w:rPr>
          <w:rStyle w:val="FootnoteAnchor"/>
          <w:rFonts w:ascii="Times New Roman" w:hAnsi="Times New Roman"/>
          <w:sz w:val="24"/>
          <w:szCs w:val="24"/>
        </w:rPr>
        <w:footnoteReference w:id="289"/>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pStyle w:val="ListParagraph"/>
        <w:spacing w:before="0" w:after="0"/>
        <w:ind w:left="0" w:right="0" w:firstLine="720"/>
        <w:contextualSpacing/>
        <w:jc w:val="both"/>
        <w:rPr/>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pStyle w:val="ListParagraph"/>
        <w:widowControl/>
        <w:numPr>
          <w:ilvl w:val="0"/>
          <w:numId w:val="34"/>
        </w:numPr>
        <w:suppressAutoHyphens w:val="false"/>
        <w:overflowPunct w:val="false"/>
        <w:spacing w:before="0" w:after="0"/>
        <w:ind w:left="0" w:right="0" w:hanging="0"/>
        <w:contextualSpacing/>
        <w:jc w:val="both"/>
        <w:textAlignment w:val="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pStyle w:val="ListParagraph"/>
        <w:spacing w:before="0" w:after="0"/>
        <w:ind w:left="0" w:right="0" w:firstLine="720"/>
        <w:contextualSpacing/>
        <w:jc w:val="both"/>
        <w:rPr/>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pStyle w:val="ListParagraph"/>
        <w:spacing w:before="0" w:after="0"/>
        <w:ind w:left="0" w:right="0" w:firstLine="720"/>
        <w:contextualSpacing/>
        <w:jc w:val="both"/>
        <w:rPr/>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pStyle w:val="ListParagraph"/>
        <w:widowControl/>
        <w:numPr>
          <w:ilvl w:val="0"/>
          <w:numId w:val="34"/>
        </w:numPr>
        <w:suppressAutoHyphens w:val="false"/>
        <w:overflowPunct w:val="false"/>
        <w:spacing w:before="0" w:after="0"/>
        <w:ind w:left="0" w:right="0" w:hanging="0"/>
        <w:contextualSpacing/>
        <w:jc w:val="both"/>
        <w:textAlignment w:val="auto"/>
        <w:rPr/>
      </w:pPr>
      <w:r>
        <w:rPr>
          <w:rFonts w:ascii="Times New Roman" w:hAnsi="Times New Roman"/>
          <w:sz w:val="24"/>
          <w:szCs w:val="24"/>
        </w:rPr>
        <w:t>“</w:t>
      </w:r>
      <w:r>
        <w:rPr>
          <w:rFonts w:ascii="Times New Roman" w:hAnsi="Times New Roman"/>
          <w:sz w:val="24"/>
          <w:szCs w:val="24"/>
        </w:rPr>
        <w:t>Das klingt vielleicht merkwürdig, kann aber überraschend leicht anhand unserer</w:t>
        <w:br/>
        <w:t>alltäglichen Erfahrungen illustriert werden. Stellen wir uns vor, wir treffen uns mit</w:t>
        <w:b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br/>
        <w:t xml:space="preserve">Zentrum der Aufmerksamkeit rückt.” </w:t>
      </w:r>
    </w:p>
    <w:p>
      <w:pPr>
        <w:pStyle w:val="Normal"/>
        <w:spacing w:before="0" w:after="0"/>
        <w:ind w:left="0" w:right="0" w:firstLine="720"/>
        <w:contextualSpacing/>
        <w:rPr/>
      </w:pPr>
      <w:r>
        <w:rP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rPr/>
        <w:t xml:space="preserve"> the restaurant owner, the cooks, but also the insects and spiders and bacteria are invisible to us, who are in the restaurant. In addition, there are events at the </w:t>
      </w:r>
      <w:r>
        <w:rPr>
          <w:i/>
        </w:rPr>
        <w:t>subatomic level</w:t>
      </w:r>
      <w:r>
        <w:rP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pStyle w:val="ListParagraph"/>
        <w:spacing w:before="0" w:after="0"/>
        <w:ind w:left="0" w:right="0" w:firstLine="720"/>
        <w:contextualSpacing/>
        <w:jc w:val="both"/>
        <w:rPr/>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pStyle w:val="ListParagraph"/>
        <w:widowControl/>
        <w:numPr>
          <w:ilvl w:val="0"/>
          <w:numId w:val="34"/>
        </w:numPr>
        <w:suppressAutoHyphens w:val="false"/>
        <w:overflowPunct w:val="false"/>
        <w:spacing w:before="0" w:after="0"/>
        <w:ind w:left="0" w:right="0" w:hanging="0"/>
        <w:contextualSpacing/>
        <w:jc w:val="both"/>
        <w:textAlignment w:val="auto"/>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pStyle w:val="Normal"/>
        <w:spacing w:before="0" w:after="0"/>
        <w:ind w:left="0" w:right="0" w:firstLine="720"/>
        <w:contextualSpacing/>
        <w:rPr/>
      </w:pPr>
      <w:r>
        <w:rPr/>
        <w:t xml:space="preserve">English: “There is within the restaurant visit so many subject areas, as it were </w:t>
      </w:r>
      <w:r>
        <w:rPr>
          <w:i/>
        </w:rPr>
        <w:t>small isolated worlds that exist </w:t>
      </w:r>
      <w:r>
        <w:rPr>
          <w:bCs/>
          <w:i/>
        </w:rPr>
        <w:t>side by side without really meeting each other</w:t>
      </w:r>
      <w:r>
        <w:rPr/>
        <w:t xml:space="preserve">. There are so many little worlds, but </w:t>
      </w:r>
      <w:r>
        <w:rPr>
          <w:i/>
        </w:rPr>
        <w:t>not a world to which they all belong</w:t>
      </w:r>
      <w:r>
        <w:rPr/>
        <w:t xml:space="preserve">. This means </w:t>
      </w:r>
      <w:r>
        <w:rPr>
          <w:i/>
        </w:rPr>
        <w:t>not</w:t>
      </w:r>
      <w:r>
        <w:rPr/>
        <w:t xml:space="preserve"> just that the many small worlds are </w:t>
      </w:r>
      <w:r>
        <w:rPr>
          <w:i/>
        </w:rPr>
        <w:t>only perspectives on the one world</w:t>
      </w:r>
      <w:r>
        <w:rPr/>
        <w:t xml:space="preserve">, but that there are only many small worlds. They not only exist in my imagination, but </w:t>
      </w:r>
      <w:r>
        <w:rPr>
          <w:i/>
        </w:rPr>
        <w:t>their existence is real.</w:t>
      </w:r>
      <w:r>
        <w:rPr/>
        <w:t>”</w:t>
      </w:r>
    </w:p>
    <w:p>
      <w:pPr>
        <w:pStyle w:val="ListParagraph"/>
        <w:spacing w:before="0" w:after="0"/>
        <w:ind w:left="0" w:right="0" w:firstLine="720"/>
        <w:contextualSpacing/>
        <w:jc w:val="both"/>
        <w:rPr/>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pStyle w:val="ListParagraph"/>
        <w:widowControl/>
        <w:numPr>
          <w:ilvl w:val="0"/>
          <w:numId w:val="34"/>
        </w:numPr>
        <w:suppressAutoHyphens w:val="false"/>
        <w:overflowPunct w:val="false"/>
        <w:spacing w:before="0" w:after="0"/>
        <w:ind w:left="0" w:right="0" w:hanging="0"/>
        <w:contextualSpacing/>
        <w:jc w:val="both"/>
        <w:textAlignment w:val="auto"/>
        <w:rPr/>
      </w:pPr>
      <w:r>
        <w:rPr>
          <w:rFonts w:ascii="Times New Roman" w:hAnsi="Times New Roman"/>
          <w:sz w:val="24"/>
          <w:szCs w:val="24"/>
        </w:rPr>
        <w:t>“</w:t>
      </w: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pStyle w:val="Normal"/>
        <w:spacing w:before="0" w:after="0"/>
        <w:ind w:left="0" w:right="0" w:firstLine="720"/>
        <w:contextualSpacing/>
        <w:rPr/>
      </w:pPr>
      <w:r>
        <w:rPr/>
        <w:t xml:space="preserve">English: “It is in this precise sense that one can understand my contention that there is not the world. It is simply </w:t>
      </w:r>
      <w:r>
        <w:rPr>
          <w:i/>
        </w:rPr>
        <w:t>false that everything is interconnected</w:t>
      </w:r>
      <w:r>
        <w:rPr/>
        <w:t xml:space="preserve">. The popular assertion that the flap of a </w:t>
      </w:r>
      <w:r>
        <w:rPr>
          <w:i/>
        </w:rPr>
        <w:t>butterfly's wings</w:t>
      </w:r>
      <w:r>
        <w:rPr/>
        <w:t xml:space="preserve"> in Brazil might produce a tornado in Texas is simply wrong. Much has to do with many things, but it is wrong (actually impossible!), that everything is interconnected. Of course every one of us creates lasting relationships.”</w:t>
      </w:r>
    </w:p>
    <w:p>
      <w:pPr>
        <w:pStyle w:val="ListParagraph"/>
        <w:shd w:val="clear" w:fill="FFFFFF"/>
        <w:spacing w:before="0" w:after="0"/>
        <w:ind w:left="0" w:right="0" w:firstLine="720"/>
        <w:contextualSpacing/>
        <w:jc w:val="both"/>
        <w:rPr/>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pStyle w:val="ListParagraph"/>
        <w:widowControl/>
        <w:numPr>
          <w:ilvl w:val="0"/>
          <w:numId w:val="34"/>
        </w:numPr>
        <w:suppressAutoHyphens w:val="false"/>
        <w:overflowPunct w:val="false"/>
        <w:spacing w:before="0" w:after="0"/>
        <w:ind w:left="0" w:right="0" w:hanging="0"/>
        <w:contextualSpacing/>
        <w:jc w:val="both"/>
        <w:textAlignment w:val="auto"/>
        <w:rPr/>
      </w:pPr>
      <w:r>
        <w:rPr>
          <w:rFonts w:ascii="Times New Roman" w:hAnsi="Times New Roman"/>
          <w:sz w:val="24"/>
          <w:szCs w:val="24"/>
        </w:rPr>
        <w:t>“</w:t>
      </w: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pStyle w:val="ListParagraph"/>
        <w:spacing w:before="0" w:after="0"/>
        <w:ind w:left="0" w:right="0" w:firstLine="720"/>
        <w:contextualSpacing/>
        <w:jc w:val="both"/>
        <w:rPr/>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pStyle w:val="ListParagraph"/>
        <w:shd w:val="clear" w:fill="FFFFFF"/>
        <w:spacing w:before="0" w:after="0"/>
        <w:ind w:left="0" w:right="0" w:firstLine="720"/>
        <w:contextualSpacing/>
        <w:jc w:val="both"/>
        <w:rPr/>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pStyle w:val="ListParagraph"/>
        <w:shd w:val="clear" w:fill="FFFFFF"/>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widowControl/>
        <w:numPr>
          <w:ilvl w:val="0"/>
          <w:numId w:val="33"/>
        </w:numPr>
        <w:shd w:val="clear" w:fill="FFFFFF"/>
        <w:suppressAutoHyphens w:val="false"/>
        <w:overflowPunct w:val="false"/>
        <w:spacing w:before="0" w:after="0"/>
        <w:ind w:left="0" w:right="0" w:hanging="0"/>
        <w:contextualSpacing/>
        <w:jc w:val="both"/>
        <w:textAlignment w:val="auto"/>
        <w:rPr>
          <w:rFonts w:ascii="Times New Roman" w:hAnsi="Times New Roman"/>
          <w:b/>
          <w:b/>
          <w:sz w:val="24"/>
          <w:szCs w:val="24"/>
        </w:rPr>
      </w:pPr>
      <w:r>
        <w:rPr>
          <w:rFonts w:ascii="Times New Roman" w:hAnsi="Times New Roman"/>
          <w:b/>
          <w:sz w:val="24"/>
          <w:szCs w:val="24"/>
        </w:rPr>
        <w:t xml:space="preserve">Remarks about the unbelievable similarities between EDWS perspective and Markus Gabriel’s ideas </w:t>
      </w:r>
    </w:p>
    <w:p>
      <w:pPr>
        <w:pStyle w:val="ListParagraph"/>
        <w:shd w:val="clear" w:fill="FFFFFF"/>
        <w:spacing w:before="0" w:after="0"/>
        <w:ind w:left="0" w:right="0" w:hanging="0"/>
        <w:contextualSpacing/>
        <w:jc w:val="both"/>
        <w:rPr/>
      </w:pPr>
      <w:r>
        <w:rPr>
          <w:rStyle w:val="InternetLink"/>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FootnoteAnchor"/>
          <w:rFonts w:ascii="Times New Roman" w:hAnsi="Times New Roman"/>
          <w:sz w:val="24"/>
          <w:szCs w:val="24"/>
        </w:rPr>
        <w:footnoteReference w:id="290"/>
      </w:r>
      <w:r>
        <w:rPr>
          <w:rFonts w:ascii="Times New Roman" w:hAnsi="Times New Roman"/>
          <w:sz w:val="24"/>
          <w:szCs w:val="24"/>
        </w:rPr>
        <w:t xml:space="preserve"> (Sinnfeld) (probably, this is “context”, in English), anyway, in his TED clip, he claims that all objects exist on different “lists”.</w:t>
      </w:r>
      <w:r>
        <w:rPr>
          <w:rStyle w:val="FootnoteAnchor"/>
          <w:rFonts w:ascii="Times New Roman" w:hAnsi="Times New Roman"/>
          <w:sz w:val="24"/>
          <w:szCs w:val="24"/>
        </w:rPr>
        <w:footnoteReference w:id="291"/>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pStyle w:val="Normal"/>
        <w:shd w:val="clear" w:fill="FFFFFF"/>
        <w:spacing w:before="0" w:after="0"/>
        <w:ind w:left="0" w:right="0" w:firstLine="720"/>
        <w:contextualSpacing/>
        <w:rPr/>
      </w:pPr>
      <w:r>
        <w:rP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InternetLink"/>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rP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rP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pStyle w:val="Normal"/>
        <w:shd w:val="clear" w:fill="FFFFFF"/>
        <w:spacing w:before="0" w:after="0"/>
        <w:ind w:left="0" w:right="0" w:firstLine="720"/>
        <w:contextualSpacing/>
        <w:rPr/>
      </w:pPr>
      <w:r>
        <w:rP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InternetLink"/>
          <w:color w:val="auto"/>
          <w:highlight w:val="white"/>
          <w:u w:val="none"/>
        </w:rPr>
        <w:t>I believe that t</w:t>
      </w:r>
      <w:r>
        <w:rPr/>
        <w:t xml:space="preserve">he relationship between my ideas and Markus Gabriel’s “ideas” </w:t>
      </w:r>
      <w:r>
        <w:rPr>
          <w:b/>
        </w:rPr>
        <w:t>cannot be considered just a coincidence</w:t>
      </w:r>
      <w:r>
        <w:rPr/>
        <w:t xml:space="preserve">! My ideas are not just simple ideas because the EDWs perspective is a </w:t>
      </w:r>
      <w:r>
        <w:rPr>
          <w:b/>
        </w:rPr>
        <w:t>completely new framework</w:t>
      </w:r>
      <w:r>
        <w:rP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rPr/>
        <w:t>, maybe even 200 years ago as a reply to Descartes’ mind-body problem or immediately after the elaboration of Einstein’s theory of relativity and quantum mechanics!</w:t>
      </w:r>
      <w:r>
        <w:rPr>
          <w:rStyle w:val="FootnoteAnchor"/>
        </w:rPr>
        <w:footnoteReference w:id="292"/>
      </w:r>
      <w:r>
        <w:rPr/>
        <w:t xml:space="preserve"> Again, if we consider that Markus Gabriel did not plagiarize my main ideas, then how was possible a person working on A</w:t>
      </w:r>
      <w:r>
        <w:rPr>
          <w:rStyle w:val="InternetLink"/>
          <w:color w:val="auto"/>
          <w:highlight w:val="white"/>
          <w:u w:val="none"/>
        </w:rPr>
        <w:t xml:space="preserve">ncient and classical philosophy to come with a </w:t>
      </w:r>
      <w:r>
        <w:rPr>
          <w:rStyle w:val="InternetLink"/>
          <w:b/>
          <w:color w:val="auto"/>
          <w:highlight w:val="white"/>
          <w:u w:val="none"/>
        </w:rPr>
        <w:t>new</w:t>
      </w:r>
      <w:r>
        <w:rPr>
          <w:rStyle w:val="InternetLink"/>
          <w:color w:val="auto"/>
          <w:highlight w:val="white"/>
          <w:u w:val="none"/>
        </w:rPr>
        <w:t xml:space="preserve"> </w:t>
      </w:r>
      <w:r>
        <w:rPr>
          <w:rStyle w:val="InternetLink"/>
          <w:b/>
          <w:color w:val="auto"/>
          <w:highlight w:val="white"/>
          <w:u w:val="none"/>
        </w:rPr>
        <w:t>framework of thinking</w:t>
      </w:r>
      <w:r>
        <w:rPr>
          <w:rStyle w:val="InternetLink"/>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pStyle w:val="Normal"/>
        <w:spacing w:before="0" w:after="0"/>
        <w:ind w:left="0" w:right="0" w:firstLine="720"/>
        <w:contextualSpacing/>
        <w:rPr/>
      </w:pPr>
      <w:r>
        <w:rPr>
          <w:rStyle w:val="InternetLink"/>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pStyle w:val="Normal"/>
        <w:spacing w:before="0" w:after="0"/>
        <w:contextualSpacing/>
        <w:rPr>
          <w:rStyle w:val="InternetLink"/>
          <w:b/>
          <w:b/>
          <w:color w:val="auto"/>
          <w:highlight w:val="white"/>
          <w:u w:val="none"/>
        </w:rPr>
      </w:pPr>
      <w:r>
        <w:rPr>
          <w:b/>
          <w:color w:val="auto"/>
          <w:highlight w:val="white"/>
          <w:u w:val="none"/>
        </w:rPr>
      </w:r>
    </w:p>
    <w:p>
      <w:pPr>
        <w:pStyle w:val="ListParagraph"/>
        <w:widowControl/>
        <w:numPr>
          <w:ilvl w:val="0"/>
          <w:numId w:val="33"/>
        </w:numPr>
        <w:suppressAutoHyphens w:val="false"/>
        <w:overflowPunct w:val="false"/>
        <w:spacing w:before="0" w:after="0"/>
        <w:ind w:left="0" w:right="0" w:hanging="0"/>
        <w:contextualSpacing/>
        <w:jc w:val="both"/>
        <w:textAlignment w:val="auto"/>
        <w:rPr/>
      </w:pPr>
      <w:r>
        <w:rPr>
          <w:rStyle w:val="InternetLink"/>
          <w:rFonts w:ascii="Times New Roman" w:hAnsi="Times New Roman"/>
          <w:b/>
          <w:color w:val="auto"/>
          <w:sz w:val="24"/>
          <w:szCs w:val="24"/>
          <w:highlight w:val="white"/>
          <w:u w:val="none"/>
        </w:rPr>
        <w:t>Conclusion</w:t>
      </w:r>
    </w:p>
    <w:p>
      <w:pPr>
        <w:pStyle w:val="Normal"/>
        <w:spacing w:before="0" w:after="0"/>
        <w:contextualSpacing/>
        <w:rPr/>
      </w:pPr>
      <w:r>
        <w:rPr>
          <w:rStyle w:val="InternetLink"/>
          <w:color w:val="auto"/>
          <w:highlight w:val="white"/>
          <w:u w:val="none"/>
        </w:rPr>
        <w:t>Did Markus Gabriel plagiarize my ideas?</w:t>
      </w:r>
      <w:r>
        <w:rPr>
          <w:rStyle w:val="FootnoteAnchor"/>
          <w:highlight w:val="white"/>
        </w:rPr>
        <w:footnoteReference w:id="293"/>
      </w:r>
      <w:r>
        <w:rPr>
          <w:rStyle w:val="InternetLink"/>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InternetLink"/>
          <w:i/>
          <w:color w:val="auto"/>
          <w:highlight w:val="white"/>
          <w:u w:val="none"/>
        </w:rPr>
        <w:t>No man’s land</w:t>
      </w:r>
      <w:r>
        <w:rPr>
          <w:rStyle w:val="InternetLink"/>
          <w:color w:val="auto"/>
          <w:highlight w:val="white"/>
          <w:u w:val="none"/>
        </w:rPr>
        <w:t>”, probably Markus Gabriel believed I had no access to the Internet) so can we speak he plagiarized my ideas?</w:t>
      </w:r>
      <w:r>
        <w:rPr>
          <w:rStyle w:val="FootnoteAnchor"/>
          <w:highlight w:val="white"/>
        </w:rPr>
        <w:footnoteReference w:id="294"/>
      </w:r>
      <w:r>
        <w:rPr>
          <w:rStyle w:val="InternetLink"/>
          <w:color w:val="auto"/>
          <w:highlight w:val="white"/>
          <w:u w:val="none"/>
        </w:rPr>
        <w:t xml:space="preserve"> After reading this appendix and noticing so many “coincidences”, I leave the reader to answer this question.</w:t>
      </w:r>
    </w:p>
    <w:p>
      <w:pPr>
        <w:pStyle w:val="Normal"/>
        <w:spacing w:before="0" w:after="0"/>
        <w:ind w:left="0" w:right="0" w:firstLine="720"/>
        <w:contextualSpacing/>
        <w:rPr/>
      </w:pPr>
      <w:r>
        <w:rPr/>
        <w:t>“</w:t>
      </w:r>
      <w:r>
        <w:rP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pStyle w:val="Normal"/>
        <w:spacing w:before="0" w:after="0"/>
        <w:ind w:left="0" w:right="0" w:firstLine="720"/>
        <w:contextualSpacing/>
        <w:rPr>
          <w:highlight w:val="white"/>
        </w:rPr>
      </w:pPr>
      <w:r>
        <w:rPr>
          <w:highlight w:val="white"/>
        </w:rPr>
      </w:r>
    </w:p>
    <w:p>
      <w:pPr>
        <w:pStyle w:val="Normal"/>
        <w:spacing w:before="0" w:after="0"/>
        <w:contextualSpacing/>
        <w:rPr/>
      </w:pPr>
      <w:r>
        <w:rPr>
          <w:rStyle w:val="InternetLink"/>
          <w:color w:val="auto"/>
          <w:highlight w:val="white"/>
          <w:u w:val="none"/>
        </w:rPr>
        <w:t>The cover of Vacariu's book 2010 and the cover Markus Gabriel's book 2015/2013!!</w:t>
      </w:r>
    </w:p>
    <w:p>
      <w:pPr>
        <w:pStyle w:val="Normal"/>
        <w:spacing w:before="0" w:after="0"/>
        <w:contextualSpacing/>
        <w:rPr>
          <w:rStyle w:val="InternetLink"/>
          <w:color w:val="auto"/>
          <w:highlight w:val="white"/>
          <w:u w:val="none"/>
        </w:rPr>
      </w:pPr>
      <w:r>
        <w:rPr>
          <w:color w:val="auto"/>
          <w:highlight w:val="white"/>
          <w:u w:val="none"/>
        </w:rPr>
      </w:r>
    </w:p>
    <w:p>
      <w:pPr>
        <w:pStyle w:val="Normal"/>
        <w:spacing w:before="0" w:after="0"/>
        <w:ind w:left="0" w:right="0" w:firstLine="720"/>
        <w:contextualSpacing/>
        <w:rPr/>
      </w:pPr>
      <w:r>
        <w:rPr/>
        <w:drawing>
          <wp:inline distT="0" distB="0"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102"/>
                    <a:stretch>
                      <a:fillRect/>
                    </a:stretch>
                  </pic:blipFill>
                  <pic:spPr bwMode="auto">
                    <a:xfrm>
                      <a:off x="0" y="0"/>
                      <a:ext cx="4476750" cy="3209925"/>
                    </a:xfrm>
                    <a:prstGeom prst="rect">
                      <a:avLst/>
                    </a:prstGeom>
                  </pic:spPr>
                </pic:pic>
              </a:graphicData>
            </a:graphic>
          </wp:inline>
        </w:drawing>
      </w:r>
    </w:p>
    <w:p>
      <w:pPr>
        <w:pStyle w:val="ListParagraph"/>
        <w:widowControl/>
        <w:suppressAutoHyphens w:val="false"/>
        <w:overflowPunct w:val="false"/>
        <w:spacing w:before="0" w:after="0"/>
        <w:ind w:left="0" w:right="0" w:hanging="0"/>
        <w:contextualSpacing/>
        <w:jc w:val="both"/>
        <w:textAlignment w:val="auto"/>
        <w:rPr>
          <w:rFonts w:ascii="Times New Roman" w:hAnsi="Times New Roman"/>
          <w:sz w:val="24"/>
          <w:szCs w:val="24"/>
        </w:rPr>
      </w:pPr>
      <w:r>
        <w:rPr>
          <w:rFonts w:ascii="Times New Roman" w:hAnsi="Times New Roman"/>
          <w:sz w:val="24"/>
          <w:szCs w:val="24"/>
        </w:rPr>
      </w:r>
    </w:p>
    <w:p>
      <w:pPr>
        <w:pStyle w:val="Normal"/>
        <w:spacing w:before="0" w:after="0"/>
        <w:contextualSpacing/>
        <w:rPr/>
      </w:pPr>
      <w:r>
        <w:rPr/>
      </w:r>
    </w:p>
    <w:p>
      <w:pPr>
        <w:pStyle w:val="Normal"/>
        <w:spacing w:before="0" w:after="0"/>
        <w:contextualSpacing/>
        <w:rPr/>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pStyle w:val="Normal"/>
        <w:spacing w:before="0" w:after="0"/>
        <w:contextualSpacing/>
        <w:rPr>
          <w:bCs/>
          <w:iCs/>
        </w:rPr>
      </w:pPr>
      <w:r>
        <w:rPr>
          <w:bCs/>
          <w:iCs/>
        </w:rPr>
      </w:r>
    </w:p>
    <w:p>
      <w:pPr>
        <w:pStyle w:val="Normal"/>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pStyle w:val="Normal"/>
        <w:spacing w:before="0" w:after="0"/>
        <w:contextualSpacing/>
        <w:rPr>
          <w:bCs/>
          <w:iCs/>
        </w:rPr>
      </w:pPr>
      <w:r>
        <w:rPr>
          <w:bCs/>
          <w:iCs/>
        </w:rPr>
      </w:r>
    </w:p>
    <w:p>
      <w:pPr>
        <w:pStyle w:val="Normal"/>
        <w:spacing w:before="0" w:after="0"/>
        <w:contextualSpacing/>
        <w:rPr/>
      </w:pPr>
      <w:r>
        <w:rPr>
          <w:rFonts w:cs="Georgia" w:ascii="Georgia" w:hAnsi="Georgia"/>
          <w:sz w:val="20"/>
          <w:szCs w:val="20"/>
        </w:rPr>
        <w:t xml:space="preserve">As previously mentioned, I adopt the stance of </w:t>
      </w:r>
      <w:r>
        <w:rPr>
          <w:rFonts w:cs="Georgia-Bold" w:ascii="Georgia-Bold" w:hAnsi="Georgia-Bold"/>
          <w:b/>
          <w:bCs/>
          <w:sz w:val="20"/>
          <w:szCs w:val="20"/>
        </w:rPr>
        <w:t>antinaturalis</w:t>
      </w:r>
      <w:r>
        <w:rPr>
          <w:rFonts w:cs="Georgia" w:ascii="Georgia" w:hAnsi="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pStyle w:val="Normal"/>
        <w:spacing w:before="0" w:after="0"/>
        <w:contextualSpacing/>
        <w:rPr>
          <w:sz w:val="20"/>
          <w:szCs w:val="20"/>
        </w:rPr>
      </w:pPr>
      <w:r>
        <w:rPr>
          <w:sz w:val="20"/>
          <w:szCs w:val="20"/>
        </w:rPr>
      </w:r>
    </w:p>
    <w:p>
      <w:pPr>
        <w:pStyle w:val="Normal"/>
        <w:spacing w:before="0" w:after="0"/>
        <w:contextualSpacing/>
        <w:rPr/>
      </w:pPr>
      <w:r>
        <w:rP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pStyle w:val="Normal"/>
        <w:spacing w:before="0" w:after="0"/>
        <w:contextualSpacing/>
        <w:rPr/>
      </w:pPr>
      <w:r>
        <w:rPr/>
      </w:r>
    </w:p>
    <w:p>
      <w:pPr>
        <w:pStyle w:val="Normal"/>
        <w:spacing w:before="0" w:after="0"/>
        <w:contextualSpacing/>
        <w:rPr>
          <w:rFonts w:ascii="Georgia" w:hAnsi="Georgia" w:cs="Georgia"/>
          <w:sz w:val="18"/>
          <w:szCs w:val="18"/>
        </w:rPr>
      </w:pPr>
      <w:r>
        <w:rPr>
          <w:rFonts w:cs="Georgia" w:ascii="Georgia" w:hAnsi="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pStyle w:val="Normal"/>
        <w:spacing w:before="0" w:after="0"/>
        <w:contextualSpacing/>
        <w:rPr>
          <w:rFonts w:ascii="Georgia" w:hAnsi="Georgia" w:cs="Georgia"/>
          <w:sz w:val="18"/>
          <w:szCs w:val="18"/>
        </w:rPr>
      </w:pPr>
      <w:r>
        <w:rPr>
          <w:rFonts w:cs="Georgia" w:ascii="Georgia" w:hAnsi="Georgia"/>
          <w:sz w:val="18"/>
          <w:szCs w:val="18"/>
        </w:rPr>
        <w:t>unfolding of mainstream philosophy of mind it has become apparent to many that it is anything but obvious that the self is a brain. (21)</w:t>
      </w:r>
    </w:p>
    <w:p>
      <w:pPr>
        <w:pStyle w:val="Normal"/>
        <w:spacing w:before="0" w:after="0"/>
        <w:contextualSpacing/>
        <w:rPr>
          <w:rFonts w:ascii="Georgia" w:hAnsi="Georgia" w:cs="Georgia"/>
          <w:sz w:val="20"/>
          <w:szCs w:val="20"/>
        </w:rPr>
      </w:pPr>
      <w:r>
        <w:rPr>
          <w:rFonts w:cs="Georgia" w:ascii="Georgia" w:hAnsi="Georgia"/>
          <w:sz w:val="20"/>
          <w:szCs w:val="20"/>
        </w:rPr>
      </w:r>
    </w:p>
    <w:p>
      <w:pPr>
        <w:pStyle w:val="Normal"/>
        <w:spacing w:before="0" w:after="0"/>
        <w:contextualSpacing/>
        <w:rPr/>
      </w:pPr>
      <w:r>
        <w:rP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pStyle w:val="Normal"/>
        <w:spacing w:before="0" w:after="0"/>
        <w:contextualSpacing/>
        <w:rPr>
          <w:sz w:val="20"/>
          <w:szCs w:val="20"/>
        </w:rPr>
      </w:pPr>
      <w:r>
        <w:rPr>
          <w:sz w:val="20"/>
          <w:szCs w:val="20"/>
        </w:rPr>
      </w:r>
    </w:p>
    <w:p>
      <w:pPr>
        <w:pStyle w:val="Normal"/>
        <w:spacing w:before="0" w:after="0"/>
        <w:contextualSpacing/>
        <w:rPr/>
      </w:pPr>
      <w:r>
        <w:rPr>
          <w:rFonts w:cs="Georgia" w:ascii="Georgia" w:hAnsi="Georgia"/>
          <w:sz w:val="20"/>
          <w:szCs w:val="20"/>
        </w:rPr>
        <w:t xml:space="preserve">Let us call the idea that we are our brains the </w:t>
      </w:r>
      <w:r>
        <w:rPr>
          <w:rFonts w:cs="Georgia-Bold" w:ascii="Georgia-Bold" w:hAnsi="Georgia-Bold"/>
          <w:b/>
          <w:bCs/>
          <w:sz w:val="20"/>
          <w:szCs w:val="20"/>
        </w:rPr>
        <w:t>crude identity thesis</w:t>
      </w:r>
      <w:r>
        <w:rPr>
          <w:rFonts w:cs="Georgia" w:ascii="Georgia" w:hAnsi="Georgia"/>
          <w:sz w:val="20"/>
          <w:szCs w:val="20"/>
        </w:rPr>
        <w:t xml:space="preserve">. A major </w:t>
      </w:r>
      <w:r>
        <w:rPr>
          <w:rFonts w:cs="Georgia" w:ascii="Georgia" w:hAnsi="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cs="Georgia-Italic" w:ascii="Georgia-Italic" w:hAnsi="Georgia-Italic"/>
          <w:i/>
          <w:iCs/>
          <w:sz w:val="18"/>
          <w:szCs w:val="18"/>
        </w:rPr>
        <w:t>Why the World Does Not Exist</w:t>
      </w:r>
      <w:r>
        <w:rPr>
          <w:rFonts w:cs="Georgia" w:ascii="Georgia" w:hAnsi="Georgia"/>
          <w:sz w:val="18"/>
          <w:szCs w:val="18"/>
        </w:rPr>
        <w:t xml:space="preserve">, under the heading of </w:t>
      </w:r>
      <w:r>
        <w:rPr>
          <w:rFonts w:cs="Georgia-Bold" w:ascii="Georgia-Bold" w:hAnsi="Georgia-Bold"/>
          <w:b/>
          <w:bCs/>
          <w:sz w:val="18"/>
          <w:szCs w:val="18"/>
        </w:rPr>
        <w:t>constructivis</w:t>
      </w:r>
      <w:r>
        <w:rPr>
          <w:rFonts w:cs="Georgia" w:ascii="Georgia" w:hAnsi="Georgia"/>
          <w:sz w:val="18"/>
          <w:szCs w:val="18"/>
        </w:rPr>
        <w:t>. (21)</w:t>
      </w:r>
    </w:p>
    <w:p>
      <w:pPr>
        <w:pStyle w:val="Normal"/>
        <w:spacing w:before="0" w:after="0"/>
        <w:contextualSpacing/>
        <w:rPr/>
      </w:pPr>
      <w:r>
        <w:rPr/>
      </w:r>
    </w:p>
    <w:p>
      <w:pPr>
        <w:pStyle w:val="Normal"/>
        <w:spacing w:before="0" w:after="0"/>
        <w:contextualSpacing/>
        <w:rPr/>
      </w:pPr>
      <w:r>
        <w:rPr/>
        <w:t xml:space="preserve">Again very similar ideas to my ideas. </w:t>
      </w:r>
    </w:p>
    <w:p>
      <w:pPr>
        <w:pStyle w:val="Normal"/>
        <w:spacing w:before="0" w:after="0"/>
        <w:contextualSpacing/>
        <w:rPr/>
      </w:pPr>
      <w:r>
        <w:rPr/>
      </w:r>
    </w:p>
    <w:p>
      <w:pPr>
        <w:pStyle w:val="Normal"/>
        <w:spacing w:before="0" w:after="0"/>
        <w:contextualSpacing/>
        <w:rPr/>
      </w:pPr>
      <w:r>
        <w:rPr>
          <w:rFonts w:cs="Georgia" w:ascii="Georgia" w:hAnsi="Georgia"/>
          <w:sz w:val="18"/>
          <w:szCs w:val="18"/>
        </w:rPr>
        <w:t xml:space="preserve">My own view, </w:t>
      </w:r>
      <w:r>
        <w:rPr>
          <w:rFonts w:cs="Georgia-Bold" w:ascii="Georgia-Bold" w:hAnsi="Georgia-Bold"/>
          <w:b/>
          <w:bCs/>
          <w:sz w:val="18"/>
          <w:szCs w:val="18"/>
        </w:rPr>
        <w:t>New Realism</w:t>
      </w:r>
      <w:r>
        <w:rPr>
          <w:rFonts w:cs="Georgia" w:ascii="Georgia" w:hAnsi="Georgia"/>
          <w:sz w:val="18"/>
          <w:szCs w:val="18"/>
        </w:rPr>
        <w:t>, is a version of the idea that we can actually grasp reality as</w:t>
      </w:r>
    </w:p>
    <w:p>
      <w:pPr>
        <w:pStyle w:val="Normal"/>
        <w:spacing w:before="0" w:after="0"/>
        <w:contextualSpacing/>
        <w:rPr>
          <w:rFonts w:ascii="Georgia" w:hAnsi="Georgia" w:cs="Georgia"/>
          <w:sz w:val="18"/>
          <w:szCs w:val="18"/>
        </w:rPr>
      </w:pPr>
      <w:r>
        <w:rPr>
          <w:rFonts w:cs="Georgia" w:ascii="Georgia" w:hAnsi="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pStyle w:val="Normal"/>
        <w:spacing w:before="0" w:after="0"/>
        <w:contextualSpacing/>
        <w:rPr>
          <w:sz w:val="18"/>
          <w:szCs w:val="18"/>
        </w:rPr>
      </w:pPr>
      <w:r>
        <w:rPr>
          <w:sz w:val="18"/>
          <w:szCs w:val="18"/>
        </w:rPr>
      </w:r>
    </w:p>
    <w:p>
      <w:pPr>
        <w:pStyle w:val="Normal"/>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pStyle w:val="Normal"/>
        <w:spacing w:before="0" w:after="0"/>
        <w:contextualSpacing/>
        <w:rPr>
          <w:sz w:val="18"/>
          <w:szCs w:val="18"/>
        </w:rPr>
      </w:pPr>
      <w:r>
        <w:rPr>
          <w:sz w:val="18"/>
          <w:szCs w:val="18"/>
        </w:rPr>
      </w:r>
    </w:p>
    <w:p>
      <w:pPr>
        <w:pStyle w:val="Normal"/>
        <w:spacing w:before="0" w:after="0"/>
        <w:contextualSpacing/>
        <w:rPr/>
      </w:pPr>
      <w:r>
        <w:rPr>
          <w:rFonts w:cs="Georgia" w:ascii="Georgia" w:hAnsi="Georgia"/>
          <w:sz w:val="18"/>
          <w:szCs w:val="18"/>
        </w:rPr>
        <w:t xml:space="preserve">In particular, for its interpretation of neuroscientific knowledge, neurocentrism brings to bear </w:t>
      </w:r>
      <w:r>
        <w:rPr>
          <w:rFonts w:cs="Georgia-Italic" w:ascii="Georgia-Italic" w:hAnsi="Georgia-Italic"/>
          <w:i/>
          <w:iCs/>
          <w:sz w:val="18"/>
          <w:szCs w:val="18"/>
        </w:rPr>
        <w:t xml:space="preserve">philosophical </w:t>
      </w:r>
      <w:r>
        <w:rPr>
          <w:rFonts w:cs="Georgia" w:ascii="Georgia" w:hAnsi="Georgia"/>
          <w:sz w:val="18"/>
          <w:szCs w:val="18"/>
        </w:rPr>
        <w:t>concepts such as consciousness, cognition, representation, thinking, self, mind, free will, and so forth. (24)</w:t>
      </w:r>
      <w:r>
        <w:rPr>
          <w:rStyle w:val="FootnoteAnchor"/>
          <w:rFonts w:cs="Georgia" w:ascii="Georgia" w:hAnsi="Georgia"/>
          <w:sz w:val="18"/>
          <w:szCs w:val="18"/>
        </w:rPr>
        <w:footnoteReference w:id="295"/>
      </w:r>
    </w:p>
    <w:p>
      <w:pPr>
        <w:pStyle w:val="Normal"/>
        <w:spacing w:before="0" w:after="0"/>
        <w:contextualSpacing/>
        <w:rPr/>
      </w:pPr>
      <w:r>
        <w:rPr/>
      </w:r>
    </w:p>
    <w:p>
      <w:pPr>
        <w:pStyle w:val="Normal"/>
        <w:spacing w:before="0" w:after="0"/>
        <w:contextualSpacing/>
        <w:rPr/>
      </w:pPr>
      <w:r>
        <w:rPr/>
        <w:t>Very important is that mg introduce, very shortly - of course, different concepts (like “theory reductionism”, behaviorism”, “</w:t>
      </w:r>
      <w:r>
        <w:rPr>
          <w:rFonts w:cs="Georgia-Bold" w:ascii="Georgia-Bold" w:hAnsi="Georgia-Bold"/>
          <w:bCs/>
          <w:sz w:val="20"/>
          <w:szCs w:val="20"/>
        </w:rPr>
        <w:t>the principle of the causal closure of nature</w:t>
      </w:r>
      <w:r>
        <w:rPr/>
        <w:t>”, “theory of everything”, eliminative materialism, for instance) without indicating the source of this notion!</w:t>
      </w:r>
      <w:r>
        <w:rPr>
          <w:rStyle w:val="FootnoteAnchor"/>
        </w:rPr>
        <w:footnoteReference w:id="296"/>
      </w:r>
      <w:r>
        <w:rPr/>
        <w:t xml:space="preserve"> Moreover, he introduces ideas of other authors (for instance Kim), without indicating the pages in of those authors’ works.</w:t>
      </w:r>
      <w:r>
        <w:rPr>
          <w:rStyle w:val="FootnoteAnchor"/>
        </w:rPr>
        <w:footnoteReference w:id="297"/>
      </w:r>
      <w:r>
        <w:rPr/>
        <w:t xml:space="preserve"> It is not surprising if we know that mg has no background at all in philosophy of mind/cognitive science! Moreover, all these notions are investigated in my works… </w:t>
      </w:r>
    </w:p>
    <w:p>
      <w:pPr>
        <w:pStyle w:val="Normal"/>
        <w:spacing w:before="0" w:after="0"/>
        <w:contextualSpacing/>
        <w:rPr/>
      </w:pPr>
      <w:r>
        <w:rPr/>
        <w:tab/>
        <w:t xml:space="preserve">Se for instance this paragraph: </w:t>
      </w:r>
    </w:p>
    <w:p>
      <w:pPr>
        <w:pStyle w:val="Normal"/>
        <w:spacing w:before="0" w:after="0"/>
        <w:contextualSpacing/>
        <w:rPr/>
      </w:pPr>
      <w:r>
        <w:rPr/>
      </w:r>
    </w:p>
    <w:p>
      <w:pPr>
        <w:pStyle w:val="Normal"/>
        <w:spacing w:before="0" w:after="0"/>
        <w:contextualSpacing/>
        <w:rPr/>
      </w:pPr>
      <w:r>
        <w:rPr>
          <w:rFonts w:cs="Georgia" w:ascii="Georgia" w:hAnsi="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pStyle w:val="Normal"/>
        <w:spacing w:before="0" w:after="0"/>
        <w:contextualSpacing/>
        <w:rPr/>
      </w:pPr>
      <w:r>
        <w:rPr/>
      </w:r>
    </w:p>
    <w:p>
      <w:pPr>
        <w:pStyle w:val="Normal"/>
        <w:spacing w:before="0" w:after="0"/>
        <w:contextualSpacing/>
        <w:rPr/>
      </w:pPr>
      <w:r>
        <w:rPr/>
        <w:t xml:space="preserve">What does mg wanted to express using “our awareness of time”? Or see this paragraph: </w:t>
      </w:r>
    </w:p>
    <w:p>
      <w:pPr>
        <w:pStyle w:val="Normal"/>
        <w:spacing w:before="0" w:after="0"/>
        <w:contextualSpacing/>
        <w:rPr/>
      </w:pPr>
      <w:r>
        <w:rPr/>
      </w:r>
    </w:p>
    <w:p>
      <w:pPr>
        <w:pStyle w:val="Normal"/>
        <w:spacing w:before="0" w:after="0"/>
        <w:contextualSpacing/>
        <w:rPr/>
      </w:pPr>
      <w:r>
        <w:rPr>
          <w:rFonts w:cs="Georgia-Bold" w:ascii="Georgia-Bold" w:hAnsi="Georgia-Bold"/>
          <w:b/>
          <w:bCs/>
          <w:sz w:val="18"/>
          <w:szCs w:val="18"/>
        </w:rPr>
        <w:t xml:space="preserve">Neuromonism </w:t>
      </w:r>
      <w:r>
        <w:rPr>
          <w:rFonts w:cs="Georgia" w:ascii="Georgia" w:hAnsi="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pStyle w:val="Normal"/>
        <w:spacing w:before="0" w:after="0"/>
        <w:contextualSpacing/>
        <w:rPr/>
      </w:pPr>
      <w:r>
        <w:rPr/>
      </w:r>
    </w:p>
    <w:p>
      <w:pPr>
        <w:pStyle w:val="Normal"/>
        <w:spacing w:before="0" w:after="0"/>
        <w:contextualSpacing/>
        <w:rPr/>
      </w:pPr>
      <w:r>
        <w:rPr/>
        <w:t>“</w:t>
      </w:r>
      <w:r>
        <w:rPr/>
        <w:t xml:space="preserve">Neuromonim”? mg needs to invent something, at least to replace identity theory with “neuromonism”!  </w:t>
      </w:r>
    </w:p>
    <w:p>
      <w:pPr>
        <w:pStyle w:val="Normal"/>
        <w:spacing w:before="0" w:after="0"/>
        <w:contextualSpacing/>
        <w:rPr/>
      </w:pPr>
      <w:r>
        <w:rPr/>
        <w:tab/>
        <w:t xml:space="preserve">Later, mg investigated Descartes and others authors investigated by myself. Of course, everybody can investigate these authors, but the analyses are quite similar to my conclusions! Amazing is this statement: </w:t>
      </w:r>
    </w:p>
    <w:p>
      <w:pPr>
        <w:pStyle w:val="Normal"/>
        <w:spacing w:before="0" w:after="0"/>
        <w:contextualSpacing/>
        <w:rPr/>
      </w:pPr>
      <w:r>
        <w:rPr/>
      </w:r>
    </w:p>
    <w:p>
      <w:pPr>
        <w:pStyle w:val="Normal"/>
        <w:spacing w:before="0" w:after="0"/>
        <w:contextualSpacing/>
        <w:rPr>
          <w:rFonts w:ascii="Georgia" w:hAnsi="Georgia" w:cs="Georgia"/>
          <w:sz w:val="18"/>
          <w:szCs w:val="18"/>
        </w:rPr>
      </w:pPr>
      <w:r>
        <w:rPr>
          <w:rFonts w:cs="Georgia" w:ascii="Georgia" w:hAnsi="Georgia"/>
          <w:sz w:val="18"/>
          <w:szCs w:val="18"/>
        </w:rPr>
        <w:t>To be sure, neuroscientists to this point have told us that this is not yet feasible, because  the self has</w:t>
      </w:r>
    </w:p>
    <w:p>
      <w:pPr>
        <w:pStyle w:val="Normal"/>
        <w:spacing w:before="0" w:after="0"/>
        <w:contextualSpacing/>
        <w:rPr/>
      </w:pPr>
      <w:r>
        <w:rPr>
          <w:rFonts w:cs="Georgia" w:ascii="Georgia" w:hAnsi="Georgia"/>
          <w:sz w:val="18"/>
          <w:szCs w:val="18"/>
        </w:rPr>
        <w:t xml:space="preserve">yet to be found. It is unclear how multiple streams of information can be incorporated into a unity at all at the level of our perception, which is known as the </w:t>
      </w:r>
      <w:r>
        <w:rPr>
          <w:rFonts w:cs="Georgia-Bold" w:ascii="Georgia-Bold" w:hAnsi="Georgia-Bold"/>
          <w:b/>
          <w:bCs/>
          <w:sz w:val="18"/>
          <w:szCs w:val="18"/>
        </w:rPr>
        <w:t>binding problem</w:t>
      </w:r>
      <w:r>
        <w:rPr>
          <w:rFonts w:cs="Georgia" w:ascii="Georgia" w:hAnsi="Georgia"/>
          <w:sz w:val="18"/>
          <w:szCs w:val="18"/>
        </w:rPr>
        <w:t>.</w:t>
      </w:r>
    </w:p>
    <w:p>
      <w:pPr>
        <w:pStyle w:val="Normal"/>
        <w:spacing w:before="0" w:after="0"/>
        <w:ind w:left="0" w:right="0" w:firstLine="720"/>
        <w:contextualSpacing/>
        <w:rPr>
          <w:rFonts w:ascii="Georgia" w:hAnsi="Georgia" w:cs="Georgia"/>
          <w:sz w:val="18"/>
          <w:szCs w:val="18"/>
        </w:rPr>
      </w:pPr>
      <w:r>
        <w:rPr>
          <w:rFonts w:cs="Georgia" w:ascii="Georgia" w:hAnsi="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pStyle w:val="Normal"/>
        <w:spacing w:before="0" w:after="0"/>
        <w:contextualSpacing/>
        <w:rPr>
          <w:sz w:val="20"/>
          <w:szCs w:val="20"/>
        </w:rPr>
      </w:pPr>
      <w:r>
        <w:rPr>
          <w:sz w:val="20"/>
          <w:szCs w:val="20"/>
        </w:rPr>
        <w:tab/>
      </w:r>
    </w:p>
    <w:p>
      <w:pPr>
        <w:pStyle w:val="Normal"/>
        <w:spacing w:before="0" w:after="0"/>
        <w:contextualSpacing/>
        <w:rPr/>
      </w:pPr>
      <w:r>
        <w:rP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pStyle w:val="Normal"/>
        <w:spacing w:before="0" w:after="0"/>
        <w:contextualSpacing/>
        <w:rPr/>
      </w:pPr>
      <w:r>
        <w:rPr/>
      </w:r>
    </w:p>
    <w:p>
      <w:pPr>
        <w:pStyle w:val="Normal"/>
        <w:spacing w:before="0" w:after="0"/>
        <w:contextualSpacing/>
        <w:rPr/>
      </w:pPr>
      <w:r>
        <w:rPr>
          <w:rFonts w:cs="Georgia" w:ascii="Georgia" w:hAnsi="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FootnoteAnchor"/>
          <w:rFonts w:cs="Georgia" w:ascii="Georgia" w:hAnsi="Georgia"/>
          <w:sz w:val="18"/>
          <w:szCs w:val="18"/>
        </w:rPr>
        <w:footnoteReference w:id="298"/>
      </w:r>
    </w:p>
    <w:p>
      <w:pPr>
        <w:pStyle w:val="Normal"/>
        <w:spacing w:before="0" w:after="0"/>
        <w:contextualSpacing/>
        <w:rPr/>
      </w:pPr>
      <w:r>
        <w:rPr/>
      </w:r>
    </w:p>
    <w:p>
      <w:pPr>
        <w:pStyle w:val="Normal"/>
        <w:spacing w:before="0" w:after="0"/>
        <w:contextualSpacing/>
        <w:rPr/>
      </w:pPr>
      <w:r>
        <w:rPr/>
        <w:t>Of course, the central statement (the self “is the universal knowledge subject”) is identical to my definition of self (2005, 2008, etc.)! In this context, I want to introduce a paragraph fro mg:</w:t>
      </w:r>
    </w:p>
    <w:p>
      <w:pPr>
        <w:pStyle w:val="Normal"/>
        <w:spacing w:before="0" w:after="0"/>
        <w:contextualSpacing/>
        <w:rPr/>
      </w:pPr>
      <w:r>
        <w:rPr/>
      </w:r>
    </w:p>
    <w:p>
      <w:pPr>
        <w:pStyle w:val="Normal"/>
        <w:spacing w:before="0" w:after="0"/>
        <w:contextualSpacing/>
        <w:rPr>
          <w:rFonts w:ascii="Georgia" w:hAnsi="Georgia" w:cs="Georgia"/>
          <w:sz w:val="18"/>
          <w:szCs w:val="18"/>
        </w:rPr>
      </w:pPr>
      <w:r>
        <w:rPr>
          <w:rFonts w:cs="Georgia" w:ascii="Georgia" w:hAnsi="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pStyle w:val="Normal"/>
        <w:spacing w:before="0" w:after="0"/>
        <w:contextualSpacing/>
        <w:rPr/>
      </w:pPr>
      <w:r>
        <w:rPr/>
      </w:r>
    </w:p>
    <w:p>
      <w:pPr>
        <w:pStyle w:val="Normal"/>
        <w:spacing w:before="0" w:after="0"/>
        <w:contextualSpacing/>
        <w:rPr/>
      </w:pPr>
      <w:r>
        <w:rP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pStyle w:val="Normal"/>
        <w:spacing w:before="0" w:after="0"/>
        <w:contextualSpacing/>
        <w:rPr/>
      </w:pPr>
      <w:r>
        <w:rPr/>
      </w:r>
    </w:p>
    <w:p>
      <w:pPr>
        <w:pStyle w:val="Normal"/>
        <w:spacing w:before="0" w:after="0"/>
        <w:contextualSpacing/>
        <w:rPr/>
      </w:pPr>
      <w:r>
        <w:rPr>
          <w:rFonts w:cs="Georgia-Bold" w:ascii="Georgia-Bold" w:hAnsi="Georgia-Bold"/>
          <w:b/>
          <w:bCs/>
          <w:sz w:val="18"/>
          <w:szCs w:val="18"/>
        </w:rPr>
        <w:t>Metaphysics</w:t>
      </w:r>
      <w:r>
        <w:rPr>
          <w:rFonts w:cs="Georgia" w:ascii="Georgia" w:hAnsi="Georgia"/>
          <w:sz w:val="18"/>
          <w:szCs w:val="18"/>
        </w:rPr>
        <w:t xml:space="preserve">, in general, is concerned with absolutely everything, with absolute totality, the world, the universe, reality as a whole, the cosmos, or whatever else you want to call it. But, as I have argued at length in </w:t>
      </w:r>
      <w:r>
        <w:rPr>
          <w:rFonts w:cs="Georgia-Italic" w:ascii="Georgia-Italic" w:hAnsi="Georgia-Italic"/>
          <w:i/>
          <w:iCs/>
          <w:sz w:val="18"/>
          <w:szCs w:val="18"/>
        </w:rPr>
        <w:t>Why the World Does Not Exist</w:t>
      </w:r>
      <w:r>
        <w:rPr>
          <w:rFonts w:cs="Georgia" w:ascii="Georgia" w:hAnsi="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pStyle w:val="Normal"/>
        <w:spacing w:before="0" w:after="0"/>
        <w:contextualSpacing/>
        <w:rPr/>
      </w:pPr>
      <w:r>
        <w:rPr/>
      </w:r>
    </w:p>
    <w:p>
      <w:pPr>
        <w:pStyle w:val="Normal"/>
        <w:spacing w:before="0" w:after="0"/>
        <w:contextualSpacing/>
        <w:rPr/>
      </w:pPr>
      <w:r>
        <w:rPr/>
        <w:t>In my works I indicated exactly the same idea (but much more developed): there are no causalities between entities that belong to EDWs! At page 218, mg writes: “</w:t>
      </w:r>
      <w:r>
        <w:rPr>
          <w:rFonts w:cs="Georgia" w:ascii="Georgia" w:hAnsi="Georgia"/>
          <w:sz w:val="20"/>
          <w:szCs w:val="20"/>
        </w:rPr>
        <w:t xml:space="preserve">The laptop on which I am composing these lines, according to the advocates of the thesis of the “extended mind,” supposedly belongs to me just as much as my liver does.” (218) </w:t>
      </w:r>
      <w:r>
        <w:rP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pStyle w:val="Normal"/>
        <w:spacing w:before="0" w:after="0"/>
        <w:contextualSpacing/>
        <w:rPr/>
      </w:pPr>
      <w:r>
        <w:rPr/>
      </w:r>
    </w:p>
    <w:p>
      <w:pPr>
        <w:pStyle w:val="Normal"/>
        <w:spacing w:before="0" w:after="0"/>
        <w:contextualSpacing/>
        <w:rPr/>
      </w:pPr>
      <w:r>
        <w:rPr>
          <w:rFonts w:cs="Georgia" w:ascii="Georgia" w:hAnsi="Georgia"/>
          <w:color w:val="000000"/>
          <w:sz w:val="18"/>
          <w:szCs w:val="18"/>
        </w:rPr>
        <w:t xml:space="preserve">This dehumanization from above is also operative in </w:t>
      </w:r>
      <w:r>
        <w:rPr>
          <w:rFonts w:cs="Georgia-Bold" w:ascii="Georgia-Bold" w:hAnsi="Georgia-Bold"/>
          <w:b/>
          <w:bCs/>
          <w:color w:val="000000"/>
          <w:sz w:val="18"/>
          <w:szCs w:val="18"/>
        </w:rPr>
        <w:t>functionalism</w:t>
      </w:r>
      <w:r>
        <w:rPr>
          <w:rFonts w:cs="Georgia" w:ascii="Georgia" w:hAnsi="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pStyle w:val="Normal"/>
        <w:spacing w:before="0" w:after="0"/>
        <w:contextualSpacing/>
        <w:rPr>
          <w:rFonts w:ascii="Georgia" w:hAnsi="Georgia" w:cs="Georgia"/>
          <w:color w:val="000000"/>
          <w:sz w:val="18"/>
          <w:szCs w:val="18"/>
        </w:rPr>
      </w:pPr>
      <w:r>
        <w:rPr>
          <w:rFonts w:cs="Georgia" w:ascii="Georgia" w:hAnsi="Georgia"/>
          <w:color w:val="000000"/>
          <w:sz w:val="18"/>
          <w:szCs w:val="18"/>
        </w:rPr>
      </w:r>
    </w:p>
    <w:p>
      <w:pPr>
        <w:pStyle w:val="Normal"/>
        <w:spacing w:before="0" w:after="0"/>
        <w:contextualSpacing/>
        <w:rPr/>
      </w:pPr>
      <w:r>
        <w:rPr>
          <w:rFonts w:cs="Georgia" w:ascii="Georgia" w:hAnsi="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cs="Georgia-Italic" w:ascii="Georgia-Italic" w:hAnsi="Georgia-Italic"/>
          <w:i/>
          <w:iCs/>
          <w:color w:val="000000"/>
          <w:sz w:val="18"/>
          <w:szCs w:val="18"/>
        </w:rPr>
        <w:t xml:space="preserve">disintegration of reality </w:t>
      </w:r>
      <w:r>
        <w:rPr>
          <w:rFonts w:cs="Georgia" w:ascii="Georgia" w:hAnsi="Georgia"/>
          <w:color w:val="000000"/>
          <w:sz w:val="18"/>
          <w:szCs w:val="18"/>
        </w:rPr>
        <w:t xml:space="preserve">has transgressed every measure, so that even the wader, if he notices it, must plunge into the water: the earth is ruined by pure dynamics and by pure relation. </w:t>
      </w:r>
      <w:r>
        <w:rPr>
          <w:rFonts w:cs="Georgia-Italic" w:ascii="Georgia-Italic" w:hAnsi="Georgia-Italic"/>
          <w:i/>
          <w:iCs/>
          <w:color w:val="000000"/>
          <w:sz w:val="18"/>
          <w:szCs w:val="18"/>
        </w:rPr>
        <w:t>Functionalism</w:t>
      </w:r>
      <w:r>
        <w:rPr>
          <w:rFonts w:cs="Georgia" w:ascii="Georgia" w:hAnsi="Georgia"/>
          <w:color w:val="000000"/>
          <w:sz w:val="18"/>
          <w:szCs w:val="18"/>
        </w:rPr>
        <w:t>, you know, means the time of unbridled movement, inexistent being.</w:t>
      </w:r>
      <w:r>
        <w:rPr>
          <w:rFonts w:cs="Georgia" w:ascii="Georgia" w:hAnsi="Georgia"/>
          <w:color w:val="0000FF"/>
          <w:sz w:val="18"/>
          <w:szCs w:val="18"/>
        </w:rPr>
        <w:t xml:space="preserve">33 </w:t>
      </w:r>
    </w:p>
    <w:p>
      <w:pPr>
        <w:pStyle w:val="Normal"/>
        <w:spacing w:before="0" w:after="0"/>
        <w:ind w:left="0" w:right="0" w:firstLine="720"/>
        <w:contextualSpacing/>
        <w:rPr/>
      </w:pPr>
      <w:r>
        <w:rPr>
          <w:rFonts w:cs="Georgia" w:ascii="Georgia" w:hAnsi="Georgia"/>
          <w:color w:val="000000"/>
          <w:sz w:val="18"/>
          <w:szCs w:val="18"/>
        </w:rPr>
        <w:t xml:space="preserve">Just like Goethe and Nietzsche before him, Benn recommends that we reflect on the historical background of modern intellectualization. In Goethe’s epic </w:t>
      </w:r>
      <w:r>
        <w:rPr>
          <w:rFonts w:cs="Georgia-Italic" w:ascii="Georgia-Italic" w:hAnsi="Georgia-Italic"/>
          <w:i/>
          <w:iCs/>
          <w:color w:val="000000"/>
          <w:sz w:val="18"/>
          <w:szCs w:val="18"/>
        </w:rPr>
        <w:t>Faust: The Second Part of the Tragedy</w:t>
      </w:r>
      <w:r>
        <w:rPr>
          <w:rFonts w:cs="Georgia" w:ascii="Georgia" w:hAnsi="Georgia"/>
          <w:color w:val="000000"/>
          <w:sz w:val="18"/>
          <w:szCs w:val="18"/>
        </w:rPr>
        <w:t>, a homunculus succeeds in escaping from the phial in which he had been living by smashing it on “the bright throne.”</w:t>
      </w:r>
      <w:r>
        <w:rPr>
          <w:rFonts w:cs="Georgia" w:ascii="Georgia" w:hAnsi="Georgia"/>
          <w:color w:val="0000FF"/>
          <w:sz w:val="18"/>
          <w:szCs w:val="18"/>
        </w:rPr>
        <w:t xml:space="preserve">34 </w:t>
      </w:r>
      <w:r>
        <w:rPr>
          <w:rFonts w:cs="Georgia" w:ascii="Georgia" w:hAnsi="Georgia"/>
          <w:color w:val="000000"/>
          <w:sz w:val="18"/>
          <w:szCs w:val="18"/>
        </w:rPr>
        <w:t>As the philosopher Thales – who appears on the scene in the “Classical Walpurgis Night” – remarks, the homunculus is “beguiled by Proteus”</w:t>
      </w:r>
      <w:r>
        <w:rPr>
          <w:rFonts w:cs="Georgia" w:ascii="Georgia" w:hAnsi="Georgia"/>
          <w:color w:val="0000FF"/>
          <w:sz w:val="18"/>
          <w:szCs w:val="18"/>
        </w:rPr>
        <w:t xml:space="preserve">35 </w:t>
      </w:r>
      <w:r>
        <w:rPr>
          <w:rFonts w:cs="Georgia" w:ascii="Georgia" w:hAnsi="Georgia"/>
          <w:color w:val="000000"/>
          <w:sz w:val="18"/>
          <w:szCs w:val="18"/>
        </w:rPr>
        <w:t>into giving himself over to “Eros … who gave all things beginning”</w:t>
      </w:r>
      <w:r>
        <w:rPr>
          <w:rFonts w:cs="Georgia" w:ascii="Georgia" w:hAnsi="Georgia"/>
          <w:color w:val="0000FF"/>
          <w:sz w:val="18"/>
          <w:szCs w:val="18"/>
        </w:rPr>
        <w:t xml:space="preserve">36 </w:t>
      </w:r>
      <w:r>
        <w:rPr>
          <w:rFonts w:cs="Georgia" w:ascii="Georgia" w:hAnsi="Georgia"/>
          <w:color w:val="000000"/>
          <w:sz w:val="18"/>
          <w:szCs w:val="18"/>
        </w:rPr>
        <w:t>and causes the glass in which he is trapped to shatter. (219)</w:t>
      </w:r>
    </w:p>
    <w:p>
      <w:pPr>
        <w:pStyle w:val="Normal"/>
        <w:spacing w:before="0" w:after="0"/>
        <w:contextualSpacing/>
        <w:rPr/>
      </w:pPr>
      <w:r>
        <w:rPr/>
      </w:r>
    </w:p>
    <w:p>
      <w:pPr>
        <w:pStyle w:val="Normal"/>
        <w:spacing w:before="0" w:after="0"/>
        <w:contextualSpacing/>
        <w:rPr/>
      </w:pPr>
      <w:r>
        <w:rPr/>
        <w:t xml:space="preserve">mg continues mentioning Schelling, Goethe, and other such writers! Not amazing already, in the end of his book mg writes: </w:t>
      </w:r>
    </w:p>
    <w:p>
      <w:pPr>
        <w:pStyle w:val="Normal"/>
        <w:spacing w:before="0" w:after="0"/>
        <w:contextualSpacing/>
        <w:rPr/>
      </w:pPr>
      <w:r>
        <w:rPr/>
      </w:r>
    </w:p>
    <w:p>
      <w:pPr>
        <w:pStyle w:val="Normal"/>
        <w:spacing w:before="0" w:after="0"/>
        <w:contextualSpacing/>
        <w:rPr/>
      </w:pPr>
      <w:r>
        <w:rPr>
          <w:rFonts w:cs="Georgia" w:ascii="Georgia" w:hAnsi="Georgia"/>
          <w:sz w:val="18"/>
          <w:szCs w:val="18"/>
        </w:rPr>
        <w:t xml:space="preserve">In this book, I have sketched the outlines of a philosophy of mind – or, rather, of </w:t>
      </w:r>
      <w:r>
        <w:rPr>
          <w:rFonts w:cs="Georgia-Italic" w:ascii="Georgia-Italic" w:hAnsi="Georgia-Italic"/>
          <w:i/>
          <w:iCs/>
          <w:sz w:val="18"/>
          <w:szCs w:val="18"/>
        </w:rPr>
        <w:t xml:space="preserve">Geist </w:t>
      </w:r>
      <w:r>
        <w:rPr>
          <w:rFonts w:cs="Georgia" w:ascii="Georgia" w:hAnsi="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pStyle w:val="Normal"/>
        <w:spacing w:before="0" w:after="0"/>
        <w:contextualSpacing/>
        <w:rPr>
          <w:sz w:val="20"/>
          <w:szCs w:val="20"/>
        </w:rPr>
      </w:pPr>
      <w:r>
        <w:rPr>
          <w:sz w:val="20"/>
          <w:szCs w:val="20"/>
        </w:rPr>
      </w:r>
    </w:p>
    <w:p>
      <w:pPr>
        <w:pStyle w:val="Normal"/>
        <w:spacing w:before="0" w:after="0"/>
        <w:contextualSpacing/>
        <w:rPr/>
      </w:pPr>
      <w:r>
        <w:rPr/>
        <w:t xml:space="preserve">Obviously, being a “genius”, mg can indicate the future roads for the people who have been working within the philosophy of mind (cognitive neuroscience) even if his lectures on this area are very, very, weak! </w:t>
      </w:r>
    </w:p>
    <w:p>
      <w:pPr>
        <w:pStyle w:val="Normal"/>
        <w:spacing w:before="0" w:after="0"/>
        <w:contextualSpacing/>
        <w:rPr/>
      </w:pPr>
      <w:r>
        <w:rPr/>
      </w:r>
    </w:p>
    <w:p>
      <w:pPr>
        <w:pStyle w:val="Normal"/>
        <w:spacing w:before="0" w:after="0"/>
        <w:contextualSpacing/>
        <w:rPr/>
      </w:pPr>
      <w:r>
        <w:rPr>
          <w:rFonts w:cs="Georgia" w:ascii="Georgia" w:hAnsi="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cs="Georgia-Italic" w:ascii="Georgia-Italic" w:hAnsi="Georgia-Italic"/>
          <w:i/>
          <w:iCs/>
          <w:sz w:val="18"/>
          <w:szCs w:val="18"/>
        </w:rPr>
        <w:t xml:space="preserve">Geist </w:t>
      </w:r>
      <w:r>
        <w:rPr>
          <w:rFonts w:cs="Georgia" w:ascii="Georgia" w:hAnsi="Georgia"/>
          <w:sz w:val="18"/>
          <w:szCs w:val="18"/>
        </w:rPr>
        <w:t>to consciousness and then reduce consciousness to an electrical storming of neurons. We are citizens of many worlds, we move in the realm of ends. This provides us a series of conditions for freedom. (226)</w:t>
      </w:r>
    </w:p>
    <w:p>
      <w:pPr>
        <w:pStyle w:val="Normal"/>
        <w:spacing w:before="0" w:after="0"/>
        <w:contextualSpacing/>
        <w:rPr>
          <w:sz w:val="20"/>
          <w:szCs w:val="20"/>
        </w:rPr>
      </w:pPr>
      <w:r>
        <w:rPr>
          <w:sz w:val="20"/>
          <w:szCs w:val="20"/>
        </w:rPr>
      </w:r>
    </w:p>
    <w:p>
      <w:pPr>
        <w:pStyle w:val="Normal"/>
        <w:spacing w:before="0" w:after="0"/>
        <w:contextualSpacing/>
        <w:rPr/>
      </w:pPr>
      <w:r>
        <w:rP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rPr/>
        <w:t>) would understand reading my works (all my works being mainly on Physics, Cognitive Neuroscience, Philosophy of Mind, Kant, etc.).</w:t>
      </w:r>
    </w:p>
    <w:p>
      <w:pPr>
        <w:pStyle w:val="Normal"/>
        <w:spacing w:before="0" w:after="0"/>
        <w:contextualSpacing/>
        <w:rPr/>
      </w:pPr>
      <w:r>
        <w:rPr/>
        <w:tab/>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pStyle w:val="Normal"/>
        <w:spacing w:before="0" w:after="0"/>
        <w:contextualSpacing/>
        <w:rPr/>
      </w:pPr>
      <w:r>
        <w:rPr/>
      </w:r>
    </w:p>
    <w:p>
      <w:pPr>
        <w:pStyle w:val="Normal"/>
        <w:spacing w:before="0" w:after="0"/>
        <w:contextualSpacing/>
        <w:rPr/>
      </w:pPr>
      <w:r>
        <w:rPr/>
      </w:r>
    </w:p>
    <w:p>
      <w:pPr>
        <w:pStyle w:val="Normal"/>
        <w:spacing w:before="0" w:after="0"/>
        <w:contextualSpacing/>
        <w:rPr>
          <w:b/>
          <w:b/>
          <w:bCs/>
          <w:sz w:val="28"/>
          <w:szCs w:val="28"/>
        </w:rPr>
      </w:pPr>
      <w:r>
        <w:rPr>
          <w:b/>
          <w:bCs/>
          <w:sz w:val="28"/>
          <w:szCs w:val="28"/>
        </w:rPr>
      </w:r>
    </w:p>
    <w:p>
      <w:pPr>
        <w:pStyle w:val="ListParagraph"/>
        <w:numPr>
          <w:ilvl w:val="0"/>
          <w:numId w:val="31"/>
        </w:numPr>
        <w:spacing w:before="0" w:after="0"/>
        <w:contextualSpacing/>
        <w:rPr/>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FootnoteAnchor"/>
          <w:b/>
          <w:bCs/>
          <w:sz w:val="28"/>
          <w:szCs w:val="28"/>
        </w:rPr>
        <w:footnoteReference w:id="299"/>
      </w:r>
    </w:p>
    <w:p>
      <w:pPr>
        <w:pStyle w:val="Normal"/>
        <w:spacing w:before="0" w:after="0"/>
        <w:contextualSpacing/>
        <w:rPr>
          <w:b/>
          <w:b/>
          <w:bCs/>
        </w:rPr>
      </w:pPr>
      <w:r>
        <w:rPr>
          <w:b/>
          <w:bCs/>
        </w:rPr>
      </w:r>
    </w:p>
    <w:p>
      <w:pPr>
        <w:pStyle w:val="Normal"/>
        <w:spacing w:before="0" w:after="0"/>
        <w:contextualSpacing/>
        <w:rPr/>
      </w:pPr>
      <w:r>
        <w:rPr>
          <w:bCs/>
        </w:rPr>
        <w:t xml:space="preserve">In this section, I investigate the article </w:t>
      </w:r>
      <w:r>
        <w:rPr/>
        <w:t>Newman, Andrew “</w:t>
      </w:r>
      <w:r>
        <w:rPr>
          <w:bCs/>
        </w:rPr>
        <w:t xml:space="preserve">On the constitution of solid objects out of atoms”, </w:t>
      </w:r>
      <w:r>
        <w:rPr>
          <w:i/>
          <w:iCs/>
        </w:rPr>
        <w:t xml:space="preserve">The Monist; </w:t>
      </w:r>
      <w:r>
        <w:rP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tab/>
      </w:r>
    </w:p>
    <w:p>
      <w:pPr>
        <w:pStyle w:val="Normal"/>
        <w:spacing w:before="0" w:after="0"/>
        <w:contextualSpacing/>
        <w:rPr/>
      </w:pPr>
      <w:r>
        <w:rPr/>
        <w:tab/>
        <w:t xml:space="preserve">Nothing new: in my book 2008, I used exactly the same notions, “constitution” being one of the main concepts in my EDWs; the relationship between macro- and micro-entities mirrors EDWs: both entities really exist but in EDWs. </w:t>
      </w:r>
    </w:p>
    <w:p>
      <w:pPr>
        <w:pStyle w:val="Normal"/>
        <w:spacing w:before="0" w:after="0"/>
        <w:contextualSpacing/>
        <w:rPr/>
      </w:pPr>
      <w:r>
        <w:rPr/>
      </w:r>
    </w:p>
    <w:p>
      <w:pPr>
        <w:pStyle w:val="Normal"/>
        <w:spacing w:before="0" w:after="0"/>
        <w:contextualSpacing/>
        <w:rPr/>
      </w:pPr>
      <w:r>
        <w:rPr/>
        <w:drawing>
          <wp:inline distT="0" distB="0" distL="0" distR="0">
            <wp:extent cx="4905375" cy="2609850"/>
            <wp:effectExtent l="0" t="0" r="0" b="0"/>
            <wp:docPr id="6"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descr=""/>
                    <pic:cNvPicPr>
                      <a:picLocks noChangeAspect="1" noChangeArrowheads="1"/>
                    </pic:cNvPicPr>
                  </pic:nvPicPr>
                  <pic:blipFill>
                    <a:blip r:embed="rId103"/>
                    <a:stretch>
                      <a:fillRect/>
                    </a:stretch>
                  </pic:blipFill>
                  <pic:spPr bwMode="auto">
                    <a:xfrm>
                      <a:off x="0" y="0"/>
                      <a:ext cx="4905375" cy="2609850"/>
                    </a:xfrm>
                    <a:prstGeom prst="rect">
                      <a:avLst/>
                    </a:prstGeom>
                  </pic:spPr>
                </pic:pic>
              </a:graphicData>
            </a:graphic>
          </wp:inline>
        </w:drawing>
      </w:r>
      <w:r>
        <w:rPr/>
        <w:t xml:space="preserve"> </w:t>
      </w:r>
      <w:r>
        <w:rPr/>
        <w:t>(p. 150)</w:t>
      </w:r>
    </w:p>
    <w:p>
      <w:pPr>
        <w:pStyle w:val="Normal"/>
        <w:spacing w:before="0" w:after="0"/>
        <w:contextualSpacing/>
        <w:rPr/>
      </w:pPr>
      <w:r>
        <w:rPr/>
      </w:r>
    </w:p>
    <w:p>
      <w:pPr>
        <w:pStyle w:val="Normal"/>
        <w:spacing w:before="0" w:after="0"/>
        <w:contextualSpacing/>
        <w:rPr/>
      </w:pPr>
      <w:r>
        <w:rPr/>
        <w:t>Let introduce here the first principle of EDWs from my book 2008:</w:t>
      </w:r>
    </w:p>
    <w:p>
      <w:pPr>
        <w:pStyle w:val="Normal"/>
        <w:spacing w:before="0" w:after="0"/>
        <w:contextualSpacing/>
        <w:rPr/>
      </w:pPr>
      <w:r>
        <w:rPr/>
      </w:r>
    </w:p>
    <w:p>
      <w:pPr>
        <w:pStyle w:val="Normal"/>
        <w:spacing w:before="0" w:after="0"/>
        <w:contextualSpacing/>
        <w:rPr>
          <w:b/>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pStyle w:val="Normal"/>
        <w:spacing w:before="0" w:after="0"/>
        <w:contextualSpacing/>
        <w:rPr>
          <w:b/>
          <w:b/>
          <w:bCs/>
        </w:rPr>
      </w:pPr>
      <w:r>
        <w:rPr>
          <w:b/>
          <w:bCs/>
        </w:rPr>
      </w:r>
    </w:p>
    <w:p>
      <w:pPr>
        <w:pStyle w:val="Normal"/>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pStyle w:val="Normal"/>
        <w:spacing w:before="0" w:after="0"/>
        <w:contextualSpacing/>
        <w:rPr>
          <w:bCs/>
        </w:rPr>
      </w:pPr>
      <w:r>
        <w:rPr>
          <w:bCs/>
        </w:rPr>
        <w:t>However, Newman continues with this paragraph:</w:t>
      </w:r>
    </w:p>
    <w:p>
      <w:pPr>
        <w:pStyle w:val="Normal"/>
        <w:spacing w:before="0" w:after="0"/>
        <w:contextualSpacing/>
        <w:rPr>
          <w:bCs/>
        </w:rPr>
      </w:pPr>
      <w:r>
        <w:rPr>
          <w:bCs/>
        </w:rPr>
      </w:r>
    </w:p>
    <w:p>
      <w:pPr>
        <w:pStyle w:val="Normal"/>
        <w:spacing w:before="0" w:after="0"/>
        <w:contextualSpacing/>
        <w:rPr/>
      </w:pPr>
      <w:r>
        <w:rPr/>
        <w:drawing>
          <wp:inline distT="0" distB="0" distL="0" distR="0">
            <wp:extent cx="4981575" cy="952500"/>
            <wp:effectExtent l="0" t="0" r="0" b="0"/>
            <wp:docPr id="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descr=""/>
                    <pic:cNvPicPr>
                      <a:picLocks noChangeAspect="1" noChangeArrowheads="1"/>
                    </pic:cNvPicPr>
                  </pic:nvPicPr>
                  <pic:blipFill>
                    <a:blip r:embed="rId104"/>
                    <a:stretch>
                      <a:fillRect/>
                    </a:stretch>
                  </pic:blipFill>
                  <pic:spPr bwMode="auto">
                    <a:xfrm>
                      <a:off x="0" y="0"/>
                      <a:ext cx="4981575" cy="952500"/>
                    </a:xfrm>
                    <a:prstGeom prst="rect">
                      <a:avLst/>
                    </a:prstGeom>
                  </pic:spPr>
                </pic:pic>
              </a:graphicData>
            </a:graphic>
          </wp:inline>
        </w:drawing>
      </w:r>
    </w:p>
    <w:p>
      <w:pPr>
        <w:pStyle w:val="Normal"/>
        <w:spacing w:before="0" w:after="0"/>
        <w:contextualSpacing/>
        <w:rPr/>
      </w:pPr>
      <w:r>
        <w:rPr/>
        <w:drawing>
          <wp:inline distT="0" distB="0" distL="0" distR="0">
            <wp:extent cx="5019675" cy="771525"/>
            <wp:effectExtent l="0" t="0" r="0" b="0"/>
            <wp:docPr id="8"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descr=""/>
                    <pic:cNvPicPr>
                      <a:picLocks noChangeAspect="1" noChangeArrowheads="1"/>
                    </pic:cNvPicPr>
                  </pic:nvPicPr>
                  <pic:blipFill>
                    <a:blip r:embed="rId105"/>
                    <a:stretch>
                      <a:fillRect/>
                    </a:stretch>
                  </pic:blipFill>
                  <pic:spPr bwMode="auto">
                    <a:xfrm>
                      <a:off x="0" y="0"/>
                      <a:ext cx="5019675" cy="771525"/>
                    </a:xfrm>
                    <a:prstGeom prst="rect">
                      <a:avLst/>
                    </a:prstGeom>
                  </pic:spPr>
                </pic:pic>
              </a:graphicData>
            </a:graphic>
          </wp:inline>
        </w:drawing>
      </w:r>
      <w:r>
        <w:rPr>
          <w:bCs/>
        </w:rPr>
        <w:t>(pp. 150-151)</w:t>
      </w:r>
    </w:p>
    <w:p>
      <w:pPr>
        <w:pStyle w:val="Normal"/>
        <w:spacing w:before="0" w:after="0"/>
        <w:contextualSpacing/>
        <w:rPr>
          <w:bCs/>
        </w:rPr>
      </w:pPr>
      <w:r>
        <w:rPr>
          <w:bCs/>
        </w:rPr>
      </w:r>
    </w:p>
    <w:p>
      <w:pPr>
        <w:pStyle w:val="Normal"/>
        <w:spacing w:before="0" w:after="0"/>
        <w:contextualSpacing/>
        <w:rPr>
          <w:bCs/>
        </w:rPr>
      </w:pPr>
      <w:r>
        <w:rPr>
          <w:bCs/>
        </w:rPr>
        <w:t xml:space="preserve">Followed by </w:t>
      </w:r>
    </w:p>
    <w:p>
      <w:pPr>
        <w:pStyle w:val="Normal"/>
        <w:spacing w:before="0" w:after="0"/>
        <w:contextualSpacing/>
        <w:rPr/>
      </w:pPr>
      <w:r>
        <w:rPr/>
        <w:drawing>
          <wp:inline distT="0" distB="0" distL="0" distR="0">
            <wp:extent cx="5286375" cy="590550"/>
            <wp:effectExtent l="0" t="0" r="0" b="0"/>
            <wp:docPr id="9"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descr=""/>
                    <pic:cNvPicPr>
                      <a:picLocks noChangeAspect="1" noChangeArrowheads="1"/>
                    </pic:cNvPicPr>
                  </pic:nvPicPr>
                  <pic:blipFill>
                    <a:blip r:embed="rId106"/>
                    <a:stretch>
                      <a:fillRect/>
                    </a:stretch>
                  </pic:blipFill>
                  <pic:spPr bwMode="auto">
                    <a:xfrm>
                      <a:off x="0" y="0"/>
                      <a:ext cx="5286375" cy="590550"/>
                    </a:xfrm>
                    <a:prstGeom prst="rect">
                      <a:avLst/>
                    </a:prstGeom>
                  </pic:spPr>
                </pic:pic>
              </a:graphicData>
            </a:graphic>
          </wp:inline>
        </w:drawing>
      </w:r>
      <w:r>
        <w:rPr>
          <w:bCs/>
        </w:rPr>
        <w:t>(151)</w:t>
      </w:r>
    </w:p>
    <w:p>
      <w:pPr>
        <w:pStyle w:val="Normal"/>
        <w:spacing w:before="0" w:after="0"/>
        <w:contextualSpacing/>
        <w:rPr>
          <w:bCs/>
        </w:rPr>
      </w:pPr>
      <w:r>
        <w:rPr>
          <w:bCs/>
        </w:rPr>
      </w:r>
    </w:p>
    <w:p>
      <w:pPr>
        <w:pStyle w:val="Normal"/>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pStyle w:val="Normal"/>
        <w:spacing w:before="0" w:after="0"/>
        <w:contextualSpacing/>
        <w:rPr>
          <w:bCs/>
          <w:sz w:val="20"/>
          <w:szCs w:val="20"/>
        </w:rPr>
      </w:pPr>
      <w:r>
        <w:rPr>
          <w:bCs/>
          <w:sz w:val="20"/>
          <w:szCs w:val="20"/>
        </w:rPr>
      </w:r>
    </w:p>
    <w:p>
      <w:pPr>
        <w:pStyle w:val="Normal"/>
        <w:spacing w:before="0" w:after="0"/>
        <w:contextualSpacing/>
        <w:rPr/>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FootnoteAnchor"/>
          <w:bCs/>
        </w:rPr>
        <w:footnoteReference w:id="300"/>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pStyle w:val="Normal"/>
        <w:spacing w:before="0" w:after="0"/>
        <w:contextualSpacing/>
        <w:rPr>
          <w:bCs/>
        </w:rPr>
      </w:pPr>
      <w:r>
        <w:rPr>
          <w:bCs/>
        </w:rPr>
      </w:r>
    </w:p>
    <w:p>
      <w:pPr>
        <w:pStyle w:val="Normal"/>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pStyle w:val="Normal"/>
        <w:spacing w:before="0" w:after="0"/>
        <w:contextualSpacing/>
        <w:rPr>
          <w:bCs/>
        </w:rPr>
      </w:pPr>
      <w:r>
        <w:rPr>
          <w:bCs/>
        </w:rPr>
      </w:r>
    </w:p>
    <w:p>
      <w:pPr>
        <w:pStyle w:val="Normal"/>
        <w:spacing w:before="0" w:after="0"/>
        <w:contextualSpacing/>
        <w:rPr/>
      </w:pPr>
      <w:r>
        <w:rPr/>
        <w:drawing>
          <wp:inline distT="0" distB="0" distL="0" distR="0">
            <wp:extent cx="5362575" cy="847725"/>
            <wp:effectExtent l="0" t="0" r="0" b="0"/>
            <wp:docPr id="10"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descr=""/>
                    <pic:cNvPicPr>
                      <a:picLocks noChangeAspect="1" noChangeArrowheads="1"/>
                    </pic:cNvPicPr>
                  </pic:nvPicPr>
                  <pic:blipFill>
                    <a:blip r:embed="rId107"/>
                    <a:stretch>
                      <a:fillRect/>
                    </a:stretch>
                  </pic:blipFill>
                  <pic:spPr bwMode="auto">
                    <a:xfrm>
                      <a:off x="0" y="0"/>
                      <a:ext cx="5362575" cy="847725"/>
                    </a:xfrm>
                    <a:prstGeom prst="rect">
                      <a:avLst/>
                    </a:prstGeom>
                  </pic:spPr>
                </pic:pic>
              </a:graphicData>
            </a:graphic>
          </wp:inline>
        </w:drawing>
      </w:r>
      <w:r>
        <w:rPr>
          <w:bCs/>
        </w:rPr>
        <w:t>(p. 151)</w:t>
      </w:r>
    </w:p>
    <w:p>
      <w:pPr>
        <w:pStyle w:val="Normal"/>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pStyle w:val="Normal"/>
        <w:spacing w:before="0" w:after="0"/>
        <w:contextualSpacing/>
        <w:rPr>
          <w:bCs/>
        </w:rPr>
      </w:pPr>
      <w:r>
        <w:rPr>
          <w:bCs/>
        </w:rPr>
        <w:tab/>
        <w:t xml:space="preserve">At page 152, Newman writes that </w:t>
      </w:r>
    </w:p>
    <w:p>
      <w:pPr>
        <w:pStyle w:val="Normal"/>
        <w:spacing w:before="0" w:after="0"/>
        <w:contextualSpacing/>
        <w:rPr>
          <w:bCs/>
        </w:rPr>
      </w:pPr>
      <w:r>
        <w:rPr>
          <w:bCs/>
        </w:rPr>
      </w:r>
    </w:p>
    <w:p>
      <w:pPr>
        <w:pStyle w:val="Normal"/>
        <w:spacing w:before="0" w:after="0"/>
        <w:contextualSpacing/>
        <w:rPr/>
      </w:pPr>
      <w:r>
        <w:rPr/>
        <w:drawing>
          <wp:inline distT="0" distB="0" distL="0" distR="0">
            <wp:extent cx="5095875" cy="1285875"/>
            <wp:effectExtent l="0" t="0" r="0" b="0"/>
            <wp:docPr id="11"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descr=""/>
                    <pic:cNvPicPr>
                      <a:picLocks noChangeAspect="1" noChangeArrowheads="1"/>
                    </pic:cNvPicPr>
                  </pic:nvPicPr>
                  <pic:blipFill>
                    <a:blip r:embed="rId108"/>
                    <a:stretch>
                      <a:fillRect/>
                    </a:stretch>
                  </pic:blipFill>
                  <pic:spPr bwMode="auto">
                    <a:xfrm>
                      <a:off x="0" y="0"/>
                      <a:ext cx="5095875" cy="1285875"/>
                    </a:xfrm>
                    <a:prstGeom prst="rect">
                      <a:avLst/>
                    </a:prstGeom>
                  </pic:spPr>
                </pic:pic>
              </a:graphicData>
            </a:graphic>
          </wp:inline>
        </w:drawing>
      </w:r>
    </w:p>
    <w:p>
      <w:pPr>
        <w:pStyle w:val="Normal"/>
        <w:spacing w:before="0" w:after="0"/>
        <w:contextualSpacing/>
        <w:rPr>
          <w:bCs/>
        </w:rPr>
      </w:pPr>
      <w:r>
        <w:rPr>
          <w:bCs/>
        </w:rPr>
      </w:r>
    </w:p>
    <w:p>
      <w:pPr>
        <w:pStyle w:val="Normal"/>
        <w:spacing w:before="0" w:after="0"/>
        <w:contextualSpacing/>
        <w:rPr/>
      </w:pPr>
      <w:r>
        <w:rPr>
          <w:bCs/>
        </w:rPr>
        <w:t>In section 6.9 (“Some notion from quantum mechanics”, Vacariu 2008), I showed exactly this idea in quantum mechanics.</w:t>
      </w:r>
      <w:r>
        <w:rPr>
          <w:rStyle w:val="FootnoteAnchor"/>
          <w:bCs/>
        </w:rPr>
        <w:footnoteReference w:id="301"/>
      </w:r>
      <w:r>
        <w:rPr>
          <w:bCs/>
        </w:rPr>
        <w:t xml:space="preserve"> (I don’t see any argument using knowledge from quantum mechanics in Newman’s article. Then how he supported this idea?) Newman writes that </w:t>
      </w:r>
    </w:p>
    <w:p>
      <w:pPr>
        <w:pStyle w:val="Normal"/>
        <w:spacing w:before="0" w:after="0"/>
        <w:contextualSpacing/>
        <w:rPr>
          <w:bCs/>
        </w:rPr>
      </w:pPr>
      <w:r>
        <w:rPr>
          <w:bCs/>
        </w:rPr>
      </w:r>
    </w:p>
    <w:p>
      <w:pPr>
        <w:pStyle w:val="Normal"/>
        <w:spacing w:before="0" w:after="0"/>
        <w:contextualSpacing/>
        <w:rPr/>
      </w:pPr>
      <w:r>
        <w:rPr/>
        <w:drawing>
          <wp:inline distT="0" distB="0" distL="0" distR="0">
            <wp:extent cx="4714875" cy="1200150"/>
            <wp:effectExtent l="0" t="0" r="0" b="0"/>
            <wp:docPr id="1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descr=""/>
                    <pic:cNvPicPr>
                      <a:picLocks noChangeAspect="1" noChangeArrowheads="1"/>
                    </pic:cNvPicPr>
                  </pic:nvPicPr>
                  <pic:blipFill>
                    <a:blip r:embed="rId109"/>
                    <a:stretch>
                      <a:fillRect/>
                    </a:stretch>
                  </pic:blipFill>
                  <pic:spPr bwMode="auto">
                    <a:xfrm>
                      <a:off x="0" y="0"/>
                      <a:ext cx="4714875" cy="1200150"/>
                    </a:xfrm>
                    <a:prstGeom prst="rect">
                      <a:avLst/>
                    </a:prstGeom>
                  </pic:spPr>
                </pic:pic>
              </a:graphicData>
            </a:graphic>
          </wp:inline>
        </w:drawing>
      </w:r>
      <w:r>
        <w:rPr>
          <w:bCs/>
        </w:rPr>
        <w:t>(p. 152)</w:t>
      </w:r>
    </w:p>
    <w:p>
      <w:pPr>
        <w:pStyle w:val="Normal"/>
        <w:spacing w:before="0" w:after="0"/>
        <w:contextualSpacing/>
        <w:rPr>
          <w:bCs/>
        </w:rPr>
      </w:pPr>
      <w:r>
        <w:rPr>
          <w:bCs/>
        </w:rPr>
      </w:r>
    </w:p>
    <w:p>
      <w:pPr>
        <w:pStyle w:val="Normal"/>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pStyle w:val="Normal"/>
        <w:spacing w:before="0" w:after="0"/>
        <w:contextualSpacing/>
        <w:rPr/>
      </w:pPr>
      <w:r>
        <w:rPr/>
        <w:drawing>
          <wp:inline distT="0" distB="0" distL="0" distR="0">
            <wp:extent cx="5057775" cy="1733550"/>
            <wp:effectExtent l="0" t="0" r="0" b="0"/>
            <wp:docPr id="13"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descr=""/>
                    <pic:cNvPicPr>
                      <a:picLocks noChangeAspect="1" noChangeArrowheads="1"/>
                    </pic:cNvPicPr>
                  </pic:nvPicPr>
                  <pic:blipFill>
                    <a:blip r:embed="rId110"/>
                    <a:stretch>
                      <a:fillRect/>
                    </a:stretch>
                  </pic:blipFill>
                  <pic:spPr bwMode="auto">
                    <a:xfrm>
                      <a:off x="0" y="0"/>
                      <a:ext cx="5057775" cy="1733550"/>
                    </a:xfrm>
                    <a:prstGeom prst="rect">
                      <a:avLst/>
                    </a:prstGeom>
                  </pic:spPr>
                </pic:pic>
              </a:graphicData>
            </a:graphic>
          </wp:inline>
        </w:drawing>
      </w:r>
    </w:p>
    <w:p>
      <w:pPr>
        <w:pStyle w:val="Normal"/>
        <w:spacing w:before="0" w:after="0"/>
        <w:contextualSpacing/>
        <w:rPr/>
      </w:pPr>
      <w:r>
        <w:rPr/>
        <w:drawing>
          <wp:inline distT="0" distB="0" distL="0" distR="0">
            <wp:extent cx="5019675" cy="2438400"/>
            <wp:effectExtent l="0" t="0" r="0" b="0"/>
            <wp:docPr id="14"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descr=""/>
                    <pic:cNvPicPr>
                      <a:picLocks noChangeAspect="1" noChangeArrowheads="1"/>
                    </pic:cNvPicPr>
                  </pic:nvPicPr>
                  <pic:blipFill>
                    <a:blip r:embed="rId111"/>
                    <a:stretch>
                      <a:fillRect/>
                    </a:stretch>
                  </pic:blipFill>
                  <pic:spPr bwMode="auto">
                    <a:xfrm>
                      <a:off x="0" y="0"/>
                      <a:ext cx="5019675" cy="2438400"/>
                    </a:xfrm>
                    <a:prstGeom prst="rect">
                      <a:avLst/>
                    </a:prstGeom>
                  </pic:spPr>
                </pic:pic>
              </a:graphicData>
            </a:graphic>
          </wp:inline>
        </w:drawing>
      </w:r>
      <w:r>
        <w:rPr/>
        <w:drawing>
          <wp:inline distT="0" distB="0" distL="0" distR="0">
            <wp:extent cx="5095875" cy="1428750"/>
            <wp:effectExtent l="0" t="0" r="0" b="0"/>
            <wp:docPr id="15"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descr=""/>
                    <pic:cNvPicPr>
                      <a:picLocks noChangeAspect="1" noChangeArrowheads="1"/>
                    </pic:cNvPicPr>
                  </pic:nvPicPr>
                  <pic:blipFill>
                    <a:blip r:embed="rId112"/>
                    <a:stretch>
                      <a:fillRect/>
                    </a:stretch>
                  </pic:blipFill>
                  <pic:spPr bwMode="auto">
                    <a:xfrm>
                      <a:off x="0" y="0"/>
                      <a:ext cx="5095875" cy="1428750"/>
                    </a:xfrm>
                    <a:prstGeom prst="rect">
                      <a:avLst/>
                    </a:prstGeom>
                  </pic:spPr>
                </pic:pic>
              </a:graphicData>
            </a:graphic>
          </wp:inline>
        </w:drawing>
      </w:r>
      <w:r>
        <w:rPr>
          <w:bCs/>
        </w:rPr>
        <w:t>(pp. 155-156)</w:t>
      </w:r>
    </w:p>
    <w:p>
      <w:pPr>
        <w:pStyle w:val="Normal"/>
        <w:spacing w:before="0" w:after="0"/>
        <w:contextualSpacing/>
        <w:rPr>
          <w:bCs/>
        </w:rPr>
      </w:pPr>
      <w:r>
        <w:rPr>
          <w:bCs/>
        </w:rPr>
      </w:r>
    </w:p>
    <w:p>
      <w:pPr>
        <w:pStyle w:val="Normal"/>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pStyle w:val="Normal"/>
        <w:spacing w:before="0" w:after="0"/>
        <w:contextualSpacing/>
        <w:rPr>
          <w:bCs/>
        </w:rPr>
      </w:pPr>
      <w:r>
        <w:rPr>
          <w:bCs/>
        </w:rPr>
      </w:r>
    </w:p>
    <w:p>
      <w:pPr>
        <w:pStyle w:val="Normal"/>
        <w:spacing w:before="0" w:after="0"/>
        <w:contextualSpacing/>
        <w:rPr/>
      </w:pPr>
      <w:r>
        <w:rPr/>
        <w:drawing>
          <wp:inline distT="0" distB="0" distL="0" distR="0">
            <wp:extent cx="5057775" cy="2390775"/>
            <wp:effectExtent l="0" t="0" r="0" b="0"/>
            <wp:docPr id="16"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descr=""/>
                    <pic:cNvPicPr>
                      <a:picLocks noChangeAspect="1" noChangeArrowheads="1"/>
                    </pic:cNvPicPr>
                  </pic:nvPicPr>
                  <pic:blipFill>
                    <a:blip r:embed="rId113"/>
                    <a:stretch>
                      <a:fillRect/>
                    </a:stretch>
                  </pic:blipFill>
                  <pic:spPr bwMode="auto">
                    <a:xfrm>
                      <a:off x="0" y="0"/>
                      <a:ext cx="5057775" cy="2390775"/>
                    </a:xfrm>
                    <a:prstGeom prst="rect">
                      <a:avLst/>
                    </a:prstGeom>
                  </pic:spPr>
                </pic:pic>
              </a:graphicData>
            </a:graphic>
          </wp:inline>
        </w:drawing>
      </w:r>
      <w:r>
        <w:rPr>
          <w:bCs/>
        </w:rPr>
        <w:t>(p. 156)</w:t>
      </w:r>
    </w:p>
    <w:p>
      <w:pPr>
        <w:pStyle w:val="Normal"/>
        <w:spacing w:before="0" w:after="0"/>
        <w:contextualSpacing/>
        <w:rPr>
          <w:bCs/>
        </w:rPr>
      </w:pPr>
      <w:r>
        <w:rPr>
          <w:bCs/>
        </w:rPr>
      </w:r>
    </w:p>
    <w:p>
      <w:pPr>
        <w:pStyle w:val="Normal"/>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pStyle w:val="Normal"/>
        <w:spacing w:before="0" w:after="0"/>
        <w:contextualSpacing/>
        <w:rPr/>
      </w:pPr>
      <w:r>
        <w:rPr/>
        <w:drawing>
          <wp:inline distT="0" distB="0" distL="0" distR="0">
            <wp:extent cx="5057775" cy="1914525"/>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
                    <pic:cNvPicPr>
                      <a:picLocks noChangeAspect="1" noChangeArrowheads="1"/>
                    </pic:cNvPicPr>
                  </pic:nvPicPr>
                  <pic:blipFill>
                    <a:blip r:embed="rId114"/>
                    <a:stretch>
                      <a:fillRect/>
                    </a:stretch>
                  </pic:blipFill>
                  <pic:spPr bwMode="auto">
                    <a:xfrm>
                      <a:off x="0" y="0"/>
                      <a:ext cx="5057775" cy="1914525"/>
                    </a:xfrm>
                    <a:prstGeom prst="rect">
                      <a:avLst/>
                    </a:prstGeom>
                  </pic:spPr>
                </pic:pic>
              </a:graphicData>
            </a:graphic>
          </wp:inline>
        </w:drawing>
      </w:r>
      <w:r>
        <w:rPr>
          <w:bCs/>
        </w:rPr>
        <w:t>(p. 157)</w:t>
      </w:r>
    </w:p>
    <w:p>
      <w:pPr>
        <w:pStyle w:val="Normal"/>
        <w:spacing w:before="0" w:after="0"/>
        <w:contextualSpacing/>
        <w:rPr>
          <w:bCs/>
        </w:rPr>
      </w:pPr>
      <w:r>
        <w:rPr>
          <w:bCs/>
        </w:rPr>
      </w:r>
    </w:p>
    <w:p>
      <w:pPr>
        <w:pStyle w:val="Normal"/>
        <w:spacing w:before="0" w:after="0"/>
        <w:contextualSpacing/>
        <w:rPr>
          <w:bCs/>
        </w:rPr>
      </w:pPr>
      <w:r>
        <w:rPr>
          <w:bCs/>
        </w:rPr>
        <w:t>Working within the unicorn world, it is quite impossible to avoid these ontological contradictions. Only the EDWs framework saves us of these contradictions!</w:t>
      </w:r>
    </w:p>
    <w:p>
      <w:pPr>
        <w:pStyle w:val="Normal"/>
        <w:spacing w:before="0" w:after="0"/>
        <w:contextualSpacing/>
        <w:rPr>
          <w:bCs/>
        </w:rPr>
      </w:pPr>
      <w:r>
        <w:rPr>
          <w:bCs/>
        </w:rPr>
        <w:tab/>
        <w:t xml:space="preserve">In section 5, Newman writes about the mass of a solid object and the masses of microparticles that composed this solid object: </w:t>
      </w:r>
    </w:p>
    <w:p>
      <w:pPr>
        <w:pStyle w:val="Normal"/>
        <w:spacing w:before="0" w:after="0"/>
        <w:contextualSpacing/>
        <w:rPr/>
      </w:pPr>
      <w:r>
        <w:rPr/>
        <w:drawing>
          <wp:inline distT="0" distB="0" distL="0" distR="0">
            <wp:extent cx="5019675" cy="552450"/>
            <wp:effectExtent l="0" t="0" r="0" b="0"/>
            <wp:docPr id="18"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descr=""/>
                    <pic:cNvPicPr>
                      <a:picLocks noChangeAspect="1" noChangeArrowheads="1"/>
                    </pic:cNvPicPr>
                  </pic:nvPicPr>
                  <pic:blipFill>
                    <a:blip r:embed="rId115"/>
                    <a:stretch>
                      <a:fillRect/>
                    </a:stretch>
                  </pic:blipFill>
                  <pic:spPr bwMode="auto">
                    <a:xfrm>
                      <a:off x="0" y="0"/>
                      <a:ext cx="5019675" cy="552450"/>
                    </a:xfrm>
                    <a:prstGeom prst="rect">
                      <a:avLst/>
                    </a:prstGeom>
                  </pic:spPr>
                </pic:pic>
              </a:graphicData>
            </a:graphic>
          </wp:inline>
        </w:drawing>
      </w:r>
      <w:r>
        <w:rPr>
          <w:bCs/>
        </w:rPr>
        <w:t>(p. 157)</w:t>
      </w:r>
    </w:p>
    <w:p>
      <w:pPr>
        <w:pStyle w:val="Normal"/>
        <w:spacing w:before="0" w:after="0"/>
        <w:contextualSpacing/>
        <w:rPr>
          <w:bCs/>
        </w:rPr>
      </w:pPr>
      <w:r>
        <w:rPr>
          <w:bCs/>
        </w:rPr>
        <w:t xml:space="preserve">This statement illustrates exactly the ontological contradiction mentioned above. </w:t>
      </w:r>
    </w:p>
    <w:p>
      <w:pPr>
        <w:pStyle w:val="Normal"/>
        <w:spacing w:before="0" w:after="0"/>
        <w:contextualSpacing/>
        <w:rPr>
          <w:bCs/>
        </w:rPr>
      </w:pPr>
      <w:r>
        <w:rPr>
          <w:bCs/>
        </w:rPr>
      </w:r>
    </w:p>
    <w:p>
      <w:pPr>
        <w:pStyle w:val="Normal"/>
        <w:spacing w:before="0" w:after="0"/>
        <w:contextualSpacing/>
        <w:rPr/>
      </w:pPr>
      <w:r>
        <w:rPr/>
        <w:drawing>
          <wp:inline distT="0" distB="0" distL="0" distR="0">
            <wp:extent cx="4943475" cy="2295525"/>
            <wp:effectExtent l="0" t="0" r="0" b="0"/>
            <wp:docPr id="19"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
                    <pic:cNvPicPr>
                      <a:picLocks noChangeAspect="1" noChangeArrowheads="1"/>
                    </pic:cNvPicPr>
                  </pic:nvPicPr>
                  <pic:blipFill>
                    <a:blip r:embed="rId116"/>
                    <a:stretch>
                      <a:fillRect/>
                    </a:stretch>
                  </pic:blipFill>
                  <pic:spPr bwMode="auto">
                    <a:xfrm>
                      <a:off x="0" y="0"/>
                      <a:ext cx="4943475" cy="2295525"/>
                    </a:xfrm>
                    <a:prstGeom prst="rect">
                      <a:avLst/>
                    </a:prstGeom>
                  </pic:spPr>
                </pic:pic>
              </a:graphicData>
            </a:graphic>
          </wp:inline>
        </w:drawing>
      </w:r>
      <w:r>
        <w:rPr>
          <w:bCs/>
        </w:rPr>
        <w:t>(p. 158)</w:t>
      </w:r>
    </w:p>
    <w:p>
      <w:pPr>
        <w:pStyle w:val="Normal"/>
        <w:spacing w:before="0" w:after="0"/>
        <w:contextualSpacing/>
        <w:rPr>
          <w:bCs/>
        </w:rPr>
      </w:pPr>
      <w:r>
        <w:rPr>
          <w:bCs/>
        </w:rPr>
      </w:r>
    </w:p>
    <w:p>
      <w:pPr>
        <w:pStyle w:val="Normal"/>
        <w:spacing w:before="0" w:after="0"/>
        <w:contextualSpacing/>
        <w:rPr>
          <w:bCs/>
        </w:rPr>
      </w:pPr>
      <w:r>
        <w:rPr>
          <w:bCs/>
        </w:rPr>
        <w:t>Again, this paragraph seems to be written under the EDWs perspective. Moreover, quoting Anderson’s work in Vacariu (2008), I investigated exactly the same problem:</w:t>
      </w:r>
    </w:p>
    <w:p>
      <w:pPr>
        <w:pStyle w:val="Normal"/>
        <w:spacing w:before="0" w:after="0"/>
        <w:contextualSpacing/>
        <w:rPr>
          <w:bCs/>
        </w:rPr>
      </w:pPr>
      <w:r>
        <w:rPr>
          <w:bCs/>
        </w:rPr>
      </w:r>
    </w:p>
    <w:p>
      <w:pPr>
        <w:pStyle w:val="Normal"/>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FootnoteAnchor"/>
        </w:rPr>
        <w:footnoteReference w:id="302"/>
      </w:r>
    </w:p>
    <w:p>
      <w:pPr>
        <w:pStyle w:val="Normal"/>
        <w:spacing w:before="0" w:after="0"/>
        <w:contextualSpacing/>
        <w:rPr>
          <w:sz w:val="20"/>
          <w:szCs w:val="20"/>
        </w:rPr>
      </w:pPr>
      <w:r>
        <w:rPr>
          <w:sz w:val="20"/>
          <w:szCs w:val="20"/>
        </w:rPr>
      </w:r>
    </w:p>
    <w:p>
      <w:pPr>
        <w:pStyle w:val="Normal"/>
        <w:spacing w:before="0" w:after="0"/>
        <w:contextualSpacing/>
        <w:rPr/>
      </w:pPr>
      <w:r>
        <w:rPr/>
        <w:t>From my perspective, let us analyze a paragraph from Anderson’s article:</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w:t>
      </w: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FootnoteAnchor"/>
        </w:rPr>
        <w:footnoteReference w:id="303"/>
      </w:r>
    </w:p>
    <w:p>
      <w:pPr>
        <w:pStyle w:val="Normal"/>
        <w:spacing w:before="0" w:after="0"/>
        <w:contextualSpacing/>
        <w:rPr>
          <w:sz w:val="20"/>
          <w:szCs w:val="20"/>
        </w:rPr>
      </w:pPr>
      <w:r>
        <w:rPr>
          <w:sz w:val="20"/>
          <w:szCs w:val="20"/>
        </w:rPr>
      </w:r>
    </w:p>
    <w:p>
      <w:pPr>
        <w:pStyle w:val="Normal"/>
        <w:spacing w:before="0" w:after="0"/>
        <w:contextualSpacing/>
        <w:rPr/>
      </w:pPr>
      <w:r>
        <w:rPr/>
        <w:t xml:space="preserve">We have clear here the idea of “rigidity” of the macro-objects that involves the notion of “composition” but produces certain ontological contradictions: a macro-object and “its” microparticle cannot both really exist within the same “world”.  </w:t>
      </w:r>
    </w:p>
    <w:p>
      <w:pPr>
        <w:pStyle w:val="Normal"/>
        <w:spacing w:before="0" w:after="0"/>
        <w:contextualSpacing/>
        <w:rPr>
          <w:bCs/>
        </w:rPr>
      </w:pPr>
      <w:r>
        <w:rPr>
          <w:bCs/>
        </w:rPr>
        <w:tab/>
        <w:t xml:space="preserve">In fact, the title of next section of Newman’s article also seem taken from Vacariu 2008: “The mass of a solid object from another point of view”! The same verdict about the conclusion of this section: </w:t>
      </w:r>
    </w:p>
    <w:p>
      <w:pPr>
        <w:pStyle w:val="Normal"/>
        <w:spacing w:before="0" w:after="0"/>
        <w:contextualSpacing/>
        <w:rPr>
          <w:bCs/>
        </w:rPr>
      </w:pPr>
      <w:r>
        <w:rPr>
          <w:bCs/>
        </w:rPr>
      </w:r>
    </w:p>
    <w:p>
      <w:pPr>
        <w:pStyle w:val="Normal"/>
        <w:spacing w:before="0" w:after="0"/>
        <w:contextualSpacing/>
        <w:rPr/>
      </w:pPr>
      <w:r>
        <w:rPr/>
        <w:drawing>
          <wp:inline distT="0" distB="0" distL="0" distR="0">
            <wp:extent cx="4981575" cy="1809750"/>
            <wp:effectExtent l="0" t="0" r="0" b="0"/>
            <wp:docPr id="20"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
                    <pic:cNvPicPr>
                      <a:picLocks noChangeAspect="1" noChangeArrowheads="1"/>
                    </pic:cNvPicPr>
                  </pic:nvPicPr>
                  <pic:blipFill>
                    <a:blip r:embed="rId117"/>
                    <a:stretch>
                      <a:fillRect/>
                    </a:stretch>
                  </pic:blipFill>
                  <pic:spPr bwMode="auto">
                    <a:xfrm>
                      <a:off x="0" y="0"/>
                      <a:ext cx="4981575" cy="1809750"/>
                    </a:xfrm>
                    <a:prstGeom prst="rect">
                      <a:avLst/>
                    </a:prstGeom>
                  </pic:spPr>
                </pic:pic>
              </a:graphicData>
            </a:graphic>
          </wp:inline>
        </w:drawing>
      </w:r>
      <w:r>
        <w:rPr>
          <w:bCs/>
        </w:rPr>
        <w:t>(p. 159)</w:t>
      </w:r>
    </w:p>
    <w:p>
      <w:pPr>
        <w:pStyle w:val="Normal"/>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pStyle w:val="Normal"/>
        <w:spacing w:before="0" w:after="0"/>
        <w:contextualSpacing/>
        <w:rPr>
          <w:bCs/>
        </w:rPr>
      </w:pPr>
      <w:r>
        <w:rPr>
          <w:bCs/>
        </w:rPr>
      </w:r>
    </w:p>
    <w:p>
      <w:pPr>
        <w:pStyle w:val="Normal"/>
        <w:spacing w:before="0" w:after="0"/>
        <w:contextualSpacing/>
        <w:rPr/>
      </w:pPr>
      <w:r>
        <w:rPr/>
        <w:drawing>
          <wp:inline distT="0" distB="0" distL="0" distR="0">
            <wp:extent cx="5172075" cy="2085975"/>
            <wp:effectExtent l="0" t="0" r="0" b="0"/>
            <wp:docPr id="21"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
                    <pic:cNvPicPr>
                      <a:picLocks noChangeAspect="1" noChangeArrowheads="1"/>
                    </pic:cNvPicPr>
                  </pic:nvPicPr>
                  <pic:blipFill>
                    <a:blip r:embed="rId118"/>
                    <a:stretch>
                      <a:fillRect/>
                    </a:stretch>
                  </pic:blipFill>
                  <pic:spPr bwMode="auto">
                    <a:xfrm>
                      <a:off x="0" y="0"/>
                      <a:ext cx="5172075" cy="2085975"/>
                    </a:xfrm>
                    <a:prstGeom prst="rect">
                      <a:avLst/>
                    </a:prstGeom>
                  </pic:spPr>
                </pic:pic>
              </a:graphicData>
            </a:graphic>
          </wp:inline>
        </w:drawing>
      </w:r>
      <w:r>
        <w:rPr>
          <w:bCs/>
        </w:rPr>
        <w:t>(p. 159)</w:t>
      </w:r>
    </w:p>
    <w:p>
      <w:pPr>
        <w:pStyle w:val="Normal"/>
        <w:spacing w:before="0" w:after="0"/>
        <w:contextualSpacing/>
        <w:rPr>
          <w:bCs/>
        </w:rPr>
      </w:pPr>
      <w:r>
        <w:rPr>
          <w:bCs/>
        </w:rPr>
      </w:r>
    </w:p>
    <w:p>
      <w:pPr>
        <w:pStyle w:val="Normal"/>
        <w:spacing w:before="0" w:after="0"/>
        <w:contextualSpacing/>
        <w:rPr>
          <w:bCs/>
        </w:rPr>
      </w:pPr>
      <w:r>
        <w:rPr>
          <w:bCs/>
        </w:rPr>
        <w:t>Another sentence that seems to be written under the EDWs perspective!!! Otherwise, there would be strong ontological contradictions…</w:t>
      </w:r>
    </w:p>
    <w:p>
      <w:pPr>
        <w:pStyle w:val="Normal"/>
        <w:spacing w:before="0" w:after="0"/>
        <w:contextualSpacing/>
        <w:rPr>
          <w:bCs/>
        </w:rPr>
      </w:pPr>
      <w:r>
        <w:rPr>
          <w:bCs/>
        </w:rPr>
      </w:r>
    </w:p>
    <w:p>
      <w:pPr>
        <w:pStyle w:val="Normal"/>
        <w:spacing w:before="0" w:after="0"/>
        <w:contextualSpacing/>
        <w:rPr/>
      </w:pPr>
      <w:r>
        <w:rPr/>
        <w:drawing>
          <wp:inline distT="0" distB="0" distL="0" distR="0">
            <wp:extent cx="5057775" cy="2314575"/>
            <wp:effectExtent l="0" t="0" r="0" b="0"/>
            <wp:docPr id="2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descr=""/>
                    <pic:cNvPicPr>
                      <a:picLocks noChangeAspect="1" noChangeArrowheads="1"/>
                    </pic:cNvPicPr>
                  </pic:nvPicPr>
                  <pic:blipFill>
                    <a:blip r:embed="rId119"/>
                    <a:stretch>
                      <a:fillRect/>
                    </a:stretch>
                  </pic:blipFill>
                  <pic:spPr bwMode="auto">
                    <a:xfrm>
                      <a:off x="0" y="0"/>
                      <a:ext cx="5057775" cy="2314575"/>
                    </a:xfrm>
                    <a:prstGeom prst="rect">
                      <a:avLst/>
                    </a:prstGeom>
                  </pic:spPr>
                </pic:pic>
              </a:graphicData>
            </a:graphic>
          </wp:inline>
        </w:drawing>
      </w:r>
      <w:r>
        <w:rPr>
          <w:bCs/>
        </w:rPr>
        <w:t>(p. 160)</w:t>
      </w:r>
    </w:p>
    <w:p>
      <w:pPr>
        <w:pStyle w:val="Normal"/>
        <w:spacing w:before="0" w:after="0"/>
        <w:contextualSpacing/>
        <w:rPr>
          <w:bCs/>
        </w:rPr>
      </w:pPr>
      <w:r>
        <w:rPr>
          <w:bCs/>
        </w:rPr>
      </w:r>
    </w:p>
    <w:p>
      <w:pPr>
        <w:pStyle w:val="Normal"/>
        <w:spacing w:before="0" w:after="0"/>
        <w:contextualSpacing/>
        <w:rPr>
          <w:bCs/>
        </w:rPr>
      </w:pPr>
      <w:r>
        <w:rPr>
          <w:bCs/>
        </w:rPr>
        <w:t>Compare the ideas from this paragraph with the ideas from my paragraph:</w:t>
      </w:r>
    </w:p>
    <w:p>
      <w:pPr>
        <w:pStyle w:val="Normal"/>
        <w:spacing w:before="0" w:after="0"/>
        <w:contextualSpacing/>
        <w:rPr>
          <w:bCs/>
        </w:rPr>
      </w:pPr>
      <w:r>
        <w:rPr>
          <w:bCs/>
        </w:rPr>
      </w:r>
    </w:p>
    <w:p>
      <w:pPr>
        <w:pStyle w:val="Normal"/>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pStyle w:val="Normal"/>
        <w:spacing w:before="0" w:after="0"/>
        <w:contextualSpacing/>
        <w:rPr>
          <w:sz w:val="20"/>
          <w:szCs w:val="20"/>
        </w:rPr>
      </w:pPr>
      <w:r>
        <w:rPr>
          <w:sz w:val="20"/>
          <w:szCs w:val="20"/>
        </w:rPr>
      </w:r>
    </w:p>
    <w:p>
      <w:pPr>
        <w:pStyle w:val="Normal"/>
        <w:spacing w:before="0" w:after="0"/>
        <w:contextualSpacing/>
        <w:rPr>
          <w:b/>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pStyle w:val="Normal"/>
        <w:spacing w:before="0" w:after="0"/>
        <w:contextualSpacing/>
        <w:rPr>
          <w:bCs/>
        </w:rPr>
      </w:pPr>
      <w:r>
        <w:rPr>
          <w:bCs/>
        </w:rPr>
      </w:r>
    </w:p>
    <w:p>
      <w:pPr>
        <w:pStyle w:val="Normal"/>
        <w:spacing w:before="0" w:after="0"/>
        <w:contextualSpacing/>
        <w:rPr>
          <w:bCs/>
        </w:rPr>
      </w:pPr>
      <w:r>
        <w:rPr>
          <w:bCs/>
        </w:rPr>
        <w:t>“</w:t>
      </w: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pStyle w:val="Normal"/>
        <w:spacing w:before="0" w:after="0"/>
        <w:contextualSpacing/>
        <w:rPr>
          <w:bCs/>
        </w:rPr>
      </w:pPr>
      <w:r>
        <w:rPr>
          <w:bCs/>
        </w:rPr>
        <w:tab/>
        <w:t xml:space="preserve">Newman’s main rule, “The real boundary conditions for solid objects” (p. 160) mirrors exactly the relationship between the micro-entities and the macro-entities in the EDWs perspective. </w:t>
      </w:r>
    </w:p>
    <w:p>
      <w:pPr>
        <w:pStyle w:val="Normal"/>
        <w:spacing w:before="0" w:after="0"/>
        <w:contextualSpacing/>
        <w:rPr>
          <w:bCs/>
        </w:rPr>
      </w:pPr>
      <w:r>
        <w:rPr>
          <w:bCs/>
        </w:rPr>
      </w:r>
    </w:p>
    <w:p>
      <w:pPr>
        <w:pStyle w:val="Normal"/>
        <w:spacing w:before="0" w:after="0"/>
        <w:contextualSpacing/>
        <w:rPr/>
      </w:pPr>
      <w:r>
        <w:rPr/>
        <w:drawing>
          <wp:inline distT="0" distB="0" distL="0" distR="0">
            <wp:extent cx="5057775" cy="2009775"/>
            <wp:effectExtent l="0" t="0" r="0" b="0"/>
            <wp:docPr id="23"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descr=""/>
                    <pic:cNvPicPr>
                      <a:picLocks noChangeAspect="1" noChangeArrowheads="1"/>
                    </pic:cNvPicPr>
                  </pic:nvPicPr>
                  <pic:blipFill>
                    <a:blip r:embed="rId120"/>
                    <a:stretch>
                      <a:fillRect/>
                    </a:stretch>
                  </pic:blipFill>
                  <pic:spPr bwMode="auto">
                    <a:xfrm>
                      <a:off x="0" y="0"/>
                      <a:ext cx="5057775" cy="2009775"/>
                    </a:xfrm>
                    <a:prstGeom prst="rect">
                      <a:avLst/>
                    </a:prstGeom>
                  </pic:spPr>
                </pic:pic>
              </a:graphicData>
            </a:graphic>
          </wp:inline>
        </w:drawing>
      </w:r>
    </w:p>
    <w:p>
      <w:pPr>
        <w:pStyle w:val="Normal"/>
        <w:spacing w:before="0" w:after="0"/>
        <w:contextualSpacing/>
        <w:rPr/>
      </w:pPr>
      <w:r>
        <w:rPr/>
        <w:drawing>
          <wp:inline distT="0" distB="0" distL="0" distR="0">
            <wp:extent cx="4905375" cy="885825"/>
            <wp:effectExtent l="0" t="0" r="0" b="0"/>
            <wp:docPr id="24"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
                    <pic:cNvPicPr>
                      <a:picLocks noChangeAspect="1" noChangeArrowheads="1"/>
                    </pic:cNvPicPr>
                  </pic:nvPicPr>
                  <pic:blipFill>
                    <a:blip r:embed="rId121"/>
                    <a:stretch>
                      <a:fillRect/>
                    </a:stretch>
                  </pic:blipFill>
                  <pic:spPr bwMode="auto">
                    <a:xfrm>
                      <a:off x="0" y="0"/>
                      <a:ext cx="4905375" cy="885825"/>
                    </a:xfrm>
                    <a:prstGeom prst="rect">
                      <a:avLst/>
                    </a:prstGeom>
                  </pic:spPr>
                </pic:pic>
              </a:graphicData>
            </a:graphic>
          </wp:inline>
        </w:drawing>
      </w:r>
      <w:r>
        <w:rPr>
          <w:bCs/>
        </w:rPr>
        <w:t>(p. 160-161)</w:t>
      </w:r>
    </w:p>
    <w:p>
      <w:pPr>
        <w:pStyle w:val="Normal"/>
        <w:spacing w:before="0" w:after="0"/>
        <w:contextualSpacing/>
        <w:rPr>
          <w:bCs/>
        </w:rPr>
      </w:pPr>
      <w:r>
        <w:rPr>
          <w:bCs/>
        </w:rPr>
      </w:r>
    </w:p>
    <w:p>
      <w:pPr>
        <w:pStyle w:val="Normal"/>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pStyle w:val="Normal"/>
        <w:spacing w:before="0" w:after="0"/>
        <w:contextualSpacing/>
        <w:rPr>
          <w:bCs/>
        </w:rPr>
      </w:pPr>
      <w:r>
        <w:rPr>
          <w:bCs/>
        </w:rPr>
        <w:tab/>
        <w:t>Let me investigate another incredible similar paragraph from Newman’s article:</w:t>
      </w:r>
    </w:p>
    <w:p>
      <w:pPr>
        <w:pStyle w:val="Normal"/>
        <w:spacing w:before="0" w:after="0"/>
        <w:contextualSpacing/>
        <w:rPr>
          <w:bCs/>
        </w:rPr>
      </w:pPr>
      <w:r>
        <w:rPr>
          <w:bCs/>
        </w:rPr>
      </w:r>
    </w:p>
    <w:p>
      <w:pPr>
        <w:pStyle w:val="Normal"/>
        <w:spacing w:before="0" w:after="0"/>
        <w:contextualSpacing/>
        <w:rPr/>
      </w:pPr>
      <w:r>
        <w:rPr/>
        <w:drawing>
          <wp:inline distT="0" distB="0" distL="0" distR="0">
            <wp:extent cx="5019675" cy="2628900"/>
            <wp:effectExtent l="0" t="0" r="0" b="0"/>
            <wp:docPr id="25"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descr=""/>
                    <pic:cNvPicPr>
                      <a:picLocks noChangeAspect="1" noChangeArrowheads="1"/>
                    </pic:cNvPicPr>
                  </pic:nvPicPr>
                  <pic:blipFill>
                    <a:blip r:embed="rId122"/>
                    <a:stretch>
                      <a:fillRect/>
                    </a:stretch>
                  </pic:blipFill>
                  <pic:spPr bwMode="auto">
                    <a:xfrm>
                      <a:off x="0" y="0"/>
                      <a:ext cx="5019675" cy="2628900"/>
                    </a:xfrm>
                    <a:prstGeom prst="rect">
                      <a:avLst/>
                    </a:prstGeom>
                  </pic:spPr>
                </pic:pic>
              </a:graphicData>
            </a:graphic>
          </wp:inline>
        </w:drawing>
      </w:r>
      <w:r>
        <w:rPr>
          <w:bCs/>
        </w:rPr>
        <w:t xml:space="preserve"> </w:t>
      </w:r>
      <w:r>
        <w:rPr>
          <w:bCs/>
        </w:rPr>
        <w:t>(p. 161)</w:t>
      </w:r>
    </w:p>
    <w:p>
      <w:pPr>
        <w:pStyle w:val="Normal"/>
        <w:spacing w:before="0" w:after="0"/>
        <w:contextualSpacing/>
        <w:rPr>
          <w:bCs/>
        </w:rPr>
      </w:pPr>
      <w:r>
        <w:rPr>
          <w:bCs/>
        </w:rPr>
      </w:r>
    </w:p>
    <w:p>
      <w:pPr>
        <w:pStyle w:val="Normal"/>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pStyle w:val="Normal"/>
        <w:spacing w:before="0" w:after="0"/>
        <w:contextualSpacing/>
        <w:rPr>
          <w:bCs/>
        </w:rPr>
      </w:pPr>
      <w:r>
        <w:rPr>
          <w:bCs/>
        </w:rPr>
      </w:r>
    </w:p>
    <w:p>
      <w:pPr>
        <w:pStyle w:val="Normal"/>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pStyle w:val="Normal"/>
        <w:spacing w:before="0" w:after="0"/>
        <w:contextualSpacing/>
        <w:rPr/>
      </w:pPr>
      <w:r>
        <w:rPr/>
      </w:r>
    </w:p>
    <w:p>
      <w:pPr>
        <w:pStyle w:val="Normal"/>
        <w:spacing w:before="0" w:after="0"/>
        <w:contextualSpacing/>
        <w:rPr/>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pStyle w:val="Normal"/>
        <w:spacing w:before="0" w:after="0"/>
        <w:contextualSpacing/>
        <w:rPr>
          <w:bCs/>
        </w:rPr>
      </w:pPr>
      <w:r>
        <w:rPr>
          <w:bCs/>
        </w:rPr>
      </w:r>
    </w:p>
    <w:p>
      <w:pPr>
        <w:pStyle w:val="Normal"/>
        <w:spacing w:before="0" w:after="0"/>
        <w:contextualSpacing/>
        <w:rPr>
          <w:bCs/>
        </w:rPr>
      </w:pPr>
      <w:r>
        <w:rPr>
          <w:bCs/>
        </w:rPr>
      </w:r>
    </w:p>
    <w:p>
      <w:pPr>
        <w:pStyle w:val="Normal"/>
        <w:spacing w:before="0" w:after="0"/>
        <w:contextualSpacing/>
        <w:rPr>
          <w:bCs/>
        </w:rPr>
      </w:pPr>
      <w:r>
        <w:rPr>
          <w:bCs/>
        </w:rPr>
        <w:t xml:space="preserve">In section 8, “Solid objects”, we can find again many INCREDIBLE similar ideas to my ideas from Vacariu 2008! For instance, </w:t>
      </w:r>
    </w:p>
    <w:p>
      <w:pPr>
        <w:pStyle w:val="Normal"/>
        <w:spacing w:before="0" w:after="0"/>
        <w:contextualSpacing/>
        <w:rPr>
          <w:bCs/>
        </w:rPr>
      </w:pPr>
      <w:r>
        <w:rPr>
          <w:bCs/>
        </w:rPr>
      </w:r>
    </w:p>
    <w:p>
      <w:pPr>
        <w:pStyle w:val="Normal"/>
        <w:spacing w:before="0" w:after="0"/>
        <w:contextualSpacing/>
        <w:rPr/>
      </w:pPr>
      <w:r>
        <w:rPr/>
        <w:drawing>
          <wp:inline distT="0" distB="0" distL="0" distR="0">
            <wp:extent cx="4981575" cy="819150"/>
            <wp:effectExtent l="0" t="0" r="0" b="0"/>
            <wp:docPr id="26"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descr=""/>
                    <pic:cNvPicPr>
                      <a:picLocks noChangeAspect="1" noChangeArrowheads="1"/>
                    </pic:cNvPicPr>
                  </pic:nvPicPr>
                  <pic:blipFill>
                    <a:blip r:embed="rId123"/>
                    <a:stretch>
                      <a:fillRect/>
                    </a:stretch>
                  </pic:blipFill>
                  <pic:spPr bwMode="auto">
                    <a:xfrm>
                      <a:off x="0" y="0"/>
                      <a:ext cx="4981575" cy="819150"/>
                    </a:xfrm>
                    <a:prstGeom prst="rect">
                      <a:avLst/>
                    </a:prstGeom>
                  </pic:spPr>
                </pic:pic>
              </a:graphicData>
            </a:graphic>
          </wp:inline>
        </w:drawing>
      </w:r>
      <w:r>
        <w:rPr>
          <w:bCs/>
        </w:rPr>
        <w:t xml:space="preserve"> </w:t>
      </w:r>
      <w:r>
        <w:rPr/>
        <w:drawing>
          <wp:inline distT="0" distB="0" distL="0" distR="0">
            <wp:extent cx="5095875" cy="1781175"/>
            <wp:effectExtent l="0" t="0" r="0" b="0"/>
            <wp:docPr id="2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
                    <pic:cNvPicPr>
                      <a:picLocks noChangeAspect="1" noChangeArrowheads="1"/>
                    </pic:cNvPicPr>
                  </pic:nvPicPr>
                  <pic:blipFill>
                    <a:blip r:embed="rId124"/>
                    <a:stretch>
                      <a:fillRect/>
                    </a:stretch>
                  </pic:blipFill>
                  <pic:spPr bwMode="auto">
                    <a:xfrm>
                      <a:off x="0" y="0"/>
                      <a:ext cx="5095875" cy="1781175"/>
                    </a:xfrm>
                    <a:prstGeom prst="rect">
                      <a:avLst/>
                    </a:prstGeom>
                  </pic:spPr>
                </pic:pic>
              </a:graphicData>
            </a:graphic>
          </wp:inline>
        </w:drawing>
      </w:r>
      <w:r>
        <w:rPr>
          <w:bCs/>
        </w:rPr>
        <w:t>(pp. 162-163)</w:t>
      </w:r>
    </w:p>
    <w:p>
      <w:pPr>
        <w:pStyle w:val="Normal"/>
        <w:spacing w:before="0" w:after="0"/>
        <w:contextualSpacing/>
        <w:rPr>
          <w:bCs/>
        </w:rPr>
      </w:pPr>
      <w:r>
        <w:rPr>
          <w:bCs/>
        </w:rPr>
      </w:r>
    </w:p>
    <w:p>
      <w:pPr>
        <w:pStyle w:val="Normal"/>
        <w:spacing w:before="0" w:after="0"/>
        <w:contextualSpacing/>
        <w:rPr>
          <w:bCs/>
        </w:rPr>
      </w:pPr>
      <w:r>
        <w:rPr>
          <w:bCs/>
        </w:rPr>
        <w:t>Compare the ideas of this paragraph with my ideas from 2008:</w:t>
      </w:r>
    </w:p>
    <w:p>
      <w:pPr>
        <w:pStyle w:val="Normal"/>
        <w:spacing w:before="0" w:after="0"/>
        <w:contextualSpacing/>
        <w:rPr>
          <w:bCs/>
          <w:sz w:val="20"/>
          <w:szCs w:val="20"/>
        </w:rPr>
      </w:pPr>
      <w:r>
        <w:rPr>
          <w:bCs/>
          <w:sz w:val="20"/>
          <w:szCs w:val="20"/>
        </w:rPr>
      </w:r>
    </w:p>
    <w:p>
      <w:pPr>
        <w:pStyle w:val="Normal"/>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From an EWDs perspective, we can explain the “nonlocality” of the microparticles. The main idea is that, following</w:t>
      </w:r>
    </w:p>
    <w:p>
      <w:pPr>
        <w:pStyle w:val="Normal"/>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pStyle w:val="Normal"/>
        <w:spacing w:before="0" w:after="0"/>
        <w:contextualSpacing/>
        <w:rPr>
          <w:sz w:val="20"/>
          <w:szCs w:val="20"/>
        </w:rPr>
      </w:pPr>
      <w:r>
        <w:rPr>
          <w:sz w:val="20"/>
          <w:szCs w:val="20"/>
        </w:rPr>
      </w:r>
    </w:p>
    <w:p>
      <w:pPr>
        <w:pStyle w:val="Normal"/>
        <w:spacing w:before="0" w:after="0"/>
        <w:contextualSpacing/>
        <w:rPr/>
      </w:pPr>
      <w:r>
        <w:rPr/>
        <w:t>Do not have the feeling that you read the same ideas in these paragraphs? I have this feeling…</w:t>
      </w:r>
    </w:p>
    <w:p>
      <w:pPr>
        <w:pStyle w:val="Normal"/>
        <w:spacing w:before="0" w:after="0"/>
        <w:contextualSpacing/>
        <w:rPr>
          <w:bCs/>
        </w:rPr>
      </w:pPr>
      <w:r>
        <w:rPr>
          <w:bCs/>
        </w:rPr>
      </w:r>
    </w:p>
    <w:p>
      <w:pPr>
        <w:pStyle w:val="Normal"/>
        <w:spacing w:before="0" w:after="0"/>
        <w:contextualSpacing/>
        <w:rPr>
          <w:sz w:val="20"/>
          <w:szCs w:val="20"/>
        </w:rPr>
      </w:pPr>
      <w:r>
        <w:rPr>
          <w:sz w:val="20"/>
          <w:szCs w:val="20"/>
        </w:rPr>
        <w:t xml:space="preserve"> </w:t>
      </w:r>
      <w:r>
        <w:rPr>
          <w:sz w:val="20"/>
          <w:szCs w:val="20"/>
        </w:rPr>
        <w:t xml:space="preserve">Compare my paragraph with Newman’s paragraph: </w:t>
      </w:r>
    </w:p>
    <w:p>
      <w:pPr>
        <w:pStyle w:val="Normal"/>
        <w:spacing w:before="0" w:after="0"/>
        <w:contextualSpacing/>
        <w:rPr/>
      </w:pPr>
      <w:r>
        <w:rPr/>
      </w:r>
    </w:p>
    <w:p>
      <w:pPr>
        <w:pStyle w:val="Normal"/>
        <w:spacing w:before="0" w:after="0"/>
        <w:contextualSpacing/>
        <w:rPr/>
      </w:pPr>
      <w:r>
        <w:rPr/>
        <w:drawing>
          <wp:inline distT="0" distB="0" distL="0" distR="0">
            <wp:extent cx="4867275" cy="2047875"/>
            <wp:effectExtent l="0" t="0" r="0" b="0"/>
            <wp:docPr id="28"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
                    <pic:cNvPicPr>
                      <a:picLocks noChangeAspect="1" noChangeArrowheads="1"/>
                    </pic:cNvPicPr>
                  </pic:nvPicPr>
                  <pic:blipFill>
                    <a:blip r:embed="rId125"/>
                    <a:stretch>
                      <a:fillRect/>
                    </a:stretch>
                  </pic:blipFill>
                  <pic:spPr bwMode="auto">
                    <a:xfrm>
                      <a:off x="0" y="0"/>
                      <a:ext cx="4867275" cy="2047875"/>
                    </a:xfrm>
                    <a:prstGeom prst="rect">
                      <a:avLst/>
                    </a:prstGeom>
                  </pic:spPr>
                </pic:pic>
              </a:graphicData>
            </a:graphic>
          </wp:inline>
        </w:drawing>
      </w:r>
    </w:p>
    <w:p>
      <w:pPr>
        <w:pStyle w:val="Normal"/>
        <w:spacing w:before="0" w:after="0"/>
        <w:contextualSpacing/>
        <w:rPr/>
      </w:pPr>
      <w:r>
        <w:rPr/>
      </w:r>
    </w:p>
    <w:p>
      <w:pPr>
        <w:pStyle w:val="Normal"/>
        <w:spacing w:before="0" w:after="0"/>
        <w:contextualSpacing/>
        <w:rPr/>
      </w:pPr>
      <w:r>
        <w:rPr/>
        <w:t xml:space="preserve">In section 9, Newman gives us the example of “snooker” hitting a “triangle of fifteen red balls” to illustrate the relationship between one ball and the rest of balls. After a detailed presentation, Newman conclusion is this one: </w:t>
      </w:r>
    </w:p>
    <w:p>
      <w:pPr>
        <w:pStyle w:val="Normal"/>
        <w:spacing w:before="0" w:after="0"/>
        <w:contextualSpacing/>
        <w:rPr/>
      </w:pPr>
      <w:r>
        <w:rPr/>
      </w:r>
    </w:p>
    <w:p>
      <w:pPr>
        <w:pStyle w:val="Normal"/>
        <w:spacing w:before="0" w:after="0"/>
        <w:contextualSpacing/>
        <w:rPr/>
      </w:pPr>
      <w:r>
        <w:rPr/>
        <w:drawing>
          <wp:inline distT="0" distB="0" distL="0" distR="0">
            <wp:extent cx="5057775" cy="1866900"/>
            <wp:effectExtent l="0" t="0" r="0" b="0"/>
            <wp:docPr id="29"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
                    <pic:cNvPicPr>
                      <a:picLocks noChangeAspect="1" noChangeArrowheads="1"/>
                    </pic:cNvPicPr>
                  </pic:nvPicPr>
                  <pic:blipFill>
                    <a:blip r:embed="rId126"/>
                    <a:stretch>
                      <a:fillRect/>
                    </a:stretch>
                  </pic:blipFill>
                  <pic:spPr bwMode="auto">
                    <a:xfrm>
                      <a:off x="0" y="0"/>
                      <a:ext cx="5057775" cy="1866900"/>
                    </a:xfrm>
                    <a:prstGeom prst="rect">
                      <a:avLst/>
                    </a:prstGeom>
                  </pic:spPr>
                </pic:pic>
              </a:graphicData>
            </a:graphic>
          </wp:inline>
        </w:drawing>
      </w:r>
      <w:r>
        <w:rPr>
          <w:bCs/>
        </w:rPr>
        <w:t xml:space="preserve"> </w:t>
      </w:r>
      <w:r>
        <w:rPr/>
        <w:drawing>
          <wp:inline distT="0" distB="0" distL="0" distR="0">
            <wp:extent cx="4981575" cy="600075"/>
            <wp:effectExtent l="0" t="0" r="0" b="0"/>
            <wp:docPr id="30"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
                    <pic:cNvPicPr>
                      <a:picLocks noChangeAspect="1" noChangeArrowheads="1"/>
                    </pic:cNvPicPr>
                  </pic:nvPicPr>
                  <pic:blipFill>
                    <a:blip r:embed="rId127"/>
                    <a:stretch>
                      <a:fillRect/>
                    </a:stretch>
                  </pic:blipFill>
                  <pic:spPr bwMode="auto">
                    <a:xfrm>
                      <a:off x="0" y="0"/>
                      <a:ext cx="4981575" cy="600075"/>
                    </a:xfrm>
                    <a:prstGeom prst="rect">
                      <a:avLst/>
                    </a:prstGeom>
                  </pic:spPr>
                </pic:pic>
              </a:graphicData>
            </a:graphic>
          </wp:inline>
        </w:drawing>
      </w:r>
      <w:r>
        <w:rPr>
          <w:bCs/>
        </w:rPr>
        <w:t>(pp. 165-166)</w:t>
      </w:r>
    </w:p>
    <w:p>
      <w:pPr>
        <w:pStyle w:val="Normal"/>
        <w:spacing w:before="0" w:after="0"/>
        <w:contextualSpacing/>
        <w:rPr>
          <w:bCs/>
        </w:rPr>
      </w:pPr>
      <w:r>
        <w:rPr>
          <w:bCs/>
        </w:rPr>
      </w:r>
    </w:p>
    <w:p>
      <w:pPr>
        <w:pStyle w:val="Normal"/>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pStyle w:val="Normal"/>
        <w:spacing w:before="0" w:after="0"/>
        <w:contextualSpacing/>
        <w:rPr>
          <w:bCs/>
        </w:rPr>
      </w:pPr>
      <w:r>
        <w:rPr>
          <w:bCs/>
        </w:rPr>
      </w:r>
    </w:p>
    <w:p>
      <w:pPr>
        <w:pStyle w:val="Normal"/>
        <w:spacing w:before="0" w:after="0"/>
        <w:contextualSpacing/>
        <w:rPr/>
      </w:pPr>
      <w:r>
        <w:rPr/>
        <w:drawing>
          <wp:inline distT="0" distB="0" distL="0" distR="0">
            <wp:extent cx="4905375" cy="1133475"/>
            <wp:effectExtent l="0" t="0" r="0" b="0"/>
            <wp:docPr id="3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
                    <pic:cNvPicPr>
                      <a:picLocks noChangeAspect="1" noChangeArrowheads="1"/>
                    </pic:cNvPicPr>
                  </pic:nvPicPr>
                  <pic:blipFill>
                    <a:blip r:embed="rId128"/>
                    <a:stretch>
                      <a:fillRect/>
                    </a:stretch>
                  </pic:blipFill>
                  <pic:spPr bwMode="auto">
                    <a:xfrm>
                      <a:off x="0" y="0"/>
                      <a:ext cx="4905375" cy="1133475"/>
                    </a:xfrm>
                    <a:prstGeom prst="rect">
                      <a:avLst/>
                    </a:prstGeom>
                  </pic:spPr>
                </pic:pic>
              </a:graphicData>
            </a:graphic>
          </wp:inline>
        </w:drawing>
      </w:r>
    </w:p>
    <w:p>
      <w:pPr>
        <w:pStyle w:val="Normal"/>
        <w:spacing w:before="0" w:after="0"/>
        <w:contextualSpacing/>
        <w:rPr>
          <w:bCs/>
        </w:rPr>
      </w:pPr>
      <w:r>
        <w:rPr>
          <w:bCs/>
        </w:rPr>
      </w:r>
    </w:p>
    <w:p>
      <w:pPr>
        <w:pStyle w:val="Normal"/>
        <w:spacing w:before="0" w:after="0"/>
        <w:contextualSpacing/>
        <w:rPr/>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FootnoteAnchor"/>
          <w:bCs/>
        </w:rPr>
        <w:footnoteReference w:id="304"/>
      </w:r>
    </w:p>
    <w:p>
      <w:pPr>
        <w:pStyle w:val="Normal"/>
        <w:spacing w:before="0" w:after="0"/>
        <w:contextualSpacing/>
        <w:rPr>
          <w:bCs/>
        </w:rPr>
      </w:pPr>
      <w:r>
        <w:rPr>
          <w:bCs/>
        </w:rPr>
      </w:r>
    </w:p>
    <w:p>
      <w:pPr>
        <w:pStyle w:val="Normal"/>
        <w:spacing w:before="0" w:after="0"/>
        <w:contextualSpacing/>
        <w:rPr>
          <w:bCs/>
        </w:rPr>
      </w:pPr>
      <w:r>
        <w:rPr>
          <w:bCs/>
        </w:rPr>
      </w:r>
    </w:p>
    <w:p>
      <w:pPr>
        <w:pStyle w:val="ListParagraph"/>
        <w:numPr>
          <w:ilvl w:val="0"/>
          <w:numId w:val="31"/>
        </w:numPr>
        <w:tabs>
          <w:tab w:val="clear" w:pos="720"/>
          <w:tab w:val="left" w:pos="0" w:leader="none"/>
        </w:tabs>
        <w:spacing w:before="0" w:after="0"/>
        <w:contextualSpacing/>
        <w:rPr/>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pStyle w:val="ListParagraph"/>
        <w:tabs>
          <w:tab w:val="clear" w:pos="720"/>
          <w:tab w:val="left" w:pos="0" w:leader="none"/>
        </w:tabs>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tabs>
          <w:tab w:val="clear" w:pos="720"/>
          <w:tab w:val="left" w:pos="0" w:leader="none"/>
        </w:tabs>
        <w:spacing w:before="0" w:after="0"/>
        <w:ind w:left="0" w:right="0" w:hanging="0"/>
        <w:contextualSpacing/>
        <w:jc w:val="both"/>
        <w:rPr/>
      </w:pPr>
      <w:r>
        <w:rPr>
          <w:rFonts w:ascii="Times New Roman" w:hAnsi="Times New Roman"/>
          <w:sz w:val="24"/>
          <w:szCs w:val="24"/>
        </w:rPr>
        <w:t xml:space="preserve">Abstract: </w:t>
      </w:r>
      <w:r>
        <w:rPr>
          <w:rFonts w:eastAsia="Calibri" w:ascii="Times New Roman" w:hAnsi="Times New Roman"/>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pStyle w:val="Normal"/>
        <w:spacing w:before="0" w:after="0"/>
        <w:contextualSpacing/>
        <w:rPr>
          <w:rFonts w:eastAsia="Calibri"/>
          <w:color w:val="000000"/>
        </w:rPr>
      </w:pPr>
      <w:r>
        <w:rPr>
          <w:rFonts w:eastAsia="Calibri"/>
          <w:color w:val="000000"/>
        </w:rPr>
      </w:r>
    </w:p>
    <w:p>
      <w:pPr>
        <w:pStyle w:val="Normal"/>
        <w:spacing w:before="0" w:after="0"/>
        <w:contextualSpacing/>
        <w:rPr/>
      </w:pPr>
      <w:r>
        <w:rPr>
          <w:b/>
        </w:rPr>
        <w:t>Tahko E. Tuomas</w:t>
      </w:r>
      <w:r>
        <w:rPr/>
        <w:t xml:space="preserve">: </w:t>
      </w:r>
      <w:r>
        <w:rPr>
          <w:rFonts w:eastAsia="Calibri"/>
          <w:b/>
          <w:bCs/>
          <w:color w:val="000000"/>
        </w:rPr>
        <w:t xml:space="preserve">The Epistemology of Essence </w:t>
      </w:r>
    </w:p>
    <w:p>
      <w:pPr>
        <w:pStyle w:val="ListParagraph"/>
        <w:tabs>
          <w:tab w:val="clear" w:pos="720"/>
          <w:tab w:val="left" w:pos="0" w:leader="none"/>
        </w:tabs>
        <w:spacing w:before="0" w:after="0"/>
        <w:ind w:left="0" w:right="0" w:hanging="0"/>
        <w:contextualSpacing/>
        <w:jc w:val="both"/>
        <w:rPr/>
      </w:pPr>
      <w:r>
        <w:rPr>
          <w:rFonts w:eastAsia="Calibri" w:ascii="Times New Roman" w:hAnsi="Times New Roman"/>
          <w:color w:val="000000"/>
          <w:kern w:val="0"/>
          <w:sz w:val="24"/>
          <w:szCs w:val="24"/>
        </w:rPr>
        <w:t xml:space="preserve">Final version forthcoming in Carruth, A., Gibb, S.C., and Heil, J. (Eds.), </w:t>
      </w:r>
      <w:r>
        <w:rPr>
          <w:rFonts w:eastAsia="Calibri" w:ascii="Times New Roman" w:hAnsi="Times New Roman"/>
          <w:i/>
          <w:iCs/>
          <w:color w:val="000000"/>
          <w:kern w:val="0"/>
          <w:sz w:val="24"/>
          <w:szCs w:val="24"/>
        </w:rPr>
        <w:t xml:space="preserve">Ontology, Modality, Mind: Themes from the Metaphysics of E. J. Lowe </w:t>
      </w:r>
      <w:r>
        <w:rPr>
          <w:rFonts w:eastAsia="Calibri" w:ascii="Times New Roman" w:hAnsi="Times New Roman"/>
          <w:color w:val="000000"/>
          <w:kern w:val="0"/>
          <w:sz w:val="24"/>
          <w:szCs w:val="24"/>
        </w:rPr>
        <w:t>(Oxford University Press, forthcoming)</w:t>
      </w:r>
    </w:p>
    <w:p>
      <w:pPr>
        <w:pStyle w:val="Normal"/>
        <w:spacing w:before="0" w:after="0"/>
        <w:contextualSpacing/>
        <w:rPr>
          <w:rFonts w:eastAsia="Calibri"/>
          <w:color w:val="000000"/>
        </w:rPr>
      </w:pPr>
      <w:r>
        <w:rPr>
          <w:rFonts w:eastAsia="Calibri"/>
          <w:color w:val="000000"/>
        </w:rPr>
      </w:r>
    </w:p>
    <w:p>
      <w:pPr>
        <w:pStyle w:val="Normal"/>
        <w:spacing w:before="0" w:after="0"/>
        <w:contextualSpacing/>
        <w:rPr/>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pStyle w:val="Normal"/>
        <w:spacing w:before="0" w:after="0"/>
        <w:contextualSpacing/>
        <w:rPr/>
      </w:pPr>
      <w:r>
        <w:rPr/>
      </w:r>
    </w:p>
    <w:p>
      <w:pPr>
        <w:pStyle w:val="Normal"/>
        <w:spacing w:before="0" w:after="0"/>
        <w:contextualSpacing/>
        <w:rPr/>
      </w:pPr>
      <w:r>
        <w:rPr/>
      </w:r>
    </w:p>
    <w:p>
      <w:pPr>
        <w:pStyle w:val="ListParagraph"/>
        <w:numPr>
          <w:ilvl w:val="0"/>
          <w:numId w:val="31"/>
        </w:numPr>
        <w:shd w:val="clear" w:fill="FFFFFF"/>
        <w:spacing w:before="0" w:after="0"/>
        <w:contextualSpacing/>
        <w:rPr/>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hyperlink r:id="rId129" w:tgtFrame="View other works by Markku Keinänen">
        <w:r>
          <w:rPr>
            <w:rStyle w:val="Name"/>
            <w:b/>
            <w:color w:val="000000"/>
            <w:sz w:val="28"/>
            <w:szCs w:val="28"/>
            <w:highlight w:val="white"/>
          </w:rPr>
          <w:t>Markku Keinänen</w:t>
        </w:r>
      </w:hyperlink>
      <w:r>
        <w:rPr>
          <w:b/>
          <w:color w:val="000000"/>
          <w:sz w:val="28"/>
          <w:szCs w:val="28"/>
          <w:highlight w:val="white"/>
        </w:rPr>
        <w:t>, </w:t>
      </w:r>
      <w:hyperlink r:id="rId130" w:tgtFrame="View other works by Antti Keskinen">
        <w:r>
          <w:rPr>
            <w:rStyle w:val="Name"/>
            <w:b/>
            <w:color w:val="000000"/>
            <w:sz w:val="28"/>
            <w:szCs w:val="28"/>
            <w:highlight w:val="white"/>
          </w:rPr>
          <w:t>Antti Keskinen</w:t>
        </w:r>
      </w:hyperlink>
      <w:r>
        <w:rPr>
          <w:b/>
          <w:color w:val="000000"/>
          <w:sz w:val="28"/>
          <w:szCs w:val="28"/>
          <w:highlight w:val="white"/>
        </w:rPr>
        <w:t> &amp; </w:t>
      </w:r>
      <w:hyperlink r:id="rId131" w:tgtFrame="View other works by Jani Hakkarainen">
        <w:r>
          <w:rPr>
            <w:rStyle w:val="Name"/>
            <w:b/>
            <w:color w:val="000000"/>
            <w:sz w:val="28"/>
            <w:szCs w:val="28"/>
            <w:highlight w:val="white"/>
          </w:rPr>
          <w:t>Jani Hakkarainen</w:t>
        </w:r>
      </w:hyperlink>
    </w:p>
    <w:p>
      <w:pPr>
        <w:pStyle w:val="Default"/>
        <w:spacing w:before="0" w:after="0"/>
        <w:contextualSpacing/>
        <w:jc w:val="both"/>
        <w:rPr>
          <w:b/>
          <w:b/>
          <w:bCs/>
          <w:sz w:val="28"/>
          <w:szCs w:val="28"/>
        </w:rPr>
      </w:pPr>
      <w:r>
        <w:rPr>
          <w:b/>
          <w:bCs/>
          <w:sz w:val="28"/>
          <w:szCs w:val="28"/>
        </w:rPr>
      </w:r>
    </w:p>
    <w:p>
      <w:pPr>
        <w:pStyle w:val="Default"/>
        <w:spacing w:before="0" w:after="0"/>
        <w:contextualSpacing/>
        <w:jc w:val="both"/>
        <w:rPr/>
      </w:pPr>
      <w:r>
        <w:rPr>
          <w:rFonts w:cs="Times New Roman" w:ascii="Times New Roman" w:hAnsi="Times New Roman"/>
          <w:b/>
          <w:bCs/>
        </w:rPr>
        <w:t>“</w:t>
      </w:r>
      <w:r>
        <w:rPr>
          <w:rFonts w:cs="Times New Roman" w:ascii="Times New Roman" w:hAnsi="Times New Roman"/>
          <w:b/>
          <w:bCs/>
        </w:rPr>
        <w:t xml:space="preserve">Moderate Categorial Realism of a Relationist-Nominalist Sort / Reality of Categories and Ontological Form – A Moderately Realist Account of a Relationist-Nominalist Sort” , </w:t>
      </w:r>
      <w:r>
        <w:rPr>
          <w:rFonts w:cs="Times New Roman" w:ascii="Times New Roman" w:hAnsi="Times New Roman"/>
        </w:rPr>
        <w:t xml:space="preserve">Dr Jani Hakkarainen  (University of Tampere, Finland), at </w:t>
      </w:r>
      <w:hyperlink r:id="rId132">
        <w:r>
          <w:rPr>
            <w:rStyle w:val="InternetLink"/>
            <w:rFonts w:cs="Times New Roman" w:ascii="Times New Roman" w:hAnsi="Times New Roman"/>
          </w:rPr>
          <w:t>https://philpapers.org/rec/HAKMCR?ref=mail</w:t>
        </w:r>
      </w:hyperlink>
    </w:p>
    <w:p>
      <w:pPr>
        <w:pStyle w:val="Normal"/>
        <w:spacing w:before="0" w:after="0"/>
        <w:contextualSpacing/>
        <w:rPr>
          <w:sz w:val="20"/>
          <w:szCs w:val="20"/>
        </w:rPr>
      </w:pPr>
      <w:r>
        <w:rPr>
          <w:sz w:val="20"/>
          <w:szCs w:val="20"/>
        </w:rPr>
      </w:r>
    </w:p>
    <w:p>
      <w:pPr>
        <w:pStyle w:val="Normal"/>
        <w:spacing w:before="0" w:after="0"/>
        <w:contextualSpacing/>
        <w:rPr/>
      </w:pPr>
      <w:r>
        <w:rPr/>
        <w:t xml:space="preserve">Let me analyze some paragraphs from this paper.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pStyle w:val="Normal"/>
        <w:spacing w:before="0" w:after="0"/>
        <w:contextualSpacing/>
        <w:rPr/>
      </w:pPr>
      <w:r>
        <w:rPr>
          <w:sz w:val="20"/>
          <w:szCs w:val="20"/>
        </w:rPr>
        <w:tab/>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pStyle w:val="Normal"/>
        <w:spacing w:before="0" w:after="0"/>
        <w:contextualSpacing/>
        <w:rPr/>
      </w:pPr>
      <w:r>
        <w:rPr/>
      </w:r>
    </w:p>
    <w:p>
      <w:pPr>
        <w:pStyle w:val="Normal"/>
        <w:spacing w:before="0" w:after="0"/>
        <w:contextualSpacing/>
        <w:rPr/>
      </w:pPr>
      <w:r>
        <w:rPr/>
        <w:t>Even at the beginning, we see strong similar ideas to my main ideas: the notion of entities constructed under the “relationships” between them! Replace “relations” with my “interactions” and you get exactly the same ideas!</w:t>
      </w:r>
    </w:p>
    <w:p>
      <w:pPr>
        <w:pStyle w:val="Normal"/>
        <w:spacing w:before="0" w:after="0"/>
        <w:contextualSpacing/>
        <w:rPr/>
      </w:pPr>
      <w:r>
        <w:rPr/>
      </w:r>
    </w:p>
    <w:p>
      <w:pPr>
        <w:pStyle w:val="Normal"/>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pStyle w:val="Normal"/>
        <w:spacing w:before="0" w:after="0"/>
        <w:contextualSpacing/>
        <w:rPr/>
      </w:pPr>
      <w:r>
        <w:rPr/>
      </w:r>
    </w:p>
    <w:p>
      <w:pPr>
        <w:pStyle w:val="Normal"/>
        <w:spacing w:before="0" w:after="0"/>
        <w:contextualSpacing/>
        <w:rPr/>
      </w:pPr>
      <w:r>
        <w:rPr/>
        <w:t>In these paragraphs, we have the definition of “entities” (“relational”). In my words, we replace “relational” with a synonym: “interactions” and we get the same result: “</w:t>
      </w:r>
      <w:r>
        <w:rPr>
          <w:sz w:val="20"/>
          <w:szCs w:val="20"/>
        </w:rPr>
        <w:t>entities existing in a relation to something”</w:t>
      </w:r>
      <w:r>
        <w:rPr/>
        <w:t>!!</w:t>
      </w:r>
    </w:p>
    <w:p>
      <w:pPr>
        <w:pStyle w:val="Normal"/>
        <w:spacing w:before="0" w:after="0"/>
        <w:contextualSpacing/>
        <w:rPr/>
      </w:pPr>
      <w:r>
        <w:rPr/>
      </w:r>
    </w:p>
    <w:p>
      <w:pPr>
        <w:pStyle w:val="Normal"/>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pStyle w:val="Normal"/>
        <w:spacing w:before="0" w:after="0"/>
        <w:contextualSpacing/>
        <w:rPr>
          <w:sz w:val="20"/>
          <w:szCs w:val="20"/>
        </w:rPr>
      </w:pPr>
      <w:r>
        <w:rPr>
          <w:sz w:val="20"/>
          <w:szCs w:val="20"/>
        </w:rPr>
      </w:r>
    </w:p>
    <w:p>
      <w:pPr>
        <w:pStyle w:val="Normal"/>
        <w:spacing w:before="0" w:after="0"/>
        <w:contextualSpacing/>
        <w:rPr/>
      </w:pPr>
      <w:r>
        <w:rPr/>
        <w:t>I made something different: in my perspective, there is a difference between “being” and “existence”. “Being” is for EDWs, existence is for “entities”. However, let see below how the author comes very close to this view!</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pStyle w:val="Normal"/>
        <w:spacing w:before="0" w:after="0"/>
        <w:contextualSpacing/>
        <w:rPr/>
      </w:pPr>
      <w:r>
        <w:rPr/>
      </w:r>
    </w:p>
    <w:p>
      <w:pPr>
        <w:pStyle w:val="Normal"/>
        <w:spacing w:before="0" w:after="0"/>
        <w:contextualSpacing/>
        <w:rPr/>
      </w:pPr>
      <w:r>
        <w:rPr/>
        <w:t>The distinction between “ontological form” and “being”/”existence” has exactly the same meaning as the difference between the being of EDWs and the existence of “entities”!!! Do you want more UNBELIEVABLE similarities? Then let go on…</w:t>
      </w:r>
    </w:p>
    <w:p>
      <w:pPr>
        <w:pStyle w:val="Normal"/>
        <w:spacing w:before="0" w:after="0"/>
        <w:contextualSpacing/>
        <w:rPr/>
      </w:pPr>
      <w:r>
        <w:rPr/>
      </w:r>
    </w:p>
    <w:p>
      <w:pPr>
        <w:pStyle w:val="Normal"/>
        <w:spacing w:before="0" w:after="0"/>
        <w:contextualSpacing/>
        <w:rPr/>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pStyle w:val="Normal"/>
        <w:spacing w:before="0" w:after="0"/>
        <w:contextualSpacing/>
        <w:rPr/>
      </w:pPr>
      <w:r>
        <w:rPr/>
      </w:r>
    </w:p>
    <w:p>
      <w:pPr>
        <w:pStyle w:val="Normal"/>
        <w:spacing w:before="0" w:after="0"/>
        <w:contextualSpacing/>
        <w:rPr/>
      </w:pPr>
      <w:r>
        <w:rP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pStyle w:val="Normal"/>
        <w:spacing w:before="0" w:after="0"/>
        <w:contextualSpacing/>
        <w:rPr>
          <w:sz w:val="20"/>
          <w:szCs w:val="20"/>
        </w:rPr>
      </w:pPr>
      <w:r>
        <w:rPr>
          <w:sz w:val="20"/>
          <w:szCs w:val="20"/>
        </w:rPr>
      </w:r>
    </w:p>
    <w:p>
      <w:pPr>
        <w:pStyle w:val="Normal"/>
        <w:spacing w:before="0" w:after="0"/>
        <w:contextualSpacing/>
        <w:rPr/>
      </w:pPr>
      <w:r>
        <w:rPr/>
        <w:t xml:space="preserve">Of course, the author’s “proposal” about “categories, AS WELL AS MY ACCOUNT OF ONTOLOGICAL FORMS” (exactly my EDWs) “is </w:t>
      </w:r>
      <w:r>
        <w:rPr>
          <w:i/>
        </w:rPr>
        <w:t>relationist</w:t>
      </w:r>
      <w:r>
        <w:rPr/>
        <w:t>” (italic this notion). Why italic? Because the author wants to emphasize my main notion, “interaction”!!</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pStyle w:val="Normal"/>
        <w:spacing w:before="0" w:after="0"/>
        <w:contextualSpacing/>
        <w:rPr>
          <w:sz w:val="20"/>
          <w:szCs w:val="20"/>
        </w:rPr>
      </w:pPr>
      <w:r>
        <w:rPr>
          <w:sz w:val="20"/>
          <w:szCs w:val="20"/>
        </w:rPr>
      </w:r>
    </w:p>
    <w:p>
      <w:pPr>
        <w:pStyle w:val="Normal"/>
        <w:spacing w:before="0" w:after="0"/>
        <w:contextualSpacing/>
        <w:rPr/>
      </w:pPr>
      <w:r>
        <w:rPr/>
        <w:t xml:space="preserve">In my book 2008, mentioning Carnap’s linguistic frameworks, I emphasized that my EDWS and entities are not “linguistic construction” but refer to what really is and exist! </w:t>
      </w:r>
    </w:p>
    <w:p>
      <w:pPr>
        <w:pStyle w:val="Normal"/>
        <w:spacing w:before="0" w:after="0"/>
        <w:contextualSpacing/>
        <w:rPr/>
      </w:pPr>
      <w:r>
        <w:rPr/>
      </w:r>
    </w:p>
    <w:p>
      <w:pPr>
        <w:pStyle w:val="Normal"/>
        <w:spacing w:before="0" w:after="0"/>
        <w:contextualSpacing/>
        <w:rPr/>
      </w:pPr>
      <w:r>
        <w:rPr/>
        <w:t xml:space="preserve">There are many other UNBELIEVABLE similar ideas to my ideas (2002-2008 and later) in this article. I let the readers to discover them. </w:t>
      </w:r>
    </w:p>
    <w:p>
      <w:pPr>
        <w:pStyle w:val="Normal"/>
        <w:spacing w:before="0" w:after="0"/>
        <w:contextualSpacing/>
        <w:rPr/>
      </w:pPr>
      <w:r>
        <w:rPr/>
      </w:r>
    </w:p>
    <w:p>
      <w:pPr>
        <w:pStyle w:val="ListParagraph"/>
        <w:numPr>
          <w:ilvl w:val="0"/>
          <w:numId w:val="31"/>
        </w:numPr>
        <w:spacing w:before="0" w:after="0"/>
        <w:contextualSpacing/>
        <w:rPr/>
      </w:pPr>
      <w:r>
        <w:rPr>
          <w:b/>
          <w:color w:val="000000"/>
          <w:sz w:val="28"/>
          <w:szCs w:val="28"/>
        </w:rPr>
        <w:t xml:space="preserve">(2017) </w:t>
      </w:r>
      <w:hyperlink r:id="rId133" w:tgtFrame="View other works by Markku Keinänen">
        <w:r>
          <w:rPr>
            <w:rStyle w:val="Name"/>
            <w:b/>
            <w:color w:val="000000"/>
            <w:sz w:val="28"/>
            <w:szCs w:val="28"/>
            <w:highlight w:val="white"/>
          </w:rPr>
          <w:t>Markku Keinänen</w:t>
        </w:r>
      </w:hyperlink>
      <w:r>
        <w:rPr>
          <w:b/>
          <w:color w:val="000000"/>
          <w:sz w:val="28"/>
          <w:szCs w:val="28"/>
          <w:highlight w:val="white"/>
        </w:rPr>
        <w:t>, </w:t>
      </w:r>
      <w:hyperlink r:id="rId134" w:tgtFrame="View other works by Antti Keskinen">
        <w:r>
          <w:rPr>
            <w:rStyle w:val="Name"/>
            <w:b/>
            <w:color w:val="000000"/>
            <w:sz w:val="28"/>
            <w:szCs w:val="28"/>
            <w:highlight w:val="white"/>
          </w:rPr>
          <w:t>Antti Keskinen</w:t>
        </w:r>
      </w:hyperlink>
      <w:r>
        <w:rPr>
          <w:b/>
          <w:color w:val="000000"/>
          <w:sz w:val="28"/>
          <w:szCs w:val="28"/>
          <w:highlight w:val="white"/>
        </w:rPr>
        <w:t> &amp; </w:t>
      </w:r>
      <w:hyperlink r:id="rId135" w:tgtFrame="View other works by Jani Hakkarainen">
        <w:r>
          <w:rPr>
            <w:rStyle w:val="Name"/>
            <w:b/>
            <w:color w:val="000000"/>
            <w:sz w:val="28"/>
            <w:szCs w:val="28"/>
            <w:highlight w:val="white"/>
          </w:rPr>
          <w:t>Jani Hakkarainen</w:t>
        </w:r>
      </w:hyperlink>
      <w:r>
        <w:rPr>
          <w:rStyle w:val="Name"/>
          <w:b/>
          <w:color w:val="000000"/>
          <w:sz w:val="28"/>
          <w:szCs w:val="28"/>
          <w:highlight w:val="white"/>
        </w:rPr>
        <w:t xml:space="preserve"> ‘</w:t>
      </w:r>
      <w:r>
        <w:rPr>
          <w:b/>
          <w:color w:val="000000"/>
          <w:sz w:val="28"/>
          <w:szCs w:val="28"/>
        </w:rPr>
        <w:t>Quantity Tropes and Internal Relations’</w:t>
      </w:r>
    </w:p>
    <w:p>
      <w:pPr>
        <w:pStyle w:val="Normal"/>
        <w:spacing w:before="0" w:after="0"/>
        <w:contextualSpacing/>
        <w:rPr>
          <w:color w:val="000000"/>
        </w:rPr>
      </w:pPr>
      <w:r>
        <w:rPr>
          <w:color w:val="000000"/>
        </w:rPr>
        <w:t xml:space="preserve"> </w:t>
      </w:r>
    </w:p>
    <w:p>
      <w:pPr>
        <w:pStyle w:val="Normal"/>
        <w:spacing w:before="0" w:after="0"/>
        <w:contextualSpacing/>
        <w:rPr/>
      </w:pPr>
      <w:r>
        <w:rPr>
          <w:rFonts w:cs="Arial" w:ascii="Arial" w:hAnsi="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pStyle w:val="Normal"/>
        <w:spacing w:before="0" w:after="0"/>
        <w:contextualSpacing/>
        <w:rPr/>
      </w:pPr>
      <w:r>
        <w:rPr/>
      </w:r>
    </w:p>
    <w:p>
      <w:pPr>
        <w:pStyle w:val="Normal"/>
        <w:spacing w:before="0" w:after="0"/>
        <w:contextualSpacing/>
        <w:rPr/>
      </w:pPr>
      <w:r>
        <w:rPr/>
        <w:t>From the abstract, there are some strong similarities between the main ideas of this article and my ideas.</w:t>
      </w:r>
    </w:p>
    <w:p>
      <w:pPr>
        <w:pStyle w:val="Normal"/>
        <w:spacing w:before="0" w:after="0"/>
        <w:contextualSpacing/>
        <w:rPr/>
      </w:pPr>
      <w:r>
        <w:rPr/>
      </w:r>
    </w:p>
    <w:p>
      <w:pPr>
        <w:pStyle w:val="Normal"/>
        <w:spacing w:before="0" w:after="0"/>
        <w:contextualSpacing/>
        <w:rPr/>
      </w:pPr>
      <w:r>
        <w:rPr/>
      </w:r>
    </w:p>
    <w:p>
      <w:pPr>
        <w:pStyle w:val="ListParagraph"/>
        <w:numPr>
          <w:ilvl w:val="0"/>
          <w:numId w:val="31"/>
        </w:numPr>
        <w:spacing w:before="0" w:after="0"/>
        <w:contextualSpacing/>
        <w:rPr>
          <w:b/>
          <w:b/>
          <w:bCs/>
          <w:sz w:val="28"/>
          <w:szCs w:val="28"/>
          <w:lang w:val="ro-RO"/>
        </w:rPr>
      </w:pPr>
      <w:r>
        <w:rPr>
          <w:b/>
          <w:bCs/>
          <w:sz w:val="28"/>
          <w:szCs w:val="28"/>
          <w:lang w:val="ro-RO"/>
        </w:rPr>
        <w:t>(2017) The unbelievable similarities between Dean Rickles’s ideas (2017, HPS, Univ. of Sydney) and my ideas (2002-2008)</w:t>
      </w:r>
    </w:p>
    <w:p>
      <w:pPr>
        <w:pStyle w:val="NormalWeb"/>
        <w:shd w:val="clear" w:fill="FFFFFF"/>
        <w:spacing w:before="0" w:after="0"/>
        <w:contextualSpacing/>
        <w:jc w:val="both"/>
        <w:rPr>
          <w:b/>
          <w:b/>
          <w:highlight w:val="white"/>
        </w:rPr>
      </w:pPr>
      <w:r>
        <w:rPr>
          <w:b/>
          <w:highlight w:val="white"/>
        </w:rPr>
      </w:r>
    </w:p>
    <w:p>
      <w:pPr>
        <w:pStyle w:val="Normal"/>
        <w:spacing w:before="0" w:after="0"/>
        <w:contextualSpacing/>
        <w:rPr/>
      </w:pPr>
      <w:r>
        <w:rPr>
          <w:highlight w:val="white"/>
        </w:rPr>
        <w:t>In Rickles’ paper, (</w:t>
      </w:r>
      <w:r>
        <w:rPr>
          <w:rFonts w:eastAsia="Calibri"/>
        </w:rPr>
        <w:t xml:space="preserve">Dual Theories: ‘Same But Different' or `Different But Same'?”), there are many very similar ideas to my ideas! </w:t>
      </w:r>
    </w:p>
    <w:p>
      <w:pPr>
        <w:pStyle w:val="Normal"/>
        <w:spacing w:before="0" w:after="0"/>
        <w:contextualSpacing/>
        <w:rPr>
          <w:rFonts w:eastAsia="Calibri"/>
        </w:rPr>
      </w:pPr>
      <w:r>
        <w:rPr>
          <w:rFonts w:eastAsia="Calibri"/>
        </w:rPr>
      </w:r>
    </w:p>
    <w:p>
      <w:pPr>
        <w:pStyle w:val="Normal"/>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pStyle w:val="Normal"/>
        <w:spacing w:before="0" w:after="0"/>
        <w:contextualSpacing/>
        <w:rPr>
          <w:rFonts w:eastAsia="Calibri"/>
        </w:rPr>
      </w:pPr>
      <w:r>
        <w:rPr>
          <w:rFonts w:eastAsia="Calibri"/>
        </w:rPr>
      </w:r>
    </w:p>
    <w:p>
      <w:pPr>
        <w:pStyle w:val="Normal"/>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pStyle w:val="Normal"/>
        <w:spacing w:before="0" w:after="0"/>
        <w:contextualSpacing/>
        <w:rPr>
          <w:b/>
          <w:b/>
          <w:highlight w:val="white"/>
        </w:rPr>
      </w:pPr>
      <w:r>
        <w:rPr>
          <w:b/>
          <w:highlight w:val="white"/>
        </w:rPr>
      </w:r>
    </w:p>
    <w:p>
      <w:pPr>
        <w:pStyle w:val="Normal"/>
        <w:spacing w:before="0" w:after="0"/>
        <w:contextualSpacing/>
        <w:rPr>
          <w:highlight w:val="white"/>
        </w:rPr>
      </w:pPr>
      <w:r>
        <w:rPr>
          <w:highlight w:val="white"/>
        </w:rPr>
        <w:t xml:space="preserve">Again, this paragraph is not from my work! </w:t>
      </w:r>
    </w:p>
    <w:p>
      <w:pPr>
        <w:pStyle w:val="Normal"/>
        <w:spacing w:before="0" w:after="0"/>
        <w:contextualSpacing/>
        <w:rPr>
          <w:highlight w:val="white"/>
        </w:rPr>
      </w:pPr>
      <w:r>
        <w:rPr>
          <w:highlight w:val="white"/>
        </w:rPr>
      </w:r>
    </w:p>
    <w:p>
      <w:pPr>
        <w:pStyle w:val="Normal"/>
        <w:spacing w:before="0" w:after="0"/>
        <w:contextualSpacing/>
        <w:rPr/>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pStyle w:val="Normal"/>
        <w:spacing w:before="0" w:after="0"/>
        <w:contextualSpacing/>
        <w:rPr>
          <w:highlight w:val="white"/>
        </w:rPr>
      </w:pPr>
      <w:r>
        <w:rPr>
          <w:highlight w:val="white"/>
        </w:rPr>
      </w:r>
    </w:p>
    <w:p>
      <w:pPr>
        <w:pStyle w:val="Normal"/>
        <w:spacing w:before="0" w:after="0"/>
        <w:contextualSpacing/>
        <w:rPr/>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pStyle w:val="Normal"/>
        <w:spacing w:before="0" w:after="0"/>
        <w:contextualSpacing/>
        <w:rPr>
          <w:highlight w:val="white"/>
        </w:rPr>
      </w:pPr>
      <w:r>
        <w:rPr>
          <w:highlight w:val="white"/>
        </w:rPr>
      </w:r>
    </w:p>
    <w:p>
      <w:pPr>
        <w:pStyle w:val="Normal"/>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pStyle w:val="Normal"/>
        <w:spacing w:before="0" w:after="0"/>
        <w:contextualSpacing/>
        <w:rPr>
          <w:highlight w:val="white"/>
        </w:rPr>
      </w:pPr>
      <w:r>
        <w:rPr>
          <w:highlight w:val="white"/>
        </w:rPr>
      </w:r>
    </w:p>
    <w:p>
      <w:pPr>
        <w:pStyle w:val="Normal"/>
        <w:spacing w:before="0" w:after="0"/>
        <w:contextualSpacing/>
        <w:rPr/>
      </w:pPr>
      <w:r>
        <w:rPr>
          <w:highlight w:val="white"/>
        </w:rPr>
        <w:t>I ask the reader: is it clear? “Distinct physical interpretations” are UNBELIEVABLE similar to my EDWs!!! The author even avoids the pragmatism and introduces “pontentially describing reality”!</w:t>
      </w:r>
      <w:r>
        <w:rPr>
          <w:rStyle w:val="FootnoteAnchor"/>
          <w:highlight w:val="white"/>
        </w:rPr>
        <w:footnoteReference w:id="305"/>
      </w:r>
      <w:r>
        <w:rPr>
          <w:highlight w:val="white"/>
        </w:rPr>
        <w:t xml:space="preserve"> </w:t>
      </w:r>
    </w:p>
    <w:p>
      <w:pPr>
        <w:pStyle w:val="Normal"/>
        <w:spacing w:before="0" w:after="0"/>
        <w:contextualSpacing/>
        <w:rPr/>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pStyle w:val="Normal"/>
        <w:spacing w:before="0" w:after="0"/>
        <w:contextualSpacing/>
        <w:rPr>
          <w:rFonts w:eastAsia="Calibri"/>
        </w:rPr>
      </w:pPr>
      <w:r>
        <w:rPr>
          <w:rFonts w:eastAsia="Calibri"/>
        </w:rPr>
      </w:r>
    </w:p>
    <w:p>
      <w:pPr>
        <w:pStyle w:val="Normal"/>
        <w:spacing w:before="0" w:after="0"/>
        <w:contextualSpacing/>
        <w:rPr>
          <w:rFonts w:eastAsia="Calibri"/>
        </w:rPr>
      </w:pPr>
      <w:r>
        <w:rPr>
          <w:rFonts w:eastAsia="Calibri"/>
        </w:rPr>
      </w:r>
    </w:p>
    <w:p>
      <w:pPr>
        <w:pStyle w:val="ListParagraph"/>
        <w:numPr>
          <w:ilvl w:val="0"/>
          <w:numId w:val="31"/>
        </w:numPr>
        <w:spacing w:before="0" w:after="0"/>
        <w:contextualSpacing/>
        <w:rPr/>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pStyle w:val="Normal"/>
        <w:spacing w:before="0" w:after="0"/>
        <w:contextualSpacing/>
        <w:rPr/>
      </w:pPr>
      <w:r>
        <w:rPr/>
      </w:r>
    </w:p>
    <w:p>
      <w:pPr>
        <w:pStyle w:val="Normal"/>
        <w:spacing w:before="0" w:after="0"/>
        <w:contextualSpacing/>
        <w:rPr/>
      </w:pPr>
      <w:r>
        <w:rPr>
          <w:bCs/>
        </w:rPr>
        <w:t xml:space="preserve">The article that I investigate is “Consciousness in the Universe is Scale Invariant and Implies an Event Horizon of the Human Brain” written by Dirk K.F. Meijer and Hans J.H. Geesink </w:t>
      </w:r>
      <w:r>
        <w:rPr/>
        <w:t>(</w:t>
      </w:r>
      <w:r>
        <w:rPr>
          <w:highlight w:val="white"/>
        </w:rPr>
        <w:t xml:space="preserve">University of Groningen, Netherlands) in </w:t>
      </w:r>
      <w:r>
        <w:rPr>
          <w:i/>
        </w:rPr>
        <w:t>NeuroQuantology</w:t>
      </w:r>
      <w:r>
        <w:rPr/>
        <w:t>, September 2017, Volume 15, Issue 3, pp. 41-79 (doi: 10.14704/nq.2017.15.3.1079)</w:t>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pStyle w:val="Normal"/>
        <w:spacing w:before="0" w:after="0"/>
        <w:contextualSpacing/>
        <w:rPr>
          <w:highlight w:val="white"/>
        </w:rPr>
      </w:pPr>
      <w:r>
        <w:rPr>
          <w:highlight w:val="white"/>
        </w:rPr>
      </w:r>
    </w:p>
    <w:p>
      <w:pPr>
        <w:pStyle w:val="Normal"/>
        <w:spacing w:before="0" w:after="0"/>
        <w:contextualSpacing/>
        <w:rPr/>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hyperlink r:id="rId136">
        <w:r>
          <w:rPr>
            <w:rStyle w:val="InternetLink"/>
            <w:b/>
            <w:color w:val="auto"/>
            <w:spacing w:val="15"/>
            <w:sz w:val="20"/>
            <w:szCs w:val="20"/>
            <w:u w:val="none"/>
          </w:rPr>
          <w:t>hristine Horner</w:t>
        </w:r>
      </w:hyperlink>
      <w:r>
        <w:rPr>
          <w:b/>
          <w:bCs/>
          <w:spacing w:val="15"/>
          <w:sz w:val="20"/>
          <w:szCs w:val="20"/>
        </w:rPr>
        <w:t xml:space="preserve"> N</w:t>
      </w:r>
      <w:r>
        <w:rPr>
          <w:rFonts w:eastAsia="Times New Roman"/>
          <w:b/>
          <w:bCs/>
          <w:spacing w:val="15"/>
          <w:sz w:val="20"/>
          <w:szCs w:val="20"/>
        </w:rPr>
        <w:t xml:space="preserve">ovember 6, 2017, </w:t>
      </w:r>
      <w:hyperlink r:id="rId137">
        <w:r>
          <w:rPr>
            <w:rStyle w:val="InternetLink"/>
            <w:color w:val="auto"/>
            <w:spacing w:val="15"/>
            <w:sz w:val="20"/>
            <w:szCs w:val="20"/>
          </w:rPr>
          <w:t>http://www.collective-evolution.com/category/consciousness/</w:t>
        </w:r>
      </w:hyperlink>
      <w:r>
        <w:rPr>
          <w:b/>
          <w:bCs/>
          <w:spacing w:val="15"/>
          <w:sz w:val="20"/>
          <w:szCs w:val="20"/>
        </w:rPr>
        <w:t>)</w:t>
      </w:r>
    </w:p>
    <w:p>
      <w:pPr>
        <w:pStyle w:val="Normal"/>
        <w:spacing w:before="0" w:after="0"/>
        <w:contextualSpacing/>
        <w:rPr>
          <w:sz w:val="20"/>
          <w:szCs w:val="20"/>
          <w:highlight w:val="white"/>
        </w:rPr>
      </w:pPr>
      <w:r>
        <w:rPr>
          <w:sz w:val="20"/>
          <w:szCs w:val="20"/>
          <w:highlight w:val="white"/>
        </w:rPr>
      </w:r>
    </w:p>
    <w:p>
      <w:pPr>
        <w:pStyle w:val="Normal"/>
        <w:spacing w:before="0" w:after="0"/>
        <w:contextualSpacing/>
        <w:rPr/>
      </w:pPr>
      <w:r>
        <w:rPr>
          <w:highlight w:val="white"/>
        </w:rPr>
        <w:t>Now, let me introduce certain paragraphs from their article (</w:t>
      </w:r>
      <w:r>
        <w:rPr/>
        <w:t xml:space="preserve">Meijer and Geesink 2017) </w:t>
      </w:r>
      <w:r>
        <w:rPr>
          <w:highlight w:val="white"/>
        </w:rPr>
        <w:t xml:space="preserve">that mirror UNBELIEVABLE similar ideas to my ideas (2008, for instance): </w:t>
      </w:r>
    </w:p>
    <w:p>
      <w:pPr>
        <w:pStyle w:val="Normal"/>
        <w:spacing w:before="0" w:after="0"/>
        <w:contextualSpacing/>
        <w:rPr>
          <w:highlight w:val="white"/>
        </w:rPr>
      </w:pPr>
      <w:r>
        <w:rPr>
          <w:highlight w:val="white"/>
        </w:rPr>
      </w:r>
    </w:p>
    <w:p>
      <w:pPr>
        <w:pStyle w:val="Normal"/>
        <w:spacing w:before="0" w:after="0"/>
        <w:contextualSpacing/>
        <w:rPr/>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pStyle w:val="Normal"/>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pStyle w:val="Normal"/>
        <w:spacing w:before="0" w:after="0"/>
        <w:contextualSpacing/>
        <w:rPr>
          <w:sz w:val="20"/>
          <w:szCs w:val="20"/>
        </w:rPr>
      </w:pPr>
      <w:r>
        <w:rPr>
          <w:sz w:val="20"/>
          <w:szCs w:val="20"/>
        </w:rPr>
        <w:t xml:space="preserve">superposition with the internal worldview, in order to monitor the quality of our individual being (Fig.9). (p. 13)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pStyle w:val="Normal"/>
        <w:spacing w:before="0" w:after="0"/>
        <w:contextualSpacing/>
        <w:rPr/>
      </w:pPr>
      <w:r>
        <w:rPr>
          <w:sz w:val="20"/>
          <w:szCs w:val="20"/>
        </w:rPr>
        <w:t xml:space="preserve">long term memory is </w:t>
      </w:r>
      <w:r>
        <w:rPr>
          <w:i/>
          <w:iCs/>
          <w:sz w:val="20"/>
          <w:szCs w:val="20"/>
        </w:rPr>
        <w:t>not correlated with scaled sizes of the brain. (p. 16)</w:t>
      </w:r>
    </w:p>
    <w:p>
      <w:pPr>
        <w:pStyle w:val="Normal"/>
        <w:spacing w:before="0" w:after="0"/>
        <w:contextualSpacing/>
        <w:rPr>
          <w:sz w:val="20"/>
          <w:szCs w:val="20"/>
          <w:highlight w:val="white"/>
        </w:rPr>
      </w:pPr>
      <w:r>
        <w:rPr>
          <w:sz w:val="20"/>
          <w:szCs w:val="20"/>
          <w:highlight w:val="white"/>
        </w:rPr>
      </w:r>
    </w:p>
    <w:p>
      <w:pPr>
        <w:pStyle w:val="Normal"/>
        <w:spacing w:before="0" w:after="0"/>
        <w:contextualSpacing/>
        <w:rPr/>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pStyle w:val="Normal"/>
        <w:spacing w:before="0" w:after="0"/>
        <w:contextualSpacing/>
        <w:rPr>
          <w:sz w:val="20"/>
          <w:szCs w:val="20"/>
        </w:rPr>
      </w:pPr>
      <w:r>
        <w:rPr>
          <w:sz w:val="20"/>
          <w:szCs w:val="20"/>
        </w:rPr>
        <w:t>representations of the individual status as a basis for quality control of the whole organism (p. 26)</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pStyle w:val="Normal"/>
        <w:spacing w:before="0" w:after="0"/>
        <w:contextualSpacing/>
        <w:rPr>
          <w:i/>
          <w:i/>
          <w:iCs/>
          <w:sz w:val="20"/>
          <w:szCs w:val="20"/>
        </w:rPr>
      </w:pPr>
      <w:r>
        <w:rPr>
          <w:i/>
          <w:iCs/>
          <w:sz w:val="20"/>
          <w:szCs w:val="20"/>
        </w:rPr>
      </w:r>
    </w:p>
    <w:p>
      <w:pPr>
        <w:pStyle w:val="Normal"/>
        <w:spacing w:before="0" w:after="0"/>
        <w:contextualSpacing/>
        <w:rPr/>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FootnoteAnchor"/>
          <w:sz w:val="20"/>
          <w:szCs w:val="20"/>
        </w:rPr>
        <w:footnoteReference w:id="306"/>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r>
    </w:p>
    <w:p>
      <w:pPr>
        <w:pStyle w:val="Normal"/>
        <w:spacing w:before="0" w:after="0"/>
        <w:contextualSpacing/>
        <w:rPr/>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pStyle w:val="Normal"/>
        <w:spacing w:before="0" w:after="0"/>
        <w:contextualSpacing/>
        <w:rPr/>
      </w:pPr>
      <w:r>
        <w:rPr/>
      </w:r>
    </w:p>
    <w:p>
      <w:pPr>
        <w:pStyle w:val="Normal"/>
        <w:spacing w:before="0" w:after="0"/>
        <w:contextualSpacing/>
        <w:rPr/>
      </w:pPr>
      <w:r>
        <w:rPr/>
      </w:r>
    </w:p>
    <w:p>
      <w:pPr>
        <w:pStyle w:val="ListParagraph"/>
        <w:numPr>
          <w:ilvl w:val="0"/>
          <w:numId w:val="31"/>
        </w:numPr>
        <w:spacing w:before="0" w:after="0"/>
        <w:contextualSpacing/>
        <w:rPr>
          <w:rFonts w:eastAsia="Calibri"/>
          <w:b/>
          <w:b/>
          <w:sz w:val="28"/>
          <w:szCs w:val="28"/>
          <w:lang w:val="en-GB"/>
        </w:rPr>
      </w:pPr>
      <w:r>
        <w:rPr>
          <w:rFonts w:eastAsia="Calibri"/>
          <w:b/>
          <w:sz w:val="28"/>
          <w:szCs w:val="28"/>
          <w:lang w:val="en-GB"/>
        </w:rPr>
        <w:t>(2018) Unbelievable similar ideas between Jason Winning’s ideas (2018) and my ideas (2002-2008)</w:t>
      </w:r>
    </w:p>
    <w:p>
      <w:pPr>
        <w:pStyle w:val="Normal"/>
        <w:spacing w:before="0" w:after="0"/>
        <w:contextualSpacing/>
        <w:rPr>
          <w:rFonts w:eastAsia="Calibri"/>
          <w:b/>
          <w:b/>
          <w:sz w:val="28"/>
          <w:szCs w:val="28"/>
          <w:lang w:val="en-GB"/>
        </w:rPr>
      </w:pPr>
      <w:r>
        <w:rPr>
          <w:rFonts w:eastAsia="Calibri"/>
          <w:b/>
          <w:sz w:val="28"/>
          <w:szCs w:val="28"/>
          <w:lang w:val="en-GB"/>
        </w:rPr>
      </w:r>
    </w:p>
    <w:p>
      <w:pPr>
        <w:pStyle w:val="Normal"/>
        <w:spacing w:before="0" w:after="0"/>
        <w:contextualSpacing/>
        <w:rPr/>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pStyle w:val="Normal"/>
        <w:spacing w:before="0" w:after="0"/>
        <w:contextualSpacing/>
        <w:rPr>
          <w:rFonts w:eastAsia="Calibri"/>
          <w:sz w:val="28"/>
          <w:szCs w:val="28"/>
          <w:lang w:val="en-GB"/>
        </w:rPr>
      </w:pPr>
      <w:r>
        <w:rPr>
          <w:rFonts w:eastAsia="Calibri"/>
          <w:sz w:val="28"/>
          <w:szCs w:val="28"/>
          <w:lang w:val="en-GB"/>
        </w:rPr>
      </w:r>
    </w:p>
    <w:p>
      <w:pPr>
        <w:pStyle w:val="Normal"/>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pStyle w:val="Normal"/>
        <w:spacing w:before="0" w:after="0"/>
        <w:contextualSpacing/>
        <w:rPr>
          <w:rFonts w:ascii="TimesNewRomanPSMT" w:hAnsi="TimesNewRomanPSMT" w:eastAsia="Calibri" w:cs="TimesNewRomanPSMT"/>
          <w:lang w:val="en-GB"/>
        </w:rPr>
      </w:pPr>
      <w:r>
        <w:rPr>
          <w:rFonts w:eastAsia="Calibri" w:cs="TimesNewRomanPSMT" w:ascii="TimesNewRomanPSMT" w:hAnsi="TimesNewRomanPSMT"/>
          <w:lang w:val="en-GB"/>
        </w:rPr>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 xml:space="preserve">According to this alternative account, we must resort to a type of ontological entity that is new to metaphysics, but not to science: constraints.’ (p. 1)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pStyle w:val="Normal"/>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pStyle w:val="Normal"/>
        <w:spacing w:before="0" w:after="0"/>
        <w:ind w:left="0" w:right="0" w:firstLine="720"/>
        <w:contextualSpacing/>
        <w:rPr>
          <w:rFonts w:eastAsia="Calibri"/>
          <w:lang w:val="en-GB"/>
        </w:rPr>
      </w:pPr>
      <w:r>
        <w:rPr>
          <w:rFonts w:eastAsia="Calibri"/>
          <w:lang w:val="en-GB"/>
        </w:rPr>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A new type of ‘multi-perspectival realism’ (to use Wimsatt’s [2007] terminology) has been</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emerging that can offer us guidance to finding the right metaphysical account of mechanistic</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pStyle w:val="Normal"/>
        <w:spacing w:before="0" w:after="0"/>
        <w:contextualSpacing/>
        <w:rPr>
          <w:rFonts w:eastAsia="Calibri"/>
          <w:lang w:val="en-GB"/>
        </w:rPr>
      </w:pPr>
      <w:r>
        <w:rPr>
          <w:rFonts w:eastAsia="Calibri"/>
          <w:lang w:val="en-GB"/>
        </w:rPr>
      </w:r>
    </w:p>
    <w:p>
      <w:pPr>
        <w:pStyle w:val="Normal"/>
        <w:spacing w:before="0" w:after="0"/>
        <w:contextualSpacing/>
        <w:rPr/>
      </w:pPr>
      <w:r>
        <w:rPr>
          <w:rFonts w:eastAsia="Calibri"/>
          <w:lang w:val="en-GB"/>
        </w:rPr>
        <w:b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pStyle w:val="Normal"/>
        <w:spacing w:before="0" w:after="0"/>
        <w:contextualSpacing/>
        <w:rPr>
          <w:rFonts w:eastAsia="Calibri"/>
          <w:bCs/>
          <w:lang w:val="en-GB"/>
        </w:rPr>
      </w:pPr>
      <w:r>
        <w:rPr>
          <w:rFonts w:eastAsia="Calibri"/>
          <w:bCs/>
          <w:lang w:val="en-GB"/>
        </w:rPr>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pStyle w:val="Normal"/>
        <w:spacing w:before="0" w:after="0"/>
        <w:ind w:left="0" w:right="0" w:firstLine="72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It might be argued that when we abstract away from object-oriented ways of carving up the world,</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and merely refer to the universe as consisting of an uncarved expanse of ‘stuff’ that is constrained</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in various ways in various locations, we are still adopting a ‘perspective’. Yes, but this will by</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definition not be a world-carving perspective. When I say that constraint is an inter-perspectival</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ontological category, I mean that it is an ontological category that is independent of any perspective</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on where the boundaries between objects (events, processes, and so on) are. It is an ontological</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category that picks out the full range of real causal patterns in the world which are the candidates</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for populating such world-carving schemes; any world-carving perspective will selectively isolate</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a subset of such causal patterns to form the basis of its parcellation into objects, events, processes,</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and so on.</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(pp. 14-15)</w:t>
      </w:r>
    </w:p>
    <w:p>
      <w:pPr>
        <w:pStyle w:val="Normal"/>
        <w:spacing w:before="0" w:after="0"/>
        <w:contextualSpacing/>
        <w:rPr>
          <w:rFonts w:eastAsia="Calibri"/>
          <w:lang w:val="en-GB"/>
        </w:rPr>
      </w:pPr>
      <w:r>
        <w:rPr>
          <w:rFonts w:eastAsia="Calibri"/>
          <w:lang w:val="en-GB"/>
        </w:rPr>
      </w:r>
    </w:p>
    <w:p>
      <w:pPr>
        <w:pStyle w:val="Normal"/>
        <w:spacing w:before="0" w:after="0"/>
        <w:contextualSpacing/>
        <w:rPr/>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eastAsia="Calibri" w:cs="TimesNewRomanPSMT" w:ascii="TimesNewRomanPSMT" w:hAnsi="TimesNewRomanPSMT"/>
          <w:sz w:val="20"/>
          <w:szCs w:val="20"/>
          <w:lang w:val="en-GB"/>
        </w:rPr>
        <w:t xml:space="preserve">an ontological category that is independent of any perspective on where the boundaries between objects (events, processes, and so on) are.’!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Instead, the relation is a certain kind of ontological dependence: the constraints, that is, the perspectiveindependent causal structures, are what make it possible to usefully adopt a causal powers</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perspective. When we adopt an object-oriented perspective, the way that the stuff constituting an</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object is dynamically constrained allows us to talk instead of powers that the object has.19</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Constraints are the truthmakers for modal facts about the dynamics of a system; when looked at</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from a perspective that parcels the system into objects and properties, these modal facts map onto</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dispositional facts about such objects and properties. In other words, they serve as the intrinsic and</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actual grounding of perspectival facts about what kinds of behaviours will manifest under certain</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 xml:space="preserve">conditions. (p. 16)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pStyle w:val="Normal"/>
        <w:spacing w:before="0" w:after="0"/>
        <w:contextualSpacing/>
        <w:rPr>
          <w:rFonts w:eastAsia="Calibri"/>
          <w:lang w:val="en-GB"/>
        </w:rPr>
      </w:pPr>
      <w:r>
        <w:rPr>
          <w:rFonts w:eastAsia="Calibri"/>
          <w:lang w:val="en-GB"/>
        </w:rPr>
      </w:r>
    </w:p>
    <w:p>
      <w:pPr>
        <w:pStyle w:val="Normal"/>
        <w:spacing w:before="0" w:after="0"/>
        <w:contextualSpacing/>
        <w:rPr/>
      </w:pPr>
      <w:r>
        <w:rPr/>
      </w:r>
    </w:p>
    <w:p>
      <w:pPr>
        <w:pStyle w:val="Heading1"/>
        <w:numPr>
          <w:ilvl w:val="0"/>
          <w:numId w:val="31"/>
        </w:numPr>
        <w:shd w:val="clear" w:fill="FFFFFF"/>
        <w:spacing w:before="0" w:after="0"/>
        <w:contextualSpacing/>
        <w:rPr/>
      </w:pPr>
      <w:r>
        <w:rPr>
          <w:rFonts w:ascii="Times New Roman" w:hAnsi="Times New Roman"/>
          <w:sz w:val="28"/>
          <w:szCs w:val="28"/>
        </w:rPr>
        <w:t xml:space="preserve">(2018) </w:t>
      </w:r>
      <w:hyperlink r:id="rId138" w:tgtFrame="View other works by David Mark Kovacs">
        <w:r>
          <w:rPr>
            <w:rStyle w:val="ListLabel267"/>
            <w:rFonts w:ascii="Times New Roman" w:hAnsi="Times New Roman"/>
            <w:sz w:val="28"/>
            <w:szCs w:val="28"/>
            <w:lang w:eastAsia="en-GB"/>
          </w:rPr>
          <w:t>David Mark Kovacs</w:t>
        </w:r>
      </w:hyperlink>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hyperlink r:id="rId139" w:tgtFrame="_blank">
        <w:r>
          <w:rPr>
            <w:rStyle w:val="InternetLink"/>
            <w:rFonts w:ascii="Times New Roman" w:hAnsi="Times New Roman"/>
            <w:color w:val="auto"/>
            <w:sz w:val="28"/>
            <w:szCs w:val="28"/>
            <w:highlight w:val="white"/>
            <w:u w:val="none"/>
          </w:rPr>
          <w:t>Tel Aviv University</w:t>
        </w:r>
      </w:hyperlink>
      <w:r>
        <w:rPr>
          <w:rFonts w:ascii="Times New Roman" w:hAnsi="Times New Roman"/>
          <w:sz w:val="28"/>
          <w:szCs w:val="28"/>
        </w:rPr>
        <w:t xml:space="preserve">), </w:t>
      </w:r>
      <w:r>
        <w:rPr>
          <w:rFonts w:ascii="Times New Roman" w:hAnsi="Times New Roman"/>
          <w:sz w:val="28"/>
          <w:szCs w:val="28"/>
          <w:lang w:eastAsia="en-GB"/>
        </w:rPr>
        <w:t xml:space="preserve"> </w:t>
      </w:r>
      <w:hyperlink r:id="rId140" w:tgtFrame="_blank">
        <w:r>
          <w:rPr>
            <w:rStyle w:val="InternetLink"/>
            <w:rFonts w:ascii="Times New Roman" w:hAnsi="Times New Roman"/>
            <w:color w:val="auto"/>
            <w:sz w:val="28"/>
            <w:szCs w:val="28"/>
            <w:u w:val="none"/>
          </w:rPr>
          <w:t>The Deflationary Theory of Ontological Dependence</w:t>
        </w:r>
      </w:hyperlink>
      <w:r>
        <w:rPr>
          <w:rFonts w:ascii="Times New Roman" w:hAnsi="Times New Roman"/>
          <w:sz w:val="28"/>
          <w:szCs w:val="28"/>
        </w:rPr>
        <w:t xml:space="preserve">, </w:t>
      </w:r>
      <w:hyperlink r:id="rId141">
        <w:r>
          <w:rPr>
            <w:rStyle w:val="ListLabel270"/>
            <w:rFonts w:ascii="Times New Roman" w:hAnsi="Times New Roman"/>
            <w:i/>
            <w:iCs/>
            <w:sz w:val="28"/>
            <w:szCs w:val="28"/>
            <w:lang w:eastAsia="en-GB"/>
          </w:rPr>
          <w:t>Philosophical Quarterly</w:t>
        </w:r>
      </w:hyperlink>
      <w:r>
        <w:rPr>
          <w:rFonts w:ascii="Times New Roman" w:hAnsi="Times New Roman"/>
          <w:sz w:val="28"/>
          <w:szCs w:val="28"/>
          <w:lang w:eastAsia="en-GB"/>
        </w:rPr>
        <w:t> (forthcoming)</w:t>
      </w:r>
    </w:p>
    <w:tbl>
      <w:tblPr>
        <w:tblStyle w:val="7"/>
        <w:tblW w:w="9360" w:type="dxa"/>
        <w:jc w:val="left"/>
        <w:tblInd w:w="0" w:type="dxa"/>
        <w:tblCellMar>
          <w:top w:w="0" w:type="dxa"/>
          <w:left w:w="0" w:type="dxa"/>
          <w:bottom w:w="150" w:type="dxa"/>
          <w:right w:w="300" w:type="dxa"/>
        </w:tblCellMar>
      </w:tblPr>
      <w:tblGrid>
        <w:gridCol w:w="1236"/>
        <w:gridCol w:w="8123"/>
      </w:tblGrid>
      <w:tr>
        <w:trPr/>
        <w:tc>
          <w:tcPr>
            <w:tcW w:w="1236" w:type="dxa"/>
            <w:tcBorders/>
            <w:shd w:color="auto" w:fill="auto" w:val="clear"/>
            <w:vAlign w:val="center"/>
          </w:tcPr>
          <w:p>
            <w:pPr>
              <w:pStyle w:val="Normal"/>
              <w:spacing w:before="0" w:after="0"/>
              <w:contextualSpacing/>
              <w:rPr>
                <w:rFonts w:eastAsia="Times New Roman"/>
                <w:b/>
                <w:b/>
                <w:bCs/>
                <w:color w:val="555555"/>
                <w:lang w:eastAsia="en-GB"/>
              </w:rPr>
            </w:pPr>
            <w:r>
              <w:rPr>
                <w:rFonts w:eastAsia="Times New Roman"/>
                <w:b/>
                <w:bCs/>
                <w:color w:val="555555"/>
                <w:lang w:eastAsia="en-GB"/>
              </w:rPr>
              <w:t>Abstract</w:t>
            </w:r>
          </w:p>
        </w:tc>
        <w:tc>
          <w:tcPr>
            <w:tcW w:w="8123" w:type="dxa"/>
            <w:tcBorders/>
            <w:shd w:color="auto" w:fill="auto" w:val="clear"/>
            <w:tcMar>
              <w:bottom w:w="300" w:type="dxa"/>
              <w:right w:w="0" w:type="dxa"/>
            </w:tcMar>
            <w:vAlign w:val="center"/>
          </w:tcPr>
          <w:p>
            <w:pPr>
              <w:pStyle w:val="Normal"/>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pStyle w:val="Normal"/>
        <w:spacing w:before="0" w:after="0"/>
        <w:contextualSpacing/>
        <w:rPr/>
      </w:pPr>
      <w:hyperlink r:id="rId142">
        <w:r>
          <w:rPr>
            <w:rStyle w:val="InternetLink"/>
          </w:rPr>
          <w:t>https://philpapers.org/rec/KOVTDT?ref=mail</w:t>
        </w:r>
      </w:hyperlink>
    </w:p>
    <w:p>
      <w:pPr>
        <w:pStyle w:val="Normal"/>
        <w:spacing w:before="0" w:after="0"/>
        <w:contextualSpacing/>
        <w:rPr/>
      </w:pPr>
      <w:r>
        <w:rPr/>
      </w:r>
    </w:p>
    <w:p>
      <w:pPr>
        <w:pStyle w:val="Normal"/>
        <w:spacing w:before="0" w:after="0"/>
        <w:contextualSpacing/>
        <w:rPr/>
      </w:pPr>
      <w:r>
        <w:rPr/>
        <w:t xml:space="preserve">UNBELIEVABLE similar ideas to my ideas just in Abstract!!! </w:t>
      </w:r>
    </w:p>
    <w:p>
      <w:pPr>
        <w:pStyle w:val="Normal"/>
        <w:spacing w:before="0" w:after="0"/>
        <w:contextualSpacing/>
        <w:rPr/>
      </w:pPr>
      <w:r>
        <w:rPr/>
      </w:r>
    </w:p>
    <w:p>
      <w:pPr>
        <w:pStyle w:val="Normal"/>
        <w:spacing w:before="0" w:after="0"/>
        <w:contextualSpacing/>
        <w:rPr>
          <w:b/>
          <w:b/>
          <w:sz w:val="22"/>
          <w:szCs w:val="22"/>
          <w:highlight w:val="white"/>
        </w:rPr>
      </w:pPr>
      <w:r>
        <w:rPr>
          <w:b/>
          <w:sz w:val="22"/>
          <w:szCs w:val="22"/>
          <w:highlight w:val="white"/>
        </w:rPr>
      </w:r>
    </w:p>
    <w:p>
      <w:pPr>
        <w:pStyle w:val="Normal"/>
        <w:spacing w:before="0" w:after="0"/>
        <w:contextualSpacing/>
        <w:rPr>
          <w:b/>
          <w:b/>
          <w:sz w:val="22"/>
          <w:szCs w:val="22"/>
          <w:highlight w:val="white"/>
        </w:rPr>
      </w:pPr>
      <w:r>
        <w:rPr>
          <w:b/>
          <w:sz w:val="22"/>
          <w:szCs w:val="22"/>
          <w:highlight w:val="white"/>
        </w:rPr>
      </w:r>
      <w:r>
        <w:br w:type="page"/>
      </w:r>
    </w:p>
    <w:p>
      <w:pPr>
        <w:pStyle w:val="Normal"/>
        <w:spacing w:before="0" w:after="0"/>
        <w:contextualSpacing/>
        <w:rPr>
          <w:b/>
          <w:b/>
          <w:sz w:val="28"/>
          <w:szCs w:val="28"/>
          <w:highlight w:val="white"/>
        </w:rPr>
      </w:pPr>
      <w:r>
        <w:rPr>
          <w:b/>
          <w:sz w:val="28"/>
          <w:szCs w:val="28"/>
          <w:highlight w:val="white"/>
        </w:rPr>
        <w:t>Conclusion</w:t>
      </w:r>
    </w:p>
    <w:p>
      <w:pPr>
        <w:pStyle w:val="Normal"/>
        <w:spacing w:before="0" w:after="0"/>
        <w:contextualSpacing/>
        <w:rPr>
          <w:b/>
          <w:b/>
          <w:sz w:val="28"/>
          <w:szCs w:val="28"/>
        </w:rPr>
      </w:pPr>
      <w:r>
        <w:rPr>
          <w:b/>
          <w:sz w:val="28"/>
          <w:szCs w:val="28"/>
        </w:rPr>
      </w:r>
    </w:p>
    <w:p>
      <w:pPr>
        <w:pStyle w:val="Normal"/>
        <w:spacing w:before="0" w:after="0"/>
        <w:contextualSpacing/>
        <w:rPr>
          <w:b/>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pStyle w:val="NormalWeb"/>
        <w:shd w:val="clear" w:fill="FFFFFF"/>
        <w:spacing w:before="0" w:after="0"/>
        <w:contextualSpacing/>
        <w:jc w:val="both"/>
        <w:rPr>
          <w:rStyle w:val="Strong"/>
          <w:sz w:val="22"/>
          <w:szCs w:val="22"/>
        </w:rPr>
      </w:pPr>
      <w:r>
        <w:rPr>
          <w:sz w:val="22"/>
          <w:szCs w:val="22"/>
        </w:rPr>
      </w:r>
    </w:p>
    <w:p>
      <w:pPr>
        <w:pStyle w:val="NormalWeb"/>
        <w:shd w:val="clear" w:fill="FFFFFF"/>
        <w:spacing w:before="0" w:after="0"/>
        <w:contextualSpacing/>
        <w:jc w:val="both"/>
        <w:rPr/>
      </w:pPr>
      <w:r>
        <w:rPr>
          <w:rStyle w:val="Strong"/>
          <w:sz w:val="22"/>
          <w:szCs w:val="22"/>
        </w:rPr>
        <w:t>Ideas about some people who, after 2011, published UNBELIEVABLE similar ideas to my ideas from 2002, 2005, 2007, 2008, etc.</w:t>
      </w:r>
    </w:p>
    <w:p>
      <w:pPr>
        <w:pStyle w:val="NormalWeb"/>
        <w:shd w:val="clear" w:fill="FFFFFF"/>
        <w:spacing w:before="0" w:after="0"/>
        <w:contextualSpacing/>
        <w:jc w:val="both"/>
        <w:rPr/>
      </w:pPr>
      <w:r>
        <w:rPr>
          <w:rStyle w:val="Strong"/>
          <w:sz w:val="22"/>
          <w:szCs w:val="22"/>
        </w:rPr>
        <w:t xml:space="preserve">Did David Ludwig (2015, Philosophy, University of Amsterdam, Netherland) plagiarize my ideas? </w:t>
      </w:r>
      <w:r>
        <w:rPr>
          <w:rStyle w:val="Strong"/>
          <w:b w:val="false"/>
          <w:sz w:val="22"/>
          <w:szCs w:val="22"/>
        </w:rPr>
        <w:t xml:space="preserve">In this book 2015, there are </w:t>
      </w:r>
      <w:r>
        <w:rPr>
          <w:rStyle w:val="Strong"/>
          <w:sz w:val="22"/>
          <w:szCs w:val="22"/>
        </w:rPr>
        <w:t xml:space="preserve">UNBELIEVALBE MANY similar </w:t>
      </w:r>
      <w:r>
        <w:rPr>
          <w:rStyle w:val="Strong"/>
          <w:b w:val="false"/>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pStyle w:val="NormalWeb"/>
        <w:shd w:val="clear" w:fill="FFFFFF"/>
        <w:spacing w:before="0" w:after="0"/>
        <w:contextualSpacing/>
        <w:jc w:val="both"/>
        <w:rPr/>
      </w:pPr>
      <w:r>
        <w:rPr>
          <w:rStyle w:val="Strong"/>
          <w:sz w:val="22"/>
          <w:szCs w:val="22"/>
        </w:rPr>
        <w:t>Did Markus Gabriel plagiarize my ideas? (Markus Gabriel 2013, 2014, Philosophy, Bonn University, Germany)</w:t>
      </w:r>
    </w:p>
    <w:p>
      <w:pPr>
        <w:pStyle w:val="NormalWeb"/>
        <w:shd w:val="clear" w:fill="FFFFFF"/>
        <w:spacing w:before="0" w:after="0"/>
        <w:contextualSpacing/>
        <w:jc w:val="both"/>
        <w:rPr>
          <w:sz w:val="22"/>
          <w:szCs w:val="22"/>
        </w:rPr>
      </w:pPr>
      <w:r>
        <w:rPr>
          <w:sz w:val="22"/>
          <w:szCs w:val="22"/>
        </w:rPr>
        <w:t>About Markus Gabriel and his very similar ideas (his approach) to my ideas (my EDWs perspective), click</w:t>
      </w:r>
    </w:p>
    <w:p>
      <w:pPr>
        <w:pStyle w:val="NormalWeb"/>
        <w:shd w:val="clear" w:fill="FFFFFF"/>
        <w:spacing w:before="0" w:after="0"/>
        <w:contextualSpacing/>
        <w:jc w:val="both"/>
        <w:rPr/>
      </w:pPr>
      <w:hyperlink r:id="rId143" w:tgtFrame="_blank">
        <w:r>
          <w:rPr>
            <w:rStyle w:val="Strong"/>
            <w:sz w:val="22"/>
            <w:szCs w:val="22"/>
          </w:rPr>
          <w:t>“</w:t>
        </w:r>
        <w:r>
          <w:rPr>
            <w:rStyle w:val="Strong"/>
            <w:sz w:val="22"/>
            <w:szCs w:val="22"/>
          </w:rPr>
          <w:t>Did Markus Gabriel plagiarize my ideas?” (Gabriel Vacariu, Philosophy, University of Bucharest)</w:t>
        </w:r>
      </w:hyperlink>
      <w:r>
        <w:rPr>
          <w:sz w:val="22"/>
          <w:szCs w:val="22"/>
        </w:rPr>
        <w:t>(.pdf) About the same topic, see also</w:t>
      </w:r>
      <w:r>
        <w:rPr>
          <w:rStyle w:val="Appleconvertedspace"/>
          <w:sz w:val="22"/>
          <w:szCs w:val="22"/>
        </w:rPr>
        <w:t> </w:t>
      </w:r>
      <w:hyperlink r:id="rId144" w:tgtFrame="_blank">
        <w:r>
          <w:rPr>
            <w:rStyle w:val="InternetLink"/>
            <w:color w:val="auto"/>
            <w:sz w:val="22"/>
            <w:szCs w:val="22"/>
            <w:u w:val="none"/>
          </w:rPr>
          <w:t>Youtube clip</w:t>
        </w:r>
      </w:hyperlink>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hyperlink r:id="rId145">
        <w:r>
          <w:rPr>
            <w:rStyle w:val="InternetLink"/>
            <w:color w:val="auto"/>
            <w:sz w:val="22"/>
            <w:szCs w:val="22"/>
            <w:u w:val="none"/>
          </w:rPr>
          <w:t>http://www.youtube.com/watch?v=hzvesGB_TI0</w:t>
        </w:r>
      </w:hyperlink>
      <w:r>
        <w:rPr>
          <w:sz w:val="22"/>
          <w:szCs w:val="22"/>
        </w:rPr>
        <w:t>), also 2013.</w:t>
      </w:r>
    </w:p>
    <w:p>
      <w:pPr>
        <w:pStyle w:val="Normal"/>
        <w:numPr>
          <w:ilvl w:val="0"/>
          <w:numId w:val="10"/>
        </w:numPr>
        <w:shd w:val="clear" w:fill="FFFFFF"/>
        <w:spacing w:before="0" w:after="0"/>
        <w:ind w:left="0" w:right="0" w:hanging="360"/>
        <w:contextualSpacing/>
        <w:rPr/>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Appleconvertedspace"/>
          <w:sz w:val="22"/>
          <w:szCs w:val="22"/>
        </w:rPr>
        <w:t> </w:t>
      </w:r>
      <w:r>
        <w:rPr>
          <w:rStyle w:val="Emphasis"/>
          <w:sz w:val="22"/>
          <w:szCs w:val="22"/>
        </w:rPr>
        <w:t>Meta:Research in hermeneutics, phenomenology, and practical</w:t>
      </w:r>
      <w:r>
        <w:rPr>
          <w:rStyle w:val="Appleconvertedspace"/>
          <w:i/>
          <w:iCs/>
          <w:sz w:val="22"/>
          <w:szCs w:val="22"/>
        </w:rPr>
        <w:t> </w:t>
      </w:r>
      <w:r>
        <w:rPr>
          <w:rStyle w:val="Emphasis"/>
          <w:sz w:val="22"/>
          <w:szCs w:val="22"/>
        </w:rPr>
        <w:t>philosophy,</w:t>
      </w:r>
      <w:r>
        <w:rPr>
          <w:rStyle w:val="Appleconvertedspace"/>
          <w:sz w:val="22"/>
          <w:szCs w:val="22"/>
        </w:rPr>
        <w:t> </w:t>
      </w:r>
      <w:r>
        <w:rPr>
          <w:sz w:val="22"/>
          <w:szCs w:val="22"/>
        </w:rPr>
        <w:t>special issue / 2014: 44-73,</w:t>
      </w:r>
      <w:hyperlink r:id="rId146">
        <w:r>
          <w:rPr>
            <w:rStyle w:val="InternetLink"/>
            <w:color w:val="auto"/>
            <w:sz w:val="22"/>
            <w:szCs w:val="22"/>
            <w:u w:val="none"/>
          </w:rPr>
          <w:t>www.metajournal.org</w:t>
        </w:r>
      </w:hyperlink>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hyperlink r:id="rId147">
        <w:r>
          <w:rPr>
            <w:rStyle w:val="InternetLink"/>
            <w:color w:val="auto"/>
            <w:sz w:val="22"/>
            <w:szCs w:val="22"/>
            <w:u w:val="none"/>
          </w:rPr>
          <w:t>More details, here</w:t>
        </w:r>
      </w:hyperlink>
      <w:r>
        <w:rPr>
          <w:rStyle w:val="Appleconvertedspace"/>
          <w:sz w:val="22"/>
          <w:szCs w:val="22"/>
        </w:rPr>
        <w:t> </w:t>
      </w:r>
      <w:r>
        <w:rPr>
          <w:sz w:val="22"/>
          <w:szCs w:val="22"/>
        </w:rPr>
        <w:t>)</w:t>
      </w:r>
    </w:p>
    <w:p>
      <w:pPr>
        <w:pStyle w:val="Normal"/>
        <w:numPr>
          <w:ilvl w:val="0"/>
          <w:numId w:val="10"/>
        </w:numPr>
        <w:shd w:val="clear" w:fill="FFFFFF"/>
        <w:spacing w:before="0" w:after="0"/>
        <w:ind w:left="0" w:right="0" w:hanging="360"/>
        <w:contextualSpacing/>
        <w:rPr/>
      </w:pPr>
      <w:r>
        <w:rPr>
          <w:sz w:val="22"/>
          <w:szCs w:val="22"/>
        </w:rPr>
        <w:t>I complained at Bonn University, Ethics committee about the incredible similarities between my ideas (2005, 2008) and Markus Gabriel’s ideas (2013). Here is the negative result of the committee: </w:t>
      </w:r>
      <w:hyperlink r:id="rId148">
        <w:r>
          <w:rPr>
            <w:rStyle w:val="InternetLink"/>
            <w:color w:val="auto"/>
            <w:sz w:val="22"/>
            <w:szCs w:val="22"/>
            <w:u w:val="none"/>
          </w:rPr>
          <w:t>About complain regarding Markus Gabriel’s plagiarism, Bonn University notification</w:t>
        </w:r>
      </w:hyperlink>
    </w:p>
    <w:p>
      <w:pPr>
        <w:pStyle w:val="Normal"/>
        <w:numPr>
          <w:ilvl w:val="0"/>
          <w:numId w:val="10"/>
        </w:numPr>
        <w:shd w:val="clear" w:fill="FFFFFF"/>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pStyle w:val="Normal"/>
        <w:numPr>
          <w:ilvl w:val="0"/>
          <w:numId w:val="10"/>
        </w:numPr>
        <w:shd w:val="clear" w:fill="FFFFFF"/>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pStyle w:val="Normal"/>
        <w:numPr>
          <w:ilvl w:val="0"/>
          <w:numId w:val="10"/>
        </w:numPr>
        <w:shd w:val="clear" w:fill="FFFFFF"/>
        <w:spacing w:before="0" w:after="0"/>
        <w:ind w:left="0" w:right="0" w:hanging="360"/>
        <w:contextualSpacing/>
        <w:rPr>
          <w:sz w:val="22"/>
          <w:szCs w:val="22"/>
        </w:rPr>
      </w:pPr>
      <w:r>
        <w:rPr>
          <w:sz w:val="22"/>
          <w:szCs w:val="22"/>
        </w:rPr>
      </w:r>
    </w:p>
    <w:p>
      <w:pPr>
        <w:pStyle w:val="NormalWeb"/>
        <w:shd w:val="clear" w:fill="FFFFFF"/>
        <w:spacing w:before="0" w:after="0"/>
        <w:contextualSpacing/>
        <w:jc w:val="both"/>
        <w:rPr/>
      </w:pPr>
      <w:r>
        <w:rPr>
          <w:rStyle w:val="Strong"/>
          <w:sz w:val="22"/>
          <w:szCs w:val="22"/>
        </w:rPr>
        <w:t>Did Georg Nortoff plagiarized my ideas? Many ideas from Georg Northoff’s (Canada) works</w:t>
      </w:r>
      <w:r>
        <w:rPr>
          <w:rStyle w:val="Appleconvertedspace"/>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hyperlink r:id="rId149">
        <w:r>
          <w:rPr>
            <w:rStyle w:val="InternetLink"/>
            <w:color w:val="auto"/>
            <w:sz w:val="22"/>
            <w:szCs w:val="22"/>
            <w:u w:val="none"/>
          </w:rPr>
          <w:t>Georg Northoff’s ideas from 2011-2014 are UNBELIEVABLE similar to my ideas from 2005 and 2008</w:t>
        </w:r>
      </w:hyperlink>
      <w:r>
        <w:rPr>
          <w:sz w:val="22"/>
          <w:szCs w:val="22"/>
        </w:rPr>
        <w:t>)</w:t>
      </w:r>
    </w:p>
    <w:p>
      <w:pPr>
        <w:pStyle w:val="NormalWeb"/>
        <w:shd w:val="clear" w:fill="FFFFFF"/>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pStyle w:val="NormalWeb"/>
        <w:shd w:val="clear" w:fill="FFFFFF"/>
        <w:spacing w:before="0" w:after="0"/>
        <w:contextualSpacing/>
        <w:jc w:val="both"/>
        <w:rPr>
          <w:sz w:val="22"/>
          <w:szCs w:val="22"/>
        </w:rPr>
      </w:pPr>
      <w:r>
        <w:rPr>
          <w:sz w:val="22"/>
          <w:szCs w:val="22"/>
        </w:rPr>
        <w:t>“</w:t>
      </w:r>
      <w:r>
        <w:rPr>
          <w:sz w:val="22"/>
          <w:szCs w:val="22"/>
        </w:rPr>
        <w:t>Dear Professor Vacariu,</w:t>
        <w:b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pStyle w:val="NormalWeb"/>
        <w:shd w:val="clear" w:fill="FFFFFF"/>
        <w:spacing w:before="0" w:after="0"/>
        <w:contextualSpacing/>
        <w:jc w:val="both"/>
        <w:rPr/>
      </w:pPr>
      <w:r>
        <w:rPr>
          <w:sz w:val="22"/>
          <w:szCs w:val="22"/>
        </w:rPr>
        <w:t>The final aswer</w:t>
      </w:r>
      <w:r>
        <w:rPr>
          <w:rStyle w:val="Appleconvertedspace"/>
          <w:sz w:val="22"/>
          <w:szCs w:val="22"/>
        </w:rPr>
        <w:t> </w:t>
      </w:r>
      <w:hyperlink r:id="rId150">
        <w:r>
          <w:rPr>
            <w:rStyle w:val="InternetLink"/>
            <w:color w:val="auto"/>
            <w:sz w:val="22"/>
            <w:szCs w:val="22"/>
            <w:u w:val="none"/>
          </w:rPr>
          <w:t>Answer from Oxford University Press</w:t>
        </w:r>
      </w:hyperlink>
      <w:r>
        <w:rPr>
          <w:sz w:val="22"/>
          <w:szCs w:val="22"/>
        </w:rPr>
        <w:t>. This cannot be a serious answer…</w:t>
      </w:r>
    </w:p>
    <w:p>
      <w:pPr>
        <w:pStyle w:val="NormalWeb"/>
        <w:shd w:val="clear" w:fill="FFFFFF"/>
        <w:spacing w:before="0" w:after="0"/>
        <w:contextualSpacing/>
        <w:jc w:val="both"/>
        <w:rPr/>
      </w:pPr>
      <w:r>
        <w:rPr>
          <w:rStyle w:val="Strong"/>
          <w:sz w:val="22"/>
          <w:szCs w:val="22"/>
        </w:rPr>
        <w:t>Did Ioniciou and Terno plagiarize my idea? Few words about quantum mechanics regarding the work of Ioniciou and Terno (2011)</w:t>
      </w:r>
      <w:r>
        <w:rPr>
          <w:rStyle w:val="Appleconvertedspace"/>
          <w:sz w:val="22"/>
          <w:szCs w:val="22"/>
        </w:rPr>
        <w:t> </w:t>
      </w:r>
      <w:r>
        <w:rPr>
          <w:sz w:val="22"/>
          <w:szCs w:val="22"/>
        </w:rPr>
        <w:t>(more details on these pages from Vacariu 2014, pp. 309-3013: </w:t>
      </w:r>
      <w:hyperlink r:id="rId151">
        <w:r>
          <w:rPr>
            <w:rStyle w:val="InternetLink"/>
            <w:color w:val="auto"/>
            <w:sz w:val="22"/>
            <w:szCs w:val="22"/>
            <w:u w:val="none"/>
          </w:rPr>
          <w:t>Few words about quantum mechanics from Vacariu (2014)</w:t>
        </w:r>
      </w:hyperlink>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Appleconvertedspace"/>
          <w:sz w:val="22"/>
          <w:szCs w:val="22"/>
        </w:rPr>
        <w:t> </w:t>
      </w:r>
      <w:hyperlink r:id="rId152">
        <w:r>
          <w:rPr>
            <w:rStyle w:val="InternetLink"/>
            <w:color w:val="auto"/>
            <w:sz w:val="22"/>
            <w:szCs w:val="22"/>
            <w:u w:val="none"/>
          </w:rPr>
          <w:t>2014-About-Ionicioius-thought-experiment-on-quantum-mechanics-2011-and-my-EDWs-perspective-2008</w:t>
        </w:r>
      </w:hyperlink>
    </w:p>
    <w:p>
      <w:pPr>
        <w:pStyle w:val="NormalWeb"/>
        <w:shd w:val="clear" w:fill="FFFFFF"/>
        <w:spacing w:before="0" w:after="0"/>
        <w:contextualSpacing/>
        <w:jc w:val="both"/>
        <w:rPr/>
      </w:pPr>
      <w:r>
        <w:rPr>
          <w:rStyle w:val="Strong"/>
          <w:sz w:val="22"/>
          <w:szCs w:val="22"/>
        </w:rPr>
        <w:t>Did Wolfram Schommers (University of Texas at Arlington, USA &amp; Karlsruhe Institute of Technology, Germany) (2015) plagiarize my ideas? </w:t>
      </w:r>
      <w:r>
        <w:rPr>
          <w:sz w:val="22"/>
          <w:szCs w:val="22"/>
        </w:rPr>
        <w:t>In 2015, Wolfram Schommers published the book</w:t>
      </w:r>
      <w:r>
        <w:rPr>
          <w:rStyle w:val="Appleconvertedspace"/>
          <w:sz w:val="22"/>
          <w:szCs w:val="22"/>
        </w:rPr>
        <w:t> </w:t>
      </w:r>
      <w:r>
        <w:rPr>
          <w:rStyle w:val="Emphasis"/>
          <w:sz w:val="22"/>
          <w:szCs w:val="22"/>
        </w:rPr>
        <w:t>Mind and Reality – The Space-Time Window</w:t>
      </w:r>
      <w:r>
        <w:rPr>
          <w:rStyle w:val="Appleconvertedspace"/>
          <w:i/>
          <w:iCs/>
          <w:sz w:val="22"/>
          <w:szCs w:val="22"/>
        </w:rPr>
        <w:t> </w:t>
      </w:r>
      <w:r>
        <w:rPr>
          <w:sz w:val="22"/>
          <w:szCs w:val="22"/>
        </w:rPr>
        <w:t>at World Scientific publishing company. In this book, there are</w:t>
      </w:r>
      <w:r>
        <w:rPr>
          <w:rStyle w:val="Appleconvertedspace"/>
          <w:sz w:val="22"/>
          <w:szCs w:val="22"/>
        </w:rPr>
        <w:t> </w:t>
      </w:r>
      <w:r>
        <w:rPr>
          <w:rStyle w:val="Emphasis"/>
          <w:sz w:val="22"/>
          <w:szCs w:val="22"/>
        </w:rPr>
        <w:t>unbelievable similar</w:t>
      </w:r>
      <w:r>
        <w:rPr>
          <w:rStyle w:val="Appleconvertedspace"/>
          <w:sz w:val="22"/>
          <w:szCs w:val="22"/>
        </w:rPr>
        <w:t> </w:t>
      </w:r>
      <w:r>
        <w:rPr>
          <w:sz w:val="22"/>
          <w:szCs w:val="22"/>
        </w:rPr>
        <w:t>ideas to my ideas published from 2002 to 2014! (For more details, see</w:t>
      </w:r>
      <w:r>
        <w:rPr>
          <w:rStyle w:val="Appleconvertedspace"/>
          <w:sz w:val="22"/>
          <w:szCs w:val="22"/>
        </w:rPr>
        <w:t> </w:t>
      </w:r>
      <w:hyperlink r:id="rId153">
        <w:r>
          <w:rPr>
            <w:rStyle w:val="InternetLink"/>
            <w:color w:val="auto"/>
            <w:sz w:val="22"/>
            <w:szCs w:val="22"/>
            <w:u w:val="none"/>
          </w:rPr>
          <w:t>Did Wolfram Schommers plagiarize my ideas</w:t>
        </w:r>
      </w:hyperlink>
      <w:r>
        <w:rPr>
          <w:sz w:val="22"/>
          <w:szCs w:val="22"/>
        </w:rPr>
        <w:t>)</w:t>
      </w:r>
    </w:p>
    <w:p>
      <w:pPr>
        <w:pStyle w:val="NormalWeb"/>
        <w:shd w:val="clear" w:fill="FFFFFF"/>
        <w:spacing w:before="0" w:after="0"/>
        <w:contextualSpacing/>
        <w:jc w:val="both"/>
        <w:rPr/>
      </w:pPr>
      <w:r>
        <w:rPr>
          <w:rStyle w:val="Strong"/>
          <w:sz w:val="22"/>
          <w:szCs w:val="22"/>
        </w:rPr>
        <w:t>Christoff Kalina, Diego Cosmelli, Legrand Dorothée and Thompson Evan (2011),</w:t>
      </w:r>
      <w:r>
        <w:rPr>
          <w:rStyle w:val="Appleconvertedspace"/>
          <w:sz w:val="22"/>
          <w:szCs w:val="22"/>
        </w:rPr>
        <w:t> </w:t>
      </w:r>
      <w:r>
        <w:rPr>
          <w:sz w:val="22"/>
          <w:szCs w:val="22"/>
        </w:rPr>
        <w:t>“Specifying the self for cognitive neuroscience”,</w:t>
      </w:r>
      <w:r>
        <w:rPr>
          <w:rStyle w:val="Appleconvertedspace"/>
          <w:sz w:val="22"/>
          <w:szCs w:val="22"/>
        </w:rPr>
        <w:t> </w:t>
      </w:r>
      <w:r>
        <w:rPr>
          <w:rStyle w:val="Emphasis"/>
          <w:sz w:val="22"/>
          <w:szCs w:val="22"/>
        </w:rPr>
        <w:t>Trends in Cognitive Sciences</w:t>
      </w:r>
      <w:r>
        <w:rPr>
          <w:rStyle w:val="Appleconvertedspace"/>
          <w:i/>
          <w:iCs/>
          <w:sz w:val="22"/>
          <w:szCs w:val="22"/>
        </w:rPr>
        <w:t> </w:t>
      </w:r>
      <w:r>
        <w:rPr>
          <w:sz w:val="22"/>
          <w:szCs w:val="22"/>
        </w:rPr>
        <w:t>15/3, 104-112 (The ideas related to role of the self in cognitive neuroscience, sensorymotor activities, default network) (For more details, click</w:t>
      </w:r>
      <w:r>
        <w:rPr>
          <w:rStyle w:val="Appleconvertedspace"/>
          <w:sz w:val="22"/>
          <w:szCs w:val="22"/>
        </w:rPr>
        <w:t> </w:t>
      </w:r>
      <w:hyperlink r:id="rId154">
        <w:r>
          <w:rPr>
            <w:rStyle w:val="InternetLink"/>
            <w:color w:val="auto"/>
            <w:sz w:val="22"/>
            <w:szCs w:val="22"/>
            <w:u w:val="none"/>
          </w:rPr>
          <w:t>Christoff Kalina et al. 2011</w:t>
        </w:r>
      </w:hyperlink>
      <w:r>
        <w:rPr>
          <w:sz w:val="22"/>
          <w:szCs w:val="22"/>
        </w:rPr>
        <w:t>)</w:t>
      </w:r>
    </w:p>
    <w:p>
      <w:pPr>
        <w:pStyle w:val="NormalWeb"/>
        <w:shd w:val="clear" w:fill="FFFFFF"/>
        <w:spacing w:before="0" w:after="0"/>
        <w:contextualSpacing/>
        <w:jc w:val="both"/>
        <w:rPr/>
      </w:pPr>
      <w:r>
        <w:rPr>
          <w:rStyle w:val="Strong"/>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hyperlink r:id="rId155">
        <w:r>
          <w:rPr>
            <w:rStyle w:val="InternetLink"/>
            <w:b/>
            <w:bCs/>
            <w:color w:val="auto"/>
            <w:sz w:val="22"/>
            <w:szCs w:val="22"/>
            <w:u w:val="none"/>
          </w:rPr>
          <w:t>Elisabetta Caffau (June 2015), Pikovski et al. (June 2015)</w:t>
        </w:r>
      </w:hyperlink>
      <w:r>
        <w:rPr>
          <w:rStyle w:val="Strong"/>
          <w:sz w:val="22"/>
          <w:szCs w:val="22"/>
        </w:rPr>
        <w:t>)</w:t>
      </w:r>
    </w:p>
    <w:p>
      <w:pPr>
        <w:pStyle w:val="NormalWeb"/>
        <w:shd w:val="clear" w:fill="FFFFFF"/>
        <w:spacing w:before="0" w:after="0"/>
        <w:contextualSpacing/>
        <w:jc w:val="both"/>
        <w:rPr/>
      </w:pPr>
      <w:r>
        <w:rPr>
          <w:rStyle w:val="Strong"/>
          <w:sz w:val="22"/>
          <w:szCs w:val="22"/>
        </w:rPr>
        <w:t>Similar idea of Gabriel Vacariu (2011, 2014) and</w:t>
      </w:r>
      <w:r>
        <w:rPr>
          <w:rStyle w:val="Appleconvertedspace"/>
          <w:b/>
          <w:bCs/>
          <w:sz w:val="22"/>
          <w:szCs w:val="22"/>
        </w:rPr>
        <w:t> </w:t>
      </w:r>
      <w:r>
        <w:rPr>
          <w:rStyle w:val="Strong"/>
          <w:sz w:val="22"/>
          <w:szCs w:val="22"/>
        </w:rPr>
        <w:t>Elisabetta Caffau (June 2015) (Center for Astronomy at the University of Heidelberg and the Paris Observatory) regarding the appearance of Big Bang in many places</w:t>
      </w:r>
    </w:p>
    <w:p>
      <w:pPr>
        <w:pStyle w:val="NormalWeb"/>
        <w:shd w:val="clear" w:fill="FFFFFF"/>
        <w:spacing w:before="0" w:after="0"/>
        <w:contextualSpacing/>
        <w:jc w:val="both"/>
        <w:rPr/>
      </w:pPr>
      <w:r>
        <w:rPr>
          <w:rStyle w:val="Strong"/>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hyperlink r:id="rId156">
        <w:r>
          <w:rPr>
            <w:rStyle w:val="InternetLink"/>
            <w:color w:val="auto"/>
            <w:sz w:val="22"/>
            <w:szCs w:val="22"/>
            <w:u w:val="none"/>
          </w:rPr>
          <w:t>Alexey Alyushin</w:t>
        </w:r>
      </w:hyperlink>
      <w:r>
        <w:rPr>
          <w:sz w:val="22"/>
          <w:szCs w:val="22"/>
        </w:rPr>
        <w:t>.</w:t>
      </w:r>
    </w:p>
    <w:p>
      <w:pPr>
        <w:pStyle w:val="NormalWeb"/>
        <w:shd w:val="clear" w:fill="FFFFFF"/>
        <w:spacing w:before="0" w:after="0"/>
        <w:contextualSpacing/>
        <w:jc w:val="both"/>
        <w:rPr/>
      </w:pPr>
      <w:r>
        <w:rPr>
          <w:rStyle w:val="Strong"/>
          <w:sz w:val="22"/>
          <w:szCs w:val="22"/>
        </w:rPr>
        <w:t>Many people working on “self”</w:t>
      </w:r>
      <w:r>
        <w:rPr>
          <w:sz w:val="22"/>
          <w:szCs w:val="22"/>
        </w:rPr>
        <w:t> have been “inspired” by my works from 2002, 2005, and 2008. (See my book about self in the future)</w:t>
      </w:r>
    </w:p>
    <w:p>
      <w:pPr>
        <w:pStyle w:val="NormalWeb"/>
        <w:shd w:val="clear" w:fill="FFFFFF"/>
        <w:spacing w:before="0" w:after="0"/>
        <w:contextualSpacing/>
        <w:jc w:val="both"/>
        <w:rPr/>
      </w:pPr>
      <w:r>
        <w:rPr>
          <w:rStyle w:val="Strong"/>
          <w:sz w:val="22"/>
          <w:szCs w:val="22"/>
        </w:rPr>
        <w:t>The second “paradox of plagiarism” (comic):</w:t>
      </w:r>
      <w:r>
        <w:rPr>
          <w:rStyle w:val="Appleconvertedspace"/>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pStyle w:val="NormalWeb"/>
        <w:shd w:val="clear" w:fill="FFFFFF"/>
        <w:spacing w:before="0" w:after="0"/>
        <w:contextualSpacing/>
        <w:jc w:val="both"/>
        <w:rPr/>
      </w:pPr>
      <w:r>
        <w:rPr>
          <w:rStyle w:val="Strong"/>
          <w:sz w:val="22"/>
          <w:szCs w:val="22"/>
        </w:rPr>
        <w:t>All my comments about these unbelievable similarities are in the manuscript</w:t>
      </w:r>
      <w:r>
        <w:rPr>
          <w:rStyle w:val="Appleconvertedspace"/>
          <w:b/>
          <w:bCs/>
          <w:sz w:val="22"/>
          <w:szCs w:val="22"/>
        </w:rPr>
        <w:t> </w:t>
      </w:r>
      <w:hyperlink r:id="rId157">
        <w:r>
          <w:rPr>
            <w:rStyle w:val="InternetLink"/>
            <w:b/>
            <w:bCs/>
            <w:color w:val="auto"/>
            <w:sz w:val="22"/>
            <w:szCs w:val="22"/>
            <w:u w:val="none"/>
          </w:rPr>
          <w:t>(2015) Gabriel Vacariu unbelievable similarities between my ideas 2005-2008</w:t>
        </w:r>
      </w:hyperlink>
      <w:r>
        <w:rPr>
          <w:rStyle w:val="Strong"/>
          <w:sz w:val="22"/>
          <w:szCs w:val="22"/>
        </w:rPr>
        <w:t>.</w:t>
      </w:r>
    </w:p>
    <w:p>
      <w:pPr>
        <w:pStyle w:val="Normal"/>
        <w:numPr>
          <w:ilvl w:val="0"/>
          <w:numId w:val="11"/>
        </w:numPr>
        <w:shd w:val="clear" w:fill="FFFFFF"/>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pStyle w:val="Normal"/>
        <w:numPr>
          <w:ilvl w:val="0"/>
          <w:numId w:val="11"/>
        </w:numPr>
        <w:shd w:val="clear" w:fill="FFFFFF"/>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pStyle w:val="ListParagraph"/>
        <w:numPr>
          <w:ilvl w:val="0"/>
          <w:numId w:val="11"/>
        </w:numPr>
        <w:shd w:val="clear" w:fill="FFFFFF"/>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pStyle w:val="ListParagraph"/>
        <w:numPr>
          <w:ilvl w:val="0"/>
          <w:numId w:val="11"/>
        </w:numPr>
        <w:shd w:val="clear" w:fill="FFFFFF"/>
        <w:spacing w:before="0" w:after="0"/>
        <w:ind w:left="0" w:right="0" w:hanging="360"/>
        <w:contextualSpacing/>
        <w:jc w:val="both"/>
        <w:rPr/>
      </w:pPr>
      <w:r>
        <w:rPr>
          <w:rFonts w:ascii="Times New Roman" w:hAnsi="Times New Roman"/>
        </w:rPr>
        <w:t>“</w:t>
      </w: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pStyle w:val="ListParagraph"/>
        <w:numPr>
          <w:ilvl w:val="0"/>
          <w:numId w:val="11"/>
        </w:numPr>
        <w:shd w:val="clear" w:fill="FFFFFF"/>
        <w:spacing w:before="0" w:after="0"/>
        <w:ind w:left="0" w:right="0" w:hanging="360"/>
        <w:contextualSpacing/>
        <w:jc w:val="both"/>
        <w:rPr/>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pStyle w:val="Normal"/>
        <w:numPr>
          <w:ilvl w:val="0"/>
          <w:numId w:val="11"/>
        </w:numPr>
        <w:shd w:val="clear" w:fill="FFFFFF"/>
        <w:spacing w:before="0" w:after="0"/>
        <w:ind w:left="0" w:right="0" w:hanging="360"/>
        <w:contextualSpacing/>
        <w:rPr/>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FootnoteAnchor"/>
          <w:sz w:val="22"/>
          <w:szCs w:val="22"/>
        </w:rPr>
        <w:footnoteReference w:id="307"/>
      </w:r>
      <w:r>
        <w:rPr>
          <w:sz w:val="22"/>
          <w:szCs w:val="22"/>
        </w:rPr>
        <w:t xml:space="preserve"> </w:t>
      </w:r>
    </w:p>
    <w:p>
      <w:pPr>
        <w:pStyle w:val="Normal"/>
        <w:numPr>
          <w:ilvl w:val="0"/>
          <w:numId w:val="11"/>
        </w:numPr>
        <w:shd w:val="clear" w:fill="FFFFFF"/>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pStyle w:val="Normal"/>
        <w:numPr>
          <w:ilvl w:val="0"/>
          <w:numId w:val="11"/>
        </w:numPr>
        <w:shd w:val="clear" w:fill="FFFFFF"/>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pStyle w:val="Normal"/>
        <w:numPr>
          <w:ilvl w:val="0"/>
          <w:numId w:val="11"/>
        </w:numPr>
        <w:shd w:val="clear" w:fill="FFFFFF"/>
        <w:spacing w:before="0" w:after="0"/>
        <w:ind w:left="0" w:right="0" w:hanging="360"/>
        <w:contextualSpacing/>
        <w:rPr/>
      </w:pPr>
      <w:r>
        <w:rPr>
          <w:rStyle w:val="Strong"/>
          <w:sz w:val="22"/>
          <w:szCs w:val="22"/>
        </w:rPr>
        <w:t>I should receive Noble Prizes for Physics and Medicine</w:t>
      </w:r>
      <w:r>
        <w:rPr>
          <w:rStyle w:val="Appleconvertedspace"/>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pStyle w:val="Normal"/>
        <w:numPr>
          <w:ilvl w:val="0"/>
          <w:numId w:val="11"/>
        </w:numPr>
        <w:shd w:val="clear" w:fill="FFFFFF"/>
        <w:spacing w:before="0" w:after="0"/>
        <w:ind w:left="0" w:right="0" w:hanging="360"/>
        <w:contextualSpacing/>
        <w:rPr/>
      </w:pPr>
      <w:r>
        <w:rPr>
          <w:sz w:val="22"/>
          <w:szCs w:val="22"/>
        </w:rPr>
        <w:t>“</w:t>
      </w: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Emphasis"/>
          <w:sz w:val="22"/>
          <w:szCs w:val="22"/>
        </w:rPr>
        <w:t>Images of time</w:t>
      </w:r>
      <w:r>
        <w:rPr>
          <w:sz w:val="22"/>
          <w:szCs w:val="22"/>
        </w:rPr>
        <w:t>)</w:t>
      </w:r>
    </w:p>
    <w:p>
      <w:pPr>
        <w:pStyle w:val="Normal"/>
        <w:numPr>
          <w:ilvl w:val="0"/>
          <w:numId w:val="11"/>
        </w:numPr>
        <w:shd w:val="clear" w:fill="FFFFFF"/>
        <w:spacing w:before="0" w:after="0"/>
        <w:ind w:left="0" w:right="0" w:hanging="360"/>
        <w:contextualSpacing/>
        <w:rPr>
          <w:sz w:val="22"/>
          <w:szCs w:val="22"/>
        </w:rPr>
      </w:pPr>
      <w:r>
        <w:rPr>
          <w:sz w:val="22"/>
          <w:szCs w:val="22"/>
        </w:rPr>
        <w:t>In what “world” full of demons do I live? I fuck this world…what else could I do?</w:t>
      </w:r>
    </w:p>
    <w:p>
      <w:pPr>
        <w:pStyle w:val="Normal"/>
        <w:numPr>
          <w:ilvl w:val="0"/>
          <w:numId w:val="11"/>
        </w:numPr>
        <w:shd w:val="clear" w:fill="FFFFFF"/>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pStyle w:val="Normal"/>
        <w:numPr>
          <w:ilvl w:val="0"/>
          <w:numId w:val="11"/>
        </w:numPr>
        <w:shd w:val="clear" w:fill="FFFFFF"/>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pStyle w:val="Normal"/>
        <w:numPr>
          <w:ilvl w:val="0"/>
          <w:numId w:val="11"/>
        </w:numPr>
        <w:shd w:val="clear" w:fill="FFFFFF"/>
        <w:spacing w:before="0" w:after="0"/>
        <w:ind w:left="0" w:right="0" w:hanging="360"/>
        <w:contextualSpacing/>
        <w:rPr/>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pStyle w:val="Normal"/>
        <w:spacing w:before="0" w:after="0"/>
        <w:contextualSpacing/>
        <w:rPr>
          <w:b/>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pStyle w:val="Normal"/>
        <w:spacing w:before="0" w:after="0"/>
        <w:contextualSpacing/>
        <w:rPr>
          <w:b/>
          <w:b/>
          <w:sz w:val="22"/>
          <w:szCs w:val="22"/>
        </w:rPr>
      </w:pPr>
      <w:r>
        <w:rPr>
          <w:b/>
          <w:sz w:val="22"/>
          <w:szCs w:val="22"/>
        </w:rPr>
      </w:r>
    </w:p>
    <w:p>
      <w:pPr>
        <w:pStyle w:val="Normal"/>
        <w:spacing w:before="0" w:after="0"/>
        <w:contextualSpacing/>
        <w:rPr>
          <w:b/>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pStyle w:val="Normal"/>
        <w:spacing w:before="0" w:after="0"/>
        <w:contextualSpacing/>
        <w:rPr>
          <w:b/>
          <w:b/>
          <w:sz w:val="22"/>
          <w:szCs w:val="22"/>
        </w:rPr>
      </w:pPr>
      <w:r>
        <w:rPr>
          <w:b/>
          <w:sz w:val="22"/>
          <w:szCs w:val="22"/>
        </w:rPr>
      </w:r>
    </w:p>
    <w:p>
      <w:pPr>
        <w:pStyle w:val="Normal"/>
        <w:spacing w:before="0" w:after="0"/>
        <w:contextualSpacing/>
        <w:rPr>
          <w:b/>
          <w:b/>
          <w:sz w:val="22"/>
          <w:szCs w:val="22"/>
        </w:rPr>
      </w:pPr>
      <w:r>
        <w:rPr>
          <w:b/>
          <w:sz w:val="22"/>
          <w:szCs w:val="22"/>
        </w:rPr>
      </w:r>
    </w:p>
    <w:p>
      <w:pPr>
        <w:pStyle w:val="Normal"/>
        <w:spacing w:before="0" w:after="0"/>
        <w:contextualSpacing/>
        <w:rPr>
          <w:b/>
          <w:b/>
          <w:sz w:val="22"/>
          <w:szCs w:val="22"/>
        </w:rPr>
      </w:pPr>
      <w:r>
        <w:rPr>
          <w:b/>
          <w:sz w:val="22"/>
          <w:szCs w:val="22"/>
        </w:rPr>
      </w:r>
    </w:p>
    <w:p>
      <w:pPr>
        <w:pStyle w:val="NormalWeb"/>
        <w:shd w:val="clear" w:fill="FFFFFF"/>
        <w:spacing w:before="0" w:after="0"/>
        <w:contextualSpacing/>
        <w:jc w:val="both"/>
        <w:rPr>
          <w:b/>
          <w:b/>
          <w:sz w:val="22"/>
          <w:szCs w:val="22"/>
        </w:rPr>
      </w:pPr>
      <w:r>
        <w:rPr>
          <w:b/>
          <w:sz w:val="22"/>
          <w:szCs w:val="22"/>
        </w:rPr>
        <w:t xml:space="preserve">THE REVOLUTION: PLEASE share this document with your colleagues and friends. </w:t>
      </w:r>
    </w:p>
    <w:p>
      <w:pPr>
        <w:pStyle w:val="NormalWeb"/>
        <w:shd w:val="clear" w:fill="FFFFFF"/>
        <w:spacing w:before="0" w:after="0"/>
        <w:contextualSpacing/>
        <w:jc w:val="both"/>
        <w:rPr>
          <w:b/>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pStyle w:val="Normal"/>
        <w:spacing w:before="0" w:after="0"/>
        <w:contextualSpacing/>
        <w:rPr>
          <w:b/>
          <w:b/>
          <w:sz w:val="32"/>
          <w:szCs w:val="32"/>
        </w:rPr>
      </w:pPr>
      <w:r>
        <w:rPr>
          <w:b/>
          <w:sz w:val="32"/>
          <w:szCs w:val="32"/>
        </w:rPr>
      </w:r>
      <w:r>
        <w:br w:type="page"/>
      </w:r>
    </w:p>
    <w:p>
      <w:pPr>
        <w:pStyle w:val="Normal"/>
        <w:spacing w:before="0" w:after="0"/>
        <w:contextualSpacing/>
        <w:rPr>
          <w:b/>
          <w:b/>
          <w:sz w:val="32"/>
          <w:szCs w:val="32"/>
        </w:rPr>
      </w:pPr>
      <w:r>
        <w:rPr>
          <w:b/>
          <w:sz w:val="32"/>
          <w:szCs w:val="32"/>
        </w:rPr>
      </w:r>
    </w:p>
    <w:p>
      <w:pPr>
        <w:pStyle w:val="Normal"/>
        <w:spacing w:before="0" w:after="0"/>
        <w:contextualSpacing/>
        <w:rPr/>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pStyle w:val="Normal"/>
        <w:shd w:val="clear" w:fill="FFFFFF"/>
        <w:spacing w:before="0" w:after="0"/>
        <w:contextualSpacing/>
        <w:rPr/>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pStyle w:val="Normal"/>
        <w:widowControl w:val="false"/>
        <w:spacing w:before="0" w:after="0"/>
        <w:contextualSpacing/>
        <w:rPr/>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hyperlink r:id="rId158">
        <w:r>
          <w:rPr>
            <w:rStyle w:val="ListLabel275"/>
            <w:spacing w:val="2"/>
            <w:sz w:val="20"/>
            <w:szCs w:val="20"/>
          </w:rPr>
          <w:t>h</w:t>
        </w:r>
      </w:hyperlink>
      <w:hyperlink r:id="rId159">
        <w:r>
          <w:rPr>
            <w:rStyle w:val="ListLabel275"/>
            <w:sz w:val="20"/>
            <w:szCs w:val="20"/>
          </w:rPr>
          <w:t>t</w:t>
        </w:r>
      </w:hyperlink>
      <w:hyperlink r:id="rId160">
        <w:r>
          <w:rPr>
            <w:rStyle w:val="ListLabel275"/>
            <w:spacing w:val="-2"/>
            <w:sz w:val="20"/>
            <w:szCs w:val="20"/>
          </w:rPr>
          <w:t>t</w:t>
        </w:r>
      </w:hyperlink>
      <w:hyperlink r:id="rId161">
        <w:r>
          <w:rPr>
            <w:rStyle w:val="ListLabel275"/>
            <w:spacing w:val="2"/>
            <w:sz w:val="20"/>
            <w:szCs w:val="20"/>
          </w:rPr>
          <w:t>p</w:t>
        </w:r>
      </w:hyperlink>
      <w:hyperlink r:id="rId162">
        <w:r>
          <w:rPr>
            <w:rStyle w:val="ListLabel275"/>
            <w:sz w:val="20"/>
            <w:szCs w:val="20"/>
          </w:rPr>
          <w:t>s:</w:t>
        </w:r>
      </w:hyperlink>
      <w:hyperlink r:id="rId163">
        <w:r>
          <w:rPr>
            <w:rStyle w:val="ListLabel275"/>
            <w:spacing w:val="-2"/>
            <w:sz w:val="20"/>
            <w:szCs w:val="20"/>
          </w:rPr>
          <w:t>/</w:t>
        </w:r>
      </w:hyperlink>
      <w:hyperlink r:id="rId164">
        <w:r>
          <w:rPr>
            <w:rStyle w:val="ListLabel275"/>
            <w:sz w:val="20"/>
            <w:szCs w:val="20"/>
          </w:rPr>
          <w:t>/www.</w:t>
        </w:r>
      </w:hyperlink>
      <w:hyperlink r:id="rId165">
        <w:r>
          <w:rPr>
            <w:rStyle w:val="ListLabel275"/>
            <w:spacing w:val="1"/>
            <w:sz w:val="20"/>
            <w:szCs w:val="20"/>
          </w:rPr>
          <w:t>y</w:t>
        </w:r>
      </w:hyperlink>
      <w:hyperlink r:id="rId166">
        <w:r>
          <w:rPr>
            <w:rStyle w:val="ListLabel275"/>
            <w:spacing w:val="2"/>
            <w:sz w:val="20"/>
            <w:szCs w:val="20"/>
          </w:rPr>
          <w:t>o</w:t>
        </w:r>
      </w:hyperlink>
      <w:hyperlink r:id="rId167">
        <w:r>
          <w:rPr>
            <w:rStyle w:val="ListLabel275"/>
            <w:spacing w:val="1"/>
            <w:sz w:val="20"/>
            <w:szCs w:val="20"/>
          </w:rPr>
          <w:t>u</w:t>
        </w:r>
      </w:hyperlink>
      <w:hyperlink r:id="rId168">
        <w:r>
          <w:rPr>
            <w:rStyle w:val="ListLabel275"/>
            <w:spacing w:val="-1"/>
            <w:sz w:val="20"/>
            <w:szCs w:val="20"/>
          </w:rPr>
          <w:t>t</w:t>
        </w:r>
      </w:hyperlink>
      <w:hyperlink r:id="rId169">
        <w:r>
          <w:rPr>
            <w:rStyle w:val="ListLabel275"/>
            <w:spacing w:val="1"/>
            <w:sz w:val="20"/>
            <w:szCs w:val="20"/>
          </w:rPr>
          <w:t>u</w:t>
        </w:r>
      </w:hyperlink>
      <w:hyperlink r:id="rId170">
        <w:r>
          <w:rPr>
            <w:rStyle w:val="ListLabel275"/>
            <w:spacing w:val="-1"/>
            <w:sz w:val="20"/>
            <w:szCs w:val="20"/>
          </w:rPr>
          <w:t>b</w:t>
        </w:r>
      </w:hyperlink>
      <w:hyperlink r:id="rId171">
        <w:r>
          <w:rPr>
            <w:rStyle w:val="ListLabel275"/>
            <w:sz w:val="20"/>
            <w:szCs w:val="20"/>
          </w:rPr>
          <w:t>e.</w:t>
        </w:r>
      </w:hyperlink>
      <w:hyperlink r:id="rId172">
        <w:r>
          <w:rPr>
            <w:rStyle w:val="ListLabel275"/>
            <w:spacing w:val="-2"/>
            <w:sz w:val="20"/>
            <w:szCs w:val="20"/>
          </w:rPr>
          <w:t>c</w:t>
        </w:r>
      </w:hyperlink>
      <w:hyperlink r:id="rId173">
        <w:r>
          <w:rPr>
            <w:rStyle w:val="ListLabel275"/>
            <w:spacing w:val="3"/>
            <w:sz w:val="20"/>
            <w:szCs w:val="20"/>
          </w:rPr>
          <w:t>o</w:t>
        </w:r>
      </w:hyperlink>
      <w:hyperlink r:id="rId174">
        <w:r>
          <w:rPr>
            <w:rStyle w:val="ListLabel275"/>
            <w:spacing w:val="-6"/>
            <w:sz w:val="20"/>
            <w:szCs w:val="20"/>
          </w:rPr>
          <w:t>m</w:t>
        </w:r>
      </w:hyperlink>
      <w:hyperlink r:id="rId175">
        <w:r>
          <w:rPr>
            <w:rStyle w:val="ListLabel275"/>
            <w:sz w:val="20"/>
            <w:szCs w:val="20"/>
          </w:rPr>
          <w:t>/</w:t>
        </w:r>
      </w:hyperlink>
      <w:hyperlink r:id="rId176">
        <w:r>
          <w:rPr>
            <w:rStyle w:val="ListLabel275"/>
            <w:spacing w:val="1"/>
            <w:sz w:val="20"/>
            <w:szCs w:val="20"/>
          </w:rPr>
          <w:t>w</w:t>
        </w:r>
      </w:hyperlink>
      <w:hyperlink r:id="rId177">
        <w:r>
          <w:rPr>
            <w:rStyle w:val="ListLabel275"/>
            <w:sz w:val="20"/>
            <w:szCs w:val="20"/>
          </w:rPr>
          <w:t>at</w:t>
        </w:r>
      </w:hyperlink>
      <w:hyperlink r:id="rId178">
        <w:r>
          <w:rPr>
            <w:rStyle w:val="ListLabel275"/>
            <w:spacing w:val="-1"/>
            <w:sz w:val="20"/>
            <w:szCs w:val="20"/>
          </w:rPr>
          <w:t>c</w:t>
        </w:r>
      </w:hyperlink>
      <w:hyperlink r:id="rId179">
        <w:r>
          <w:rPr>
            <w:rStyle w:val="ListLabel275"/>
            <w:spacing w:val="-3"/>
            <w:sz w:val="20"/>
            <w:szCs w:val="20"/>
          </w:rPr>
          <w:t>h</w:t>
        </w:r>
      </w:hyperlink>
      <w:hyperlink r:id="rId180">
        <w:r>
          <w:rPr>
            <w:rStyle w:val="ListLabel275"/>
            <w:spacing w:val="3"/>
            <w:sz w:val="20"/>
            <w:szCs w:val="20"/>
          </w:rPr>
          <w:t>?</w:t>
        </w:r>
      </w:hyperlink>
      <w:hyperlink r:id="rId181">
        <w:r>
          <w:rPr>
            <w:rStyle w:val="ListLabel275"/>
            <w:spacing w:val="-1"/>
            <w:sz w:val="20"/>
            <w:szCs w:val="20"/>
          </w:rPr>
          <w:t>v=hz</w:t>
        </w:r>
      </w:hyperlink>
      <w:hyperlink r:id="rId182">
        <w:r>
          <w:rPr>
            <w:rStyle w:val="ListLabel275"/>
            <w:spacing w:val="2"/>
            <w:sz w:val="20"/>
            <w:szCs w:val="20"/>
          </w:rPr>
          <w:t>v</w:t>
        </w:r>
      </w:hyperlink>
      <w:hyperlink r:id="rId183">
        <w:r>
          <w:rPr>
            <w:rStyle w:val="ListLabel275"/>
            <w:sz w:val="20"/>
            <w:szCs w:val="20"/>
          </w:rPr>
          <w:t>e</w:t>
        </w:r>
      </w:hyperlink>
      <w:hyperlink r:id="rId184">
        <w:r>
          <w:rPr>
            <w:rStyle w:val="ListLabel275"/>
            <w:spacing w:val="-3"/>
            <w:sz w:val="20"/>
            <w:szCs w:val="20"/>
          </w:rPr>
          <w:t>s</w:t>
        </w:r>
      </w:hyperlink>
      <w:hyperlink r:id="rId185">
        <w:r>
          <w:rPr>
            <w:rStyle w:val="ListLabel275"/>
            <w:sz w:val="20"/>
            <w:szCs w:val="20"/>
          </w:rPr>
          <w:t>GB</w:t>
        </w:r>
      </w:hyperlink>
      <w:hyperlink r:id="rId186">
        <w:r>
          <w:rPr>
            <w:rStyle w:val="ListLabel275"/>
            <w:spacing w:val="2"/>
            <w:sz w:val="20"/>
            <w:szCs w:val="20"/>
          </w:rPr>
          <w:t>_</w:t>
        </w:r>
      </w:hyperlink>
      <w:hyperlink r:id="rId187">
        <w:r>
          <w:rPr>
            <w:rStyle w:val="ListLabel275"/>
            <w:sz w:val="20"/>
            <w:szCs w:val="20"/>
          </w:rPr>
          <w:t>TI</w:t>
        </w:r>
      </w:hyperlink>
      <w:hyperlink r:id="rId188">
        <w:r>
          <w:rPr>
            <w:rStyle w:val="ListLabel275"/>
            <w:spacing w:val="2"/>
            <w:sz w:val="20"/>
            <w:szCs w:val="20"/>
          </w:rPr>
          <w:t>0</w:t>
        </w:r>
      </w:hyperlink>
      <w:hyperlink r:id="rId189">
        <w:r>
          <w:rPr>
            <w:rStyle w:val="ListLabel275"/>
            <w:sz w:val="20"/>
            <w:szCs w:val="20"/>
          </w:rPr>
          <w:t>&amp;fe</w:t>
        </w:r>
      </w:hyperlink>
      <w:hyperlink r:id="rId190">
        <w:r>
          <w:rPr>
            <w:rStyle w:val="ListLabel275"/>
            <w:spacing w:val="-1"/>
            <w:sz w:val="20"/>
            <w:szCs w:val="20"/>
          </w:rPr>
          <w:t>a</w:t>
        </w:r>
      </w:hyperlink>
      <w:hyperlink r:id="rId191">
        <w:r>
          <w:rPr>
            <w:rStyle w:val="ListLabel275"/>
            <w:spacing w:val="-2"/>
            <w:sz w:val="20"/>
            <w:szCs w:val="20"/>
          </w:rPr>
          <w:t>t</w:t>
        </w:r>
      </w:hyperlink>
      <w:hyperlink r:id="rId192">
        <w:r>
          <w:rPr>
            <w:rStyle w:val="ListLabel275"/>
            <w:spacing w:val="2"/>
            <w:sz w:val="20"/>
            <w:szCs w:val="20"/>
          </w:rPr>
          <w:t>u</w:t>
        </w:r>
      </w:hyperlink>
      <w:hyperlink r:id="rId193">
        <w:r>
          <w:rPr>
            <w:rStyle w:val="ListLabel275"/>
            <w:sz w:val="20"/>
            <w:szCs w:val="20"/>
          </w:rPr>
          <w:t>re=</w:t>
        </w:r>
      </w:hyperlink>
      <w:hyperlink r:id="rId194">
        <w:r>
          <w:rPr>
            <w:rStyle w:val="ListLabel275"/>
            <w:spacing w:val="-2"/>
            <w:sz w:val="20"/>
            <w:szCs w:val="20"/>
          </w:rPr>
          <w:t>y</w:t>
        </w:r>
      </w:hyperlink>
      <w:hyperlink r:id="rId195">
        <w:r>
          <w:rPr>
            <w:rStyle w:val="ListLabel275"/>
            <w:spacing w:val="2"/>
            <w:sz w:val="20"/>
            <w:szCs w:val="20"/>
          </w:rPr>
          <w:t>o</w:t>
        </w:r>
      </w:hyperlink>
      <w:hyperlink r:id="rId196">
        <w:r>
          <w:rPr>
            <w:rStyle w:val="ListLabel275"/>
            <w:spacing w:val="-2"/>
            <w:sz w:val="20"/>
            <w:szCs w:val="20"/>
          </w:rPr>
          <w:t>u</w:t>
        </w:r>
      </w:hyperlink>
      <w:hyperlink r:id="rId197">
        <w:r>
          <w:rPr>
            <w:rStyle w:val="ListLabel275"/>
            <w:sz w:val="20"/>
            <w:szCs w:val="20"/>
          </w:rPr>
          <w:t xml:space="preserve">t </w:t>
        </w:r>
      </w:hyperlink>
      <w:hyperlink r:id="rId198">
        <w:r>
          <w:rPr>
            <w:rStyle w:val="ListLabel275"/>
            <w:spacing w:val="2"/>
            <w:sz w:val="20"/>
            <w:szCs w:val="20"/>
          </w:rPr>
          <w:t>u</w:t>
        </w:r>
      </w:hyperlink>
      <w:hyperlink r:id="rId199">
        <w:r>
          <w:rPr>
            <w:rStyle w:val="ListLabel275"/>
            <w:sz w:val="20"/>
            <w:szCs w:val="20"/>
          </w:rPr>
          <w:t>b</w:t>
        </w:r>
      </w:hyperlink>
      <w:hyperlink r:id="rId200">
        <w:r>
          <w:rPr>
            <w:rStyle w:val="ListLabel275"/>
            <w:spacing w:val="-1"/>
            <w:sz w:val="20"/>
            <w:szCs w:val="20"/>
          </w:rPr>
          <w:t>e</w:t>
        </w:r>
      </w:hyperlink>
      <w:hyperlink r:id="rId201">
        <w:r>
          <w:rPr>
            <w:rStyle w:val="ListLabel275"/>
            <w:spacing w:val="1"/>
            <w:sz w:val="20"/>
            <w:szCs w:val="20"/>
          </w:rPr>
          <w:t>_</w:t>
        </w:r>
      </w:hyperlink>
      <w:hyperlink r:id="rId202">
        <w:r>
          <w:rPr>
            <w:rStyle w:val="ListLabel275"/>
            <w:spacing w:val="-1"/>
            <w:sz w:val="20"/>
            <w:szCs w:val="20"/>
          </w:rPr>
          <w:t>g</w:t>
        </w:r>
      </w:hyperlink>
      <w:hyperlink r:id="rId203">
        <w:r>
          <w:rPr>
            <w:rStyle w:val="ListLabel275"/>
            <w:spacing w:val="2"/>
            <w:sz w:val="20"/>
            <w:szCs w:val="20"/>
          </w:rPr>
          <w:t>d</w:t>
        </w:r>
      </w:hyperlink>
      <w:hyperlink r:id="rId204">
        <w:r>
          <w:rPr>
            <w:rStyle w:val="ListLabel275"/>
            <w:spacing w:val="-2"/>
            <w:sz w:val="20"/>
            <w:szCs w:val="20"/>
          </w:rPr>
          <w:t>a</w:t>
        </w:r>
      </w:hyperlink>
      <w:hyperlink r:id="rId205">
        <w:r>
          <w:rPr>
            <w:rStyle w:val="ListLabel275"/>
            <w:sz w:val="20"/>
            <w:szCs w:val="20"/>
          </w:rPr>
          <w:t>ta</w:t>
        </w:r>
      </w:hyperlink>
      <w:hyperlink r:id="rId206">
        <w:r>
          <w:rPr>
            <w:rStyle w:val="ListLabel275"/>
            <w:spacing w:val="-2"/>
            <w:sz w:val="20"/>
            <w:szCs w:val="20"/>
          </w:rPr>
          <w:t>_</w:t>
        </w:r>
      </w:hyperlink>
      <w:hyperlink r:id="rId207">
        <w:r>
          <w:rPr>
            <w:rStyle w:val="ListLabel275"/>
            <w:spacing w:val="2"/>
            <w:sz w:val="20"/>
            <w:szCs w:val="20"/>
          </w:rPr>
          <w:t>p</w:t>
        </w:r>
      </w:hyperlink>
      <w:hyperlink r:id="rId208">
        <w:r>
          <w:rPr>
            <w:rStyle w:val="ListLabel275"/>
            <w:spacing w:val="-1"/>
            <w:sz w:val="20"/>
            <w:szCs w:val="20"/>
          </w:rPr>
          <w:t>la</w:t>
        </w:r>
      </w:hyperlink>
      <w:hyperlink r:id="rId209">
        <w:r>
          <w:rPr>
            <w:rStyle w:val="ListLabel275"/>
            <w:spacing w:val="-2"/>
            <w:sz w:val="20"/>
            <w:szCs w:val="20"/>
          </w:rPr>
          <w:t>y</w:t>
        </w:r>
      </w:hyperlink>
      <w:hyperlink r:id="rId210">
        <w:r>
          <w:rPr>
            <w:rStyle w:val="ListLabel275"/>
            <w:sz w:val="20"/>
            <w:szCs w:val="20"/>
          </w:rPr>
          <w:t>er</w:t>
        </w:r>
      </w:hyperlink>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pStyle w:val="Normal"/>
        <w:widowControl w:val="false"/>
        <w:spacing w:before="0" w:after="0"/>
        <w:contextualSpacing/>
        <w:rPr/>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pStyle w:val="Normal"/>
        <w:widowControl w:val="false"/>
        <w:spacing w:before="0" w:after="0"/>
        <w:contextualSpacing/>
        <w:rPr/>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hyperlink r:id="rId211">
        <w:r>
          <w:rPr>
            <w:rStyle w:val="ListLabel275"/>
            <w:spacing w:val="-8"/>
            <w:sz w:val="20"/>
            <w:szCs w:val="20"/>
          </w:rPr>
          <w:t>ht</w:t>
        </w:r>
      </w:hyperlink>
      <w:hyperlink r:id="rId212">
        <w:r>
          <w:rPr>
            <w:rStyle w:val="ListLabel275"/>
            <w:spacing w:val="-7"/>
            <w:sz w:val="20"/>
            <w:szCs w:val="20"/>
          </w:rPr>
          <w:t>t</w:t>
        </w:r>
      </w:hyperlink>
      <w:hyperlink r:id="rId213">
        <w:r>
          <w:rPr>
            <w:rStyle w:val="ListLabel275"/>
            <w:spacing w:val="-8"/>
            <w:sz w:val="20"/>
            <w:szCs w:val="20"/>
          </w:rPr>
          <w:t>p://</w:t>
        </w:r>
      </w:hyperlink>
      <w:hyperlink r:id="rId214">
        <w:r>
          <w:rPr>
            <w:rStyle w:val="ListLabel275"/>
            <w:spacing w:val="-9"/>
            <w:sz w:val="20"/>
            <w:szCs w:val="20"/>
          </w:rPr>
          <w:t>w</w:t>
        </w:r>
      </w:hyperlink>
      <w:hyperlink r:id="rId215">
        <w:r>
          <w:rPr>
            <w:rStyle w:val="ListLabel275"/>
            <w:spacing w:val="-8"/>
            <w:sz w:val="20"/>
            <w:szCs w:val="20"/>
          </w:rPr>
          <w:t>w</w:t>
        </w:r>
      </w:hyperlink>
      <w:hyperlink r:id="rId216">
        <w:r>
          <w:rPr>
            <w:rStyle w:val="ListLabel275"/>
            <w:spacing w:val="-9"/>
            <w:sz w:val="20"/>
            <w:szCs w:val="20"/>
          </w:rPr>
          <w:t>w</w:t>
        </w:r>
      </w:hyperlink>
      <w:hyperlink r:id="rId217">
        <w:r>
          <w:rPr>
            <w:rStyle w:val="ListLabel275"/>
            <w:spacing w:val="-8"/>
            <w:sz w:val="20"/>
            <w:szCs w:val="20"/>
          </w:rPr>
          <w:t>.natu</w:t>
        </w:r>
      </w:hyperlink>
      <w:hyperlink r:id="rId218">
        <w:r>
          <w:rPr>
            <w:rStyle w:val="ListLabel275"/>
            <w:spacing w:val="-9"/>
            <w:sz w:val="20"/>
            <w:szCs w:val="20"/>
          </w:rPr>
          <w:t>r</w:t>
        </w:r>
      </w:hyperlink>
      <w:hyperlink r:id="rId219">
        <w:r>
          <w:rPr>
            <w:rStyle w:val="ListLabel275"/>
            <w:spacing w:val="-7"/>
            <w:sz w:val="20"/>
            <w:szCs w:val="20"/>
          </w:rPr>
          <w:t>e</w:t>
        </w:r>
      </w:hyperlink>
      <w:hyperlink r:id="rId220">
        <w:r>
          <w:rPr>
            <w:rStyle w:val="ListLabel275"/>
            <w:spacing w:val="-8"/>
            <w:sz w:val="20"/>
            <w:szCs w:val="20"/>
          </w:rPr>
          <w:t>.c</w:t>
        </w:r>
      </w:hyperlink>
      <w:hyperlink r:id="rId221">
        <w:r>
          <w:rPr>
            <w:rStyle w:val="ListLabel275"/>
            <w:spacing w:val="-7"/>
            <w:sz w:val="20"/>
            <w:szCs w:val="20"/>
          </w:rPr>
          <w:t>o</w:t>
        </w:r>
      </w:hyperlink>
      <w:hyperlink r:id="rId222">
        <w:r>
          <w:rPr>
            <w:rStyle w:val="ListLabel275"/>
            <w:spacing w:val="-11"/>
            <w:sz w:val="20"/>
            <w:szCs w:val="20"/>
          </w:rPr>
          <w:t>m</w:t>
        </w:r>
      </w:hyperlink>
      <w:hyperlink r:id="rId223">
        <w:r>
          <w:rPr>
            <w:rStyle w:val="ListLabel275"/>
            <w:spacing w:val="-8"/>
            <w:sz w:val="20"/>
            <w:szCs w:val="20"/>
          </w:rPr>
          <w:t>/n</w:t>
        </w:r>
      </w:hyperlink>
      <w:hyperlink r:id="rId224">
        <w:r>
          <w:rPr>
            <w:rStyle w:val="ListLabel275"/>
            <w:spacing w:val="-7"/>
            <w:sz w:val="20"/>
            <w:szCs w:val="20"/>
          </w:rPr>
          <w:t>e</w:t>
        </w:r>
      </w:hyperlink>
      <w:hyperlink r:id="rId225">
        <w:r>
          <w:rPr>
            <w:rStyle w:val="ListLabel275"/>
            <w:spacing w:val="-9"/>
            <w:sz w:val="20"/>
            <w:szCs w:val="20"/>
          </w:rPr>
          <w:t>w</w:t>
        </w:r>
      </w:hyperlink>
      <w:hyperlink r:id="rId226">
        <w:r>
          <w:rPr>
            <w:rStyle w:val="ListLabel275"/>
            <w:spacing w:val="-8"/>
            <w:sz w:val="20"/>
            <w:szCs w:val="20"/>
          </w:rPr>
          <w:t>s/h</w:t>
        </w:r>
      </w:hyperlink>
      <w:hyperlink r:id="rId227">
        <w:r>
          <w:rPr>
            <w:rStyle w:val="ListLabel275"/>
            <w:spacing w:val="-7"/>
            <w:sz w:val="20"/>
            <w:szCs w:val="20"/>
          </w:rPr>
          <w:t>o</w:t>
        </w:r>
      </w:hyperlink>
      <w:hyperlink r:id="rId228">
        <w:r>
          <w:rPr>
            <w:rStyle w:val="ListLabel275"/>
            <w:spacing w:val="-8"/>
            <w:sz w:val="20"/>
            <w:szCs w:val="20"/>
          </w:rPr>
          <w:t>w</w:t>
        </w:r>
      </w:hyperlink>
      <w:hyperlink r:id="rId229">
        <w:r>
          <w:rPr>
            <w:rStyle w:val="ListLabel275"/>
            <w:spacing w:val="-9"/>
            <w:sz w:val="20"/>
            <w:szCs w:val="20"/>
          </w:rPr>
          <w:t>-</w:t>
        </w:r>
      </w:hyperlink>
      <w:hyperlink r:id="rId230">
        <w:r>
          <w:rPr>
            <w:rStyle w:val="ListLabel275"/>
            <w:spacing w:val="-8"/>
            <w:sz w:val="20"/>
            <w:szCs w:val="20"/>
          </w:rPr>
          <w:t>g</w:t>
        </w:r>
      </w:hyperlink>
      <w:hyperlink r:id="rId231">
        <w:r>
          <w:rPr>
            <w:rStyle w:val="ListLabel275"/>
            <w:spacing w:val="-9"/>
            <w:sz w:val="20"/>
            <w:szCs w:val="20"/>
          </w:rPr>
          <w:t>r</w:t>
        </w:r>
      </w:hyperlink>
      <w:hyperlink r:id="rId232">
        <w:r>
          <w:rPr>
            <w:rStyle w:val="ListLabel275"/>
            <w:spacing w:val="-8"/>
            <w:sz w:val="20"/>
            <w:szCs w:val="20"/>
          </w:rPr>
          <w:t>avi</w:t>
        </w:r>
      </w:hyperlink>
      <w:hyperlink r:id="rId233">
        <w:r>
          <w:rPr>
            <w:rStyle w:val="ListLabel275"/>
            <w:spacing w:val="-7"/>
            <w:sz w:val="20"/>
            <w:szCs w:val="20"/>
          </w:rPr>
          <w:t>t</w:t>
        </w:r>
      </w:hyperlink>
      <w:hyperlink r:id="rId234">
        <w:r>
          <w:rPr>
            <w:rStyle w:val="ListLabel275"/>
            <w:spacing w:val="-9"/>
            <w:sz w:val="20"/>
            <w:szCs w:val="20"/>
          </w:rPr>
          <w:t>y-</w:t>
        </w:r>
      </w:hyperlink>
      <w:hyperlink r:id="rId235">
        <w:r>
          <w:rPr>
            <w:rStyle w:val="ListLabel275"/>
            <w:spacing w:val="-8"/>
            <w:sz w:val="20"/>
            <w:szCs w:val="20"/>
          </w:rPr>
          <w:t>kill</w:t>
        </w:r>
      </w:hyperlink>
      <w:hyperlink r:id="rId236">
        <w:r>
          <w:rPr>
            <w:rStyle w:val="ListLabel275"/>
            <w:spacing w:val="-7"/>
            <w:sz w:val="20"/>
            <w:szCs w:val="20"/>
          </w:rPr>
          <w:t>s</w:t>
        </w:r>
      </w:hyperlink>
      <w:hyperlink r:id="rId237">
        <w:r>
          <w:rPr>
            <w:rStyle w:val="ListLabel275"/>
            <w:sz w:val="20"/>
            <w:szCs w:val="20"/>
          </w:rPr>
          <w:t>-</w:t>
        </w:r>
      </w:hyperlink>
      <w:hyperlink r:id="rId238">
        <w:r>
          <w:rPr>
            <w:rStyle w:val="ListLabel291"/>
            <w:spacing w:val="-8"/>
            <w:sz w:val="20"/>
            <w:szCs w:val="20"/>
          </w:rPr>
          <w:t>sch</w:t>
        </w:r>
      </w:hyperlink>
      <w:hyperlink r:id="rId239">
        <w:r>
          <w:rPr>
            <w:rStyle w:val="ListLabel291"/>
            <w:spacing w:val="-9"/>
            <w:sz w:val="20"/>
            <w:szCs w:val="20"/>
          </w:rPr>
          <w:t>r</w:t>
        </w:r>
      </w:hyperlink>
      <w:hyperlink r:id="rId240">
        <w:r>
          <w:rPr>
            <w:rStyle w:val="ListLabel291"/>
            <w:spacing w:val="-8"/>
            <w:sz w:val="20"/>
            <w:szCs w:val="20"/>
          </w:rPr>
          <w:t>%C3%B6</w:t>
        </w:r>
      </w:hyperlink>
      <w:hyperlink r:id="rId241">
        <w:r>
          <w:rPr>
            <w:rStyle w:val="ListLabel291"/>
            <w:spacing w:val="-7"/>
            <w:sz w:val="20"/>
            <w:szCs w:val="20"/>
          </w:rPr>
          <w:t>d</w:t>
        </w:r>
      </w:hyperlink>
      <w:hyperlink r:id="rId242">
        <w:r>
          <w:rPr>
            <w:rStyle w:val="ListLabel291"/>
            <w:spacing w:val="-8"/>
            <w:sz w:val="20"/>
            <w:szCs w:val="20"/>
          </w:rPr>
          <w:t>inge</w:t>
        </w:r>
      </w:hyperlink>
      <w:hyperlink r:id="rId243">
        <w:r>
          <w:rPr>
            <w:rStyle w:val="ListLabel291"/>
            <w:spacing w:val="-9"/>
            <w:sz w:val="20"/>
            <w:szCs w:val="20"/>
          </w:rPr>
          <w:t>r-</w:t>
        </w:r>
      </w:hyperlink>
      <w:hyperlink r:id="rId244">
        <w:r>
          <w:rPr>
            <w:rStyle w:val="ListLabel291"/>
            <w:spacing w:val="-7"/>
            <w:sz w:val="20"/>
            <w:szCs w:val="20"/>
          </w:rPr>
          <w:t>s</w:t>
        </w:r>
      </w:hyperlink>
      <w:hyperlink r:id="rId245">
        <w:r>
          <w:rPr>
            <w:rStyle w:val="ListLabel291"/>
            <w:spacing w:val="-9"/>
            <w:sz w:val="20"/>
            <w:szCs w:val="20"/>
          </w:rPr>
          <w:t>-</w:t>
        </w:r>
      </w:hyperlink>
      <w:hyperlink r:id="rId246">
        <w:r>
          <w:rPr>
            <w:rStyle w:val="ListLabel291"/>
            <w:spacing w:val="-8"/>
            <w:sz w:val="20"/>
            <w:szCs w:val="20"/>
          </w:rPr>
          <w:t>cat</w:t>
        </w:r>
      </w:hyperlink>
      <w:hyperlink r:id="rId247">
        <w:r>
          <w:rPr>
            <w:rStyle w:val="ListLabel291"/>
            <w:spacing w:val="-9"/>
            <w:sz w:val="20"/>
            <w:szCs w:val="20"/>
          </w:rPr>
          <w:t>-</w:t>
        </w:r>
      </w:hyperlink>
      <w:hyperlink r:id="rId248">
        <w:r>
          <w:rPr>
            <w:rStyle w:val="ListLabel291"/>
            <w:spacing w:val="-8"/>
            <w:sz w:val="20"/>
            <w:szCs w:val="20"/>
          </w:rPr>
          <w:t>1.1</w:t>
        </w:r>
      </w:hyperlink>
      <w:hyperlink r:id="rId249">
        <w:r>
          <w:rPr>
            <w:rStyle w:val="ListLabel291"/>
            <w:spacing w:val="-7"/>
            <w:sz w:val="20"/>
            <w:szCs w:val="20"/>
          </w:rPr>
          <w:t>7</w:t>
        </w:r>
      </w:hyperlink>
      <w:hyperlink r:id="rId250">
        <w:r>
          <w:rPr>
            <w:rStyle w:val="ListLabel291"/>
            <w:spacing w:val="-8"/>
            <w:sz w:val="20"/>
            <w:szCs w:val="20"/>
          </w:rPr>
          <w:t>77</w:t>
        </w:r>
      </w:hyperlink>
      <w:hyperlink r:id="rId251">
        <w:r>
          <w:rPr>
            <w:rStyle w:val="ListLabel291"/>
            <w:spacing w:val="-9"/>
            <w:sz w:val="20"/>
            <w:szCs w:val="20"/>
          </w:rPr>
          <w:t>3</w:t>
        </w:r>
      </w:hyperlink>
      <w:hyperlink r:id="rId252">
        <w:r>
          <w:rPr>
            <w:rStyle w:val="ListLabel291"/>
            <w:spacing w:val="-6"/>
            <w:sz w:val="20"/>
            <w:szCs w:val="20"/>
          </w:rPr>
          <w:t>?</w:t>
        </w:r>
      </w:hyperlink>
      <w:hyperlink r:id="rId253">
        <w:r>
          <w:rPr>
            <w:rStyle w:val="ListLabel291"/>
            <w:spacing w:val="-9"/>
            <w:sz w:val="20"/>
            <w:szCs w:val="20"/>
          </w:rPr>
          <w:t>W</w:t>
        </w:r>
      </w:hyperlink>
      <w:hyperlink r:id="rId254">
        <w:r>
          <w:rPr>
            <w:rStyle w:val="ListLabel291"/>
            <w:spacing w:val="-8"/>
            <w:sz w:val="20"/>
            <w:szCs w:val="20"/>
          </w:rPr>
          <w:t>T</w:t>
        </w:r>
      </w:hyperlink>
      <w:hyperlink r:id="rId255">
        <w:r>
          <w:rPr>
            <w:rStyle w:val="ListLabel291"/>
            <w:spacing w:val="-7"/>
            <w:sz w:val="20"/>
            <w:szCs w:val="20"/>
          </w:rPr>
          <w:t>.</w:t>
        </w:r>
      </w:hyperlink>
      <w:hyperlink r:id="rId256">
        <w:r>
          <w:rPr>
            <w:rStyle w:val="ListLabel291"/>
            <w:spacing w:val="-11"/>
            <w:sz w:val="20"/>
            <w:szCs w:val="20"/>
          </w:rPr>
          <w:t>m</w:t>
        </w:r>
      </w:hyperlink>
      <w:hyperlink r:id="rId257">
        <w:r>
          <w:rPr>
            <w:rStyle w:val="ListLabel291"/>
            <w:spacing w:val="-8"/>
            <w:sz w:val="20"/>
            <w:szCs w:val="20"/>
          </w:rPr>
          <w:t>c_id=</w:t>
        </w:r>
      </w:hyperlink>
      <w:hyperlink r:id="rId258">
        <w:r>
          <w:rPr>
            <w:rStyle w:val="ListLabel291"/>
            <w:spacing w:val="-9"/>
            <w:sz w:val="20"/>
            <w:szCs w:val="20"/>
          </w:rPr>
          <w:t>F</w:t>
        </w:r>
      </w:hyperlink>
      <w:hyperlink r:id="rId259">
        <w:r>
          <w:rPr>
            <w:rStyle w:val="ListLabel291"/>
            <w:spacing w:val="-8"/>
            <w:sz w:val="20"/>
            <w:szCs w:val="20"/>
          </w:rPr>
          <w:t>B</w:t>
        </w:r>
      </w:hyperlink>
      <w:hyperlink r:id="rId260">
        <w:r>
          <w:rPr>
            <w:rStyle w:val="ListLabel291"/>
            <w:spacing w:val="-9"/>
            <w:sz w:val="20"/>
            <w:szCs w:val="20"/>
          </w:rPr>
          <w:t>K</w:t>
        </w:r>
      </w:hyperlink>
      <w:hyperlink r:id="rId261">
        <w:r>
          <w:rPr>
            <w:rStyle w:val="ListLabel291"/>
            <w:spacing w:val="-7"/>
            <w:sz w:val="20"/>
            <w:szCs w:val="20"/>
          </w:rPr>
          <w:t>_</w:t>
        </w:r>
      </w:hyperlink>
      <w:hyperlink r:id="rId262">
        <w:r>
          <w:rPr>
            <w:rStyle w:val="ListLabel291"/>
            <w:spacing w:val="-9"/>
            <w:sz w:val="20"/>
            <w:szCs w:val="20"/>
          </w:rPr>
          <w:t>N</w:t>
        </w:r>
      </w:hyperlink>
      <w:hyperlink r:id="rId263">
        <w:r>
          <w:rPr>
            <w:rStyle w:val="ListLabel291"/>
            <w:spacing w:val="-8"/>
            <w:sz w:val="20"/>
            <w:szCs w:val="20"/>
          </w:rPr>
          <w:t>atu</w:t>
        </w:r>
      </w:hyperlink>
      <w:hyperlink r:id="rId264">
        <w:r>
          <w:rPr>
            <w:rStyle w:val="ListLabel291"/>
            <w:spacing w:val="-9"/>
            <w:sz w:val="20"/>
            <w:szCs w:val="20"/>
          </w:rPr>
          <w:t>r</w:t>
        </w:r>
      </w:hyperlink>
      <w:hyperlink r:id="rId265">
        <w:r>
          <w:rPr>
            <w:rStyle w:val="ListLabel291"/>
            <w:spacing w:val="-7"/>
            <w:sz w:val="20"/>
            <w:szCs w:val="20"/>
          </w:rPr>
          <w:t>e</w:t>
        </w:r>
      </w:hyperlink>
      <w:hyperlink r:id="rId266">
        <w:r>
          <w:rPr>
            <w:rStyle w:val="ListLabel291"/>
            <w:spacing w:val="-9"/>
            <w:sz w:val="20"/>
            <w:szCs w:val="20"/>
          </w:rPr>
          <w:t>N</w:t>
        </w:r>
      </w:hyperlink>
      <w:hyperlink r:id="rId267">
        <w:r>
          <w:rPr>
            <w:rStyle w:val="ListLabel291"/>
            <w:spacing w:val="-8"/>
            <w:sz w:val="20"/>
            <w:szCs w:val="20"/>
          </w:rPr>
          <w:t>ew</w:t>
        </w:r>
      </w:hyperlink>
      <w:hyperlink r:id="rId268">
        <w:r>
          <w:rPr>
            <w:rStyle w:val="ListLabel291"/>
            <w:sz w:val="20"/>
            <w:szCs w:val="20"/>
          </w:rPr>
          <w:t>s</w:t>
        </w:r>
      </w:hyperlink>
    </w:p>
    <w:p>
      <w:pPr>
        <w:pStyle w:val="Normal"/>
        <w:widowControl w:val="false"/>
        <w:spacing w:before="0" w:after="0"/>
        <w:contextualSpacing/>
        <w:rPr/>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pStyle w:val="Normal"/>
        <w:shd w:val="clear" w:fill="FFFFFF"/>
        <w:spacing w:before="0" w:after="0"/>
        <w:contextualSpacing/>
        <w:rPr/>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pStyle w:val="Normal"/>
        <w:widowControl w:val="false"/>
        <w:spacing w:before="0" w:after="0"/>
        <w:contextualSpacing/>
        <w:rPr/>
      </w:pPr>
      <w:hyperlink r:id="rId269">
        <w:r>
          <w:rPr>
            <w:rStyle w:val="ListLabel275"/>
            <w:sz w:val="20"/>
            <w:szCs w:val="20"/>
          </w:rPr>
          <w:t>Mar</w:t>
        </w:r>
      </w:hyperlink>
      <w:hyperlink r:id="rId270">
        <w:r>
          <w:rPr>
            <w:rStyle w:val="ListLabel275"/>
            <w:spacing w:val="1"/>
            <w:sz w:val="20"/>
            <w:szCs w:val="20"/>
          </w:rPr>
          <w:t>q</w:t>
        </w:r>
      </w:hyperlink>
      <w:hyperlink r:id="rId271">
        <w:r>
          <w:rPr>
            <w:rStyle w:val="ListLabel275"/>
            <w:spacing w:val="-1"/>
            <w:sz w:val="20"/>
            <w:szCs w:val="20"/>
          </w:rPr>
          <w:t>u</w:t>
        </w:r>
      </w:hyperlink>
      <w:hyperlink r:id="rId272">
        <w:r>
          <w:rPr>
            <w:rStyle w:val="ListLabel275"/>
            <w:sz w:val="20"/>
            <w:szCs w:val="20"/>
          </w:rPr>
          <w:t>art</w:t>
        </w:r>
      </w:hyperlink>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hyperlink r:id="rId273">
        <w:r>
          <w:rPr>
            <w:rStyle w:val="ListLabel277"/>
            <w:sz w:val="20"/>
            <w:szCs w:val="20"/>
          </w:rPr>
          <w:t>D</w:t>
        </w:r>
      </w:hyperlink>
      <w:hyperlink r:id="rId274">
        <w:r>
          <w:rPr>
            <w:rStyle w:val="ListLabel277"/>
            <w:spacing w:val="-1"/>
            <w:sz w:val="20"/>
            <w:szCs w:val="20"/>
          </w:rPr>
          <w:t>i</w:t>
        </w:r>
      </w:hyperlink>
      <w:hyperlink r:id="rId275">
        <w:r>
          <w:rPr>
            <w:rStyle w:val="ListLabel277"/>
            <w:sz w:val="20"/>
            <w:szCs w:val="20"/>
          </w:rPr>
          <w:t>d</w:t>
        </w:r>
      </w:hyperlink>
      <w:hyperlink r:id="rId276">
        <w:r>
          <w:rPr>
            <w:rStyle w:val="ListLabel277"/>
            <w:spacing w:val="1"/>
            <w:sz w:val="20"/>
            <w:szCs w:val="20"/>
          </w:rPr>
          <w:t xml:space="preserve"> </w:t>
        </w:r>
      </w:hyperlink>
      <w:hyperlink r:id="rId277">
        <w:r>
          <w:rPr>
            <w:rStyle w:val="ListLabel277"/>
            <w:sz w:val="20"/>
            <w:szCs w:val="20"/>
          </w:rPr>
          <w:t>Y</w:t>
        </w:r>
      </w:hyperlink>
      <w:hyperlink r:id="rId278">
        <w:r>
          <w:rPr>
            <w:rStyle w:val="ListLabel277"/>
            <w:spacing w:val="1"/>
            <w:sz w:val="20"/>
            <w:szCs w:val="20"/>
          </w:rPr>
          <w:t>o</w:t>
        </w:r>
      </w:hyperlink>
      <w:hyperlink r:id="rId279">
        <w:r>
          <w:rPr>
            <w:rStyle w:val="ListLabel277"/>
            <w:sz w:val="20"/>
            <w:szCs w:val="20"/>
          </w:rPr>
          <w:t>u K</w:t>
        </w:r>
      </w:hyperlink>
      <w:hyperlink r:id="rId280">
        <w:r>
          <w:rPr>
            <w:rStyle w:val="ListLabel277"/>
            <w:spacing w:val="1"/>
            <w:sz w:val="20"/>
            <w:szCs w:val="20"/>
          </w:rPr>
          <w:t>no</w:t>
        </w:r>
      </w:hyperlink>
      <w:hyperlink r:id="rId281">
        <w:r>
          <w:rPr>
            <w:rStyle w:val="ListLabel277"/>
            <w:spacing w:val="-2"/>
            <w:sz w:val="20"/>
            <w:szCs w:val="20"/>
          </w:rPr>
          <w:t>w</w:t>
        </w:r>
      </w:hyperlink>
      <w:hyperlink r:id="rId282">
        <w:r>
          <w:rPr>
            <w:rStyle w:val="ListLabel277"/>
            <w:spacing w:val="1"/>
            <w:sz w:val="20"/>
            <w:szCs w:val="20"/>
          </w:rPr>
          <w:t>?</w:t>
        </w:r>
      </w:hyperlink>
      <w:hyperlink r:id="rId283">
        <w:r>
          <w:rPr>
            <w:rStyle w:val="ListLabel278"/>
            <w:sz w:val="20"/>
            <w:szCs w:val="20"/>
          </w:rPr>
          <w:t>, P</w:t>
        </w:r>
      </w:hyperlink>
      <w:hyperlink r:id="rId284">
        <w:r>
          <w:rPr>
            <w:rStyle w:val="ListLabel278"/>
            <w:spacing w:val="1"/>
            <w:sz w:val="20"/>
            <w:szCs w:val="20"/>
          </w:rPr>
          <w:t>h</w:t>
        </w:r>
      </w:hyperlink>
      <w:hyperlink r:id="rId285">
        <w:r>
          <w:rPr>
            <w:rStyle w:val="ListLabel278"/>
            <w:spacing w:val="-1"/>
            <w:sz w:val="20"/>
            <w:szCs w:val="20"/>
          </w:rPr>
          <w:t>y</w:t>
        </w:r>
      </w:hyperlink>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hyperlink r:id="rId286">
        <w:r>
          <w:rPr>
            <w:rStyle w:val="ListLabel275"/>
            <w:sz w:val="20"/>
            <w:szCs w:val="20"/>
          </w:rPr>
          <w:t xml:space="preserve">?”,  </w:t>
        </w:r>
      </w:hyperlink>
      <w:hyperlink r:id="rId287">
        <w:r>
          <w:rPr>
            <w:rStyle w:val="ListLabel275"/>
            <w:spacing w:val="1"/>
            <w:sz w:val="20"/>
            <w:szCs w:val="20"/>
          </w:rPr>
          <w:t>h</w:t>
        </w:r>
      </w:hyperlink>
      <w:hyperlink r:id="rId288">
        <w:r>
          <w:rPr>
            <w:rStyle w:val="ListLabel275"/>
            <w:sz w:val="20"/>
            <w:szCs w:val="20"/>
          </w:rPr>
          <w:t>t</w:t>
        </w:r>
      </w:hyperlink>
      <w:hyperlink r:id="rId289">
        <w:r>
          <w:rPr>
            <w:rStyle w:val="ListLabel275"/>
            <w:spacing w:val="-1"/>
            <w:sz w:val="20"/>
            <w:szCs w:val="20"/>
          </w:rPr>
          <w:t>t</w:t>
        </w:r>
      </w:hyperlink>
      <w:hyperlink r:id="rId290">
        <w:r>
          <w:rPr>
            <w:rStyle w:val="ListLabel275"/>
            <w:spacing w:val="1"/>
            <w:sz w:val="20"/>
            <w:szCs w:val="20"/>
          </w:rPr>
          <w:t>p</w:t>
        </w:r>
      </w:hyperlink>
      <w:hyperlink r:id="rId291">
        <w:r>
          <w:rPr>
            <w:rStyle w:val="ListLabel275"/>
            <w:spacing w:val="-1"/>
            <w:sz w:val="20"/>
            <w:szCs w:val="20"/>
          </w:rPr>
          <w:t>:</w:t>
        </w:r>
      </w:hyperlink>
      <w:hyperlink r:id="rId292">
        <w:r>
          <w:rPr>
            <w:rStyle w:val="ListLabel275"/>
            <w:sz w:val="20"/>
            <w:szCs w:val="20"/>
          </w:rPr>
          <w:t>//www.fr</w:t>
        </w:r>
      </w:hyperlink>
      <w:hyperlink r:id="rId293">
        <w:r>
          <w:rPr>
            <w:rStyle w:val="ListLabel275"/>
            <w:spacing w:val="2"/>
            <w:sz w:val="20"/>
            <w:szCs w:val="20"/>
          </w:rPr>
          <w:t>o</w:t>
        </w:r>
      </w:hyperlink>
      <w:hyperlink r:id="rId294">
        <w:r>
          <w:rPr>
            <w:rStyle w:val="ListLabel275"/>
            <w:spacing w:val="-3"/>
            <w:sz w:val="20"/>
            <w:szCs w:val="20"/>
          </w:rPr>
          <w:t>m</w:t>
        </w:r>
      </w:hyperlink>
      <w:hyperlink r:id="rId295">
        <w:r>
          <w:rPr>
            <w:rStyle w:val="ListLabel275"/>
            <w:spacing w:val="1"/>
            <w:sz w:val="20"/>
            <w:szCs w:val="20"/>
          </w:rPr>
          <w:t>qu</w:t>
        </w:r>
      </w:hyperlink>
      <w:hyperlink r:id="rId296">
        <w:r>
          <w:rPr>
            <w:rStyle w:val="ListLabel275"/>
            <w:sz w:val="20"/>
            <w:szCs w:val="20"/>
          </w:rPr>
          <w:t>ar</w:t>
        </w:r>
      </w:hyperlink>
      <w:hyperlink r:id="rId297">
        <w:r>
          <w:rPr>
            <w:rStyle w:val="ListLabel275"/>
            <w:spacing w:val="1"/>
            <w:sz w:val="20"/>
            <w:szCs w:val="20"/>
          </w:rPr>
          <w:t>k</w:t>
        </w:r>
      </w:hyperlink>
      <w:hyperlink r:id="rId298">
        <w:r>
          <w:rPr>
            <w:rStyle w:val="ListLabel275"/>
            <w:sz w:val="20"/>
            <w:szCs w:val="20"/>
          </w:rPr>
          <w:t>st</w:t>
        </w:r>
      </w:hyperlink>
      <w:hyperlink r:id="rId299">
        <w:r>
          <w:rPr>
            <w:rStyle w:val="ListLabel275"/>
            <w:spacing w:val="-1"/>
            <w:sz w:val="20"/>
            <w:szCs w:val="20"/>
          </w:rPr>
          <w:t>o</w:t>
        </w:r>
      </w:hyperlink>
      <w:hyperlink r:id="rId300">
        <w:r>
          <w:rPr>
            <w:rStyle w:val="ListLabel275"/>
            <w:spacing w:val="1"/>
            <w:sz w:val="20"/>
            <w:szCs w:val="20"/>
          </w:rPr>
          <w:t>qu</w:t>
        </w:r>
      </w:hyperlink>
      <w:hyperlink r:id="rId301">
        <w:r>
          <w:rPr>
            <w:rStyle w:val="ListLabel275"/>
            <w:sz w:val="20"/>
            <w:szCs w:val="20"/>
          </w:rPr>
          <w:t>a</w:t>
        </w:r>
      </w:hyperlink>
      <w:hyperlink r:id="rId302">
        <w:r>
          <w:rPr>
            <w:rStyle w:val="ListLabel275"/>
            <w:spacing w:val="-1"/>
            <w:sz w:val="20"/>
            <w:szCs w:val="20"/>
          </w:rPr>
          <w:t>s</w:t>
        </w:r>
      </w:hyperlink>
      <w:hyperlink r:id="rId303">
        <w:r>
          <w:rPr>
            <w:rStyle w:val="ListLabel275"/>
            <w:sz w:val="20"/>
            <w:szCs w:val="20"/>
          </w:rPr>
          <w:t>ars.c</w:t>
        </w:r>
      </w:hyperlink>
      <w:hyperlink r:id="rId304">
        <w:r>
          <w:rPr>
            <w:rStyle w:val="ListLabel275"/>
            <w:spacing w:val="1"/>
            <w:sz w:val="20"/>
            <w:szCs w:val="20"/>
          </w:rPr>
          <w:t>o</w:t>
        </w:r>
      </w:hyperlink>
      <w:hyperlink r:id="rId305">
        <w:r>
          <w:rPr>
            <w:rStyle w:val="ListLabel275"/>
            <w:spacing w:val="-3"/>
            <w:sz w:val="20"/>
            <w:szCs w:val="20"/>
          </w:rPr>
          <w:t>m</w:t>
        </w:r>
      </w:hyperlink>
      <w:hyperlink r:id="rId306">
        <w:r>
          <w:rPr>
            <w:rStyle w:val="ListLabel275"/>
            <w:sz w:val="20"/>
            <w:szCs w:val="20"/>
          </w:rPr>
          <w:t>/</w:t>
        </w:r>
      </w:hyperlink>
      <w:hyperlink r:id="rId307">
        <w:r>
          <w:rPr>
            <w:rStyle w:val="ListLabel275"/>
            <w:spacing w:val="1"/>
            <w:sz w:val="20"/>
            <w:szCs w:val="20"/>
          </w:rPr>
          <w:t>s</w:t>
        </w:r>
      </w:hyperlink>
      <w:hyperlink r:id="rId308">
        <w:r>
          <w:rPr>
            <w:rStyle w:val="ListLabel275"/>
            <w:sz w:val="20"/>
            <w:szCs w:val="20"/>
          </w:rPr>
          <w:t>tra</w:t>
        </w:r>
      </w:hyperlink>
      <w:hyperlink r:id="rId309">
        <w:r>
          <w:rPr>
            <w:rStyle w:val="ListLabel275"/>
            <w:spacing w:val="1"/>
            <w:sz w:val="20"/>
            <w:szCs w:val="20"/>
          </w:rPr>
          <w:t>n</w:t>
        </w:r>
      </w:hyperlink>
      <w:hyperlink r:id="rId310">
        <w:r>
          <w:rPr>
            <w:rStyle w:val="ListLabel275"/>
            <w:spacing w:val="-1"/>
            <w:sz w:val="20"/>
            <w:szCs w:val="20"/>
          </w:rPr>
          <w:t>g</w:t>
        </w:r>
      </w:hyperlink>
      <w:hyperlink r:id="rId311">
        <w:r>
          <w:rPr>
            <w:rStyle w:val="ListLabel275"/>
            <w:sz w:val="20"/>
            <w:szCs w:val="20"/>
          </w:rPr>
          <w:t>e-</w:t>
        </w:r>
      </w:hyperlink>
      <w:hyperlink r:id="rId312">
        <w:r>
          <w:rPr>
            <w:rStyle w:val="ListLabel275"/>
            <w:spacing w:val="-1"/>
            <w:sz w:val="20"/>
            <w:szCs w:val="20"/>
          </w:rPr>
          <w:t>u</w:t>
        </w:r>
      </w:hyperlink>
      <w:hyperlink r:id="rId313">
        <w:r>
          <w:rPr>
            <w:rStyle w:val="ListLabel275"/>
            <w:spacing w:val="1"/>
            <w:sz w:val="20"/>
            <w:szCs w:val="20"/>
          </w:rPr>
          <w:t>n</w:t>
        </w:r>
      </w:hyperlink>
      <w:hyperlink r:id="rId314">
        <w:r>
          <w:rPr>
            <w:rStyle w:val="ListLabel275"/>
            <w:sz w:val="20"/>
            <w:szCs w:val="20"/>
          </w:rPr>
          <w:t>e</w:t>
        </w:r>
      </w:hyperlink>
      <w:hyperlink r:id="rId315">
        <w:r>
          <w:rPr>
            <w:rStyle w:val="ListLabel275"/>
            <w:spacing w:val="-1"/>
            <w:sz w:val="20"/>
            <w:szCs w:val="20"/>
          </w:rPr>
          <w:t>x</w:t>
        </w:r>
      </w:hyperlink>
      <w:hyperlink r:id="rId316">
        <w:r>
          <w:rPr>
            <w:rStyle w:val="ListLabel275"/>
            <w:spacing w:val="1"/>
            <w:sz w:val="20"/>
            <w:szCs w:val="20"/>
          </w:rPr>
          <w:t>p</w:t>
        </w:r>
      </w:hyperlink>
      <w:hyperlink r:id="rId317">
        <w:r>
          <w:rPr>
            <w:rStyle w:val="ListLabel275"/>
            <w:spacing w:val="-1"/>
            <w:sz w:val="20"/>
            <w:szCs w:val="20"/>
          </w:rPr>
          <w:t>l</w:t>
        </w:r>
      </w:hyperlink>
      <w:hyperlink r:id="rId318">
        <w:r>
          <w:rPr>
            <w:rStyle w:val="ListLabel275"/>
            <w:sz w:val="20"/>
            <w:szCs w:val="20"/>
          </w:rPr>
          <w:t>ai</w:t>
        </w:r>
      </w:hyperlink>
      <w:hyperlink r:id="rId319">
        <w:r>
          <w:rPr>
            <w:rStyle w:val="ListLabel275"/>
            <w:spacing w:val="-1"/>
            <w:sz w:val="20"/>
            <w:szCs w:val="20"/>
          </w:rPr>
          <w:t>n</w:t>
        </w:r>
      </w:hyperlink>
      <w:hyperlink r:id="rId320">
        <w:r>
          <w:rPr>
            <w:rStyle w:val="ListLabel275"/>
            <w:sz w:val="20"/>
            <w:szCs w:val="20"/>
          </w:rPr>
          <w:t>ed-</w:t>
        </w:r>
      </w:hyperlink>
      <w:hyperlink r:id="rId321">
        <w:r>
          <w:rPr>
            <w:rStyle w:val="ListLabel277"/>
            <w:sz w:val="20"/>
            <w:szCs w:val="20"/>
          </w:rPr>
          <w:t xml:space="preserve"> t</w:t>
        </w:r>
      </w:hyperlink>
      <w:hyperlink r:id="rId322">
        <w:r>
          <w:rPr>
            <w:rStyle w:val="ListLabel277"/>
            <w:spacing w:val="1"/>
            <w:sz w:val="20"/>
            <w:szCs w:val="20"/>
          </w:rPr>
          <w:t>h</w:t>
        </w:r>
      </w:hyperlink>
      <w:hyperlink r:id="rId323">
        <w:r>
          <w:rPr>
            <w:rStyle w:val="ListLabel277"/>
            <w:spacing w:val="-1"/>
            <w:sz w:val="20"/>
            <w:szCs w:val="20"/>
          </w:rPr>
          <w:t>i</w:t>
        </w:r>
      </w:hyperlink>
      <w:hyperlink r:id="rId324">
        <w:r>
          <w:rPr>
            <w:rStyle w:val="ListLabel277"/>
            <w:spacing w:val="1"/>
            <w:sz w:val="20"/>
            <w:szCs w:val="20"/>
          </w:rPr>
          <w:t>ng</w:t>
        </w:r>
      </w:hyperlink>
      <w:hyperlink r:id="rId325">
        <w:r>
          <w:rPr>
            <w:rStyle w:val="ListLabel277"/>
            <w:sz w:val="20"/>
            <w:szCs w:val="20"/>
          </w:rPr>
          <w:t>s-s</w:t>
        </w:r>
      </w:hyperlink>
      <w:hyperlink r:id="rId326">
        <w:r>
          <w:rPr>
            <w:rStyle w:val="ListLabel277"/>
            <w:spacing w:val="-1"/>
            <w:sz w:val="20"/>
            <w:szCs w:val="20"/>
          </w:rPr>
          <w:t>c</w:t>
        </w:r>
      </w:hyperlink>
      <w:hyperlink r:id="rId327">
        <w:r>
          <w:rPr>
            <w:rStyle w:val="ListLabel277"/>
            <w:sz w:val="20"/>
            <w:szCs w:val="20"/>
          </w:rPr>
          <w:t>ie</w:t>
        </w:r>
      </w:hyperlink>
      <w:hyperlink r:id="rId328">
        <w:r>
          <w:rPr>
            <w:rStyle w:val="ListLabel277"/>
            <w:spacing w:val="-1"/>
            <w:sz w:val="20"/>
            <w:szCs w:val="20"/>
          </w:rPr>
          <w:t>n</w:t>
        </w:r>
      </w:hyperlink>
      <w:hyperlink r:id="rId329">
        <w:r>
          <w:rPr>
            <w:rStyle w:val="ListLabel277"/>
            <w:sz w:val="20"/>
            <w:szCs w:val="20"/>
          </w:rPr>
          <w:t>c</w:t>
        </w:r>
      </w:hyperlink>
      <w:hyperlink r:id="rId330">
        <w:r>
          <w:rPr>
            <w:rStyle w:val="ListLabel277"/>
            <w:spacing w:val="-1"/>
            <w:sz w:val="20"/>
            <w:szCs w:val="20"/>
          </w:rPr>
          <w:t>e</w:t>
        </w:r>
      </w:hyperlink>
      <w:hyperlink r:id="rId331">
        <w:r>
          <w:rPr>
            <w:rStyle w:val="ListLabel277"/>
            <w:sz w:val="20"/>
            <w:szCs w:val="20"/>
          </w:rPr>
          <w:t>-star-li</w:t>
        </w:r>
      </w:hyperlink>
      <w:hyperlink r:id="rId332">
        <w:r>
          <w:rPr>
            <w:rStyle w:val="ListLabel277"/>
            <w:spacing w:val="1"/>
            <w:sz w:val="20"/>
            <w:szCs w:val="20"/>
          </w:rPr>
          <w:t>v</w:t>
        </w:r>
      </w:hyperlink>
      <w:hyperlink r:id="rId333">
        <w:r>
          <w:rPr>
            <w:rStyle w:val="ListLabel277"/>
            <w:spacing w:val="-1"/>
            <w:sz w:val="20"/>
            <w:szCs w:val="20"/>
          </w:rPr>
          <w:t>e</w:t>
        </w:r>
      </w:hyperlink>
      <w:hyperlink r:id="rId334">
        <w:r>
          <w:rPr>
            <w:rStyle w:val="ListLabel277"/>
            <w:spacing w:val="1"/>
            <w:sz w:val="20"/>
            <w:szCs w:val="20"/>
          </w:rPr>
          <w:t>d</w:t>
        </w:r>
      </w:hyperlink>
      <w:hyperlink r:id="rId335">
        <w:r>
          <w:rPr>
            <w:rStyle w:val="ListLabel277"/>
            <w:sz w:val="20"/>
            <w:szCs w:val="20"/>
          </w:rPr>
          <w:t>-</w:t>
        </w:r>
      </w:hyperlink>
      <w:hyperlink r:id="rId336">
        <w:r>
          <w:rPr>
            <w:rStyle w:val="ListLabel277"/>
            <w:spacing w:val="1"/>
            <w:sz w:val="20"/>
            <w:szCs w:val="20"/>
          </w:rPr>
          <w:t>b</w:t>
        </w:r>
      </w:hyperlink>
      <w:hyperlink r:id="rId337">
        <w:r>
          <w:rPr>
            <w:rStyle w:val="ListLabel277"/>
            <w:spacing w:val="-1"/>
            <w:sz w:val="20"/>
            <w:szCs w:val="20"/>
          </w:rPr>
          <w:t>ig</w:t>
        </w:r>
      </w:hyperlink>
      <w:hyperlink r:id="rId338">
        <w:r>
          <w:rPr>
            <w:rStyle w:val="ListLabel277"/>
            <w:sz w:val="20"/>
            <w:szCs w:val="20"/>
          </w:rPr>
          <w:t>-</w:t>
        </w:r>
      </w:hyperlink>
      <w:hyperlink r:id="rId339">
        <w:r>
          <w:rPr>
            <w:rStyle w:val="ListLabel277"/>
            <w:spacing w:val="1"/>
            <w:sz w:val="20"/>
            <w:szCs w:val="20"/>
          </w:rPr>
          <w:t>b</w:t>
        </w:r>
      </w:hyperlink>
      <w:hyperlink r:id="rId340">
        <w:r>
          <w:rPr>
            <w:rStyle w:val="ListLabel277"/>
            <w:sz w:val="20"/>
            <w:szCs w:val="20"/>
          </w:rPr>
          <w:t>a</w:t>
        </w:r>
      </w:hyperlink>
      <w:hyperlink r:id="rId341">
        <w:r>
          <w:rPr>
            <w:rStyle w:val="ListLabel277"/>
            <w:spacing w:val="-1"/>
            <w:sz w:val="20"/>
            <w:szCs w:val="20"/>
          </w:rPr>
          <w:t>n</w:t>
        </w:r>
      </w:hyperlink>
      <w:hyperlink r:id="rId342">
        <w:r>
          <w:rPr>
            <w:rStyle w:val="ListLabel277"/>
            <w:spacing w:val="1"/>
            <w:sz w:val="20"/>
            <w:szCs w:val="20"/>
          </w:rPr>
          <w:t>g/</w:t>
        </w:r>
      </w:hyperlink>
    </w:p>
    <w:p>
      <w:pPr>
        <w:pStyle w:val="Normal"/>
        <w:widowControl w:val="false"/>
        <w:spacing w:before="0" w:after="0"/>
        <w:contextualSpacing/>
        <w:rPr/>
      </w:pPr>
      <w:r>
        <w:rPr>
          <w:sz w:val="20"/>
          <w:szCs w:val="20"/>
        </w:rPr>
        <w:t xml:space="preserve">Ludwig David (2015), </w:t>
      </w:r>
      <w:r>
        <w:rPr>
          <w:i/>
          <w:sz w:val="20"/>
          <w:szCs w:val="20"/>
        </w:rPr>
        <w:t>A Pluralist Theory of the Mind</w:t>
      </w:r>
      <w:r>
        <w:rPr>
          <w:sz w:val="20"/>
          <w:szCs w:val="20"/>
        </w:rPr>
        <w:t>, Springer</w:t>
      </w:r>
    </w:p>
    <w:p>
      <w:pPr>
        <w:pStyle w:val="Normal"/>
        <w:widowControl w:val="false"/>
        <w:spacing w:before="0" w:after="0"/>
        <w:contextualSpacing/>
        <w:rPr/>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pStyle w:val="Normal"/>
        <w:widowControl w:val="false"/>
        <w:tabs>
          <w:tab w:val="clear" w:pos="720"/>
          <w:tab w:val="left" w:pos="1120" w:leader="none"/>
          <w:tab w:val="left" w:pos="1940" w:leader="none"/>
          <w:tab w:val="left" w:pos="2920" w:leader="none"/>
          <w:tab w:val="left" w:pos="5000" w:leader="none"/>
          <w:tab w:val="left" w:pos="5440" w:leader="none"/>
        </w:tabs>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tab/>
      </w:r>
      <w:r>
        <w:rPr>
          <w:spacing w:val="-2"/>
          <w:sz w:val="20"/>
          <w:szCs w:val="20"/>
        </w:rPr>
        <w:t>G</w:t>
      </w:r>
      <w:r>
        <w:rPr>
          <w:sz w:val="20"/>
          <w:szCs w:val="20"/>
        </w:rPr>
        <w:t>e</w:t>
      </w:r>
      <w:r>
        <w:rPr>
          <w:spacing w:val="2"/>
          <w:sz w:val="20"/>
          <w:szCs w:val="20"/>
        </w:rPr>
        <w:t>o</w:t>
      </w:r>
      <w:r>
        <w:rPr>
          <w:sz w:val="20"/>
          <w:szCs w:val="20"/>
        </w:rPr>
        <w:t>rg</w:t>
        <w:tab/>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tab/>
        <w:t>in</w:t>
        <w:tab/>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pStyle w:val="Normal"/>
        <w:widowControl w:val="false"/>
        <w:spacing w:before="0" w:after="0"/>
        <w:contextualSpacing/>
        <w:rPr/>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Heading1"/>
        <w:spacing w:before="0" w:after="0"/>
        <w:ind w:left="0" w:right="150" w:hanging="0"/>
        <w:contextualSpacing/>
        <w:rPr/>
      </w:pPr>
      <w:r>
        <w:rPr>
          <w:rFonts w:ascii="Times New Roman" w:hAnsi="Times New Roman"/>
          <w:b w:val="false"/>
          <w:sz w:val="20"/>
          <w:szCs w:val="20"/>
        </w:rPr>
        <w:t xml:space="preserve">Poirier Bill (2016) </w:t>
      </w:r>
      <w:r>
        <w:rPr>
          <w:rFonts w:ascii="Times New Roman" w:hAnsi="Times New Roman"/>
          <w:b w:val="false"/>
          <w:bCs w:val="false"/>
          <w:spacing w:val="-5"/>
          <w:sz w:val="20"/>
          <w:szCs w:val="20"/>
        </w:rPr>
        <w:t xml:space="preserve">‘Quantum Weirdness’ and ‘Many Interacting Worlds’ at </w:t>
      </w:r>
      <w:r>
        <w:rPr>
          <w:rFonts w:ascii="Times New Roman" w:hAnsi="Times New Roman"/>
          <w:b w:val="false"/>
          <w:sz w:val="20"/>
          <w:szCs w:val="20"/>
        </w:rPr>
        <w:t>http://www.huffingtonpost.com/bill-poirier/quantum-weirdness-and-many-interacting-worlds_b_6143042.html)</w:t>
      </w:r>
    </w:p>
    <w:p>
      <w:pPr>
        <w:pStyle w:val="Normal"/>
        <w:widowControl w:val="false"/>
        <w:tabs>
          <w:tab w:val="clear" w:pos="720"/>
          <w:tab w:val="left" w:pos="9356" w:leader="none"/>
        </w:tabs>
        <w:spacing w:before="0" w:after="0"/>
        <w:contextualSpacing/>
        <w:rPr/>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hyperlink r:id="rId343">
        <w:r>
          <w:rPr>
            <w:rStyle w:val="ListLabel294"/>
            <w:spacing w:val="-1"/>
            <w:sz w:val="20"/>
            <w:szCs w:val="20"/>
          </w:rPr>
          <w:t>“</w:t>
        </w:r>
      </w:hyperlink>
      <w:hyperlink r:id="rId344">
        <w:r>
          <w:rPr>
            <w:rStyle w:val="ListLabel294"/>
            <w:sz w:val="20"/>
            <w:szCs w:val="20"/>
          </w:rPr>
          <w:t>Brai</w:t>
        </w:r>
      </w:hyperlink>
      <w:hyperlink r:id="rId345">
        <w:r>
          <w:rPr>
            <w:rStyle w:val="ListLabel294"/>
            <w:spacing w:val="2"/>
            <w:sz w:val="20"/>
            <w:szCs w:val="20"/>
          </w:rPr>
          <w:t>n</w:t>
        </w:r>
      </w:hyperlink>
      <w:hyperlink r:id="rId346">
        <w:r>
          <w:rPr>
            <w:rStyle w:val="ListLabel294"/>
            <w:sz w:val="20"/>
            <w:szCs w:val="20"/>
          </w:rPr>
          <w:t>,</w:t>
        </w:r>
      </w:hyperlink>
      <w:hyperlink r:id="rId347">
        <w:r>
          <w:rPr>
            <w:rStyle w:val="ListLabel294"/>
            <w:spacing w:val="12"/>
            <w:sz w:val="20"/>
            <w:szCs w:val="20"/>
          </w:rPr>
          <w:t xml:space="preserve"> </w:t>
        </w:r>
      </w:hyperlink>
      <w:hyperlink r:id="rId348">
        <w:r>
          <w:rPr>
            <w:rStyle w:val="ListLabel294"/>
            <w:spacing w:val="-6"/>
            <w:sz w:val="20"/>
            <w:szCs w:val="20"/>
          </w:rPr>
          <w:t>m</w:t>
        </w:r>
      </w:hyperlink>
      <w:hyperlink r:id="rId349">
        <w:r>
          <w:rPr>
            <w:rStyle w:val="ListLabel294"/>
            <w:spacing w:val="4"/>
            <w:sz w:val="20"/>
            <w:szCs w:val="20"/>
          </w:rPr>
          <w:t>i</w:t>
        </w:r>
      </w:hyperlink>
      <w:hyperlink r:id="rId350">
        <w:r>
          <w:rPr>
            <w:rStyle w:val="ListLabel294"/>
            <w:spacing w:val="2"/>
            <w:sz w:val="20"/>
            <w:szCs w:val="20"/>
          </w:rPr>
          <w:t>n</w:t>
        </w:r>
      </w:hyperlink>
      <w:hyperlink r:id="rId351">
        <w:r>
          <w:rPr>
            <w:rStyle w:val="ListLabel294"/>
            <w:sz w:val="20"/>
            <w:szCs w:val="20"/>
          </w:rPr>
          <w:t>d</w:t>
        </w:r>
      </w:hyperlink>
      <w:hyperlink r:id="rId352">
        <w:r>
          <w:rPr>
            <w:rStyle w:val="ListLabel294"/>
            <w:spacing w:val="12"/>
            <w:sz w:val="20"/>
            <w:szCs w:val="20"/>
          </w:rPr>
          <w:t xml:space="preserve"> </w:t>
        </w:r>
      </w:hyperlink>
      <w:hyperlink r:id="rId353">
        <w:r>
          <w:rPr>
            <w:rStyle w:val="ListLabel294"/>
            <w:spacing w:val="-2"/>
            <w:sz w:val="20"/>
            <w:szCs w:val="20"/>
          </w:rPr>
          <w:t>a</w:t>
        </w:r>
      </w:hyperlink>
      <w:hyperlink r:id="rId354">
        <w:r>
          <w:rPr>
            <w:rStyle w:val="ListLabel294"/>
            <w:spacing w:val="2"/>
            <w:sz w:val="20"/>
            <w:szCs w:val="20"/>
          </w:rPr>
          <w:t>n</w:t>
        </w:r>
      </w:hyperlink>
      <w:hyperlink r:id="rId355">
        <w:r>
          <w:rPr>
            <w:rStyle w:val="ListLabel294"/>
            <w:sz w:val="20"/>
            <w:szCs w:val="20"/>
          </w:rPr>
          <w:t>d</w:t>
        </w:r>
      </w:hyperlink>
      <w:hyperlink r:id="rId356">
        <w:r>
          <w:rPr>
            <w:rStyle w:val="ListLabel294"/>
            <w:spacing w:val="12"/>
            <w:sz w:val="20"/>
            <w:szCs w:val="20"/>
          </w:rPr>
          <w:t xml:space="preserve"> </w:t>
        </w:r>
      </w:hyperlink>
      <w:hyperlink r:id="rId357">
        <w:r>
          <w:rPr>
            <w:rStyle w:val="ListLabel294"/>
            <w:spacing w:val="-1"/>
            <w:sz w:val="20"/>
            <w:szCs w:val="20"/>
          </w:rPr>
          <w:t>t</w:t>
        </w:r>
      </w:hyperlink>
      <w:hyperlink r:id="rId358">
        <w:r>
          <w:rPr>
            <w:rStyle w:val="ListLabel294"/>
            <w:spacing w:val="-2"/>
            <w:sz w:val="20"/>
            <w:szCs w:val="20"/>
          </w:rPr>
          <w:t>h</w:t>
        </w:r>
      </w:hyperlink>
      <w:hyperlink r:id="rId359">
        <w:r>
          <w:rPr>
            <w:rStyle w:val="ListLabel294"/>
            <w:sz w:val="20"/>
            <w:szCs w:val="20"/>
          </w:rPr>
          <w:t>e</w:t>
        </w:r>
      </w:hyperlink>
      <w:hyperlink r:id="rId360">
        <w:r>
          <w:rPr>
            <w:rStyle w:val="ListLabel294"/>
            <w:spacing w:val="10"/>
            <w:sz w:val="20"/>
            <w:szCs w:val="20"/>
          </w:rPr>
          <w:t xml:space="preserve"> </w:t>
        </w:r>
      </w:hyperlink>
      <w:hyperlink r:id="rId361">
        <w:r>
          <w:rPr>
            <w:rStyle w:val="ListLabel277"/>
            <w:spacing w:val="2"/>
            <w:sz w:val="20"/>
            <w:szCs w:val="20"/>
          </w:rPr>
          <w:t>p</w:t>
        </w:r>
      </w:hyperlink>
      <w:hyperlink r:id="rId362">
        <w:r>
          <w:rPr>
            <w:rStyle w:val="ListLabel277"/>
            <w:spacing w:val="-1"/>
            <w:sz w:val="20"/>
            <w:szCs w:val="20"/>
          </w:rPr>
          <w:t>e</w:t>
        </w:r>
      </w:hyperlink>
      <w:hyperlink r:id="rId363">
        <w:r>
          <w:rPr>
            <w:rStyle w:val="ListLabel277"/>
            <w:sz w:val="20"/>
            <w:szCs w:val="20"/>
          </w:rPr>
          <w:t>rs</w:t>
        </w:r>
      </w:hyperlink>
      <w:hyperlink r:id="rId364">
        <w:r>
          <w:rPr>
            <w:rStyle w:val="ListLabel277"/>
            <w:spacing w:val="2"/>
            <w:sz w:val="20"/>
            <w:szCs w:val="20"/>
          </w:rPr>
          <w:t>p</w:t>
        </w:r>
      </w:hyperlink>
      <w:hyperlink r:id="rId365">
        <w:r>
          <w:rPr>
            <w:rStyle w:val="ListLabel277"/>
            <w:spacing w:val="-1"/>
            <w:sz w:val="20"/>
            <w:szCs w:val="20"/>
          </w:rPr>
          <w:t>e</w:t>
        </w:r>
      </w:hyperlink>
      <w:hyperlink r:id="rId366">
        <w:r>
          <w:rPr>
            <w:rStyle w:val="ListLabel277"/>
            <w:sz w:val="20"/>
            <w:szCs w:val="20"/>
          </w:rPr>
          <w:t>ct</w:t>
        </w:r>
      </w:hyperlink>
      <w:hyperlink r:id="rId367">
        <w:r>
          <w:rPr>
            <w:rStyle w:val="ListLabel277"/>
            <w:spacing w:val="-2"/>
            <w:sz w:val="20"/>
            <w:szCs w:val="20"/>
          </w:rPr>
          <w:t>i</w:t>
        </w:r>
      </w:hyperlink>
      <w:hyperlink r:id="rId368">
        <w:r>
          <w:rPr>
            <w:rStyle w:val="ListLabel277"/>
            <w:spacing w:val="2"/>
            <w:sz w:val="20"/>
            <w:szCs w:val="20"/>
          </w:rPr>
          <w:t>v</w:t>
        </w:r>
      </w:hyperlink>
      <w:hyperlink r:id="rId369">
        <w:r>
          <w:rPr>
            <w:rStyle w:val="ListLabel277"/>
            <w:sz w:val="20"/>
            <w:szCs w:val="20"/>
          </w:rPr>
          <w:t>e</w:t>
        </w:r>
      </w:hyperlink>
      <w:hyperlink r:id="rId370">
        <w:r>
          <w:rPr>
            <w:rStyle w:val="ListLabel277"/>
            <w:spacing w:val="2"/>
            <w:sz w:val="20"/>
            <w:szCs w:val="20"/>
          </w:rPr>
          <w:t>o</w:t>
        </w:r>
      </w:hyperlink>
      <w:hyperlink r:id="rId371">
        <w:r>
          <w:rPr>
            <w:rStyle w:val="ListLabel277"/>
            <w:sz w:val="20"/>
            <w:szCs w:val="20"/>
          </w:rPr>
          <w:t>f t</w:t>
        </w:r>
      </w:hyperlink>
      <w:hyperlink r:id="rId372">
        <w:r>
          <w:rPr>
            <w:rStyle w:val="ListLabel277"/>
            <w:spacing w:val="-2"/>
            <w:sz w:val="20"/>
            <w:szCs w:val="20"/>
          </w:rPr>
          <w:t>h</w:t>
        </w:r>
      </w:hyperlink>
      <w:hyperlink r:id="rId373">
        <w:r>
          <w:rPr>
            <w:rStyle w:val="ListLabel277"/>
            <w:sz w:val="20"/>
            <w:szCs w:val="20"/>
          </w:rPr>
          <w:t>e o</w:t>
        </w:r>
      </w:hyperlink>
      <w:hyperlink r:id="rId374">
        <w:r>
          <w:rPr>
            <w:rStyle w:val="ListLabel277"/>
            <w:spacing w:val="1"/>
            <w:sz w:val="20"/>
            <w:szCs w:val="20"/>
          </w:rPr>
          <w:t>b</w:t>
        </w:r>
      </w:hyperlink>
      <w:hyperlink r:id="rId375">
        <w:r>
          <w:rPr>
            <w:rStyle w:val="ListLabel277"/>
            <w:spacing w:val="-1"/>
            <w:sz w:val="20"/>
            <w:szCs w:val="20"/>
          </w:rPr>
          <w:t>s</w:t>
        </w:r>
      </w:hyperlink>
      <w:hyperlink r:id="rId376">
        <w:r>
          <w:rPr>
            <w:rStyle w:val="ListLabel277"/>
            <w:spacing w:val="-2"/>
            <w:sz w:val="20"/>
            <w:szCs w:val="20"/>
          </w:rPr>
          <w:t>e</w:t>
        </w:r>
      </w:hyperlink>
      <w:hyperlink r:id="rId377">
        <w:r>
          <w:rPr>
            <w:rStyle w:val="ListLabel277"/>
            <w:spacing w:val="-1"/>
            <w:sz w:val="20"/>
            <w:szCs w:val="20"/>
          </w:rPr>
          <w:t>r</w:t>
        </w:r>
      </w:hyperlink>
      <w:hyperlink r:id="rId378">
        <w:r>
          <w:rPr>
            <w:rStyle w:val="ListLabel277"/>
            <w:spacing w:val="1"/>
            <w:sz w:val="20"/>
            <w:szCs w:val="20"/>
          </w:rPr>
          <w:t>v</w:t>
        </w:r>
      </w:hyperlink>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pStyle w:val="Normal"/>
        <w:widowControl w:val="false"/>
        <w:spacing w:before="0" w:after="0"/>
        <w:contextualSpacing/>
        <w:rPr/>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pStyle w:val="Normal"/>
        <w:widowControl w:val="false"/>
        <w:tabs>
          <w:tab w:val="clear" w:pos="720"/>
          <w:tab w:val="left" w:pos="1840" w:leader="none"/>
        </w:tabs>
        <w:spacing w:before="0" w:after="0"/>
        <w:contextualSpacing/>
        <w:rPr/>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tab/>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pStyle w:val="Normal"/>
        <w:widowControl w:val="false"/>
        <w:spacing w:before="0" w:after="0"/>
        <w:contextualSpacing/>
        <w:rPr/>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pStyle w:val="Normal"/>
        <w:widowControl w:val="false"/>
        <w:spacing w:before="0" w:after="0"/>
        <w:contextualSpacing/>
        <w:rPr/>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pStyle w:val="Normal"/>
        <w:widowControl w:val="false"/>
        <w:spacing w:before="0" w:after="0"/>
        <w:contextualSpacing/>
        <w:rPr/>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pStyle w:val="Normal"/>
        <w:widowControl w:val="false"/>
        <w:spacing w:before="0" w:after="0"/>
        <w:contextualSpacing/>
        <w:rPr/>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pStyle w:val="Normal"/>
        <w:widowControl w:val="false"/>
        <w:tabs>
          <w:tab w:val="clear" w:pos="720"/>
          <w:tab w:val="left" w:pos="6960" w:leader="none"/>
          <w:tab w:val="left" w:pos="7760" w:leader="none"/>
          <w:tab w:val="left" w:pos="8560" w:leader="none"/>
        </w:tabs>
        <w:spacing w:before="0" w:after="0"/>
        <w:contextualSpacing/>
        <w:rPr/>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hyperlink r:id="rId379">
        <w:r>
          <w:rPr>
            <w:rStyle w:val="ListLabel296"/>
            <w:sz w:val="20"/>
            <w:szCs w:val="20"/>
          </w:rPr>
          <w:t>"T</w:t>
        </w:r>
      </w:hyperlink>
      <w:hyperlink r:id="rId380">
        <w:r>
          <w:rPr>
            <w:rStyle w:val="ListLabel296"/>
            <w:spacing w:val="-2"/>
            <w:sz w:val="20"/>
            <w:szCs w:val="20"/>
          </w:rPr>
          <w:t>h</w:t>
        </w:r>
      </w:hyperlink>
      <w:hyperlink r:id="rId381">
        <w:r>
          <w:rPr>
            <w:rStyle w:val="ListLabel296"/>
            <w:sz w:val="20"/>
            <w:szCs w:val="20"/>
          </w:rPr>
          <w:t>e</w:t>
        </w:r>
      </w:hyperlink>
      <w:hyperlink r:id="rId382">
        <w:r>
          <w:rPr>
            <w:rStyle w:val="ListLabel296"/>
            <w:spacing w:val="47"/>
            <w:sz w:val="20"/>
            <w:szCs w:val="20"/>
          </w:rPr>
          <w:t xml:space="preserve"> </w:t>
        </w:r>
      </w:hyperlink>
      <w:hyperlink r:id="rId383">
        <w:r>
          <w:rPr>
            <w:rStyle w:val="ListLabel296"/>
            <w:spacing w:val="-2"/>
            <w:sz w:val="20"/>
            <w:szCs w:val="20"/>
          </w:rPr>
          <w:t>“</w:t>
        </w:r>
      </w:hyperlink>
      <w:hyperlink r:id="rId384">
        <w:r>
          <w:rPr>
            <w:rStyle w:val="ListLabel296"/>
            <w:sz w:val="20"/>
            <w:szCs w:val="20"/>
          </w:rPr>
          <w:t>I”</w:t>
        </w:r>
      </w:hyperlink>
      <w:hyperlink r:id="rId385">
        <w:r>
          <w:rPr>
            <w:rStyle w:val="ListLabel296"/>
            <w:spacing w:val="47"/>
            <w:sz w:val="20"/>
            <w:szCs w:val="20"/>
          </w:rPr>
          <w:t xml:space="preserve"> </w:t>
        </w:r>
      </w:hyperlink>
      <w:hyperlink r:id="rId386">
        <w:r>
          <w:rPr>
            <w:rStyle w:val="ListLabel296"/>
            <w:sz w:val="20"/>
            <w:szCs w:val="20"/>
          </w:rPr>
          <w:t>as</w:t>
        </w:r>
      </w:hyperlink>
      <w:hyperlink r:id="rId387">
        <w:r>
          <w:rPr>
            <w:rStyle w:val="ListLabel296"/>
            <w:spacing w:val="46"/>
            <w:sz w:val="20"/>
            <w:szCs w:val="20"/>
          </w:rPr>
          <w:t xml:space="preserve"> </w:t>
        </w:r>
      </w:hyperlink>
      <w:hyperlink r:id="rId388">
        <w:r>
          <w:rPr>
            <w:rStyle w:val="ListLabel296"/>
            <w:spacing w:val="-2"/>
            <w:sz w:val="20"/>
            <w:szCs w:val="20"/>
          </w:rPr>
          <w:t>a</w:t>
        </w:r>
      </w:hyperlink>
      <w:hyperlink r:id="rId389">
        <w:r>
          <w:rPr>
            <w:rStyle w:val="ListLabel296"/>
            <w:sz w:val="20"/>
            <w:szCs w:val="20"/>
          </w:rPr>
          <w:t>n</w:t>
        </w:r>
      </w:hyperlink>
      <w:hyperlink r:id="rId390">
        <w:r>
          <w:rPr>
            <w:rStyle w:val="ListLabel296"/>
            <w:spacing w:val="46"/>
            <w:sz w:val="20"/>
            <w:szCs w:val="20"/>
          </w:rPr>
          <w:t xml:space="preserve"> </w:t>
        </w:r>
      </w:hyperlink>
      <w:hyperlink r:id="rId391">
        <w:r>
          <w:rPr>
            <w:rStyle w:val="ListLabel274"/>
            <w:sz w:val="20"/>
            <w:szCs w:val="20"/>
          </w:rPr>
          <w:t>e</w:t>
        </w:r>
      </w:hyperlink>
      <w:hyperlink r:id="rId392">
        <w:r>
          <w:rPr>
            <w:rStyle w:val="ListLabel274"/>
            <w:spacing w:val="1"/>
            <w:sz w:val="20"/>
            <w:szCs w:val="20"/>
          </w:rPr>
          <w:t>p</w:t>
        </w:r>
      </w:hyperlink>
      <w:hyperlink r:id="rId393">
        <w:r>
          <w:rPr>
            <w:rStyle w:val="ListLabel274"/>
            <w:sz w:val="20"/>
            <w:szCs w:val="20"/>
          </w:rPr>
          <w:t>is</w:t>
        </w:r>
      </w:hyperlink>
      <w:hyperlink r:id="rId394">
        <w:r>
          <w:rPr>
            <w:rStyle w:val="ListLabel274"/>
            <w:spacing w:val="-1"/>
            <w:sz w:val="20"/>
            <w:szCs w:val="20"/>
          </w:rPr>
          <w:t>t</w:t>
        </w:r>
      </w:hyperlink>
      <w:hyperlink r:id="rId395">
        <w:r>
          <w:rPr>
            <w:rStyle w:val="ListLabel274"/>
            <w:spacing w:val="1"/>
            <w:sz w:val="20"/>
            <w:szCs w:val="20"/>
          </w:rPr>
          <w:t>e</w:t>
        </w:r>
      </w:hyperlink>
      <w:hyperlink r:id="rId396">
        <w:r>
          <w:rPr>
            <w:rStyle w:val="ListLabel274"/>
            <w:spacing w:val="-5"/>
            <w:sz w:val="20"/>
            <w:szCs w:val="20"/>
          </w:rPr>
          <w:t>m</w:t>
        </w:r>
      </w:hyperlink>
      <w:hyperlink r:id="rId397">
        <w:r>
          <w:rPr>
            <w:rStyle w:val="ListLabel274"/>
            <w:spacing w:val="2"/>
            <w:sz w:val="20"/>
            <w:szCs w:val="20"/>
          </w:rPr>
          <w:t>o</w:t>
        </w:r>
      </w:hyperlink>
      <w:hyperlink r:id="rId398">
        <w:r>
          <w:rPr>
            <w:rStyle w:val="ListLabel274"/>
            <w:spacing w:val="-1"/>
            <w:sz w:val="20"/>
            <w:szCs w:val="20"/>
          </w:rPr>
          <w:t>l</w:t>
        </w:r>
      </w:hyperlink>
      <w:hyperlink r:id="rId399">
        <w:r>
          <w:rPr>
            <w:rStyle w:val="ListLabel274"/>
            <w:spacing w:val="2"/>
            <w:sz w:val="20"/>
            <w:szCs w:val="20"/>
          </w:rPr>
          <w:t>o</w:t>
        </w:r>
      </w:hyperlink>
      <w:hyperlink r:id="rId400">
        <w:r>
          <w:rPr>
            <w:rStyle w:val="ListLabel274"/>
            <w:sz w:val="20"/>
            <w:szCs w:val="20"/>
          </w:rPr>
          <w:t>gi</w:t>
        </w:r>
      </w:hyperlink>
      <w:hyperlink r:id="rId401">
        <w:r>
          <w:rPr>
            <w:rStyle w:val="ListLabel274"/>
            <w:spacing w:val="-1"/>
            <w:sz w:val="20"/>
            <w:szCs w:val="20"/>
          </w:rPr>
          <w:t>ca</w:t>
        </w:r>
      </w:hyperlink>
      <w:hyperlink r:id="rId402">
        <w:r>
          <w:rPr>
            <w:rStyle w:val="ListLabel274"/>
            <w:sz w:val="20"/>
            <w:szCs w:val="20"/>
          </w:rPr>
          <w:t>l</w:t>
          <w:tab/>
        </w:r>
      </w:hyperlink>
      <w:hyperlink r:id="rId403">
        <w:r>
          <w:rPr>
            <w:rStyle w:val="ListLabel274"/>
            <w:spacing w:val="-2"/>
            <w:sz w:val="20"/>
            <w:szCs w:val="20"/>
          </w:rPr>
          <w:t>w</w:t>
        </w:r>
      </w:hyperlink>
      <w:hyperlink r:id="rId404">
        <w:r>
          <w:rPr>
            <w:rStyle w:val="ListLabel274"/>
            <w:spacing w:val="2"/>
            <w:sz w:val="20"/>
            <w:szCs w:val="20"/>
          </w:rPr>
          <w:t>o</w:t>
        </w:r>
      </w:hyperlink>
      <w:r>
        <w:rPr>
          <w:sz w:val="20"/>
          <w:szCs w:val="20"/>
        </w:rPr>
        <w:t>rl</w:t>
      </w:r>
      <w:r>
        <w:rPr>
          <w:spacing w:val="1"/>
          <w:sz w:val="20"/>
          <w:szCs w:val="20"/>
        </w:rPr>
        <w:t>d</w:t>
      </w:r>
      <w:r>
        <w:rPr>
          <w:sz w:val="20"/>
          <w:szCs w:val="20"/>
        </w:rPr>
        <w:t>"</w:t>
        <w:tab/>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le U</w:t>
      </w:r>
      <w:r>
        <w:rPr>
          <w:i/>
          <w:iCs/>
          <w:spacing w:val="2"/>
          <w:sz w:val="20"/>
          <w:szCs w:val="20"/>
        </w:rPr>
        <w:t>n</w:t>
      </w:r>
      <w:r>
        <w:rPr>
          <w:i/>
          <w:iCs/>
          <w:sz w:val="20"/>
          <w:szCs w:val="20"/>
        </w:rPr>
        <w:t>iver</w:t>
      </w:r>
      <w:r>
        <w:rPr>
          <w:i/>
          <w:iCs/>
          <w:spacing w:val="-1"/>
          <w:sz w:val="20"/>
          <w:szCs w:val="20"/>
        </w:rPr>
        <w:t>s</w:t>
      </w:r>
      <w:r>
        <w:rPr>
          <w:i/>
          <w:iCs/>
          <w:sz w:val="20"/>
          <w:szCs w:val="20"/>
        </w:rPr>
        <w:t>i</w:t>
      </w:r>
      <w:r>
        <w:rPr>
          <w:i/>
          <w:iCs/>
          <w:spacing w:val="-1"/>
          <w:sz w:val="20"/>
          <w:szCs w:val="20"/>
        </w:rPr>
        <w:t>t</w:t>
      </w:r>
      <w:r>
        <w:rPr>
          <w:i/>
          <w:iCs/>
          <w:spacing w:val="1"/>
          <w:sz w:val="20"/>
          <w:szCs w:val="20"/>
        </w:rPr>
        <w:t>a</w:t>
      </w:r>
      <w:r>
        <w:rPr>
          <w:i/>
          <w:iCs/>
          <w:spacing w:val="-1"/>
          <w:sz w:val="20"/>
          <w:szCs w:val="20"/>
        </w:rPr>
        <w:t>t</w:t>
      </w:r>
      <w:r>
        <w:rPr>
          <w:i/>
          <w:iCs/>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pStyle w:val="Normal"/>
        <w:widowControl w:val="false"/>
        <w:spacing w:before="0" w:after="0"/>
        <w:ind w:left="0" w:right="65" w:hanging="0"/>
        <w:contextualSpacing/>
        <w:rPr/>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hyperlink r:id="rId405">
        <w:r>
          <w:rPr>
            <w:rStyle w:val="ListLabel277"/>
            <w:sz w:val="20"/>
            <w:szCs w:val="20"/>
          </w:rPr>
          <w:t>P</w:t>
        </w:r>
      </w:hyperlink>
      <w:hyperlink r:id="rId406">
        <w:r>
          <w:rPr>
            <w:rStyle w:val="ListLabel277"/>
            <w:spacing w:val="2"/>
            <w:sz w:val="20"/>
            <w:szCs w:val="20"/>
          </w:rPr>
          <w:t>h</w:t>
        </w:r>
      </w:hyperlink>
      <w:hyperlink r:id="rId407">
        <w:r>
          <w:rPr>
            <w:rStyle w:val="ListLabel277"/>
            <w:spacing w:val="-2"/>
            <w:sz w:val="20"/>
            <w:szCs w:val="20"/>
          </w:rPr>
          <w:t>y</w:t>
        </w:r>
      </w:hyperlink>
      <w:hyperlink r:id="rId408">
        <w:r>
          <w:rPr>
            <w:rStyle w:val="ListLabel277"/>
            <w:sz w:val="20"/>
            <w:szCs w:val="20"/>
          </w:rPr>
          <w:t>sics</w:t>
        </w:r>
      </w:hyperlink>
      <w:hyperlink r:id="rId409">
        <w:r>
          <w:rPr>
            <w:rStyle w:val="ListLabel277"/>
            <w:spacing w:val="2"/>
            <w:sz w:val="20"/>
            <w:szCs w:val="20"/>
          </w:rPr>
          <w:t xml:space="preserve"> </w:t>
        </w:r>
      </w:hyperlink>
      <w:hyperlink r:id="rId410">
        <w:r>
          <w:rPr>
            <w:rStyle w:val="ListLabel277"/>
            <w:spacing w:val="-1"/>
            <w:sz w:val="20"/>
            <w:szCs w:val="20"/>
          </w:rPr>
          <w:t>a</w:t>
        </w:r>
      </w:hyperlink>
      <w:hyperlink r:id="rId411">
        <w:r>
          <w:rPr>
            <w:rStyle w:val="ListLabel277"/>
            <w:spacing w:val="1"/>
            <w:sz w:val="20"/>
            <w:szCs w:val="20"/>
          </w:rPr>
          <w:t>n</w:t>
        </w:r>
      </w:hyperlink>
      <w:hyperlink r:id="rId412">
        <w:r>
          <w:rPr>
            <w:rStyle w:val="ListLabel277"/>
            <w:sz w:val="20"/>
            <w:szCs w:val="20"/>
          </w:rPr>
          <w:t>d</w:t>
        </w:r>
      </w:hyperlink>
      <w:hyperlink r:id="rId413">
        <w:r>
          <w:rPr>
            <w:rStyle w:val="ListLabel277"/>
            <w:spacing w:val="1"/>
            <w:sz w:val="20"/>
            <w:szCs w:val="20"/>
          </w:rPr>
          <w:t xml:space="preserve"> </w:t>
        </w:r>
      </w:hyperlink>
      <w:hyperlink r:id="rId414">
        <w:r>
          <w:rPr>
            <w:rStyle w:val="ListLabel274"/>
            <w:spacing w:val="-1"/>
            <w:sz w:val="20"/>
            <w:szCs w:val="20"/>
          </w:rPr>
          <w:t>E</w:t>
        </w:r>
      </w:hyperlink>
      <w:hyperlink r:id="rId415">
        <w:r>
          <w:rPr>
            <w:rStyle w:val="ListLabel274"/>
            <w:spacing w:val="2"/>
            <w:sz w:val="20"/>
            <w:szCs w:val="20"/>
          </w:rPr>
          <w:t>p</w:t>
        </w:r>
      </w:hyperlink>
      <w:hyperlink r:id="rId416">
        <w:r>
          <w:rPr>
            <w:rStyle w:val="ListLabel274"/>
            <w:sz w:val="20"/>
            <w:szCs w:val="20"/>
          </w:rPr>
          <w:t>is</w:t>
        </w:r>
      </w:hyperlink>
      <w:hyperlink r:id="rId417">
        <w:r>
          <w:rPr>
            <w:rStyle w:val="ListLabel274"/>
            <w:spacing w:val="-2"/>
            <w:sz w:val="20"/>
            <w:szCs w:val="20"/>
          </w:rPr>
          <w:t>t</w:t>
        </w:r>
      </w:hyperlink>
      <w:hyperlink r:id="rId418">
        <w:r>
          <w:rPr>
            <w:rStyle w:val="ListLabel274"/>
            <w:spacing w:val="3"/>
            <w:sz w:val="20"/>
            <w:szCs w:val="20"/>
          </w:rPr>
          <w:t>e</w:t>
        </w:r>
      </w:hyperlink>
      <w:hyperlink r:id="rId419">
        <w:r>
          <w:rPr>
            <w:rStyle w:val="ListLabel274"/>
            <w:spacing w:val="-5"/>
            <w:sz w:val="20"/>
            <w:szCs w:val="20"/>
          </w:rPr>
          <w:t>m</w:t>
        </w:r>
      </w:hyperlink>
      <w:hyperlink r:id="rId420">
        <w:r>
          <w:rPr>
            <w:rStyle w:val="ListLabel274"/>
            <w:spacing w:val="2"/>
            <w:sz w:val="20"/>
            <w:szCs w:val="20"/>
          </w:rPr>
          <w:t>o</w:t>
        </w:r>
      </w:hyperlink>
      <w:hyperlink r:id="rId421">
        <w:r>
          <w:rPr>
            <w:rStyle w:val="ListLabel274"/>
            <w:spacing w:val="-1"/>
            <w:sz w:val="20"/>
            <w:szCs w:val="20"/>
          </w:rPr>
          <w:t>l</w:t>
        </w:r>
      </w:hyperlink>
      <w:hyperlink r:id="rId422">
        <w:r>
          <w:rPr>
            <w:rStyle w:val="ListLabel274"/>
            <w:spacing w:val="2"/>
            <w:sz w:val="20"/>
            <w:szCs w:val="20"/>
          </w:rPr>
          <w:t>o</w:t>
        </w:r>
      </w:hyperlink>
      <w:hyperlink r:id="rId423">
        <w:r>
          <w:rPr>
            <w:rStyle w:val="ListLabel274"/>
            <w:spacing w:val="-1"/>
            <w:sz w:val="20"/>
            <w:szCs w:val="20"/>
          </w:rPr>
          <w:t>gic</w:t>
        </w:r>
      </w:hyperlink>
      <w:hyperlink r:id="rId424">
        <w:r>
          <w:rPr>
            <w:rStyle w:val="ListLabel274"/>
            <w:sz w:val="20"/>
            <w:szCs w:val="20"/>
          </w:rPr>
          <w:t>a</w:t>
        </w:r>
      </w:hyperlink>
      <w:hyperlink r:id="rId425">
        <w:r>
          <w:rPr>
            <w:rStyle w:val="ListLabel274"/>
            <w:spacing w:val="-1"/>
            <w:sz w:val="20"/>
            <w:szCs w:val="20"/>
          </w:rPr>
          <w:t>l</w:t>
        </w:r>
      </w:hyperlink>
      <w:hyperlink r:id="rId426">
        <w:r>
          <w:rPr>
            <w:rStyle w:val="ListLabel274"/>
            <w:sz w:val="20"/>
            <w:szCs w:val="20"/>
          </w:rPr>
          <w:t>ly Differ</w:t>
        </w:r>
      </w:hyperlink>
      <w:hyperlink r:id="rId427">
        <w:r>
          <w:rPr>
            <w:rStyle w:val="ListLabel274"/>
            <w:spacing w:val="1"/>
            <w:sz w:val="20"/>
            <w:szCs w:val="20"/>
          </w:rPr>
          <w:t>e</w:t>
        </w:r>
      </w:hyperlink>
      <w:hyperlink r:id="rId428">
        <w:r>
          <w:rPr>
            <w:rStyle w:val="ListLabel274"/>
            <w:spacing w:val="2"/>
            <w:sz w:val="20"/>
            <w:szCs w:val="20"/>
          </w:rPr>
          <w:t>n</w:t>
        </w:r>
      </w:hyperlink>
      <w:hyperlink r:id="rId429">
        <w:r>
          <w:rPr>
            <w:rStyle w:val="ListLabel274"/>
            <w:sz w:val="20"/>
            <w:szCs w:val="20"/>
          </w:rPr>
          <w:t>t</w:t>
        </w:r>
      </w:hyperlink>
      <w:hyperlink r:id="rId430">
        <w:r>
          <w:rPr>
            <w:rStyle w:val="ListLabel274"/>
            <w:spacing w:val="1"/>
            <w:sz w:val="20"/>
            <w:szCs w:val="20"/>
          </w:rPr>
          <w:t xml:space="preserve"> </w:t>
        </w:r>
      </w:hyperlink>
      <w:hyperlink r:id="rId431">
        <w:r>
          <w:rPr>
            <w:rStyle w:val="ListLabel274"/>
            <w:spacing w:val="-1"/>
            <w:sz w:val="20"/>
            <w:szCs w:val="20"/>
          </w:rPr>
          <w:t>W</w:t>
        </w:r>
      </w:hyperlink>
      <w:hyperlink r:id="rId432">
        <w:r>
          <w:rPr>
            <w:rStyle w:val="ListLabel274"/>
            <w:spacing w:val="2"/>
            <w:sz w:val="20"/>
            <w:szCs w:val="20"/>
          </w:rPr>
          <w:t>o</w:t>
        </w:r>
      </w:hyperlink>
      <w:hyperlink r:id="rId433">
        <w:r>
          <w:rPr>
            <w:rStyle w:val="ListLabel274"/>
            <w:sz w:val="20"/>
            <w:szCs w:val="20"/>
          </w:rPr>
          <w:t>rl</w:t>
        </w:r>
      </w:hyperlink>
      <w:hyperlink r:id="rId434">
        <w:r>
          <w:rPr>
            <w:rStyle w:val="ListLabel274"/>
            <w:spacing w:val="2"/>
            <w:sz w:val="20"/>
            <w:szCs w:val="20"/>
          </w:rPr>
          <w:t>d</w:t>
        </w:r>
      </w:hyperlink>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pStyle w:val="Normal"/>
        <w:widowControl w:val="false"/>
        <w:spacing w:before="0" w:after="0"/>
        <w:ind w:left="0" w:right="-20" w:hanging="0"/>
        <w:contextualSpacing/>
        <w:rPr/>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pStyle w:val="Normal"/>
        <w:widowControl w:val="false"/>
        <w:spacing w:before="0" w:after="0"/>
        <w:ind w:left="0" w:right="4" w:hanging="0"/>
        <w:contextualSpacing/>
        <w:rPr/>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pStyle w:val="Normal"/>
        <w:widowControl w:val="false"/>
        <w:spacing w:before="0" w:after="0"/>
        <w:ind w:left="0" w:right="-20" w:hanging="0"/>
        <w:contextualSpacing/>
        <w:rPr/>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pStyle w:val="Normal"/>
        <w:widowControl w:val="false"/>
        <w:spacing w:before="0" w:after="0"/>
        <w:ind w:left="0" w:right="62" w:hanging="0"/>
        <w:contextualSpacing/>
        <w:rPr/>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pStyle w:val="Normal"/>
        <w:widowControl w:val="false"/>
        <w:spacing w:before="0" w:after="0"/>
        <w:ind w:left="0" w:right="65" w:hanging="0"/>
        <w:contextualSpacing/>
        <w:rPr/>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pStyle w:val="Normal"/>
        <w:widowControl w:val="false"/>
        <w:spacing w:before="0" w:after="0"/>
        <w:contextualSpacing/>
        <w:rPr>
          <w:sz w:val="20"/>
          <w:szCs w:val="20"/>
        </w:rPr>
      </w:pPr>
      <w:r>
        <w:rPr>
          <w:sz w:val="20"/>
          <w:szCs w:val="20"/>
        </w:rPr>
      </w:r>
    </w:p>
    <w:p>
      <w:pPr>
        <w:pStyle w:val="Normal"/>
        <w:spacing w:before="0" w:after="0"/>
        <w:contextualSpacing/>
        <w:rPr>
          <w:b/>
          <w:b/>
          <w:sz w:val="28"/>
          <w:szCs w:val="28"/>
        </w:rPr>
      </w:pPr>
      <w:r>
        <w:rPr>
          <w:b/>
          <w:sz w:val="28"/>
          <w:szCs w:val="28"/>
        </w:rPr>
      </w:r>
    </w:p>
    <w:p>
      <w:pPr>
        <w:pStyle w:val="Normal"/>
        <w:spacing w:before="0" w:after="0"/>
        <w:contextualSpacing/>
        <w:rPr>
          <w:b/>
          <w:b/>
          <w:sz w:val="28"/>
          <w:szCs w:val="28"/>
        </w:rPr>
      </w:pPr>
      <w:r>
        <w:rPr>
          <w:b/>
          <w:sz w:val="28"/>
          <w:szCs w:val="28"/>
        </w:rPr>
      </w:r>
    </w:p>
    <w:p>
      <w:pPr>
        <w:pStyle w:val="Normal"/>
        <w:spacing w:before="0" w:after="0"/>
        <w:contextualSpacing/>
        <w:rPr>
          <w:b/>
          <w:b/>
          <w:sz w:val="28"/>
          <w:szCs w:val="28"/>
        </w:rPr>
      </w:pPr>
      <w:r>
        <w:rPr>
          <w:b/>
          <w:sz w:val="28"/>
          <w:szCs w:val="28"/>
        </w:rPr>
      </w:r>
    </w:p>
    <w:p>
      <w:pPr>
        <w:pStyle w:val="Normal"/>
        <w:spacing w:before="0" w:after="0"/>
        <w:contextualSpacing/>
        <w:rPr>
          <w:b/>
          <w:b/>
          <w:sz w:val="32"/>
          <w:szCs w:val="32"/>
        </w:rPr>
      </w:pPr>
      <w:r>
        <w:rPr>
          <w:b/>
          <w:sz w:val="32"/>
          <w:szCs w:val="32"/>
        </w:rPr>
        <w:t>July 2018</w:t>
      </w:r>
    </w:p>
    <w:p>
      <w:pPr>
        <w:pStyle w:val="Normal"/>
        <w:spacing w:before="0" w:after="0"/>
        <w:contextualSpacing/>
        <w:rPr>
          <w:b/>
          <w:b/>
          <w:sz w:val="28"/>
          <w:szCs w:val="28"/>
        </w:rPr>
      </w:pPr>
      <w:r>
        <w:rPr>
          <w:b/>
          <w:sz w:val="28"/>
          <w:szCs w:val="28"/>
        </w:rPr>
      </w:r>
    </w:p>
    <w:p>
      <w:pPr>
        <w:pStyle w:val="Normal"/>
        <w:spacing w:before="0" w:after="0"/>
        <w:contextualSpacing/>
        <w:rPr/>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pStyle w:val="Normal"/>
        <w:spacing w:before="0" w:after="0"/>
        <w:contextualSpacing/>
        <w:rPr>
          <w:sz w:val="28"/>
          <w:szCs w:val="28"/>
        </w:rPr>
      </w:pPr>
      <w:r>
        <w:rPr>
          <w:sz w:val="28"/>
          <w:szCs w:val="28"/>
        </w:rPr>
      </w:r>
    </w:p>
    <w:p>
      <w:pPr>
        <w:pStyle w:val="Normal"/>
        <w:spacing w:before="0" w:after="0"/>
        <w:contextualSpacing/>
        <w:rPr>
          <w:b/>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pStyle w:val="Normal"/>
        <w:spacing w:before="0" w:after="0"/>
        <w:contextualSpacing/>
        <w:rPr>
          <w:b/>
          <w:b/>
          <w:sz w:val="32"/>
          <w:szCs w:val="32"/>
        </w:rPr>
      </w:pPr>
      <w:r>
        <w:rPr>
          <w:b/>
          <w:sz w:val="32"/>
          <w:szCs w:val="32"/>
        </w:rPr>
      </w:r>
    </w:p>
    <w:p>
      <w:pPr>
        <w:pStyle w:val="Default"/>
        <w:spacing w:before="0" w:after="0"/>
        <w:contextualSpacing/>
        <w:jc w:val="both"/>
        <w:rPr/>
      </w:pPr>
      <w:r>
        <w:rPr/>
      </w:r>
    </w:p>
    <w:p>
      <w:pPr>
        <w:pStyle w:val="Default"/>
        <w:numPr>
          <w:ilvl w:val="0"/>
          <w:numId w:val="3"/>
        </w:numPr>
        <w:spacing w:before="0" w:after="0"/>
        <w:ind w:left="0" w:right="0" w:hanging="360"/>
        <w:contextualSpacing/>
        <w:jc w:val="both"/>
        <w:rPr/>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pStyle w:val="Default"/>
        <w:spacing w:before="0" w:after="0"/>
        <w:contextualSpacing/>
        <w:jc w:val="both"/>
        <w:rPr>
          <w:sz w:val="22"/>
          <w:szCs w:val="22"/>
        </w:rPr>
      </w:pPr>
      <w:r>
        <w:rPr>
          <w:sz w:val="22"/>
          <w:szCs w:val="22"/>
        </w:rPr>
      </w:r>
    </w:p>
    <w:p>
      <w:pPr>
        <w:pStyle w:val="Default"/>
        <w:spacing w:before="0" w:after="0"/>
        <w:contextualSpacing/>
        <w:jc w:val="both"/>
        <w:rPr>
          <w:sz w:val="22"/>
          <w:szCs w:val="22"/>
        </w:rPr>
      </w:pPr>
      <w:r>
        <w:rPr>
          <w:sz w:val="22"/>
          <w:szCs w:val="22"/>
        </w:rPr>
        <w:t xml:space="preserve">Abstract </w:t>
      </w:r>
    </w:p>
    <w:p>
      <w:pPr>
        <w:pStyle w:val="Default"/>
        <w:spacing w:before="0" w:after="0"/>
        <w:contextualSpacing/>
        <w:jc w:val="both"/>
        <w:rPr/>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pStyle w:val="Normal"/>
        <w:spacing w:before="0" w:after="0"/>
        <w:contextualSpacing/>
        <w:rPr>
          <w:b/>
          <w:b/>
        </w:rPr>
      </w:pPr>
      <w:r>
        <w:rPr>
          <w:b/>
        </w:rPr>
      </w:r>
    </w:p>
    <w:p>
      <w:pPr>
        <w:pStyle w:val="Normal"/>
        <w:spacing w:before="0" w:after="0"/>
        <w:contextualSpacing/>
        <w:rPr/>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pStyle w:val="Normal"/>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pStyle w:val="Normal"/>
        <w:spacing w:before="0" w:after="0"/>
        <w:contextualSpacing/>
        <w:rPr>
          <w:sz w:val="22"/>
          <w:szCs w:val="22"/>
        </w:rPr>
      </w:pPr>
      <w:r>
        <w:rPr>
          <w:sz w:val="22"/>
          <w:szCs w:val="22"/>
        </w:rPr>
      </w:r>
    </w:p>
    <w:p>
      <w:pPr>
        <w:pStyle w:val="Normal"/>
        <w:spacing w:before="0" w:after="0"/>
        <w:contextualSpacing/>
        <w:rPr/>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pStyle w:val="Normal"/>
        <w:spacing w:before="0" w:after="0"/>
        <w:contextualSpacing/>
        <w:rPr>
          <w:sz w:val="22"/>
          <w:szCs w:val="22"/>
        </w:rPr>
      </w:pPr>
      <w:r>
        <w:rPr>
          <w:sz w:val="22"/>
          <w:szCs w:val="22"/>
        </w:rPr>
      </w:r>
    </w:p>
    <w:p>
      <w:pPr>
        <w:pStyle w:val="Normal"/>
        <w:spacing w:before="0" w:after="0"/>
        <w:contextualSpacing/>
        <w:rPr/>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pStyle w:val="Normal"/>
        <w:spacing w:before="0" w:after="0"/>
        <w:contextualSpacing/>
        <w:rPr>
          <w:sz w:val="22"/>
          <w:szCs w:val="22"/>
        </w:rPr>
      </w:pPr>
      <w:r>
        <w:rPr>
          <w:sz w:val="22"/>
          <w:szCs w:val="22"/>
        </w:rPr>
      </w:r>
    </w:p>
    <w:p>
      <w:pPr>
        <w:pStyle w:val="Default"/>
        <w:spacing w:before="0" w:after="0"/>
        <w:contextualSpacing/>
        <w:jc w:val="both"/>
        <w:rPr>
          <w:b/>
          <w:b/>
          <w:bCs/>
          <w:sz w:val="22"/>
          <w:szCs w:val="22"/>
        </w:rPr>
      </w:pPr>
      <w:r>
        <w:rPr>
          <w:b/>
          <w:bCs/>
          <w:sz w:val="22"/>
          <w:szCs w:val="22"/>
        </w:rPr>
        <w:t xml:space="preserve">Conclusion: Each Thing Is Fundamental </w:t>
      </w:r>
    </w:p>
    <w:p>
      <w:pPr>
        <w:pStyle w:val="Normal"/>
        <w:spacing w:before="0" w:after="0"/>
        <w:contextualSpacing/>
        <w:rPr/>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pStyle w:val="Normal"/>
        <w:spacing w:before="0" w:after="0"/>
        <w:contextualSpacing/>
        <w:rPr>
          <w:sz w:val="22"/>
          <w:szCs w:val="22"/>
        </w:rPr>
      </w:pPr>
      <w:r>
        <w:rPr>
          <w:sz w:val="22"/>
          <w:szCs w:val="22"/>
        </w:rPr>
      </w:r>
    </w:p>
    <w:p>
      <w:pPr>
        <w:pStyle w:val="Normal"/>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pStyle w:val="Normal"/>
        <w:spacing w:before="0" w:after="0"/>
        <w:contextualSpacing/>
        <w:rPr>
          <w:sz w:val="22"/>
          <w:szCs w:val="22"/>
        </w:rPr>
      </w:pPr>
      <w:r>
        <w:rPr>
          <w:sz w:val="22"/>
          <w:szCs w:val="22"/>
        </w:rPr>
      </w:r>
    </w:p>
    <w:p>
      <w:pPr>
        <w:pStyle w:val="Normal"/>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pStyle w:val="Normal"/>
        <w:spacing w:before="0" w:after="0"/>
        <w:contextualSpacing/>
        <w:rPr>
          <w:sz w:val="22"/>
          <w:szCs w:val="22"/>
        </w:rPr>
      </w:pPr>
      <w:r>
        <w:rPr>
          <w:sz w:val="22"/>
          <w:szCs w:val="22"/>
        </w:rPr>
        <w:t xml:space="preserve"> </w:t>
      </w:r>
    </w:p>
    <w:p>
      <w:pPr>
        <w:pStyle w:val="Normal"/>
        <w:spacing w:before="0" w:after="0"/>
        <w:contextualSpacing/>
        <w:rPr>
          <w:b/>
          <w:b/>
          <w:sz w:val="28"/>
          <w:szCs w:val="28"/>
        </w:rPr>
      </w:pPr>
      <w:r>
        <w:rPr>
          <w:b/>
          <w:sz w:val="28"/>
          <w:szCs w:val="28"/>
        </w:rPr>
      </w:r>
    </w:p>
    <w:p>
      <w:pPr>
        <w:pStyle w:val="ListParagraph"/>
        <w:numPr>
          <w:ilvl w:val="0"/>
          <w:numId w:val="3"/>
        </w:numPr>
        <w:spacing w:before="0" w:after="0"/>
        <w:ind w:left="0" w:right="0" w:hanging="360"/>
        <w:contextualSpacing/>
        <w:jc w:val="both"/>
        <w:rPr/>
      </w:pPr>
      <w:r>
        <w:rPr>
          <w:rFonts w:eastAsia="Calibri" w:ascii="Times New Roman" w:hAnsi="Times New Roman"/>
          <w:b/>
          <w:sz w:val="28"/>
          <w:szCs w:val="28"/>
          <w:lang w:val="en-GB"/>
        </w:rPr>
        <w:t xml:space="preserve">Baptiste Le Bihan (2018 donwloaded) (University of Geneva): </w:t>
      </w:r>
      <w:r>
        <w:rPr>
          <w:rFonts w:eastAsia="Calibri" w:ascii="Times New Roman" w:hAnsi="Times New Roman"/>
          <w:b/>
          <w:bCs/>
          <w:sz w:val="28"/>
          <w:szCs w:val="28"/>
          <w:lang w:val="en-GB"/>
        </w:rPr>
        <w:t>Aspects in Dual-Aspect Monism and Panpsychism: A Rejoinder to Benovsky, (</w:t>
      </w:r>
      <w:r>
        <w:rPr>
          <w:rFonts w:eastAsia="Calibri" w:ascii="Times New Roman" w:hAnsi="Times New Roman"/>
          <w:b/>
          <w:sz w:val="28"/>
          <w:szCs w:val="28"/>
          <w:lang w:val="en-GB"/>
        </w:rPr>
        <w:t xml:space="preserve">Preprint, final version forthcoming in </w:t>
      </w:r>
      <w:r>
        <w:rPr>
          <w:rFonts w:eastAsia="Calibri" w:ascii="Times New Roman" w:hAnsi="Times New Roman"/>
          <w:b/>
          <w:i/>
          <w:iCs/>
          <w:sz w:val="28"/>
          <w:szCs w:val="28"/>
          <w:lang w:val="en-GB"/>
        </w:rPr>
        <w:t>Philosophical Investigations)</w:t>
      </w:r>
    </w:p>
    <w:p>
      <w:pPr>
        <w:pStyle w:val="Normal"/>
        <w:spacing w:before="0" w:after="0"/>
        <w:contextualSpacing/>
        <w:rPr>
          <w:b/>
          <w:b/>
          <w:sz w:val="28"/>
          <w:szCs w:val="28"/>
        </w:rPr>
      </w:pPr>
      <w:r>
        <w:rPr>
          <w:b/>
          <w:sz w:val="28"/>
          <w:szCs w:val="28"/>
        </w:rPr>
      </w:r>
    </w:p>
    <w:p>
      <w:pPr>
        <w:pStyle w:val="Normal"/>
        <w:spacing w:before="0" w:after="0"/>
        <w:contextualSpacing/>
        <w:rPr/>
      </w:pPr>
      <w:r>
        <w:rPr>
          <w:rFonts w:eastAsia="Calibri" w:cs="TimesNewRomanPSMT" w:ascii="TimesNewRomanPSMT" w:hAnsi="TimesNewRomanPSMT"/>
          <w:sz w:val="22"/>
          <w:szCs w:val="22"/>
          <w:lang w:val="en-GB"/>
        </w:rPr>
        <w:t xml:space="preserve">Abstract: </w:t>
      </w:r>
      <w:r>
        <w:rPr>
          <w:rFonts w:eastAsia="Calibri" w:cs="TimesNewRomanPS-ItalicMT" w:ascii="TimesNewRomanPS-ItalicMT" w:hAnsi="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pStyle w:val="Normal"/>
        <w:spacing w:before="0" w:after="0"/>
        <w:contextualSpacing/>
        <w:rPr>
          <w:rFonts w:ascii="TimesNewRomanPS-ItalicMT" w:hAnsi="TimesNewRomanPS-ItalicMT" w:eastAsia="Calibri" w:cs="TimesNewRomanPS-ItalicMT"/>
          <w:i/>
          <w:i/>
          <w:iCs/>
          <w:sz w:val="22"/>
          <w:szCs w:val="22"/>
          <w:lang w:val="en-GB"/>
        </w:rPr>
      </w:pPr>
      <w:r>
        <w:rPr>
          <w:rFonts w:eastAsia="Calibri" w:cs="TimesNewRomanPS-ItalicMT" w:ascii="TimesNewRomanPS-ItalicMT" w:hAnsi="TimesNewRomanPS-ItalicMT"/>
          <w:i/>
          <w:iCs/>
          <w:sz w:val="22"/>
          <w:szCs w:val="22"/>
          <w:lang w:val="en-GB"/>
        </w:rPr>
        <w:t>the realist interpretation of the aspects and its relation with panpsychism.</w:t>
      </w:r>
    </w:p>
    <w:p>
      <w:pPr>
        <w:pStyle w:val="Normal"/>
        <w:spacing w:before="0" w:after="0"/>
        <w:contextualSpacing/>
        <w:rPr>
          <w:b/>
          <w:b/>
          <w:sz w:val="22"/>
          <w:szCs w:val="22"/>
        </w:rPr>
      </w:pPr>
      <w:r>
        <w:rPr>
          <w:b/>
          <w:sz w:val="22"/>
          <w:szCs w:val="22"/>
        </w:rPr>
      </w:r>
    </w:p>
    <w:p>
      <w:pPr>
        <w:pStyle w:val="Normal"/>
        <w:spacing w:before="0" w:after="0"/>
        <w:contextualSpacing/>
        <w:rPr/>
      </w:pPr>
      <w:r>
        <w:rPr>
          <w:rFonts w:eastAsia="Calibri" w:cs="TimesNewRomanPSMT" w:ascii="TimesNewRomanPSMT" w:hAnsi="TimesNewRomanPSMT"/>
          <w:sz w:val="22"/>
          <w:szCs w:val="22"/>
          <w:lang w:val="en-GB"/>
        </w:rPr>
        <w:t xml:space="preserve">Jiri Benovsky has recently defended </w:t>
      </w:r>
      <w:r>
        <w:rPr>
          <w:rFonts w:eastAsia="Calibri" w:cs="TimesNewRomanPS-ItalicMT" w:ascii="TimesNewRomanPS-ItalicMT" w:hAnsi="TimesNewRomanPS-ItalicMT"/>
          <w:i/>
          <w:iCs/>
          <w:sz w:val="22"/>
          <w:szCs w:val="22"/>
          <w:lang w:val="en-GB"/>
        </w:rPr>
        <w:t xml:space="preserve">dual-aspect monism </w:t>
      </w:r>
      <w:r>
        <w:rPr>
          <w:rFonts w:eastAsia="Calibri" w:cs="TimesNewRomanPSMT" w:ascii="TimesNewRomanPSMT" w:hAnsi="TimesNewRomanPSMT"/>
          <w:sz w:val="22"/>
          <w:szCs w:val="22"/>
          <w:lang w:val="en-GB"/>
        </w:rPr>
        <w:t xml:space="preserve">in an essay published in </w:t>
      </w:r>
      <w:r>
        <w:rPr>
          <w:rFonts w:eastAsia="Calibri" w:cs="TimesNewRomanPS-ItalicMT" w:ascii="TimesNewRomanPS-ItalicMT" w:hAnsi="TimesNewRomanPS-ItalicMT"/>
          <w:i/>
          <w:iCs/>
          <w:sz w:val="22"/>
          <w:szCs w:val="22"/>
          <w:lang w:val="en-GB"/>
        </w:rPr>
        <w:t xml:space="preserve">Philosophical Investigations </w:t>
      </w:r>
      <w:r>
        <w:rPr>
          <w:rFonts w:eastAsia="Calibri" w:cs="TimesNewRomanPSMT" w:ascii="TimesNewRomanPSMT" w:hAnsi="TimesNewRomanPSMT"/>
          <w:sz w:val="22"/>
          <w:szCs w:val="22"/>
          <w:lang w:val="en-GB"/>
        </w:rPr>
        <w:t>(Benovsky 2015</w:t>
      </w:r>
      <w:r>
        <w:rPr>
          <w:rStyle w:val="FootnoteAnchor"/>
          <w:rFonts w:eastAsia="Calibri" w:cs="TimesNewRomanPSMT" w:ascii="TimesNewRomanPSMT" w:hAnsi="TimesNewRomanPSMT"/>
          <w:sz w:val="22"/>
          <w:szCs w:val="22"/>
          <w:lang w:val="en-GB"/>
        </w:rPr>
        <w:footnoteReference w:id="308"/>
      </w:r>
      <w:r>
        <w:rPr>
          <w:rFonts w:eastAsia="Calibri" w:cs="TimesNewRomanPSMT" w:ascii="TimesNewRomanPSMT" w:hAnsi="TimesNewRomanPSMT"/>
          <w:sz w:val="22"/>
          <w:szCs w:val="22"/>
          <w:lang w:val="en-GB"/>
        </w:rPr>
        <w:t xml:space="preserve">), a view similar to </w:t>
      </w:r>
      <w:r>
        <w:rPr>
          <w:rFonts w:eastAsia="Calibri" w:cs="TimesNewRomanPS-ItalicMT" w:ascii="TimesNewRomanPS-ItalicMT" w:hAnsi="TimesNewRomanPS-ItalicMT"/>
          <w:i/>
          <w:iCs/>
          <w:sz w:val="22"/>
          <w:szCs w:val="22"/>
          <w:lang w:val="en-GB"/>
        </w:rPr>
        <w:t xml:space="preserve">neutral monism </w:t>
      </w:r>
      <w:r>
        <w:rPr>
          <w:rFonts w:eastAsia="Calibri" w:cs="TimesNewRomanPSMT" w:ascii="TimesNewRomanPSMT" w:hAnsi="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pPr>
      <w:r>
        <w:rPr>
          <w:rFonts w:eastAsia="Calibri" w:cs="TimesNewRomanPSMT" w:ascii="TimesNewRomanPSMT" w:hAnsi="TimesNewRomanPSMT"/>
          <w:sz w:val="22"/>
          <w:szCs w:val="22"/>
          <w:lang w:val="en-GB"/>
        </w:rPr>
        <w:t xml:space="preserve">This middle way is </w:t>
      </w:r>
      <w:r>
        <w:rPr>
          <w:rFonts w:eastAsia="Calibri" w:cs="TimesNewRomanPS-ItalicMT" w:ascii="TimesNewRomanPS-ItalicMT" w:hAnsi="TimesNewRomanPS-ItalicMT"/>
          <w:i/>
          <w:iCs/>
          <w:sz w:val="22"/>
          <w:szCs w:val="22"/>
          <w:lang w:val="en-GB"/>
        </w:rPr>
        <w:t>neutral monism</w:t>
      </w:r>
      <w:r>
        <w:rPr>
          <w:rFonts w:eastAsia="Calibri" w:cs="TimesNewRomanPSMT" w:ascii="TimesNewRomanPSMT" w:hAnsi="TimesNewRomanPSMT"/>
          <w:sz w:val="22"/>
          <w:szCs w:val="22"/>
          <w:lang w:val="en-GB"/>
        </w:rPr>
        <w:t xml:space="preserve">, or </w:t>
      </w:r>
      <w:r>
        <w:rPr>
          <w:rFonts w:eastAsia="Calibri" w:cs="TimesNewRomanPS-ItalicMT" w:ascii="TimesNewRomanPS-ItalicMT" w:hAnsi="TimesNewRomanPS-ItalicMT"/>
          <w:i/>
          <w:iCs/>
          <w:sz w:val="22"/>
          <w:szCs w:val="22"/>
          <w:lang w:val="en-GB"/>
        </w:rPr>
        <w:t>dual-aspect mon ism</w:t>
      </w:r>
      <w:r>
        <w:rPr>
          <w:rFonts w:eastAsia="Calibri" w:cs="TimesNewRomanPSMT" w:ascii="TimesNewRomanPSMT" w:hAnsi="TimesNewRomanPSMT"/>
          <w:sz w:val="22"/>
          <w:szCs w:val="22"/>
          <w:lang w:val="en-GB"/>
        </w:rPr>
        <w:t xml:space="preserve">, the view that the world is made of only one kind of entities, which are neither purely physical nor purely mental and have both </w:t>
      </w:r>
      <w:r>
        <w:rPr>
          <w:rFonts w:eastAsia="Calibri" w:cs="TimesNewRomanPS-ItalicMT" w:ascii="TimesNewRomanPS-ItalicMT" w:hAnsi="TimesNewRomanPS-ItalicMT"/>
          <w:i/>
          <w:iCs/>
          <w:sz w:val="22"/>
          <w:szCs w:val="22"/>
          <w:lang w:val="en-GB"/>
        </w:rPr>
        <w:t>aspects</w:t>
      </w:r>
      <w:r>
        <w:rPr>
          <w:rFonts w:eastAsia="Calibri" w:cs="TimesNewRomanPSMT" w:ascii="TimesNewRomanPSMT" w:hAnsi="TimesNewRomanPSMT"/>
          <w:sz w:val="22"/>
          <w:szCs w:val="22"/>
          <w:lang w:val="en-GB"/>
        </w:rPr>
        <w:t xml:space="preserve">. </w:t>
      </w:r>
    </w:p>
    <w:p>
      <w:pPr>
        <w:pStyle w:val="Normal"/>
        <w:spacing w:before="0" w:after="0"/>
        <w:contextualSpacing/>
        <w:rPr>
          <w:b/>
          <w:b/>
          <w:sz w:val="22"/>
          <w:szCs w:val="22"/>
        </w:rPr>
      </w:pPr>
      <w:r>
        <w:rPr>
          <w:b/>
          <w:sz w:val="22"/>
          <w:szCs w:val="22"/>
        </w:rPr>
      </w:r>
    </w:p>
    <w:p>
      <w:pPr>
        <w:pStyle w:val="Normal"/>
        <w:spacing w:before="0" w:after="0"/>
        <w:contextualSpacing/>
        <w:rPr/>
      </w:pPr>
      <w:r>
        <w:rPr>
          <w:rFonts w:eastAsia="Calibri" w:cs="TimesNewRomanPSMT" w:ascii="TimesNewRomanPSMT" w:hAnsi="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eastAsia="Calibri" w:cs="TimesNewRomanPS-ItalicMT" w:ascii="TimesNewRomanPS-ItalicMT" w:hAnsi="TimesNewRomanPS-ItalicMT"/>
          <w:i/>
          <w:iCs/>
          <w:sz w:val="22"/>
          <w:szCs w:val="22"/>
          <w:lang w:val="en-GB"/>
        </w:rPr>
        <w:t>per se</w:t>
      </w:r>
      <w:r>
        <w:rPr>
          <w:rFonts w:eastAsia="Calibri" w:cs="TimesNewRomanPSMT" w:ascii="TimesNewRomanPSMT" w:hAnsi="TimesNewRomanPSMT"/>
          <w:sz w:val="22"/>
          <w:szCs w:val="22"/>
          <w:lang w:val="en-GB"/>
        </w:rPr>
        <w:t>, since there is no pure physical world, where 'pure' is introduced to refer to the physical, with the exclusion of the mental. What there is instead is a phental world.</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 xml:space="preserve">Everything occurring in the phental world may be explained by referring to phental causes, which are both mental and physical (neither purely mental nor purely physical). (p. 3)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 xml:space="preserve"> </w:t>
      </w:r>
    </w:p>
    <w:p>
      <w:pPr>
        <w:pStyle w:val="Normal"/>
        <w:spacing w:before="0" w:after="0"/>
        <w:contextualSpacing/>
        <w:rPr/>
      </w:pPr>
      <w:r>
        <w:rPr>
          <w:rFonts w:eastAsia="Calibri" w:cs="TimesNewRomanPSMT" w:ascii="TimesNewRomanPSMT" w:hAnsi="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eastAsia="Calibri" w:cs="TimesNewRomanPS-ItalicMT" w:ascii="TimesNewRomanPS-ItalicMT" w:hAnsi="TimesNewRomanPS-ItalicMT"/>
          <w:i/>
          <w:iCs/>
          <w:sz w:val="22"/>
          <w:szCs w:val="22"/>
          <w:lang w:val="en-GB"/>
        </w:rPr>
        <w:t xml:space="preserve">experience </w:t>
      </w:r>
      <w:r>
        <w:rPr>
          <w:rFonts w:eastAsia="Calibri" w:cs="TimesNewRomanPSMT" w:ascii="TimesNewRomanPSMT" w:hAnsi="TimesNewRomanPSMT"/>
          <w:sz w:val="22"/>
          <w:szCs w:val="22"/>
          <w:lang w:val="en-GB"/>
        </w:rPr>
        <w:t xml:space="preserve">or </w:t>
      </w:r>
      <w:r>
        <w:rPr>
          <w:rFonts w:eastAsia="Calibri" w:cs="TimesNewRomanPS-ItalicMT" w:ascii="TimesNewRomanPS-ItalicMT" w:hAnsi="TimesNewRomanPS-ItalicMT"/>
          <w:i/>
          <w:iCs/>
          <w:sz w:val="22"/>
          <w:szCs w:val="22"/>
          <w:lang w:val="en-GB"/>
        </w:rPr>
        <w:t xml:space="preserve">conceive </w:t>
      </w:r>
      <w:r>
        <w:rPr>
          <w:rFonts w:eastAsia="Calibri" w:cs="TimesNewRomanPSMT" w:ascii="TimesNewRomanPSMT" w:hAnsi="TimesNewRomanPSMT"/>
          <w:sz w:val="22"/>
          <w:szCs w:val="22"/>
          <w:lang w:val="en-GB"/>
        </w:rPr>
        <w:t xml:space="preserve">of experiencing one aspect in the absence of the other aspect. (p. 3)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The intuition that mental entities require the existence of a complex mind is negated</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pPr>
      <w:r>
        <w:rPr>
          <w:rFonts w:eastAsia="Calibri" w:cs="TimesNewRomanPSMT" w:ascii="TimesNewRomanPSMT" w:hAnsi="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eastAsia="Calibri" w:cs="TimesNewRomanPS-ItalicMT" w:ascii="TimesNewRomanPS-ItalicMT" w:hAnsi="TimesNewRomanPS-ItalicMT"/>
          <w:i/>
          <w:iCs/>
          <w:sz w:val="22"/>
          <w:szCs w:val="22"/>
          <w:lang w:val="en-GB"/>
        </w:rPr>
        <w:t>compositional phenomenon</w:t>
      </w:r>
      <w:r>
        <w:rPr>
          <w:rFonts w:eastAsia="Calibri" w:cs="TimesNewRomanPSMT" w:ascii="TimesNewRomanPSMT" w:hAnsi="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pStyle w:val="Normal"/>
        <w:spacing w:before="0" w:after="0"/>
        <w:contextualSpacing/>
        <w:rPr/>
      </w:pPr>
      <w:r>
        <w:rPr>
          <w:rFonts w:eastAsia="Calibri" w:cs="TimesNewRomanPSMT" w:ascii="TimesNewRomanPSMT" w:hAnsi="TimesNewRomanPSMT"/>
          <w:sz w:val="22"/>
          <w:szCs w:val="22"/>
          <w:lang w:val="en-GB"/>
        </w:rPr>
        <w:t xml:space="preserve">physical system is, in fact, a neutral system with properties that have </w:t>
      </w:r>
      <w:r>
        <w:rPr>
          <w:rFonts w:eastAsia="Calibri" w:cs="TimesNewRomanPS-ItalicMT" w:ascii="TimesNewRomanPS-ItalicMT" w:hAnsi="TimesNewRomanPS-ItalicMT"/>
          <w:i/>
          <w:iCs/>
          <w:sz w:val="22"/>
          <w:szCs w:val="22"/>
          <w:lang w:val="en-GB"/>
        </w:rPr>
        <w:t xml:space="preserve">both </w:t>
      </w:r>
      <w:r>
        <w:rPr>
          <w:rFonts w:eastAsia="Calibri" w:cs="TimesNewRomanPSMT" w:ascii="TimesNewRomanPSMT" w:hAnsi="TimesNewRomanPSMT"/>
          <w:sz w:val="22"/>
          <w:szCs w:val="22"/>
          <w:lang w:val="en-GB"/>
        </w:rPr>
        <w:t>mental and physical aspects.</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pStyle w:val="Normal"/>
        <w:spacing w:before="0" w:after="0"/>
        <w:contextualSpacing/>
        <w:rPr/>
      </w:pPr>
      <w:r>
        <w:rPr>
          <w:rFonts w:eastAsia="Calibri" w:cs="TimesNewRomanPSMT" w:ascii="TimesNewRomanPSMT" w:hAnsi="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eastAsia="Calibri" w:cs="TimesNewRomanPS-ItalicMT" w:ascii="TimesNewRomanPS-ItalicMT" w:hAnsi="TimesNewRomanPS-ItalicMT"/>
          <w:i/>
          <w:iCs/>
          <w:sz w:val="22"/>
          <w:szCs w:val="22"/>
          <w:lang w:val="en-GB"/>
        </w:rPr>
        <w:t xml:space="preserve">contra </w:t>
      </w:r>
      <w:r>
        <w:rPr>
          <w:rFonts w:eastAsia="Calibri" w:cs="TimesNewRomanPSMT" w:ascii="TimesNewRomanPSMT" w:hAnsi="TimesNewRomanPSMT"/>
          <w:sz w:val="22"/>
          <w:szCs w:val="22"/>
          <w:lang w:val="en-GB"/>
        </w:rPr>
        <w:t>Benovsky, we must then add aspects to the inventory of the ontological realm and they should not be regarded as an ontological 'free lunch'. (p. 11)</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lang w:val="en-GB"/>
        </w:rPr>
      </w:pPr>
      <w:r>
        <w:rPr>
          <w:rFonts w:eastAsia="Calibri" w:cs="TimesNewRomanPSMT" w:ascii="TimesNewRomanPSMT" w:hAnsi="TimesNewRomanPSMT"/>
          <w:lang w:val="en-GB"/>
        </w:rPr>
      </w:r>
    </w:p>
    <w:p>
      <w:pPr>
        <w:pStyle w:val="Normal"/>
        <w:spacing w:before="0" w:after="0"/>
        <w:contextualSpacing/>
        <w:rPr>
          <w:rFonts w:ascii="TimesNewRomanPSMT" w:hAnsi="TimesNewRomanPSMT" w:eastAsia="Calibri" w:cs="TimesNewRomanPSMT"/>
          <w:lang w:val="en-GB"/>
        </w:rPr>
      </w:pPr>
      <w:r>
        <w:rPr>
          <w:rFonts w:eastAsia="Calibri" w:cs="TimesNewRomanPSMT" w:ascii="TimesNewRomanPSMT" w:hAnsi="TimesNewRomanPSMT"/>
          <w:lang w:val="en-GB"/>
        </w:rPr>
      </w:r>
    </w:p>
    <w:p>
      <w:pPr>
        <w:pStyle w:val="Normal"/>
        <w:spacing w:before="0" w:after="0"/>
        <w:contextualSpacing/>
        <w:rPr>
          <w:rFonts w:ascii="TimesNewRomanPSMT" w:hAnsi="TimesNewRomanPSMT" w:eastAsia="Calibri" w:cs="TimesNewRomanPSMT"/>
          <w:lang w:val="en-GB"/>
        </w:rPr>
      </w:pPr>
      <w:r>
        <w:rPr>
          <w:rFonts w:eastAsia="Calibri" w:cs="TimesNewRomanPSMT" w:ascii="TimesNewRomanPSMT" w:hAnsi="TimesNewRomanPSMT"/>
          <w:lang w:val="en-GB"/>
        </w:rPr>
      </w:r>
    </w:p>
    <w:p>
      <w:pPr>
        <w:pStyle w:val="ListParagraph"/>
        <w:numPr>
          <w:ilvl w:val="0"/>
          <w:numId w:val="3"/>
        </w:numPr>
        <w:spacing w:before="0" w:after="0"/>
        <w:ind w:left="0" w:right="0" w:hanging="360"/>
        <w:contextualSpacing/>
        <w:jc w:val="both"/>
        <w:rPr/>
      </w:pPr>
      <w:r>
        <w:rPr>
          <w:rFonts w:eastAsia="Calibri" w:cs="TimesNewRomanPSMT" w:ascii="TimesNewRomanPSMT" w:hAnsi="TimesNewRomanPSMT"/>
          <w:lang w:val="en-GB"/>
        </w:rPr>
        <w:t xml:space="preserve"> </w:t>
      </w:r>
      <w:r>
        <w:rPr>
          <w:rFonts w:eastAsia="Calibri" w:ascii="Times New Roman" w:hAnsi="Times New Roman"/>
          <w:b/>
          <w:sz w:val="28"/>
          <w:szCs w:val="28"/>
          <w:lang w:val="en-GB"/>
        </w:rPr>
        <w:t xml:space="preserve">Antonella Mallozzi (The Graduate Center – CUNY): ‘Putting Modal Metaphysics First - From Knowledge of Essence to Knowledge of Metaphysical Necessity’ (Forthcoming in </w:t>
      </w:r>
      <w:r>
        <w:rPr>
          <w:rFonts w:eastAsia="Calibri" w:ascii="Times New Roman" w:hAnsi="Times New Roman"/>
          <w:b/>
          <w:i/>
          <w:iCs/>
          <w:sz w:val="28"/>
          <w:szCs w:val="28"/>
          <w:lang w:val="en-GB"/>
        </w:rPr>
        <w:t>Synthese</w:t>
      </w:r>
      <w:r>
        <w:rPr>
          <w:rFonts w:eastAsia="Calibri" w:ascii="Times New Roman" w:hAnsi="Times New Roman"/>
          <w:b/>
          <w:sz w:val="28"/>
          <w:szCs w:val="28"/>
          <w:lang w:val="en-GB"/>
        </w:rPr>
        <w:t>, penultimate draft)</w:t>
      </w:r>
    </w:p>
    <w:p>
      <w:pPr>
        <w:pStyle w:val="Normal"/>
        <w:spacing w:before="0" w:after="0"/>
        <w:contextualSpacing/>
        <w:rPr>
          <w:rFonts w:ascii="TimesNewRomanPSMT" w:hAnsi="TimesNewRomanPSMT" w:eastAsia="Calibri" w:cs="TimesNewRomanPSMT"/>
          <w:lang w:val="en-GB"/>
        </w:rPr>
      </w:pPr>
      <w:r>
        <w:rPr>
          <w:rFonts w:eastAsia="Calibri" w:cs="TimesNewRomanPSMT" w:ascii="TimesNewRomanPSMT" w:hAnsi="TimesNewRomanPSMT"/>
          <w:lang w:val="en-GB"/>
        </w:rPr>
      </w:r>
    </w:p>
    <w:p>
      <w:pPr>
        <w:pStyle w:val="Normal"/>
        <w:spacing w:before="0" w:after="0"/>
        <w:contextualSpacing/>
        <w:rPr>
          <w:rFonts w:ascii="TimesNewRomanPS-BoldMT" w:hAnsi="TimesNewRomanPS-BoldMT" w:eastAsia="Calibri" w:cs="TimesNewRomanPS-BoldMT"/>
          <w:b/>
          <w:b/>
          <w:bCs/>
          <w:sz w:val="22"/>
          <w:szCs w:val="22"/>
          <w:lang w:val="en-GB"/>
        </w:rPr>
      </w:pPr>
      <w:r>
        <w:rPr>
          <w:rFonts w:eastAsia="Calibri" w:cs="TimesNewRomanPS-BoldMT" w:ascii="TimesNewRomanPS-BoldMT" w:hAnsi="TimesNewRomanPS-BoldMT"/>
          <w:b/>
          <w:bCs/>
          <w:sz w:val="22"/>
          <w:szCs w:val="22"/>
          <w:lang w:val="en-GB"/>
        </w:rPr>
        <w:t>Abstract</w:t>
      </w:r>
    </w:p>
    <w:p>
      <w:pPr>
        <w:pStyle w:val="Normal"/>
        <w:spacing w:before="0" w:after="0"/>
        <w:contextualSpacing/>
        <w:rPr/>
      </w:pPr>
      <w:r>
        <w:rPr>
          <w:rFonts w:eastAsia="Calibri" w:cs="TimesNewRomanPSMT" w:ascii="TimesNewRomanPSMT" w:hAnsi="TimesNewRomanPSMT"/>
          <w:sz w:val="22"/>
          <w:szCs w:val="22"/>
          <w:lang w:val="en-GB"/>
        </w:rPr>
        <w:t xml:space="preserve">I propose that we approach the epistemology of modality by </w:t>
      </w:r>
      <w:r>
        <w:rPr>
          <w:rFonts w:eastAsia="Calibri" w:cs="TimesNewRomanPS-ItalicMT" w:ascii="TimesNewRomanPS-ItalicMT" w:hAnsi="TimesNewRomanPS-ItalicMT"/>
          <w:i/>
          <w:iCs/>
          <w:sz w:val="22"/>
          <w:szCs w:val="22"/>
          <w:lang w:val="en-GB"/>
        </w:rPr>
        <w:t xml:space="preserve">putting modal metaphysics first </w:t>
      </w:r>
      <w:r>
        <w:rPr>
          <w:rFonts w:eastAsia="Calibri" w:cs="TimesNewRomanPSMT" w:ascii="TimesNewRomanPSMT" w:hAnsi="TimesNewRomanPSMT"/>
          <w:sz w:val="22"/>
          <w:szCs w:val="22"/>
          <w:lang w:val="en-GB"/>
        </w:rPr>
        <w:t xml:space="preserve">and, specifically, by investigating the metaphysics of </w:t>
      </w:r>
      <w:r>
        <w:rPr>
          <w:rFonts w:eastAsia="Calibri" w:cs="TimesNewRomanPS-ItalicMT" w:ascii="TimesNewRomanPS-ItalicMT" w:hAnsi="TimesNewRomanPS-ItalicMT"/>
          <w:i/>
          <w:iCs/>
          <w:sz w:val="22"/>
          <w:szCs w:val="22"/>
          <w:lang w:val="en-GB"/>
        </w:rPr>
        <w:t>essence</w:t>
      </w:r>
      <w:r>
        <w:rPr>
          <w:rFonts w:eastAsia="Calibri" w:cs="TimesNewRomanPSMT" w:ascii="TimesNewRomanPSMT" w:hAnsi="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eastAsia="Calibri" w:cs="TimesNewRomanPS-ItalicMT" w:ascii="TimesNewRomanPS-ItalicMT" w:hAnsi="TimesNewRomanPS-ItalicMT"/>
          <w:i/>
          <w:iCs/>
          <w:sz w:val="22"/>
          <w:szCs w:val="22"/>
          <w:lang w:val="en-GB"/>
        </w:rPr>
        <w:t xml:space="preserve">superexplanatory </w:t>
      </w:r>
      <w:r>
        <w:rPr>
          <w:rFonts w:eastAsia="Calibri" w:cs="TimesNewRomanPSMT" w:ascii="TimesNewRomanPSMT" w:hAnsi="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pStyle w:val="Normal"/>
        <w:spacing w:before="0" w:after="0"/>
        <w:contextualSpacing/>
        <w:rPr/>
      </w:pPr>
      <w:r>
        <w:rPr>
          <w:rFonts w:eastAsia="Calibri" w:cs="TimesNewRomanPSMT" w:ascii="TimesNewRomanPSMT" w:hAnsi="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eastAsia="Calibri" w:cs="TimesNewRomanPS-ItalicMT" w:ascii="TimesNewRomanPS-ItalicMT" w:hAnsi="TimesNewRomanPS-ItalicMT"/>
          <w:i/>
          <w:iCs/>
          <w:sz w:val="22"/>
          <w:szCs w:val="22"/>
          <w:lang w:val="en-GB"/>
        </w:rPr>
        <w:t>essentialist deduction</w:t>
      </w:r>
      <w:r>
        <w:rPr>
          <w:rFonts w:eastAsia="Calibri" w:cs="TimesNewRomanPSMT" w:ascii="TimesNewRomanPSMT" w:hAnsi="TimesNewRomanPSMT"/>
          <w:sz w:val="22"/>
          <w:szCs w:val="22"/>
          <w:lang w:val="en-GB"/>
        </w:rPr>
        <w:t>: we move from essentialist truths to reach necessary truths.</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pPr>
      <w:r>
        <w:rPr>
          <w:rFonts w:eastAsia="Calibri" w:cs="TimesNewRomanPSMT" w:ascii="TimesNewRomanPSMT" w:hAnsi="TimesNewRomanPSMT"/>
          <w:sz w:val="22"/>
          <w:szCs w:val="22"/>
          <w:lang w:val="en-GB"/>
        </w:rPr>
        <w:t xml:space="preserve">My thesis is that essences have special </w:t>
      </w:r>
      <w:r>
        <w:rPr>
          <w:rFonts w:eastAsia="Calibri" w:cs="TimesNewRomanPS-ItalicMT" w:ascii="TimesNewRomanPS-ItalicMT" w:hAnsi="TimesNewRomanPS-ItalicMT"/>
          <w:i/>
          <w:iCs/>
          <w:sz w:val="22"/>
          <w:szCs w:val="22"/>
          <w:lang w:val="en-GB"/>
        </w:rPr>
        <w:t xml:space="preserve">explanatory </w:t>
      </w:r>
      <w:r>
        <w:rPr>
          <w:rFonts w:eastAsia="Calibri" w:cs="TimesNewRomanPSMT" w:ascii="TimesNewRomanPSMT" w:hAnsi="TimesNewRomanPSMT"/>
          <w:sz w:val="22"/>
          <w:szCs w:val="22"/>
          <w:lang w:val="en-GB"/>
        </w:rPr>
        <w:t>powers for natural kinds—indeed, they are</w:t>
      </w:r>
    </w:p>
    <w:p>
      <w:pPr>
        <w:pStyle w:val="Normal"/>
        <w:spacing w:before="0" w:after="0"/>
        <w:contextualSpacing/>
        <w:rPr/>
      </w:pPr>
      <w:r>
        <w:rPr>
          <w:rFonts w:eastAsia="Calibri" w:cs="TimesNewRomanPS-ItalicMT" w:ascii="TimesNewRomanPS-ItalicMT" w:hAnsi="TimesNewRomanPS-ItalicMT"/>
          <w:i/>
          <w:iCs/>
          <w:sz w:val="22"/>
          <w:szCs w:val="22"/>
          <w:lang w:val="en-GB"/>
        </w:rPr>
        <w:t xml:space="preserve">superexplanatory </w:t>
      </w:r>
      <w:r>
        <w:rPr>
          <w:rFonts w:eastAsia="Calibri" w:cs="TimesNewRomanPSMT" w:ascii="TimesNewRomanPSMT" w:hAnsi="TimesNewRomanPSMT"/>
          <w:sz w:val="22"/>
          <w:szCs w:val="22"/>
          <w:lang w:val="en-GB"/>
        </w:rPr>
        <w:t>for the many properties and behaviors that are typically shared by all the instances of a kind.</w:t>
      </w:r>
    </w:p>
    <w:p>
      <w:pPr>
        <w:pStyle w:val="Normal"/>
        <w:spacing w:before="0" w:after="0"/>
        <w:contextualSpacing/>
        <w:rPr/>
      </w:pPr>
      <w:r>
        <w:rPr>
          <w:rFonts w:eastAsia="Calibri" w:cs="TimesNewRomanPSMT" w:ascii="TimesNewRomanPSMT" w:hAnsi="TimesNewRomanPSMT"/>
          <w:sz w:val="22"/>
          <w:szCs w:val="22"/>
          <w:lang w:val="en-GB"/>
        </w:rPr>
        <w:t xml:space="preserve">In philosophy of science, many agree that natural kinds are </w:t>
      </w:r>
      <w:r>
        <w:rPr>
          <w:rFonts w:eastAsia="Calibri" w:cs="TimesNewRomanPS-ItalicMT" w:ascii="TimesNewRomanPS-ItalicMT" w:hAnsi="TimesNewRomanPS-ItalicMT"/>
          <w:i/>
          <w:iCs/>
          <w:sz w:val="22"/>
          <w:szCs w:val="22"/>
          <w:lang w:val="en-GB"/>
        </w:rPr>
        <w:t>causally grounded</w:t>
      </w:r>
      <w:r>
        <w:rPr>
          <w:rFonts w:eastAsia="Calibri" w:cs="TimesNewRomanPSMT" w:ascii="TimesNewRomanPSMT" w:hAnsi="TimesNewRomanPSMT"/>
          <w:sz w:val="22"/>
          <w:szCs w:val="22"/>
          <w:lang w:val="en-GB"/>
        </w:rPr>
        <w:t>. There is an</w:t>
      </w:r>
    </w:p>
    <w:p>
      <w:pPr>
        <w:pStyle w:val="Normal"/>
        <w:spacing w:before="0" w:after="0"/>
        <w:contextualSpacing/>
        <w:rPr/>
      </w:pPr>
      <w:r>
        <w:rPr>
          <w:rFonts w:eastAsia="Calibri" w:cs="TimesNewRomanPSMT" w:ascii="TimesNewRomanPSMT" w:hAnsi="TimesNewRomanPSMT"/>
          <w:sz w:val="22"/>
          <w:szCs w:val="22"/>
          <w:lang w:val="en-GB"/>
        </w:rPr>
        <w:t xml:space="preserve">underlying property or set of properties, or a mechanism, which </w:t>
      </w:r>
      <w:r>
        <w:rPr>
          <w:rFonts w:eastAsia="Calibri" w:cs="TimesNewRomanPS-ItalicMT" w:ascii="TimesNewRomanPS-ItalicMT" w:hAnsi="TimesNewRomanPS-ItalicMT"/>
          <w:i/>
          <w:iCs/>
          <w:sz w:val="22"/>
          <w:szCs w:val="22"/>
          <w:lang w:val="en-GB"/>
        </w:rPr>
        <w:t xml:space="preserve">causes </w:t>
      </w:r>
      <w:r>
        <w:rPr>
          <w:rFonts w:eastAsia="Calibri" w:cs="TimesNewRomanPSMT" w:ascii="TimesNewRomanPSMT" w:hAnsi="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eastAsia="Calibri" w:cs="TimesNewRomanPS-ItalicMT" w:ascii="TimesNewRomanPS-ItalicMT" w:hAnsi="TimesNewRomanPS-ItalicMT"/>
          <w:i/>
          <w:iCs/>
          <w:sz w:val="22"/>
          <w:szCs w:val="22"/>
          <w:lang w:val="en-GB"/>
        </w:rPr>
        <w:t xml:space="preserve">. </w:t>
      </w:r>
      <w:r>
        <w:rPr>
          <w:rFonts w:eastAsia="Calibri" w:cs="TimesNewRomanPSMT" w:ascii="TimesNewRomanPSMT" w:hAnsi="TimesNewRomanPSMT"/>
          <w:sz w:val="22"/>
          <w:szCs w:val="22"/>
          <w:lang w:val="en-GB"/>
        </w:rPr>
        <w:t xml:space="preserve">My proposal is that this underlying causal core, or mechanism, is the </w:t>
      </w:r>
      <w:r>
        <w:rPr>
          <w:rFonts w:eastAsia="Calibri" w:cs="TimesNewRomanPS-ItalicMT" w:ascii="TimesNewRomanPS-ItalicMT" w:hAnsi="TimesNewRomanPS-ItalicMT"/>
          <w:i/>
          <w:iCs/>
          <w:sz w:val="22"/>
          <w:szCs w:val="22"/>
          <w:lang w:val="en-GB"/>
        </w:rPr>
        <w:t xml:space="preserve">essence </w:t>
      </w:r>
      <w:r>
        <w:rPr>
          <w:rFonts w:eastAsia="Calibri" w:cs="TimesNewRomanPSMT" w:ascii="TimesNewRomanPSMT" w:hAnsi="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pStyle w:val="Normal"/>
        <w:spacing w:before="0" w:after="0"/>
        <w:contextualSpacing/>
        <w:rPr/>
      </w:pPr>
      <w:r>
        <w:rPr>
          <w:rFonts w:eastAsia="Calibri" w:cs="TimesNewRomanPSMT" w:ascii="TimesNewRomanPSMT" w:hAnsi="TimesNewRomanPSMT"/>
          <w:sz w:val="22"/>
          <w:szCs w:val="22"/>
          <w:lang w:val="en-GB"/>
        </w:rPr>
        <w:t xml:space="preserve">We thus have a better grip on what it is </w:t>
      </w:r>
      <w:r>
        <w:rPr>
          <w:rFonts w:eastAsia="Calibri" w:cs="TimesNewRomanPS-ItalicMT" w:ascii="TimesNewRomanPS-ItalicMT" w:hAnsi="TimesNewRomanPS-ItalicMT"/>
          <w:i/>
          <w:iCs/>
          <w:sz w:val="22"/>
          <w:szCs w:val="22"/>
          <w:lang w:val="en-GB"/>
        </w:rPr>
        <w:t xml:space="preserve">about </w:t>
      </w:r>
      <w:r>
        <w:rPr>
          <w:rFonts w:eastAsia="Calibri" w:cs="TimesNewRomanPSMT" w:ascii="TimesNewRomanPSMT" w:hAnsi="TimesNewRomanPSMT"/>
          <w:sz w:val="22"/>
          <w:szCs w:val="22"/>
          <w:lang w:val="en-GB"/>
        </w:rPr>
        <w:t>the nature or identity of a kind that determines</w:t>
      </w:r>
    </w:p>
    <w:p>
      <w:pPr>
        <w:pStyle w:val="Normal"/>
        <w:spacing w:before="0" w:after="0"/>
        <w:contextualSpacing/>
        <w:rPr/>
      </w:pPr>
      <w:r>
        <w:rPr>
          <w:rFonts w:eastAsia="Calibri" w:cs="TimesNewRomanPSMT" w:ascii="TimesNewRomanPSMT" w:hAnsi="TimesNewRomanPSMT"/>
          <w:sz w:val="22"/>
          <w:szCs w:val="22"/>
          <w:lang w:val="en-GB"/>
        </w:rPr>
        <w:t xml:space="preserve">modal implications; or what </w:t>
      </w:r>
      <w:r>
        <w:rPr>
          <w:rFonts w:eastAsia="Calibri" w:cs="TimesNewRomanPS-ItalicMT" w:ascii="TimesNewRomanPS-ItalicMT" w:hAnsi="TimesNewRomanPS-ItalicMT"/>
          <w:i/>
          <w:iCs/>
          <w:sz w:val="22"/>
          <w:szCs w:val="22"/>
          <w:lang w:val="en-GB"/>
        </w:rPr>
        <w:t xml:space="preserve">roles </w:t>
      </w:r>
      <w:r>
        <w:rPr>
          <w:rFonts w:eastAsia="Calibri" w:cs="TimesNewRomanPSMT" w:ascii="TimesNewRomanPSMT" w:hAnsi="TimesNewRomanPSMT"/>
          <w:sz w:val="22"/>
          <w:szCs w:val="22"/>
          <w:lang w:val="en-GB"/>
        </w:rPr>
        <w:t>essence plays for the modal profiles of the instances of natural kinds</w:t>
      </w:r>
      <w:r>
        <w:rPr>
          <w:rFonts w:eastAsia="Calibri" w:cs="TimesNewRomanPS-ItalicMT" w:ascii="TimesNewRomanPS-ItalicMT" w:hAnsi="TimesNewRomanPS-ItalicMT"/>
          <w:i/>
          <w:iCs/>
          <w:sz w:val="22"/>
          <w:szCs w:val="22"/>
          <w:lang w:val="en-GB"/>
        </w:rPr>
        <w:t>—</w:t>
      </w:r>
      <w:r>
        <w:rPr>
          <w:rFonts w:eastAsia="Calibri" w:cs="TimesNewRomanPSMT" w:ascii="TimesNewRomanPSMT" w:hAnsi="TimesNewRomanPSMT"/>
          <w:sz w:val="22"/>
          <w:szCs w:val="22"/>
          <w:lang w:val="en-GB"/>
        </w:rPr>
        <w:t xml:space="preserve">particularly, for their </w:t>
      </w:r>
      <w:r>
        <w:rPr>
          <w:rFonts w:eastAsia="Calibri" w:cs="TimesNewRomanPS-ItalicMT" w:ascii="TimesNewRomanPS-ItalicMT" w:hAnsi="TimesNewRomanPS-ItalicMT"/>
          <w:i/>
          <w:iCs/>
          <w:sz w:val="22"/>
          <w:szCs w:val="22"/>
          <w:lang w:val="en-GB"/>
        </w:rPr>
        <w:t xml:space="preserve">necessary </w:t>
      </w:r>
      <w:r>
        <w:rPr>
          <w:rFonts w:eastAsia="Calibri" w:cs="TimesNewRomanPSMT" w:ascii="TimesNewRomanPSMT" w:hAnsi="TimesNewRomanPSMT"/>
          <w:sz w:val="22"/>
          <w:szCs w:val="22"/>
          <w:lang w:val="en-GB"/>
        </w:rPr>
        <w:t>properties.</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If this metaphysical story is correct, the modal epistemology of a wide range of cases is simpler</w:t>
      </w:r>
    </w:p>
    <w:p>
      <w:pPr>
        <w:pStyle w:val="Normal"/>
        <w:spacing w:before="0" w:after="0"/>
        <w:contextualSpacing/>
        <w:rPr/>
      </w:pPr>
      <w:r>
        <w:rPr>
          <w:rFonts w:eastAsia="Calibri" w:cs="TimesNewRomanPSMT" w:ascii="TimesNewRomanPSMT" w:hAnsi="TimesNewRomanPSMT"/>
          <w:sz w:val="22"/>
          <w:szCs w:val="22"/>
          <w:lang w:val="en-GB"/>
        </w:rPr>
        <w:t xml:space="preserve">than many have supposed. Essentialist knowledge is within our reach; actually, it is largely available to us </w:t>
      </w:r>
      <w:r>
        <w:rPr>
          <w:rFonts w:eastAsia="Calibri" w:cs="TimesNewRomanPS-ItalicMT" w:ascii="TimesNewRomanPS-ItalicMT" w:hAnsi="TimesNewRomanPS-ItalicMT"/>
          <w:i/>
          <w:iCs/>
          <w:sz w:val="22"/>
          <w:szCs w:val="22"/>
          <w:lang w:val="en-GB"/>
        </w:rPr>
        <w:t>already</w:t>
      </w:r>
      <w:r>
        <w:rPr>
          <w:rFonts w:eastAsia="Calibri" w:cs="TimesNewRomanPSMT" w:ascii="TimesNewRomanPSMT" w:hAnsi="TimesNewRomanPSMT"/>
          <w:sz w:val="22"/>
          <w:szCs w:val="22"/>
          <w:lang w:val="en-GB"/>
        </w:rPr>
        <w:t xml:space="preserve">. For in many cases essentialist knowledge is </w:t>
      </w:r>
      <w:r>
        <w:rPr>
          <w:rFonts w:eastAsia="Calibri" w:cs="TimesNewRomanPS-ItalicMT" w:ascii="TimesNewRomanPS-ItalicMT" w:hAnsi="TimesNewRomanPS-ItalicMT"/>
          <w:i/>
          <w:iCs/>
          <w:sz w:val="22"/>
          <w:szCs w:val="22"/>
          <w:lang w:val="en-GB"/>
        </w:rPr>
        <w:t xml:space="preserve">empirical, scientific </w:t>
      </w:r>
      <w:r>
        <w:rPr>
          <w:rFonts w:eastAsia="Calibri" w:cs="TimesNewRomanPSMT" w:ascii="TimesNewRomanPSMT" w:hAnsi="TimesNewRomanPSMT"/>
          <w:sz w:val="22"/>
          <w:szCs w:val="22"/>
          <w:lang w:val="en-GB"/>
        </w:rPr>
        <w:t xml:space="preserve">knowledge about the fundamental nature of kinds, particularly about their causal structure. (p. 2)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pPr>
      <w:r>
        <w:rPr>
          <w:rFonts w:eastAsia="Calibri" w:cs="TimesNewRomanPSMT" w:ascii="TimesNewRomanPSMT" w:hAnsi="TimesNewRomanPSMT"/>
          <w:sz w:val="22"/>
          <w:szCs w:val="22"/>
          <w:lang w:val="en-GB"/>
        </w:rPr>
        <w:t xml:space="preserve">My view is that we have a grip on a notion of possibility and necessity that is both (a) different at least from matters of logical-conceptual coherence and apriority; and (b) </w:t>
      </w:r>
      <w:r>
        <w:rPr>
          <w:rFonts w:eastAsia="Calibri" w:cs="TimesNewRomanPS-ItalicMT" w:ascii="TimesNewRomanPS-ItalicMT" w:hAnsi="TimesNewRomanPS-ItalicMT"/>
          <w:i/>
          <w:iCs/>
          <w:sz w:val="22"/>
          <w:szCs w:val="22"/>
          <w:lang w:val="en-GB"/>
        </w:rPr>
        <w:t xml:space="preserve">de re </w:t>
      </w:r>
      <w:r>
        <w:rPr>
          <w:rFonts w:eastAsia="Calibri" w:cs="TimesNewRomanPSMT" w:ascii="TimesNewRomanPSMT" w:hAnsi="TimesNewRomanPSMT"/>
          <w:sz w:val="22"/>
          <w:szCs w:val="22"/>
          <w:lang w:val="en-GB"/>
        </w:rPr>
        <w:t xml:space="preserve">in the sense of being dependent on the fundamental nature of things or their essences. (p. 5)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What are essential properties? Following a prominent Neo-Aristotelian tradition lead by Fine</w:t>
      </w:r>
    </w:p>
    <w:p>
      <w:pPr>
        <w:pStyle w:val="Normal"/>
        <w:spacing w:before="0" w:after="0"/>
        <w:contextualSpacing/>
        <w:rPr/>
      </w:pPr>
      <w:r>
        <w:rPr>
          <w:rFonts w:eastAsia="Calibri" w:cs="TimesNewRomanPSMT" w:ascii="TimesNewRomanPSMT" w:hAnsi="TimesNewRomanPSMT"/>
          <w:sz w:val="22"/>
          <w:szCs w:val="22"/>
          <w:lang w:val="en-GB"/>
        </w:rPr>
        <w:t>(1994</w:t>
      </w:r>
      <w:r>
        <w:rPr>
          <w:rFonts w:eastAsia="Calibri" w:cs="TimesNewRomanPS-ItalicMT" w:ascii="TimesNewRomanPS-ItalicMT" w:hAnsi="TimesNewRomanPS-ItalicMT"/>
          <w:i/>
          <w:iCs/>
          <w:sz w:val="22"/>
          <w:szCs w:val="22"/>
          <w:lang w:val="en-GB"/>
        </w:rPr>
        <w:t>a</w:t>
      </w:r>
      <w:r>
        <w:rPr>
          <w:rFonts w:eastAsia="Calibri" w:cs="TimesNewRomanPSMT" w:ascii="TimesNewRomanPSMT" w:hAnsi="TimesNewRomanPSMT"/>
          <w:sz w:val="22"/>
          <w:szCs w:val="22"/>
          <w:lang w:val="en-GB"/>
        </w:rPr>
        <w:t xml:space="preserve">), I hold that essential properties are not merely the necessary properties of things. We can distinguish between, on the one hand, a </w:t>
      </w:r>
      <w:r>
        <w:rPr>
          <w:rFonts w:eastAsia="Calibri" w:cs="TimesNewRomanPS-ItalicMT" w:ascii="TimesNewRomanPS-ItalicMT" w:hAnsi="TimesNewRomanPS-ItalicMT"/>
          <w:i/>
          <w:iCs/>
          <w:sz w:val="22"/>
          <w:szCs w:val="22"/>
          <w:lang w:val="en-GB"/>
        </w:rPr>
        <w:t xml:space="preserve">modalist </w:t>
      </w:r>
      <w:r>
        <w:rPr>
          <w:rFonts w:eastAsia="Calibri" w:cs="TimesNewRomanPSMT" w:ascii="TimesNewRomanPSMT" w:hAnsi="TimesNewRomanPSMT"/>
          <w:sz w:val="22"/>
          <w:szCs w:val="22"/>
          <w:lang w:val="en-GB"/>
        </w:rPr>
        <w:t xml:space="preserve">conception of essence, for which essentialist notions simply amount to certain </w:t>
      </w:r>
      <w:r>
        <w:rPr>
          <w:rFonts w:eastAsia="Calibri" w:cs="TimesNewRomanPS-ItalicMT" w:ascii="TimesNewRomanPS-ItalicMT" w:hAnsi="TimesNewRomanPS-ItalicMT"/>
          <w:i/>
          <w:iCs/>
          <w:sz w:val="22"/>
          <w:szCs w:val="22"/>
          <w:lang w:val="en-GB"/>
        </w:rPr>
        <w:t xml:space="preserve">de re </w:t>
      </w:r>
      <w:r>
        <w:rPr>
          <w:rFonts w:eastAsia="Calibri" w:cs="TimesNewRomanPSMT" w:ascii="TimesNewRomanPSMT" w:hAnsi="TimesNewRomanPSMT"/>
          <w:sz w:val="22"/>
          <w:szCs w:val="22"/>
          <w:lang w:val="en-GB"/>
        </w:rPr>
        <w:t>modal notions, namely metaphysically necessary properties and truths; vs. a Finean conception of essence, I call it “</w:t>
      </w:r>
      <w:r>
        <w:rPr>
          <w:rFonts w:eastAsia="Calibri" w:cs="TimesNewRomanPS-ItalicMT" w:ascii="TimesNewRomanPS-ItalicMT" w:hAnsi="TimesNewRomanPS-ItalicMT"/>
          <w:i/>
          <w:iCs/>
          <w:sz w:val="22"/>
          <w:szCs w:val="22"/>
          <w:lang w:val="en-GB"/>
        </w:rPr>
        <w:t>constitutive</w:t>
      </w:r>
      <w:r>
        <w:rPr>
          <w:rFonts w:eastAsia="Calibri" w:cs="TimesNewRomanPSMT" w:ascii="TimesNewRomanPSMT" w:hAnsi="TimesNewRomanPSMT"/>
          <w:sz w:val="22"/>
          <w:szCs w:val="22"/>
          <w:lang w:val="en-GB"/>
        </w:rPr>
        <w:t xml:space="preserve">”, for which essentialist notions rather depend on the </w:t>
      </w:r>
      <w:r>
        <w:rPr>
          <w:rFonts w:eastAsia="Calibri" w:cs="TimesNewRomanPS-ItalicMT" w:ascii="TimesNewRomanPS-ItalicMT" w:hAnsi="TimesNewRomanPS-ItalicMT"/>
          <w:i/>
          <w:iCs/>
          <w:sz w:val="22"/>
          <w:szCs w:val="22"/>
          <w:lang w:val="en-GB"/>
        </w:rPr>
        <w:t xml:space="preserve">nature </w:t>
      </w:r>
      <w:r>
        <w:rPr>
          <w:rFonts w:eastAsia="Calibri" w:cs="TimesNewRomanPSMT" w:ascii="TimesNewRomanPSMT" w:hAnsi="TimesNewRomanPSMT"/>
          <w:sz w:val="22"/>
          <w:szCs w:val="22"/>
          <w:lang w:val="en-GB"/>
        </w:rPr>
        <w:t xml:space="preserve">or </w:t>
      </w:r>
      <w:r>
        <w:rPr>
          <w:rFonts w:eastAsia="Calibri" w:cs="TimesNewRomanPS-ItalicMT" w:ascii="TimesNewRomanPS-ItalicMT" w:hAnsi="TimesNewRomanPS-ItalicMT"/>
          <w:i/>
          <w:iCs/>
          <w:sz w:val="22"/>
          <w:szCs w:val="22"/>
          <w:lang w:val="en-GB"/>
        </w:rPr>
        <w:t xml:space="preserve">identity </w:t>
      </w:r>
      <w:r>
        <w:rPr>
          <w:rFonts w:eastAsia="Calibri" w:cs="TimesNewRomanPSMT" w:ascii="TimesNewRomanPSMT" w:hAnsi="TimesNewRomanPSMT"/>
          <w:sz w:val="22"/>
          <w:szCs w:val="22"/>
          <w:lang w:val="en-GB"/>
        </w:rPr>
        <w:t xml:space="preserve">of things. Essential properties </w:t>
      </w:r>
      <w:r>
        <w:rPr>
          <w:rFonts w:eastAsia="Calibri" w:cs="TimesNewRomanPS-ItalicMT" w:ascii="TimesNewRomanPS-ItalicMT" w:hAnsi="TimesNewRomanPS-ItalicMT"/>
          <w:i/>
          <w:iCs/>
          <w:sz w:val="22"/>
          <w:szCs w:val="22"/>
          <w:lang w:val="en-GB"/>
        </w:rPr>
        <w:t xml:space="preserve">make </w:t>
      </w:r>
      <w:r>
        <w:rPr>
          <w:rFonts w:eastAsia="Calibri" w:cs="TimesNewRomanPSMT" w:ascii="TimesNewRomanPSMT" w:hAnsi="TimesNewRomanPSMT"/>
          <w:sz w:val="22"/>
          <w:szCs w:val="22"/>
          <w:lang w:val="en-GB"/>
        </w:rPr>
        <w:t xml:space="preserve">a thing what it is or constitutively determine </w:t>
      </w:r>
      <w:r>
        <w:rPr>
          <w:rFonts w:eastAsia="Calibri" w:cs="TimesNewRomanPS-ItalicMT" w:ascii="TimesNewRomanPS-ItalicMT" w:hAnsi="TimesNewRomanPS-ItalicMT"/>
          <w:i/>
          <w:iCs/>
          <w:sz w:val="22"/>
          <w:szCs w:val="22"/>
          <w:lang w:val="en-GB"/>
        </w:rPr>
        <w:t xml:space="preserve">what it is to be </w:t>
      </w:r>
      <w:r>
        <w:rPr>
          <w:rFonts w:eastAsia="Calibri" w:cs="TimesNewRomanPSMT" w:ascii="TimesNewRomanPSMT" w:hAnsi="TimesNewRomanPSMT"/>
          <w:sz w:val="22"/>
          <w:szCs w:val="22"/>
          <w:lang w:val="en-GB"/>
        </w:rPr>
        <w:t xml:space="preserve">a certain thing. A thing is the very entity it is </w:t>
      </w:r>
      <w:r>
        <w:rPr>
          <w:rFonts w:eastAsia="Calibri" w:cs="TimesNewRomanPS-ItalicMT" w:ascii="TimesNewRomanPS-ItalicMT" w:hAnsi="TimesNewRomanPS-ItalicMT"/>
          <w:i/>
          <w:iCs/>
          <w:sz w:val="22"/>
          <w:szCs w:val="22"/>
          <w:lang w:val="en-GB"/>
        </w:rPr>
        <w:t xml:space="preserve">in virtue of </w:t>
      </w:r>
      <w:r>
        <w:rPr>
          <w:rFonts w:eastAsia="Calibri" w:cs="TimesNewRomanPSMT" w:ascii="TimesNewRomanPSMT" w:hAnsi="TimesNewRomanPSMT"/>
          <w:sz w:val="22"/>
          <w:szCs w:val="22"/>
          <w:lang w:val="en-GB"/>
        </w:rPr>
        <w:t xml:space="preserve">its essence (cf. Kment 2014; Hale 2013; Devitt 2008). (p. 6)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pPr>
      <w:r>
        <w:rPr>
          <w:rFonts w:eastAsia="Calibri" w:cs="TimesNewRomanPSMT" w:ascii="TimesNewRomanPSMT" w:hAnsi="TimesNewRomanPSMT"/>
          <w:color w:val="000000"/>
          <w:sz w:val="22"/>
          <w:szCs w:val="22"/>
          <w:lang w:val="en-GB"/>
        </w:rPr>
        <w:t>These generalizations run along two dimensions of projectability</w:t>
      </w:r>
      <w:r>
        <w:rPr>
          <w:rFonts w:eastAsia="Calibri" w:cs="TimesNewRomanPSMT" w:ascii="TimesNewRomanPSMT" w:hAnsi="TimesNewRomanPSMT"/>
          <w:color w:val="1A1A1A"/>
          <w:sz w:val="22"/>
          <w:szCs w:val="22"/>
          <w:lang w:val="en-GB"/>
        </w:rPr>
        <w:t xml:space="preserve">: first, </w:t>
      </w:r>
      <w:r>
        <w:rPr>
          <w:rFonts w:eastAsia="Calibri" w:cs="TimesNewRomanPS-ItalicMT" w:ascii="TimesNewRomanPS-ItalicMT" w:hAnsi="TimesNewRomanPS-ItalicMT"/>
          <w:i/>
          <w:iCs/>
          <w:color w:val="1A1A1A"/>
          <w:sz w:val="22"/>
          <w:szCs w:val="22"/>
          <w:lang w:val="en-GB"/>
        </w:rPr>
        <w:t>generality</w:t>
      </w:r>
      <w:r>
        <w:rPr>
          <w:rFonts w:eastAsia="Calibri" w:cs="TimesNewRomanPSMT" w:ascii="TimesNewRomanPSMT" w:hAnsi="TimesNewRomanPSMT"/>
          <w:color w:val="1A1A1A"/>
          <w:sz w:val="22"/>
          <w:szCs w:val="22"/>
          <w:lang w:val="en-GB"/>
        </w:rPr>
        <w:t xml:space="preserve">, that is, the projections cover all members of a kind. And, second, </w:t>
      </w:r>
      <w:r>
        <w:rPr>
          <w:rFonts w:eastAsia="Calibri" w:cs="TimesNewRomanPS-ItalicMT" w:ascii="TimesNewRomanPS-ItalicMT" w:hAnsi="TimesNewRomanPS-ItalicMT"/>
          <w:i/>
          <w:iCs/>
          <w:color w:val="1A1A1A"/>
          <w:sz w:val="22"/>
          <w:szCs w:val="22"/>
          <w:lang w:val="en-GB"/>
        </w:rPr>
        <w:t>variety</w:t>
      </w:r>
      <w:r>
        <w:rPr>
          <w:rFonts w:eastAsia="Calibri" w:cs="TimesNewRomanPSMT" w:ascii="TimesNewRomanPSMT" w:hAnsi="TimesNewRomanPSMT"/>
          <w:color w:val="1A1A1A"/>
          <w:sz w:val="22"/>
          <w:szCs w:val="22"/>
          <w:lang w:val="en-GB"/>
        </w:rPr>
        <w:t>, that is, each kind supports</w:t>
      </w:r>
    </w:p>
    <w:p>
      <w:pPr>
        <w:pStyle w:val="Normal"/>
        <w:spacing w:before="0" w:after="0"/>
        <w:contextualSpacing/>
        <w:rPr/>
      </w:pPr>
      <w:r>
        <w:rPr>
          <w:rFonts w:eastAsia="Calibri" w:cs="TimesNewRomanPSMT" w:ascii="TimesNewRomanPSMT" w:hAnsi="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eastAsia="Calibri" w:cs="TimesNewRomanPSMT" w:ascii="TimesNewRomanPSMT" w:hAnsi="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pStyle w:val="Normal"/>
        <w:spacing w:before="0" w:after="0"/>
        <w:contextualSpacing/>
        <w:rPr>
          <w:rFonts w:ascii="TimesNewRomanPSMT" w:hAnsi="TimesNewRomanPSMT" w:eastAsia="Calibri" w:cs="TimesNewRomanPSMT"/>
          <w:color w:val="000000"/>
          <w:sz w:val="22"/>
          <w:szCs w:val="22"/>
          <w:lang w:val="en-GB"/>
        </w:rPr>
      </w:pPr>
      <w:r>
        <w:rPr>
          <w:rFonts w:eastAsia="Calibri" w:cs="TimesNewRomanPSMT" w:ascii="TimesNewRomanPSMT" w:hAnsi="TimesNewRomanPSMT"/>
          <w:color w:val="000000"/>
          <w:sz w:val="22"/>
          <w:szCs w:val="22"/>
          <w:lang w:val="en-GB"/>
        </w:rPr>
      </w:r>
    </w:p>
    <w:p>
      <w:pPr>
        <w:pStyle w:val="Normal"/>
        <w:spacing w:before="0" w:after="0"/>
        <w:contextualSpacing/>
        <w:rPr/>
      </w:pPr>
      <w:r>
        <w:rPr>
          <w:rFonts w:eastAsia="Calibri" w:cs="TimesNewRomanPSMT" w:ascii="TimesNewRomanPSMT" w:hAnsi="TimesNewRomanPSMT"/>
          <w:color w:val="000000"/>
          <w:sz w:val="22"/>
          <w:szCs w:val="22"/>
          <w:lang w:val="en-GB"/>
        </w:rPr>
        <w:t xml:space="preserve">The answer is that there must be a </w:t>
      </w:r>
      <w:r>
        <w:rPr>
          <w:rFonts w:eastAsia="Calibri" w:cs="TimesNewRomanPS-ItalicMT" w:ascii="TimesNewRomanPS-ItalicMT" w:hAnsi="TimesNewRomanPS-ItalicMT"/>
          <w:i/>
          <w:iCs/>
          <w:color w:val="000000"/>
          <w:sz w:val="22"/>
          <w:szCs w:val="22"/>
          <w:lang w:val="en-GB"/>
        </w:rPr>
        <w:t xml:space="preserve">common ground. </w:t>
      </w:r>
      <w:r>
        <w:rPr>
          <w:rFonts w:eastAsia="Calibri" w:cs="TimesNewRomanPSMT" w:ascii="TimesNewRomanPSMT" w:hAnsi="TimesNewRomanPSMT"/>
          <w:color w:val="1A1A1A"/>
          <w:sz w:val="22"/>
          <w:szCs w:val="22"/>
          <w:lang w:val="en-GB"/>
        </w:rPr>
        <w:t xml:space="preserve">There is a common </w:t>
      </w:r>
      <w:r>
        <w:rPr>
          <w:rFonts w:eastAsia="Calibri" w:cs="TimesNewRomanPS-ItalicMT" w:ascii="TimesNewRomanPS-ItalicMT" w:hAnsi="TimesNewRomanPS-ItalicMT"/>
          <w:i/>
          <w:iCs/>
          <w:color w:val="1A1A1A"/>
          <w:sz w:val="22"/>
          <w:szCs w:val="22"/>
          <w:lang w:val="en-GB"/>
        </w:rPr>
        <w:t>cause</w:t>
      </w:r>
      <w:r>
        <w:rPr>
          <w:rFonts w:eastAsia="Calibri" w:cs="TimesNewRomanPSMT" w:ascii="TimesNewRomanPSMT" w:hAnsi="TimesNewRomanPSMT"/>
          <w:color w:val="1A1A1A"/>
          <w:sz w:val="22"/>
          <w:szCs w:val="22"/>
          <w:lang w:val="en-GB"/>
        </w:rPr>
        <w:t>—an underlying</w:t>
      </w:r>
    </w:p>
    <w:p>
      <w:pPr>
        <w:pStyle w:val="Normal"/>
        <w:spacing w:before="0" w:after="0"/>
        <w:contextualSpacing/>
        <w:rPr/>
      </w:pPr>
      <w:r>
        <w:rPr>
          <w:rFonts w:eastAsia="Calibri" w:cs="TimesNewRomanPSMT" w:ascii="TimesNewRomanPSMT" w:hAnsi="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eastAsia="Calibri" w:cs="TimesNewRomanPSMT" w:ascii="TimesNewRomanPSMT" w:hAnsi="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eastAsia="Calibri" w:cs="TimesNewRomanPSMT" w:ascii="TimesNewRomanPSMT" w:hAnsi="TimesNewRomanPSMT"/>
          <w:color w:val="1A1A1A"/>
          <w:sz w:val="22"/>
          <w:szCs w:val="22"/>
          <w:lang w:val="en-GB"/>
        </w:rPr>
        <w:t>.</w:t>
      </w:r>
      <w:r>
        <w:rPr>
          <w:rFonts w:eastAsia="Calibri" w:cs="TimesNewRomanPSMT" w:ascii="TimesNewRomanPSMT" w:hAnsi="TimesNewRomanPSMT"/>
          <w:color w:val="1A1A1A"/>
          <w:sz w:val="14"/>
          <w:szCs w:val="14"/>
          <w:lang w:val="en-GB"/>
        </w:rPr>
        <w:t>11</w:t>
      </w:r>
    </w:p>
    <w:p>
      <w:pPr>
        <w:pStyle w:val="Normal"/>
        <w:spacing w:before="0" w:after="0"/>
        <w:contextualSpacing/>
        <w:rPr>
          <w:b/>
          <w:b/>
        </w:rPr>
      </w:pPr>
      <w:r>
        <w:rPr>
          <w:b/>
        </w:rPr>
      </w:r>
    </w:p>
    <w:p>
      <w:pPr>
        <w:pStyle w:val="Normal"/>
        <w:spacing w:before="0" w:after="0"/>
        <w:contextualSpacing/>
        <w:rPr/>
      </w:pPr>
      <w:r>
        <w:rPr>
          <w:rFonts w:eastAsia="Calibri" w:cs="TimesNewRomanPSMT" w:ascii="TimesNewRomanPSMT" w:hAnsi="TimesNewRomanPSMT"/>
          <w:color w:val="000000"/>
          <w:sz w:val="20"/>
          <w:szCs w:val="20"/>
          <w:lang w:val="en-GB"/>
        </w:rPr>
        <w:t xml:space="preserve">footnote 11 </w:t>
      </w:r>
      <w:r>
        <w:rPr>
          <w:rFonts w:eastAsia="Calibri" w:cs="TimesNewRomanPSMT" w:ascii="TimesNewRomanPSMT" w:hAnsi="TimesNewRomanPSMT"/>
          <w:color w:val="000000"/>
          <w:sz w:val="18"/>
          <w:szCs w:val="18"/>
          <w:lang w:val="en-GB"/>
        </w:rPr>
        <w:t>T</w:t>
      </w:r>
      <w:r>
        <w:rPr>
          <w:rFonts w:eastAsia="Calibri" w:cs="TimesNewRomanPSMT" w:ascii="TimesNewRomanPSMT" w:hAnsi="TimesNewRomanPSMT"/>
          <w:color w:val="1A1A1A"/>
          <w:sz w:val="18"/>
          <w:szCs w:val="18"/>
          <w:lang w:val="en-GB"/>
        </w:rPr>
        <w:t xml:space="preserve">he causal structure of a natural kind might not be as simple as I am picturing it here. For Khalidi (2015), natural kinds are defined by </w:t>
      </w:r>
      <w:r>
        <w:rPr>
          <w:rFonts w:eastAsia="Calibri" w:cs="TimesNewRomanPS-ItalicMT" w:ascii="TimesNewRomanPS-ItalicMT" w:hAnsi="TimesNewRomanPS-ItalicMT"/>
          <w:i/>
          <w:iCs/>
          <w:color w:val="1A1A1A"/>
          <w:sz w:val="18"/>
          <w:szCs w:val="18"/>
          <w:lang w:val="en-GB"/>
        </w:rPr>
        <w:t>multiple networks of causal propertie</w:t>
      </w:r>
      <w:r>
        <w:rPr>
          <w:rFonts w:eastAsia="Calibri" w:cs="TimesNewRomanPSMT" w:ascii="TimesNewRomanPSMT" w:hAnsi="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eastAsia="Calibri" w:cs="TimesNewRomanPSMT" w:ascii="TimesNewRomanPSMT" w:hAnsi="TimesNewRomanPSMT"/>
          <w:color w:val="131413"/>
          <w:sz w:val="18"/>
          <w:szCs w:val="18"/>
          <w:lang w:val="en-GB"/>
        </w:rPr>
        <w:t>web-like causal structures</w:t>
      </w:r>
      <w:r>
        <w:rPr>
          <w:rFonts w:eastAsia="Calibri" w:cs="TimesNewRomanPSMT" w:ascii="TimesNewRomanPSMT" w:hAnsi="TimesNewRomanPSMT"/>
          <w:color w:val="1A1A1A"/>
          <w:sz w:val="18"/>
          <w:szCs w:val="18"/>
          <w:lang w:val="en-GB"/>
        </w:rPr>
        <w:t>. Khalidi thinks that such a “</w:t>
      </w:r>
      <w:r>
        <w:rPr>
          <w:rFonts w:eastAsia="Calibri" w:cs="TimesNewRomanPS-ItalicMT" w:ascii="TimesNewRomanPS-ItalicMT" w:hAnsi="TimesNewRomanPS-ItalicMT"/>
          <w:i/>
          <w:iCs/>
          <w:color w:val="1A1A1A"/>
          <w:sz w:val="18"/>
          <w:szCs w:val="18"/>
          <w:lang w:val="en-GB"/>
        </w:rPr>
        <w:t xml:space="preserve">hierarchy </w:t>
      </w:r>
      <w:r>
        <w:rPr>
          <w:rFonts w:eastAsia="Calibri" w:cs="TimesNewRomanPSMT" w:ascii="TimesNewRomanPSMT" w:hAnsi="TimesNewRomanPSMT"/>
          <w:color w:val="1A1A1A"/>
          <w:sz w:val="18"/>
          <w:szCs w:val="18"/>
          <w:lang w:val="en-GB"/>
        </w:rPr>
        <w:t xml:space="preserve">or </w:t>
      </w:r>
      <w:r>
        <w:rPr>
          <w:rFonts w:eastAsia="Calibri" w:cs="TimesNewRomanPS-ItalicMT" w:ascii="TimesNewRomanPS-ItalicMT" w:hAnsi="TimesNewRomanPS-ItalicMT"/>
          <w:i/>
          <w:iCs/>
          <w:color w:val="1A1A1A"/>
          <w:sz w:val="18"/>
          <w:szCs w:val="18"/>
          <w:lang w:val="en-GB"/>
        </w:rPr>
        <w:t xml:space="preserve">series of cascading layers </w:t>
      </w:r>
      <w:r>
        <w:rPr>
          <w:rFonts w:eastAsia="Calibri" w:cs="TimesNewRomanPSMT" w:ascii="TimesNewRomanPSMT" w:hAnsi="TimesNewRomanPSMT"/>
          <w:color w:val="1A1A1A"/>
          <w:sz w:val="18"/>
          <w:szCs w:val="18"/>
          <w:lang w:val="en-GB"/>
        </w:rPr>
        <w:t xml:space="preserve">of properties” characterizes especially chemical elements. Still, his picture is consistent with the thesis that there is a </w:t>
      </w:r>
      <w:r>
        <w:rPr>
          <w:rFonts w:eastAsia="Calibri" w:cs="TimesNewRomanPS-ItalicMT" w:ascii="TimesNewRomanPS-ItalicMT" w:hAnsi="TimesNewRomanPS-ItalicMT"/>
          <w:i/>
          <w:iCs/>
          <w:color w:val="1A1A1A"/>
          <w:sz w:val="18"/>
          <w:szCs w:val="18"/>
          <w:lang w:val="en-GB"/>
        </w:rPr>
        <w:t xml:space="preserve">single </w:t>
      </w:r>
      <w:r>
        <w:rPr>
          <w:rFonts w:eastAsia="Calibri" w:cs="TimesNewRomanPSMT" w:ascii="TimesNewRomanPSMT" w:hAnsi="TimesNewRomanPSMT"/>
          <w:color w:val="1A1A1A"/>
          <w:sz w:val="18"/>
          <w:szCs w:val="18"/>
          <w:lang w:val="en-GB"/>
        </w:rPr>
        <w:t>essential core or mechanism, which grounds the whole causal network and to which the various multiple relationships could be ultimately traced back.</w:t>
      </w:r>
    </w:p>
    <w:p>
      <w:pPr>
        <w:pStyle w:val="Normal"/>
        <w:spacing w:before="0" w:after="0"/>
        <w:contextualSpacing/>
        <w:rPr>
          <w:b/>
          <w:b/>
        </w:rPr>
      </w:pPr>
      <w:r>
        <w:rPr>
          <w:b/>
        </w:rPr>
      </w:r>
    </w:p>
    <w:p>
      <w:pPr>
        <w:pStyle w:val="Normal"/>
        <w:spacing w:before="0" w:after="0"/>
        <w:contextualSpacing/>
        <w:rPr>
          <w:rFonts w:ascii="TimesNewRomanPSMT" w:hAnsi="TimesNewRomanPSMT" w:eastAsia="Calibri" w:cs="TimesNewRomanPSMT"/>
          <w:color w:val="000000"/>
          <w:sz w:val="22"/>
          <w:szCs w:val="22"/>
          <w:lang w:val="en-GB"/>
        </w:rPr>
      </w:pPr>
      <w:r>
        <w:rPr>
          <w:rFonts w:eastAsia="Calibri" w:cs="TimesNewRomanPSMT" w:ascii="TimesNewRomanPSMT" w:hAnsi="TimesNewRomanPSMT"/>
          <w:color w:val="000000"/>
          <w:sz w:val="22"/>
          <w:szCs w:val="22"/>
          <w:lang w:val="en-GB"/>
        </w:rPr>
        <w:t>By generalization from the element case, we can then conjecture that an analogous story is</w:t>
      </w:r>
    </w:p>
    <w:p>
      <w:pPr>
        <w:pStyle w:val="Normal"/>
        <w:spacing w:before="0" w:after="0"/>
        <w:contextualSpacing/>
        <w:rPr/>
      </w:pPr>
      <w:r>
        <w:rPr>
          <w:rFonts w:eastAsia="Calibri" w:cs="TimesNewRomanPSMT" w:ascii="TimesNewRomanPSMT" w:hAnsi="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eastAsia="Calibri" w:cs="TimesNewRomanPSMT" w:ascii="TimesNewRomanPSMT" w:hAnsi="TimesNewRomanPSMT"/>
          <w:color w:val="222222"/>
          <w:sz w:val="22"/>
          <w:szCs w:val="22"/>
          <w:lang w:val="en-GB"/>
        </w:rPr>
        <w:t xml:space="preserve">given opportune environmental conditions, causes and explains </w:t>
      </w:r>
      <w:r>
        <w:rPr>
          <w:rFonts w:eastAsia="Calibri" w:cs="TimesNewRomanPSMT" w:ascii="TimesNewRomanPSMT" w:hAnsi="TimesNewRomanPSMT"/>
          <w:color w:val="1A1A1A"/>
          <w:sz w:val="22"/>
          <w:szCs w:val="22"/>
          <w:lang w:val="en-GB"/>
        </w:rPr>
        <w:t>the many superficial properties and behaviors that are typically exhibited by all instances of that kind</w:t>
      </w:r>
      <w:r>
        <w:rPr>
          <w:rFonts w:eastAsia="Calibri" w:cs="TimesNewRomanPSMT" w:ascii="TimesNewRomanPSMT" w:hAnsi="TimesNewRomanPSMT"/>
          <w:color w:val="000000"/>
          <w:sz w:val="22"/>
          <w:szCs w:val="22"/>
          <w:lang w:val="en-GB"/>
        </w:rPr>
        <w:t>. If this is correct, there may be a scientifically grounded way to clarify in what sense essential properties constitute the “nature” of those kinds. (p. 12)</w:t>
      </w:r>
    </w:p>
    <w:p>
      <w:pPr>
        <w:pStyle w:val="Normal"/>
        <w:spacing w:before="0" w:after="0"/>
        <w:contextualSpacing/>
        <w:rPr>
          <w:rFonts w:ascii="TimesNewRomanPSMT" w:hAnsi="TimesNewRomanPSMT" w:eastAsia="Calibri" w:cs="TimesNewRomanPSMT"/>
          <w:color w:val="000000"/>
          <w:sz w:val="22"/>
          <w:szCs w:val="22"/>
          <w:lang w:val="en-GB"/>
        </w:rPr>
      </w:pPr>
      <w:r>
        <w:rPr>
          <w:rFonts w:eastAsia="Calibri" w:cs="TimesNewRomanPSMT" w:ascii="TimesNewRomanPSMT" w:hAnsi="TimesNewRomanPSMT"/>
          <w:color w:val="000000"/>
          <w:sz w:val="22"/>
          <w:szCs w:val="22"/>
          <w:lang w:val="en-GB"/>
        </w:rPr>
      </w:r>
    </w:p>
    <w:p>
      <w:pPr>
        <w:pStyle w:val="Normal"/>
        <w:spacing w:before="0" w:after="0"/>
        <w:contextualSpacing/>
        <w:rPr/>
      </w:pPr>
      <w:r>
        <w:rPr>
          <w:rFonts w:eastAsia="Calibri" w:cs="TimesNewRomanPSMT" w:ascii="TimesNewRomanPSMT" w:hAnsi="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eastAsia="Calibri" w:cs="TimesNewRomanPS-ItalicMT" w:ascii="TimesNewRomanPS-ItalicMT" w:hAnsi="TimesNewRomanPS-ItalicMT"/>
          <w:i/>
          <w:iCs/>
          <w:color w:val="1A1A1A"/>
          <w:sz w:val="22"/>
          <w:szCs w:val="22"/>
          <w:lang w:val="en-GB"/>
        </w:rPr>
        <w:t>metaphysical</w:t>
      </w:r>
      <w:r>
        <w:rPr>
          <w:rFonts w:eastAsia="Calibri" w:cs="TimesNewRomanPSMT" w:ascii="TimesNewRomanPSMT" w:hAnsi="TimesNewRomanPSMT"/>
          <w:color w:val="1A1A1A"/>
          <w:sz w:val="22"/>
          <w:szCs w:val="22"/>
          <w:lang w:val="en-GB"/>
        </w:rPr>
        <w:t xml:space="preserve">, </w:t>
      </w:r>
      <w:r>
        <w:rPr>
          <w:rFonts w:eastAsia="Calibri" w:cs="TimesNewRomanPS-ItalicMT" w:ascii="TimesNewRomanPS-ItalicMT" w:hAnsi="TimesNewRomanPS-ItalicMT"/>
          <w:i/>
          <w:iCs/>
          <w:color w:val="1A1A1A"/>
          <w:sz w:val="22"/>
          <w:szCs w:val="22"/>
          <w:lang w:val="en-GB"/>
        </w:rPr>
        <w:t xml:space="preserve">essentialist </w:t>
      </w:r>
      <w:r>
        <w:rPr>
          <w:rFonts w:eastAsia="Calibri" w:cs="TimesNewRomanPSMT" w:ascii="TimesNewRomanPSMT" w:hAnsi="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eastAsia="Calibri" w:cs="TimesNewRomanPS-ItalicMT" w:ascii="TimesNewRomanPS-ItalicMT" w:hAnsi="TimesNewRomanPS-ItalicMT"/>
          <w:i/>
          <w:iCs/>
          <w:color w:val="1A1A1A"/>
          <w:sz w:val="22"/>
          <w:szCs w:val="22"/>
          <w:lang w:val="en-GB"/>
        </w:rPr>
        <w:t xml:space="preserve">different beasts </w:t>
      </w:r>
      <w:r>
        <w:rPr>
          <w:rFonts w:eastAsia="Calibri" w:cs="TimesNewRomanPSMT" w:ascii="TimesNewRomanPSMT" w:hAnsi="TimesNewRomanPSMT"/>
          <w:color w:val="1A1A1A"/>
          <w:sz w:val="22"/>
          <w:szCs w:val="22"/>
          <w:lang w:val="en-GB"/>
        </w:rPr>
        <w:t>after all. (pp. 15-16)</w:t>
      </w:r>
    </w:p>
    <w:p>
      <w:pPr>
        <w:pStyle w:val="Normal"/>
        <w:spacing w:before="0" w:after="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pStyle w:val="Normal"/>
        <w:spacing w:before="0" w:after="0"/>
        <w:ind w:left="0" w:right="0" w:firstLine="72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t>In virtue of such combination of capacities, essences play a role for both scientific and</w:t>
      </w:r>
    </w:p>
    <w:p>
      <w:pPr>
        <w:pStyle w:val="Normal"/>
        <w:spacing w:before="0" w:after="0"/>
        <w:contextualSpacing/>
        <w:rPr/>
      </w:pPr>
      <w:r>
        <w:rPr>
          <w:rFonts w:eastAsia="Calibri" w:cs="TimesNewRomanPSMT" w:ascii="TimesNewRomanPSMT" w:hAnsi="TimesNewRomanPSMT"/>
          <w:color w:val="1A1A1A"/>
          <w:sz w:val="22"/>
          <w:szCs w:val="22"/>
          <w:lang w:val="en-GB"/>
        </w:rPr>
        <w:t xml:space="preserve">metaphysical explanation, which is tied to the very nature of the kind. </w:t>
      </w:r>
      <w:r>
        <w:rPr>
          <w:rFonts w:eastAsia="Calibri" w:cs="TimesNewRomanPSMT" w:ascii="TimesNewRomanPSMT" w:hAnsi="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eastAsia="Calibri" w:cs="TimesNewRomanPSMT" w:ascii="TimesNewRomanPSMT" w:hAnsi="TimesNewRomanPSMT"/>
          <w:color w:val="1A1A1A"/>
          <w:sz w:val="22"/>
          <w:szCs w:val="22"/>
          <w:lang w:val="en-GB"/>
        </w:rPr>
        <w:t xml:space="preserve"> (pp. 17-18)</w:t>
      </w:r>
    </w:p>
    <w:p>
      <w:pPr>
        <w:pStyle w:val="Normal"/>
        <w:spacing w:before="0" w:after="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r>
    </w:p>
    <w:p>
      <w:pPr>
        <w:pStyle w:val="Normal"/>
        <w:spacing w:before="0" w:after="0"/>
        <w:contextualSpacing/>
        <w:rPr/>
      </w:pPr>
      <w:r>
        <w:rPr>
          <w:rFonts w:eastAsia="Calibri" w:cs="TimesNewRomanPSMT" w:ascii="TimesNewRomanPSMT" w:hAnsi="TimesNewRomanPSMT"/>
          <w:sz w:val="22"/>
          <w:szCs w:val="22"/>
          <w:lang w:val="en-GB"/>
        </w:rPr>
        <w:t xml:space="preserve">Principle (E) thus holds at the </w:t>
      </w:r>
      <w:r>
        <w:rPr>
          <w:rFonts w:eastAsia="Calibri" w:cs="TimesNewRomanPS-ItalicMT" w:ascii="TimesNewRomanPS-ItalicMT" w:hAnsi="TimesNewRomanPS-ItalicMT"/>
          <w:i/>
          <w:iCs/>
          <w:sz w:val="22"/>
          <w:szCs w:val="22"/>
          <w:lang w:val="en-GB"/>
        </w:rPr>
        <w:t xml:space="preserve">metaphysical-constitutive </w:t>
      </w:r>
      <w:r>
        <w:rPr>
          <w:rFonts w:eastAsia="Calibri" w:cs="TimesNewRomanPSMT" w:ascii="TimesNewRomanPSMT" w:hAnsi="TimesNewRomanPSMT"/>
          <w:sz w:val="22"/>
          <w:szCs w:val="22"/>
          <w:lang w:val="en-GB"/>
        </w:rPr>
        <w:t xml:space="preserve">level because it expresses the fundamental relationship between essence and metaphysical necessity. But it also holds at the </w:t>
      </w:r>
      <w:r>
        <w:rPr>
          <w:rFonts w:eastAsia="Calibri" w:cs="TimesNewRomanPS-ItalicMT" w:ascii="TimesNewRomanPS-ItalicMT" w:hAnsi="TimesNewRomanPS-ItalicMT"/>
          <w:i/>
          <w:iCs/>
          <w:sz w:val="22"/>
          <w:szCs w:val="22"/>
          <w:lang w:val="en-GB"/>
        </w:rPr>
        <w:t>epistemological</w:t>
      </w:r>
      <w:r>
        <w:rPr>
          <w:rFonts w:eastAsia="Calibri" w:cs="TimesNewRomanPSMT" w:ascii="TimesNewRomanPSMT" w:hAnsi="TimesNewRomanPSMT"/>
          <w:sz w:val="22"/>
          <w:szCs w:val="22"/>
          <w:lang w:val="en-GB"/>
        </w:rPr>
        <w:t>-</w:t>
      </w:r>
      <w:r>
        <w:rPr>
          <w:rFonts w:eastAsia="Calibri" w:cs="TimesNewRomanPS-ItalicMT" w:ascii="TimesNewRomanPS-ItalicMT" w:hAnsi="TimesNewRomanPS-ItalicMT"/>
          <w:i/>
          <w:iCs/>
          <w:sz w:val="22"/>
          <w:szCs w:val="22"/>
          <w:lang w:val="en-GB"/>
        </w:rPr>
        <w:t xml:space="preserve">normative </w:t>
      </w:r>
      <w:r>
        <w:rPr>
          <w:rFonts w:eastAsia="Calibri" w:cs="TimesNewRomanPSMT" w:ascii="TimesNewRomanPSMT" w:hAnsi="TimesNewRomanPSMT"/>
          <w:sz w:val="22"/>
          <w:szCs w:val="22"/>
          <w:lang w:val="en-GB"/>
        </w:rPr>
        <w:t xml:space="preserve">level because it shows how correct modal inference to metaphysical necessity goes, based on that fundamental relationship. (pp. 19-20)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Conclusion</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I argued that knowledge of metaphysical necessities involving natural kinds is the product of</w:t>
      </w:r>
    </w:p>
    <w:p>
      <w:pPr>
        <w:pStyle w:val="Normal"/>
        <w:spacing w:before="0" w:after="0"/>
        <w:contextualSpacing/>
        <w:rPr/>
      </w:pPr>
      <w:r>
        <w:rPr>
          <w:rFonts w:eastAsia="Calibri" w:cs="TimesNewRomanPSMT" w:ascii="TimesNewRomanPSMT" w:hAnsi="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eastAsia="Calibri" w:cs="TimesNewRomanPS-ItalicMT" w:ascii="TimesNewRomanPS-ItalicMT" w:hAnsi="TimesNewRomanPS-ItalicMT"/>
          <w:i/>
          <w:iCs/>
          <w:sz w:val="22"/>
          <w:szCs w:val="22"/>
          <w:lang w:val="en-GB"/>
        </w:rPr>
        <w:t>a posteriori</w:t>
      </w:r>
      <w:r>
        <w:rPr>
          <w:rFonts w:eastAsia="Calibri" w:cs="TimesNewRomanPSMT" w:ascii="TimesNewRomanPSMT" w:hAnsi="TimesNewRomanPSMT"/>
          <w:sz w:val="22"/>
          <w:szCs w:val="22"/>
          <w:lang w:val="en-GB"/>
        </w:rPr>
        <w:t xml:space="preserve">, via scientific investigation aimed at disclosing the causal structure of kinds; while the particular Kripkean conditionals all involve an </w:t>
      </w:r>
      <w:r>
        <w:rPr>
          <w:rFonts w:eastAsia="Calibri" w:cs="TimesNewRomanPS-ItalicMT" w:ascii="TimesNewRomanPS-ItalicMT" w:hAnsi="TimesNewRomanPS-ItalicMT"/>
          <w:i/>
          <w:iCs/>
          <w:sz w:val="22"/>
          <w:szCs w:val="22"/>
          <w:lang w:val="en-GB"/>
        </w:rPr>
        <w:t xml:space="preserve">a priori </w:t>
      </w:r>
      <w:r>
        <w:rPr>
          <w:rFonts w:eastAsia="Calibri" w:cs="TimesNewRomanPSMT" w:ascii="TimesNewRomanPSMT" w:hAnsi="TimesNewRomanPSMT"/>
          <w:sz w:val="22"/>
          <w:szCs w:val="22"/>
          <w:lang w:val="en-GB"/>
        </w:rPr>
        <w:t xml:space="preserve">inferential component. This approach to the epistemology of metaphysical modality puts </w:t>
      </w:r>
      <w:r>
        <w:rPr>
          <w:rFonts w:eastAsia="Calibri" w:cs="TimesNewRomanPS-ItalicMT" w:ascii="TimesNewRomanPS-ItalicMT" w:hAnsi="TimesNewRomanPS-ItalicMT"/>
          <w:i/>
          <w:iCs/>
          <w:sz w:val="22"/>
          <w:szCs w:val="22"/>
          <w:lang w:val="en-GB"/>
        </w:rPr>
        <w:t xml:space="preserve">metaphysics first </w:t>
      </w:r>
      <w:r>
        <w:rPr>
          <w:rFonts w:eastAsia="Calibri" w:cs="TimesNewRomanPSMT" w:ascii="TimesNewRomanPSMT" w:hAnsi="TimesNewRomanPSMT"/>
          <w:sz w:val="22"/>
          <w:szCs w:val="22"/>
          <w:lang w:val="en-GB"/>
        </w:rPr>
        <w:t xml:space="preserve">and, specifically, </w:t>
      </w:r>
      <w:r>
        <w:rPr>
          <w:rFonts w:eastAsia="Calibri" w:cs="TimesNewRomanPS-ItalicMT" w:ascii="TimesNewRomanPS-ItalicMT" w:hAnsi="TimesNewRomanPS-ItalicMT"/>
          <w:i/>
          <w:iCs/>
          <w:sz w:val="22"/>
          <w:szCs w:val="22"/>
          <w:lang w:val="en-GB"/>
        </w:rPr>
        <w:t>essence first</w:t>
      </w:r>
      <w:r>
        <w:rPr>
          <w:rFonts w:eastAsia="Calibri" w:cs="TimesNewRomanPSMT" w:ascii="TimesNewRomanPSMT" w:hAnsi="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In the background of the project is the idea that metaphysical modal inquiry is an empirically</w:t>
      </w:r>
    </w:p>
    <w:p>
      <w:pPr>
        <w:pStyle w:val="Normal"/>
        <w:spacing w:before="0" w:after="0"/>
        <w:contextualSpacing/>
        <w:rPr/>
      </w:pPr>
      <w:r>
        <w:rPr>
          <w:rFonts w:eastAsia="Calibri" w:cs="TimesNewRomanPSMT" w:ascii="TimesNewRomanPSMT" w:hAnsi="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eastAsia="Calibri" w:cs="TimesNewRomanPS-ItalicMT" w:ascii="TimesNewRomanPS-ItalicMT" w:hAnsi="TimesNewRomanPS-ItalicMT"/>
          <w:i/>
          <w:iCs/>
          <w:sz w:val="22"/>
          <w:szCs w:val="22"/>
          <w:lang w:val="en-GB"/>
        </w:rPr>
        <w:t xml:space="preserve">essences </w:t>
      </w:r>
      <w:r>
        <w:rPr>
          <w:rFonts w:eastAsia="Calibri" w:cs="TimesNewRomanPSMT" w:ascii="TimesNewRomanPSMT" w:hAnsi="TimesNewRomanPSMT"/>
          <w:sz w:val="22"/>
          <w:szCs w:val="22"/>
          <w:lang w:val="en-GB"/>
        </w:rPr>
        <w:t xml:space="preserve">of natural kinds lend themselves </w:t>
      </w:r>
      <w:r>
        <w:rPr>
          <w:rFonts w:eastAsia="Calibri" w:cs="TimesNewRomanPS-ItalicMT" w:ascii="TimesNewRomanPS-ItalicMT" w:hAnsi="TimesNewRomanPS-ItalicMT"/>
          <w:i/>
          <w:iCs/>
          <w:sz w:val="22"/>
          <w:szCs w:val="22"/>
          <w:lang w:val="en-GB"/>
        </w:rPr>
        <w:t xml:space="preserve">to us through science. </w:t>
      </w:r>
      <w:r>
        <w:rPr>
          <w:rFonts w:eastAsia="Calibri" w:cs="TimesNewRomanPSMT" w:ascii="TimesNewRomanPSMT" w:hAnsi="TimesNewRomanPSMT"/>
          <w:sz w:val="22"/>
          <w:szCs w:val="22"/>
          <w:lang w:val="en-GB"/>
        </w:rPr>
        <w:t>The epistemology of metaphysical modality thus proceeds, via the epistemology of essence, hand in hand with scientific investigation. (p. 21)</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 xml:space="preserve">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r>
    </w:p>
    <w:p>
      <w:pPr>
        <w:pStyle w:val="ListParagraph"/>
        <w:numPr>
          <w:ilvl w:val="0"/>
          <w:numId w:val="3"/>
        </w:numPr>
        <w:spacing w:before="0" w:after="0"/>
        <w:ind w:left="0" w:right="0" w:hanging="360"/>
        <w:contextualSpacing/>
        <w:jc w:val="both"/>
        <w:rPr/>
      </w:pPr>
      <w:r>
        <w:rPr>
          <w:rFonts w:eastAsia="Calibri" w:cs="TimesNewRomanPSMT" w:ascii="TimesNewRomanPSMT" w:hAnsi="TimesNewRomanPSMT"/>
          <w:b/>
          <w:color w:val="1A1A1A"/>
          <w:sz w:val="28"/>
          <w:szCs w:val="28"/>
          <w:lang w:val="en-GB"/>
        </w:rPr>
        <w:t xml:space="preserve">(2014) </w:t>
      </w:r>
      <w:r>
        <w:rPr>
          <w:rFonts w:eastAsia="Calibri" w:cs="AdvOT635f2c37" w:ascii="AdvOT635f2c37" w:hAnsi="AdvOT635f2c37"/>
          <w:b/>
          <w:sz w:val="28"/>
          <w:szCs w:val="28"/>
          <w:lang w:val="en-GB"/>
        </w:rPr>
        <w:t>Erik C. Banks (</w:t>
      </w:r>
      <w:r>
        <w:rPr>
          <w:rFonts w:eastAsia="Calibri" w:cs="AdvOTa14f9db0.I" w:ascii="AdvOTa14f9db0.I" w:hAnsi="AdvOTa14f9db0.I"/>
          <w:b/>
          <w:sz w:val="28"/>
          <w:szCs w:val="28"/>
          <w:lang w:val="en-GB"/>
        </w:rPr>
        <w:t xml:space="preserve">Wright State University), </w:t>
      </w:r>
      <w:r>
        <w:rPr>
          <w:rFonts w:eastAsia="Calibri" w:cs="AdvOT635f2c37" w:ascii="AdvOT635f2c37" w:hAnsi="AdvOT635f2c37"/>
          <w:b/>
          <w:i/>
          <w:sz w:val="28"/>
          <w:szCs w:val="28"/>
          <w:lang w:val="en-GB"/>
        </w:rPr>
        <w:t xml:space="preserve">The realistic empiricism of Mach, James, and Russell - </w:t>
      </w:r>
      <w:r>
        <w:rPr>
          <w:rFonts w:eastAsia="Calibri" w:cs="AdvOTa14f9db0.I" w:ascii="AdvOTa14f9db0.I" w:hAnsi="AdvOTa14f9db0.I"/>
          <w:b/>
          <w:i/>
          <w:sz w:val="28"/>
          <w:szCs w:val="28"/>
          <w:lang w:val="en-GB"/>
        </w:rPr>
        <w:t>Neutral monism reconceived</w:t>
      </w:r>
      <w:r>
        <w:rPr>
          <w:rFonts w:eastAsia="Calibri" w:cs="AdvOTa14f9db0.I" w:ascii="AdvOTa14f9db0.I" w:hAnsi="AdvOTa14f9db0.I"/>
          <w:b/>
          <w:sz w:val="28"/>
          <w:szCs w:val="28"/>
          <w:lang w:val="en-GB"/>
        </w:rPr>
        <w:t>, Cambridge University Press</w:t>
      </w:r>
    </w:p>
    <w:p>
      <w:pPr>
        <w:pStyle w:val="Normal"/>
        <w:spacing w:before="0" w:after="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r>
    </w:p>
    <w:p>
      <w:pPr>
        <w:pStyle w:val="Normal"/>
        <w:spacing w:before="0" w:after="0"/>
        <w:contextualSpacing/>
        <w:rPr/>
      </w:pPr>
      <w:r>
        <w:rPr>
          <w:rFonts w:eastAsia="Calibri" w:cs="TimesNewRomanPSMT" w:ascii="TimesNewRomanPSMT" w:hAnsi="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eastAsia="Calibri" w:cs="TimesNewRomanPSMT" w:ascii="TimesNewRomanPSMT" w:hAnsi="TimesNewRomanPSMT"/>
          <w:b/>
          <w:color w:val="1A1A1A"/>
          <w:sz w:val="28"/>
          <w:szCs w:val="28"/>
          <w:lang w:val="en-GB"/>
        </w:rPr>
        <w:t>Double ‘UNBELIEVABLE’!!!</w:t>
      </w:r>
      <w:r>
        <w:rPr>
          <w:rFonts w:eastAsia="Calibri" w:cs="TimesNewRomanPSMT" w:ascii="TimesNewRomanPSMT" w:hAnsi="TimesNewRomanPSMT"/>
          <w:b/>
          <w:color w:val="1A1A1A"/>
          <w:sz w:val="22"/>
          <w:szCs w:val="22"/>
          <w:lang w:val="en-GB"/>
        </w:rPr>
        <w:t>]</w:t>
      </w:r>
    </w:p>
    <w:p>
      <w:pPr>
        <w:pStyle w:val="Normal"/>
        <w:spacing w:before="0" w:after="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Conceptually, this book is about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what happens when something happens.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It is about </w:t>
      </w:r>
      <w:r>
        <w:rPr>
          <w:rFonts w:eastAsia="Calibri" w:cs="AdvOTa14f9db0.I" w:ascii="AdvOTa14f9db0.I" w:hAnsi="AdvOTa14f9db0.I"/>
          <w:sz w:val="22"/>
          <w:szCs w:val="22"/>
          <w:lang w:val="en-GB"/>
        </w:rPr>
        <w:t xml:space="preserve">events </w:t>
      </w:r>
      <w:r>
        <w:rPr>
          <w:rFonts w:eastAsia="Calibri" w:cs="AdvOT635f2c37" w:ascii="AdvOT635f2c37" w:hAnsi="AdvOT635f2c37"/>
          <w:sz w:val="22"/>
          <w:szCs w:val="22"/>
          <w:lang w:val="en-GB"/>
        </w:rPr>
        <w:t xml:space="preserve">in the natural world: events in physical science and events in the brain, which are gathered together under the common term of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elements.</w:t>
      </w:r>
      <w:r>
        <w:rPr>
          <w:rFonts w:eastAsia="Calibri" w:cs="AdvOT635f2c37+20" w:ascii="AdvOT635f2c37+20" w:hAnsi="AdvOT635f2c37+20"/>
          <w:sz w:val="22"/>
          <w:szCs w:val="22"/>
          <w:lang w:val="en-GB"/>
        </w:rPr>
        <w:t xml:space="preserve">” (p. viii) </w:t>
      </w:r>
    </w:p>
    <w:p>
      <w:pPr>
        <w:pStyle w:val="Normal"/>
        <w:spacing w:before="0" w:after="0"/>
        <w:contextualSpacing/>
        <w:rPr>
          <w:rFonts w:ascii="AdvOT635f2c37+20" w:hAnsi="AdvOT635f2c37+20" w:eastAsia="Calibri" w:cs="AdvOT635f2c37+20"/>
          <w:sz w:val="22"/>
          <w:szCs w:val="22"/>
          <w:lang w:val="en-GB"/>
        </w:rPr>
      </w:pPr>
      <w:r>
        <w:rPr>
          <w:rFonts w:eastAsia="Calibri" w:cs="AdvOT635f2c37+20" w:ascii="AdvOT635f2c37+20" w:hAnsi="AdvOT635f2c37+20"/>
          <w:sz w:val="22"/>
          <w:szCs w:val="22"/>
          <w:lang w:val="en-GB"/>
        </w:rPr>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t>Realistic empiricism gradually broadens the area of interest to include all events or interactions in</w:t>
      </w:r>
    </w:p>
    <w:p>
      <w:pPr>
        <w:pStyle w:val="Normal"/>
        <w:spacing w:before="0" w:after="0"/>
        <w:contextualSpacing/>
        <w:rPr/>
      </w:pPr>
      <w:r>
        <w:rPr>
          <w:rFonts w:eastAsia="Calibri" w:cs="AdvOT635f2c37" w:ascii="AdvOT635f2c37" w:hAnsi="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great strength. (p. </w:t>
        <w:tab/>
        <w:t xml:space="preserve">4)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For the realistic empiricist, as for the traditional empiricist, existence is always of </w:t>
      </w:r>
      <w:r>
        <w:rPr>
          <w:rFonts w:eastAsia="Calibri" w:cs="AdvOTa14f9db0.I" w:ascii="AdvOTa14f9db0.I" w:hAnsi="AdvOTa14f9db0.I"/>
          <w:sz w:val="22"/>
          <w:szCs w:val="22"/>
          <w:lang w:val="en-GB"/>
        </w:rPr>
        <w:t xml:space="preserve">particular </w:t>
      </w:r>
      <w:r>
        <w:rPr>
          <w:rFonts w:eastAsia="Calibri" w:cs="AdvOT635f2c37" w:ascii="AdvOT635f2c37" w:hAnsi="AdvOT635f2c37"/>
          <w:sz w:val="22"/>
          <w:szCs w:val="22"/>
          <w:lang w:val="en-GB"/>
        </w:rPr>
        <w:t xml:space="preserve">matters of fact, and whatever exists at all does so as a concrete particular </w:t>
      </w:r>
      <w:r>
        <w:rPr>
          <w:rFonts w:eastAsia="Calibri" w:cs="AdvOTa14f9db0.I" w:ascii="AdvOTa14f9db0.I" w:hAnsi="AdvOTa14f9db0.I"/>
          <w:sz w:val="22"/>
          <w:szCs w:val="22"/>
          <w:lang w:val="en-GB"/>
        </w:rPr>
        <w:t>event</w:t>
      </w:r>
      <w:r>
        <w:rPr>
          <w:rFonts w:eastAsia="Calibri" w:cs="AdvOT635f2c37" w:ascii="AdvOT635f2c37" w:hAnsi="AdvOT635f2c37"/>
          <w:sz w:val="22"/>
          <w:szCs w:val="22"/>
          <w:lang w:val="en-GB"/>
        </w:rPr>
        <w:t xml:space="preserve">, nature being just the sum total of these events and particular causal relations between them. (5)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Just as there is no inner dualism in the elements themselves, there is no dualism of functions or variations either. Even the terms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psychological</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and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physical</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only refer to provisional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erences in the variations which happen to fall under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departments of study. (8)</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eastAsia="Calibri" w:cs="AdvOTa14f9db0.I" w:ascii="AdvOTa14f9db0.I" w:hAnsi="AdvOTa14f9db0.I"/>
          <w:sz w:val="22"/>
          <w:szCs w:val="22"/>
          <w:lang w:val="en-GB"/>
        </w:rPr>
        <w:t xml:space="preserve">anything </w:t>
      </w:r>
      <w:r>
        <w:rPr>
          <w:rFonts w:eastAsia="Calibri" w:cs="AdvOT635f2c37" w:ascii="AdvOT635f2c37" w:hAnsi="AdvOT635f2c37"/>
          <w:sz w:val="22"/>
          <w:szCs w:val="22"/>
          <w:lang w:val="en-GB"/>
        </w:rPr>
        <w:t xml:space="preserve">is an element and the theory schema comes out empty. If </w:t>
      </w:r>
      <w:r>
        <w:rPr>
          <w:rFonts w:eastAsia="Calibri" w:cs="AdvOTa14f9db0.I" w:ascii="AdvOTa14f9db0.I" w:hAnsi="AdvOTa14f9db0.I"/>
          <w:sz w:val="22"/>
          <w:szCs w:val="22"/>
          <w:lang w:val="en-GB"/>
        </w:rPr>
        <w:t xml:space="preserve">any </w:t>
      </w:r>
      <w:r>
        <w:rPr>
          <w:rFonts w:eastAsia="Calibri" w:cs="AdvOT635f2c37" w:ascii="AdvOT635f2c37" w:hAnsi="AdvOT635f2c37"/>
          <w:sz w:val="22"/>
          <w:szCs w:val="22"/>
          <w:lang w:val="en-GB"/>
        </w:rPr>
        <w:t xml:space="preserve">function can be introduced to associate the elements with each other, then </w:t>
      </w:r>
      <w:r>
        <w:rPr>
          <w:rFonts w:eastAsia="Calibri" w:cs="AdvOTa14f9db0.I" w:ascii="AdvOTa14f9db0.I" w:hAnsi="AdvOTa14f9db0.I"/>
          <w:sz w:val="22"/>
          <w:szCs w:val="22"/>
          <w:lang w:val="en-GB"/>
        </w:rPr>
        <w:t xml:space="preserve">anything </w:t>
      </w:r>
      <w:r>
        <w:rPr>
          <w:rFonts w:eastAsia="Calibri" w:cs="AdvOT635f2c37" w:ascii="AdvOT635f2c37" w:hAnsi="AdvOT635f2c37"/>
          <w:sz w:val="22"/>
          <w:szCs w:val="22"/>
          <w:lang w:val="en-GB"/>
        </w:rPr>
        <w:t>counts as a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ects on each other. The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relations are grounded in this network of e</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ects and in the individual qualities of the events in which their causal powers are directly manifested. (18)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I now see that the enhanced physicalist view of the world involving events and natural qualities comes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rst, </w:t>
      </w:r>
      <w:r>
        <w:rPr>
          <w:rFonts w:eastAsia="Calibri" w:cs="AdvOTa14f9db0.I" w:ascii="AdvOTa14f9db0.I" w:hAnsi="AdvOTa14f9db0.I"/>
          <w:sz w:val="22"/>
          <w:szCs w:val="22"/>
          <w:lang w:val="en-GB"/>
        </w:rPr>
        <w:t xml:space="preserve">before </w:t>
      </w:r>
      <w:r>
        <w:rPr>
          <w:rFonts w:eastAsia="Calibri" w:cs="AdvOT635f2c37" w:ascii="AdvOT635f2c37" w:hAnsi="AdvOT635f2c37"/>
          <w:sz w:val="22"/>
          <w:szCs w:val="22"/>
          <w:lang w:val="en-GB"/>
        </w:rPr>
        <w:t xml:space="preserve">the mental in every sense. </w:t>
      </w:r>
      <w:r>
        <w:rPr>
          <w:rFonts w:eastAsia="Calibri" w:cs="AdvOTa14f9db0.I" w:ascii="AdvOTa14f9db0.I" w:hAnsi="AdvOTa14f9db0.I"/>
          <w:sz w:val="22"/>
          <w:szCs w:val="22"/>
          <w:lang w:val="en-GB"/>
        </w:rPr>
        <w:t xml:space="preserve">All </w:t>
      </w:r>
      <w:r>
        <w:rPr>
          <w:rFonts w:eastAsia="Calibri" w:cs="AdvOT635f2c37" w:ascii="AdvOT635f2c37" w:hAnsi="AdvOT635f2c37"/>
          <w:sz w:val="22"/>
          <w:szCs w:val="22"/>
          <w:lang w:val="en-GB"/>
        </w:rPr>
        <w:t>individual natural events involve manifestations of concrete qualities, and sensation qualities are just the higher-order qualities of very complexly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events in our brains. I will claim that sensations are events that collectively manifest the </w:t>
      </w:r>
      <w:r>
        <w:rPr>
          <w:rFonts w:eastAsia="Calibri" w:cs="AdvOTa14f9db0.I" w:ascii="AdvOTa14f9db0.I" w:hAnsi="AdvOTa14f9db0.I"/>
          <w:sz w:val="22"/>
          <w:szCs w:val="22"/>
          <w:lang w:val="en-GB"/>
        </w:rPr>
        <w:t>con</w:t>
      </w:r>
      <w:r>
        <w:rPr>
          <w:rFonts w:eastAsia="Calibri" w:cs="AdvOTa14f9db0.I+fb" w:ascii="AdvOTa14f9db0.I+fb" w:hAnsi="AdvOTa14f9db0.I+fb"/>
          <w:sz w:val="22"/>
          <w:szCs w:val="22"/>
          <w:lang w:val="en-GB"/>
        </w:rPr>
        <w:t>fi</w:t>
      </w:r>
      <w:r>
        <w:rPr>
          <w:rFonts w:eastAsia="Calibri" w:cs="AdvOTa14f9db0.I" w:ascii="AdvOTa14f9db0.I" w:hAnsi="AdvOTa14f9db0.I"/>
          <w:sz w:val="22"/>
          <w:szCs w:val="22"/>
          <w:lang w:val="en-GB"/>
        </w:rPr>
        <w:t xml:space="preserve">gured </w:t>
      </w:r>
      <w:r>
        <w:rPr>
          <w:rFonts w:eastAsia="Calibri" w:cs="AdvOT635f2c37" w:ascii="AdvOT635f2c37" w:hAnsi="AdvOT635f2c37"/>
          <w:sz w:val="22"/>
          <w:szCs w:val="22"/>
          <w:lang w:val="en-GB"/>
        </w:rPr>
        <w:t>powers of individualized cells all acting together in a combined way. But this is not so very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enhanced physicalist</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view in developing a theory of elementary events within physics. </w:t>
      </w:r>
    </w:p>
    <w:p>
      <w:pPr>
        <w:pStyle w:val="Normal"/>
        <w:spacing w:before="0" w:after="0"/>
        <w:ind w:left="0" w:right="0" w:firstLine="720"/>
        <w:contextualSpacing/>
        <w:rPr/>
      </w:pPr>
      <w:r>
        <w:rPr>
          <w:rFonts w:eastAsia="Calibri" w:cs="AdvOT635f2c37" w:ascii="AdvOT635f2c37" w:hAnsi="AdvOT635f2c37"/>
          <w:sz w:val="22"/>
          <w:szCs w:val="22"/>
          <w:lang w:val="en-GB"/>
        </w:rPr>
        <w:t>Following Mach closely here, physical events are the manifestation of physical forces, and forces are manifestations of a potential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erence of some sort. These are the fundamental physical happenings: a particle, like an electron, moves across a potential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erence, like the energy levels in an atom, and work is done, a photon is emitted and carries away the energy developed. (21)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An individual event is represented as a point, and its qualities are represented as the variety of jumps to the point-event from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zeroes, as it would appear to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observers with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origins.</w:t>
      </w:r>
    </w:p>
    <w:p>
      <w:pPr>
        <w:pStyle w:val="Normal"/>
        <w:spacing w:before="0" w:after="0"/>
        <w:contextualSpacing/>
        <w:rPr/>
      </w:pPr>
      <w:r>
        <w:rPr>
          <w:rFonts w:eastAsia="Calibri" w:cs="AdvOT635f2c37" w:ascii="AdvOT635f2c37" w:hAnsi="AdvOT635f2c37"/>
          <w:sz w:val="22"/>
          <w:szCs w:val="22"/>
          <w:lang w:val="en-GB"/>
        </w:rPr>
        <w:t>Each zero represents a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observer</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 causal perspective on the event and the jump is represented as it would appear from his point of view only. Two events alike for one zero can always be further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erentiated by adding all other jumps from all of the other zeroes. The variety of potential jumps serves to identify the individual event, each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spoke</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representing a manifested quality of a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type from a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point of view on it.</w:t>
      </w:r>
    </w:p>
    <w:p>
      <w:pPr>
        <w:pStyle w:val="Normal"/>
        <w:spacing w:before="0" w:after="0"/>
        <w:contextualSpacing/>
        <w:rPr/>
      </w:pPr>
      <w:r>
        <w:rPr>
          <w:rFonts w:eastAsia="Calibri" w:cs="AdvOT635f2c37" w:ascii="AdvOT635f2c37" w:hAnsi="AdvOT635f2c37"/>
          <w:sz w:val="22"/>
          <w:szCs w:val="22"/>
          <w:lang w:val="en-GB"/>
        </w:rPr>
        <w:t>The individual qualities of a particular event will be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from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Other formats, other visualizations and models, are equally possible candidates for the objects of perception, and, as Kant suggests, would be perceived by other rational beings with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eastAsia="Calibri" w:cs="AdvOTa14f9db0.I" w:ascii="AdvOTa14f9db0.I" w:hAnsi="AdvOTa14f9db0.I"/>
          <w:sz w:val="22"/>
          <w:szCs w:val="22"/>
          <w:lang w:val="en-GB"/>
        </w:rPr>
        <w:t xml:space="preserve">only one </w:t>
      </w:r>
      <w:r>
        <w:rPr>
          <w:rFonts w:eastAsia="Calibri" w:cs="AdvOT635f2c37" w:ascii="AdvOT635f2c37" w:hAnsi="AdvOT635f2c37"/>
          <w:sz w:val="22"/>
          <w:szCs w:val="22"/>
          <w:lang w:val="en-GB"/>
        </w:rPr>
        <w:t xml:space="preserve">describing reality. Certainly a continuation of experience into the objects of a model may be </w:t>
      </w:r>
      <w:r>
        <w:rPr>
          <w:rFonts w:eastAsia="Calibri" w:cs="AdvOTa14f9db0.I" w:ascii="AdvOTa14f9db0.I" w:hAnsi="AdvOTa14f9db0.I"/>
          <w:sz w:val="22"/>
          <w:szCs w:val="22"/>
          <w:lang w:val="en-GB"/>
        </w:rPr>
        <w:t xml:space="preserve">one </w:t>
      </w:r>
      <w:r>
        <w:rPr>
          <w:rFonts w:eastAsia="Calibri" w:cs="AdvOT635f2c37" w:ascii="AdvOT635f2c37" w:hAnsi="AdvOT635f2c37"/>
          <w:sz w:val="22"/>
          <w:szCs w:val="22"/>
          <w:lang w:val="en-GB"/>
        </w:rPr>
        <w:t xml:space="preserve">permissible way to empirically represent reality, and we can even be, as Kant says,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empirically realistic</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Kantian realism is superior to traditional empiricism, but also to naïve model-making transcendental realism. (28)</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presentation, and which I will call a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map. A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The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eastAsia="Calibri" w:cs="AdvOTa14f9db0.I" w:ascii="AdvOTa14f9db0.I" w:hAnsi="AdvOTa14f9db0.I"/>
          <w:sz w:val="22"/>
          <w:szCs w:val="22"/>
          <w:lang w:val="en-GB"/>
        </w:rPr>
        <w:t xml:space="preserve">qua </w:t>
      </w:r>
      <w:r>
        <w:rPr>
          <w:rFonts w:eastAsia="Calibri" w:cs="AdvOT635f2c37" w:ascii="AdvOT635f2c37" w:hAnsi="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anything goes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objection. (74)</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Let</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begin with one anchor point: the sensations themselves, such as green. In their physical interpretation, they are the internal energies of the brain </w:t>
      </w:r>
      <w:r>
        <w:rPr>
          <w:rFonts w:eastAsia="Calibri" w:cs="AdvOTa14f9db0.I" w:ascii="AdvOTa14f9db0.I" w:hAnsi="AdvOTa14f9db0.I"/>
          <w:sz w:val="22"/>
          <w:szCs w:val="22"/>
          <w:lang w:val="en-GB"/>
        </w:rPr>
        <w:t>an sich</w:t>
      </w:r>
      <w:r>
        <w:rPr>
          <w:rFonts w:eastAsia="Calibri" w:cs="AdvOT635f2c37" w:ascii="AdvOT635f2c37" w:hAnsi="AdvOT635f2c37"/>
          <w:sz w:val="22"/>
          <w:szCs w:val="22"/>
          <w:lang w:val="en-GB"/>
        </w:rPr>
        <w:t xml:space="preserve">, </w:t>
      </w:r>
      <w:r>
        <w:rPr>
          <w:rFonts w:eastAsia="Calibri" w:cs="AdvOTa14f9db0.I" w:ascii="AdvOTa14f9db0.I" w:hAnsi="AdvOTa14f9db0.I"/>
          <w:sz w:val="22"/>
          <w:szCs w:val="22"/>
          <w:lang w:val="en-GB"/>
        </w:rPr>
        <w:t xml:space="preserve">not </w:t>
      </w:r>
      <w:r>
        <w:rPr>
          <w:rFonts w:eastAsia="Calibri" w:cs="AdvOT635f2c37" w:ascii="AdvOT635f2c37" w:hAnsi="AdvOT635f2c37"/>
          <w:sz w:val="22"/>
          <w:szCs w:val="22"/>
          <w:lang w:val="en-GB"/>
        </w:rPr>
        <w:t xml:space="preserve">the elements of the observed brain measured by the scanner, or represented to observers looking at the brain from outside. The sensations of green or blue </w:t>
      </w:r>
      <w:r>
        <w:rPr>
          <w:rFonts w:eastAsia="Calibri" w:cs="AdvOT97231e80.B" w:ascii="AdvOT97231e80.B" w:hAnsi="AdvOT97231e80.B"/>
          <w:sz w:val="22"/>
          <w:szCs w:val="22"/>
          <w:lang w:val="en-GB"/>
        </w:rPr>
        <w:t xml:space="preserve">s/e </w:t>
      </w:r>
      <w:r>
        <w:rPr>
          <w:rFonts w:eastAsia="Calibri" w:cs="AdvOT635f2c37" w:ascii="AdvOT635f2c37" w:hAnsi="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eastAsia="Calibri" w:cs="AdvOTa14f9db0.I" w:ascii="AdvOTa14f9db0.I" w:hAnsi="AdvOTa14f9db0.I"/>
          <w:sz w:val="22"/>
          <w:szCs w:val="22"/>
          <w:lang w:val="en-GB"/>
        </w:rPr>
        <w:t xml:space="preserve">else </w:t>
      </w:r>
      <w:r>
        <w:rPr>
          <w:rFonts w:eastAsia="Calibri" w:cs="AdvOT635f2c37" w:ascii="AdvOT635f2c37" w:hAnsi="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connections which will be marked out clearly on the graph, presenting no further problems. (76-77)</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That is the whole substance of the sensation problem on the causal map treatment, about which still more will be said in Chapter </w:t>
      </w:r>
      <w:r>
        <w:rPr>
          <w:rFonts w:eastAsia="Calibri" w:cs="AdvP4491A2" w:ascii="AdvP4491A2" w:hAnsi="AdvP4491A2"/>
          <w:sz w:val="22"/>
          <w:szCs w:val="22"/>
          <w:lang w:val="en-GB"/>
        </w:rPr>
        <w:t>5</w:t>
      </w:r>
      <w:r>
        <w:rPr>
          <w:rFonts w:eastAsia="Calibri" w:cs="AdvOT635f2c37" w:ascii="AdvOT635f2c37" w:hAnsi="AdvOT635f2c37"/>
          <w:sz w:val="22"/>
          <w:szCs w:val="22"/>
          <w:lang w:val="en-GB"/>
        </w:rPr>
        <w:t>. But the essential features are already present in Mach</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w:t>
      </w:r>
      <w:r>
        <w:rPr>
          <w:rFonts w:eastAsia="Calibri" w:cs="AdvOTa14f9db0.I" w:ascii="AdvOTa14f9db0.I" w:hAnsi="AdvOTa14f9db0.I"/>
          <w:sz w:val="22"/>
          <w:szCs w:val="22"/>
          <w:lang w:val="en-GB"/>
        </w:rPr>
        <w:t xml:space="preserve">Analysis of Sensations </w:t>
      </w:r>
      <w:r>
        <w:rPr>
          <w:rFonts w:eastAsia="Calibri" w:cs="AdvOT635f2c37" w:ascii="AdvOT635f2c37" w:hAnsi="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eastAsia="Calibri" w:cs="AdvOTa14f9db0.I" w:ascii="AdvOTa14f9db0.I" w:hAnsi="AdvOTa14f9db0.I"/>
          <w:sz w:val="22"/>
          <w:szCs w:val="22"/>
          <w:lang w:val="en-GB"/>
        </w:rPr>
        <w:t xml:space="preserve">are </w:t>
      </w:r>
      <w:r>
        <w:rPr>
          <w:rFonts w:eastAsia="Calibri" w:cs="AdvOT635f2c37" w:ascii="AdvOT635f2c37" w:hAnsi="AdvOT635f2c37"/>
          <w:sz w:val="22"/>
          <w:szCs w:val="22"/>
          <w:lang w:val="en-GB"/>
        </w:rPr>
        <w:t xml:space="preserve">physical, not mental, if that word is supposed to mean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not-physical,</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or separated from the physical world. (78)</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The actual visual field of the headless body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loops around</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eastAsia="Calibri" w:cs="AdvOTa14f9db0.I" w:ascii="AdvOTa14f9db0.I" w:hAnsi="AdvOTa14f9db0.I"/>
          <w:sz w:val="22"/>
          <w:szCs w:val="22"/>
          <w:lang w:val="en-GB"/>
        </w:rPr>
        <w:t>an sich</w:t>
      </w:r>
      <w:r>
        <w:rPr>
          <w:rFonts w:eastAsia="Calibri" w:cs="AdvOT635f2c37" w:ascii="AdvOT635f2c37" w:hAnsi="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claim. The headless body can observe his brain in a mirror, but those are just </w:t>
      </w:r>
      <w:r>
        <w:rPr>
          <w:rFonts w:eastAsia="Calibri" w:cs="AdvOT97231e80.B" w:ascii="AdvOT97231e80.B" w:hAnsi="AdvOT97231e80.B"/>
          <w:sz w:val="22"/>
          <w:szCs w:val="22"/>
          <w:lang w:val="en-GB"/>
        </w:rPr>
        <w:t>s</w:t>
      </w:r>
      <w:r>
        <w:rPr>
          <w:rFonts w:eastAsia="Calibri" w:cs="AdvP4C4E74" w:ascii="AdvP4C4E74" w:hAnsi="AdvP4C4E74"/>
          <w:sz w:val="15"/>
          <w:szCs w:val="15"/>
          <w:lang w:val="en-GB"/>
        </w:rPr>
        <w:t>0</w:t>
      </w:r>
      <w:r>
        <w:rPr>
          <w:rFonts w:eastAsia="Calibri" w:cs="AdvOT97231e80.B" w:ascii="AdvOT97231e80.B" w:hAnsi="AdvOT97231e80.B"/>
          <w:sz w:val="22"/>
          <w:szCs w:val="22"/>
          <w:lang w:val="en-GB"/>
        </w:rPr>
        <w:t>/e</w:t>
      </w:r>
      <w:r>
        <w:rPr>
          <w:rFonts w:eastAsia="Calibri" w:cs="AdvP4C4E74" w:ascii="AdvP4C4E74" w:hAnsi="AdvP4C4E74"/>
          <w:sz w:val="15"/>
          <w:szCs w:val="15"/>
          <w:lang w:val="en-GB"/>
        </w:rPr>
        <w:t xml:space="preserve">0 </w:t>
      </w:r>
      <w:r>
        <w:rPr>
          <w:rFonts w:eastAsia="Calibri" w:cs="AdvOT635f2c37" w:ascii="AdvOT635f2c37" w:hAnsi="AdvOT635f2c37"/>
          <w:sz w:val="22"/>
          <w:szCs w:val="22"/>
          <w:lang w:val="en-GB"/>
        </w:rPr>
        <w:t xml:space="preserve">elements, not the </w:t>
      </w:r>
      <w:r>
        <w:rPr>
          <w:rFonts w:eastAsia="Calibri" w:cs="AdvOT97231e80.B" w:ascii="AdvOT97231e80.B" w:hAnsi="AdvOT97231e80.B"/>
          <w:sz w:val="22"/>
          <w:szCs w:val="22"/>
          <w:lang w:val="en-GB"/>
        </w:rPr>
        <w:t xml:space="preserve">s/e </w:t>
      </w:r>
      <w:r>
        <w:rPr>
          <w:rFonts w:eastAsia="Calibri" w:cs="AdvOT635f2c37" w:ascii="AdvOT635f2c37" w:hAnsi="AdvOT635f2c37"/>
          <w:sz w:val="22"/>
          <w:szCs w:val="22"/>
          <w:lang w:val="en-GB"/>
        </w:rPr>
        <w:t xml:space="preserve">elements themselves that he thinks they are. The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x</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that marks the location of the sensation in the visual field is matched by a gap in the observed brain in the visual field of the headless body, exactly at the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x</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where the brain process identical with the sensation should have been found. It must be, for they are the same event. Mach</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 construction is thus free of both the spurious bilocation and introjection problems. (81)</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eastAsia="Calibri" w:cs="AdvOTa14f9db0.I" w:ascii="AdvOTa14f9db0.I" w:hAnsi="AdvOTa14f9db0.I"/>
          <w:sz w:val="22"/>
          <w:szCs w:val="22"/>
          <w:lang w:val="en-GB"/>
        </w:rPr>
        <w:t xml:space="preserve">area </w:t>
      </w:r>
      <w:r>
        <w:rPr>
          <w:rFonts w:eastAsia="Calibri" w:cs="AdvOT635f2c37" w:ascii="AdvOT635f2c37" w:hAnsi="AdvOT635f2c37"/>
          <w:sz w:val="22"/>
          <w:szCs w:val="22"/>
          <w:lang w:val="en-GB"/>
        </w:rPr>
        <w:t xml:space="preserve">of the brain (see Kandel </w:t>
      </w:r>
      <w:r>
        <w:rPr>
          <w:rFonts w:eastAsia="Calibri" w:cs="AdvOTa14f9db0.I" w:ascii="AdvOTa14f9db0.I" w:hAnsi="AdvOTa14f9db0.I"/>
          <w:sz w:val="22"/>
          <w:szCs w:val="22"/>
          <w:lang w:val="en-GB"/>
        </w:rPr>
        <w:t>et al</w:t>
      </w:r>
      <w:r>
        <w:rPr>
          <w:rFonts w:eastAsia="Calibri" w:cs="AdvOT635f2c37" w:ascii="AdvOT635f2c37" w:hAnsi="AdvOT635f2c37"/>
          <w:sz w:val="22"/>
          <w:szCs w:val="22"/>
          <w:lang w:val="en-GB"/>
        </w:rPr>
        <w:t xml:space="preserve">. </w:t>
      </w:r>
      <w:r>
        <w:rPr>
          <w:rFonts w:eastAsia="Calibri" w:cs="AdvP4491A2" w:ascii="AdvP4491A2" w:hAnsi="AdvP4491A2"/>
          <w:sz w:val="22"/>
          <w:szCs w:val="22"/>
          <w:lang w:val="en-GB"/>
        </w:rPr>
        <w:t>2000</w:t>
      </w:r>
      <w:r>
        <w:rPr>
          <w:rFonts w:eastAsia="Calibri" w:cs="AdvOT635f2c37" w:ascii="AdvOT635f2c37" w:hAnsi="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hand</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inside a handdetecting neuron. (85)</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eastAsia="Calibri" w:cs="AdvOT97231e80.B" w:ascii="AdvOT97231e80.B" w:hAnsi="AdvOT97231e80.B"/>
          <w:sz w:val="22"/>
          <w:szCs w:val="22"/>
          <w:lang w:val="en-GB"/>
        </w:rPr>
        <w:t xml:space="preserve">s/e </w:t>
      </w:r>
      <w:r>
        <w:rPr>
          <w:rFonts w:eastAsia="Calibri" w:cs="AdvOT635f2c37" w:ascii="AdvOT635f2c37" w:hAnsi="AdvOT635f2c37"/>
          <w:sz w:val="22"/>
          <w:szCs w:val="22"/>
          <w:lang w:val="en-GB"/>
        </w:rPr>
        <w:t xml:space="preserve">elements but not obviously true for the functions relating the </w:t>
      </w:r>
      <w:r>
        <w:rPr>
          <w:rFonts w:eastAsia="Calibri" w:cs="AdvOT97231e80.B" w:ascii="AdvOT97231e80.B" w:hAnsi="AdvOT97231e80.B"/>
          <w:sz w:val="22"/>
          <w:szCs w:val="22"/>
          <w:lang w:val="en-GB"/>
        </w:rPr>
        <w:t xml:space="preserve">s/e </w:t>
      </w:r>
      <w:r>
        <w:rPr>
          <w:rFonts w:eastAsia="Calibri" w:cs="AdvOT635f2c37" w:ascii="AdvOT635f2c37" w:hAnsi="AdvOT635f2c37"/>
          <w:sz w:val="22"/>
          <w:szCs w:val="22"/>
          <w:lang w:val="en-GB"/>
        </w:rPr>
        <w:t xml:space="preserve">to the </w:t>
      </w:r>
      <w:r>
        <w:rPr>
          <w:rFonts w:eastAsia="Calibri" w:cs="AdvOT97231e80.B" w:ascii="AdvOT97231e80.B" w:hAnsi="AdvOT97231e80.B"/>
          <w:sz w:val="22"/>
          <w:szCs w:val="22"/>
          <w:lang w:val="en-GB"/>
        </w:rPr>
        <w:t>s</w:t>
      </w:r>
      <w:r>
        <w:rPr>
          <w:rFonts w:eastAsia="Calibri" w:cs="AdvP4C4E74" w:ascii="AdvP4C4E74" w:hAnsi="AdvP4C4E74"/>
          <w:sz w:val="15"/>
          <w:szCs w:val="15"/>
          <w:lang w:val="en-GB"/>
        </w:rPr>
        <w:t>0</w:t>
      </w:r>
      <w:r>
        <w:rPr>
          <w:rFonts w:eastAsia="Calibri" w:cs="AdvOT97231e80.B" w:ascii="AdvOT97231e80.B" w:hAnsi="AdvOT97231e80.B"/>
          <w:sz w:val="22"/>
          <w:szCs w:val="22"/>
          <w:lang w:val="en-GB"/>
        </w:rPr>
        <w:t>/e</w:t>
      </w:r>
      <w:r>
        <w:rPr>
          <w:rFonts w:eastAsia="Calibri" w:cs="AdvP4C4E74" w:ascii="AdvP4C4E74" w:hAnsi="AdvP4C4E74"/>
          <w:sz w:val="15"/>
          <w:szCs w:val="15"/>
          <w:lang w:val="en-GB"/>
        </w:rPr>
        <w:t xml:space="preserve">0 </w:t>
      </w:r>
      <w:r>
        <w:rPr>
          <w:rFonts w:eastAsia="Calibri" w:cs="AdvOT635f2c37" w:ascii="AdvOT635f2c37" w:hAnsi="AdvOT635f2c37"/>
          <w:sz w:val="22"/>
          <w:szCs w:val="22"/>
          <w:lang w:val="en-GB"/>
        </w:rPr>
        <w:t>elements. (86)</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To introduce a key Kantian observation, an objective intellectual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skeleton</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of a subject</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eastAsia="Calibri" w:cs="AdvP4491A2" w:ascii="AdvP4491A2" w:hAnsi="AdvP4491A2"/>
          <w:sz w:val="22"/>
          <w:szCs w:val="22"/>
          <w:lang w:val="en-GB"/>
        </w:rPr>
        <w:t>1787</w:t>
      </w:r>
      <w:r>
        <w:rPr>
          <w:rFonts w:eastAsia="Calibri" w:cs="AdvOT635f2c37" w:ascii="AdvOT635f2c37" w:hAnsi="AdvOT635f2c37"/>
          <w:sz w:val="22"/>
          <w:szCs w:val="22"/>
          <w:lang w:val="en-GB"/>
        </w:rPr>
        <w:t>/</w:t>
      </w:r>
      <w:r>
        <w:rPr>
          <w:rFonts w:eastAsia="Calibri" w:cs="AdvP4491A2" w:ascii="AdvP4491A2" w:hAnsi="AdvP4491A2"/>
          <w:sz w:val="22"/>
          <w:szCs w:val="22"/>
          <w:lang w:val="en-GB"/>
        </w:rPr>
        <w:t>1998</w:t>
      </w:r>
      <w:r>
        <w:rPr>
          <w:rFonts w:eastAsia="Calibri" w:cs="AdvOT635f2c37" w:ascii="AdvOT635f2c37" w:hAnsi="AdvOT635f2c37"/>
          <w:sz w:val="22"/>
          <w:szCs w:val="22"/>
          <w:lang w:val="en-GB"/>
        </w:rPr>
        <w:t xml:space="preserve">, A </w:t>
      </w:r>
      <w:r>
        <w:rPr>
          <w:rFonts w:eastAsia="Calibri" w:cs="AdvP4491A2" w:ascii="AdvP4491A2" w:hAnsi="AdvP4491A2"/>
          <w:sz w:val="22"/>
          <w:szCs w:val="22"/>
          <w:lang w:val="en-GB"/>
        </w:rPr>
        <w:t>107</w:t>
      </w:r>
      <w:r>
        <w:rPr>
          <w:rFonts w:eastAsia="Calibri" w:cs="AdvOT635f2c37+20" w:ascii="AdvOT635f2c37+20" w:hAnsi="AdvOT635f2c37+20"/>
          <w:sz w:val="22"/>
          <w:szCs w:val="22"/>
          <w:lang w:val="en-GB"/>
        </w:rPr>
        <w:t>–</w:t>
      </w:r>
      <w:r>
        <w:rPr>
          <w:rFonts w:eastAsia="Calibri" w:cs="AdvP4491A2" w:ascii="AdvP4491A2" w:hAnsi="AdvP4491A2"/>
          <w:sz w:val="22"/>
          <w:szCs w:val="22"/>
          <w:lang w:val="en-GB"/>
        </w:rPr>
        <w:t>109</w:t>
      </w:r>
      <w:r>
        <w:rPr>
          <w:rFonts w:eastAsia="Calibri" w:cs="AdvOT635f2c37" w:ascii="AdvOT635f2c37" w:hAnsi="AdvOT635f2c37"/>
          <w:sz w:val="22"/>
          <w:szCs w:val="22"/>
          <w:lang w:val="en-GB"/>
        </w:rPr>
        <w:t xml:space="preserve">). In brief, the argument is something like this. Kant declares that the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synthetic unity of apperception</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is the highest principle guiding the understanding in the construction of experience, higher even than the categories, for it is the synthetic unity that ultimately justifies the categories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application to any possible experience (this is what transcendental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deduction</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means). (p. 107) [in 2008, I investigated a lot from Kant’s philosophy related to sensations, judgments, and self…]</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the B-deduction (B </w:t>
      </w:r>
      <w:r>
        <w:rPr>
          <w:rFonts w:eastAsia="Calibri" w:cs="AdvP4491A2" w:ascii="AdvP4491A2" w:hAnsi="AdvP4491A2"/>
          <w:sz w:val="22"/>
          <w:szCs w:val="22"/>
          <w:lang w:val="en-GB"/>
        </w:rPr>
        <w:t>151</w:t>
      </w:r>
      <w:r>
        <w:rPr>
          <w:rFonts w:eastAsia="Calibri" w:cs="AdvOT635f2c37+20" w:ascii="AdvOT635f2c37+20" w:hAnsi="AdvOT635f2c37+20"/>
          <w:sz w:val="22"/>
          <w:szCs w:val="22"/>
          <w:lang w:val="en-GB"/>
        </w:rPr>
        <w:t>–</w:t>
      </w:r>
      <w:r>
        <w:rPr>
          <w:rFonts w:eastAsia="Calibri" w:cs="AdvP4491A2" w:ascii="AdvP4491A2" w:hAnsi="AdvP4491A2"/>
          <w:sz w:val="22"/>
          <w:szCs w:val="22"/>
          <w:lang w:val="en-GB"/>
        </w:rPr>
        <w:t>152</w:t>
      </w:r>
      <w:r>
        <w:rPr>
          <w:rFonts w:eastAsia="Calibri" w:cs="AdvOT635f2c37" w:ascii="AdvOT635f2c37" w:hAnsi="AdvOT635f2c37"/>
          <w:sz w:val="22"/>
          <w:szCs w:val="22"/>
          <w:lang w:val="en-GB"/>
        </w:rPr>
        <w:t xml:space="preserve">), Kant distinguishes between an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intellectual synthesis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of experience, carried out by the categories and the synthetic unity and applicable to other forms of sensibility besides ours, and a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figurative synthesis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intellectual synthesis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The main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erence between my reconstructed view</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which I do not attribute to the historical Russell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eastAsia="Calibri" w:cs="AdvOTa14f9db0.I" w:ascii="AdvOTa14f9db0.I" w:hAnsi="AdvOTa14f9db0.I"/>
          <w:sz w:val="22"/>
          <w:szCs w:val="22"/>
          <w:lang w:val="en-GB"/>
        </w:rPr>
        <w:t xml:space="preserve">manifested </w:t>
      </w:r>
      <w:r>
        <w:rPr>
          <w:rFonts w:eastAsia="Calibri" w:cs="AdvOT635f2c37" w:ascii="AdvOT635f2c37" w:hAnsi="AdvOT635f2c37"/>
          <w:sz w:val="22"/>
          <w:szCs w:val="22"/>
          <w:lang w:val="en-GB"/>
        </w:rPr>
        <w:t>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erently in the two cases, making any a priori deduction of one empirical manifestation from the other impossible. (142)</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In standard physicalism, then, the instantiation is like the simple carrier, or support, for the physical properties, which I will call a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minimal</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instantiation. We de</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ne a minimal instantiation as whatever satis</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instantiations make for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situations or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worlds. In enhanced physicalism of the type I am considering, the instantiation of all physical properties are individualized event particulars in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relations to each other. These event particulars are individualized manifestations of powers under various circumstances, and are identi</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ed by the individual qualities they manifest. (146)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A and in a, b, c </w:t>
      </w:r>
      <w:r>
        <w:rPr>
          <w:rFonts w:eastAsia="Calibri" w:cs="AdvP4C4E59" w:ascii="AdvP4C4E59" w:hAnsi="AdvP4C4E59"/>
          <w:sz w:val="22"/>
          <w:szCs w:val="22"/>
          <w:lang w:val="en-GB"/>
        </w:rPr>
        <w:t xml:space="preserve">. . . </w:t>
      </w:r>
      <w:r>
        <w:rPr>
          <w:rFonts w:eastAsia="Calibri" w:cs="AdvOT635f2c37" w:ascii="AdvOT635f2c37" w:hAnsi="AdvOT635f2c37"/>
          <w:sz w:val="22"/>
          <w:szCs w:val="22"/>
          <w:lang w:val="en-GB"/>
        </w:rPr>
        <w:t xml:space="preserve">the </w:t>
      </w:r>
      <w:r>
        <w:rPr>
          <w:rFonts w:eastAsia="Calibri" w:cs="AdvOTa14f9db0.I" w:ascii="AdvOTa14f9db0.I" w:hAnsi="AdvOTa14f9db0.I"/>
          <w:sz w:val="22"/>
          <w:szCs w:val="22"/>
          <w:lang w:val="en-GB"/>
        </w:rPr>
        <w:t xml:space="preserve">powers </w:t>
      </w:r>
      <w:r>
        <w:rPr>
          <w:rFonts w:eastAsia="Calibri" w:cs="AdvOT635f2c37" w:ascii="AdvOT635f2c37" w:hAnsi="AdvOT635f2c37"/>
          <w:sz w:val="22"/>
          <w:szCs w:val="22"/>
          <w:lang w:val="en-GB"/>
        </w:rPr>
        <w:t xml:space="preserve">are identical: the powers manifested in a, b, c </w:t>
      </w:r>
      <w:r>
        <w:rPr>
          <w:rFonts w:eastAsia="Calibri" w:cs="AdvP4C4E59" w:ascii="AdvP4C4E59" w:hAnsi="AdvP4C4E59"/>
          <w:sz w:val="22"/>
          <w:szCs w:val="22"/>
          <w:lang w:val="en-GB"/>
        </w:rPr>
        <w:t xml:space="preserve">. . . </w:t>
      </w:r>
      <w:r>
        <w:rPr>
          <w:rFonts w:eastAsia="Calibri" w:cs="AdvOTa14f9db0.I" w:ascii="AdvOTa14f9db0.I" w:hAnsi="AdvOTa14f9db0.I"/>
          <w:sz w:val="22"/>
          <w:szCs w:val="22"/>
          <w:lang w:val="en-GB"/>
        </w:rPr>
        <w:t xml:space="preserve">can </w:t>
      </w:r>
      <w:r>
        <w:rPr>
          <w:rFonts w:eastAsia="Calibri" w:cs="AdvOT635f2c37" w:ascii="AdvOT635f2c37" w:hAnsi="AdvOT635f2c37"/>
          <w:sz w:val="22"/>
          <w:szCs w:val="22"/>
          <w:lang w:val="en-GB"/>
        </w:rPr>
        <w:t>be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gured by f into the powers of the individual event manifested in A. Since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guring existing powers cannot add any new powers to the universe, they must be the same in both events. We can thus continue to refer to the same </w:t>
      </w:r>
      <w:r>
        <w:rPr>
          <w:rFonts w:eastAsia="Calibri" w:cs="AdvOTa14f9db0.I" w:ascii="AdvOTa14f9db0.I" w:hAnsi="AdvOTa14f9db0.I"/>
          <w:sz w:val="22"/>
          <w:szCs w:val="22"/>
          <w:lang w:val="en-GB"/>
        </w:rPr>
        <w:t xml:space="preserve">powers </w:t>
      </w:r>
      <w:r>
        <w:rPr>
          <w:rFonts w:eastAsia="Calibri" w:cs="AdvOT635f2c37" w:ascii="AdvOT635f2c37" w:hAnsi="AdvOT635f2c37"/>
          <w:sz w:val="22"/>
          <w:szCs w:val="22"/>
          <w:lang w:val="en-GB"/>
        </w:rPr>
        <w:t xml:space="preserve">twice, once under the individual terms a, b, c </w:t>
      </w:r>
      <w:r>
        <w:rPr>
          <w:rFonts w:eastAsia="Calibri" w:cs="AdvP4C4E59" w:ascii="AdvP4C4E59" w:hAnsi="AdvP4C4E59"/>
          <w:sz w:val="22"/>
          <w:szCs w:val="22"/>
          <w:lang w:val="en-GB"/>
        </w:rPr>
        <w:t xml:space="preserve">. . . </w:t>
      </w:r>
      <w:r>
        <w:rPr>
          <w:rFonts w:eastAsia="Calibri" w:cs="AdvOT635f2c37" w:ascii="AdvOT635f2c37" w:hAnsi="AdvOT635f2c37"/>
          <w:sz w:val="22"/>
          <w:szCs w:val="22"/>
          <w:lang w:val="en-GB"/>
        </w:rPr>
        <w:t xml:space="preserve">which refer to their individual manifestations in </w:t>
      </w:r>
      <w:r>
        <w:rPr>
          <w:rFonts w:eastAsia="Calibri" w:cs="AdvP4491A2" w:ascii="AdvP4491A2" w:hAnsi="AdvP4491A2"/>
          <w:sz w:val="22"/>
          <w:szCs w:val="22"/>
          <w:lang w:val="en-GB"/>
        </w:rPr>
        <w:t>1</w:t>
      </w:r>
      <w:r>
        <w:rPr>
          <w:rFonts w:eastAsia="Calibri" w:cs="AdvOT635f2c37" w:ascii="AdvOT635f2c37" w:hAnsi="AdvOT635f2c37"/>
          <w:sz w:val="22"/>
          <w:szCs w:val="22"/>
          <w:lang w:val="en-GB"/>
        </w:rPr>
        <w:t>,</w:t>
      </w:r>
      <w:r>
        <w:rPr>
          <w:rFonts w:eastAsia="Calibri" w:cs="AdvP4491A2" w:ascii="AdvP4491A2" w:hAnsi="AdvP4491A2"/>
          <w:sz w:val="22"/>
          <w:szCs w:val="22"/>
          <w:lang w:val="en-GB"/>
        </w:rPr>
        <w:t xml:space="preserve">000 </w:t>
      </w:r>
      <w:r>
        <w:rPr>
          <w:rFonts w:eastAsia="Calibri" w:cs="AdvOT635f2c37" w:ascii="AdvOT635f2c37" w:hAnsi="AdvOT635f2c37"/>
          <w:sz w:val="22"/>
          <w:szCs w:val="22"/>
          <w:lang w:val="en-GB"/>
        </w:rPr>
        <w:t>separate events on microelectrodes, and again, collectively manifested, under a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individual term A </w:t>
      </w:r>
      <w:r>
        <w:rPr>
          <w:rFonts w:eastAsia="Calibri" w:cs="AdvP4C4E74" w:ascii="AdvP4C4E74" w:hAnsi="AdvP4C4E74"/>
          <w:sz w:val="22"/>
          <w:szCs w:val="22"/>
          <w:lang w:val="en-GB"/>
        </w:rPr>
        <w:t xml:space="preserve">¼ </w:t>
      </w:r>
      <w:r>
        <w:rPr>
          <w:rFonts w:eastAsia="Calibri" w:cs="AdvOT635f2c37" w:ascii="AdvOT635f2c37" w:hAnsi="AdvOT635f2c37"/>
          <w:sz w:val="22"/>
          <w:szCs w:val="22"/>
          <w:lang w:val="en-GB"/>
        </w:rPr>
        <w:t xml:space="preserve">f(a, b, c </w:t>
      </w:r>
      <w:r>
        <w:rPr>
          <w:rFonts w:eastAsia="Calibri" w:cs="AdvP4C4E59" w:ascii="AdvP4C4E59" w:hAnsi="AdvP4C4E59"/>
          <w:sz w:val="22"/>
          <w:szCs w:val="22"/>
          <w:lang w:val="en-GB"/>
        </w:rPr>
        <w:t xml:space="preserve">. . . </w:t>
      </w:r>
      <w:r>
        <w:rPr>
          <w:rFonts w:eastAsia="Calibri" w:cs="AdvOT635f2c37" w:ascii="AdvOT635f2c37" w:hAnsi="AdvOT635f2c37"/>
          <w:sz w:val="22"/>
          <w:szCs w:val="22"/>
          <w:lang w:val="en-GB"/>
        </w:rPr>
        <w:t>), which refers to the collective manifestation of the same powers of a, b, c in a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eastAsia="Calibri" w:cs="AdvP4C4E59" w:ascii="AdvP4C4E59" w:hAnsi="AdvP4C4E59"/>
          <w:sz w:val="22"/>
          <w:szCs w:val="22"/>
          <w:lang w:val="en-GB"/>
        </w:rPr>
        <w:t xml:space="preserve">. . . </w:t>
      </w:r>
      <w:r>
        <w:rPr>
          <w:rFonts w:eastAsia="Calibri" w:cs="AdvOT635f2c37" w:ascii="AdvOT635f2c37" w:hAnsi="AdvOT635f2c37"/>
          <w:sz w:val="22"/>
          <w:szCs w:val="22"/>
          <w:lang w:val="en-GB"/>
        </w:rPr>
        <w:t xml:space="preserve">A power is completely present and accounted for in its token manifestations. But it is </w:t>
      </w:r>
      <w:r>
        <w:rPr>
          <w:rFonts w:eastAsia="Calibri" w:cs="AdvOTa14f9db0.I" w:ascii="AdvOTa14f9db0.I" w:hAnsi="AdvOTa14f9db0.I"/>
          <w:sz w:val="22"/>
          <w:szCs w:val="22"/>
          <w:lang w:val="en-GB"/>
        </w:rPr>
        <w:t xml:space="preserve">not </w:t>
      </w:r>
      <w:r>
        <w:rPr>
          <w:rFonts w:eastAsia="Calibri" w:cs="AdvOT635f2c37" w:ascii="AdvOT635f2c37" w:hAnsi="AdvOT635f2c37"/>
          <w:sz w:val="22"/>
          <w:szCs w:val="22"/>
          <w:lang w:val="en-GB"/>
        </w:rPr>
        <w:t xml:space="preserve">true that the token manifestation events A and a, b, c are identical to each   other, so  we cannot write A </w:t>
      </w:r>
      <w:r>
        <w:rPr>
          <w:rFonts w:eastAsia="Calibri" w:cs="AdvP4C4E74" w:ascii="AdvP4C4E74" w:hAnsi="AdvP4C4E74"/>
          <w:sz w:val="22"/>
          <w:szCs w:val="22"/>
          <w:lang w:val="en-GB"/>
        </w:rPr>
        <w:t xml:space="preserve">¼ </w:t>
      </w:r>
      <w:r>
        <w:rPr>
          <w:rFonts w:eastAsia="Calibri" w:cs="AdvOT635f2c37" w:ascii="AdvOT635f2c37" w:hAnsi="AdvOT635f2c37"/>
          <w:sz w:val="22"/>
          <w:szCs w:val="22"/>
          <w:lang w:val="en-GB"/>
        </w:rPr>
        <w:t>f(a, b, c) for the manifestations. They are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mutually exclusive, events that cannot be equated at all. (148) [Unbelievable similar to my EDWs!!!]</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So in a posteriori physicalism, we can indeed say that the manifestations of powers in the events a, b, c </w:t>
      </w:r>
      <w:r>
        <w:rPr>
          <w:rFonts w:eastAsia="Calibri" w:cs="AdvP4C4E59" w:ascii="AdvP4C4E59" w:hAnsi="AdvP4C4E59"/>
          <w:sz w:val="22"/>
          <w:szCs w:val="22"/>
          <w:lang w:val="en-GB"/>
        </w:rPr>
        <w:t xml:space="preserve">. . . </w:t>
      </w:r>
      <w:r>
        <w:rPr>
          <w:rFonts w:eastAsia="Calibri" w:cs="AdvOTa14f9db0.I" w:ascii="AdvOTa14f9db0.I" w:hAnsi="AdvOTa14f9db0.I"/>
          <w:sz w:val="22"/>
          <w:szCs w:val="22"/>
          <w:lang w:val="en-GB"/>
        </w:rPr>
        <w:t xml:space="preserve">do not </w:t>
      </w:r>
      <w:r>
        <w:rPr>
          <w:rFonts w:eastAsia="Calibri" w:cs="AdvOT635f2c37" w:ascii="AdvOT635f2c37" w:hAnsi="AdvOT635f2c37"/>
          <w:sz w:val="22"/>
          <w:szCs w:val="22"/>
          <w:lang w:val="en-GB"/>
        </w:rPr>
        <w:t>allow an a priori deduction of the manifestation of those same powers in the event A by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guring them in f(a, b, c </w:t>
      </w:r>
      <w:r>
        <w:rPr>
          <w:rFonts w:eastAsia="Calibri" w:cs="AdvP4C4E59" w:ascii="AdvP4C4E59" w:hAnsi="AdvP4C4E59"/>
          <w:sz w:val="22"/>
          <w:szCs w:val="22"/>
          <w:lang w:val="en-GB"/>
        </w:rPr>
        <w:t>. . .</w:t>
      </w:r>
      <w:r>
        <w:rPr>
          <w:rFonts w:eastAsia="Calibri" w:cs="AdvOT635f2c37" w:ascii="AdvOT635f2c37" w:hAnsi="AdvOT635f2c37"/>
          <w:sz w:val="22"/>
          <w:szCs w:val="22"/>
          <w:lang w:val="en-GB"/>
        </w:rPr>
        <w:t xml:space="preserve">). The manifestation events in a, b, c and in A are not only not co-occurrent, they are conceptually separate; there is no a priori deduction of the sensation of blue from the </w:t>
      </w:r>
      <w:r>
        <w:rPr>
          <w:rFonts w:eastAsia="Calibri" w:cs="AdvP4491A2" w:ascii="AdvP4491A2" w:hAnsi="AdvP4491A2"/>
          <w:sz w:val="22"/>
          <w:szCs w:val="22"/>
          <w:lang w:val="en-GB"/>
        </w:rPr>
        <w:t>1</w:t>
      </w:r>
      <w:r>
        <w:rPr>
          <w:rFonts w:eastAsia="Calibri" w:cs="AdvOT635f2c37" w:ascii="AdvOT635f2c37" w:hAnsi="AdvOT635f2c37"/>
          <w:sz w:val="22"/>
          <w:szCs w:val="22"/>
          <w:lang w:val="en-GB"/>
        </w:rPr>
        <w:t>,</w:t>
      </w:r>
      <w:r>
        <w:rPr>
          <w:rFonts w:eastAsia="Calibri" w:cs="AdvP4491A2" w:ascii="AdvP4491A2" w:hAnsi="AdvP4491A2"/>
          <w:sz w:val="22"/>
          <w:szCs w:val="22"/>
          <w:lang w:val="en-GB"/>
        </w:rPr>
        <w:t xml:space="preserve">000 </w:t>
      </w:r>
      <w:r>
        <w:rPr>
          <w:rFonts w:eastAsia="Calibri" w:cs="AdvOT635f2c37" w:ascii="AdvOT635f2c37" w:hAnsi="AdvOT635f2c37"/>
          <w:sz w:val="22"/>
          <w:szCs w:val="22"/>
          <w:lang w:val="en-GB"/>
        </w:rPr>
        <w:t>discharges on the microelectrodes, their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guration in f, and the fundamental laws of physics.</w:t>
      </w:r>
    </w:p>
    <w:p>
      <w:pPr>
        <w:pStyle w:val="Normal"/>
        <w:spacing w:before="0" w:after="0"/>
        <w:ind w:left="0" w:right="0" w:firstLine="720"/>
        <w:contextualSpacing/>
        <w:rPr/>
      </w:pPr>
      <w:r>
        <w:rPr>
          <w:rFonts w:eastAsia="Calibri" w:cs="AdvOT635f2c37" w:ascii="AdvOT635f2c37" w:hAnsi="AdvOT635f2c37"/>
          <w:sz w:val="22"/>
          <w:szCs w:val="22"/>
          <w:lang w:val="en-GB"/>
        </w:rPr>
        <w:t>It seems to me that when we discuss the mind</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body problem, we are constantly equating the manifestation events a, b, c and A as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the same</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merely because the powers are the same and do indeed support an identity </w:t>
      </w:r>
      <w:r>
        <w:rPr>
          <w:rFonts w:eastAsia="Calibri" w:cs="AdvOTa14f9db0.I" w:ascii="AdvOTa14f9db0.I" w:hAnsi="AdvOTa14f9db0.I"/>
          <w:sz w:val="22"/>
          <w:szCs w:val="22"/>
          <w:lang w:val="en-GB"/>
        </w:rPr>
        <w:t xml:space="preserve">qua </w:t>
      </w:r>
      <w:r>
        <w:rPr>
          <w:rFonts w:eastAsia="Calibri" w:cs="AdvOT635f2c37" w:ascii="AdvOT635f2c37" w:hAnsi="AdvOT635f2c37"/>
          <w:sz w:val="22"/>
          <w:szCs w:val="22"/>
          <w:lang w:val="en-GB"/>
        </w:rPr>
        <w:t>powers (</w:t>
      </w:r>
      <w:r>
        <w:rPr>
          <w:rFonts w:eastAsia="Calibri" w:cs="AdvP4C4E74" w:ascii="AdvP4C4E74" w:hAnsi="AdvP4C4E74"/>
          <w:sz w:val="22"/>
          <w:szCs w:val="22"/>
          <w:lang w:val="en-GB"/>
        </w:rPr>
        <w:t>¼</w:t>
      </w:r>
      <w:r>
        <w:rPr>
          <w:rFonts w:eastAsia="Calibri" w:cs="AdvOT635f2c37" w:ascii="AdvOT635f2c37" w:hAnsi="AdvOT635f2c37"/>
          <w:sz w:val="15"/>
          <w:szCs w:val="15"/>
          <w:lang w:val="en-GB"/>
        </w:rPr>
        <w:t>p</w:t>
      </w:r>
      <w:r>
        <w:rPr>
          <w:rFonts w:eastAsia="Calibri" w:cs="AdvOT635f2c37" w:ascii="AdvOT635f2c37" w:hAnsi="AdvOT635f2c37"/>
          <w:sz w:val="22"/>
          <w:szCs w:val="22"/>
          <w:lang w:val="en-GB"/>
        </w:rPr>
        <w:t xml:space="preserve">), which we can write as A </w:t>
      </w:r>
      <w:r>
        <w:rPr>
          <w:rFonts w:eastAsia="Calibri" w:cs="AdvP4C4E74" w:ascii="AdvP4C4E74" w:hAnsi="AdvP4C4E74"/>
          <w:sz w:val="22"/>
          <w:szCs w:val="22"/>
          <w:lang w:val="en-GB"/>
        </w:rPr>
        <w:t>¼</w:t>
      </w:r>
      <w:r>
        <w:rPr>
          <w:rFonts w:eastAsia="Calibri" w:cs="AdvOT635f2c37" w:ascii="AdvOT635f2c37" w:hAnsi="AdvOT635f2c37"/>
          <w:sz w:val="15"/>
          <w:szCs w:val="15"/>
          <w:lang w:val="en-GB"/>
        </w:rPr>
        <w:t xml:space="preserve">p </w:t>
      </w:r>
      <w:r>
        <w:rPr>
          <w:rFonts w:eastAsia="Calibri" w:cs="AdvOT635f2c37" w:ascii="AdvOT635f2c37" w:hAnsi="AdvOT635f2c37"/>
          <w:sz w:val="22"/>
          <w:szCs w:val="22"/>
          <w:lang w:val="en-GB"/>
        </w:rPr>
        <w:t xml:space="preserve">f(a, b, c </w:t>
      </w:r>
      <w:r>
        <w:rPr>
          <w:rFonts w:eastAsia="Calibri" w:cs="AdvP4C4E59" w:ascii="AdvP4C4E59" w:hAnsi="AdvP4C4E59"/>
          <w:sz w:val="22"/>
          <w:szCs w:val="22"/>
          <w:lang w:val="en-GB"/>
        </w:rPr>
        <w:t>. . .</w:t>
      </w:r>
      <w:r>
        <w:rPr>
          <w:rFonts w:eastAsia="Calibri" w:cs="AdvOT635f2c37" w:ascii="AdvOT635f2c37" w:hAnsi="AdvOT635f2c37"/>
          <w:sz w:val="22"/>
          <w:szCs w:val="22"/>
          <w:lang w:val="en-GB"/>
        </w:rPr>
        <w:t xml:space="preserve">). Yet the actual manifestation events a, b, c </w:t>
      </w:r>
      <w:r>
        <w:rPr>
          <w:rFonts w:eastAsia="Calibri" w:cs="AdvP4C4E59" w:ascii="AdvP4C4E59" w:hAnsi="AdvP4C4E59"/>
          <w:sz w:val="22"/>
          <w:szCs w:val="22"/>
          <w:lang w:val="en-GB"/>
        </w:rPr>
        <w:t xml:space="preserve">. . . </w:t>
      </w:r>
      <w:r>
        <w:rPr>
          <w:rFonts w:eastAsia="Calibri" w:cs="AdvOT635f2c37" w:ascii="AdvOT635f2c37" w:hAnsi="AdvOT635f2c37"/>
          <w:sz w:val="22"/>
          <w:szCs w:val="22"/>
          <w:lang w:val="en-GB"/>
        </w:rPr>
        <w:t>(the events on the microelectrodes) cannot be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by f to yield the </w:t>
      </w:r>
      <w:r>
        <w:rPr>
          <w:rFonts w:eastAsia="Calibri" w:cs="AdvOTa14f9db0.I" w:ascii="AdvOTa14f9db0.I" w:hAnsi="AdvOTa14f9db0.I"/>
          <w:sz w:val="22"/>
          <w:szCs w:val="22"/>
          <w:lang w:val="en-GB"/>
        </w:rPr>
        <w:t xml:space="preserve">manifestation </w:t>
      </w:r>
      <w:r>
        <w:rPr>
          <w:rFonts w:eastAsia="Calibri" w:cs="AdvOT635f2c37" w:ascii="AdvOT635f2c37" w:hAnsi="AdvOT635f2c37"/>
          <w:sz w:val="22"/>
          <w:szCs w:val="22"/>
          <w:lang w:val="en-GB"/>
        </w:rPr>
        <w:t xml:space="preserve">event A (the seeing of blue). They are not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the same</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nor can the manifestations ever co-occur, only the powers can be so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and that is what A </w:t>
      </w:r>
      <w:r>
        <w:rPr>
          <w:rFonts w:eastAsia="Calibri" w:cs="AdvP4C4E74" w:ascii="AdvP4C4E74" w:hAnsi="AdvP4C4E74"/>
          <w:sz w:val="22"/>
          <w:szCs w:val="22"/>
          <w:lang w:val="en-GB"/>
        </w:rPr>
        <w:t>¼</w:t>
      </w:r>
      <w:r>
        <w:rPr>
          <w:rFonts w:eastAsia="Calibri" w:cs="AdvOT635f2c37" w:ascii="AdvOT635f2c37" w:hAnsi="AdvOT635f2c37"/>
          <w:sz w:val="15"/>
          <w:szCs w:val="15"/>
          <w:lang w:val="en-GB"/>
        </w:rPr>
        <w:t xml:space="preserve">p </w:t>
      </w:r>
      <w:r>
        <w:rPr>
          <w:rFonts w:eastAsia="Calibri" w:cs="AdvOT635f2c37" w:ascii="AdvOT635f2c37" w:hAnsi="AdvOT635f2c37"/>
          <w:sz w:val="22"/>
          <w:szCs w:val="22"/>
          <w:lang w:val="en-GB"/>
        </w:rPr>
        <w:t xml:space="preserve">f(a, b, c </w:t>
      </w:r>
      <w:r>
        <w:rPr>
          <w:rFonts w:eastAsia="Calibri" w:cs="AdvP4C4E59" w:ascii="AdvP4C4E59" w:hAnsi="AdvP4C4E59"/>
          <w:sz w:val="22"/>
          <w:szCs w:val="22"/>
          <w:lang w:val="en-GB"/>
        </w:rPr>
        <w:t>. . .</w:t>
      </w:r>
      <w:r>
        <w:rPr>
          <w:rFonts w:eastAsia="Calibri" w:cs="AdvOT635f2c37" w:ascii="AdvOT635f2c37" w:hAnsi="AdvOT635f2c37"/>
          <w:sz w:val="22"/>
          <w:szCs w:val="22"/>
          <w:lang w:val="en-GB"/>
        </w:rPr>
        <w:t xml:space="preserve">) means, </w:t>
      </w:r>
      <w:r>
        <w:rPr>
          <w:rFonts w:eastAsia="Calibri" w:cs="AdvOTa14f9db0.I" w:ascii="AdvOTa14f9db0.I" w:hAnsi="AdvOTa14f9db0.I"/>
          <w:sz w:val="22"/>
          <w:szCs w:val="22"/>
          <w:lang w:val="en-GB"/>
        </w:rPr>
        <w:t xml:space="preserve">not </w:t>
      </w:r>
      <w:r>
        <w:rPr>
          <w:rFonts w:eastAsia="Calibri" w:cs="AdvOT635f2c37" w:ascii="AdvOT635f2c37" w:hAnsi="AdvOT635f2c37"/>
          <w:sz w:val="22"/>
          <w:szCs w:val="22"/>
          <w:lang w:val="en-GB"/>
        </w:rPr>
        <w:t xml:space="preserve">the identity of the token manifestation events. </w:t>
      </w:r>
    </w:p>
    <w:p>
      <w:pPr>
        <w:pStyle w:val="Normal"/>
        <w:spacing w:before="0" w:after="0"/>
        <w:contextualSpacing/>
        <w:rPr/>
      </w:pPr>
      <w:r>
        <w:rPr>
          <w:rFonts w:eastAsia="Calibri" w:cs="AdvOT635f2c37" w:ascii="AdvOT635f2c37" w:hAnsi="AdvOT635f2c37"/>
          <w:sz w:val="22"/>
          <w:szCs w:val="22"/>
          <w:lang w:val="en-GB"/>
        </w:rPr>
        <w:t xml:space="preserve">… </w:t>
      </w:r>
      <w:r>
        <w:rPr>
          <w:rFonts w:eastAsia="Calibri" w:cs="AdvOT635f2c37" w:ascii="AdvOT635f2c37" w:hAnsi="AdvOT635f2c37"/>
          <w:sz w:val="22"/>
          <w:szCs w:val="22"/>
          <w:lang w:val="en-GB"/>
        </w:rPr>
        <w:t>The a posteriori physicalist insists on the conceptual separation of two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energy manifestations and will always demand an experimental veri</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cation for any two manifestations (such as Joule</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 experiment). (150)</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Unlike, say, the account of liquidity, in which the property of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liquidity</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need never be mentioned in the fundamental laws used to derive it from more basic phenomena, the empirical laws we need </w:t>
      </w:r>
      <w:r>
        <w:rPr>
          <w:rFonts w:eastAsia="Calibri" w:cs="AdvOTa14f9db0.I" w:ascii="AdvOTa14f9db0.I" w:hAnsi="AdvOTa14f9db0.I"/>
          <w:sz w:val="22"/>
          <w:szCs w:val="22"/>
          <w:lang w:val="en-GB"/>
        </w:rPr>
        <w:t xml:space="preserve">must </w:t>
      </w:r>
      <w:r>
        <w:rPr>
          <w:rFonts w:eastAsia="Calibri" w:cs="AdvOT635f2c37" w:ascii="AdvOT635f2c37" w:hAnsi="AdvOT635f2c37"/>
          <w:sz w:val="22"/>
          <w:szCs w:val="22"/>
          <w:lang w:val="en-GB"/>
        </w:rPr>
        <w:t xml:space="preserve">mention the higher-order manifestations explicitly in the laws themselves. So these laws </w:t>
      </w:r>
      <w:r>
        <w:rPr>
          <w:rFonts w:eastAsia="Calibri" w:cs="AdvOTa14f9db0.I" w:ascii="AdvOTa14f9db0.I" w:hAnsi="AdvOTa14f9db0.I"/>
          <w:sz w:val="22"/>
          <w:szCs w:val="22"/>
          <w:lang w:val="en-GB"/>
        </w:rPr>
        <w:t xml:space="preserve">cannot </w:t>
      </w:r>
      <w:r>
        <w:rPr>
          <w:rFonts w:eastAsia="Calibri" w:cs="AdvOT635f2c37" w:ascii="AdvOT635f2c37" w:hAnsi="AdvOT635f2c37"/>
          <w:sz w:val="22"/>
          <w:szCs w:val="22"/>
          <w:lang w:val="en-GB"/>
        </w:rPr>
        <w:t>be couched solely in terms of lowerorder events, fundamental physical laws, and micro-con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gurations. And if those laws which explicitly mention the composition of manifestations to a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gured e</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ect are simply assumed as premises, then we then have a totally vacuous explanation of those combined manifestations, as Mach predicted. Lockwood</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concept of an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emergent</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law is also to be found in J. S. Mill, who called them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heteropathic</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laws, and in C. D. Broad, who called them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trans-ordinal laws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(see McLaughlin </w:t>
      </w:r>
      <w:r>
        <w:rPr>
          <w:rFonts w:eastAsia="Calibri" w:cs="AdvP4491A2" w:ascii="AdvP4491A2" w:hAnsi="AdvP4491A2"/>
          <w:sz w:val="22"/>
          <w:szCs w:val="22"/>
          <w:lang w:val="en-GB"/>
        </w:rPr>
        <w:t>1992</w:t>
      </w:r>
      <w:r>
        <w:rPr>
          <w:rFonts w:eastAsia="Calibri" w:cs="AdvOT635f2c37" w:ascii="AdvOT635f2c37" w:hAnsi="AdvOT635f2c37"/>
          <w:sz w:val="22"/>
          <w:szCs w:val="22"/>
          <w:lang w:val="en-GB"/>
        </w:rPr>
        <w:t xml:space="preserve">, pp. </w:t>
      </w:r>
      <w:r>
        <w:rPr>
          <w:rFonts w:eastAsia="Calibri" w:cs="AdvP4491A2" w:ascii="AdvP4491A2" w:hAnsi="AdvP4491A2"/>
          <w:sz w:val="22"/>
          <w:szCs w:val="22"/>
          <w:lang w:val="en-GB"/>
        </w:rPr>
        <w:t>51</w:t>
      </w:r>
      <w:r>
        <w:rPr>
          <w:rFonts w:eastAsia="Calibri" w:cs="AdvOT635f2c37" w:ascii="AdvOT635f2c37" w:hAnsi="AdvOT635f2c37"/>
          <w:sz w:val="22"/>
          <w:szCs w:val="22"/>
          <w:lang w:val="en-GB"/>
        </w:rPr>
        <w:t xml:space="preserve">, </w:t>
      </w:r>
      <w:r>
        <w:rPr>
          <w:rFonts w:eastAsia="Calibri" w:cs="AdvP4491A2" w:ascii="AdvP4491A2" w:hAnsi="AdvP4491A2"/>
          <w:sz w:val="22"/>
          <w:szCs w:val="22"/>
          <w:lang w:val="en-GB"/>
        </w:rPr>
        <w:t>61</w:t>
      </w:r>
      <w:r>
        <w:rPr>
          <w:rFonts w:eastAsia="Calibri" w:cs="AdvOT635f2c37" w:ascii="AdvOT635f2c37" w:hAnsi="AdvOT635f2c37"/>
          <w:sz w:val="22"/>
          <w:szCs w:val="22"/>
          <w:lang w:val="en-GB"/>
        </w:rPr>
        <w:t xml:space="preserve">, </w:t>
      </w:r>
      <w:r>
        <w:rPr>
          <w:rFonts w:eastAsia="Calibri" w:cs="AdvP4491A2" w:ascii="AdvP4491A2" w:hAnsi="AdvP4491A2"/>
          <w:sz w:val="22"/>
          <w:szCs w:val="22"/>
          <w:lang w:val="en-GB"/>
        </w:rPr>
        <w:t>80</w:t>
      </w:r>
      <w:r>
        <w:rPr>
          <w:rFonts w:eastAsia="Calibri" w:cs="AdvOT635f2c37+20" w:ascii="AdvOT635f2c37+20" w:hAnsi="AdvOT635f2c37+20"/>
          <w:sz w:val="22"/>
          <w:szCs w:val="22"/>
          <w:lang w:val="en-GB"/>
        </w:rPr>
        <w:t>–</w:t>
      </w:r>
      <w:r>
        <w:rPr>
          <w:rFonts w:eastAsia="Calibri" w:cs="AdvP4491A2" w:ascii="AdvP4491A2" w:hAnsi="AdvP4491A2"/>
          <w:sz w:val="22"/>
          <w:szCs w:val="22"/>
          <w:lang w:val="en-GB"/>
        </w:rPr>
        <w:t>81</w:t>
      </w:r>
      <w:r>
        <w:rPr>
          <w:rFonts w:eastAsia="Calibri" w:cs="AdvOT635f2c37" w:ascii="AdvOT635f2c37" w:hAnsi="AdvOT635f2c37"/>
          <w:sz w:val="22"/>
          <w:szCs w:val="22"/>
          <w:lang w:val="en-GB"/>
        </w:rPr>
        <w:t xml:space="preserve">). I object to the term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emergent</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eastAsia="Calibri" w:cs="AdvOTa14f9db0.I" w:ascii="AdvOTa14f9db0.I" w:hAnsi="AdvOTa14f9db0.I"/>
          <w:sz w:val="22"/>
          <w:szCs w:val="22"/>
          <w:lang w:val="en-GB"/>
        </w:rPr>
        <w:t xml:space="preserve">separate </w:t>
      </w:r>
      <w:r>
        <w:rPr>
          <w:rFonts w:eastAsia="Calibri" w:cs="AdvOT635f2c37" w:ascii="AdvOT635f2c37" w:hAnsi="AdvOT635f2c37"/>
          <w:sz w:val="22"/>
          <w:szCs w:val="22"/>
          <w:lang w:val="en-GB"/>
        </w:rPr>
        <w:t xml:space="preserve">events from lower-order ones, not as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emerging</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from them. (154)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We can then call these higher-order relations, which structure the manifestation conditions of powers in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guration,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macro-causation.</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A similar distinction is made in Dretske (</w:t>
      </w:r>
      <w:r>
        <w:rPr>
          <w:rFonts w:eastAsia="Calibri" w:cs="AdvP4491A2" w:ascii="AdvP4491A2" w:hAnsi="AdvP4491A2"/>
          <w:sz w:val="22"/>
          <w:szCs w:val="22"/>
          <w:lang w:val="en-GB"/>
        </w:rPr>
        <w:t>1993</w:t>
      </w:r>
      <w:r>
        <w:rPr>
          <w:rFonts w:eastAsia="Calibri" w:cs="AdvOT635f2c37" w:ascii="AdvOT635f2c37" w:hAnsi="AdvOT635f2c37"/>
          <w:sz w:val="22"/>
          <w:szCs w:val="22"/>
          <w:lang w:val="en-GB"/>
        </w:rPr>
        <w:t xml:space="preserve">) between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triggering causes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and the background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structuring causes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of events, and by the many authors who have dealt with this subject. I claim no originality here, I would only emphasize that the sort of macro-causal powers I have in mind, directly a</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ecting the </w:t>
      </w:r>
      <w:r>
        <w:rPr>
          <w:rFonts w:eastAsia="Calibri" w:cs="AdvOTa14f9db0.I" w:ascii="AdvOTa14f9db0.I" w:hAnsi="AdvOTa14f9db0.I"/>
          <w:sz w:val="22"/>
          <w:szCs w:val="22"/>
          <w:lang w:val="en-GB"/>
        </w:rPr>
        <w:t xml:space="preserve">circumstances </w:t>
      </w:r>
      <w:r>
        <w:rPr>
          <w:rFonts w:eastAsia="Calibri" w:cs="AdvOT635f2c37" w:ascii="AdvOT635f2c37" w:hAnsi="AdvOT635f2c37"/>
          <w:sz w:val="22"/>
          <w:szCs w:val="22"/>
          <w:lang w:val="en-GB"/>
        </w:rPr>
        <w:t xml:space="preserve">of manifestation, are also </w:t>
      </w:r>
      <w:r>
        <w:rPr>
          <w:rFonts w:eastAsia="Calibri" w:cs="AdvOTa14f9db0.I" w:ascii="AdvOTa14f9db0.I" w:hAnsi="AdvOTa14f9db0.I"/>
          <w:sz w:val="22"/>
          <w:szCs w:val="22"/>
          <w:lang w:val="en-GB"/>
        </w:rPr>
        <w:t xml:space="preserve">real </w:t>
      </w:r>
      <w:r>
        <w:rPr>
          <w:rFonts w:eastAsia="Calibri" w:cs="AdvOT635f2c37" w:ascii="AdvOT635f2c37" w:hAnsi="AdvOT635f2c37"/>
          <w:sz w:val="22"/>
          <w:szCs w:val="22"/>
          <w:lang w:val="en-GB"/>
        </w:rPr>
        <w:t>powers and not just higher-order explanatory heuristics. Higher-order powers are not just e</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ective explanatory devices, or epistemic concepts; they are causally e</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ective and </w:t>
      </w:r>
      <w:r>
        <w:rPr>
          <w:rFonts w:eastAsia="Calibri" w:cs="AdvOTa14f9db0.I" w:ascii="AdvOTa14f9db0.I" w:hAnsi="AdvOTa14f9db0.I"/>
          <w:sz w:val="22"/>
          <w:szCs w:val="22"/>
          <w:lang w:val="en-GB"/>
        </w:rPr>
        <w:t xml:space="preserve">that </w:t>
      </w:r>
      <w:r>
        <w:rPr>
          <w:rFonts w:eastAsia="Calibri" w:cs="AdvOT635f2c37" w:ascii="AdvOT635f2c37" w:hAnsi="AdvOT635f2c37"/>
          <w:sz w:val="22"/>
          <w:szCs w:val="22"/>
          <w:lang w:val="en-GB"/>
        </w:rPr>
        <w:t>is why they are useful in giving explanations, not vice versa. (158-159)</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I don</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t think any of these objections rule out macro-causal networks of the sort we are considering. On issue </w:t>
      </w:r>
      <w:r>
        <w:rPr>
          <w:rFonts w:eastAsia="Calibri" w:cs="AdvP4491A2" w:ascii="AdvP4491A2" w:hAnsi="AdvP4491A2"/>
          <w:sz w:val="22"/>
          <w:szCs w:val="22"/>
          <w:lang w:val="en-GB"/>
        </w:rPr>
        <w:t>1</w:t>
      </w:r>
      <w:r>
        <w:rPr>
          <w:rFonts w:eastAsia="Calibri" w:cs="AdvOT635f2c37" w:ascii="AdvOT635f2c37" w:hAnsi="AdvOT635f2c37"/>
          <w:sz w:val="22"/>
          <w:szCs w:val="22"/>
          <w:lang w:val="en-GB"/>
        </w:rPr>
        <w:t xml:space="preserve">, the </w:t>
      </w:r>
      <w:r>
        <w:rPr>
          <w:rFonts w:eastAsia="Calibri" w:cs="AdvP4491A2" w:ascii="AdvP4491A2" w:hAnsi="AdvP4491A2"/>
          <w:sz w:val="22"/>
          <w:szCs w:val="22"/>
          <w:lang w:val="en-GB"/>
        </w:rPr>
        <w:t>1</w:t>
      </w:r>
      <w:r>
        <w:rPr>
          <w:rFonts w:eastAsia="Calibri" w:cs="AdvOT635f2c37" w:ascii="AdvOT635f2c37" w:hAnsi="AdvOT635f2c37"/>
          <w:sz w:val="22"/>
          <w:szCs w:val="22"/>
          <w:lang w:val="en-GB"/>
        </w:rPr>
        <w:t>,</w:t>
      </w:r>
      <w:r>
        <w:rPr>
          <w:rFonts w:eastAsia="Calibri" w:cs="AdvP4491A2" w:ascii="AdvP4491A2" w:hAnsi="AdvP4491A2"/>
          <w:sz w:val="22"/>
          <w:szCs w:val="22"/>
          <w:lang w:val="en-GB"/>
        </w:rPr>
        <w:t xml:space="preserve">000 </w:t>
      </w:r>
      <w:r>
        <w:rPr>
          <w:rFonts w:eastAsia="Calibri" w:cs="AdvOT635f2c37" w:ascii="AdvOT635f2c37" w:hAnsi="AdvOT635f2c37"/>
          <w:sz w:val="22"/>
          <w:szCs w:val="22"/>
          <w:lang w:val="en-GB"/>
        </w:rPr>
        <w:t>individualized events of siphoning o</w:t>
      </w:r>
      <w:r>
        <w:rPr>
          <w:rFonts w:eastAsia="Calibri" w:cs="AdvOT635f2c37+fb" w:ascii="AdvOT635f2c37+fb" w:hAnsi="AdvOT635f2c37+fb"/>
          <w:sz w:val="22"/>
          <w:szCs w:val="22"/>
          <w:lang w:val="en-GB"/>
        </w:rPr>
        <w:t xml:space="preserve">ff </w:t>
      </w:r>
      <w:r>
        <w:rPr>
          <w:rFonts w:eastAsia="Calibri" w:cs="AdvOT635f2c37" w:ascii="AdvOT635f2c37" w:hAnsi="AdvOT635f2c37"/>
          <w:sz w:val="22"/>
          <w:szCs w:val="22"/>
          <w:lang w:val="en-GB"/>
        </w:rPr>
        <w:t>the energy of discharging neurons and the individual experience of the sensation of blue are mutually exclusive. If a person is sensing blue and we siphon o</w:t>
      </w:r>
      <w:r>
        <w:rPr>
          <w:rFonts w:eastAsia="Calibri" w:cs="AdvOT635f2c37+fb" w:ascii="AdvOT635f2c37+fb" w:hAnsi="AdvOT635f2c37+fb"/>
          <w:sz w:val="22"/>
          <w:szCs w:val="22"/>
          <w:lang w:val="en-GB"/>
        </w:rPr>
        <w:t xml:space="preserve">ff </w:t>
      </w:r>
      <w:r>
        <w:rPr>
          <w:rFonts w:eastAsia="Calibri" w:cs="AdvOT635f2c37" w:ascii="AdvOT635f2c37" w:hAnsi="AdvOT635f2c37"/>
          <w:sz w:val="22"/>
          <w:szCs w:val="22"/>
          <w:lang w:val="en-GB"/>
        </w:rPr>
        <w:t>the energy somewhere, the sensation disappears and the energy shows up on the external measuring device instead. The same energy is manifested two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ways in two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events, but never at the same time, so a fortiori one event cannot be said to supersede, pre-empt, or screen-o</w:t>
      </w:r>
      <w:r>
        <w:rPr>
          <w:rFonts w:eastAsia="Calibri" w:cs="AdvOT635f2c37+fb" w:ascii="AdvOT635f2c37+fb" w:hAnsi="AdvOT635f2c37+fb"/>
          <w:sz w:val="22"/>
          <w:szCs w:val="22"/>
          <w:lang w:val="en-GB"/>
        </w:rPr>
        <w:t xml:space="preserve">ff </w:t>
      </w:r>
      <w:r>
        <w:rPr>
          <w:rFonts w:eastAsia="Calibri" w:cs="AdvOT635f2c37" w:ascii="AdvOT635f2c37" w:hAnsi="AdvOT635f2c37"/>
          <w:sz w:val="22"/>
          <w:szCs w:val="22"/>
          <w:lang w:val="en-GB"/>
        </w:rPr>
        <w:t>another, except trivially, since they could never have taken one another</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 places to begin with.</w:t>
      </w:r>
    </w:p>
    <w:p>
      <w:pPr>
        <w:pStyle w:val="Normal"/>
        <w:spacing w:before="0" w:after="0"/>
        <w:contextualSpacing/>
        <w:rPr/>
      </w:pPr>
      <w:r>
        <w:rPr>
          <w:rFonts w:eastAsia="Calibri" w:cs="AdvOT635f2c37" w:ascii="AdvOT635f2c37" w:hAnsi="AdvOT635f2c37"/>
          <w:sz w:val="22"/>
          <w:szCs w:val="22"/>
          <w:lang w:val="en-GB"/>
        </w:rPr>
        <w:t>Must macro-causal relations among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events be weaker, nomologically, than micro-causal relations? Must they be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screened o</w:t>
      </w:r>
      <w:r>
        <w:rPr>
          <w:rFonts w:eastAsia="Calibri" w:cs="AdvOT635f2c37+fb" w:ascii="AdvOT635f2c37+fb" w:hAnsi="AdvOT635f2c37+fb"/>
          <w:sz w:val="22"/>
          <w:szCs w:val="22"/>
          <w:lang w:val="en-GB"/>
        </w:rPr>
        <w:t xml:space="preserve">ff </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by stronger lower-order causal relations? As I have argued previously (Banks </w:t>
      </w:r>
      <w:r>
        <w:rPr>
          <w:rFonts w:eastAsia="Calibri" w:cs="AdvP4491A2" w:ascii="AdvP4491A2" w:hAnsi="AdvP4491A2"/>
          <w:sz w:val="22"/>
          <w:szCs w:val="22"/>
          <w:lang w:val="en-GB"/>
        </w:rPr>
        <w:t>2010</w:t>
      </w:r>
      <w:r>
        <w:rPr>
          <w:rFonts w:eastAsia="Calibri" w:cs="AdvOT635f2c37" w:ascii="AdvOT635f2c37" w:hAnsi="AdvOT635f2c37"/>
          <w:sz w:val="22"/>
          <w:szCs w:val="22"/>
          <w:lang w:val="en-GB"/>
        </w:rPr>
        <w:t xml:space="preserve">, p. </w:t>
      </w:r>
      <w:r>
        <w:rPr>
          <w:rFonts w:eastAsia="Calibri" w:cs="AdvP4491A2" w:ascii="AdvP4491A2" w:hAnsi="AdvP4491A2"/>
          <w:sz w:val="22"/>
          <w:szCs w:val="22"/>
          <w:lang w:val="en-GB"/>
        </w:rPr>
        <w:t xml:space="preserve">179 </w:t>
      </w:r>
      <w:r>
        <w:rPr>
          <w:rFonts w:eastAsia="Calibri" w:cs="AdvOT635f2c37" w:ascii="AdvOT635f2c37" w:hAnsi="AdvOT635f2c37"/>
          <w:sz w:val="22"/>
          <w:szCs w:val="22"/>
          <w:lang w:val="en-GB"/>
        </w:rPr>
        <w:t xml:space="preserve">and n. </w:t>
      </w:r>
      <w:r>
        <w:rPr>
          <w:rFonts w:eastAsia="Calibri" w:cs="AdvP4491A2" w:ascii="AdvP4491A2" w:hAnsi="AdvP4491A2"/>
          <w:sz w:val="22"/>
          <w:szCs w:val="22"/>
          <w:lang w:val="en-GB"/>
        </w:rPr>
        <w:t>13</w:t>
      </w:r>
      <w:r>
        <w:rPr>
          <w:rFonts w:eastAsia="Calibri" w:cs="AdvOT635f2c37" w:ascii="AdvOT635f2c37" w:hAnsi="AdvOT635f2c37"/>
          <w:sz w:val="22"/>
          <w:szCs w:val="22"/>
          <w:lang w:val="en-GB"/>
        </w:rPr>
        <w:t xml:space="preserve">), we may not actually have a strong microlaw that individuals in a </w:t>
      </w:r>
      <w:r>
        <w:rPr>
          <w:rFonts w:eastAsia="Calibri" w:cs="AdvOTa14f9db0.I" w:ascii="AdvOTa14f9db0.I" w:hAnsi="AdvOTa14f9db0.I"/>
          <w:sz w:val="22"/>
          <w:szCs w:val="22"/>
          <w:lang w:val="en-GB"/>
        </w:rPr>
        <w:t xml:space="preserve">particular </w:t>
      </w:r>
      <w:r>
        <w:rPr>
          <w:rFonts w:eastAsia="Calibri" w:cs="AdvOT635f2c37" w:ascii="AdvOT635f2c37" w:hAnsi="AdvOT635f2c37"/>
          <w:sz w:val="22"/>
          <w:szCs w:val="22"/>
          <w:lang w:val="en-GB"/>
        </w:rPr>
        <w:t>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guration M</w:t>
      </w:r>
      <w:r>
        <w:rPr>
          <w:rFonts w:eastAsia="Calibri" w:cs="AdvOT635f2c37" w:ascii="AdvOT635f2c37" w:hAnsi="AdvOT635f2c37"/>
          <w:sz w:val="15"/>
          <w:szCs w:val="15"/>
          <w:lang w:val="en-GB"/>
        </w:rPr>
        <w:t xml:space="preserve">A </w:t>
      </w:r>
      <w:r>
        <w:rPr>
          <w:rFonts w:eastAsia="Calibri" w:cs="AdvP4C4E74" w:ascii="AdvP4C4E74" w:hAnsi="AdvP4C4E74"/>
          <w:sz w:val="22"/>
          <w:szCs w:val="22"/>
          <w:lang w:val="en-GB"/>
        </w:rPr>
        <w:t xml:space="preserve">¼ </w:t>
      </w:r>
      <w:r>
        <w:rPr>
          <w:rFonts w:eastAsia="Calibri" w:cs="AdvOT635f2c37" w:ascii="AdvOT635f2c37" w:hAnsi="AdvOT635f2c37"/>
          <w:sz w:val="22"/>
          <w:szCs w:val="22"/>
          <w:lang w:val="en-GB"/>
        </w:rPr>
        <w:t>f(a, b, c) are likely to induce, constrain, or block the powers of individuals in a particular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guration L</w:t>
      </w:r>
      <w:r>
        <w:rPr>
          <w:rFonts w:eastAsia="Calibri" w:cs="AdvOT635f2c37" w:ascii="AdvOT635f2c37" w:hAnsi="AdvOT635f2c37"/>
          <w:sz w:val="15"/>
          <w:szCs w:val="15"/>
          <w:lang w:val="en-GB"/>
        </w:rPr>
        <w:t xml:space="preserve">B </w:t>
      </w:r>
      <w:r>
        <w:rPr>
          <w:rFonts w:eastAsia="Calibri" w:cs="AdvP4C4E74" w:ascii="AdvP4C4E74" w:hAnsi="AdvP4C4E74"/>
          <w:sz w:val="22"/>
          <w:szCs w:val="22"/>
          <w:lang w:val="en-GB"/>
        </w:rPr>
        <w:t xml:space="preserve">¼ </w:t>
      </w:r>
      <w:r>
        <w:rPr>
          <w:rFonts w:eastAsia="Calibri" w:cs="AdvOT635f2c37" w:ascii="AdvOT635f2c37" w:hAnsi="AdvOT635f2c37"/>
          <w:sz w:val="22"/>
          <w:szCs w:val="22"/>
          <w:lang w:val="en-GB"/>
        </w:rPr>
        <w:t>g(d, e, f ) but we may possess a stronger macro-law that</w:t>
      </w:r>
    </w:p>
    <w:p>
      <w:pPr>
        <w:pStyle w:val="Normal"/>
        <w:spacing w:before="0" w:after="0"/>
        <w:contextualSpacing/>
        <w:rPr/>
      </w:pPr>
      <w:r>
        <w:rPr>
          <w:rFonts w:eastAsia="Calibri" w:cs="AdvOT635f2c37" w:ascii="AdvOT635f2c37" w:hAnsi="AdvOT635f2c37"/>
          <w:sz w:val="22"/>
          <w:szCs w:val="22"/>
          <w:lang w:val="en-GB"/>
        </w:rPr>
        <w:t>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gurations of </w:t>
      </w:r>
      <w:r>
        <w:rPr>
          <w:rFonts w:eastAsia="Calibri" w:cs="AdvOTa14f9db0.I" w:ascii="AdvOTa14f9db0.I" w:hAnsi="AdvOTa14f9db0.I"/>
          <w:sz w:val="22"/>
          <w:szCs w:val="22"/>
          <w:lang w:val="en-GB"/>
        </w:rPr>
        <w:t xml:space="preserve">type </w:t>
      </w:r>
      <w:r>
        <w:rPr>
          <w:rFonts w:eastAsia="Calibri" w:cs="AdvOT635f2c37" w:ascii="AdvOT635f2c37" w:hAnsi="AdvOT635f2c37"/>
          <w:sz w:val="22"/>
          <w:szCs w:val="22"/>
          <w:lang w:val="en-GB"/>
        </w:rPr>
        <w:t>M are likely to induce, constrain, or block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gurations of type L. For example, the behavior of individual neurons may well be random, non-linear, or even chaotic, responding to local electrochemical conditions, but the behavior of a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screener o</w:t>
      </w:r>
      <w:r>
        <w:rPr>
          <w:rFonts w:eastAsia="Calibri" w:cs="AdvOT635f2c37+fb" w:ascii="AdvOT635f2c37+fb" w:hAnsi="AdvOT635f2c37+fb"/>
          <w:sz w:val="22"/>
          <w:szCs w:val="22"/>
          <w:lang w:val="en-GB"/>
        </w:rPr>
        <w:t xml:space="preserve">ff </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for the correlation (for that view see Papineau </w:t>
      </w:r>
      <w:r>
        <w:rPr>
          <w:rFonts w:eastAsia="Calibri" w:cs="AdvP4491A2" w:ascii="AdvP4491A2" w:hAnsi="AdvP4491A2"/>
          <w:sz w:val="22"/>
          <w:szCs w:val="22"/>
          <w:lang w:val="en-GB"/>
        </w:rPr>
        <w:t>1993</w:t>
      </w:r>
      <w:r>
        <w:rPr>
          <w:rFonts w:eastAsia="Calibri" w:cs="AdvOT635f2c37" w:ascii="AdvOT635f2c37" w:hAnsi="AdvOT635f2c37"/>
          <w:sz w:val="22"/>
          <w:szCs w:val="22"/>
          <w:lang w:val="en-GB"/>
        </w:rPr>
        <w:t xml:space="preserve">). We may not be able to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nd such a condition C holding strictly of individual powers and their expressions at the lower level that we can conditionalize upon and which screens o</w:t>
      </w:r>
      <w:r>
        <w:rPr>
          <w:rFonts w:eastAsia="Calibri" w:cs="AdvOT635f2c37+fb" w:ascii="AdvOT635f2c37+fb" w:hAnsi="AdvOT635f2c37+fb"/>
          <w:sz w:val="22"/>
          <w:szCs w:val="22"/>
          <w:lang w:val="en-GB"/>
        </w:rPr>
        <w:t xml:space="preserve">ff </w:t>
      </w:r>
      <w:r>
        <w:rPr>
          <w:rFonts w:eastAsia="Calibri" w:cs="AdvOT635f2c37" w:ascii="AdvOT635f2c37" w:hAnsi="AdvOT635f2c37"/>
          <w:sz w:val="22"/>
          <w:szCs w:val="22"/>
          <w:lang w:val="en-GB"/>
        </w:rPr>
        <w:t>the correlation between the macro-powers and their manifestation events. I think this is especially likely to be true of neural events. (159-160)</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On my account, the qualities manifested by macro-events like blue are not literally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composed</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or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assembled</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out of the micro-level manifestations, say in </w:t>
      </w:r>
      <w:r>
        <w:rPr>
          <w:rFonts w:eastAsia="Calibri" w:cs="AdvP4491A2" w:ascii="AdvP4491A2" w:hAnsi="AdvP4491A2"/>
          <w:sz w:val="22"/>
          <w:szCs w:val="22"/>
          <w:lang w:val="en-GB"/>
        </w:rPr>
        <w:t>1</w:t>
      </w:r>
      <w:r>
        <w:rPr>
          <w:rFonts w:eastAsia="Calibri" w:cs="AdvOT635f2c37" w:ascii="AdvOT635f2c37" w:hAnsi="AdvOT635f2c37"/>
          <w:sz w:val="22"/>
          <w:szCs w:val="22"/>
          <w:lang w:val="en-GB"/>
        </w:rPr>
        <w:t>,</w:t>
      </w:r>
      <w:r>
        <w:rPr>
          <w:rFonts w:eastAsia="Calibri" w:cs="AdvP4491A2" w:ascii="AdvP4491A2" w:hAnsi="AdvP4491A2"/>
          <w:sz w:val="22"/>
          <w:szCs w:val="22"/>
          <w:lang w:val="en-GB"/>
        </w:rPr>
        <w:t xml:space="preserve">000 </w:t>
      </w:r>
      <w:r>
        <w:rPr>
          <w:rFonts w:eastAsia="Calibri" w:cs="AdvOT635f2c37" w:ascii="AdvOT635f2c37" w:hAnsi="AdvOT635f2c37"/>
          <w:sz w:val="22"/>
          <w:szCs w:val="22"/>
          <w:lang w:val="en-GB"/>
        </w:rPr>
        <w:t>spikes in neurons. The events are mutually exclusive, not co-occurrent. Also, the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gured events have their own higher-order qualities manifested by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powers, like star-shaped, L-shaped, and M-shaped events. The macro-qualities and macro-causal relations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rst arise </w:t>
      </w:r>
      <w:r>
        <w:rPr>
          <w:rFonts w:eastAsia="Calibri" w:cs="AdvOTa14f9db0.I" w:ascii="AdvOTa14f9db0.I" w:hAnsi="AdvOTa14f9db0.I"/>
          <w:sz w:val="22"/>
          <w:szCs w:val="22"/>
          <w:lang w:val="en-GB"/>
        </w:rPr>
        <w:t>there</w:t>
      </w:r>
      <w:r>
        <w:rPr>
          <w:rFonts w:eastAsia="Calibri" w:cs="AdvOT635f2c37" w:ascii="AdvOT635f2c37" w:hAnsi="AdvOT635f2c37"/>
          <w:sz w:val="22"/>
          <w:szCs w:val="22"/>
          <w:lang w:val="en-GB"/>
        </w:rPr>
        <w:t>, at that level, and are not assembled out of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quality manifestations at a lower level, as for example in compositional panpsychism, of which more below. Suppose a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star-shaped</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cluster of neurons possesses a distinct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ring pattern, but only </w:t>
      </w:r>
      <w:r>
        <w:rPr>
          <w:rFonts w:eastAsia="Calibri" w:cs="AdvOTa14f9db0.I" w:ascii="AdvOTa14f9db0.I" w:hAnsi="AdvOTa14f9db0.I"/>
          <w:sz w:val="22"/>
          <w:szCs w:val="22"/>
          <w:lang w:val="en-GB"/>
        </w:rPr>
        <w:t>as a system</w:t>
      </w:r>
      <w:r>
        <w:rPr>
          <w:rFonts w:eastAsia="Calibri" w:cs="AdvOT635f2c37" w:ascii="AdvOT635f2c37" w:hAnsi="AdvOT635f2c37"/>
          <w:sz w:val="22"/>
          <w:szCs w:val="22"/>
          <w:lang w:val="en-GB"/>
        </w:rPr>
        <w:t xml:space="preserve">, perhaps linear, perhaps non-linear. It could also be that the powers or potentials which manifest in events of the sudden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ring of neurons, when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gured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erently, will induce a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coordinated pattern of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ring, or that the same powers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gured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erently manifest as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events. Consider that these repeating star-shaped patterns of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ring could be what we sense as the manifested sensation quality. The pattern is where the quality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rst appears, where the star shape is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rst formed, not inside, not below, not at a greater level of detail. The manifest quality of the sensation is not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assembled</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out of the natural qualities manifested by individual neurons, nor does it even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emerge</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from them as Lockwood thinks, they are simply two separate, empirically </w:t>
      </w:r>
      <w:r>
        <w:rPr>
          <w:rFonts w:eastAsia="Calibri" w:cs="AdvOTa14f9db0.I" w:ascii="AdvOTa14f9db0.I" w:hAnsi="AdvOTa14f9db0.I"/>
          <w:sz w:val="22"/>
          <w:szCs w:val="22"/>
          <w:lang w:val="en-GB"/>
        </w:rPr>
        <w:t>di</w:t>
      </w:r>
      <w:r>
        <w:rPr>
          <w:rFonts w:eastAsia="Calibri" w:cs="AdvOTa14f9db0.I+fb" w:ascii="AdvOTa14f9db0.I+fb" w:hAnsi="AdvOTa14f9db0.I+fb"/>
          <w:sz w:val="22"/>
          <w:szCs w:val="22"/>
          <w:lang w:val="en-GB"/>
        </w:rPr>
        <w:t>ff</w:t>
      </w:r>
      <w:r>
        <w:rPr>
          <w:rFonts w:eastAsia="Calibri" w:cs="AdvOTa14f9db0.I" w:ascii="AdvOTa14f9db0.I" w:hAnsi="AdvOTa14f9db0.I"/>
          <w:sz w:val="22"/>
          <w:szCs w:val="22"/>
          <w:lang w:val="en-GB"/>
        </w:rPr>
        <w:t>erent</w:t>
      </w:r>
      <w:r>
        <w:rPr>
          <w:rFonts w:eastAsia="Calibri" w:cs="AdvOT635f2c37" w:ascii="AdvOT635f2c37" w:hAnsi="AdvOT635f2c37"/>
          <w:sz w:val="22"/>
          <w:szCs w:val="22"/>
          <w:lang w:val="en-GB"/>
        </w:rPr>
        <w:t>, manifestation events of the same powers which need not be conceptually related at all, echoing Hume</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argument about the conceptual independence of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original existences,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against the a priori. (162-163)</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While my account is not therefore a compositional, nor an emergentist, account, it is at least a </w:t>
      </w:r>
      <w:r>
        <w:rPr>
          <w:rFonts w:eastAsia="Calibri" w:cs="AdvOTa14f9db0.I" w:ascii="AdvOTa14f9db0.I" w:hAnsi="AdvOTa14f9db0.I"/>
          <w:sz w:val="22"/>
          <w:szCs w:val="22"/>
          <w:lang w:val="en-GB"/>
        </w:rPr>
        <w:t>uni</w:t>
      </w:r>
      <w:r>
        <w:rPr>
          <w:rFonts w:eastAsia="Calibri" w:cs="AdvOTa14f9db0.I+fb" w:ascii="AdvOTa14f9db0.I+fb" w:hAnsi="AdvOTa14f9db0.I+fb"/>
          <w:sz w:val="22"/>
          <w:szCs w:val="22"/>
          <w:lang w:val="en-GB"/>
        </w:rPr>
        <w:t>fi</w:t>
      </w:r>
      <w:r>
        <w:rPr>
          <w:rFonts w:eastAsia="Calibri" w:cs="AdvOTa14f9db0.I" w:ascii="AdvOTa14f9db0.I" w:hAnsi="AdvOTa14f9db0.I"/>
          <w:sz w:val="22"/>
          <w:szCs w:val="22"/>
          <w:lang w:val="en-GB"/>
        </w:rPr>
        <w:t xml:space="preserve">ed </w:t>
      </w:r>
      <w:r>
        <w:rPr>
          <w:rFonts w:eastAsia="Calibri" w:cs="AdvOT635f2c37" w:ascii="AdvOT635f2c37" w:hAnsi="AdvOT635f2c37"/>
          <w:sz w:val="22"/>
          <w:szCs w:val="22"/>
          <w:lang w:val="en-GB"/>
        </w:rPr>
        <w:t>neutral monist account. I would accept ontological uni</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cation as an explanation in lieu of an a priori physicalist compositional account or wild, </w:t>
      </w:r>
      <w:r>
        <w:rPr>
          <w:rFonts w:eastAsia="Calibri" w:cs="AdvOTa14f9db0.I" w:ascii="AdvOTa14f9db0.I" w:hAnsi="AdvOTa14f9db0.I"/>
          <w:sz w:val="22"/>
          <w:szCs w:val="22"/>
          <w:lang w:val="en-GB"/>
        </w:rPr>
        <w:t xml:space="preserve">sui generis </w:t>
      </w:r>
      <w:r>
        <w:rPr>
          <w:rFonts w:eastAsia="Calibri" w:cs="AdvOT635f2c37" w:ascii="AdvOT635f2c37" w:hAnsi="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w:t>
      </w:r>
      <w:r>
        <w:rPr>
          <w:rFonts w:eastAsia="Calibri" w:cs="AdvOTa14f9db0.I" w:ascii="AdvOTa14f9db0.I" w:hAnsi="AdvOTa14f9db0.I"/>
          <w:sz w:val="22"/>
          <w:szCs w:val="22"/>
          <w:lang w:val="en-GB"/>
        </w:rPr>
        <w:t xml:space="preserve">kinds </w:t>
      </w:r>
      <w:r>
        <w:rPr>
          <w:rFonts w:eastAsia="Calibri" w:cs="AdvOT635f2c37" w:ascii="AdvOT635f2c37" w:hAnsi="AdvOT635f2c37"/>
          <w:sz w:val="22"/>
          <w:szCs w:val="22"/>
          <w:lang w:val="en-GB"/>
        </w:rPr>
        <w:t>of things, pain sensations and c</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bers, appearing on either side of the identity. In those kinds of identities, two radically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To summarize my results, in enhanced a posteriori physicalism, there are two issues to be distinguished: (</w:t>
      </w:r>
      <w:r>
        <w:rPr>
          <w:rFonts w:eastAsia="Calibri" w:cs="AdvP4491A2" w:ascii="AdvP4491A2" w:hAnsi="AdvP4491A2"/>
          <w:sz w:val="22"/>
          <w:szCs w:val="22"/>
          <w:lang w:val="en-GB"/>
        </w:rPr>
        <w:t>1</w:t>
      </w:r>
      <w:r>
        <w:rPr>
          <w:rFonts w:eastAsia="Calibri" w:cs="AdvOT635f2c37" w:ascii="AdvOT635f2c37" w:hAnsi="AdvOT635f2c37"/>
          <w:sz w:val="22"/>
          <w:szCs w:val="22"/>
          <w:lang w:val="en-GB"/>
        </w:rPr>
        <w:t>) ontological monism and (</w:t>
      </w:r>
      <w:r>
        <w:rPr>
          <w:rFonts w:eastAsia="Calibri" w:cs="AdvP4491A2" w:ascii="AdvP4491A2" w:hAnsi="AdvP4491A2"/>
          <w:sz w:val="22"/>
          <w:szCs w:val="22"/>
          <w:lang w:val="en-GB"/>
        </w:rPr>
        <w:t>2</w:t>
      </w:r>
      <w:r>
        <w:rPr>
          <w:rFonts w:eastAsia="Calibri" w:cs="AdvOT635f2c37" w:ascii="AdvOT635f2c37" w:hAnsi="AdvOT635f2c37"/>
          <w:sz w:val="22"/>
          <w:szCs w:val="22"/>
          <w:lang w:val="en-GB"/>
        </w:rPr>
        <w:t xml:space="preserve">) explanatory dualism, or: </w:t>
      </w:r>
      <w:r>
        <w:rPr>
          <w:rFonts w:eastAsia="Calibri" w:cs="AdvP4491A2" w:ascii="AdvP4491A2" w:hAnsi="AdvP4491A2"/>
          <w:sz w:val="22"/>
          <w:szCs w:val="22"/>
          <w:lang w:val="en-GB"/>
        </w:rPr>
        <w:t>1</w:t>
      </w:r>
      <w:r>
        <w:rPr>
          <w:rFonts w:eastAsia="Calibri" w:cs="AdvOT635f2c37" w:ascii="AdvOT635f2c37" w:hAnsi="AdvOT635f2c37"/>
          <w:sz w:val="22"/>
          <w:szCs w:val="22"/>
          <w:lang w:val="en-GB"/>
        </w:rPr>
        <w:t>. What it is for one manifestation of powers collectively to be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from a manifestation of the same powers individually. I do not believe there are any fundamental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erences in kind between the event of seeing a blue patch and the event of having all the </w:t>
      </w:r>
      <w:r>
        <w:rPr>
          <w:rFonts w:eastAsia="Calibri" w:cs="AdvOTa14f9db0.I" w:ascii="AdvOTa14f9db0.I" w:hAnsi="AdvOTa14f9db0.I"/>
          <w:sz w:val="22"/>
          <w:szCs w:val="22"/>
          <w:lang w:val="en-GB"/>
        </w:rPr>
        <w:t>con</w:t>
      </w:r>
      <w:r>
        <w:rPr>
          <w:rFonts w:eastAsia="Calibri" w:cs="AdvOTa14f9db0.I+fb" w:ascii="AdvOTa14f9db0.I+fb" w:hAnsi="AdvOTa14f9db0.I+fb"/>
          <w:sz w:val="22"/>
          <w:szCs w:val="22"/>
          <w:lang w:val="en-GB"/>
        </w:rPr>
        <w:t>fi</w:t>
      </w:r>
      <w:r>
        <w:rPr>
          <w:rFonts w:eastAsia="Calibri" w:cs="AdvOTa14f9db0.I" w:ascii="AdvOTa14f9db0.I" w:hAnsi="AdvOTa14f9db0.I"/>
          <w:sz w:val="22"/>
          <w:szCs w:val="22"/>
          <w:lang w:val="en-GB"/>
        </w:rPr>
        <w:t xml:space="preserve">gured </w:t>
      </w:r>
      <w:r>
        <w:rPr>
          <w:rFonts w:eastAsia="Calibri" w:cs="AdvOT635f2c37" w:ascii="AdvOT635f2c37" w:hAnsi="AdvOT635f2c37"/>
          <w:sz w:val="22"/>
          <w:szCs w:val="22"/>
          <w:lang w:val="en-GB"/>
        </w:rPr>
        <w:t xml:space="preserve">neurons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re in the region of the brain responsible for seeing the blue patch. The quality blue and the individual electrical discharges are just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and mutually exclusive manifestations of the </w:t>
      </w:r>
      <w:r>
        <w:rPr>
          <w:rFonts w:eastAsia="Calibri" w:cs="AdvOTa14f9db0.I" w:ascii="AdvOTa14f9db0.I" w:hAnsi="AdvOTa14f9db0.I"/>
          <w:sz w:val="22"/>
          <w:szCs w:val="22"/>
          <w:lang w:val="en-GB"/>
        </w:rPr>
        <w:t xml:space="preserve">same natural powers </w:t>
      </w:r>
      <w:r>
        <w:rPr>
          <w:rFonts w:eastAsia="Calibri" w:cs="AdvOT635f2c37" w:ascii="AdvOT635f2c37" w:hAnsi="AdvOT635f2c37"/>
          <w:sz w:val="22"/>
          <w:szCs w:val="22"/>
          <w:lang w:val="en-GB"/>
        </w:rPr>
        <w:t>which we mistakenly see as belonging to totally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categories of event.</w:t>
      </w:r>
    </w:p>
    <w:p>
      <w:pPr>
        <w:pStyle w:val="Normal"/>
        <w:spacing w:before="0" w:after="0"/>
        <w:contextualSpacing/>
        <w:rPr/>
      </w:pPr>
      <w:r>
        <w:rPr>
          <w:rFonts w:eastAsia="Calibri" w:cs="AdvP4491A2" w:ascii="AdvP4491A2" w:hAnsi="AdvP4491A2"/>
          <w:sz w:val="22"/>
          <w:szCs w:val="22"/>
          <w:lang w:val="en-GB"/>
        </w:rPr>
        <w:t>2</w:t>
      </w:r>
      <w:r>
        <w:rPr>
          <w:rFonts w:eastAsia="Calibri" w:cs="AdvOT635f2c37" w:ascii="AdvOT635f2c37" w:hAnsi="AdvOT635f2c37"/>
          <w:sz w:val="22"/>
          <w:szCs w:val="22"/>
          <w:lang w:val="en-GB"/>
        </w:rPr>
        <w:t xml:space="preserve">. What it is to </w:t>
      </w:r>
      <w:r>
        <w:rPr>
          <w:rFonts w:eastAsia="Calibri" w:cs="AdvOTa14f9db0.I" w:ascii="AdvOTa14f9db0.I" w:hAnsi="AdvOTa14f9db0.I"/>
          <w:sz w:val="22"/>
          <w:szCs w:val="22"/>
          <w:lang w:val="en-GB"/>
        </w:rPr>
        <w:t xml:space="preserve">explain </w:t>
      </w:r>
      <w:r>
        <w:rPr>
          <w:rFonts w:eastAsia="Calibri" w:cs="AdvOT635f2c37" w:ascii="AdvOT635f2c37" w:hAnsi="AdvOT635f2c37"/>
          <w:sz w:val="22"/>
          <w:szCs w:val="22"/>
          <w:lang w:val="en-GB"/>
        </w:rPr>
        <w:t xml:space="preserve">or equate one manifestation of powers collectively in terms of the individualized manifestations of the same powers in a </w:t>
      </w:r>
      <w:r>
        <w:rPr>
          <w:rFonts w:eastAsia="Calibri" w:cs="AdvOTa14f9db0.I" w:ascii="AdvOTa14f9db0.I" w:hAnsi="AdvOTa14f9db0.I"/>
          <w:sz w:val="22"/>
          <w:szCs w:val="22"/>
          <w:lang w:val="en-GB"/>
        </w:rPr>
        <w:t>di</w:t>
      </w:r>
      <w:r>
        <w:rPr>
          <w:rFonts w:eastAsia="Calibri" w:cs="AdvOTa14f9db0.I+fb" w:ascii="AdvOTa14f9db0.I+fb" w:hAnsi="AdvOTa14f9db0.I+fb"/>
          <w:sz w:val="22"/>
          <w:szCs w:val="22"/>
          <w:lang w:val="en-GB"/>
        </w:rPr>
        <w:t>ff</w:t>
      </w:r>
      <w:r>
        <w:rPr>
          <w:rFonts w:eastAsia="Calibri" w:cs="AdvOTa14f9db0.I" w:ascii="AdvOTa14f9db0.I" w:hAnsi="AdvOTa14f9db0.I"/>
          <w:sz w:val="22"/>
          <w:szCs w:val="22"/>
          <w:lang w:val="en-GB"/>
        </w:rPr>
        <w:t xml:space="preserve">erent </w:t>
      </w:r>
      <w:r>
        <w:rPr>
          <w:rFonts w:eastAsia="Calibri" w:cs="AdvOT635f2c37" w:ascii="AdvOT635f2c37" w:hAnsi="AdvOT635f2c37"/>
          <w:sz w:val="22"/>
          <w:szCs w:val="22"/>
          <w:lang w:val="en-GB"/>
        </w:rPr>
        <w:t>set of events. No one could explain one kind of natural manifestation by citing another empirically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manifestation, especially when the two events cannot co-occur. For example, it is not clear to me that we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explain</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the manifestation of the powers of many neurons collectively when a person sees a blue patch by pointing to the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manifestations of those powers individualized neuron-byneuron and interfered with directly by siphoning o</w:t>
      </w:r>
      <w:r>
        <w:rPr>
          <w:rFonts w:eastAsia="Calibri" w:cs="AdvOT635f2c37+fb" w:ascii="AdvOT635f2c37+fb" w:hAnsi="AdvOT635f2c37+fb"/>
          <w:sz w:val="22"/>
          <w:szCs w:val="22"/>
          <w:lang w:val="en-GB"/>
        </w:rPr>
        <w:t xml:space="preserve">ff </w:t>
      </w:r>
      <w:r>
        <w:rPr>
          <w:rFonts w:eastAsia="Calibri" w:cs="AdvOT635f2c37" w:ascii="AdvOT635f2c37" w:hAnsi="AdvOT635f2c37"/>
          <w:sz w:val="22"/>
          <w:szCs w:val="22"/>
          <w:lang w:val="en-GB"/>
        </w:rPr>
        <w:t xml:space="preserve">the energies into </w:t>
      </w:r>
      <w:r>
        <w:rPr>
          <w:rFonts w:eastAsia="Calibri" w:cs="AdvP4491A2" w:ascii="AdvP4491A2" w:hAnsi="AdvP4491A2"/>
          <w:sz w:val="22"/>
          <w:szCs w:val="22"/>
          <w:lang w:val="en-GB"/>
        </w:rPr>
        <w:t>1</w:t>
      </w:r>
      <w:r>
        <w:rPr>
          <w:rFonts w:eastAsia="Calibri" w:cs="AdvOT635f2c37" w:ascii="AdvOT635f2c37" w:hAnsi="AdvOT635f2c37"/>
          <w:sz w:val="22"/>
          <w:szCs w:val="22"/>
          <w:lang w:val="en-GB"/>
        </w:rPr>
        <w:t>,</w:t>
      </w:r>
      <w:r>
        <w:rPr>
          <w:rFonts w:eastAsia="Calibri" w:cs="AdvP4491A2" w:ascii="AdvP4491A2" w:hAnsi="AdvP4491A2"/>
          <w:sz w:val="22"/>
          <w:szCs w:val="22"/>
          <w:lang w:val="en-GB"/>
        </w:rPr>
        <w:t xml:space="preserve">000 </w:t>
      </w:r>
      <w:r>
        <w:rPr>
          <w:rFonts w:eastAsia="Calibri" w:cs="AdvOT635f2c37" w:ascii="AdvOT635f2c37" w:hAnsi="AdvOT635f2c37"/>
          <w:sz w:val="22"/>
          <w:szCs w:val="22"/>
          <w:lang w:val="en-GB"/>
        </w:rPr>
        <w:t>microelectrodes, or by making an indirect scan or recording of the brain region that is active when the person is seeing the blue patch.</w:t>
      </w:r>
    </w:p>
    <w:p>
      <w:pPr>
        <w:pStyle w:val="Normal"/>
        <w:spacing w:before="0" w:after="0"/>
        <w:contextualSpacing/>
        <w:rPr/>
      </w:pPr>
      <w:r>
        <w:rPr>
          <w:rFonts w:eastAsia="Calibri" w:cs="AdvOT635f2c37" w:ascii="AdvOT635f2c37" w:hAnsi="AdvOT635f2c37"/>
          <w:sz w:val="22"/>
          <w:szCs w:val="22"/>
          <w:lang w:val="en-GB"/>
        </w:rPr>
        <w:t xml:space="preserve">That is not an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explanation</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the events are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and do not even co-occur. I do not think we can ever simply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add up</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the individual manifestations neuron-by-neuron and hope they will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gure into the collective manifestation of those same powers in our sensations, because these are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eastAsia="Calibri" w:cs="AdvOTa14f9db0.I" w:ascii="AdvOTa14f9db0.I" w:hAnsi="AdvOTa14f9db0.I"/>
          <w:sz w:val="22"/>
          <w:szCs w:val="22"/>
          <w:lang w:val="en-GB"/>
        </w:rPr>
        <w:t xml:space="preserve">relative </w:t>
      </w:r>
      <w:r>
        <w:rPr>
          <w:rFonts w:eastAsia="Calibri" w:cs="AdvOT635f2c37" w:ascii="AdvOT635f2c37" w:hAnsi="AdvOT635f2c37"/>
          <w:sz w:val="22"/>
          <w:szCs w:val="22"/>
          <w:lang w:val="en-GB"/>
        </w:rPr>
        <w:t xml:space="preserve">level of the Flatlanders, and their viewing pane or sense organs. So if their perspectival viewing pane is just as </w:t>
      </w:r>
      <w:r>
        <w:rPr>
          <w:rFonts w:eastAsia="Calibri" w:cs="AdvOT635f2c37+20" w:ascii="AdvOT635f2c37+20" w:hAnsi="AdvOT635f2c37+20"/>
          <w:sz w:val="22"/>
          <w:szCs w:val="22"/>
          <w:lang w:val="en-GB"/>
        </w:rPr>
        <w:t>“</w:t>
      </w:r>
      <w:r>
        <w:rPr>
          <w:rFonts w:eastAsia="Calibri" w:cs="AdvOT635f2c37+fb" w:ascii="AdvOT635f2c37+fb" w:hAnsi="AdvOT635f2c37+fb"/>
          <w:sz w:val="22"/>
          <w:szCs w:val="22"/>
          <w:lang w:val="en-GB"/>
        </w:rPr>
        <w:t>fl</w:t>
      </w:r>
      <w:r>
        <w:rPr>
          <w:rFonts w:eastAsia="Calibri" w:cs="AdvOT635f2c37" w:ascii="AdvOT635f2c37" w:hAnsi="AdvOT635f2c37"/>
          <w:sz w:val="22"/>
          <w:szCs w:val="22"/>
          <w:lang w:val="en-GB"/>
        </w:rPr>
        <w:t>at</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as the objects they view, there is no problem of representation, and </w:t>
      </w:r>
      <w:r>
        <w:rPr>
          <w:rFonts w:eastAsia="Calibri" w:cs="AdvOT635f2c37+fb" w:ascii="AdvOT635f2c37+fb" w:hAnsi="AdvOT635f2c37+fb"/>
          <w:sz w:val="22"/>
          <w:szCs w:val="22"/>
          <w:lang w:val="en-GB"/>
        </w:rPr>
        <w:t>fl</w:t>
      </w:r>
      <w:r>
        <w:rPr>
          <w:rFonts w:eastAsia="Calibri" w:cs="AdvOT635f2c37" w:ascii="AdvOT635f2c37" w:hAnsi="AdvOT635f2c37"/>
          <w:sz w:val="22"/>
          <w:szCs w:val="22"/>
          <w:lang w:val="en-GB"/>
        </w:rPr>
        <w:t xml:space="preserve">at objects will be seen all at once as a complete object by a </w:t>
      </w:r>
      <w:r>
        <w:rPr>
          <w:rFonts w:eastAsia="Calibri" w:cs="AdvOT635f2c37+fb" w:ascii="AdvOT635f2c37+fb" w:hAnsi="AdvOT635f2c37+fb"/>
          <w:sz w:val="22"/>
          <w:szCs w:val="22"/>
          <w:lang w:val="en-GB"/>
        </w:rPr>
        <w:t>fl</w:t>
      </w:r>
      <w:r>
        <w:rPr>
          <w:rFonts w:eastAsia="Calibri" w:cs="AdvOT635f2c37" w:ascii="AdvOT635f2c37" w:hAnsi="AdvOT635f2c37"/>
          <w:sz w:val="22"/>
          <w:szCs w:val="22"/>
          <w:lang w:val="en-GB"/>
        </w:rPr>
        <w:t xml:space="preserve">at observer, as three-dimensional beings can see three-dimensional objects; in fact this is what actually </w:t>
      </w:r>
      <w:r>
        <w:rPr>
          <w:rFonts w:eastAsia="Calibri" w:cs="AdvOTa14f9db0.I" w:ascii="AdvOTa14f9db0.I" w:hAnsi="AdvOTa14f9db0.I"/>
          <w:sz w:val="22"/>
          <w:szCs w:val="22"/>
          <w:lang w:val="en-GB"/>
        </w:rPr>
        <w:t xml:space="preserve">explains </w:t>
      </w:r>
      <w:r>
        <w:rPr>
          <w:rFonts w:eastAsia="Calibri" w:cs="AdvOT635f2c37" w:ascii="AdvOT635f2c37" w:hAnsi="AdvOT635f2c37"/>
          <w:sz w:val="22"/>
          <w:szCs w:val="22"/>
          <w:lang w:val="en-GB"/>
        </w:rPr>
        <w:t>spatial representation. In Kantian terms, the level of extension an observer experiences is another subject</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eastAsia="Calibri" w:cs="AdvOTa14f9db0.I" w:ascii="AdvOTa14f9db0.I" w:hAnsi="AdvOTa14f9db0.I"/>
          <w:sz w:val="22"/>
          <w:szCs w:val="22"/>
          <w:lang w:val="en-GB"/>
        </w:rPr>
        <w:t xml:space="preserve">is </w:t>
      </w:r>
      <w:r>
        <w:rPr>
          <w:rFonts w:eastAsia="Calibri" w:cs="AdvOT635f2c37" w:ascii="AdvOT635f2c37" w:hAnsi="AdvOT635f2c37"/>
          <w:sz w:val="22"/>
          <w:szCs w:val="22"/>
          <w:lang w:val="en-GB"/>
        </w:rPr>
        <w:t>real are the underlying combinatorial associative</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dissociative processes and laws by which extensions are actually </w:t>
      </w:r>
      <w:r>
        <w:rPr>
          <w:rFonts w:eastAsia="Calibri" w:cs="AdvOTa14f9db0.I" w:ascii="AdvOTa14f9db0.I" w:hAnsi="AdvOTa14f9db0.I"/>
          <w:sz w:val="22"/>
          <w:szCs w:val="22"/>
          <w:lang w:val="en-GB"/>
        </w:rPr>
        <w:t>generated</w:t>
      </w:r>
      <w:r>
        <w:rPr>
          <w:rFonts w:eastAsia="Calibri" w:cs="AdvOT635f2c37" w:ascii="AdvOT635f2c37" w:hAnsi="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eastAsia="Calibri" w:cs="AdvOTa14f9db0.I" w:ascii="AdvOTa14f9db0.I" w:hAnsi="AdvOTa14f9db0.I"/>
          <w:sz w:val="22"/>
          <w:szCs w:val="22"/>
          <w:lang w:val="en-GB"/>
        </w:rPr>
        <w:t xml:space="preserve">phenomena bene fundata </w:t>
      </w:r>
      <w:r>
        <w:rPr>
          <w:rFonts w:eastAsia="Calibri" w:cs="AdvOT635f2c37" w:ascii="AdvOT635f2c37" w:hAnsi="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spatial representation is indeed just a species of intellectual subject</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object representation as Kant insisted</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but the extension-generating processes are real physical processes co-emergent with space and time, no matter at which level they are viewed. (200)</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rFonts w:ascii="AdvOT635f2c37" w:hAnsi="AdvOT635f2c37" w:eastAsia="Calibri" w:cs="AdvOT635f2c37"/>
          <w:b/>
          <w:b/>
          <w:sz w:val="28"/>
          <w:szCs w:val="28"/>
          <w:lang w:val="en-GB"/>
        </w:rPr>
      </w:pPr>
      <w:r>
        <w:rPr>
          <w:rFonts w:eastAsia="Calibri" w:cs="AdvOT635f2c37" w:ascii="AdvOT635f2c37" w:hAnsi="AdvOT635f2c37"/>
          <w:b/>
          <w:sz w:val="28"/>
          <w:szCs w:val="28"/>
          <w:lang w:val="en-GB"/>
        </w:rPr>
        <w:t>[My comment: except his relatives, can somebody believe that this author (banks) could had so MANY and so very UNBELIEVABLE ideas (2014) similar to my ideas (2002-2005-2008???)</w:t>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ListParagraph"/>
        <w:numPr>
          <w:ilvl w:val="0"/>
          <w:numId w:val="3"/>
        </w:numPr>
        <w:spacing w:before="0" w:after="0"/>
        <w:ind w:left="0" w:right="0" w:hanging="360"/>
        <w:contextualSpacing/>
        <w:jc w:val="both"/>
        <w:rPr/>
      </w:pPr>
      <w:r>
        <w:rPr>
          <w:rFonts w:eastAsia="Calibri" w:cs="NewBaskervilleStd-Roman" w:ascii="NewBaskervilleStd-Roman" w:hAnsi="NewBaskervilleStd-Roman"/>
          <w:b/>
          <w:sz w:val="28"/>
          <w:szCs w:val="28"/>
          <w:lang w:val="en-GB"/>
        </w:rPr>
        <w:t>Sami Pihlström</w:t>
      </w:r>
      <w:r>
        <w:rPr>
          <w:rFonts w:eastAsia="Calibri" w:cs="AdvOT635f2c37" w:ascii="AdvOT635f2c37" w:hAnsi="AdvOT635f2c37"/>
          <w:b/>
          <w:sz w:val="28"/>
          <w:szCs w:val="28"/>
          <w:lang w:val="en-GB"/>
        </w:rPr>
        <w:t xml:space="preserve"> (2009), </w:t>
      </w:r>
      <w:r>
        <w:rPr>
          <w:rFonts w:eastAsia="Calibri" w:cs="NewBaskervilleStd-Roman" w:ascii="NewBaskervilleStd-Roman" w:hAnsi="NewBaskervilleStd-Roman"/>
          <w:b/>
          <w:i/>
          <w:sz w:val="28"/>
          <w:szCs w:val="28"/>
          <w:lang w:val="en-GB"/>
        </w:rPr>
        <w:t>Pragmatist Metaphysics,  An Essay on the Ethical Grounds of Ontology</w:t>
      </w:r>
      <w:r>
        <w:rPr>
          <w:rFonts w:eastAsia="Calibri" w:cs="NewBaskervilleStd-Roman" w:ascii="NewBaskervilleStd-Roman" w:hAnsi="NewBaskervilleStd-Roman"/>
          <w:b/>
          <w:sz w:val="28"/>
          <w:szCs w:val="28"/>
          <w:lang w:val="en-GB"/>
        </w:rPr>
        <w:t>, Continuum</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b/>
          <w:lang w:val="en-GB"/>
        </w:rPr>
        <w:t xml:space="preserve">[See my articles 2002, 2003, 2005 (at </w:t>
      </w:r>
      <w:r>
        <w:rPr>
          <w:rFonts w:eastAsia="Calibri" w:cs="AdvOT635f2c37" w:ascii="AdvOT635f2c37" w:hAnsi="AdvOT635f2c37"/>
          <w:b/>
          <w:i/>
          <w:lang w:val="en-GB"/>
        </w:rPr>
        <w:t>Synthese</w:t>
      </w:r>
      <w:r>
        <w:rPr>
          <w:rFonts w:eastAsia="Calibri" w:cs="AdvOT635f2c37" w:ascii="AdvOT635f2c37" w:hAnsi="AdvOT635f2c37"/>
          <w:b/>
          <w:lang w:val="en-GB"/>
        </w:rPr>
        <w:t>, 2006, and my book 2008, ALL posted on Internet immediately after being published, except article at Synthese… I emphasize pihlstrom’s pragmatism is UNBELIEVABLE similar to my EDWs!!]</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 basic suggestion of this book is that these metaphysical issues ought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to be approached pragmatically. They cannot be settled – not, at least, by</w:t>
      </w:r>
    </w:p>
    <w:p>
      <w:pPr>
        <w:pStyle w:val="Normal"/>
        <w:spacing w:before="0" w:after="0"/>
        <w:contextualSpacing/>
        <w:rPr/>
      </w:pPr>
      <w:r>
        <w:rPr>
          <w:rFonts w:eastAsia="Calibri" w:cs="NewBaskervilleStd-Roman" w:ascii="NewBaskervilleStd-Roman" w:hAnsi="NewBaskervilleStd-Roman"/>
          <w:sz w:val="20"/>
          <w:szCs w:val="20"/>
          <w:lang w:val="en-GB"/>
        </w:rPr>
        <w:t xml:space="preserve">human means – from an imagined ‘God’s-Eye View’. They can </w:t>
      </w:r>
      <w:r>
        <w:rPr>
          <w:rFonts w:eastAsia="Calibri" w:cs="NewBaskervilleStd-Italic" w:ascii="NewBaskervilleStd-Italic" w:hAnsi="NewBaskervilleStd-Italic"/>
          <w:i/>
          <w:iCs/>
          <w:sz w:val="20"/>
          <w:szCs w:val="20"/>
          <w:lang w:val="en-GB"/>
        </w:rPr>
        <w:t xml:space="preserve">only </w:t>
      </w:r>
      <w:r>
        <w:rPr>
          <w:rFonts w:eastAsia="Calibri" w:cs="NewBaskervilleStd-Roman" w:ascii="NewBaskervilleStd-Roman" w:hAnsi="NewBaskervilleStd-Roman"/>
          <w:sz w:val="20"/>
          <w:szCs w:val="20"/>
          <w:lang w:val="en-GB"/>
        </w:rPr>
        <w:t>be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settled – always only provisionally, fallibly, and temporarily – by considering</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 xml:space="preserve">them through our human practices of coping with the world we live in. (p. 2) </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Finally, we may return to the meta-level issues already discussed above.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My proposed ‘system’ may lead one to consider what, exactly, is the relation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between ontological, epistemic, and ethical matters in pragmatist metaphysics.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Following both Kant and the pragmatists, I defend a conception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of metaphysics as thoroughly epistemologized, because ontologizing is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always already tied up with human practices, although I do not consider</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epistemology as primary to ontology, either; epistemological inquiries inevitably</w:t>
      </w:r>
    </w:p>
    <w:p>
      <w:pPr>
        <w:pStyle w:val="Normal"/>
        <w:spacing w:before="0" w:after="0"/>
        <w:contextualSpacing/>
        <w:rPr/>
      </w:pPr>
      <w:r>
        <w:rPr>
          <w:rFonts w:eastAsia="Calibri" w:cs="NewBaskervilleStd-Roman" w:ascii="NewBaskervilleStd-Roman" w:hAnsi="NewBaskervilleStd-Roman"/>
          <w:sz w:val="20"/>
          <w:szCs w:val="20"/>
          <w:lang w:val="en-GB"/>
        </w:rPr>
        <w:t xml:space="preserve">make ontological presuppositions (and </w:t>
      </w:r>
      <w:r>
        <w:rPr>
          <w:rFonts w:eastAsia="Calibri" w:cs="NewBaskervilleStd-Italic" w:ascii="NewBaskervilleStd-Italic" w:hAnsi="NewBaskervilleStd-Italic"/>
          <w:i/>
          <w:iCs/>
          <w:sz w:val="20"/>
          <w:szCs w:val="20"/>
          <w:lang w:val="en-GB"/>
        </w:rPr>
        <w:t>vice versa</w:t>
      </w:r>
      <w:r>
        <w:rPr>
          <w:rFonts w:eastAsia="Calibri" w:cs="NewBaskervilleStd-Roman" w:ascii="NewBaskervilleStd-Roman" w:hAnsi="NewBaskervilleStd-Roman"/>
          <w:sz w:val="20"/>
          <w:szCs w:val="20"/>
          <w:lang w:val="en-GB"/>
        </w:rPr>
        <w:t xml:space="preserve">). (14) </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 critical thinker cannot engage in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metaphysics just as ‘business as usual’. Increasingly, philosophers – particularly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analytic ontologists, but also, say, metaphysicians working in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Aristotelian-Thomistic tradition – tend to ignore this requirement, however,</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seeking to delineate the ultimate categorial structure of Being, without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caring about Kantian-like epistemological or semantic restrictions and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worries. In this chapter and this book as a whole, I want to remind metaphysicians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(and philosophers generally) that things are not so easy: we should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 xml:space="preserve">blur any principled dichotomies between metaphysics and epistemology. (33) </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 opponent will now argue that the metaphysical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realist uncritically absolutizes her/his own epistemic perspective,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ontologizes something that should not be detached from epistemic considerations.</w:t>
      </w:r>
    </w:p>
    <w:p>
      <w:pPr>
        <w:pStyle w:val="Normal"/>
        <w:spacing w:before="0" w:after="0"/>
        <w:contextualSpacing/>
        <w:rPr/>
      </w:pPr>
      <w:r>
        <w:rPr>
          <w:rFonts w:eastAsia="Calibri" w:cs="NewBaskervilleStd-Roman" w:ascii="NewBaskervilleStd-Roman" w:hAnsi="NewBaskervilleStd-Roman"/>
          <w:sz w:val="20"/>
          <w:szCs w:val="20"/>
          <w:lang w:val="en-GB"/>
        </w:rPr>
        <w:t xml:space="preserve">What there is cannot, </w:t>
      </w:r>
      <w:r>
        <w:rPr>
          <w:rFonts w:eastAsia="Calibri" w:cs="NewBaskervilleStd-Italic" w:ascii="NewBaskervilleStd-Italic" w:hAnsi="NewBaskervilleStd-Italic"/>
          <w:i/>
          <w:iCs/>
          <w:sz w:val="20"/>
          <w:szCs w:val="20"/>
          <w:lang w:val="en-GB"/>
        </w:rPr>
        <w:t>from our human point of view</w:t>
      </w:r>
      <w:r>
        <w:rPr>
          <w:rFonts w:eastAsia="Calibri" w:cs="NewBaskervilleStd-Roman" w:ascii="NewBaskervilleStd-Roman" w:hAnsi="NewBaskervilleStd-Roman"/>
          <w:sz w:val="20"/>
          <w:szCs w:val="20"/>
          <w:lang w:val="en-GB"/>
        </w:rPr>
        <w:t>, be divorced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from what we are justifi ed in believing there is. And what we are justifi ed in</w:t>
      </w:r>
    </w:p>
    <w:p>
      <w:pPr>
        <w:pStyle w:val="Normal"/>
        <w:spacing w:before="0" w:after="0"/>
        <w:contextualSpacing/>
        <w:rPr/>
      </w:pPr>
      <w:r>
        <w:rPr>
          <w:rFonts w:eastAsia="Calibri" w:cs="NewBaskervilleStd-Roman" w:ascii="NewBaskervilleStd-Roman" w:hAnsi="NewBaskervilleStd-Roman"/>
          <w:sz w:val="20"/>
          <w:szCs w:val="20"/>
          <w:lang w:val="en-GB"/>
        </w:rPr>
        <w:t xml:space="preserve">believing there is </w:t>
      </w:r>
      <w:r>
        <w:rPr>
          <w:rFonts w:eastAsia="Calibri" w:cs="NewBaskervilleStd-Italic" w:ascii="NewBaskervilleStd-Italic" w:hAnsi="NewBaskervilleStd-Italic"/>
          <w:i/>
          <w:iCs/>
          <w:sz w:val="20"/>
          <w:szCs w:val="20"/>
          <w:lang w:val="en-GB"/>
        </w:rPr>
        <w:t xml:space="preserve">is </w:t>
      </w:r>
      <w:r>
        <w:rPr>
          <w:rFonts w:eastAsia="Calibri" w:cs="NewBaskervilleStd-Roman" w:ascii="NewBaskervilleStd-Roman" w:hAnsi="NewBaskervilleStd-Roman"/>
          <w:sz w:val="20"/>
          <w:szCs w:val="20"/>
          <w:lang w:val="en-GB"/>
        </w:rPr>
        <w:t>based on the practices we engage in, the epistemic positions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we occupy. Epistemology and ontology are inextricably entangled; as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Kant saw, our intellect organizes reality into a cognitively and representationally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available structure… A scientifi c description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of the world as a material (physical) whole, causally structured, is only</w:t>
      </w:r>
    </w:p>
    <w:p>
      <w:pPr>
        <w:pStyle w:val="Normal"/>
        <w:spacing w:before="0" w:after="0"/>
        <w:contextualSpacing/>
        <w:rPr/>
      </w:pPr>
      <w:r>
        <w:rPr>
          <w:rFonts w:eastAsia="Calibri" w:cs="NewBaskervilleStd-Roman" w:ascii="NewBaskervilleStd-Roman" w:hAnsi="NewBaskervilleStd-Roman"/>
          <w:sz w:val="20"/>
          <w:szCs w:val="20"/>
          <w:lang w:val="en-GB"/>
        </w:rPr>
        <w:t>one among many; it is (</w:t>
      </w:r>
      <w:r>
        <w:rPr>
          <w:rFonts w:eastAsia="Calibri" w:cs="NewBaskervilleStd-Italic" w:ascii="NewBaskervilleStd-Italic" w:hAnsi="NewBaskervilleStd-Italic"/>
          <w:i/>
          <w:iCs/>
          <w:sz w:val="20"/>
          <w:szCs w:val="20"/>
          <w:lang w:val="en-GB"/>
        </w:rPr>
        <w:t xml:space="preserve">pace </w:t>
      </w:r>
      <w:r>
        <w:rPr>
          <w:rFonts w:eastAsia="Calibri" w:cs="NewBaskervilleStd-Roman" w:ascii="NewBaskervilleStd-Roman" w:hAnsi="NewBaskervilleStd-Roman"/>
          <w:sz w:val="20"/>
          <w:szCs w:val="20"/>
          <w:lang w:val="en-GB"/>
        </w:rPr>
        <w:t xml:space="preserve">not only Armstrong but also Sellars </w:t>
      </w:r>
      <w:r>
        <w:rPr>
          <w:rFonts w:eastAsia="Calibri" w:cs="NewBaskervilleStd-Italic" w:ascii="NewBaskervilleStd-Italic" w:hAnsi="NewBaskervilleStd-Italic"/>
          <w:i/>
          <w:iCs/>
          <w:sz w:val="20"/>
          <w:szCs w:val="20"/>
          <w:lang w:val="en-GB"/>
        </w:rPr>
        <w:t>et al</w:t>
      </w:r>
      <w:r>
        <w:rPr>
          <w:rFonts w:eastAsia="Calibri" w:cs="NewBaskervilleStd-Roman" w:ascii="NewBaskervilleStd-Roman" w:hAnsi="NewBaskervilleStd-Roman"/>
          <w:sz w:val="20"/>
          <w:szCs w:val="20"/>
          <w:lang w:val="en-GB"/>
        </w:rPr>
        <w: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equally acceptable to view the world in its ‘manifest image’, making full,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irreducible ontological commitments to commonsense objects, persons,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mental states and events, and so on. This ontological tolerance cannot be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reconciled with Armstrong’s strict materialism. As is often acknowledged,</w:t>
      </w:r>
    </w:p>
    <w:p>
      <w:pPr>
        <w:pStyle w:val="Normal"/>
        <w:spacing w:before="0" w:after="0"/>
        <w:contextualSpacing/>
        <w:rPr/>
      </w:pPr>
      <w:r>
        <w:rPr>
          <w:rFonts w:eastAsia="Calibri" w:cs="NewBaskervilleStd-Roman" w:ascii="NewBaskervilleStd-Roman" w:hAnsi="NewBaskervilleStd-Roman"/>
          <w:sz w:val="20"/>
          <w:szCs w:val="20"/>
          <w:lang w:val="en-GB"/>
        </w:rPr>
        <w:t xml:space="preserve">one philosopher’s </w:t>
      </w:r>
      <w:r>
        <w:rPr>
          <w:rFonts w:eastAsia="Calibri" w:cs="NewBaskervilleStd-Italic" w:ascii="NewBaskervilleStd-Italic" w:hAnsi="NewBaskervilleStd-Italic"/>
          <w:i/>
          <w:iCs/>
          <w:sz w:val="20"/>
          <w:szCs w:val="20"/>
          <w:lang w:val="en-GB"/>
        </w:rPr>
        <w:t xml:space="preserve">modus ponens </w:t>
      </w:r>
      <w:r>
        <w:rPr>
          <w:rFonts w:eastAsia="Calibri" w:cs="NewBaskervilleStd-Roman" w:ascii="NewBaskervilleStd-Roman" w:hAnsi="NewBaskervilleStd-Roman"/>
          <w:sz w:val="20"/>
          <w:szCs w:val="20"/>
          <w:lang w:val="en-GB"/>
        </w:rPr>
        <w:t xml:space="preserve">is another’s </w:t>
      </w:r>
      <w:r>
        <w:rPr>
          <w:rFonts w:eastAsia="Calibri" w:cs="NewBaskervilleStd-Italic" w:ascii="NewBaskervilleStd-Italic" w:hAnsi="NewBaskervilleStd-Italic"/>
          <w:i/>
          <w:iCs/>
          <w:sz w:val="20"/>
          <w:szCs w:val="20"/>
          <w:lang w:val="en-GB"/>
        </w:rPr>
        <w:t>modus tollens</w:t>
      </w:r>
      <w:r>
        <w:rPr>
          <w:rFonts w:eastAsia="Calibri" w:cs="NewBaskervilleStd-Roman" w:ascii="NewBaskervilleStd-Roman" w:hAnsi="NewBaskervilleStd-Roman"/>
          <w:sz w:val="20"/>
          <w:szCs w:val="20"/>
          <w:lang w:val="en-GB"/>
        </w:rPr>
        <w:t>. (40)</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 above dialogue suggests that we should be modest in our metaphysical</w:t>
      </w:r>
    </w:p>
    <w:p>
      <w:pPr>
        <w:pStyle w:val="Normal"/>
        <w:spacing w:before="0" w:after="0"/>
        <w:contextualSpacing/>
        <w:rPr/>
      </w:pPr>
      <w:r>
        <w:rPr>
          <w:rFonts w:eastAsia="Calibri" w:cs="NewBaskervilleStd-Roman" w:ascii="NewBaskervilleStd-Roman" w:hAnsi="NewBaskervilleStd-Roman"/>
          <w:sz w:val="20"/>
          <w:szCs w:val="20"/>
          <w:lang w:val="en-GB"/>
        </w:rPr>
        <w:t xml:space="preserve">views, regarding them as </w:t>
      </w:r>
      <w:r>
        <w:rPr>
          <w:rFonts w:eastAsia="Calibri" w:cs="NewBaskervilleStd-Italic" w:ascii="NewBaskervilleStd-Italic" w:hAnsi="NewBaskervilleStd-Italic"/>
          <w:i/>
          <w:iCs/>
          <w:sz w:val="20"/>
          <w:szCs w:val="20"/>
          <w:lang w:val="en-GB"/>
        </w:rPr>
        <w:t xml:space="preserve">our </w:t>
      </w:r>
      <w:r>
        <w:rPr>
          <w:rFonts w:eastAsia="Calibri" w:cs="NewBaskervilleStd-Roman" w:ascii="NewBaskervilleStd-Roman" w:hAnsi="NewBaskervilleStd-Roman"/>
          <w:sz w:val="20"/>
          <w:szCs w:val="20"/>
          <w:lang w:val="en-GB"/>
        </w:rPr>
        <w:t>perspectives on reality, not the world’s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t>
      </w:r>
      <w:r>
        <w:rPr>
          <w:rFonts w:eastAsia="Calibri" w:cs="NewBaskervilleStd-Roman" w:ascii="NewBaskervilleStd-Roman" w:hAnsi="NewBaskervilleStd-Roman"/>
          <w:sz w:val="20"/>
          <w:szCs w:val="20"/>
          <w:lang w:val="en-GB"/>
        </w:rPr>
        <w:t>own’, independent of the practical purposes at work in our viewing the</w:t>
      </w:r>
    </w:p>
    <w:p>
      <w:pPr>
        <w:pStyle w:val="Normal"/>
        <w:spacing w:before="0" w:after="0"/>
        <w:contextualSpacing/>
        <w:rPr/>
      </w:pPr>
      <w:r>
        <w:rPr>
          <w:rFonts w:eastAsia="Calibri" w:cs="NewBaskervilleStd-Roman" w:ascii="NewBaskervilleStd-Roman" w:hAnsi="NewBaskervilleStd-Roman"/>
          <w:sz w:val="20"/>
          <w:szCs w:val="20"/>
          <w:lang w:val="en-GB"/>
        </w:rPr>
        <w:t xml:space="preserve">world. An important part of this modesty is the hope of fi nding a </w:t>
      </w:r>
      <w:r>
        <w:rPr>
          <w:rFonts w:eastAsia="Calibri" w:cs="NewBaskervilleStd-Italic" w:ascii="NewBaskervilleStd-Italic" w:hAnsi="NewBaskervilleStd-Italic"/>
          <w:i/>
          <w:iCs/>
          <w:sz w:val="20"/>
          <w:szCs w:val="20"/>
          <w:lang w:val="en-GB"/>
        </w:rPr>
        <w:t>via media</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between realism and idealism (or relativism), also to be discussed in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Chapter 4 below. Thus, I hope to be able to argue that one can, in a Kantian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(transcendental) way, or in a pragmatist way, admit that an ideal transcendental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structure – human practices or, if one prefers Wittgensteinian terminology,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forms of life – serves as the grounding of any humanly conceivable,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including scientifi c, ways of representing reality, while maintaining a</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moderate, nonreductive scientifi c realism about the ontological commitments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of scientifi c theories, i.e., commitments made within such a structure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(cf. Pihlström 1996: chapter 5; 1998: chapter 3; 2003a: chapter 5). Ethical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considerations may, as I will further argue, legitimately infl uence these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perspectives and thus our ontology.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We have arrived at a metaontological position opposed to metaphysical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realism. If we take the above-described inconclusive dialogue seriously,</w:t>
      </w:r>
    </w:p>
    <w:p>
      <w:pPr>
        <w:pStyle w:val="Normal"/>
        <w:spacing w:before="0" w:after="0"/>
        <w:contextualSpacing/>
        <w:rPr/>
      </w:pPr>
      <w:r>
        <w:rPr>
          <w:rFonts w:eastAsia="Calibri" w:cs="NewBaskervilleStd-Roman" w:ascii="NewBaskervilleStd-Roman" w:hAnsi="NewBaskervilleStd-Roman"/>
          <w:sz w:val="20"/>
          <w:szCs w:val="20"/>
          <w:lang w:val="en-GB"/>
        </w:rPr>
        <w:t>concluding that human purposes (or even personal temperaments)</w:t>
      </w:r>
      <w:r>
        <w:rPr>
          <w:rFonts w:eastAsia="Calibri" w:cs="NewBaskervilleStd-Roman" w:ascii="NewBaskervilleStd-Roman" w:hAnsi="NewBaskervilleStd-Roman"/>
          <w:sz w:val="12"/>
          <w:szCs w:val="12"/>
          <w:lang w:val="en-GB"/>
        </w:rPr>
        <w:t xml:space="preserve">15 </w:t>
      </w:r>
      <w:r>
        <w:rPr>
          <w:rFonts w:eastAsia="Calibri" w:cs="NewBaskervilleStd-Roman" w:ascii="NewBaskervilleStd-Roman" w:hAnsi="NewBaskervilleStd-Roman"/>
          <w:sz w:val="20"/>
          <w:szCs w:val="20"/>
          <w:lang w:val="en-GB"/>
        </w:rPr>
        <w:t>are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at stake in our disputes over how to view the world and what metaphysics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is all about, we should give up metaphysical realism and its imagined God’s-Eye View. The critic of metaphysical realism wins, then, at the metalevel.</w:t>
      </w:r>
    </w:p>
    <w:p>
      <w:pPr>
        <w:pStyle w:val="Normal"/>
        <w:spacing w:before="0" w:after="0"/>
        <w:contextualSpacing/>
        <w:rPr/>
      </w:pPr>
      <w:r>
        <w:rPr>
          <w:rFonts w:eastAsia="Calibri" w:cs="NewBaskervilleStd-Roman" w:ascii="NewBaskervilleStd-Roman" w:hAnsi="NewBaskervilleStd-Roman"/>
          <w:sz w:val="20"/>
          <w:szCs w:val="20"/>
          <w:lang w:val="en-GB"/>
        </w:rPr>
        <w:t xml:space="preserve">Philosophical arguments present us a world viewed </w:t>
      </w:r>
      <w:r>
        <w:rPr>
          <w:rFonts w:eastAsia="Calibri" w:cs="NewBaskervilleStd-Italic" w:ascii="NewBaskervilleStd-Italic" w:hAnsi="NewBaskervilleStd-Italic"/>
          <w:i/>
          <w:iCs/>
          <w:sz w:val="20"/>
          <w:szCs w:val="20"/>
          <w:lang w:val="en-GB"/>
        </w:rPr>
        <w:t>by us</w:t>
      </w:r>
      <w:r>
        <w:rPr>
          <w:rFonts w:eastAsia="Calibri" w:cs="NewBaskervilleStd-Roman" w:ascii="NewBaskervilleStd-Roman" w:hAnsi="NewBaskervilleStd-Roman"/>
          <w:sz w:val="20"/>
          <w:szCs w:val="20"/>
          <w:lang w:val="en-GB"/>
        </w:rPr>
        <w:t>, structured</w:t>
      </w:r>
    </w:p>
    <w:p>
      <w:pPr>
        <w:pStyle w:val="Normal"/>
        <w:spacing w:before="0" w:after="0"/>
        <w:contextualSpacing/>
        <w:rPr/>
      </w:pPr>
      <w:r>
        <w:rPr>
          <w:rFonts w:eastAsia="Calibri" w:cs="NewBaskervilleStd-Italic" w:ascii="NewBaskervilleStd-Italic" w:hAnsi="NewBaskervilleStd-Italic"/>
          <w:i/>
          <w:iCs/>
          <w:sz w:val="20"/>
          <w:szCs w:val="20"/>
          <w:lang w:val="en-GB"/>
        </w:rPr>
        <w:t>by us</w:t>
      </w:r>
      <w:r>
        <w:rPr>
          <w:rFonts w:eastAsia="Calibri" w:cs="NewBaskervilleStd-Roman" w:ascii="NewBaskervilleStd-Roman" w:hAnsi="NewBaskervilleStd-Roman"/>
          <w:sz w:val="20"/>
          <w:szCs w:val="20"/>
          <w:lang w:val="en-GB"/>
        </w:rPr>
        <w:t>, not by an impersonal, neutral spectator occupying a view from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nowhere. There is no uncommitted place to stand in the dispute; metaphysical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realism should be abandoned in favor of a more human picture of</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ontologizing. (41-42)</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pPr>
      <w:r>
        <w:rPr>
          <w:rFonts w:eastAsia="Calibri" w:cs="NewBaskervilleStd-Roman" w:ascii="NewBaskervilleStd-Roman" w:hAnsi="NewBaskervilleStd-Roman"/>
          <w:sz w:val="20"/>
          <w:szCs w:val="20"/>
          <w:lang w:val="en-GB"/>
        </w:rPr>
        <w:t xml:space="preserve">While Putnam rejects – destroys – </w:t>
      </w:r>
      <w:r>
        <w:rPr>
          <w:rFonts w:eastAsia="Calibri" w:cs="NewBaskervilleStd-Italic" w:ascii="NewBaskervilleStd-Italic" w:hAnsi="NewBaskervilleStd-Italic"/>
          <w:i/>
          <w:iCs/>
          <w:sz w:val="20"/>
          <w:szCs w:val="20"/>
          <w:lang w:val="en-GB"/>
        </w:rPr>
        <w:t>O</w:t>
      </w:r>
      <w:r>
        <w:rPr>
          <w:rFonts w:eastAsia="Calibri" w:cs="NewBaskervilleStd-Roman" w:ascii="NewBaskervilleStd-Roman" w:hAnsi="NewBaskervilleStd-Roman"/>
          <w:sz w:val="20"/>
          <w:szCs w:val="20"/>
          <w:lang w:val="en-GB"/>
        </w:rPr>
        <w:t>ntology, or the metaphysical realism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assumed by thinkers like Armstrong, the question (inseparable from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realism issue) remains whether he could still accommodate something</w:t>
      </w:r>
    </w:p>
    <w:p>
      <w:pPr>
        <w:pStyle w:val="Normal"/>
        <w:spacing w:before="0" w:after="0"/>
        <w:contextualSpacing/>
        <w:rPr/>
      </w:pPr>
      <w:r>
        <w:rPr>
          <w:rFonts w:eastAsia="Calibri" w:cs="NewBaskervilleStd-Roman" w:ascii="NewBaskervilleStd-Roman" w:hAnsi="NewBaskervilleStd-Roman"/>
          <w:sz w:val="20"/>
          <w:szCs w:val="20"/>
          <w:lang w:val="en-GB"/>
        </w:rPr>
        <w:t xml:space="preserve">like </w:t>
      </w:r>
      <w:r>
        <w:rPr>
          <w:rFonts w:eastAsia="Calibri" w:cs="NewBaskervilleStd-Italic" w:ascii="NewBaskervilleStd-Italic" w:hAnsi="NewBaskervilleStd-Italic"/>
          <w:i/>
          <w:iCs/>
          <w:sz w:val="20"/>
          <w:szCs w:val="20"/>
          <w:lang w:val="en-GB"/>
        </w:rPr>
        <w:t>o</w:t>
      </w:r>
      <w:r>
        <w:rPr>
          <w:rFonts w:eastAsia="Calibri" w:cs="NewBaskervilleStd-Roman" w:ascii="NewBaskervilleStd-Roman" w:hAnsi="NewBaskervilleStd-Roman"/>
          <w:sz w:val="20"/>
          <w:szCs w:val="20"/>
          <w:lang w:val="en-GB"/>
        </w:rPr>
        <w:t>ntology in his project. More precisely, the question remains whether</w:t>
      </w:r>
    </w:p>
    <w:p>
      <w:pPr>
        <w:pStyle w:val="Normal"/>
        <w:spacing w:before="0" w:after="0"/>
        <w:contextualSpacing/>
        <w:rPr/>
      </w:pPr>
      <w:r>
        <w:rPr>
          <w:rFonts w:eastAsia="Calibri" w:cs="NewBaskervilleStd-Roman" w:ascii="NewBaskervilleStd-Roman" w:hAnsi="NewBaskervilleStd-Roman"/>
          <w:sz w:val="20"/>
          <w:szCs w:val="20"/>
          <w:lang w:val="en-GB"/>
        </w:rPr>
        <w:t xml:space="preserve">he could accept what I call a </w:t>
      </w:r>
      <w:r>
        <w:rPr>
          <w:rFonts w:eastAsia="Calibri" w:cs="NewBaskervilleStd-Italic" w:ascii="NewBaskervilleStd-Italic" w:hAnsi="NewBaskervilleStd-Italic"/>
          <w:i/>
          <w:iCs/>
          <w:sz w:val="20"/>
          <w:szCs w:val="20"/>
          <w:lang w:val="en-GB"/>
        </w:rPr>
        <w:t xml:space="preserve">transcendental-cum-pragmatist </w:t>
      </w:r>
      <w:r>
        <w:rPr>
          <w:rFonts w:eastAsia="Calibri" w:cs="NewBaskervilleStd-Roman" w:ascii="NewBaskervilleStd-Roman" w:hAnsi="NewBaskervilleStd-Roman"/>
          <w:sz w:val="20"/>
          <w:szCs w:val="20"/>
          <w:lang w:val="en-GB"/>
        </w:rPr>
        <w:t>view of ontology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as an examination of the basic features of a humanly categorized reality,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of practice-embedded conditions necessary for us to inhabit an objective,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structured world – and, thus, whether he could admit that pragmatism is,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or can be reinterpreted as, an ontologically relevant philosophical</w:t>
      </w:r>
    </w:p>
    <w:p>
      <w:pPr>
        <w:pStyle w:val="Normal"/>
        <w:spacing w:before="0" w:after="0"/>
        <w:contextualSpacing/>
        <w:rPr/>
      </w:pPr>
      <w:r>
        <w:rPr>
          <w:rFonts w:eastAsia="Calibri" w:cs="NewBaskervilleStd-Roman" w:ascii="NewBaskervilleStd-Roman" w:hAnsi="NewBaskervilleStd-Roman"/>
          <w:sz w:val="20"/>
          <w:szCs w:val="20"/>
          <w:lang w:val="en-GB"/>
        </w:rPr>
        <w:t xml:space="preserve">framework. Here, </w:t>
      </w:r>
      <w:r>
        <w:rPr>
          <w:rFonts w:eastAsia="Calibri" w:cs="NewBaskervilleStd-Italic" w:ascii="NewBaskervilleStd-Italic" w:hAnsi="NewBaskervilleStd-Italic"/>
          <w:i/>
          <w:iCs/>
          <w:sz w:val="20"/>
          <w:szCs w:val="20"/>
          <w:lang w:val="en-GB"/>
        </w:rPr>
        <w:t>o</w:t>
      </w:r>
      <w:r>
        <w:rPr>
          <w:rFonts w:eastAsia="Calibri" w:cs="NewBaskervilleStd-Roman" w:ascii="NewBaskervilleStd-Roman" w:hAnsi="NewBaskervilleStd-Roman"/>
          <w:sz w:val="20"/>
          <w:szCs w:val="20"/>
          <w:lang w:val="en-GB"/>
        </w:rPr>
        <w:t>ntology amounts to a Kantian investigation of what we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need to commit ourselves to in our experience and thinking about the</w:t>
      </w:r>
    </w:p>
    <w:p>
      <w:pPr>
        <w:pStyle w:val="Normal"/>
        <w:spacing w:before="0" w:after="0"/>
        <w:contextualSpacing/>
        <w:rPr/>
      </w:pPr>
      <w:r>
        <w:rPr>
          <w:rFonts w:eastAsia="Calibri" w:cs="NewBaskervilleStd-Roman" w:ascii="NewBaskervilleStd-Roman" w:hAnsi="NewBaskervilleStd-Roman"/>
          <w:sz w:val="20"/>
          <w:szCs w:val="20"/>
          <w:lang w:val="en-GB"/>
        </w:rPr>
        <w:t xml:space="preserve">world, whereas </w:t>
      </w:r>
      <w:r>
        <w:rPr>
          <w:rFonts w:eastAsia="Calibri" w:cs="NewBaskervilleStd-Italic" w:ascii="NewBaskervilleStd-Italic" w:hAnsi="NewBaskervilleStd-Italic"/>
          <w:i/>
          <w:iCs/>
          <w:sz w:val="20"/>
          <w:szCs w:val="20"/>
          <w:lang w:val="en-GB"/>
        </w:rPr>
        <w:t>O</w:t>
      </w:r>
      <w:r>
        <w:rPr>
          <w:rFonts w:eastAsia="Calibri" w:cs="NewBaskervilleStd-Roman" w:ascii="NewBaskervilleStd-Roman" w:hAnsi="NewBaskervilleStd-Roman"/>
          <w:sz w:val="20"/>
          <w:szCs w:val="20"/>
          <w:lang w:val="en-GB"/>
        </w:rPr>
        <w:t>ntology, rightly criticized by Putnam, is closer to an Aristotelian picture of metaphysics as a fi rst philosophy, largely presupposed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by contemporary metaphysicians, including Armstrong. One possibility,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then, would be to interpret Putnam’s position as an ‘empirical realism’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 a Kantian sense. The world would, according to such a (re)interpretation,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still be (transcendentally, nonempirically, noncausally) constituted by our</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purpose-oriented practices, pretty much as the empirical world is – at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transcendental level – a human construction, without being illusory or</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fi ctitious, in Kant’s transcendental idealism (Allison 2004). Practices, in</w:t>
      </w:r>
    </w:p>
    <w:p>
      <w:pPr>
        <w:pStyle w:val="Normal"/>
        <w:spacing w:before="0" w:after="0"/>
        <w:contextualSpacing/>
        <w:rPr/>
      </w:pPr>
      <w:r>
        <w:rPr>
          <w:rFonts w:eastAsia="Calibri" w:cs="NewBaskervilleStd-Roman" w:ascii="NewBaskervilleStd-Roman" w:hAnsi="NewBaskervilleStd-Roman"/>
          <w:sz w:val="20"/>
          <w:szCs w:val="20"/>
          <w:lang w:val="en-GB"/>
        </w:rPr>
        <w:t xml:space="preserve">this </w:t>
      </w:r>
      <w:r>
        <w:rPr>
          <w:rFonts w:eastAsia="Calibri" w:cs="NewBaskervilleStd-Italic" w:ascii="NewBaskervilleStd-Italic" w:hAnsi="NewBaskervilleStd-Italic"/>
          <w:i/>
          <w:iCs/>
          <w:sz w:val="20"/>
          <w:szCs w:val="20"/>
          <w:lang w:val="en-GB"/>
        </w:rPr>
        <w:t>transcendental pragmatism</w:t>
      </w:r>
      <w:r>
        <w:rPr>
          <w:rFonts w:eastAsia="Calibri" w:cs="NewBaskervilleStd-Roman" w:ascii="NewBaskervilleStd-Roman" w:hAnsi="NewBaskervilleStd-Roman"/>
          <w:sz w:val="20"/>
          <w:szCs w:val="20"/>
          <w:lang w:val="en-GB"/>
        </w:rPr>
        <w:t>, act as the dynamic, historically transformable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substitute for the atemporal transcendental ego that constitutes objective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reality. (47-48)</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Although this discussion is not explicitly about metaphysics but primarily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about language and semantics, it can easily be transformed into a metaphysical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shape. Context-sensitivity is needed in the case of notions such as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being, existence, and reality. Pluralistically, the pragmatist should endorse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many different kinds of contextualization – not only linguistic (which is primary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 Wittgensteinian cases) but also metaphysical. We may see Putnam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as accepting the pragmatist view, most effectively developed by Dewey, that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metaphysical views should be contextualized into the ‘problematic situations’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within which they actually arise in the course of our lives. Such metaphysically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relevant problematic situations do occur in real life, even in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everyday situation I started out with in the beginning of this volume: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observation that an ordinary object like a piece of chalk is ontologically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t>
      </w:r>
      <w:r>
        <w:rPr>
          <w:rFonts w:eastAsia="Calibri" w:cs="NewBaskervilleStd-Roman" w:ascii="NewBaskervilleStd-Roman" w:hAnsi="NewBaskervilleStd-Roman"/>
          <w:sz w:val="20"/>
          <w:szCs w:val="20"/>
          <w:lang w:val="en-GB"/>
        </w:rPr>
        <w:t>deeper’ than might have been expected. The pragmatist metaphysician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should explore the prospects of pluralism and conceptual relativity in such</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situations, thus ultimately understanding metaphysics as a project in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 xml:space="preserve">service of the good life – again ultimately inseparable from ethics. (52) </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Even though they correctly note that a certain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kind of antimetaphysics leads to self-refl ective diffi culties, these metaphysicians</w:t>
      </w:r>
    </w:p>
    <w:p>
      <w:pPr>
        <w:pStyle w:val="Normal"/>
        <w:spacing w:before="0" w:after="0"/>
        <w:contextualSpacing/>
        <w:rPr/>
      </w:pPr>
      <w:r>
        <w:rPr>
          <w:rFonts w:eastAsia="Calibri" w:cs="NewBaskervilleStd-Roman" w:ascii="NewBaskervilleStd-Roman" w:hAnsi="NewBaskervilleStd-Roman"/>
          <w:sz w:val="20"/>
          <w:szCs w:val="20"/>
          <w:lang w:val="en-GB"/>
        </w:rPr>
        <w:t xml:space="preserve">fail to pay due attention to the deliberate </w:t>
      </w:r>
      <w:r>
        <w:rPr>
          <w:rFonts w:eastAsia="Calibri" w:cs="NewBaskervilleStd-Italic" w:ascii="NewBaskervilleStd-Italic" w:hAnsi="NewBaskervilleStd-Italic"/>
          <w:i/>
          <w:iCs/>
          <w:sz w:val="20"/>
          <w:szCs w:val="20"/>
          <w:lang w:val="en-GB"/>
        </w:rPr>
        <w:t>epistemologization of ontology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 the pragmatist and transcendental traditions. (57)</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tension between realism and idealism, in one form or another, is a unifying</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feature of these frameworks, none of which simply assumes either a metaphysically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realist understanding of reality or a full-blown idealist or antirealist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conception of the world as a human construction. These examples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should, in any case, warrant the conclusion that transcendental philosophy</w:t>
      </w:r>
    </w:p>
    <w:p>
      <w:pPr>
        <w:pStyle w:val="Normal"/>
        <w:spacing w:before="0" w:after="0"/>
        <w:contextualSpacing/>
        <w:rPr/>
      </w:pPr>
      <w:r>
        <w:rPr>
          <w:rFonts w:eastAsia="Calibri" w:cs="NewBaskervilleStd-Italic" w:ascii="NewBaskervilleStd-Italic" w:hAnsi="NewBaskervilleStd-Italic"/>
          <w:i/>
          <w:iCs/>
          <w:sz w:val="20"/>
          <w:szCs w:val="20"/>
          <w:lang w:val="en-GB"/>
        </w:rPr>
        <w:t xml:space="preserve">can </w:t>
      </w:r>
      <w:r>
        <w:rPr>
          <w:rFonts w:eastAsia="Calibri" w:cs="NewBaskervilleStd-Roman" w:ascii="NewBaskervilleStd-Roman" w:hAnsi="NewBaskervilleStd-Roman"/>
          <w:sz w:val="20"/>
          <w:szCs w:val="20"/>
          <w:lang w:val="en-GB"/>
        </w:rPr>
        <w:t>be both ontological and epistemological, especially when developed</w:t>
      </w:r>
    </w:p>
    <w:p>
      <w:pPr>
        <w:pStyle w:val="Normal"/>
        <w:spacing w:before="0" w:after="0"/>
        <w:contextualSpacing/>
        <w:rPr/>
      </w:pPr>
      <w:r>
        <w:rPr>
          <w:rFonts w:eastAsia="Calibri" w:cs="NewBaskervilleStd-Roman" w:ascii="NewBaskervilleStd-Roman" w:hAnsi="NewBaskervilleStd-Roman"/>
          <w:sz w:val="20"/>
          <w:szCs w:val="20"/>
          <w:lang w:val="en-GB"/>
        </w:rPr>
        <w:t xml:space="preserve">pragmatically, and that there is no good reason to be </w:t>
      </w:r>
      <w:r>
        <w:rPr>
          <w:rFonts w:eastAsia="Calibri" w:cs="NewBaskervilleStd-Italic" w:ascii="NewBaskervilleStd-Italic" w:hAnsi="NewBaskervilleStd-Italic"/>
          <w:i/>
          <w:iCs/>
          <w:sz w:val="20"/>
          <w:szCs w:val="20"/>
          <w:lang w:val="en-GB"/>
        </w:rPr>
        <w:t xml:space="preserve">entirely </w:t>
      </w:r>
      <w:r>
        <w:rPr>
          <w:rFonts w:eastAsia="Calibri" w:cs="NewBaskervilleStd-Roman" w:ascii="NewBaskervilleStd-Roman" w:hAnsi="NewBaskervilleStd-Roman"/>
          <w:sz w:val="20"/>
          <w:szCs w:val="20"/>
          <w:lang w:val="en-GB"/>
        </w:rPr>
        <w:t>opposed to</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metaphysics, if one takes a ‘transcendental turn’.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All these philosophical orientations, arguably, end up with a conception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of the mind-dependence, or better, conceptualization-dependence, of</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ontological categories. This means, to repeat, that ontology is, for Kantians,</w:t>
      </w:r>
    </w:p>
    <w:p>
      <w:pPr>
        <w:pStyle w:val="Normal"/>
        <w:spacing w:before="0" w:after="0"/>
        <w:contextualSpacing/>
        <w:rPr/>
      </w:pPr>
      <w:r>
        <w:rPr>
          <w:rFonts w:eastAsia="Calibri" w:cs="NewBaskervilleStd-Roman" w:ascii="NewBaskervilleStd-Roman" w:hAnsi="NewBaskervilleStd-Roman"/>
          <w:sz w:val="20"/>
          <w:szCs w:val="20"/>
          <w:lang w:val="en-GB"/>
        </w:rPr>
        <w:t xml:space="preserve">Wittgensteinians, and pragmatists (though in somewhat different ways), a human project of categorizing the world, </w:t>
      </w:r>
      <w:r>
        <w:rPr>
          <w:rFonts w:eastAsia="Calibri" w:cs="NewBaskervilleStd-Italic" w:ascii="NewBaskervilleStd-Italic" w:hAnsi="NewBaskervilleStd-Italic"/>
          <w:i/>
          <w:iCs/>
          <w:sz w:val="20"/>
          <w:szCs w:val="20"/>
          <w:lang w:val="en-GB"/>
        </w:rPr>
        <w:t xml:space="preserve">not </w:t>
      </w:r>
      <w:r>
        <w:rPr>
          <w:rFonts w:eastAsia="Calibri" w:cs="NewBaskervilleStd-Roman" w:ascii="NewBaskervilleStd-Roman" w:hAnsi="NewBaskervilleStd-Roman"/>
          <w:sz w:val="20"/>
          <w:szCs w:val="20"/>
          <w:lang w:val="en-GB"/>
        </w:rPr>
        <w:t>a project of discovering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categories that are already there, embedded in the structure of the world,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independently of categorization. The Wittgensteinian and the pragmatist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novelty in this discussion is to add that this categorizing conceptualization</w:t>
      </w:r>
    </w:p>
    <w:p>
      <w:pPr>
        <w:pStyle w:val="Normal"/>
        <w:spacing w:before="0" w:after="0"/>
        <w:contextualSpacing/>
        <w:rPr/>
      </w:pPr>
      <w:r>
        <w:rPr>
          <w:rFonts w:eastAsia="Calibri" w:cs="NewBaskervilleStd-Roman" w:ascii="NewBaskervilleStd-Roman" w:hAnsi="NewBaskervilleStd-Roman"/>
          <w:sz w:val="20"/>
          <w:szCs w:val="20"/>
          <w:lang w:val="en-GB"/>
        </w:rPr>
        <w:t xml:space="preserve">contains an irreducibly </w:t>
      </w:r>
      <w:r>
        <w:rPr>
          <w:rFonts w:eastAsia="Calibri" w:cs="NewBaskervilleStd-Italic" w:ascii="NewBaskervilleStd-Italic" w:hAnsi="NewBaskervilleStd-Italic"/>
          <w:i/>
          <w:iCs/>
          <w:sz w:val="20"/>
          <w:szCs w:val="20"/>
          <w:lang w:val="en-GB"/>
        </w:rPr>
        <w:t xml:space="preserve">practical </w:t>
      </w:r>
      <w:r>
        <w:rPr>
          <w:rFonts w:eastAsia="Calibri" w:cs="NewBaskervilleStd-Roman" w:ascii="NewBaskervilleStd-Roman" w:hAnsi="NewBaskervilleStd-Roman"/>
          <w:sz w:val="20"/>
          <w:szCs w:val="20"/>
          <w:lang w:val="en-GB"/>
        </w:rPr>
        <w:t>dimension: it is in and through our practices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of coping with the world that the world gets structured. It is, therefore,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 task of (general) metaphysics to examine the transcendental conditions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for the possibility of the various structures it does, or can, receive through</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our categorizing activities… It is in these terms that I reinterpret the conception of metaphysics as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striving for a category theory, and – correspondingly – of transcendental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philosophy as an ontologically relevant inquiry into the structure of the</w:t>
      </w:r>
    </w:p>
    <w:p>
      <w:pPr>
        <w:pStyle w:val="Normal"/>
        <w:spacing w:before="0" w:after="0"/>
        <w:contextualSpacing/>
        <w:rPr/>
      </w:pPr>
      <w:r>
        <w:rPr>
          <w:rFonts w:eastAsia="Calibri" w:cs="NewBaskervilleStd-Roman" w:ascii="NewBaskervilleStd-Roman" w:hAnsi="NewBaskervilleStd-Roman"/>
          <w:sz w:val="20"/>
          <w:szCs w:val="20"/>
          <w:lang w:val="en-GB"/>
        </w:rPr>
        <w:t xml:space="preserve">humanly categorized world. Metaphysics, according to this view, is not </w:t>
      </w:r>
      <w:r>
        <w:rPr>
          <w:rFonts w:eastAsia="Calibri" w:cs="NewBaskervilleStd-Italic" w:ascii="NewBaskervilleStd-Italic" w:hAnsi="NewBaskervilleStd-Italic"/>
          <w:i/>
          <w:iCs/>
          <w:sz w:val="20"/>
          <w:szCs w:val="20"/>
          <w:lang w:val="en-GB"/>
        </w:rPr>
        <w:t>merely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 investigation of our thought or conceptual schemes; it does inquire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into the categorial structure of reality. But it starts from the ‘humanist’ thesis</w:t>
      </w:r>
    </w:p>
    <w:p>
      <w:pPr>
        <w:pStyle w:val="Normal"/>
        <w:spacing w:before="0" w:after="0"/>
        <w:contextualSpacing/>
        <w:rPr/>
      </w:pPr>
      <w:r>
        <w:rPr>
          <w:rFonts w:eastAsia="Calibri" w:cs="NewBaskervilleStd-Roman" w:ascii="NewBaskervilleStd-Roman" w:hAnsi="NewBaskervilleStd-Roman"/>
          <w:sz w:val="20"/>
          <w:szCs w:val="20"/>
          <w:lang w:val="en-GB"/>
        </w:rPr>
        <w:t xml:space="preserve">(cf. Schiller 2008) that </w:t>
      </w:r>
      <w:r>
        <w:rPr>
          <w:rFonts w:eastAsia="Calibri" w:cs="NewBaskervilleStd-Italic" w:ascii="NewBaskervilleStd-Italic" w:hAnsi="NewBaskervilleStd-Italic"/>
          <w:i/>
          <w:iCs/>
          <w:sz w:val="20"/>
          <w:szCs w:val="20"/>
          <w:lang w:val="en-GB"/>
        </w:rPr>
        <w:t xml:space="preserve">we </w:t>
      </w:r>
      <w:r>
        <w:rPr>
          <w:rFonts w:eastAsia="Calibri" w:cs="NewBaskervilleStd-Roman" w:ascii="NewBaskervilleStd-Roman" w:hAnsi="NewBaskervilleStd-Roman"/>
          <w:sz w:val="20"/>
          <w:szCs w:val="20"/>
          <w:lang w:val="en-GB"/>
        </w:rPr>
        <w:t>provide that (or any) structure to the world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through our conceptualizations, which, however, are themselves based 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materialized practices in the world. This, moreover, is how Putnam’s abovediscussed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anti-metaphysically-realist views ought to be reinterpreted, partly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 contrast to his own self-understanding as a thinker opposed to Ontology</w:t>
      </w:r>
    </w:p>
    <w:p>
      <w:pPr>
        <w:pStyle w:val="Normal"/>
        <w:spacing w:before="0" w:after="0"/>
        <w:contextualSpacing/>
        <w:rPr/>
      </w:pPr>
      <w:r>
        <w:rPr>
          <w:rFonts w:eastAsia="Calibri" w:cs="NewBaskervilleStd-Italic" w:ascii="NewBaskervilleStd-Italic" w:hAnsi="NewBaskervilleStd-Italic"/>
          <w:i/>
          <w:iCs/>
          <w:sz w:val="20"/>
          <w:szCs w:val="20"/>
          <w:lang w:val="en-GB"/>
        </w:rPr>
        <w:t>in toto</w:t>
      </w:r>
      <w:r>
        <w:rPr>
          <w:rFonts w:eastAsia="Calibri" w:cs="NewBaskervilleStd-Roman" w:ascii="NewBaskervilleStd-Roman" w:hAnsi="NewBaskervilleStd-Roman"/>
          <w:sz w:val="20"/>
          <w:szCs w:val="20"/>
          <w:lang w:val="en-GB"/>
        </w:rPr>
        <w:t xml:space="preserve">, at least </w:t>
      </w:r>
      <w:r>
        <w:rPr>
          <w:rFonts w:eastAsia="Calibri" w:cs="NewBaskervilleStd-Italic" w:ascii="NewBaskervilleStd-Italic" w:hAnsi="NewBaskervilleStd-Italic"/>
          <w:i/>
          <w:iCs/>
          <w:sz w:val="20"/>
          <w:szCs w:val="20"/>
          <w:lang w:val="en-GB"/>
        </w:rPr>
        <w:t xml:space="preserve">if </w:t>
      </w:r>
      <w:r>
        <w:rPr>
          <w:rFonts w:eastAsia="Calibri" w:cs="NewBaskervilleStd-Roman" w:ascii="NewBaskervilleStd-Roman" w:hAnsi="NewBaskervilleStd-Roman"/>
          <w:sz w:val="20"/>
          <w:szCs w:val="20"/>
          <w:lang w:val="en-GB"/>
        </w:rPr>
        <w:t>we read him charitably as deeply anchored both in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Kantian and the pragmatist traditions. (59-60)</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Insofar as I am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recommending the employment of a transcendental method in pragmatist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metaphysics, I need to articulate a form of transcendental philosophy that</w:t>
      </w:r>
    </w:p>
    <w:p>
      <w:pPr>
        <w:pStyle w:val="Normal"/>
        <w:spacing w:before="0" w:after="0"/>
        <w:contextualSpacing/>
        <w:rPr/>
      </w:pPr>
      <w:r>
        <w:rPr>
          <w:rFonts w:eastAsia="Calibri" w:cs="NewBaskervilleStd-Roman" w:ascii="NewBaskervilleStd-Roman" w:hAnsi="NewBaskervilleStd-Roman"/>
          <w:sz w:val="20"/>
          <w:szCs w:val="20"/>
          <w:lang w:val="en-GB"/>
        </w:rPr>
        <w:t xml:space="preserve">is ontologically relevant in the sense of examining the </w:t>
      </w:r>
      <w:r>
        <w:rPr>
          <w:rFonts w:eastAsia="Calibri" w:cs="NewBaskervilleStd-Italic" w:ascii="NewBaskervilleStd-Italic" w:hAnsi="NewBaskervilleStd-Italic"/>
          <w:i/>
          <w:iCs/>
          <w:sz w:val="20"/>
          <w:szCs w:val="20"/>
          <w:lang w:val="en-GB"/>
        </w:rPr>
        <w:t>transcendental</w:t>
      </w:r>
    </w:p>
    <w:p>
      <w:pPr>
        <w:pStyle w:val="Normal"/>
        <w:spacing w:before="0" w:after="0"/>
        <w:contextualSpacing/>
        <w:rPr/>
      </w:pPr>
      <w:r>
        <w:rPr>
          <w:rFonts w:eastAsia="Calibri" w:cs="NewBaskervilleStd-Italic" w:ascii="NewBaskervilleStd-Italic" w:hAnsi="NewBaskervilleStd-Italic"/>
          <w:i/>
          <w:iCs/>
          <w:sz w:val="20"/>
          <w:szCs w:val="20"/>
          <w:lang w:val="en-GB"/>
        </w:rPr>
        <w:t xml:space="preserve">(necessary) conditions for the possibility of certain (kinds of) objects or entities, as the kind of objects or entities they are </w:t>
      </w:r>
      <w:r>
        <w:rPr>
          <w:rFonts w:eastAsia="Calibri" w:cs="NewBaskervilleStd-Roman" w:ascii="NewBaskervilleStd-Roman" w:hAnsi="NewBaskervilleStd-Roman"/>
          <w:sz w:val="20"/>
          <w:szCs w:val="20"/>
          <w:lang w:val="en-GB"/>
        </w:rPr>
        <w:t>(or are conceivably taken to be by us).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Here, we need to take seriously Kant’s (1781/1787, A158/B197) own idea</w:t>
      </w:r>
    </w:p>
    <w:p>
      <w:pPr>
        <w:pStyle w:val="Normal"/>
        <w:spacing w:before="0" w:after="0"/>
        <w:contextualSpacing/>
        <w:rPr/>
      </w:pPr>
      <w:r>
        <w:rPr>
          <w:rFonts w:eastAsia="Calibri" w:cs="NewBaskervilleStd-Roman" w:ascii="NewBaskervilleStd-Roman" w:hAnsi="NewBaskervilleStd-Roman"/>
          <w:sz w:val="20"/>
          <w:szCs w:val="20"/>
          <w:lang w:val="en-GB"/>
        </w:rPr>
        <w:t xml:space="preserve">that the conditions for the possibility of experience are </w:t>
      </w:r>
      <w:r>
        <w:rPr>
          <w:rFonts w:eastAsia="Calibri" w:cs="NewBaskervilleStd-Italic" w:ascii="NewBaskervilleStd-Italic" w:hAnsi="NewBaskervilleStd-Italic"/>
          <w:i/>
          <w:iCs/>
          <w:sz w:val="20"/>
          <w:szCs w:val="20"/>
          <w:lang w:val="en-GB"/>
        </w:rPr>
        <w:t xml:space="preserve">eo ipso </w:t>
      </w:r>
      <w:r>
        <w:rPr>
          <w:rFonts w:eastAsia="Calibri" w:cs="NewBaskervilleStd-Roman" w:ascii="NewBaskervilleStd-Roman" w:hAnsi="NewBaskervilleStd-Roman"/>
          <w:sz w:val="20"/>
          <w:szCs w:val="20"/>
          <w:lang w:val="en-GB"/>
        </w:rPr>
        <w:t>conditions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for the possibility of the objects of that experience. Pragmatism offers a</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suffi ciently naturalized way of interpreting this view;</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 A lot depends on how we understand the phrase, ‘as the kind of objects</w:t>
      </w:r>
    </w:p>
    <w:p>
      <w:pPr>
        <w:pStyle w:val="Normal"/>
        <w:spacing w:before="0" w:after="0"/>
        <w:contextualSpacing/>
        <w:rPr/>
      </w:pPr>
      <w:r>
        <w:rPr>
          <w:rFonts w:eastAsia="Calibri" w:cs="NewBaskervilleStd-Roman" w:ascii="NewBaskervilleStd-Roman" w:hAnsi="NewBaskervilleStd-Roman"/>
          <w:sz w:val="20"/>
          <w:szCs w:val="20"/>
          <w:lang w:val="en-GB"/>
        </w:rPr>
        <w:t>or entities they are’.</w:t>
      </w:r>
      <w:r>
        <w:rPr>
          <w:rFonts w:eastAsia="Calibri" w:cs="NewBaskervilleStd-Roman" w:ascii="NewBaskervilleStd-Roman" w:hAnsi="NewBaskervilleStd-Roman"/>
          <w:sz w:val="12"/>
          <w:szCs w:val="12"/>
          <w:lang w:val="en-GB"/>
        </w:rPr>
        <w:t xml:space="preserve">32 </w:t>
      </w:r>
      <w:r>
        <w:rPr>
          <w:rFonts w:eastAsia="Calibri" w:cs="NewBaskervilleStd-Roman" w:ascii="NewBaskervilleStd-Roman" w:hAnsi="NewBaskervilleStd-Roman"/>
          <w:sz w:val="20"/>
          <w:szCs w:val="20"/>
          <w:lang w:val="en-GB"/>
        </w:rPr>
        <w:t xml:space="preserve">This takes us to the heart of the realism issue. </w:t>
      </w:r>
      <w:r>
        <w:rPr>
          <w:rFonts w:eastAsia="Calibri" w:cs="NewBaskervilleStd-Italic" w:ascii="NewBaskervilleStd-Italic" w:hAnsi="NewBaskervilleStd-Italic"/>
          <w:i/>
          <w:iCs/>
          <w:sz w:val="20"/>
          <w:szCs w:val="20"/>
          <w:lang w:val="en-GB"/>
        </w:rPr>
        <w:t xml:space="preserve">Are </w:t>
      </w:r>
      <w:r>
        <w:rPr>
          <w:rFonts w:eastAsia="Calibri" w:cs="NewBaskervilleStd-Roman" w:ascii="NewBaskervilleStd-Roman" w:hAnsi="NewBaskervilleStd-Roman"/>
          <w:sz w:val="20"/>
          <w:szCs w:val="20"/>
          <w:lang w:val="en-GB"/>
        </w:rPr>
        <w:t>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objects whose ontologically relevant transcendental conditions we are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examining ‘of a kind’ independently of us and the transcendental conditions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we seek to identify? To claim they are would amount to metaphysical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realism. We may, transcendentally, only examine the conditions for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possibility of objects we have in some sense ‘constituted’. Whether or not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transcendental arguments, as such, require transcendental idealism – as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Allison (2004), to be discussed in the next section, thinks – it seems that in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their ontological employment such arguments, and the transcendental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method generally, need transcendental idealism as a supporting, enabling</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framework. However, as Kant taught us, this idealism is compatible with</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(and required by) empirical realism. (61)</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It is through transcendental idealism (only) that we can view ontological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postulations of categories as constituting reality for us. Transcendental idealism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is required for human practices to play the ontologically constitutive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role they play in pragmatism. It is only on the basis of such idealism that we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may expect an ontological investigation of our practice-laden categorization</w:t>
      </w:r>
    </w:p>
    <w:p>
      <w:pPr>
        <w:pStyle w:val="Normal"/>
        <w:spacing w:before="0" w:after="0"/>
        <w:contextualSpacing/>
        <w:rPr/>
      </w:pPr>
      <w:r>
        <w:rPr>
          <w:rFonts w:eastAsia="Calibri" w:cs="NewBaskervilleStd-Roman" w:ascii="NewBaskervilleStd-Roman" w:hAnsi="NewBaskervilleStd-Roman"/>
          <w:sz w:val="20"/>
          <w:szCs w:val="20"/>
          <w:lang w:val="en-GB"/>
        </w:rPr>
        <w:t xml:space="preserve">of reality to </w:t>
      </w:r>
      <w:r>
        <w:rPr>
          <w:rFonts w:eastAsia="Calibri" w:cs="NewBaskervilleStd-Italic" w:ascii="NewBaskervilleStd-Italic" w:hAnsi="NewBaskervilleStd-Italic"/>
          <w:i/>
          <w:iCs/>
          <w:sz w:val="20"/>
          <w:szCs w:val="20"/>
          <w:lang w:val="en-GB"/>
        </w:rPr>
        <w:t xml:space="preserve">prescribe </w:t>
      </w:r>
      <w:r>
        <w:rPr>
          <w:rFonts w:eastAsia="Calibri" w:cs="NewBaskervilleStd-Roman" w:ascii="NewBaskervilleStd-Roman" w:hAnsi="NewBaskervilleStd-Roman"/>
          <w:sz w:val="20"/>
          <w:szCs w:val="20"/>
          <w:lang w:val="en-GB"/>
        </w:rPr>
        <w:t xml:space="preserve">the way(s) the world, for us, must be. (62) </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 argument I sketched above is, in an important sense, a transcendental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one. It is somewhat parallel to arguments presented over the past few</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decades by leading critics of physicalism and scientistic naturalism, such as</w:t>
      </w:r>
    </w:p>
    <w:p>
      <w:pPr>
        <w:pStyle w:val="Normal"/>
        <w:spacing w:before="0" w:after="0"/>
        <w:contextualSpacing/>
        <w:rPr/>
      </w:pPr>
      <w:r>
        <w:rPr>
          <w:rFonts w:eastAsia="Calibri" w:cs="NewBaskervilleStd-Roman" w:ascii="NewBaskervilleStd-Roman" w:hAnsi="NewBaskervilleStd-Roman"/>
          <w:sz w:val="20"/>
          <w:szCs w:val="20"/>
          <w:lang w:val="en-GB"/>
        </w:rPr>
        <w:t>Putnam or Charles Taylor,</w:t>
      </w:r>
      <w:r>
        <w:rPr>
          <w:rFonts w:eastAsia="Calibri" w:cs="NewBaskervilleStd-Roman" w:ascii="NewBaskervilleStd-Roman" w:hAnsi="NewBaskervilleStd-Roman"/>
          <w:sz w:val="12"/>
          <w:szCs w:val="12"/>
          <w:lang w:val="en-GB"/>
        </w:rPr>
        <w:t xml:space="preserve">26 </w:t>
      </w:r>
      <w:r>
        <w:rPr>
          <w:rFonts w:eastAsia="Calibri" w:cs="NewBaskervilleStd-Roman" w:ascii="NewBaskervilleStd-Roman" w:hAnsi="NewBaskervilleStd-Roman"/>
          <w:sz w:val="20"/>
          <w:szCs w:val="20"/>
          <w:lang w:val="en-GB"/>
        </w:rPr>
        <w:t>but the particular transcendental formulation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 have given is, I believe, novel. The reason why the argument can be claimed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to be transcendental is that it investigates the necessary conditions for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possibility of something whose actuality (and hence, a fortiori, possibility)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is taken for granted in our practices, including the practice of inquiry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which (physicalists suppose) ultimately arrives at a thesis (that is, physicalism)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disputing the existence, or at least the independent, underived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existence, of the conditions the argument secures. (109)</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However, the transcendental argument I have used for my antiphysicalist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purposes is, though ‘weak’ or ‘soft’ in the sense of being naturalized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and fallible (i.e., not aiming at apodictic certainty as in Kant’s or Husserl’s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transcendental arguments), nevertheless intended to be ‘strong’ in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sense that its conclusion is ontological. (110)</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 identity of individuals, or particulars, is an urgent problem whenever</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we investigate metaphysical themes such as generality and modality.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Identifying individuals, especially persons, across time and across possible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worlds is a major issue in contemporary modal metaphysics. The basic</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alternatives are the following: either there is no transworld identity but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only ‘counterparts in different worlds’, i.e., no thing exists in more than</w:t>
      </w:r>
    </w:p>
    <w:p>
      <w:pPr>
        <w:pStyle w:val="Normal"/>
        <w:spacing w:before="0" w:after="0"/>
        <w:contextualSpacing/>
        <w:rPr/>
      </w:pPr>
      <w:r>
        <w:rPr>
          <w:rFonts w:eastAsia="Calibri" w:cs="NewBaskervilleStd-Roman" w:ascii="NewBaskervilleStd-Roman" w:hAnsi="NewBaskervilleStd-Roman"/>
          <w:sz w:val="20"/>
          <w:szCs w:val="20"/>
          <w:lang w:val="en-GB"/>
        </w:rPr>
        <w:t xml:space="preserve">one world (Lewis); </w:t>
      </w:r>
      <w:r>
        <w:rPr>
          <w:rFonts w:eastAsia="Calibri" w:cs="NewBaskervilleStd-Italic" w:ascii="NewBaskervilleStd-Italic" w:hAnsi="NewBaskervilleStd-Italic"/>
          <w:i/>
          <w:iCs/>
          <w:sz w:val="20"/>
          <w:szCs w:val="20"/>
          <w:lang w:val="en-GB"/>
        </w:rPr>
        <w:t xml:space="preserve">or </w:t>
      </w:r>
      <w:r>
        <w:rPr>
          <w:rFonts w:eastAsia="Calibri" w:cs="NewBaskervilleStd-Roman" w:ascii="NewBaskervilleStd-Roman" w:hAnsi="NewBaskervilleStd-Roman"/>
          <w:sz w:val="20"/>
          <w:szCs w:val="20"/>
          <w:lang w:val="en-GB"/>
        </w:rPr>
        <w:t>things can exist in more than one possible world,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i.e., a thing preserves its identity across possible worlds by preserving its</w:t>
      </w:r>
    </w:p>
    <w:p>
      <w:pPr>
        <w:pStyle w:val="Normal"/>
        <w:spacing w:before="0" w:after="0"/>
        <w:contextualSpacing/>
        <w:rPr/>
      </w:pPr>
      <w:r>
        <w:rPr>
          <w:rFonts w:eastAsia="Calibri" w:cs="NewBaskervilleStd-Roman" w:ascii="NewBaskervilleStd-Roman" w:hAnsi="NewBaskervilleStd-Roman"/>
          <w:sz w:val="20"/>
          <w:szCs w:val="20"/>
          <w:lang w:val="en-GB"/>
        </w:rPr>
        <w:t xml:space="preserve">essential properties (Plantinga); </w:t>
      </w:r>
      <w:r>
        <w:rPr>
          <w:rFonts w:eastAsia="Calibri" w:cs="NewBaskervilleStd-Italic" w:ascii="NewBaskervilleStd-Italic" w:hAnsi="NewBaskervilleStd-Italic"/>
          <w:i/>
          <w:iCs/>
          <w:sz w:val="20"/>
          <w:szCs w:val="20"/>
          <w:lang w:val="en-GB"/>
        </w:rPr>
        <w:t xml:space="preserve">or </w:t>
      </w:r>
      <w:r>
        <w:rPr>
          <w:rFonts w:eastAsia="Calibri" w:cs="NewBaskervilleStd-Roman" w:ascii="NewBaskervilleStd-Roman" w:hAnsi="NewBaskervilleStd-Roman"/>
          <w:sz w:val="20"/>
          <w:szCs w:val="20"/>
          <w:lang w:val="en-GB"/>
        </w:rPr>
        <w:t>only actual things and properties exist,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so strictly speaking there is no transworld identity to be preserved, although</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nonactual possible worlds and nonactual instantiations of properties can be</w:t>
      </w:r>
    </w:p>
    <w:p>
      <w:pPr>
        <w:pStyle w:val="Normal"/>
        <w:spacing w:before="0" w:after="0"/>
        <w:contextualSpacing/>
        <w:rPr/>
      </w:pPr>
      <w:r>
        <w:rPr>
          <w:rFonts w:eastAsia="Calibri" w:cs="NewBaskervilleStd-Roman" w:ascii="NewBaskervilleStd-Roman" w:hAnsi="NewBaskervilleStd-Roman"/>
          <w:sz w:val="20"/>
          <w:szCs w:val="20"/>
          <w:lang w:val="en-GB"/>
        </w:rPr>
        <w:t>constructed by recombining the particulars and universals of the actual world (Armstrong).</w:t>
      </w:r>
      <w:r>
        <w:rPr>
          <w:rFonts w:eastAsia="Calibri" w:cs="NewBaskervilleStd-Roman" w:ascii="NewBaskervilleStd-Roman" w:hAnsi="NewBaskervilleStd-Roman"/>
          <w:sz w:val="12"/>
          <w:szCs w:val="12"/>
          <w:lang w:val="en-GB"/>
        </w:rPr>
        <w:t xml:space="preserve">26 </w:t>
      </w:r>
      <w:r>
        <w:rPr>
          <w:rFonts w:eastAsia="Calibri" w:cs="NewBaskervilleStd-Roman" w:ascii="NewBaskervilleStd-Roman" w:hAnsi="NewBaskervilleStd-Roman"/>
          <w:sz w:val="20"/>
          <w:szCs w:val="20"/>
          <w:lang w:val="en-GB"/>
        </w:rPr>
        <w:t>Again, this issue can be reconsidered in terms of</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Peircean scholastic realism about modalities. Such a rearticulation may be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relevant to more practical issues regarding the identity of selves or persons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(again, across time and across possible worlds). Thus, the metaphysical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issue of modalities possesses profound ethical relevance. In the standard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metaphysically realist discourse on modalities, such relevance is scarce,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but for Peirce realism and synechism are deeply related, and synechism</w:t>
      </w:r>
    </w:p>
    <w:p>
      <w:pPr>
        <w:pStyle w:val="Normal"/>
        <w:spacing w:before="0" w:after="0"/>
        <w:contextualSpacing/>
        <w:rPr/>
      </w:pPr>
      <w:r>
        <w:rPr>
          <w:rFonts w:eastAsia="Calibri" w:cs="NewBaskervilleStd-Roman" w:ascii="NewBaskervilleStd-Roman" w:hAnsi="NewBaskervilleStd-Roman"/>
          <w:sz w:val="20"/>
          <w:szCs w:val="20"/>
          <w:lang w:val="en-GB"/>
        </w:rPr>
        <w:t>is a (not the) metaphysical ground of the empathy central to ethics.</w:t>
      </w:r>
      <w:r>
        <w:rPr>
          <w:rFonts w:eastAsia="Calibri" w:cs="NewBaskervilleStd-Roman" w:ascii="NewBaskervilleStd-Roman" w:hAnsi="NewBaskervilleStd-Roman"/>
          <w:sz w:val="12"/>
          <w:szCs w:val="12"/>
          <w:lang w:val="en-GB"/>
        </w:rPr>
        <w:t>27</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Pragmatic realism about generals – not only about one’s own potentialities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for moral action but also about the continuity between oneself, one’s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other potential ‘selves’, and others – may help us in formulating a truly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pragmatic moral realism. The crucial difference between oneself and</w:t>
      </w:r>
    </w:p>
    <w:p>
      <w:pPr>
        <w:pStyle w:val="Normal"/>
        <w:spacing w:before="0" w:after="0"/>
        <w:contextualSpacing/>
        <w:rPr/>
      </w:pPr>
      <w:r>
        <w:rPr>
          <w:rFonts w:eastAsia="Calibri" w:cs="NewBaskervilleStd-Roman" w:ascii="NewBaskervilleStd-Roman" w:hAnsi="NewBaskervilleStd-Roman"/>
          <w:sz w:val="20"/>
          <w:szCs w:val="20"/>
          <w:lang w:val="en-GB"/>
        </w:rPr>
        <w:t xml:space="preserve">others, with a relatively stable self </w:t>
      </w:r>
      <w:r>
        <w:rPr>
          <w:rFonts w:eastAsia="Calibri" w:cs="NewBaskervilleStd-Italic" w:ascii="NewBaskervilleStd-Italic" w:hAnsi="NewBaskervilleStd-Italic"/>
          <w:i/>
          <w:iCs/>
          <w:sz w:val="20"/>
          <w:szCs w:val="20"/>
          <w:lang w:val="en-GB"/>
        </w:rPr>
        <w:t xml:space="preserve">continuously </w:t>
      </w:r>
      <w:r>
        <w:rPr>
          <w:rFonts w:eastAsia="Calibri" w:cs="NewBaskervilleStd-Roman" w:ascii="NewBaskervilleStd-Roman" w:hAnsi="NewBaskervilleStd-Roman"/>
          <w:sz w:val="20"/>
          <w:szCs w:val="20"/>
          <w:lang w:val="en-GB"/>
        </w:rPr>
        <w:t>facing the challenge of</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ethically acknowledging others, and developing its capacities for acknowledgment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 xml:space="preserve">– </w:t>
      </w:r>
      <w:r>
        <w:rPr>
          <w:rFonts w:eastAsia="Calibri" w:cs="NewBaskervilleStd-Roman" w:ascii="NewBaskervilleStd-Roman" w:hAnsi="NewBaskervilleStd-Roman"/>
          <w:sz w:val="20"/>
          <w:szCs w:val="20"/>
          <w:lang w:val="en-GB"/>
        </w:rPr>
        <w:t>needed, in my view, for ethical responsibility – is lost, if one,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when considering different possible worlds as different outcomes of what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one might do in a given moral situation, is (as in Lewis 1986) considering</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different things (different persons) in different worlds, viz., mere counterparts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and no identity-preserving moral agents. (130-131)</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b/>
          <w:b/>
          <w:lang w:val="en-GB"/>
        </w:rPr>
      </w:pPr>
      <w:r>
        <w:rPr>
          <w:rFonts w:eastAsia="Calibri" w:cs="NewBaskervilleStd-Roman" w:ascii="NewBaskervilleStd-Roman" w:hAnsi="NewBaskervilleStd-Roman"/>
          <w:b/>
          <w:lang w:val="en-GB"/>
        </w:rPr>
        <w:t>[There are many other similar ideas in this book…]</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pPr>
      <w:r>
        <w:rPr/>
        <w:t>(</w:t>
      </w:r>
      <w:hyperlink r:id="rId435">
        <w:r>
          <w:rPr>
            <w:rStyle w:val="InternetLink"/>
          </w:rPr>
          <w:t>https://philpapers.org/rec/KOSFMS?ref=mail</w:t>
        </w:r>
      </w:hyperlink>
      <w:r>
        <w:rPr/>
        <w:t xml:space="preserve">), I had the impression of reading something about my EDWs approach! Therefore I read Koslicki’s book (2008). </w:t>
      </w:r>
    </w:p>
    <w:p>
      <w:pPr>
        <w:pStyle w:val="Normal"/>
        <w:spacing w:before="0" w:after="0"/>
        <w:contextualSpacing/>
        <w:rPr/>
      </w:pPr>
      <w:r>
        <w:rPr/>
        <w:t xml:space="preserve">(2008) Katherin Koslicki, </w:t>
      </w:r>
      <w:r>
        <w:rPr>
          <w:i/>
        </w:rPr>
        <w:t>The Structure of Objects</w:t>
      </w:r>
      <w:r>
        <w:rPr/>
        <w:t>, Oxford University Press</w:t>
      </w:r>
    </w:p>
    <w:p>
      <w:pPr>
        <w:pStyle w:val="Normal"/>
        <w:spacing w:before="0" w:after="0"/>
        <w:contextualSpacing/>
        <w:rPr/>
      </w:pPr>
      <w:r>
        <w:rPr/>
        <w:t xml:space="preserve">[There are quite important ideas in this book that are very similar to my ideas published in 2002, 2005 (the article from </w:t>
      </w:r>
      <w:r>
        <w:rPr>
          <w:i/>
        </w:rPr>
        <w:t>Synthese</w:t>
      </w:r>
      <w:r>
        <w:rPr/>
        <w:t xml:space="preserve"> journal), 2006 and posted on Internet immediately after being published. In the next years after publishing at so famous journal Synthese, I was wondering why so few people quoted my name. Years later, I have understood the reason why… </w:t>
      </w:r>
    </w:p>
    <w:p>
      <w:pPr>
        <w:pStyle w:val="Normal"/>
        <w:spacing w:before="0" w:after="0"/>
        <w:contextualSpacing/>
        <w:rPr/>
      </w:pPr>
      <w:r>
        <w:rPr/>
        <mc:AlternateContent>
          <mc:Choice Requires="wps">
            <w:drawing>
              <wp:anchor behindDoc="0" distT="0" distB="0" distL="114300" distR="114300" simplePos="0" locked="0" layoutInCell="1" allowOverlap="1" relativeHeight="2">
                <wp:simplePos x="0" y="0"/>
                <wp:positionH relativeFrom="margin">
                  <wp:align>center</wp:align>
                </wp:positionH>
                <wp:positionV relativeFrom="paragraph">
                  <wp:posOffset>-160020</wp:posOffset>
                </wp:positionV>
                <wp:extent cx="5548630" cy="2171700"/>
                <wp:effectExtent l="0" t="0" r="0" b="0"/>
                <wp:wrapSquare wrapText="largest"/>
                <wp:docPr id="32" name="Frame1"/>
                <a:graphic xmlns:a="http://schemas.openxmlformats.org/drawingml/2006/main">
                  <a:graphicData uri="http://schemas.microsoft.com/office/word/2010/wordprocessingShape">
                    <wps:wsp>
                      <wps:cNvSpPr/>
                      <wps:spPr>
                        <a:xfrm>
                          <a:off x="0" y="0"/>
                          <a:ext cx="5547960" cy="2171160"/>
                        </a:xfrm>
                        <a:prstGeom prst="rect">
                          <a:avLst/>
                        </a:prstGeom>
                        <a:noFill/>
                        <a:ln>
                          <a:noFill/>
                        </a:ln>
                      </wps:spPr>
                      <wps:style>
                        <a:lnRef idx="0"/>
                        <a:fillRef idx="0"/>
                        <a:effectRef idx="0"/>
                        <a:fontRef idx="minor"/>
                      </wps:style>
                      <wps:txbx>
                        <w:txbxContent>
                          <w:p>
                            <w:pPr>
                              <w:pStyle w:val="ListParagraph"/>
                              <w:numPr>
                                <w:ilvl w:val="0"/>
                                <w:numId w:val="3"/>
                              </w:numPr>
                              <w:spacing w:before="0" w:after="0"/>
                              <w:ind w:left="0" w:right="0" w:hanging="360"/>
                              <w:contextualSpacing/>
                              <w:jc w:val="both"/>
                              <w:rPr/>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pStyle w:val="FrameContents"/>
                              <w:spacing w:before="0" w:after="0"/>
                              <w:contextualSpacing/>
                              <w:rPr/>
                            </w:pPr>
                            <w:r>
                              <w:rPr/>
                              <w:t xml:space="preserve">When I read this paragraph about her book: </w:t>
                            </w:r>
                          </w:p>
                          <w:p>
                            <w:pPr>
                              <w:pStyle w:val="FrameContents"/>
                              <w:spacing w:before="0" w:after="0"/>
                              <w:contextualSpacing/>
                              <w:rPr/>
                            </w:pPr>
                            <w:r>
                              <w:rPr/>
                            </w:r>
                          </w:p>
                          <w:p>
                            <w:pPr>
                              <w:pStyle w:val="FrameContents"/>
                              <w:spacing w:before="0" w:after="0"/>
                              <w:contextualSpacing/>
                              <w:rPr/>
                            </w:pPr>
                            <w:r>
                              <w:rPr>
                                <w:rFonts w:eastAsia="Times New Roman" w:cs="Arial" w:ascii="Arial" w:hAnsi="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lIns="0" rIns="0" tIns="0" bIns="0">
                        <a:noAutofit/>
                      </wps:bodyPr>
                    </wps:wsp>
                  </a:graphicData>
                </a:graphic>
              </wp:anchor>
            </w:drawing>
          </mc:Choice>
          <mc:Fallback>
            <w:pict>
              <v:rect id="shape_0" ID="Frame1" stroked="f" style="position:absolute;margin-left:15.55pt;margin-top:-12.6pt;width:436.8pt;height:170.9pt;mso-position-horizontal:center;mso-position-horizontal-relative:margin">
                <w10:wrap type="square"/>
                <v:fill o:detectmouseclick="t" on="false"/>
                <v:stroke color="#3465a4" joinstyle="round" endcap="flat"/>
                <v:textbox>
                  <w:txbxContent>
                    <w:p>
                      <w:pPr>
                        <w:pStyle w:val="ListParagraph"/>
                        <w:numPr>
                          <w:ilvl w:val="0"/>
                          <w:numId w:val="3"/>
                        </w:numPr>
                        <w:spacing w:before="0" w:after="0"/>
                        <w:ind w:left="0" w:right="0" w:hanging="360"/>
                        <w:contextualSpacing/>
                        <w:jc w:val="both"/>
                        <w:rPr/>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pStyle w:val="FrameContents"/>
                        <w:spacing w:before="0" w:after="0"/>
                        <w:contextualSpacing/>
                        <w:rPr/>
                      </w:pPr>
                      <w:r>
                        <w:rPr/>
                        <w:t xml:space="preserve">When I read this paragraph about her book: </w:t>
                      </w:r>
                    </w:p>
                    <w:p>
                      <w:pPr>
                        <w:pStyle w:val="FrameContents"/>
                        <w:spacing w:before="0" w:after="0"/>
                        <w:contextualSpacing/>
                        <w:rPr/>
                      </w:pPr>
                      <w:r>
                        <w:rPr/>
                      </w:r>
                    </w:p>
                    <w:p>
                      <w:pPr>
                        <w:pStyle w:val="FrameContents"/>
                        <w:spacing w:before="0" w:after="0"/>
                        <w:contextualSpacing/>
                        <w:rPr/>
                      </w:pPr>
                      <w:r>
                        <w:rPr>
                          <w:rFonts w:eastAsia="Times New Roman" w:cs="Arial" w:ascii="Arial" w:hAnsi="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v:rect>
            </w:pict>
          </mc:Fallback>
        </mc:AlternateContent>
      </w:r>
    </w:p>
    <w:p>
      <w:pPr>
        <w:pStyle w:val="Normal"/>
        <w:spacing w:before="0" w:after="0"/>
        <w:contextualSpacing/>
        <w:rPr/>
      </w:pPr>
      <w:r>
        <w:rPr/>
        <w:t>In the following paragraphs, I introduce some paragraphs with ideas that are quite similar to my ideas…]</w:t>
      </w:r>
    </w:p>
    <w:p>
      <w:pPr>
        <w:pStyle w:val="Normal"/>
        <w:spacing w:before="0" w:after="0"/>
        <w:contextualSpacing/>
        <w:rPr/>
      </w:pPr>
      <w:r>
        <w:rPr/>
      </w:r>
    </w:p>
    <w:p>
      <w:pPr>
        <w:pStyle w:val="Normal"/>
        <w:spacing w:before="0" w:after="0"/>
        <w:contextualSpacing/>
        <w:rPr/>
      </w:pPr>
      <w:r>
        <w:rPr/>
        <w:t>Chap. VII, ‘Objects as Structured Wholes’, section 2.3 ‘An Ontology of Kinds’</w:t>
      </w:r>
    </w:p>
    <w:p>
      <w:pPr>
        <w:pStyle w:val="Normal"/>
        <w:spacing w:before="0" w:after="0"/>
        <w:contextualSpacing/>
        <w:rPr/>
      </w:pPr>
      <w:r>
        <w:rPr/>
        <w:t>[the ideas of kinds are very similar to my EDWs. And later…]</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This middle ground, I propose, can be derived from a commitment to an ontology</w:t>
      </w:r>
    </w:p>
    <w:p>
      <w:pPr>
        <w:pStyle w:val="Normal"/>
        <w:spacing w:before="0" w:after="0"/>
        <w:contextualSpacing/>
        <w:rPr/>
      </w:pPr>
      <w:r>
        <w:rPr>
          <w:rFonts w:cs="AGaramond-Regular" w:ascii="AGaramond-Regular" w:hAnsi="AGaramond-Regular"/>
          <w:sz w:val="21"/>
          <w:szCs w:val="21"/>
        </w:rPr>
        <w:t xml:space="preserve">of </w:t>
      </w:r>
      <w:r>
        <w:rPr>
          <w:rFonts w:eastAsia="AGaramond-Italic" w:cs="AGaramond-Italic" w:ascii="AGaramond-Italic" w:hAnsi="AGaramond-Italic"/>
          <w:i/>
          <w:iCs/>
          <w:sz w:val="21"/>
          <w:szCs w:val="21"/>
        </w:rPr>
        <w:t>kinds</w:t>
      </w:r>
      <w:r>
        <w:rPr>
          <w:rFonts w:cs="AGaramond-Regular" w:ascii="AGaramond-Regular" w:hAnsi="AGaramond-Regular"/>
          <w:sz w:val="21"/>
          <w:szCs w:val="21"/>
        </w:rPr>
        <w:t>, which will be justified in more detail in the next chapter. According to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this conception, a plurality of objects composes a whole of a particular kind, when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objects (material components) in question satisfy the selection requirements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set by the formal components associated with wholes of that particular kind, e.g.,</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requirements concerning, for example, the variety, configuration and sometimes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 xml:space="preserve">even the number of parts out of which wholes of that particular kind may be composed. (p. 170) </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Content or matter, as we argued at the end of Chapter V, is best viewed as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consisting of a domain of objects that are themselves already structured: this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conception breaks down only when applied to a ‘‘first’’ level of composition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(if there is such a thing), made up of entities that are not further composed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anything; however, since these ground-level entities are presumably not also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mereologically complex, a theory which concerns the relation between wholes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and their parts does not apply to them and is hence not violated by their</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non-dichotomous nature.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Structure or form has been tied to an ontology of kinds: each kind of object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is taken to have associated with it a set of selection requirements which act as a</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recipe of sorts in specifying the range and configuration of material components</w:t>
      </w:r>
    </w:p>
    <w:p>
      <w:pPr>
        <w:pStyle w:val="Normal"/>
        <w:spacing w:before="0" w:after="0"/>
        <w:contextualSpacing/>
        <w:rPr/>
      </w:pPr>
      <w:r>
        <w:rPr>
          <w:rFonts w:cs="AGaramond-Regular" w:ascii="AGaramond-Regular" w:hAnsi="AGaramond-Regular"/>
          <w:sz w:val="21"/>
          <w:szCs w:val="21"/>
        </w:rPr>
        <w:t xml:space="preserve">eligible to compose a whole of that particular kind. We have, however, up to this point left open the </w:t>
      </w:r>
      <w:r>
        <w:rPr>
          <w:rFonts w:eastAsia="AGaramond-Italic" w:cs="AGaramond-Italic" w:ascii="AGaramond-Italic" w:hAnsi="AGaramond-Italic"/>
          <w:i/>
          <w:iCs/>
          <w:sz w:val="21"/>
          <w:szCs w:val="21"/>
        </w:rPr>
        <w:t xml:space="preserve">ontological category </w:t>
      </w:r>
      <w:r>
        <w:rPr>
          <w:rFonts w:cs="AGaramond-Regular" w:ascii="AGaramond-Regular" w:hAnsi="AGaramond-Regular"/>
          <w:sz w:val="21"/>
          <w:szCs w:val="21"/>
        </w:rPr>
        <w:t>to which the formal components of</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objects are to be assigned, i.e., whether these entities belong to the category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objects, to that of properties and relations, or to some other category still.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These issues will be investigated further and in more detail in Chapter IX. (p. 175)</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Standard mereology itself, however, cannot be thought of as providing such</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independent evidence for the existence of mereologically complex objects which,</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like sets, are free from the sorts of constraints that could be reasonably attributed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to the presence of formal components within these objects: for mereological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sums, according to the standard conception, need not satisfy any of the selection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requirements concerning the variety, number or configuration of their parts;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rather, their composition, as we pointed out earlier, is completely unconstrained</w:t>
      </w:r>
    </w:p>
    <w:p>
      <w:pPr>
        <w:pStyle w:val="Normal"/>
        <w:spacing w:before="0" w:after="0"/>
        <w:contextualSpacing/>
        <w:rPr/>
      </w:pPr>
      <w:r>
        <w:rPr>
          <w:rFonts w:cs="AGaramond-Regular" w:ascii="AGaramond-Regular" w:hAnsi="AGaramond-Regular"/>
          <w:sz w:val="21"/>
          <w:szCs w:val="21"/>
        </w:rPr>
        <w:t xml:space="preserve">and happens whenever there is </w:t>
      </w:r>
      <w:r>
        <w:rPr>
          <w:rFonts w:eastAsia="AGaramond-Italic" w:cs="AGaramond-Italic" w:ascii="AGaramond-Italic" w:hAnsi="AGaramond-Italic"/>
          <w:i/>
          <w:iCs/>
          <w:sz w:val="21"/>
          <w:szCs w:val="21"/>
        </w:rPr>
        <w:t xml:space="preserve">any </w:t>
      </w:r>
      <w:r>
        <w:rPr>
          <w:rFonts w:cs="AGaramond-Regular" w:ascii="AGaramond-Regular" w:hAnsi="AGaramond-Regular"/>
          <w:sz w:val="21"/>
          <w:szCs w:val="21"/>
        </w:rPr>
        <w:t>plurality of objects, regardless of what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characteristics these objects bear and how these objects are related to one another. (p. 175)</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As a consequence of the assumptions already endorsed up to this point,</w:t>
      </w:r>
    </w:p>
    <w:p>
      <w:pPr>
        <w:pStyle w:val="Normal"/>
        <w:spacing w:before="0" w:after="0"/>
        <w:contextualSpacing/>
        <w:rPr/>
      </w:pPr>
      <w:r>
        <w:rPr>
          <w:rFonts w:cs="AGaramond-Regular" w:ascii="AGaramond-Regular" w:hAnsi="AGaramond-Regular"/>
          <w:sz w:val="21"/>
          <w:szCs w:val="21"/>
        </w:rPr>
        <w:t xml:space="preserve">it now </w:t>
      </w:r>
      <w:r>
        <w:rPr>
          <w:rFonts w:eastAsia="AGaramond-Italic" w:cs="AGaramond-Italic" w:ascii="AGaramond-Italic" w:hAnsi="AGaramond-Italic"/>
          <w:i/>
          <w:iCs/>
          <w:sz w:val="21"/>
          <w:szCs w:val="21"/>
        </w:rPr>
        <w:t xml:space="preserve">follows </w:t>
      </w:r>
      <w:r>
        <w:rPr>
          <w:rFonts w:cs="AGaramond-Regular" w:ascii="AGaramond-Regular" w:hAnsi="AGaramond-Regular"/>
          <w:sz w:val="21"/>
          <w:szCs w:val="21"/>
        </w:rPr>
        <w:t>that the world does not contain numerically distinct, spatiotemporally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coincident wholes which share exactly the same parts: for NAT, in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conjunction with the assumption that objects of distinct kinds have distinct formal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components, yields the result that there could not be two or more numerically</w:t>
      </w:r>
    </w:p>
    <w:p>
      <w:pPr>
        <w:pStyle w:val="Normal"/>
        <w:spacing w:before="0" w:after="0"/>
        <w:contextualSpacing/>
        <w:rPr/>
      </w:pPr>
      <w:r>
        <w:rPr>
          <w:rFonts w:cs="AGaramond-Regular" w:ascii="AGaramond-Regular" w:hAnsi="AGaramond-Regular"/>
          <w:sz w:val="21"/>
          <w:szCs w:val="21"/>
        </w:rPr>
        <w:t xml:space="preserve">distinct, spatio-temporally coincident objects which belong to </w:t>
      </w:r>
      <w:r>
        <w:rPr>
          <w:rFonts w:eastAsia="AGaramond-Italic" w:cs="AGaramond-Italic" w:ascii="AGaramond-Italic" w:hAnsi="AGaramond-Italic"/>
          <w:i/>
          <w:iCs/>
          <w:sz w:val="21"/>
          <w:szCs w:val="21"/>
        </w:rPr>
        <w:t xml:space="preserve">distinct kinds </w:t>
      </w:r>
      <w:r>
        <w:rPr>
          <w:rFonts w:cs="AGaramond-Regular" w:ascii="AGaramond-Regular" w:hAnsi="AGaramond-Regular"/>
          <w:sz w:val="21"/>
          <w:szCs w:val="21"/>
        </w:rPr>
        <w:t>and</w:t>
      </w:r>
    </w:p>
    <w:p>
      <w:pPr>
        <w:pStyle w:val="Normal"/>
        <w:spacing w:before="0" w:after="0"/>
        <w:contextualSpacing/>
        <w:rPr/>
      </w:pPr>
      <w:r>
        <w:rPr>
          <w:rFonts w:cs="AGaramond-Regular" w:ascii="AGaramond-Regular" w:hAnsi="AGaramond-Regular"/>
          <w:sz w:val="21"/>
          <w:szCs w:val="21"/>
        </w:rPr>
        <w:t>which share all of their parts: rather, it is predicted that such objects will always differ with respect to some of their proper parts, viz., their formal components.</w:t>
      </w:r>
      <w:r>
        <w:rPr>
          <w:rFonts w:eastAsia="AGaramondExp-Regular" w:cs="AGaramondExp-Regular" w:ascii="AGaramondExp-Regular" w:hAnsi="AGaramondExp-Regular"/>
          <w:sz w:val="21"/>
          <w:szCs w:val="21"/>
        </w:rPr>
        <w:t>23 (pp. 182-3)</w:t>
      </w:r>
    </w:p>
    <w:p>
      <w:pPr>
        <w:pStyle w:val="Normal"/>
        <w:spacing w:before="0" w:after="0"/>
        <w:contextualSpacing/>
        <w:rPr>
          <w:rFonts w:ascii="AGaramondExp-Regular" w:hAnsi="AGaramondExp-Regular" w:eastAsia="AGaramondExp-Regular" w:cs="AGaramondExp-Regular"/>
          <w:sz w:val="21"/>
          <w:szCs w:val="21"/>
        </w:rPr>
      </w:pPr>
      <w:r>
        <w:rPr>
          <w:rFonts w:eastAsia="AGaramondExp-Regular" w:cs="AGaramondExp-Regular" w:ascii="AGaramondExp-Regular" w:hAnsi="AGaramondExp-Regular"/>
          <w:sz w:val="21"/>
          <w:szCs w:val="21"/>
        </w:rPr>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If tables are hybrid objects, consisting of formal and material components,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then so are molecules, since the same considerations apply in both cases. For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relation between a molecule and the particles which constitute it is exactly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same as that which holds between a table’s material components and the table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itself: the molecule and the particles that constitute it occupy the same region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space-time, but they do not share all of their properties (e.g., the particles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might exist before or after the molecule exists; they need not constitute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molecule in question; etc.); moreover, it is integral to the existence and identity</w:t>
      </w:r>
    </w:p>
    <w:p>
      <w:pPr>
        <w:pStyle w:val="Normal"/>
        <w:spacing w:before="0" w:after="0"/>
        <w:contextualSpacing/>
        <w:rPr/>
      </w:pPr>
      <w:r>
        <w:rPr>
          <w:rFonts w:cs="AGaramond-Regular" w:ascii="AGaramond-Regular" w:hAnsi="AGaramond-Regular"/>
          <w:sz w:val="21"/>
          <w:szCs w:val="21"/>
        </w:rPr>
        <w:t xml:space="preserve">of the molecule that the particles which constitute it are of a particular variety </w:t>
      </w:r>
      <w:r>
        <w:rPr>
          <w:rFonts w:eastAsia="AGaramond-Italic" w:cs="AGaramond-Regular" w:ascii="AGaramond-Regular" w:hAnsi="AGaramond-Regular"/>
          <w:sz w:val="21"/>
          <w:szCs w:val="21"/>
        </w:rPr>
        <w:t>and exhibit a particular configuration associated with objects of this particular kind. (pp. 186-7)</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As long as we confine ourselves to the case of mereologically complex objects,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however, the considerations which motivated us to adopt NAT are general: they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apply to such microscopic objects as molecules just as much as they apply to such</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 xml:space="preserve">macroscopic objects as tables. (187) </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r>
    </w:p>
    <w:p>
      <w:pPr>
        <w:pStyle w:val="Normal"/>
        <w:spacing w:before="0" w:after="0"/>
        <w:contextualSpacing/>
        <w:rPr>
          <w:rFonts w:ascii="AGaramond-Semibold" w:hAnsi="AGaramond-Semibold" w:cs="AGaramond-Semibold"/>
          <w:b/>
          <w:b/>
          <w:bCs/>
          <w:sz w:val="23"/>
          <w:szCs w:val="23"/>
        </w:rPr>
      </w:pPr>
      <w:r>
        <w:rPr>
          <w:rFonts w:cs="AGaramond-Semibold" w:ascii="AGaramond-Semibold" w:hAnsi="AGaramond-Semibold"/>
          <w:b/>
          <w:bCs/>
          <w:sz w:val="23"/>
          <w:szCs w:val="23"/>
        </w:rPr>
        <w:t>§VII.2.11 Composition as Non-Identity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In the previous sections, we have already aligned ourselves explicitly with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Platonic and Aristotelian models of parthood and composition with respect to</w:t>
      </w:r>
    </w:p>
    <w:p>
      <w:pPr>
        <w:pStyle w:val="Normal"/>
        <w:spacing w:before="0" w:after="0"/>
        <w:contextualSpacing/>
        <w:rPr/>
      </w:pPr>
      <w:r>
        <w:rPr>
          <w:rFonts w:cs="AGaramond-Regular" w:ascii="AGaramond-Regular" w:hAnsi="AGaramond-Regular"/>
          <w:sz w:val="21"/>
          <w:szCs w:val="21"/>
        </w:rPr>
        <w:t xml:space="preserve">feature (iii), the </w:t>
      </w:r>
      <w:r>
        <w:rPr>
          <w:rFonts w:eastAsia="AGaramond-Italic" w:cs="AGaramond-Italic" w:ascii="AGaramond-Italic" w:hAnsi="AGaramond-Italic"/>
          <w:i/>
          <w:iCs/>
          <w:sz w:val="21"/>
          <w:szCs w:val="21"/>
        </w:rPr>
        <w:t xml:space="preserve">restricted </w:t>
      </w:r>
      <w:r>
        <w:rPr>
          <w:rFonts w:cs="AGaramond-Regular" w:ascii="AGaramond-Regular" w:hAnsi="AGaramond-Regular"/>
          <w:sz w:val="21"/>
          <w:szCs w:val="21"/>
        </w:rPr>
        <w:t>notion of composition, as well as feature (iv), the</w:t>
      </w:r>
    </w:p>
    <w:p>
      <w:pPr>
        <w:pStyle w:val="Normal"/>
        <w:spacing w:before="0" w:after="0"/>
        <w:contextualSpacing/>
        <w:rPr/>
      </w:pPr>
      <w:r>
        <w:rPr>
          <w:rFonts w:eastAsia="AGaramond-Italic" w:cs="AGaramond-Italic" w:ascii="AGaramond-Italic" w:hAnsi="AGaramond-Italic"/>
          <w:i/>
          <w:iCs/>
          <w:sz w:val="21"/>
          <w:szCs w:val="21"/>
        </w:rPr>
        <w:t xml:space="preserve">dichotomous </w:t>
      </w:r>
      <w:r>
        <w:rPr>
          <w:rFonts w:cs="AGaramond-Regular" w:ascii="AGaramond-Regular" w:hAnsi="AGaramond-Regular"/>
          <w:sz w:val="21"/>
          <w:szCs w:val="21"/>
        </w:rPr>
        <w:t xml:space="preserve">conception of wholes as composed of </w:t>
      </w:r>
      <w:r>
        <w:rPr>
          <w:rFonts w:eastAsia="AGaramond-Italic" w:cs="AGaramond-Italic" w:ascii="AGaramond-Italic" w:hAnsi="AGaramond-Italic"/>
          <w:i/>
          <w:iCs/>
          <w:sz w:val="21"/>
          <w:szCs w:val="21"/>
        </w:rPr>
        <w:t xml:space="preserve">structure </w:t>
      </w:r>
      <w:r>
        <w:rPr>
          <w:rFonts w:cs="AGaramond-Regular" w:ascii="AGaramond-Regular" w:hAnsi="AGaramond-Regular"/>
          <w:sz w:val="21"/>
          <w:szCs w:val="21"/>
        </w:rPr>
        <w:t xml:space="preserve">or </w:t>
      </w:r>
      <w:r>
        <w:rPr>
          <w:rFonts w:eastAsia="AGaramond-Italic" w:cs="AGaramond-Italic" w:ascii="AGaramond-Italic" w:hAnsi="AGaramond-Italic"/>
          <w:i/>
          <w:iCs/>
          <w:sz w:val="21"/>
          <w:szCs w:val="21"/>
        </w:rPr>
        <w:t>form</w:t>
      </w:r>
      <w:r>
        <w:rPr>
          <w:rFonts w:cs="AGaramond-Regular" w:ascii="AGaramond-Regular" w:hAnsi="AGaramond-Regular"/>
          <w:sz w:val="21"/>
          <w:szCs w:val="21"/>
        </w:rPr>
        <w:t>, on the one</w:t>
      </w:r>
    </w:p>
    <w:p>
      <w:pPr>
        <w:pStyle w:val="Normal"/>
        <w:spacing w:before="0" w:after="0"/>
        <w:contextualSpacing/>
        <w:rPr/>
      </w:pPr>
      <w:r>
        <w:rPr>
          <w:rFonts w:cs="AGaramond-Regular" w:ascii="AGaramond-Regular" w:hAnsi="AGaramond-Regular"/>
          <w:sz w:val="21"/>
          <w:szCs w:val="21"/>
        </w:rPr>
        <w:t xml:space="preserve">hand, and </w:t>
      </w:r>
      <w:r>
        <w:rPr>
          <w:rFonts w:eastAsia="AGaramond-Italic" w:cs="AGaramond-Italic" w:ascii="AGaramond-Italic" w:hAnsi="AGaramond-Italic"/>
          <w:i/>
          <w:iCs/>
          <w:sz w:val="21"/>
          <w:szCs w:val="21"/>
        </w:rPr>
        <w:t xml:space="preserve">content </w:t>
      </w:r>
      <w:r>
        <w:rPr>
          <w:rFonts w:cs="AGaramond-Regular" w:ascii="AGaramond-Regular" w:hAnsi="AGaramond-Regular"/>
          <w:sz w:val="21"/>
          <w:szCs w:val="21"/>
        </w:rPr>
        <w:t xml:space="preserve">or </w:t>
      </w:r>
      <w:r>
        <w:rPr>
          <w:rFonts w:eastAsia="AGaramond-Italic" w:cs="AGaramond-Italic" w:ascii="AGaramond-Italic" w:hAnsi="AGaramond-Italic"/>
          <w:i/>
          <w:iCs/>
          <w:sz w:val="21"/>
          <w:szCs w:val="21"/>
        </w:rPr>
        <w:t>matter</w:t>
      </w:r>
      <w:r>
        <w:rPr>
          <w:rFonts w:cs="AGaramond-Regular" w:ascii="AGaramond-Regular" w:hAnsi="AGaramond-Regular"/>
          <w:sz w:val="21"/>
          <w:szCs w:val="21"/>
        </w:rPr>
        <w:t>, on the other. Next, we similarly follow these ancient</w:t>
      </w:r>
    </w:p>
    <w:p>
      <w:pPr>
        <w:pStyle w:val="Normal"/>
        <w:spacing w:before="0" w:after="0"/>
        <w:contextualSpacing/>
        <w:rPr/>
      </w:pPr>
      <w:r>
        <w:rPr>
          <w:rFonts w:cs="AGaramond-Regular" w:ascii="AGaramond-Regular" w:hAnsi="AGaramond-Regular"/>
          <w:sz w:val="21"/>
          <w:szCs w:val="21"/>
        </w:rPr>
        <w:t xml:space="preserve">mereologies with respect to feature (ii), the </w:t>
      </w:r>
      <w:r>
        <w:rPr>
          <w:rFonts w:eastAsia="AGaramond-Italic" w:cs="AGaramond-Italic" w:ascii="AGaramond-Italic" w:hAnsi="AGaramond-Italic"/>
          <w:i/>
          <w:iCs/>
          <w:sz w:val="21"/>
          <w:szCs w:val="21"/>
        </w:rPr>
        <w:t xml:space="preserve">ontologically committing </w:t>
      </w:r>
      <w:r>
        <w:rPr>
          <w:rFonts w:cs="AGaramond-Regular" w:ascii="AGaramond-Regular" w:hAnsi="AGaramond-Regular"/>
          <w:sz w:val="21"/>
          <w:szCs w:val="21"/>
        </w:rPr>
        <w:t>conception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wholes. (192)</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Finally, I want to comment on feature (i) of the Platonic and Aristotelian model</w:t>
      </w:r>
    </w:p>
    <w:p>
      <w:pPr>
        <w:pStyle w:val="Normal"/>
        <w:spacing w:before="0" w:after="0"/>
        <w:contextualSpacing/>
        <w:rPr/>
      </w:pPr>
      <w:r>
        <w:rPr>
          <w:rFonts w:cs="AGaramond-Regular" w:ascii="AGaramond-Regular" w:hAnsi="AGaramond-Regular"/>
          <w:sz w:val="21"/>
          <w:szCs w:val="21"/>
        </w:rPr>
        <w:t xml:space="preserve">of parthood and composition, viz., the genuinely </w:t>
      </w:r>
      <w:r>
        <w:rPr>
          <w:rFonts w:eastAsia="AGaramond-Italic" w:cs="AGaramond-Italic" w:ascii="AGaramond-Italic" w:hAnsi="AGaramond-Italic"/>
          <w:i/>
          <w:iCs/>
          <w:sz w:val="21"/>
          <w:szCs w:val="21"/>
        </w:rPr>
        <w:t xml:space="preserve">unified </w:t>
      </w:r>
      <w:r>
        <w:rPr>
          <w:rFonts w:cs="AGaramond-Regular" w:ascii="AGaramond-Regular" w:hAnsi="AGaramond-Regular"/>
          <w:sz w:val="21"/>
          <w:szCs w:val="21"/>
        </w:rPr>
        <w:t>nature of wholes. (192)</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Depending on the ontological category to which an object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belongs, the principles of unity at work in holding the parts of these objects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together correspondingly differ widely: for example, the principle of unity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holding together the parts of a heap may be anything that enforces physical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contact, i.e., the sharing of boundaries, among its parts (e.g., a band holding</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together some wooden sticks); the parts of a universal (e.g., animal or living</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thing) are held together by the qualitative similarity under which these objects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may be grouped; (193)</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appropriately directed to some discipline outside of philosophy,</w:t>
      </w:r>
    </w:p>
    <w:p>
      <w:pPr>
        <w:pStyle w:val="Normal"/>
        <w:spacing w:before="0" w:after="0"/>
        <w:contextualSpacing/>
        <w:rPr/>
      </w:pPr>
      <w:r>
        <w:rPr>
          <w:rFonts w:cs="AGaramond-Regular" w:ascii="AGaramond-Regular" w:hAnsi="AGaramond-Regular"/>
          <w:sz w:val="21"/>
          <w:szCs w:val="21"/>
        </w:rPr>
        <w:t>such as cosmology.</w:t>
      </w:r>
      <w:r>
        <w:rPr>
          <w:rFonts w:eastAsia="AGaramondExp-Regular" w:cs="AGaramondExp-Regular" w:ascii="AGaramondExp-Regular" w:hAnsi="AGaramondExp-Regular"/>
          <w:sz w:val="21"/>
          <w:szCs w:val="21"/>
        </w:rPr>
        <w:t>3</w:t>
      </w:r>
      <w:r>
        <w:rPr>
          <w:rFonts w:eastAsia="MS Gothic" w:cs="MS Gothic" w:ascii="MS Gothic" w:hAnsi="MS Gothic"/>
          <w:sz w:val="21"/>
          <w:szCs w:val="21"/>
        </w:rPr>
        <w:t>⁹</w:t>
      </w:r>
      <w:r>
        <w:rPr>
          <w:rFonts w:eastAsia="AGaramondExp-Regular" w:cs="AGaramondExp-Regular" w:ascii="AGaramondExp-Regular" w:hAnsi="AGaramondExp-Regular"/>
          <w:sz w:val="21"/>
          <w:szCs w:val="21"/>
        </w:rPr>
        <w:t xml:space="preserve"> </w:t>
      </w:r>
      <w:r>
        <w:rPr>
          <w:rFonts w:cs="AGaramond-Regular" w:ascii="AGaramond-Regular" w:hAnsi="AGaramond-Regular"/>
          <w:sz w:val="21"/>
          <w:szCs w:val="21"/>
        </w:rPr>
        <w:t>Assuming, on the other hand, that, for whatever reason,</w:t>
      </w:r>
    </w:p>
    <w:p>
      <w:pPr>
        <w:pStyle w:val="Normal"/>
        <w:spacing w:before="0" w:after="0"/>
        <w:contextualSpacing/>
        <w:rPr/>
      </w:pPr>
      <w:r>
        <w:rPr>
          <w:rFonts w:cs="AGaramond-Regular" w:ascii="AGaramond-Regular" w:hAnsi="AGaramond-Regular"/>
          <w:sz w:val="21"/>
          <w:szCs w:val="21"/>
        </w:rPr>
        <w:t xml:space="preserve">there </w:t>
      </w:r>
      <w:r>
        <w:rPr>
          <w:rFonts w:eastAsia="AGaramond-Italic" w:cs="AGaramond-Italic" w:ascii="AGaramond-Italic" w:hAnsi="AGaramond-Italic"/>
          <w:i/>
          <w:iCs/>
          <w:sz w:val="21"/>
          <w:szCs w:val="21"/>
        </w:rPr>
        <w:t xml:space="preserve">are </w:t>
      </w:r>
      <w:r>
        <w:rPr>
          <w:rFonts w:cs="AGaramond-Regular" w:ascii="AGaramond-Regular" w:hAnsi="AGaramond-Regular"/>
          <w:sz w:val="21"/>
          <w:szCs w:val="21"/>
        </w:rPr>
        <w:t>objects of the particular kind in question, then it should come as no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surprise that one of them has come into existence, when a particular plurality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objects satisfies the requirements for how to ‘‘build’’ an object of this kind.</w:t>
      </w:r>
    </w:p>
    <w:p>
      <w:pPr>
        <w:pStyle w:val="Normal"/>
        <w:spacing w:before="0" w:after="0"/>
        <w:contextualSpacing/>
        <w:rPr/>
      </w:pPr>
      <w:r>
        <w:rPr>
          <w:rFonts w:cs="AGaramond-Regular" w:ascii="AGaramond-Regular" w:hAnsi="AGaramond-Regular"/>
          <w:sz w:val="21"/>
          <w:szCs w:val="21"/>
        </w:rPr>
        <w:t xml:space="preserve">To illustrate, specimens of the kind </w:t>
      </w:r>
      <w:r>
        <w:rPr>
          <w:rFonts w:eastAsia="AGaramond-Italic" w:cs="AGaramond-Italic" w:ascii="AGaramond-Italic" w:hAnsi="AGaramond-Italic"/>
          <w:i/>
          <w:iCs/>
          <w:sz w:val="21"/>
          <w:szCs w:val="21"/>
        </w:rPr>
        <w:t>H</w:t>
      </w:r>
      <w:r>
        <w:rPr>
          <w:rFonts w:eastAsia="AGaramond-Italic" w:cs="AGaramond-Italic" w:ascii="AGaramond-Italic" w:hAnsi="AGaramond-Italic"/>
          <w:i/>
          <w:iCs/>
          <w:sz w:val="15"/>
          <w:szCs w:val="15"/>
        </w:rPr>
        <w:t>2</w:t>
      </w:r>
      <w:r>
        <w:rPr>
          <w:rFonts w:eastAsia="AGaramond-Italic" w:cs="AGaramond-Italic" w:ascii="AGaramond-Italic" w:hAnsi="AGaramond-Italic"/>
          <w:i/>
          <w:iCs/>
          <w:sz w:val="21"/>
          <w:szCs w:val="21"/>
        </w:rPr>
        <w:t xml:space="preserve">O molecule </w:t>
      </w:r>
      <w:r>
        <w:rPr>
          <w:rFonts w:cs="AGaramond-Regular" w:ascii="AGaramond-Regular" w:hAnsi="AGaramond-Regular"/>
          <w:sz w:val="21"/>
          <w:szCs w:val="21"/>
        </w:rPr>
        <w:t>come into existence when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two hydrogen atoms and one oxygen atom enter into a particular configuration</w:t>
      </w:r>
    </w:p>
    <w:p>
      <w:pPr>
        <w:pStyle w:val="Normal"/>
        <w:spacing w:before="0" w:after="0"/>
        <w:contextualSpacing/>
        <w:rPr/>
      </w:pPr>
      <w:r>
        <w:rPr>
          <w:rFonts w:cs="AGaramond-Regular" w:ascii="AGaramond-Regular" w:hAnsi="AGaramond-Regular"/>
          <w:sz w:val="21"/>
          <w:szCs w:val="21"/>
        </w:rPr>
        <w:t xml:space="preserve">of chemical bonding: objects of this kind are </w:t>
      </w:r>
      <w:r>
        <w:rPr>
          <w:rFonts w:eastAsia="AGaramond-Italic" w:cs="AGaramond-Italic" w:ascii="AGaramond-Italic" w:hAnsi="AGaramond-Italic"/>
          <w:i/>
          <w:iCs/>
          <w:sz w:val="21"/>
          <w:szCs w:val="21"/>
        </w:rPr>
        <w:t xml:space="preserve">unified </w:t>
      </w:r>
      <w:r>
        <w:rPr>
          <w:rFonts w:cs="AGaramond-Regular" w:ascii="AGaramond-Regular" w:hAnsi="AGaramond-Regular"/>
          <w:sz w:val="21"/>
          <w:szCs w:val="21"/>
        </w:rPr>
        <w:t>in the sense that they are</w:t>
      </w:r>
    </w:p>
    <w:p>
      <w:pPr>
        <w:pStyle w:val="Normal"/>
        <w:spacing w:before="0" w:after="0"/>
        <w:contextualSpacing/>
        <w:rPr/>
      </w:pPr>
      <w:r>
        <w:rPr>
          <w:rFonts w:eastAsia="AGaramond-Italic" w:cs="AGaramond-Italic" w:ascii="AGaramond-Italic" w:hAnsi="AGaramond-Italic"/>
          <w:i/>
          <w:iCs/>
          <w:sz w:val="21"/>
          <w:szCs w:val="21"/>
        </w:rPr>
        <w:t xml:space="preserve">one </w:t>
      </w:r>
      <w:r>
        <w:rPr>
          <w:rFonts w:cs="AGaramond-Regular" w:ascii="AGaramond-Regular" w:hAnsi="AGaramond-Regular"/>
          <w:sz w:val="21"/>
          <w:szCs w:val="21"/>
        </w:rPr>
        <w:t xml:space="preserve">specimen of the kind in question, i.e., </w:t>
      </w:r>
      <w:r>
        <w:rPr>
          <w:rFonts w:eastAsia="AGaramond-Italic" w:cs="AGaramond-Italic" w:ascii="AGaramond-Italic" w:hAnsi="AGaramond-Italic"/>
          <w:i/>
          <w:iCs/>
          <w:sz w:val="21"/>
          <w:szCs w:val="21"/>
        </w:rPr>
        <w:t xml:space="preserve">one </w:t>
      </w:r>
      <w:r>
        <w:rPr>
          <w:rFonts w:cs="AGaramond-Regular" w:ascii="AGaramond-Regular" w:hAnsi="AGaramond-Regular"/>
          <w:sz w:val="21"/>
          <w:szCs w:val="21"/>
        </w:rPr>
        <w:t>relative to the measure ‘‘H</w:t>
      </w:r>
      <w:r>
        <w:rPr>
          <w:rFonts w:cs="AGaramond-Regular" w:ascii="AGaramond-Regular" w:hAnsi="AGaramond-Regular"/>
          <w:sz w:val="15"/>
          <w:szCs w:val="15"/>
        </w:rPr>
        <w:t>2</w:t>
      </w:r>
      <w:r>
        <w:rPr>
          <w:rFonts w:cs="AGaramond-Regular" w:ascii="AGaramond-Regular" w:hAnsi="AGaramond-Regular"/>
          <w:sz w:val="21"/>
          <w:szCs w:val="21"/>
        </w:rPr>
        <w:t>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molecule’’; their material components hang together to the degree that hydrogen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and oxygen atoms, which enter into the relation of chemical bonding, can be</w:t>
      </w:r>
    </w:p>
    <w:p>
      <w:pPr>
        <w:pStyle w:val="Normal"/>
        <w:spacing w:before="0" w:after="0"/>
        <w:contextualSpacing/>
        <w:rPr/>
      </w:pPr>
      <w:r>
        <w:rPr>
          <w:rFonts w:cs="AGaramond-Regular" w:ascii="AGaramond-Regular" w:hAnsi="AGaramond-Regular"/>
          <w:sz w:val="21"/>
          <w:szCs w:val="21"/>
        </w:rPr>
        <w:t xml:space="preserve">expected to do so. That an object which counts as </w:t>
      </w:r>
      <w:r>
        <w:rPr>
          <w:rFonts w:eastAsia="AGaramond-Italic" w:cs="AGaramond-Italic" w:ascii="AGaramond-Italic" w:hAnsi="AGaramond-Italic"/>
          <w:i/>
          <w:iCs/>
          <w:sz w:val="21"/>
          <w:szCs w:val="21"/>
        </w:rPr>
        <w:t xml:space="preserve">one </w:t>
      </w:r>
      <w:r>
        <w:rPr>
          <w:rFonts w:cs="AGaramond-Regular" w:ascii="AGaramond-Regular" w:hAnsi="AGaramond-Regular"/>
          <w:sz w:val="21"/>
          <w:szCs w:val="21"/>
        </w:rPr>
        <w:t xml:space="preserve">or </w:t>
      </w:r>
      <w:r>
        <w:rPr>
          <w:rFonts w:eastAsia="AGaramond-Italic" w:cs="AGaramond-Italic" w:ascii="AGaramond-Italic" w:hAnsi="AGaramond-Italic"/>
          <w:i/>
          <w:iCs/>
          <w:sz w:val="21"/>
          <w:szCs w:val="21"/>
        </w:rPr>
        <w:t xml:space="preserve">unified </w:t>
      </w:r>
      <w:r>
        <w:rPr>
          <w:rFonts w:cs="AGaramond-Regular" w:ascii="AGaramond-Regular" w:hAnsi="AGaramond-Regular"/>
          <w:sz w:val="21"/>
          <w:szCs w:val="21"/>
        </w:rPr>
        <w:t>relative to the measure ‘‘H</w:t>
      </w:r>
      <w:r>
        <w:rPr>
          <w:rFonts w:cs="AGaramond-Regular" w:ascii="AGaramond-Regular" w:hAnsi="AGaramond-Regular"/>
          <w:sz w:val="15"/>
          <w:szCs w:val="15"/>
        </w:rPr>
        <w:t>2</w:t>
      </w:r>
      <w:r>
        <w:rPr>
          <w:rFonts w:cs="AGaramond-Regular" w:ascii="AGaramond-Regular" w:hAnsi="AGaramond-Regular"/>
          <w:sz w:val="21"/>
          <w:szCs w:val="21"/>
        </w:rPr>
        <w:t>O molecule’’ has parts at all, poses no threat to its status as a</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particular specimen of the kind in question: rather, given what we know about</w:t>
      </w:r>
    </w:p>
    <w:p>
      <w:pPr>
        <w:pStyle w:val="Normal"/>
        <w:spacing w:before="0" w:after="0"/>
        <w:contextualSpacing/>
        <w:rPr/>
      </w:pPr>
      <w:r>
        <w:rPr>
          <w:rFonts w:cs="AGaramond-Regular" w:ascii="AGaramond-Regular" w:hAnsi="AGaramond-Regular"/>
          <w:sz w:val="21"/>
          <w:szCs w:val="21"/>
        </w:rPr>
        <w:t>the chemical composition of H</w:t>
      </w:r>
      <w:r>
        <w:rPr>
          <w:rFonts w:cs="AGaramond-Regular" w:ascii="AGaramond-Regular" w:hAnsi="AGaramond-Regular"/>
          <w:sz w:val="15"/>
          <w:szCs w:val="15"/>
        </w:rPr>
        <w:t>2</w:t>
      </w:r>
      <w:r>
        <w:rPr>
          <w:rFonts w:cs="AGaramond-Regular" w:ascii="AGaramond-Regular" w:hAnsi="AGaramond-Regular"/>
          <w:sz w:val="21"/>
          <w:szCs w:val="21"/>
        </w:rPr>
        <w:t>O molecules, nothing could be one specimen of</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this kind or unified relative to this particular measure without having as parts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at least two hydrogen atoms and one oxygen atom. Given that this is just what</w:t>
      </w:r>
    </w:p>
    <w:p>
      <w:pPr>
        <w:pStyle w:val="Normal"/>
        <w:spacing w:before="0" w:after="0"/>
        <w:contextualSpacing/>
        <w:rPr/>
      </w:pPr>
      <w:r>
        <w:rPr>
          <w:rFonts w:cs="AGaramond-Regular" w:ascii="AGaramond-Regular" w:hAnsi="AGaramond-Regular"/>
          <w:sz w:val="21"/>
          <w:szCs w:val="21"/>
        </w:rPr>
        <w:t>it means to be an H</w:t>
      </w:r>
      <w:r>
        <w:rPr>
          <w:rFonts w:cs="AGaramond-Regular" w:ascii="AGaramond-Regular" w:hAnsi="AGaramond-Regular"/>
          <w:sz w:val="15"/>
          <w:szCs w:val="15"/>
        </w:rPr>
        <w:t>2</w:t>
      </w:r>
      <w:r>
        <w:rPr>
          <w:rFonts w:cs="AGaramond-Regular" w:ascii="AGaramond-Regular" w:hAnsi="AGaramond-Regular"/>
          <w:sz w:val="21"/>
          <w:szCs w:val="21"/>
        </w:rPr>
        <w:t>O molecule, there is nothing further that the mereologist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proper or the ontologist at large can add to what the scientist has already told</w:t>
      </w:r>
    </w:p>
    <w:p>
      <w:pPr>
        <w:pStyle w:val="Normal"/>
        <w:spacing w:before="0" w:after="0"/>
        <w:contextualSpacing/>
        <w:rPr/>
      </w:pPr>
      <w:r>
        <w:rPr>
          <w:rFonts w:cs="AGaramond-Regular" w:ascii="AGaramond-Regular" w:hAnsi="AGaramond-Regular"/>
          <w:sz w:val="21"/>
          <w:szCs w:val="21"/>
        </w:rPr>
        <w:t xml:space="preserve">us about the chemical composition of objects of this kind. The mereologist </w:t>
      </w:r>
      <w:r>
        <w:rPr>
          <w:rFonts w:eastAsia="AGaramond-Italic" w:cs="AGaramond-Italic" w:ascii="AGaramond-Italic" w:hAnsi="AGaramond-Italic"/>
          <w:i/>
          <w:iCs/>
          <w:sz w:val="21"/>
          <w:szCs w:val="21"/>
        </w:rPr>
        <w:t>can</w:t>
      </w:r>
      <w:r>
        <w:rPr>
          <w:rFonts w:cs="AGaramond-Regular" w:ascii="AGaramond-Regular" w:hAnsi="AGaramond-Regular"/>
          <w:sz w:val="21"/>
          <w:szCs w:val="21"/>
        </w:rPr>
        <w: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however, be held responsible for the task of devising a theory of parthood and</w:t>
      </w:r>
    </w:p>
    <w:p>
      <w:pPr>
        <w:pStyle w:val="Normal"/>
        <w:spacing w:before="0" w:after="0"/>
        <w:contextualSpacing/>
        <w:rPr/>
      </w:pPr>
      <w:r>
        <w:rPr>
          <w:rFonts w:cs="AGaramond-Regular" w:ascii="AGaramond-Regular" w:hAnsi="AGaramond-Regular"/>
          <w:sz w:val="21"/>
          <w:szCs w:val="21"/>
        </w:rPr>
        <w:t>composition which is responsive to the fact that there can be no H</w:t>
      </w:r>
      <w:r>
        <w:rPr>
          <w:rFonts w:cs="AGaramond-Regular" w:ascii="AGaramond-Regular" w:hAnsi="AGaramond-Regular"/>
          <w:sz w:val="15"/>
          <w:szCs w:val="15"/>
        </w:rPr>
        <w:t>2</w:t>
      </w:r>
      <w:r>
        <w:rPr>
          <w:rFonts w:cs="AGaramond-Regular" w:ascii="AGaramond-Regular" w:hAnsi="AGaramond-Regular"/>
          <w:sz w:val="21"/>
          <w:szCs w:val="21"/>
        </w:rPr>
        <w:t>O molecule,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unless a particular plurality of objects satisfies the formal requirements as to</w:t>
      </w:r>
    </w:p>
    <w:p>
      <w:pPr>
        <w:pStyle w:val="Normal"/>
        <w:spacing w:before="0" w:after="0"/>
        <w:contextualSpacing/>
        <w:rPr/>
      </w:pPr>
      <w:r>
        <w:rPr>
          <w:rFonts w:cs="AGaramond-Regular" w:ascii="AGaramond-Regular" w:hAnsi="AGaramond-Regular"/>
          <w:sz w:val="21"/>
          <w:szCs w:val="21"/>
        </w:rPr>
        <w:t>number, variety and configuration associated with this kind of whole.</w:t>
      </w:r>
      <w:r>
        <w:rPr>
          <w:rFonts w:eastAsia="AGaramondExp-Regular" w:cs="AGaramondExp-Regular" w:ascii="AGaramondExp-Regular" w:hAnsi="AGaramondExp-Regular"/>
          <w:sz w:val="21"/>
          <w:szCs w:val="21"/>
        </w:rPr>
        <w:t>⁴</w:t>
      </w:r>
      <w:r>
        <w:rPr>
          <w:rFonts w:eastAsia="MS Gothic" w:cs="MS Gothic" w:ascii="MS Gothic" w:hAnsi="MS Gothic"/>
          <w:sz w:val="21"/>
          <w:szCs w:val="21"/>
        </w:rPr>
        <w:t>⁰ (197-8)</w:t>
      </w:r>
    </w:p>
    <w:p>
      <w:pPr>
        <w:pStyle w:val="Normal"/>
        <w:spacing w:before="0" w:after="0"/>
        <w:contextualSpacing/>
        <w:rPr>
          <w:rFonts w:ascii="MS Gothic" w:hAnsi="MS Gothic" w:eastAsia="MS Gothic" w:cs="MS Gothic"/>
          <w:sz w:val="21"/>
          <w:szCs w:val="21"/>
        </w:rPr>
      </w:pPr>
      <w:r>
        <w:rPr>
          <w:rFonts w:eastAsia="MS Gothic" w:cs="MS Gothic" w:ascii="MS Gothic" w:hAnsi="MS Gothic"/>
          <w:sz w:val="21"/>
          <w:szCs w:val="21"/>
        </w:rPr>
      </w:r>
    </w:p>
    <w:p>
      <w:pPr>
        <w:pStyle w:val="Normal"/>
        <w:spacing w:before="0" w:after="0"/>
        <w:contextualSpacing/>
        <w:rPr/>
      </w:pPr>
      <w:r>
        <w:rPr>
          <w:rFonts w:eastAsia="MS Gothic" w:cs="MS Gothic" w:ascii="MS Gothic" w:hAnsi="MS Gothic"/>
        </w:rPr>
        <w:t xml:space="preserve">Chap. VII </w:t>
      </w:r>
      <w:r>
        <w:rPr>
          <w:rFonts w:cs="AGaramond-Regular" w:ascii="AGaramond-Regular" w:hAnsi="AGaramond-Regular"/>
        </w:rPr>
        <w:t>In Defense of Kinds [‘kinds’ are very similar to my EDWs]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An important piece of the theory of parthood and composition, which was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presented in outline in the preceding chapter, is the restricted composition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principle (RCP), which carried with it an as of yet unjustified commitment to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an ontology of kinds: a plurality of objects was said to compose a whole of</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 particular kind, when the objects (material components) in question satisfy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selection requirements set by the formal components associated with wholes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that particular kind, i.e., requirements concerning, among other things,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variety, configuration and sometimes the number of parts out of which wholes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that particular kind may be composed. Such a restriction on composition, of</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course, only has plausibility if there are independent reasons for thinking that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objects really do belong to kinds and that kinds really do pose constraints on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mereological composition of their members.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aim of the current chapter is to defend this commitment to an ontology</w:t>
      </w:r>
    </w:p>
    <w:p>
      <w:pPr>
        <w:pStyle w:val="Normal"/>
        <w:spacing w:before="0" w:after="0"/>
        <w:contextualSpacing/>
        <w:rPr/>
      </w:pPr>
      <w:r>
        <w:rPr>
          <w:rFonts w:cs="AGaramond-Regular" w:ascii="AGaramond-Regular" w:hAnsi="AGaramond-Regular"/>
          <w:sz w:val="21"/>
          <w:szCs w:val="21"/>
        </w:rPr>
        <w:t xml:space="preserve">of kinds at least for the particular case of </w:t>
      </w:r>
      <w:r>
        <w:rPr>
          <w:rFonts w:eastAsia="AGaramond-Italic" w:cs="AGaramond-Italic" w:ascii="AGaramond-Italic" w:hAnsi="AGaramond-Italic"/>
          <w:i/>
          <w:iCs/>
          <w:sz w:val="21"/>
          <w:szCs w:val="21"/>
        </w:rPr>
        <w:t>natural kinds</w:t>
      </w:r>
      <w:r>
        <w:rPr>
          <w:rFonts w:cs="AGaramond-Regular" w:ascii="AGaramond-Regular" w:hAnsi="AGaramond-Regular"/>
          <w:sz w:val="21"/>
          <w:szCs w:val="21"/>
        </w:rPr>
        <w:t>. (p. 200)</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Kinds are categories or taxonomic classifications into which particular objects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may be grouped on the basis of shared characteristics of some sort. Judging from</w:t>
      </w:r>
    </w:p>
    <w:p>
      <w:pPr>
        <w:pStyle w:val="Normal"/>
        <w:spacing w:before="0" w:after="0"/>
        <w:contextualSpacing/>
        <w:rPr/>
      </w:pPr>
      <w:r>
        <w:rPr>
          <w:rFonts w:cs="AGaramond-Regular" w:ascii="AGaramond-Regular" w:hAnsi="AGaramond-Regular"/>
          <w:sz w:val="21"/>
          <w:szCs w:val="21"/>
        </w:rPr>
        <w:t xml:space="preserve">the name, one might expect </w:t>
      </w:r>
      <w:r>
        <w:rPr>
          <w:rFonts w:eastAsia="AGaramond-Italic" w:cs="AGaramond-Italic" w:ascii="AGaramond-Italic" w:hAnsi="AGaramond-Italic"/>
          <w:i/>
          <w:iCs/>
          <w:sz w:val="21"/>
          <w:szCs w:val="21"/>
        </w:rPr>
        <w:t xml:space="preserve">natural </w:t>
      </w:r>
      <w:r>
        <w:rPr>
          <w:rFonts w:cs="AGaramond-Regular" w:ascii="AGaramond-Regular" w:hAnsi="AGaramond-Regular"/>
          <w:sz w:val="21"/>
          <w:szCs w:val="21"/>
        </w:rPr>
        <w:t>kinds (if indeed there are any) to reflect</w:t>
      </w:r>
    </w:p>
    <w:p>
      <w:pPr>
        <w:pStyle w:val="Normal"/>
        <w:spacing w:before="0" w:after="0"/>
        <w:contextualSpacing/>
        <w:rPr/>
      </w:pPr>
      <w:r>
        <w:rPr>
          <w:rFonts w:cs="AGaramond-Regular" w:ascii="AGaramond-Regular" w:hAnsi="AGaramond-Regular"/>
          <w:sz w:val="21"/>
          <w:szCs w:val="21"/>
        </w:rPr>
        <w:t xml:space="preserve">those categories which are, in some sense, present in </w:t>
      </w:r>
      <w:r>
        <w:rPr>
          <w:rFonts w:eastAsia="AGaramond-Italic" w:cs="AGaramond-Italic" w:ascii="AGaramond-Italic" w:hAnsi="AGaramond-Italic"/>
          <w:i/>
          <w:iCs/>
          <w:sz w:val="21"/>
          <w:szCs w:val="21"/>
        </w:rPr>
        <w:t>nature</w:t>
      </w:r>
      <w:r>
        <w:rPr>
          <w:rFonts w:cs="AGaramond-Regular" w:ascii="AGaramond-Regular" w:hAnsi="AGaramond-Regular"/>
          <w:sz w:val="21"/>
          <w:szCs w:val="21"/>
        </w:rPr>
        <w:t>; (201)</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aim of the current chapter has been to defend a commitment to an ontology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kinds for the special case of natural kinds; such a commitment plays an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important role in motivating and underwriting the structure-based and restricted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conception of parthood and composition outlined in the previous chapter.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special case of natural kinds was intended as an illustration of how a commitment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to a certain class of kinds in general, or to specific kinds among them, may</w:t>
      </w:r>
    </w:p>
    <w:p>
      <w:pPr>
        <w:pStyle w:val="Normal"/>
        <w:spacing w:before="0" w:after="0"/>
        <w:contextualSpacing/>
        <w:rPr/>
      </w:pPr>
      <w:r>
        <w:rPr>
          <w:rFonts w:cs="AGaramond-Regular" w:ascii="AGaramond-Regular" w:hAnsi="AGaramond-Regular"/>
          <w:sz w:val="21"/>
          <w:szCs w:val="21"/>
        </w:rPr>
        <w:t xml:space="preserve">be generated on the basis of </w:t>
      </w:r>
      <w:r>
        <w:rPr>
          <w:rFonts w:eastAsia="AGaramond-Italic" w:cs="AGaramond-Italic" w:ascii="AGaramond-Italic" w:hAnsi="AGaramond-Italic"/>
          <w:i/>
          <w:iCs/>
          <w:sz w:val="21"/>
          <w:szCs w:val="21"/>
        </w:rPr>
        <w:t xml:space="preserve">extra-mereological </w:t>
      </w:r>
      <w:r>
        <w:rPr>
          <w:rFonts w:cs="AGaramond-Regular" w:ascii="AGaramond-Regular" w:hAnsi="AGaramond-Regular"/>
          <w:sz w:val="21"/>
          <w:szCs w:val="21"/>
        </w:rPr>
        <w:t>considerations: the belief in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existence of natural kinds, for example, may be supported by an appeal to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their role in prediction and explanation; particularly noteworthy in this respect</w:t>
      </w:r>
    </w:p>
    <w:p>
      <w:pPr>
        <w:pStyle w:val="Normal"/>
        <w:spacing w:before="0" w:after="0"/>
        <w:contextualSpacing/>
        <w:rPr/>
      </w:pPr>
      <w:r>
        <w:rPr>
          <w:rFonts w:cs="AGaramond-Regular" w:ascii="AGaramond-Regular" w:hAnsi="AGaramond-Regular"/>
          <w:sz w:val="21"/>
          <w:szCs w:val="21"/>
        </w:rPr>
        <w:t xml:space="preserve">is the weight borne by </w:t>
      </w:r>
      <w:r>
        <w:rPr>
          <w:rFonts w:eastAsia="AGaramond-Italic" w:cs="AGaramond-Italic" w:ascii="AGaramond-Italic" w:hAnsi="AGaramond-Italic"/>
          <w:i/>
          <w:iCs/>
          <w:sz w:val="21"/>
          <w:szCs w:val="21"/>
        </w:rPr>
        <w:t xml:space="preserve">scientific </w:t>
      </w:r>
      <w:r>
        <w:rPr>
          <w:rFonts w:cs="AGaramond-Regular" w:ascii="AGaramond-Regular" w:hAnsi="AGaramond-Regular"/>
          <w:sz w:val="21"/>
          <w:szCs w:val="21"/>
        </w:rPr>
        <w:t>natural kinds (e.g., physical, chemical and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biological kinds) in (i) inductive arguments, (ii) the laws of nature and (iii) causal</w:t>
      </w:r>
    </w:p>
    <w:p>
      <w:pPr>
        <w:pStyle w:val="Normal"/>
        <w:spacing w:before="0" w:after="0"/>
        <w:contextualSpacing/>
        <w:rPr/>
      </w:pPr>
      <w:r>
        <w:rPr>
          <w:rFonts w:cs="AGaramond-Regular" w:ascii="AGaramond-Regular" w:hAnsi="AGaramond-Regular"/>
          <w:sz w:val="21"/>
          <w:szCs w:val="21"/>
        </w:rPr>
        <w:t xml:space="preserve">explanations. Once such </w:t>
      </w:r>
      <w:r>
        <w:rPr>
          <w:rFonts w:eastAsia="AGaramond-Italic" w:cs="AGaramond-Italic" w:ascii="AGaramond-Italic" w:hAnsi="AGaramond-Italic"/>
          <w:i/>
          <w:iCs/>
          <w:sz w:val="21"/>
          <w:szCs w:val="21"/>
        </w:rPr>
        <w:t xml:space="preserve">independent </w:t>
      </w:r>
      <w:r>
        <w:rPr>
          <w:rFonts w:cs="AGaramond-Regular" w:ascii="AGaramond-Regular" w:hAnsi="AGaramond-Regular"/>
          <w:sz w:val="21"/>
          <w:szCs w:val="21"/>
        </w:rPr>
        <w:t>reasons for believing in the existence of a</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certain kind of object have been given, we find in general that objects must satisfy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more or less stringent mereological constraints in order to count as instances of</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kind; as noted in the previous chapter, the types of constraints that are relevant</w:t>
      </w:r>
    </w:p>
    <w:p>
      <w:pPr>
        <w:pStyle w:val="Normal"/>
        <w:spacing w:before="0" w:after="0"/>
        <w:contextualSpacing/>
        <w:rPr/>
      </w:pPr>
      <w:r>
        <w:rPr>
          <w:rFonts w:cs="AGaramond-Regular" w:ascii="AGaramond-Regular" w:hAnsi="AGaramond-Regular"/>
          <w:sz w:val="21"/>
          <w:szCs w:val="21"/>
        </w:rPr>
        <w:t xml:space="preserve">in this context typically concern the </w:t>
      </w:r>
      <w:r>
        <w:rPr>
          <w:rFonts w:eastAsia="AGaramond-Italic" w:cs="AGaramond-Italic" w:ascii="AGaramond-Italic" w:hAnsi="AGaramond-Italic"/>
          <w:i/>
          <w:iCs/>
          <w:sz w:val="21"/>
          <w:szCs w:val="21"/>
        </w:rPr>
        <w:t>variety</w:t>
      </w:r>
      <w:r>
        <w:rPr>
          <w:rFonts w:cs="AGaramond-Regular" w:ascii="AGaramond-Regular" w:hAnsi="AGaramond-Regular"/>
          <w:sz w:val="21"/>
          <w:szCs w:val="21"/>
        </w:rPr>
        <w:t xml:space="preserve">, </w:t>
      </w:r>
      <w:r>
        <w:rPr>
          <w:rFonts w:eastAsia="AGaramond-Italic" w:cs="AGaramond-Italic" w:ascii="AGaramond-Italic" w:hAnsi="AGaramond-Italic"/>
          <w:i/>
          <w:iCs/>
          <w:sz w:val="21"/>
          <w:szCs w:val="21"/>
        </w:rPr>
        <w:t xml:space="preserve">configuration </w:t>
      </w:r>
      <w:r>
        <w:rPr>
          <w:rFonts w:cs="AGaramond-Regular" w:ascii="AGaramond-Regular" w:hAnsi="AGaramond-Regular"/>
          <w:sz w:val="21"/>
          <w:szCs w:val="21"/>
        </w:rPr>
        <w:t>and sometimes even the</w:t>
      </w:r>
    </w:p>
    <w:p>
      <w:pPr>
        <w:pStyle w:val="Normal"/>
        <w:spacing w:before="0" w:after="0"/>
        <w:contextualSpacing/>
        <w:rPr/>
      </w:pPr>
      <w:r>
        <w:rPr>
          <w:rFonts w:eastAsia="AGaramond-Italic" w:cs="AGaramond-Italic" w:ascii="AGaramond-Italic" w:hAnsi="AGaramond-Italic"/>
          <w:i/>
          <w:iCs/>
          <w:sz w:val="21"/>
          <w:szCs w:val="21"/>
        </w:rPr>
        <w:t xml:space="preserve">number </w:t>
      </w:r>
      <w:r>
        <w:rPr>
          <w:rFonts w:cs="AGaramond-Regular" w:ascii="AGaramond-Regular" w:hAnsi="AGaramond-Regular"/>
          <w:sz w:val="21"/>
          <w:szCs w:val="21"/>
        </w:rPr>
        <w:t>of material components which must be present in an object in order for it to count as a whole of that particular kind. (233-4)</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evidence reviewed above suggests that structures are at least in some contexts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treated as objects, rather than as properties or relations. At the same time, even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when structures are so treated, they are always also closely linked with certain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properties and relations which elements in the domain come to exhibit as a result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occupying the positions made available by the structure in question; but these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properties and relations are nevertheless in these contexts not identified with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structures with which they are associated. (p. 252)</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Finally, the following fourth response to the scenario raised above is also available.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Once we have found reasons to deny Unrestricted Composition (and I have of</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course provided such reasons in Chapter II), we are no longer committed to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endorsing the claim that every plurality of objects itself composes something; in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particular, we are no longer committed to endorsing the claim that the material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components out of which the big statue is constructed themselves compose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 single object, a heap, which constitutes the big statue and has persistence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conditions different from those associated with the big statue. My analysis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predicts that we only have reason to believe in the existence of an object,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when that object falls under a kind whose existence can be justified by appeal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to independent considerations from outside the mereology. And what pressing</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non-mereological reasons are there to be committed to the existence of the kind</w:t>
      </w:r>
    </w:p>
    <w:p>
      <w:pPr>
        <w:pStyle w:val="Normal"/>
        <w:spacing w:before="0" w:after="0"/>
        <w:contextualSpacing/>
        <w:rPr/>
      </w:pPr>
      <w:r>
        <w:rPr>
          <w:rFonts w:eastAsia="AGaramond-Italic" w:cs="AGaramond-Italic" w:ascii="AGaramond-Italic" w:hAnsi="AGaramond-Italic"/>
          <w:i/>
          <w:iCs/>
          <w:sz w:val="21"/>
          <w:szCs w:val="21"/>
        </w:rPr>
        <w:t>heap</w:t>
      </w:r>
      <w:r>
        <w:rPr>
          <w:rFonts w:cs="AGaramond-Regular" w:ascii="AGaramond-Regular" w:hAnsi="AGaramond-Regular"/>
          <w:sz w:val="21"/>
          <w:szCs w:val="21"/>
        </w:rPr>
        <w:t>? (258)</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And since we have denied Unrestricted Composition,</w:t>
      </w:r>
    </w:p>
    <w:p>
      <w:pPr>
        <w:pStyle w:val="Normal"/>
        <w:spacing w:before="0" w:after="0"/>
        <w:contextualSpacing/>
        <w:rPr/>
      </w:pPr>
      <w:r>
        <w:rPr>
          <w:rFonts w:cs="AGaramond-Regular" w:ascii="AGaramond-Regular" w:hAnsi="AGaramond-Regular"/>
          <w:sz w:val="21"/>
          <w:szCs w:val="21"/>
        </w:rPr>
        <w:t xml:space="preserve">there is no </w:t>
      </w:r>
      <w:r>
        <w:rPr>
          <w:rFonts w:eastAsia="AGaramond-Italic" w:cs="AGaramond-Italic" w:ascii="AGaramond-Italic" w:hAnsi="AGaramond-Italic"/>
          <w:i/>
          <w:iCs/>
          <w:sz w:val="21"/>
          <w:szCs w:val="21"/>
        </w:rPr>
        <w:t xml:space="preserve">single </w:t>
      </w:r>
      <w:r>
        <w:rPr>
          <w:rFonts w:cs="AGaramond-Regular" w:ascii="AGaramond-Regular" w:hAnsi="AGaramond-Regular"/>
          <w:sz w:val="21"/>
          <w:szCs w:val="21"/>
        </w:rPr>
        <w:t>intermediary object which constitutes the big statue and which</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can survive being scattered while the big statue cannot. It thus seems as though,</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at the very least, various options are available by means of which a hylomorphic</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approach may respond to the Grounding Problem and the sort of scenario raised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above; I will leave the question of how to decide between these options, and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perhaps between others that I have not canvassed in the foregoing remarks, open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for future discussion. (p. 259)</w:t>
      </w:r>
    </w:p>
    <w:p>
      <w:pPr>
        <w:pStyle w:val="Normal"/>
        <w:spacing w:before="0" w:after="0"/>
        <w:contextualSpacing/>
        <w:rPr/>
      </w:pPr>
      <w:r>
        <w:rPr>
          <w:rFonts w:cs="AGaramond-Regular" w:ascii="AGaramond-Regular" w:hAnsi="AGaramond-Regular"/>
          <w:sz w:val="21"/>
          <w:szCs w:val="21"/>
        </w:rPr>
        <w:t xml:space="preserve">Each of these areas conceives of </w:t>
      </w:r>
      <w:r>
        <w:rPr>
          <w:rFonts w:eastAsia="AGaramond-Italic" w:cs="AGaramond-Italic" w:ascii="AGaramond-Italic" w:hAnsi="AGaramond-Italic"/>
          <w:i/>
          <w:iCs/>
          <w:sz w:val="21"/>
          <w:szCs w:val="21"/>
        </w:rPr>
        <w:t xml:space="preserve">a </w:t>
      </w:r>
      <w:r>
        <w:rPr>
          <w:rFonts w:cs="AGaramond-Regular" w:ascii="AGaramond-Regular" w:hAnsi="AGaramond-Regular"/>
          <w:sz w:val="21"/>
          <w:szCs w:val="21"/>
        </w:rPr>
        <w:t>structure as the sort of entity which (i) makes</w:t>
      </w:r>
    </w:p>
    <w:p>
      <w:pPr>
        <w:pStyle w:val="Normal"/>
        <w:spacing w:before="0" w:after="0"/>
        <w:contextualSpacing/>
        <w:rPr/>
      </w:pPr>
      <w:r>
        <w:rPr>
          <w:rFonts w:cs="AGaramond-Regular" w:ascii="AGaramond-Regular" w:hAnsi="AGaramond-Regular"/>
          <w:sz w:val="21"/>
          <w:szCs w:val="21"/>
        </w:rPr>
        <w:t xml:space="preserve">available </w:t>
      </w:r>
      <w:r>
        <w:rPr>
          <w:rFonts w:eastAsia="AGaramond-Italic" w:cs="AGaramond-Italic" w:ascii="AGaramond-Italic" w:hAnsi="AGaramond-Italic"/>
          <w:i/>
          <w:iCs/>
          <w:sz w:val="21"/>
          <w:szCs w:val="21"/>
        </w:rPr>
        <w:t xml:space="preserve">positions </w:t>
      </w:r>
      <w:r>
        <w:rPr>
          <w:rFonts w:cs="AGaramond-Regular" w:ascii="AGaramond-Regular" w:hAnsi="AGaramond-Regular"/>
          <w:sz w:val="21"/>
          <w:szCs w:val="21"/>
        </w:rPr>
        <w:t xml:space="preserve">or </w:t>
      </w:r>
      <w:r>
        <w:rPr>
          <w:rFonts w:eastAsia="AGaramond-Italic" w:cs="AGaramond-Italic" w:ascii="AGaramond-Italic" w:hAnsi="AGaramond-Italic"/>
          <w:i/>
          <w:iCs/>
          <w:sz w:val="21"/>
          <w:szCs w:val="21"/>
        </w:rPr>
        <w:t xml:space="preserve">places </w:t>
      </w:r>
      <w:r>
        <w:rPr>
          <w:rFonts w:cs="AGaramond-Regular" w:ascii="AGaramond-Regular" w:hAnsi="AGaramond-Regular"/>
          <w:sz w:val="21"/>
          <w:szCs w:val="21"/>
        </w:rPr>
        <w:t>for other objects to occupy; and which (ii) places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two distinctive sorts of constraints on these positions. The first sort of constraint</w:t>
      </w:r>
    </w:p>
    <w:p>
      <w:pPr>
        <w:pStyle w:val="Normal"/>
        <w:spacing w:before="0" w:after="0"/>
        <w:contextualSpacing/>
        <w:rPr/>
      </w:pPr>
      <w:r>
        <w:rPr>
          <w:rFonts w:cs="AGaramond-Regular" w:ascii="AGaramond-Regular" w:hAnsi="AGaramond-Regular"/>
          <w:sz w:val="21"/>
          <w:szCs w:val="21"/>
        </w:rPr>
        <w:t xml:space="preserve">concerns the </w:t>
      </w:r>
      <w:r>
        <w:rPr>
          <w:rFonts w:eastAsia="AGaramond-Italic" w:cs="AGaramond-Italic" w:ascii="AGaramond-Italic" w:hAnsi="AGaramond-Italic"/>
          <w:i/>
          <w:iCs/>
          <w:sz w:val="21"/>
          <w:szCs w:val="21"/>
        </w:rPr>
        <w:t xml:space="preserve">type </w:t>
      </w:r>
      <w:r>
        <w:rPr>
          <w:rFonts w:cs="AGaramond-Regular" w:ascii="AGaramond-Regular" w:hAnsi="AGaramond-Regular"/>
          <w:sz w:val="21"/>
          <w:szCs w:val="21"/>
        </w:rPr>
        <w:t>of constituent which may occupy the position in question.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second sort of constraint concerns the particular geometrical or topological</w:t>
      </w:r>
    </w:p>
    <w:p>
      <w:pPr>
        <w:pStyle w:val="Normal"/>
        <w:spacing w:before="0" w:after="0"/>
        <w:contextualSpacing/>
        <w:rPr/>
      </w:pPr>
      <w:r>
        <w:rPr>
          <w:rFonts w:eastAsia="AGaramond-Italic" w:cs="AGaramond-Italic" w:ascii="AGaramond-Italic" w:hAnsi="AGaramond-Italic"/>
          <w:i/>
          <w:iCs/>
          <w:sz w:val="21"/>
          <w:szCs w:val="21"/>
        </w:rPr>
        <w:t xml:space="preserve">configuration </w:t>
      </w:r>
      <w:r>
        <w:rPr>
          <w:rFonts w:cs="AGaramond-Regular" w:ascii="AGaramond-Regular" w:hAnsi="AGaramond-Regular"/>
          <w:sz w:val="21"/>
          <w:szCs w:val="21"/>
        </w:rPr>
        <w:t xml:space="preserve">or </w:t>
      </w:r>
      <w:r>
        <w:rPr>
          <w:rFonts w:eastAsia="AGaramond-Italic" w:cs="AGaramond-Italic" w:ascii="AGaramond-Italic" w:hAnsi="AGaramond-Italic"/>
          <w:i/>
          <w:iCs/>
          <w:sz w:val="21"/>
          <w:szCs w:val="21"/>
        </w:rPr>
        <w:t xml:space="preserve">arrangement </w:t>
      </w:r>
      <w:r>
        <w:rPr>
          <w:rFonts w:cs="AGaramond-Regular" w:ascii="AGaramond-Regular" w:hAnsi="AGaramond-Regular"/>
          <w:sz w:val="21"/>
          <w:szCs w:val="21"/>
        </w:rPr>
        <w:t>which must be exhibited by these constituents, as a</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result of occupying the positions made available by the structure.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In some cases, these two sorts of constraints a structure places on its occupants</w:t>
      </w:r>
    </w:p>
    <w:p>
      <w:pPr>
        <w:pStyle w:val="Normal"/>
        <w:spacing w:before="0" w:after="0"/>
        <w:contextualSpacing/>
        <w:rPr/>
      </w:pPr>
      <w:r>
        <w:rPr>
          <w:rFonts w:cs="AGaramond-Regular" w:ascii="AGaramond-Regular" w:hAnsi="AGaramond-Regular"/>
          <w:sz w:val="21"/>
          <w:szCs w:val="21"/>
        </w:rPr>
        <w:t xml:space="preserve">also conspire to generate restrictions as to the exact </w:t>
      </w:r>
      <w:r>
        <w:rPr>
          <w:rFonts w:eastAsia="AGaramond-Italic" w:cs="AGaramond-Italic" w:ascii="AGaramond-Italic" w:hAnsi="AGaramond-Italic"/>
          <w:i/>
          <w:iCs/>
          <w:sz w:val="21"/>
          <w:szCs w:val="21"/>
        </w:rPr>
        <w:t xml:space="preserve">number </w:t>
      </w:r>
      <w:r>
        <w:rPr>
          <w:rFonts w:cs="AGaramond-Regular" w:ascii="AGaramond-Regular" w:hAnsi="AGaramond-Regular"/>
          <w:sz w:val="21"/>
          <w:szCs w:val="21"/>
        </w:rPr>
        <w:t>of constituents a</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particular kind of compound must have: for example, the structure associated</w:t>
      </w:r>
    </w:p>
    <w:p>
      <w:pPr>
        <w:pStyle w:val="Normal"/>
        <w:spacing w:before="0" w:after="0"/>
        <w:contextualSpacing/>
        <w:rPr/>
      </w:pPr>
      <w:r>
        <w:rPr>
          <w:rFonts w:cs="AGaramond-Regular" w:ascii="AGaramond-Regular" w:hAnsi="AGaramond-Regular"/>
          <w:sz w:val="21"/>
          <w:szCs w:val="21"/>
        </w:rPr>
        <w:t>withH</w:t>
      </w:r>
      <w:r>
        <w:rPr>
          <w:rFonts w:cs="AGaramond-Regular" w:ascii="AGaramond-Regular" w:hAnsi="AGaramond-Regular"/>
          <w:sz w:val="15"/>
          <w:szCs w:val="15"/>
        </w:rPr>
        <w:t>2</w:t>
      </w:r>
      <w:r>
        <w:rPr>
          <w:rFonts w:cs="AGaramond-Regular" w:ascii="AGaramond-Regular" w:hAnsi="AGaramond-Regular"/>
          <w:sz w:val="21"/>
          <w:szCs w:val="21"/>
        </w:rPr>
        <w:t>Omolecules makes available exactly three positions that may be occupied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by hydrogen and oxygen atoms respectively, while that associated with the logical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connective ‘‘and’’ makes available exactly two positions that may be occupied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by any grammatically well-formed truth-evaluable sentence of the language in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question. Other structures, however, are more lenient when it comes to the precise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number of positions allowed in a particular formation: the musical structure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associated with a twelve-bar blues, for example, does not legislate exactly how</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many notes must occur in a particular manifestation of this structure; moreover,</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w:t>
      </w:r>
      <w:r>
        <w:rPr>
          <w:rFonts w:cs="AGaramond-Regular" w:ascii="AGaramond-Regular" w:hAnsi="AGaramond-Regular"/>
          <w:sz w:val="21"/>
          <w:szCs w:val="21"/>
        </w:rPr>
        <w:t>John is likely to leave’’ and ‘‘John is likely to leave in a hurry’’ both exemplify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basic pattern of a raising construction, even though the second sentence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contains more words than the first. (259)</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numerical identity of the items occupying the positions made available by a structure is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generally unimportant to the question of whether the structure in question has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been successfully implemented; the individual occupants of these positions are</w:t>
      </w:r>
    </w:p>
    <w:p>
      <w:pPr>
        <w:pStyle w:val="Normal"/>
        <w:spacing w:before="0" w:after="0"/>
        <w:contextualSpacing/>
        <w:rPr/>
      </w:pPr>
      <w:r>
        <w:rPr>
          <w:rFonts w:cs="AGaramond-Regular" w:ascii="AGaramond-Regular" w:hAnsi="AGaramond-Regular"/>
          <w:sz w:val="21"/>
          <w:szCs w:val="21"/>
        </w:rPr>
        <w:t xml:space="preserve">thus </w:t>
      </w:r>
      <w:r>
        <w:rPr>
          <w:rFonts w:eastAsia="AGaramond-Italic" w:cs="AGaramond-Italic" w:ascii="AGaramond-Italic" w:hAnsi="AGaramond-Italic"/>
          <w:i/>
          <w:iCs/>
          <w:sz w:val="21"/>
          <w:szCs w:val="21"/>
        </w:rPr>
        <w:t xml:space="preserve">variable </w:t>
      </w:r>
      <w:r>
        <w:rPr>
          <w:rFonts w:cs="AGaramond-Regular" w:ascii="AGaramond-Regular" w:hAnsi="AGaramond-Regular"/>
          <w:sz w:val="21"/>
          <w:szCs w:val="21"/>
        </w:rPr>
        <w:t>from the point of view of the structure. What matters concerning</w:t>
      </w:r>
    </w:p>
    <w:p>
      <w:pPr>
        <w:pStyle w:val="Normal"/>
        <w:spacing w:before="0" w:after="0"/>
        <w:contextualSpacing/>
        <w:rPr/>
      </w:pPr>
      <w:r>
        <w:rPr>
          <w:rFonts w:cs="AGaramond-Regular" w:ascii="AGaramond-Regular" w:hAnsi="AGaramond-Regular"/>
          <w:sz w:val="21"/>
          <w:szCs w:val="21"/>
        </w:rPr>
        <w:t xml:space="preserve">these items, and what is hence taken as </w:t>
      </w:r>
      <w:r>
        <w:rPr>
          <w:rFonts w:eastAsia="AGaramond-Italic" w:cs="AGaramond-Italic" w:ascii="AGaramond-Italic" w:hAnsi="AGaramond-Italic"/>
          <w:i/>
          <w:iCs/>
          <w:sz w:val="21"/>
          <w:szCs w:val="21"/>
        </w:rPr>
        <w:t>invariable</w:t>
      </w:r>
      <w:r>
        <w:rPr>
          <w:rFonts w:cs="AGaramond-Regular" w:ascii="AGaramond-Regular" w:hAnsi="AGaramond-Regular"/>
          <w:sz w:val="21"/>
          <w:szCs w:val="21"/>
        </w:rPr>
        <w:t>, from the point of view of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structure, is only their type and their configuration.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When we say that structural concerns are prominent in a specific discipline,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what we mean is that the theories, axioms or laws formulated by the discipline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in question focus in particular on capturing the behavior of those elements that</w:t>
      </w:r>
    </w:p>
    <w:p>
      <w:pPr>
        <w:pStyle w:val="Normal"/>
        <w:spacing w:before="0" w:after="0"/>
        <w:contextualSpacing/>
        <w:rPr/>
      </w:pPr>
      <w:r>
        <w:rPr>
          <w:rFonts w:cs="AGaramond-Regular" w:ascii="AGaramond-Regular" w:hAnsi="AGaramond-Regular"/>
          <w:sz w:val="21"/>
          <w:szCs w:val="21"/>
        </w:rPr>
        <w:t xml:space="preserve">are designated as </w:t>
      </w:r>
      <w:r>
        <w:rPr>
          <w:rFonts w:eastAsia="AGaramond-Italic" w:cs="AGaramond-Italic" w:ascii="AGaramond-Italic" w:hAnsi="AGaramond-Italic"/>
          <w:i/>
          <w:iCs/>
          <w:sz w:val="21"/>
          <w:szCs w:val="21"/>
        </w:rPr>
        <w:t xml:space="preserve">invariable </w:t>
      </w:r>
      <w:r>
        <w:rPr>
          <w:rFonts w:cs="AGaramond-Regular" w:ascii="AGaramond-Regular" w:hAnsi="AGaramond-Regular"/>
          <w:sz w:val="21"/>
          <w:szCs w:val="21"/>
        </w:rPr>
        <w:t>within a given context. (259-60)</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ListParagraph"/>
        <w:numPr>
          <w:ilvl w:val="0"/>
          <w:numId w:val="31"/>
        </w:numPr>
        <w:spacing w:before="0" w:after="0"/>
        <w:contextualSpacing/>
        <w:rPr>
          <w:rFonts w:ascii="MinionPro-Regular" w:hAnsi="MinionPro-Regular" w:eastAsia="MyriadPro-Bold" w:cs="MinionPro-Regular"/>
          <w:b/>
          <w:b/>
          <w:sz w:val="28"/>
          <w:szCs w:val="28"/>
        </w:rPr>
      </w:pPr>
      <w:r>
        <w:rPr>
          <w:rFonts w:eastAsia="MyriadPro-Bold" w:cs="MinionPro-Regular" w:ascii="MinionPro-Regular" w:hAnsi="MinionPro-Regular"/>
          <w:b/>
          <w:sz w:val="28"/>
          <w:szCs w:val="28"/>
        </w:rPr>
        <w:t>(2018) UNBELIEVABLE similarities between Ferraris’s ideas (2012) and my ideas (2002-2008)</w:t>
      </w:r>
    </w:p>
    <w:p>
      <w:pPr>
        <w:pStyle w:val="Normal"/>
        <w:spacing w:before="0" w:after="0"/>
        <w:contextualSpacing/>
        <w:rPr>
          <w:rFonts w:ascii="MinionPro-Regular" w:hAnsi="MinionPro-Regular" w:eastAsia="MyriadPro-Bold" w:cs="MinionPro-Regular"/>
          <w:b/>
          <w:b/>
          <w:sz w:val="28"/>
          <w:szCs w:val="28"/>
        </w:rPr>
      </w:pPr>
      <w:r>
        <w:rPr>
          <w:rFonts w:eastAsia="MyriadPro-Bold" w:cs="MinionPro-Regular" w:ascii="MinionPro-Regular" w:hAnsi="MinionPro-Regular"/>
          <w:b/>
          <w:sz w:val="28"/>
          <w:szCs w:val="28"/>
        </w:rPr>
      </w:r>
    </w:p>
    <w:p>
      <w:pPr>
        <w:pStyle w:val="Normal"/>
        <w:spacing w:before="0" w:after="0"/>
        <w:contextualSpacing/>
        <w:rPr/>
      </w:pPr>
      <w:r>
        <w:rPr>
          <w:rFonts w:eastAsia="MyriadPro-Bold" w:cs="MinionPro-Regular" w:ascii="MinionPro-Regular" w:hAnsi="MinionPro-Regular"/>
          <w:b/>
          <w:sz w:val="28"/>
          <w:szCs w:val="28"/>
        </w:rPr>
        <w:t xml:space="preserve">Maurizio Ferraris (2014/2005) </w:t>
      </w:r>
      <w:r>
        <w:rPr>
          <w:rFonts w:eastAsia="MyriadPro-Bold" w:cs="MyriadPro-Bold" w:ascii="MyriadPro-Bold" w:hAnsi="MyriadPro-Bold"/>
          <w:b/>
          <w:bCs/>
          <w:sz w:val="28"/>
          <w:szCs w:val="28"/>
        </w:rPr>
        <w:t>WHERE ARE YOU?</w:t>
      </w:r>
    </w:p>
    <w:p>
      <w:pPr>
        <w:pStyle w:val="Normal"/>
        <w:spacing w:before="0" w:after="0"/>
        <w:contextualSpacing/>
        <w:rPr>
          <w:rFonts w:ascii="MinionPro-It" w:hAnsi="MinionPro-It" w:eastAsia="MyriadPro-Bold" w:cs="MinionPro-It"/>
          <w:b/>
          <w:b/>
          <w:i/>
          <w:i/>
          <w:iCs/>
          <w:sz w:val="28"/>
          <w:szCs w:val="28"/>
        </w:rPr>
      </w:pPr>
      <w:r>
        <w:rPr>
          <w:rFonts w:eastAsia="MyriadPro-Bold" w:cs="MinionPro-It" w:ascii="MinionPro-It" w:hAnsi="MinionPro-It"/>
          <w:b/>
          <w:i/>
          <w:iCs/>
          <w:sz w:val="28"/>
          <w:szCs w:val="28"/>
        </w:rPr>
        <w:t>An Ontology of the Cell Phone</w:t>
      </w:r>
    </w:p>
    <w:p>
      <w:pPr>
        <w:pStyle w:val="Normal"/>
        <w:spacing w:before="0" w:after="0"/>
        <w:contextualSpacing/>
        <w:rPr/>
      </w:pPr>
      <w:r>
        <w:rPr>
          <w:rFonts w:eastAsia="MyriadPro-Bold" w:cs="MinionPro-Regular" w:ascii="MinionPro-Regular" w:hAnsi="MinionPro-Regular"/>
        </w:rPr>
        <w:t xml:space="preserve">(2014 </w:t>
      </w:r>
      <w:r>
        <w:rPr>
          <w:rFonts w:cs="MinionPro-Regular" w:ascii="MinionPro-Regular" w:hAnsi="MinionPro-Regular"/>
        </w:rPr>
        <w:t xml:space="preserve">2014 Fordham University Press  </w:t>
      </w:r>
      <w:r>
        <w:rPr>
          <w:rFonts w:cs="MinionPro-It" w:ascii="MinionPro-It" w:hAnsi="MinionPro-It"/>
          <w:i/>
          <w:iCs/>
        </w:rPr>
        <w:t>Dove sei? Ontologia del telefonino</w:t>
      </w:r>
      <w:r>
        <w:rPr>
          <w:rFonts w:cs="MinionPro-Regular" w:ascii="MinionPro-Regular" w:hAnsi="MinionPro-Regular"/>
        </w:rPr>
        <w:t>, by</w:t>
      </w:r>
    </w:p>
    <w:p>
      <w:pPr>
        <w:pStyle w:val="Normal"/>
        <w:spacing w:before="0" w:after="0"/>
        <w:contextualSpacing/>
        <w:rPr/>
      </w:pPr>
      <w:r>
        <w:rPr>
          <w:rFonts w:cs="MinionPro-Regular" w:ascii="MinionPro-Regular" w:hAnsi="MinionPro-Regular"/>
        </w:rPr>
        <w:t>Bompiani, in 2005, © RCS Libri S.p.A. - Milano</w:t>
      </w:r>
      <w:r>
        <w:rPr>
          <w:rFonts w:eastAsia="MyriadPro-Bold" w:cs="MinionPro-Regular" w:ascii="MinionPro-Regular" w:hAnsi="MinionPro-Regular"/>
        </w:rPr>
        <w:t>) Translated by Sarah De Sanctis</w:t>
      </w:r>
    </w:p>
    <w:p>
      <w:pPr>
        <w:pStyle w:val="Normal"/>
        <w:spacing w:before="0" w:after="0"/>
        <w:contextualSpacing/>
        <w:rPr>
          <w:rFonts w:ascii="MinionPro-Regular" w:hAnsi="MinionPro-Regular" w:eastAsia="MyriadPro-Bold" w:cs="MinionPro-Regular"/>
        </w:rPr>
      </w:pPr>
      <w:r>
        <w:rPr>
          <w:rFonts w:eastAsia="MyriadPro-Bold" w:cs="MinionPro-Regular" w:ascii="MinionPro-Regular" w:hAnsi="MinionPro-Regular"/>
        </w:rPr>
      </w:r>
    </w:p>
    <w:p>
      <w:pPr>
        <w:pStyle w:val="Normal"/>
        <w:spacing w:before="0" w:after="0"/>
        <w:contextualSpacing/>
        <w:rPr>
          <w:rFonts w:ascii="MinionPro-Regular" w:hAnsi="MinionPro-Regular" w:eastAsia="MyriadPro-Bold" w:cs="MinionPro-Regular"/>
          <w:b/>
          <w:b/>
        </w:rPr>
      </w:pPr>
      <w:r>
        <w:rPr>
          <w:rFonts w:eastAsia="MyriadPro-Bold" w:cs="MinionPro-Regular" w:ascii="MinionPro-Regular" w:hAnsi="MinionPro-Regular"/>
          <w:b/>
        </w:rPr>
        <w:t>[This book has nothing to do with my EDWs perspective !!! There is no one similar idea to my ideas in this book! ! However, in his book 2012, there are UNBELIEVABLE similar ideas to my ideas! –see below]</w:t>
      </w:r>
    </w:p>
    <w:p>
      <w:pPr>
        <w:pStyle w:val="Normal"/>
        <w:spacing w:before="0" w:after="0"/>
        <w:contextualSpacing/>
        <w:rPr>
          <w:rFonts w:ascii="MinionPro-Regular" w:hAnsi="MinionPro-Regular" w:eastAsia="MyriadPro-Bold" w:cs="MinionPro-Regular"/>
        </w:rPr>
      </w:pPr>
      <w:r>
        <w:rPr>
          <w:rFonts w:eastAsia="MyriadPro-Bold" w:cs="MinionPro-Regular" w:ascii="MinionPro-Regular" w:hAnsi="MinionPro-Regular"/>
        </w:rPr>
      </w:r>
    </w:p>
    <w:p>
      <w:pPr>
        <w:pStyle w:val="Normal"/>
        <w:spacing w:before="0" w:after="0"/>
        <w:contextualSpacing/>
        <w:rPr>
          <w:rFonts w:ascii="MinionPro-Regular" w:hAnsi="MinionPro-Regular" w:cs="MinionPro-Regular"/>
        </w:rPr>
      </w:pPr>
      <w:r>
        <w:rPr>
          <w:rFonts w:cs="MinionPro-Regular" w:ascii="MinionPro-Regular" w:hAnsi="MinionPro-Regular"/>
        </w:rPr>
        <w:t>42 In a nutshell, one might formulate the following framework:</w:t>
      </w:r>
    </w:p>
    <w:p>
      <w:pPr>
        <w:pStyle w:val="Normal"/>
        <w:spacing w:before="0" w:after="0"/>
        <w:contextualSpacing/>
        <w:rPr/>
      </w:pPr>
      <w:r>
        <w:rPr>
          <w:rFonts w:cs="MinionPro-Regular" w:ascii="MinionPro-Regular" w:hAnsi="MinionPro-Regular"/>
        </w:rPr>
        <w:t xml:space="preserve">1. In the world there are </w:t>
      </w:r>
      <w:r>
        <w:rPr>
          <w:rFonts w:cs="MinionPro-It" w:ascii="MinionPro-It" w:hAnsi="MinionPro-It"/>
          <w:i/>
          <w:iCs/>
        </w:rPr>
        <w:t xml:space="preserve">subjects </w:t>
      </w:r>
      <w:r>
        <w:rPr>
          <w:rFonts w:cs="MinionPro-Regular" w:ascii="MinionPro-Regular" w:hAnsi="MinionPro-Regular"/>
        </w:rPr>
        <w:t xml:space="preserve">and </w:t>
      </w:r>
      <w:r>
        <w:rPr>
          <w:rFonts w:cs="MinionPro-It" w:ascii="MinionPro-It" w:hAnsi="MinionPro-It"/>
          <w:i/>
          <w:iCs/>
        </w:rPr>
        <w:t>objects</w:t>
      </w:r>
      <w:r>
        <w:rPr>
          <w:rFonts w:cs="MinionPro-Regular" w:ascii="MinionPro-Regular" w:hAnsi="MinionPro-Regular"/>
        </w:rPr>
        <w:t>. Subjects refer to objects</w:t>
      </w:r>
    </w:p>
    <w:p>
      <w:pPr>
        <w:pStyle w:val="Normal"/>
        <w:spacing w:before="0" w:after="0"/>
        <w:contextualSpacing/>
        <w:rPr>
          <w:rFonts w:ascii="MinionPro-Regular" w:hAnsi="MinionPro-Regular" w:cs="MinionPro-Regular"/>
        </w:rPr>
      </w:pPr>
      <w:r>
        <w:rPr>
          <w:rFonts w:cs="MinionPro-Regular" w:ascii="MinionPro-Regular" w:hAnsi="MinionPro-Regular"/>
        </w:rPr>
        <w:t>(they represent them, have them in mind, do something with them), that</w:t>
      </w:r>
    </w:p>
    <w:p>
      <w:pPr>
        <w:pStyle w:val="Normal"/>
        <w:spacing w:before="0" w:after="0"/>
        <w:contextualSpacing/>
        <w:rPr>
          <w:rFonts w:ascii="MinionPro-Regular" w:hAnsi="MinionPro-Regular" w:cs="MinionPro-Regular"/>
        </w:rPr>
      </w:pPr>
      <w:r>
        <w:rPr>
          <w:rFonts w:cs="MinionPro-Regular" w:ascii="MinionPro-Regular" w:hAnsi="MinionPro-Regular"/>
        </w:rPr>
        <w:t>is, they are endowed with intentionality;44 objects do not refer to subjects.</w:t>
      </w:r>
    </w:p>
    <w:p>
      <w:pPr>
        <w:pStyle w:val="Normal"/>
        <w:spacing w:before="0" w:after="0"/>
        <w:contextualSpacing/>
        <w:rPr/>
      </w:pPr>
      <w:r>
        <w:rPr>
          <w:rFonts w:cs="MinionPro-Regular" w:ascii="MinionPro-Regular" w:hAnsi="MinionPro-Regular"/>
        </w:rPr>
        <w:t xml:space="preserve">2. Objects are of three kinds: (a) </w:t>
      </w:r>
      <w:r>
        <w:rPr>
          <w:rFonts w:cs="MinionPro-It" w:ascii="MinionPro-It" w:hAnsi="MinionPro-It"/>
          <w:i/>
          <w:iCs/>
        </w:rPr>
        <w:t xml:space="preserve">physical objects </w:t>
      </w:r>
      <w:r>
        <w:rPr>
          <w:rFonts w:cs="MinionPro-Regular" w:ascii="MinionPro-Regular" w:hAnsi="MinionPro-Regular"/>
        </w:rPr>
        <w:t>(mountains, rivers, and</w:t>
      </w:r>
    </w:p>
    <w:p>
      <w:pPr>
        <w:pStyle w:val="Normal"/>
        <w:spacing w:before="0" w:after="0"/>
        <w:contextualSpacing/>
        <w:rPr>
          <w:rFonts w:ascii="MinionPro-Regular" w:hAnsi="MinionPro-Regular" w:cs="MinionPro-Regular"/>
        </w:rPr>
      </w:pPr>
      <w:r>
        <w:rPr>
          <w:rFonts w:cs="MinionPro-Regular" w:ascii="MinionPro-Regular" w:hAnsi="MinionPro-Regular"/>
        </w:rPr>
        <w:t>human and animal bodies) existing in time and space in de pen dently from</w:t>
      </w:r>
    </w:p>
    <w:p>
      <w:pPr>
        <w:pStyle w:val="Normal"/>
        <w:spacing w:before="0" w:after="0"/>
        <w:contextualSpacing/>
        <w:rPr>
          <w:rFonts w:ascii="MinionPro-Regular" w:hAnsi="MinionPro-Regular" w:cs="MinionPro-Regular"/>
        </w:rPr>
      </w:pPr>
      <w:r>
        <w:rPr>
          <w:rFonts w:cs="MinionPro-Regular" w:ascii="MinionPro-Regular" w:hAnsi="MinionPro-Regular"/>
        </w:rPr>
        <w:t>the subjects knowing them, even if they might have made them, like in the</w:t>
      </w:r>
    </w:p>
    <w:p>
      <w:pPr>
        <w:pStyle w:val="Normal"/>
        <w:spacing w:before="0" w:after="0"/>
        <w:contextualSpacing/>
        <w:rPr/>
      </w:pPr>
      <w:r>
        <w:rPr>
          <w:rFonts w:cs="MinionPro-Regular" w:ascii="MinionPro-Regular" w:hAnsi="MinionPro-Regular"/>
        </w:rPr>
        <w:t xml:space="preserve">case of artifacts (chairs, screwdrivers); (b) </w:t>
      </w:r>
      <w:r>
        <w:rPr>
          <w:rFonts w:cs="MinionPro-It" w:ascii="MinionPro-It" w:hAnsi="MinionPro-It"/>
          <w:i/>
          <w:iCs/>
        </w:rPr>
        <w:t xml:space="preserve">ideal objects </w:t>
      </w:r>
      <w:r>
        <w:rPr>
          <w:rFonts w:cs="MinionPro-Regular" w:ascii="MinionPro-Regular" w:hAnsi="MinionPro-Regular"/>
        </w:rPr>
        <w:t>(numbers, theorems,</w:t>
      </w:r>
    </w:p>
    <w:p>
      <w:pPr>
        <w:pStyle w:val="Normal"/>
        <w:spacing w:before="0" w:after="0"/>
        <w:contextualSpacing/>
        <w:rPr>
          <w:rFonts w:ascii="MinionPro-Regular" w:hAnsi="MinionPro-Regular" w:cs="MinionPro-Regular"/>
        </w:rPr>
      </w:pPr>
      <w:r>
        <w:rPr>
          <w:rFonts w:cs="MinionPro-Regular" w:ascii="MinionPro-Regular" w:hAnsi="MinionPro-Regular"/>
        </w:rPr>
        <w:t>relations) existing outside time and space and in de pen dently from</w:t>
      </w:r>
    </w:p>
    <w:p>
      <w:pPr>
        <w:pStyle w:val="Normal"/>
        <w:spacing w:before="0" w:after="0"/>
        <w:contextualSpacing/>
        <w:rPr>
          <w:rFonts w:ascii="MinionPro-Regular" w:hAnsi="MinionPro-Regular" w:cs="MinionPro-Regular"/>
        </w:rPr>
      </w:pPr>
      <w:r>
        <w:rPr>
          <w:rFonts w:cs="MinionPro-Regular" w:ascii="MinionPro-Regular" w:hAnsi="MinionPro-Regular"/>
        </w:rPr>
        <w:t>the subjects knowing them who, nonetheless, aft er knowing them, can socialize</w:t>
      </w:r>
    </w:p>
    <w:p>
      <w:pPr>
        <w:pStyle w:val="Normal"/>
        <w:spacing w:before="0" w:after="0"/>
        <w:contextualSpacing/>
        <w:rPr>
          <w:rFonts w:ascii="MinionPro-Regular" w:hAnsi="MinionPro-Regular" w:cs="MinionPro-Regular"/>
        </w:rPr>
      </w:pPr>
      <w:r>
        <w:rPr>
          <w:rFonts w:cs="MinionPro-Regular" w:ascii="MinionPro-Regular" w:hAnsi="MinionPro-Regular"/>
        </w:rPr>
        <w:t>them (for instance, the publication of a theorem: it will be the</w:t>
      </w:r>
    </w:p>
    <w:p>
      <w:pPr>
        <w:pStyle w:val="Normal"/>
        <w:spacing w:before="0" w:after="0"/>
        <w:contextualSpacing/>
        <w:rPr/>
      </w:pPr>
      <w:r>
        <w:rPr>
          <w:rFonts w:cs="MinionPro-Regular" w:ascii="MinionPro-Regular" w:hAnsi="MinionPro-Regular"/>
        </w:rPr>
        <w:t xml:space="preserve">publication that will begin in time, not the theorem itself); (c) </w:t>
      </w:r>
      <w:r>
        <w:rPr>
          <w:rFonts w:cs="MinionPro-It" w:ascii="MinionPro-It" w:hAnsi="MinionPro-It"/>
          <w:i/>
          <w:iCs/>
        </w:rPr>
        <w:t>social objects</w:t>
      </w:r>
      <w:r>
        <w:rPr>
          <w:rFonts w:cs="MinionPro-Regular" w:ascii="MinionPro-Regular" w:hAnsi="MinionPro-Regular"/>
        </w:rPr>
        <w:t>,</w:t>
      </w:r>
    </w:p>
    <w:p>
      <w:pPr>
        <w:pStyle w:val="Normal"/>
        <w:spacing w:before="0" w:after="0"/>
        <w:contextualSpacing/>
        <w:rPr/>
      </w:pPr>
      <w:r>
        <w:rPr>
          <w:rFonts w:cs="MinionPro-Regular" w:ascii="MinionPro-Regular" w:hAnsi="MinionPro-Regular"/>
        </w:rPr>
        <w:t xml:space="preserve">which do not exist </w:t>
      </w:r>
      <w:r>
        <w:rPr>
          <w:rFonts w:cs="MinionPro-It" w:ascii="MinionPro-It" w:hAnsi="MinionPro-It"/>
          <w:i/>
          <w:iCs/>
        </w:rPr>
        <w:t xml:space="preserve">as such </w:t>
      </w:r>
      <w:r>
        <w:rPr>
          <w:rFonts w:cs="MinionPro-Regular" w:ascii="MinionPro-Regular" w:hAnsi="MinionPro-Regular"/>
        </w:rPr>
        <w:t>in space but subsist as traces (inscriptions,</w:t>
      </w:r>
    </w:p>
    <w:p>
      <w:pPr>
        <w:pStyle w:val="Normal"/>
        <w:spacing w:before="0" w:after="0"/>
        <w:contextualSpacing/>
        <w:rPr>
          <w:rFonts w:ascii="MinionPro-Regular" w:hAnsi="MinionPro-Regular" w:cs="MinionPro-Regular"/>
        </w:rPr>
      </w:pPr>
      <w:r>
        <w:rPr>
          <w:rFonts w:cs="MinionPro-Regular" w:ascii="MinionPro-Regular" w:hAnsi="MinionPro-Regular"/>
        </w:rPr>
        <w:t>rec ords in people’s minds) and, through these traces, acquire duration in</w:t>
      </w:r>
    </w:p>
    <w:p>
      <w:pPr>
        <w:pStyle w:val="Normal"/>
        <w:spacing w:before="0" w:after="0"/>
        <w:contextualSpacing/>
        <w:rPr>
          <w:rFonts w:ascii="MinionPro-Regular" w:hAnsi="MinionPro-Regular" w:cs="MinionPro-Regular"/>
        </w:rPr>
      </w:pPr>
      <w:r>
        <w:rPr>
          <w:rFonts w:cs="MinionPro-Regular" w:ascii="MinionPro-Regular" w:hAnsi="MinionPro-Regular"/>
        </w:rPr>
        <w:t>time; they depend, for their existence, on the subjects who know or use</w:t>
      </w:r>
    </w:p>
    <w:p>
      <w:pPr>
        <w:pStyle w:val="Normal"/>
        <w:spacing w:before="0" w:after="0"/>
        <w:contextualSpacing/>
        <w:rPr>
          <w:rFonts w:ascii="MinionPro-Regular" w:hAnsi="MinionPro-Regular" w:cs="MinionPro-Regular"/>
        </w:rPr>
      </w:pPr>
      <w:r>
        <w:rPr>
          <w:rFonts w:cs="MinionPro-Regular" w:ascii="MinionPro-Regular" w:hAnsi="MinionPro-Regular"/>
        </w:rPr>
        <w:t>them and who, in some cases, constituted them.</w:t>
      </w:r>
    </w:p>
    <w:p>
      <w:pPr>
        <w:pStyle w:val="Normal"/>
        <w:spacing w:before="0" w:after="0"/>
        <w:contextualSpacing/>
        <w:rPr>
          <w:rFonts w:ascii="MinionPro-Regular" w:hAnsi="MinionPro-Regular" w:cs="MinionPro-Regular"/>
        </w:rPr>
      </w:pPr>
      <w:r>
        <w:rPr>
          <w:rFonts w:cs="MinionPro-Regular" w:ascii="MinionPro-Regular" w:hAnsi="MinionPro-Regular"/>
        </w:rPr>
        <w:t>3. Th is last circumstance warns us that social objects, for which construction</w:t>
      </w:r>
    </w:p>
    <w:p>
      <w:pPr>
        <w:pStyle w:val="Normal"/>
        <w:spacing w:before="0" w:after="0"/>
        <w:contextualSpacing/>
        <w:rPr/>
      </w:pPr>
      <w:r>
        <w:rPr>
          <w:rFonts w:cs="MinionPro-Regular" w:ascii="MinionPro-Regular" w:hAnsi="MinionPro-Regular"/>
        </w:rPr>
        <w:t xml:space="preserve">is necessary, depend on social </w:t>
      </w:r>
      <w:r>
        <w:rPr>
          <w:rFonts w:cs="MinionPro-It" w:ascii="MinionPro-It" w:hAnsi="MinionPro-It"/>
          <w:i/>
          <w:iCs/>
        </w:rPr>
        <w:t>acts</w:t>
      </w:r>
      <w:r>
        <w:rPr>
          <w:rFonts w:cs="MinionPro-Regular" w:ascii="MinionPro-Regular" w:hAnsi="MinionPro-Regular"/>
        </w:rPr>
        <w:t xml:space="preserve">, whose </w:t>
      </w:r>
      <w:r>
        <w:rPr>
          <w:rFonts w:cs="MinionPro-It" w:ascii="MinionPro-It" w:hAnsi="MinionPro-It"/>
          <w:i/>
          <w:iCs/>
        </w:rPr>
        <w:t xml:space="preserve">inscription </w:t>
      </w:r>
      <w:r>
        <w:rPr>
          <w:rFonts w:cs="MinionPro-Regular" w:ascii="MinionPro-Regular" w:hAnsi="MinionPro-Regular"/>
        </w:rPr>
        <w:t>constitutes</w:t>
      </w:r>
    </w:p>
    <w:p>
      <w:pPr>
        <w:pStyle w:val="Normal"/>
        <w:spacing w:before="0" w:after="0"/>
        <w:contextualSpacing/>
        <w:rPr/>
      </w:pPr>
      <w:r>
        <w:rPr>
          <w:rFonts w:cs="MinionPro-Regular" w:ascii="MinionPro-Regular" w:hAnsi="MinionPro-Regular"/>
        </w:rPr>
        <w:t xml:space="preserve">the </w:t>
      </w:r>
      <w:r>
        <w:rPr>
          <w:rFonts w:cs="MinionPro-It" w:ascii="MinionPro-It" w:hAnsi="MinionPro-It"/>
          <w:i/>
          <w:iCs/>
        </w:rPr>
        <w:t>object</w:t>
      </w:r>
      <w:r>
        <w:rPr>
          <w:rFonts w:cs="MinionPro-Regular" w:ascii="MinionPro-Regular" w:hAnsi="MinionPro-Regular"/>
        </w:rPr>
        <w:t>.45</w:t>
      </w:r>
    </w:p>
    <w:p>
      <w:pPr>
        <w:pStyle w:val="Normal"/>
        <w:spacing w:before="0" w:after="0"/>
        <w:contextualSpacing/>
        <w:rPr/>
      </w:pPr>
      <w:r>
        <w:rPr/>
      </w:r>
    </w:p>
    <w:p>
      <w:pPr>
        <w:pStyle w:val="Normal"/>
        <w:spacing w:before="0" w:after="0"/>
        <w:contextualSpacing/>
        <w:rPr/>
      </w:pPr>
      <w:r>
        <w:rPr/>
        <w:t xml:space="preserve">103 </w:t>
      </w:r>
      <w:r>
        <w:rPr>
          <w:rFonts w:cs="MinionPro-Regular" w:ascii="MinionPro-Regular" w:hAnsi="MinionPro-Regular"/>
        </w:rPr>
        <w:t xml:space="preserve">Th e fi rst has to do with </w:t>
      </w:r>
      <w:r>
        <w:rPr>
          <w:rFonts w:cs="MinionPro-It" w:ascii="MinionPro-It" w:hAnsi="MinionPro-It"/>
          <w:i/>
          <w:iCs/>
        </w:rPr>
        <w:t>existence</w:t>
      </w:r>
      <w:r>
        <w:rPr>
          <w:rFonts w:cs="MinionPro-Regular" w:ascii="MinionPro-Regular" w:hAnsi="MinionPro-Regular"/>
        </w:rPr>
        <w:t>. Physical objects are as big as the sum</w:t>
      </w:r>
    </w:p>
    <w:p>
      <w:pPr>
        <w:pStyle w:val="Normal"/>
        <w:spacing w:before="0" w:after="0"/>
        <w:contextualSpacing/>
        <w:rPr>
          <w:rFonts w:ascii="MinionPro-Regular" w:hAnsi="MinionPro-Regular" w:cs="MinionPro-Regular"/>
        </w:rPr>
      </w:pPr>
      <w:r>
        <w:rPr>
          <w:rFonts w:cs="MinionPro-Regular" w:ascii="MinionPro-Regular" w:hAnsi="MinionPro-Regular"/>
        </w:rPr>
        <w:t>of their molecules and change only if the latter change. Ideal objects exist</w:t>
      </w:r>
    </w:p>
    <w:p>
      <w:pPr>
        <w:pStyle w:val="Normal"/>
        <w:spacing w:before="0" w:after="0"/>
        <w:contextualSpacing/>
        <w:rPr>
          <w:rFonts w:ascii="MinionPro-Regular" w:hAnsi="MinionPro-Regular" w:cs="MinionPro-Regular"/>
        </w:rPr>
      </w:pPr>
      <w:r>
        <w:rPr>
          <w:rFonts w:cs="MinionPro-Regular" w:ascii="MinionPro-Regular" w:hAnsi="MinionPro-Regular"/>
        </w:rPr>
        <w:t>without molecules and would be such also in the supposed absence of all</w:t>
      </w:r>
    </w:p>
    <w:p>
      <w:pPr>
        <w:pStyle w:val="Normal"/>
        <w:spacing w:before="0" w:after="0"/>
        <w:contextualSpacing/>
        <w:rPr>
          <w:rFonts w:ascii="MinionPro-Regular" w:hAnsi="MinionPro-Regular" w:cs="MinionPro-Regular"/>
        </w:rPr>
      </w:pPr>
      <w:r>
        <w:rPr>
          <w:rFonts w:cs="MinionPro-Regular" w:ascii="MinionPro-Regular" w:hAnsi="MinionPro-Regular"/>
        </w:rPr>
        <w:t>intelligent life on earth, in de pen dently from any recording. On the contrary,</w:t>
      </w:r>
    </w:p>
    <w:p>
      <w:pPr>
        <w:pStyle w:val="Normal"/>
        <w:spacing w:before="0" w:after="0"/>
        <w:contextualSpacing/>
        <w:rPr/>
      </w:pPr>
      <w:r>
        <w:rPr>
          <w:rFonts w:cs="MinionPro-Regular" w:ascii="MinionPro-Regular" w:hAnsi="MinionPro-Regular"/>
        </w:rPr>
        <w:t xml:space="preserve">social objects exist if there is an </w:t>
      </w:r>
      <w:r>
        <w:rPr>
          <w:rFonts w:cs="MinionPro-It" w:ascii="MinionPro-It" w:hAnsi="MinionPro-It"/>
          <w:i/>
          <w:iCs/>
        </w:rPr>
        <w:t>act</w:t>
      </w:r>
      <w:r>
        <w:rPr>
          <w:rFonts w:cs="MinionPro-Regular" w:ascii="MinionPro-Regular" w:hAnsi="MinionPro-Regular"/>
        </w:rPr>
        <w:t>, even if a mute one, tying up at</w:t>
      </w:r>
    </w:p>
    <w:p>
      <w:pPr>
        <w:pStyle w:val="Normal"/>
        <w:spacing w:before="0" w:after="0"/>
        <w:contextualSpacing/>
        <w:rPr/>
      </w:pPr>
      <w:r>
        <w:rPr>
          <w:rFonts w:cs="MinionPro-Regular" w:ascii="MinionPro-Regular" w:hAnsi="MinionPro-Regular"/>
        </w:rPr>
        <w:t xml:space="preserve">least two people, and if there is an </w:t>
      </w:r>
      <w:r>
        <w:rPr>
          <w:rFonts w:cs="MinionPro-It" w:ascii="MinionPro-It" w:hAnsi="MinionPro-It"/>
          <w:i/>
          <w:iCs/>
        </w:rPr>
        <w:t>inscription</w:t>
      </w:r>
      <w:r>
        <w:rPr>
          <w:rFonts w:cs="MinionPro-Regular" w:ascii="MinionPro-Regular" w:hAnsi="MinionPro-Regular"/>
        </w:rPr>
        <w:t>, entailing a (small) quantity</w:t>
      </w:r>
    </w:p>
    <w:p>
      <w:pPr>
        <w:pStyle w:val="Normal"/>
        <w:spacing w:before="0" w:after="0"/>
        <w:contextualSpacing/>
        <w:rPr>
          <w:rFonts w:ascii="MinionPro-Regular" w:hAnsi="MinionPro-Regular" w:cs="MinionPro-Regular"/>
        </w:rPr>
      </w:pPr>
      <w:r>
        <w:rPr>
          <w:rFonts w:cs="MinionPro-Regular" w:ascii="MinionPro-Regular" w:hAnsi="MinionPro-Regular"/>
        </w:rPr>
        <w:t>of molecules that can change without altering the nature of the object.</w:t>
      </w:r>
    </w:p>
    <w:p>
      <w:pPr>
        <w:pStyle w:val="Normal"/>
        <w:spacing w:before="0" w:after="0"/>
        <w:contextualSpacing/>
        <w:rPr>
          <w:rFonts w:ascii="MinionPro-Regular" w:hAnsi="MinionPro-Regular" w:cs="MinionPro-Regular"/>
        </w:rPr>
      </w:pPr>
      <w:r>
        <w:rPr>
          <w:rFonts w:cs="MinionPro-Regular" w:ascii="MinionPro-Regular" w:hAnsi="MinionPro-Regular"/>
        </w:rPr>
        <w:t>I can take a mental note of an appointment, I can write it down on my</w:t>
      </w:r>
    </w:p>
    <w:p>
      <w:pPr>
        <w:pStyle w:val="Normal"/>
        <w:spacing w:before="0" w:after="0"/>
        <w:contextualSpacing/>
        <w:rPr>
          <w:rFonts w:ascii="MinionPro-Regular" w:hAnsi="MinionPro-Regular" w:cs="MinionPro-Regular"/>
        </w:rPr>
      </w:pPr>
      <w:r>
        <w:rPr>
          <w:rFonts w:cs="MinionPro-Regular" w:ascii="MinionPro-Regular" w:hAnsi="MinionPro-Regular"/>
        </w:rPr>
        <w:t>agenda or in my mobile phone: the appointment is still the same, unlike</w:t>
      </w:r>
    </w:p>
    <w:p>
      <w:pPr>
        <w:pStyle w:val="Normal"/>
        <w:spacing w:before="0" w:after="0"/>
        <w:contextualSpacing/>
        <w:rPr>
          <w:rFonts w:ascii="MinionPro-Regular" w:hAnsi="MinionPro-Regular" w:cs="MinionPro-Regular"/>
        </w:rPr>
      </w:pPr>
      <w:r>
        <w:rPr>
          <w:rFonts w:cs="MinionPro-Regular" w:ascii="MinionPro-Regular" w:hAnsi="MinionPro-Regular"/>
        </w:rPr>
        <w:t>the physical objects. It is the same with memos: I can use Mount Blanc or a</w:t>
      </w:r>
    </w:p>
    <w:p>
      <w:pPr>
        <w:pStyle w:val="Normal"/>
        <w:spacing w:before="0" w:after="0"/>
        <w:contextualSpacing/>
        <w:rPr/>
      </w:pPr>
      <w:r>
        <w:rPr>
          <w:rFonts w:cs="MinionPro-Regular" w:ascii="MinionPro-Regular" w:hAnsi="MinionPro-Regular"/>
        </w:rPr>
        <w:t xml:space="preserve">pin to remind me of something, but the </w:t>
      </w:r>
      <w:r>
        <w:rPr>
          <w:rFonts w:cs="MinionPro-It" w:ascii="MinionPro-It" w:hAnsi="MinionPro-It"/>
          <w:i/>
          <w:iCs/>
        </w:rPr>
        <w:t xml:space="preserve">memorandum </w:t>
      </w:r>
      <w:r>
        <w:rPr>
          <w:rFonts w:cs="MinionPro-Regular" w:ascii="MinionPro-Regular" w:hAnsi="MinionPro-Regular"/>
        </w:rPr>
        <w:t>stays the same.</w:t>
      </w:r>
    </w:p>
    <w:p>
      <w:pPr>
        <w:pStyle w:val="Normal"/>
        <w:spacing w:before="0" w:after="0"/>
        <w:contextualSpacing/>
        <w:rPr>
          <w:rFonts w:ascii="MinionPro-Regular" w:hAnsi="MinionPro-Regular" w:cs="MinionPro-Regular"/>
        </w:rPr>
      </w:pPr>
      <w:r>
        <w:rPr>
          <w:rFonts w:cs="MinionPro-Regular" w:ascii="MinionPro-Regular" w:hAnsi="MinionPro-Regular"/>
        </w:rPr>
        <w:t>Th e second diff erence has to do with objectivity. Th e marvelous character</w:t>
      </w:r>
    </w:p>
    <w:p>
      <w:pPr>
        <w:pStyle w:val="Normal"/>
        <w:spacing w:before="0" w:after="0"/>
        <w:contextualSpacing/>
        <w:rPr>
          <w:rFonts w:ascii="MinionPro-Regular" w:hAnsi="MinionPro-Regular" w:cs="MinionPro-Regular"/>
        </w:rPr>
      </w:pPr>
      <w:r>
        <w:rPr>
          <w:rFonts w:cs="MinionPro-Regular" w:ascii="MinionPro-Regular" w:hAnsi="MinionPro-Regular"/>
        </w:rPr>
        <w:t>of social objects— what makes them diff erent from, for instance, tastes</w:t>
      </w:r>
    </w:p>
    <w:p>
      <w:pPr>
        <w:pStyle w:val="Normal"/>
        <w:spacing w:before="0" w:after="0"/>
        <w:contextualSpacing/>
        <w:rPr/>
      </w:pPr>
      <w:r>
        <w:rPr>
          <w:rFonts w:cs="MinionPro-Regular" w:ascii="MinionPro-Regular" w:hAnsi="MinionPro-Regular"/>
        </w:rPr>
        <w:t xml:space="preserve">and imagination— lies in the fact that </w:t>
      </w:r>
      <w:r>
        <w:rPr>
          <w:rFonts w:cs="MinionPro-It" w:ascii="MinionPro-It" w:hAnsi="MinionPro-It"/>
          <w:i/>
          <w:iCs/>
        </w:rPr>
        <w:t>while depending on subjects, they are</w:t>
      </w:r>
    </w:p>
    <w:p>
      <w:pPr>
        <w:pStyle w:val="Normal"/>
        <w:spacing w:before="0" w:after="0"/>
        <w:contextualSpacing/>
        <w:rPr/>
      </w:pPr>
      <w:r>
        <w:rPr>
          <w:rFonts w:cs="MinionPro-It" w:ascii="MinionPro-It" w:hAnsi="MinionPro-It"/>
          <w:i/>
          <w:iCs/>
        </w:rPr>
        <w:t>not subjective</w:t>
      </w:r>
      <w:r>
        <w:rPr>
          <w:rFonts w:cs="MinionPro-Regular" w:ascii="MinionPro-Regular" w:hAnsi="MinionPro-Regular"/>
        </w:rPr>
        <w:t>. Th is point is obvious, yet it is oft en misunderstood, given</w:t>
      </w:r>
    </w:p>
    <w:p>
      <w:pPr>
        <w:pStyle w:val="Normal"/>
        <w:spacing w:before="0" w:after="0"/>
        <w:contextualSpacing/>
        <w:rPr>
          <w:rFonts w:ascii="MinionPro-Regular" w:hAnsi="MinionPro-Regular" w:cs="MinionPro-Regular"/>
        </w:rPr>
      </w:pPr>
      <w:r>
        <w:rPr>
          <w:rFonts w:cs="MinionPro-Regular" w:ascii="MinionPro-Regular" w:hAnsi="MinionPro-Regular"/>
        </w:rPr>
        <w:t>that one of the most banal and false assumptions on this is that social objects</w:t>
      </w:r>
    </w:p>
    <w:p>
      <w:pPr>
        <w:pStyle w:val="Normal"/>
        <w:spacing w:before="0" w:after="0"/>
        <w:contextualSpacing/>
        <w:rPr>
          <w:rFonts w:ascii="MinionPro-Regular" w:hAnsi="MinionPro-Regular" w:cs="MinionPro-Regular"/>
        </w:rPr>
      </w:pPr>
      <w:r>
        <w:rPr>
          <w:rFonts w:cs="MinionPro-Regular" w:ascii="MinionPro-Regular" w:hAnsi="MinionPro-Regular"/>
        </w:rPr>
        <w:t>are subjective. Th ere is clearly some confusion about the meaning of</w:t>
      </w:r>
    </w:p>
    <w:p>
      <w:pPr>
        <w:pStyle w:val="Normal"/>
        <w:spacing w:before="0" w:after="0"/>
        <w:contextualSpacing/>
        <w:rPr/>
      </w:pPr>
      <w:r>
        <w:rPr>
          <w:rFonts w:cs="MinionPro-It" w:ascii="MinionPro-It" w:hAnsi="MinionPro-It"/>
          <w:i/>
          <w:iCs/>
        </w:rPr>
        <w:t>subjective</w:t>
      </w:r>
      <w:r>
        <w:rPr>
          <w:rFonts w:cs="MinionPro-Regular" w:ascii="MinionPro-Regular" w:hAnsi="MinionPro-Regular"/>
        </w:rPr>
        <w:t xml:space="preserve">. I can </w:t>
      </w:r>
      <w:r>
        <w:rPr>
          <w:rFonts w:cs="MinionPro-It" w:ascii="MinionPro-It" w:hAnsi="MinionPro-It"/>
          <w:i/>
          <w:iCs/>
        </w:rPr>
        <w:t xml:space="preserve">fi nd </w:t>
      </w:r>
      <w:r>
        <w:rPr>
          <w:rFonts w:cs="MinionPro-Regular" w:ascii="MinionPro-Regular" w:hAnsi="MinionPro-Regular"/>
        </w:rPr>
        <w:t>a picture ugly even if everyone else loves it, and this is</w:t>
      </w:r>
    </w:p>
    <w:p>
      <w:pPr>
        <w:pStyle w:val="Normal"/>
        <w:spacing w:before="0" w:after="0"/>
        <w:contextualSpacing/>
        <w:rPr/>
      </w:pPr>
      <w:r>
        <w:rPr>
          <w:rFonts w:cs="MinionPro-Regular" w:ascii="MinionPro-Regular" w:hAnsi="MinionPro-Regular"/>
        </w:rPr>
        <w:t xml:space="preserve">what we call subjective: </w:t>
      </w:r>
      <w:r>
        <w:rPr>
          <w:rFonts w:cs="MinionPro-It" w:ascii="MinionPro-It" w:hAnsi="MinionPro-It"/>
          <w:i/>
          <w:iCs/>
        </w:rPr>
        <w:t>de gustibus non disputandum est</w:t>
      </w:r>
      <w:r>
        <w:rPr>
          <w:rFonts w:cs="MinionPro-Regular" w:ascii="MinionPro-Regular" w:hAnsi="MinionPro-Regular"/>
        </w:rPr>
        <w:t xml:space="preserve">. I can also </w:t>
      </w:r>
      <w:r>
        <w:rPr>
          <w:rFonts w:cs="MinionPro-It" w:ascii="MinionPro-It" w:hAnsi="MinionPro-It"/>
          <w:i/>
          <w:iCs/>
        </w:rPr>
        <w:t xml:space="preserve">say </w:t>
      </w:r>
      <w:r>
        <w:rPr>
          <w:rFonts w:cs="MinionPro-Regular" w:ascii="MinionPro-Regular" w:hAnsi="MinionPro-Regular"/>
        </w:rPr>
        <w:t>that</w:t>
      </w:r>
    </w:p>
    <w:p>
      <w:pPr>
        <w:pStyle w:val="Normal"/>
        <w:spacing w:before="0" w:after="0"/>
        <w:contextualSpacing/>
        <w:rPr>
          <w:rFonts w:ascii="MinionPro-Regular" w:hAnsi="MinionPro-Regular" w:cs="MinionPro-Regular"/>
        </w:rPr>
      </w:pPr>
      <w:r>
        <w:rPr>
          <w:rFonts w:cs="MinionPro-Regular" w:ascii="MinionPro-Regular" w:hAnsi="MinionPro-Regular"/>
        </w:rPr>
        <w:t>that picture is valued at thirty, three hundred, or three thousand euros,</w:t>
      </w:r>
    </w:p>
    <w:p>
      <w:pPr>
        <w:pStyle w:val="Normal"/>
        <w:spacing w:before="0" w:after="0"/>
        <w:contextualSpacing/>
        <w:rPr>
          <w:rFonts w:ascii="MinionPro-Regular" w:hAnsi="MinionPro-Regular" w:cs="MinionPro-Regular"/>
        </w:rPr>
      </w:pPr>
      <w:r>
        <w:rPr>
          <w:rFonts w:cs="MinionPro-Regular" w:ascii="MinionPro-Regular" w:hAnsi="MinionPro-Regular"/>
        </w:rPr>
        <w:t>and the valuation certainly depends on the subjects (for a beaver it would</w:t>
      </w:r>
    </w:p>
    <w:p>
      <w:pPr>
        <w:pStyle w:val="Normal"/>
        <w:spacing w:before="0" w:after="0"/>
        <w:contextualSpacing/>
        <w:rPr>
          <w:rFonts w:ascii="MinionPro-Regular" w:hAnsi="MinionPro-Regular" w:cs="MinionPro-Regular"/>
        </w:rPr>
      </w:pPr>
      <w:r>
        <w:rPr>
          <w:rFonts w:cs="MinionPro-Regular" w:ascii="MinionPro-Regular" w:hAnsi="MinionPro-Regular"/>
        </w:rPr>
        <w:t>be another story), but here we already have to do with an element that is</w:t>
      </w:r>
    </w:p>
    <w:p>
      <w:pPr>
        <w:pStyle w:val="Normal"/>
        <w:spacing w:before="0" w:after="0"/>
        <w:contextualSpacing/>
        <w:rPr>
          <w:rFonts w:ascii="MinionPro-Regular" w:hAnsi="MinionPro-Regular" w:cs="MinionPro-Regular"/>
        </w:rPr>
      </w:pPr>
      <w:r>
        <w:rPr>
          <w:rFonts w:cs="MinionPro-Regular" w:ascii="MinionPro-Regular" w:hAnsi="MinionPro-Regular"/>
        </w:rPr>
        <w:t>surely not subjective in the sense, as it presupposes social sharing. Finally,</w:t>
      </w:r>
    </w:p>
    <w:p>
      <w:pPr>
        <w:pStyle w:val="Normal"/>
        <w:spacing w:before="0" w:after="0"/>
        <w:contextualSpacing/>
        <w:rPr/>
      </w:pPr>
      <w:r>
        <w:rPr>
          <w:rFonts w:cs="MinionPro-Regular" w:ascii="MinionPro-Regular" w:hAnsi="MinionPro-Regular"/>
        </w:rPr>
        <w:t xml:space="preserve">I have no diffi culty in </w:t>
      </w:r>
      <w:r>
        <w:rPr>
          <w:rFonts w:cs="MinionPro-It" w:ascii="MinionPro-It" w:hAnsi="MinionPro-It"/>
          <w:i/>
          <w:iCs/>
        </w:rPr>
        <w:t xml:space="preserve">imagining </w:t>
      </w:r>
      <w:r>
        <w:rPr>
          <w:rFonts w:cs="MinionPro-Regular" w:ascii="MinionPro-Regular" w:hAnsi="MinionPro-Regular"/>
        </w:rPr>
        <w:t>that the value of the euro depends on a</w:t>
      </w:r>
    </w:p>
    <w:p>
      <w:pPr>
        <w:pStyle w:val="Normal"/>
        <w:spacing w:before="0" w:after="0"/>
        <w:contextualSpacing/>
        <w:rPr>
          <w:rFonts w:ascii="MinionPro-Regular" w:hAnsi="MinionPro-Regular" w:cs="MinionPro-Regular"/>
        </w:rPr>
      </w:pPr>
      <w:r>
        <w:rPr>
          <w:rFonts w:cs="MinionPro-Regular" w:ascii="MinionPro-Regular" w:hAnsi="MinionPro-Regular"/>
        </w:rPr>
        <w:t>deliberation in which subjects intervene; but if, in my room and with no</w:t>
      </w:r>
    </w:p>
    <w:p>
      <w:pPr>
        <w:pStyle w:val="Normal"/>
        <w:spacing w:before="0" w:after="0"/>
        <w:contextualSpacing/>
        <w:rPr>
          <w:rFonts w:ascii="MinionPro-Regular" w:hAnsi="MinionPro-Regular" w:cs="MinionPro-Regular"/>
        </w:rPr>
      </w:pPr>
      <w:r>
        <w:rPr>
          <w:rFonts w:cs="MinionPro-Regular" w:ascii="MinionPro-Regular" w:hAnsi="MinionPro-Regular"/>
        </w:rPr>
        <w:t>authority, I decided that a euro is worth twenty dollars I would be, at the</w:t>
      </w:r>
    </w:p>
    <w:p>
      <w:pPr>
        <w:pStyle w:val="Normal"/>
        <w:spacing w:before="0" w:after="0"/>
        <w:contextualSpacing/>
        <w:rPr>
          <w:rFonts w:ascii="MinionPro-Regular" w:hAnsi="MinionPro-Regular" w:cs="MinionPro-Regular"/>
        </w:rPr>
      </w:pPr>
      <w:r>
        <w:rPr>
          <w:rFonts w:cs="MinionPro-Regular" w:ascii="MinionPro-Regular" w:hAnsi="MinionPro-Regular"/>
        </w:rPr>
        <w:t>very least, a solipsist.1</w:t>
      </w:r>
    </w:p>
    <w:p>
      <w:pPr>
        <w:pStyle w:val="Normal"/>
        <w:spacing w:before="0" w:after="0"/>
        <w:contextualSpacing/>
        <w:rPr>
          <w:rFonts w:ascii="MinionPro-Regular" w:hAnsi="MinionPro-Regular" w:cs="MinionPro-Regular"/>
        </w:rPr>
      </w:pPr>
      <w:r>
        <w:rPr>
          <w:rFonts w:cs="MinionPro-Regular" w:ascii="MinionPro-Regular" w:hAnsi="MinionPro-Regular"/>
        </w:rPr>
      </w:r>
    </w:p>
    <w:p>
      <w:pPr>
        <w:pStyle w:val="Normal"/>
        <w:spacing w:before="0" w:after="0"/>
        <w:contextualSpacing/>
        <w:rPr>
          <w:rFonts w:ascii="MinionPro-Regular" w:hAnsi="MinionPro-Regular" w:cs="MinionPro-Regular"/>
        </w:rPr>
      </w:pPr>
      <w:r>
        <w:rPr>
          <w:rFonts w:cs="MinionPro-Regular" w:ascii="MinionPro-Regular" w:hAnsi="MinionPro-Regular"/>
        </w:rPr>
      </w:r>
    </w:p>
    <w:p>
      <w:pPr>
        <w:pStyle w:val="Normal"/>
        <w:spacing w:before="0" w:after="0"/>
        <w:contextualSpacing/>
        <w:rPr>
          <w:rFonts w:ascii="MinionPro-Regular" w:hAnsi="MinionPro-Regular" w:cs="MinionPro-Regular"/>
        </w:rPr>
      </w:pPr>
      <w:r>
        <w:rPr>
          <w:rFonts w:cs="MinionPro-Regular" w:ascii="MinionPro-Regular" w:hAnsi="MinionPro-Regular"/>
        </w:rPr>
        <w:t>111 Th e minimal requirement for the constitution</w:t>
      </w:r>
    </w:p>
    <w:p>
      <w:pPr>
        <w:pStyle w:val="Normal"/>
        <w:spacing w:before="0" w:after="0"/>
        <w:contextualSpacing/>
        <w:rPr>
          <w:rFonts w:ascii="MinionPro-Regular" w:hAnsi="MinionPro-Regular" w:cs="MinionPro-Regular"/>
        </w:rPr>
      </w:pPr>
      <w:r>
        <w:rPr>
          <w:rFonts w:cs="MinionPro-Regular" w:ascii="MinionPro-Regular" w:hAnsi="MinionPro-Regular"/>
        </w:rPr>
        <w:t>of an ontology of social objects is the adoption of an underlying realism.</w:t>
      </w:r>
    </w:p>
    <w:p>
      <w:pPr>
        <w:pStyle w:val="Normal"/>
        <w:spacing w:before="0" w:after="0"/>
        <w:contextualSpacing/>
        <w:rPr>
          <w:rFonts w:ascii="MinionPro-Regular" w:hAnsi="MinionPro-Regular" w:cs="MinionPro-Regular"/>
        </w:rPr>
      </w:pPr>
      <w:r>
        <w:rPr>
          <w:rFonts w:cs="MinionPro-Regular" w:ascii="MinionPro-Regular" w:hAnsi="MinionPro-Regular"/>
        </w:rPr>
        <w:t>Realism, here, is not a scientifi c theory supported by physics, but the</w:t>
      </w:r>
    </w:p>
    <w:p>
      <w:pPr>
        <w:pStyle w:val="Normal"/>
        <w:spacing w:before="0" w:after="0"/>
        <w:contextualSpacing/>
        <w:rPr>
          <w:rFonts w:ascii="MinionPro-Regular" w:hAnsi="MinionPro-Regular" w:cs="MinionPro-Regular"/>
        </w:rPr>
      </w:pPr>
      <w:r>
        <w:rPr>
          <w:rFonts w:cs="MinionPro-Regular" w:ascii="MinionPro-Regular" w:hAnsi="MinionPro-Regular"/>
        </w:rPr>
        <w:t>obvious presupposition of a research that can be developed both in the</w:t>
      </w:r>
    </w:p>
    <w:p>
      <w:pPr>
        <w:pStyle w:val="Normal"/>
        <w:spacing w:before="0" w:after="0"/>
        <w:contextualSpacing/>
        <w:rPr>
          <w:rFonts w:ascii="MinionPro-Regular" w:hAnsi="MinionPro-Regular" w:cs="MinionPro-Regular"/>
        </w:rPr>
      </w:pPr>
      <w:r>
        <w:rPr>
          <w:rFonts w:cs="MinionPro-Regular" w:ascii="MinionPro-Regular" w:hAnsi="MinionPro-Regular"/>
        </w:rPr>
        <w:t>direction of a study of nature and toward an inquiry of the social world, as</w:t>
      </w:r>
    </w:p>
    <w:p>
      <w:pPr>
        <w:pStyle w:val="Normal"/>
        <w:spacing w:before="0" w:after="0"/>
        <w:contextualSpacing/>
        <w:rPr/>
      </w:pPr>
      <w:r>
        <w:rPr>
          <w:rFonts w:cs="MinionPro-Regular" w:ascii="MinionPro-Regular" w:hAnsi="MinionPro-Regular"/>
        </w:rPr>
        <w:t xml:space="preserve">they constitute </w:t>
      </w:r>
      <w:r>
        <w:rPr>
          <w:rFonts w:cs="MinionPro-It" w:ascii="MinionPro-It" w:hAnsi="MinionPro-It"/>
          <w:i/>
          <w:iCs/>
        </w:rPr>
        <w:t xml:space="preserve">one </w:t>
      </w:r>
      <w:r>
        <w:rPr>
          <w:rFonts w:cs="MinionPro-Regular" w:ascii="MinionPro-Regular" w:hAnsi="MinionPro-Regular"/>
        </w:rPr>
        <w:t>world and not two distinct and irreducible entities. I</w:t>
      </w:r>
    </w:p>
    <w:p>
      <w:pPr>
        <w:pStyle w:val="Normal"/>
        <w:spacing w:before="0" w:after="0"/>
        <w:contextualSpacing/>
        <w:rPr>
          <w:rFonts w:ascii="MinionPro-Regular" w:hAnsi="MinionPro-Regular" w:cs="MinionPro-Regular"/>
        </w:rPr>
      </w:pPr>
      <w:r>
        <w:rPr>
          <w:rFonts w:cs="MinionPro-Regular" w:ascii="MinionPro-Regular" w:hAnsi="MinionPro-Regular"/>
        </w:rPr>
        <w:t>will show later how such a request might turn out to be demanding, but for</w:t>
      </w:r>
    </w:p>
    <w:p>
      <w:pPr>
        <w:pStyle w:val="Normal"/>
        <w:spacing w:before="0" w:after="0"/>
        <w:contextualSpacing/>
        <w:rPr>
          <w:rFonts w:ascii="MinionPro-Regular" w:hAnsi="MinionPro-Regular" w:cs="MinionPro-Regular"/>
        </w:rPr>
      </w:pPr>
      <w:r>
        <w:rPr>
          <w:rFonts w:cs="MinionPro-Regular" w:ascii="MinionPro-Regular" w:hAnsi="MinionPro-Regular"/>
        </w:rPr>
        <w:t>now I will focus on the two central points that constitute the condition of</w:t>
      </w:r>
    </w:p>
    <w:p>
      <w:pPr>
        <w:pStyle w:val="Normal"/>
        <w:spacing w:before="0" w:after="0"/>
        <w:contextualSpacing/>
        <w:rPr>
          <w:rFonts w:ascii="MinionPro-Regular" w:hAnsi="MinionPro-Regular" w:cs="MinionPro-Regular"/>
        </w:rPr>
      </w:pPr>
      <w:r>
        <w:rPr>
          <w:rFonts w:cs="MinionPro-Regular" w:ascii="MinionPro-Regular" w:hAnsi="MinionPro-Regular"/>
        </w:rPr>
        <w:t>possibility of social objects: fi rst, not everything is socially constructed and</w:t>
      </w:r>
    </w:p>
    <w:p>
      <w:pPr>
        <w:pStyle w:val="Normal"/>
        <w:spacing w:before="0" w:after="0"/>
        <w:contextualSpacing/>
        <w:rPr>
          <w:rFonts w:ascii="MinionPro-Regular" w:hAnsi="MinionPro-Regular" w:cs="MinionPro-Regular"/>
        </w:rPr>
      </w:pPr>
      <w:r>
        <w:rPr>
          <w:rFonts w:cs="MinionPro-Regular" w:ascii="MinionPro-Regular" w:hAnsi="MinionPro-Regular"/>
        </w:rPr>
        <w:t>second, what is socially constructed is not consequently subjective, because</w:t>
      </w:r>
    </w:p>
    <w:p>
      <w:pPr>
        <w:pStyle w:val="Normal"/>
        <w:spacing w:before="0" w:after="0"/>
        <w:contextualSpacing/>
        <w:rPr>
          <w:rFonts w:ascii="MinionPro-Regular" w:hAnsi="MinionPro-Regular" w:cs="MinionPro-Regular"/>
        </w:rPr>
      </w:pPr>
      <w:r>
        <w:rPr>
          <w:rFonts w:cs="MinionPro-Regular" w:ascii="MinionPro-Regular" w:hAnsi="MinionPro-Regular"/>
        </w:rPr>
        <w:t>it concerns at least two people. [not my EDws!!!]</w:t>
      </w:r>
    </w:p>
    <w:p>
      <w:pPr>
        <w:pStyle w:val="Normal"/>
        <w:spacing w:before="0" w:after="0"/>
        <w:contextualSpacing/>
        <w:rPr>
          <w:rFonts w:ascii="MinionPro-Regular" w:hAnsi="MinionPro-Regular" w:cs="MinionPro-Regular"/>
        </w:rPr>
      </w:pPr>
      <w:r>
        <w:rPr>
          <w:rFonts w:cs="MinionPro-Regular" w:ascii="MinionPro-Regular" w:hAnsi="MinionPro-Regular"/>
        </w:rPr>
      </w:r>
    </w:p>
    <w:p>
      <w:pPr>
        <w:pStyle w:val="Normal"/>
        <w:spacing w:before="0" w:after="0"/>
        <w:contextualSpacing/>
        <w:rPr>
          <w:rFonts w:ascii="MinionPro-Regular" w:hAnsi="MinionPro-Regular" w:cs="MinionPro-Regular"/>
        </w:rPr>
      </w:pPr>
      <w:r>
        <w:rPr>
          <w:rFonts w:cs="MinionPro-Regular" w:ascii="MinionPro-Regular" w:hAnsi="MinionPro-Regular"/>
        </w:rPr>
      </w:r>
    </w:p>
    <w:p>
      <w:pPr>
        <w:pStyle w:val="Normal"/>
        <w:spacing w:before="0" w:after="0"/>
        <w:contextualSpacing/>
        <w:rPr/>
      </w:pPr>
      <w:r>
        <w:rPr>
          <w:b/>
        </w:rPr>
        <w:t xml:space="preserve">[However, in his book 20012/2014 –see below, maurizio ferraris published UNBELIEVABLE similar ideas to my ideas 2002-2008. </w:t>
      </w:r>
      <w:r>
        <w:rPr/>
        <w:t>It would seem as if Maruizion Ferraris wrote this book under the EDWs umbrella! See below several of his ideas…</w:t>
      </w:r>
      <w:r>
        <w:rPr>
          <w:b/>
        </w:rPr>
        <w:t>]</w:t>
      </w:r>
    </w:p>
    <w:p>
      <w:pPr>
        <w:pStyle w:val="Normal"/>
        <w:spacing w:before="0" w:after="0"/>
        <w:contextualSpacing/>
        <w:rPr/>
      </w:pPr>
      <w:r>
        <w:rPr/>
      </w:r>
    </w:p>
    <w:p>
      <w:pPr>
        <w:pStyle w:val="ListParagraph"/>
        <w:numPr>
          <w:ilvl w:val="0"/>
          <w:numId w:val="31"/>
        </w:numPr>
        <w:spacing w:before="0" w:after="0"/>
        <w:ind w:left="0" w:right="0" w:hanging="360"/>
        <w:contextualSpacing/>
        <w:rPr>
          <w:b/>
          <w:b/>
          <w:sz w:val="28"/>
          <w:szCs w:val="28"/>
        </w:rPr>
      </w:pPr>
      <w:r>
        <w:rPr>
          <w:b/>
          <w:sz w:val="28"/>
          <w:szCs w:val="28"/>
        </w:rPr>
        <w:t>Maurizio Ferraris (2014/2012) MANIFESTO OF NEW REALISM</w:t>
      </w:r>
    </w:p>
    <w:p>
      <w:pPr>
        <w:pStyle w:val="Normal"/>
        <w:spacing w:before="0" w:after="0"/>
        <w:contextualSpacing/>
        <w:rPr>
          <w:i/>
          <w:i/>
          <w:iCs/>
        </w:rPr>
      </w:pPr>
      <w:r>
        <w:rPr>
          <w:i/>
          <w:iCs/>
        </w:rPr>
      </w:r>
    </w:p>
    <w:p>
      <w:pPr>
        <w:pStyle w:val="Normal"/>
        <w:spacing w:before="0" w:after="0"/>
        <w:contextualSpacing/>
        <w:rPr>
          <w:i/>
          <w:i/>
          <w:iCs/>
        </w:rPr>
      </w:pPr>
      <w:r>
        <w:rPr>
          <w:i/>
          <w:iCs/>
        </w:rPr>
        <w:t>Translated by Sarah De Sanctis</w:t>
      </w:r>
    </w:p>
    <w:p>
      <w:pPr>
        <w:pStyle w:val="Normal"/>
        <w:spacing w:before="0" w:after="0"/>
        <w:contextualSpacing/>
        <w:rPr>
          <w:i/>
          <w:i/>
          <w:iCs/>
        </w:rPr>
      </w:pPr>
      <w:r>
        <w:rPr>
          <w:i/>
          <w:iCs/>
        </w:rPr>
        <w:t>Foreword by Graham Harman</w:t>
      </w:r>
    </w:p>
    <w:p>
      <w:pPr>
        <w:pStyle w:val="Normal"/>
        <w:spacing w:before="0" w:after="0"/>
        <w:contextualSpacing/>
        <w:rPr/>
      </w:pPr>
      <w:r>
        <w:rPr/>
        <w:t xml:space="preserve"> </w:t>
      </w:r>
      <w:r>
        <w:rPr/>
        <w:t xml:space="preserve">2014 State University of New York (2012, Gius. Laterza &amp; Figli,) </w:t>
      </w:r>
    </w:p>
    <w:p>
      <w:pPr>
        <w:pStyle w:val="Normal"/>
        <w:spacing w:before="0" w:after="0"/>
        <w:contextualSpacing/>
        <w:rPr/>
      </w:pPr>
      <w:r>
        <w:rPr/>
        <w:t>Graham Harman “Foreword”</w:t>
      </w:r>
    </w:p>
    <w:p>
      <w:pPr>
        <w:pStyle w:val="Normal"/>
        <w:spacing w:before="0" w:after="0"/>
        <w:contextualSpacing/>
        <w:rPr>
          <w:rFonts w:ascii="Sabon-Roman" w:hAnsi="Sabon-Roman" w:cs="Sabon-Roman"/>
        </w:rPr>
      </w:pPr>
      <w:r>
        <w:rPr>
          <w:rFonts w:cs="Sabon-Roman" w:ascii="Sabon-Roman" w:hAnsi="Sabon-Roman"/>
        </w:rPr>
        <w:t>In June 2012, at the Italian Institute for Philosophical Studies</w:t>
      </w:r>
    </w:p>
    <w:p>
      <w:pPr>
        <w:pStyle w:val="Normal"/>
        <w:spacing w:before="0" w:after="0"/>
        <w:contextualSpacing/>
        <w:rPr>
          <w:rFonts w:ascii="Sabon-Roman" w:hAnsi="Sabon-Roman" w:cs="Sabon-Roman"/>
        </w:rPr>
      </w:pPr>
      <w:r>
        <w:rPr>
          <w:rFonts w:cs="Sabon-Roman" w:ascii="Sabon-Roman" w:hAnsi="Sabon-Roman"/>
        </w:rPr>
        <w:t>in Naples, I met a young German colleague, Markus Gabriel,</w:t>
      </w:r>
    </w:p>
    <w:p>
      <w:pPr>
        <w:pStyle w:val="Normal"/>
        <w:spacing w:before="0" w:after="0"/>
        <w:contextualSpacing/>
        <w:rPr>
          <w:rFonts w:ascii="Sabon-Roman" w:hAnsi="Sabon-Roman" w:cs="Sabon-Roman"/>
        </w:rPr>
      </w:pPr>
      <w:r>
        <w:rPr>
          <w:rFonts w:cs="Sabon-Roman" w:ascii="Sabon-Roman" w:hAnsi="Sabon-Roman"/>
        </w:rPr>
        <w:t>who was planning an international conference on the fundamental</w:t>
      </w:r>
    </w:p>
    <w:p>
      <w:pPr>
        <w:pStyle w:val="Normal"/>
        <w:spacing w:before="0" w:after="0"/>
        <w:contextualSpacing/>
        <w:rPr>
          <w:rFonts w:ascii="Sabon-Roman" w:hAnsi="Sabon-Roman" w:cs="Sabon-Roman"/>
        </w:rPr>
      </w:pPr>
      <w:r>
        <w:rPr>
          <w:rFonts w:cs="Sabon-Roman" w:ascii="Sabon-Roman" w:hAnsi="Sabon-Roman"/>
        </w:rPr>
        <w:t>character of contemporary philosophy. Markus asked</w:t>
      </w:r>
    </w:p>
    <w:p>
      <w:pPr>
        <w:pStyle w:val="Normal"/>
        <w:spacing w:before="0" w:after="0"/>
        <w:contextualSpacing/>
        <w:rPr>
          <w:rFonts w:ascii="Sabon-Roman" w:hAnsi="Sabon-Roman" w:cs="Sabon-Roman"/>
        </w:rPr>
      </w:pPr>
      <w:r>
        <w:rPr>
          <w:rFonts w:cs="Sabon-Roman" w:ascii="Sabon-Roman" w:hAnsi="Sabon-Roman"/>
        </w:rPr>
        <w:t>what I thought could be the right title for such an event, and</w:t>
      </w:r>
    </w:p>
    <w:p>
      <w:pPr>
        <w:pStyle w:val="Normal"/>
        <w:spacing w:before="0" w:after="0"/>
        <w:contextualSpacing/>
        <w:rPr>
          <w:rFonts w:ascii="Sabon-Roman" w:hAnsi="Sabon-Roman" w:cs="Sabon-Roman"/>
        </w:rPr>
      </w:pPr>
      <w:r>
        <w:rPr>
          <w:rFonts w:cs="Sabon-Roman" w:ascii="Sabon-Roman" w:hAnsi="Sabon-Roman"/>
        </w:rPr>
        <w:t>I replied to him, “New realism.” It was a commonsensical</w:t>
      </w:r>
    </w:p>
    <w:p>
      <w:pPr>
        <w:pStyle w:val="Normal"/>
        <w:spacing w:before="0" w:after="0"/>
        <w:contextualSpacing/>
        <w:rPr>
          <w:rFonts w:ascii="Sabon-Roman" w:hAnsi="Sabon-Roman" w:cs="Sabon-Roman"/>
        </w:rPr>
      </w:pPr>
      <w:r>
        <w:rPr>
          <w:rFonts w:cs="Sabon-Roman" w:ascii="Sabon-Roman" w:hAnsi="Sabon-Roman"/>
        </w:rPr>
        <w:t>consideration: the pendulum of thought that, in the twentieth</w:t>
      </w:r>
    </w:p>
    <w:p>
      <w:pPr>
        <w:pStyle w:val="Normal"/>
        <w:spacing w:before="0" w:after="0"/>
        <w:contextualSpacing/>
        <w:rPr>
          <w:rFonts w:ascii="Sabon-Roman" w:hAnsi="Sabon-Roman" w:cs="Sabon-Roman"/>
        </w:rPr>
      </w:pPr>
      <w:r>
        <w:rPr>
          <w:rFonts w:cs="Sabon-Roman" w:ascii="Sabon-Roman" w:hAnsi="Sabon-Roman"/>
        </w:rPr>
        <w:t>century, oscillated toward antirealism in its various versions</w:t>
      </w:r>
    </w:p>
    <w:p>
      <w:pPr>
        <w:pStyle w:val="Normal"/>
        <w:spacing w:before="0" w:after="0"/>
        <w:contextualSpacing/>
        <w:rPr>
          <w:rFonts w:ascii="Sabon-Roman" w:hAnsi="Sabon-Roman" w:cs="Sabon-Roman"/>
        </w:rPr>
      </w:pPr>
      <w:r>
        <w:rPr>
          <w:rFonts w:cs="Sabon-Roman" w:ascii="Sabon-Roman" w:hAnsi="Sabon-Roman"/>
        </w:rPr>
        <w:t>(hermeneutics, postmodernism, “linguistic turn,” etc.) had</w:t>
      </w:r>
    </w:p>
    <w:p>
      <w:pPr>
        <w:pStyle w:val="Normal"/>
        <w:spacing w:before="0" w:after="0"/>
        <w:contextualSpacing/>
        <w:rPr>
          <w:rFonts w:ascii="Sabon-Roman" w:hAnsi="Sabon-Roman" w:cs="Sabon-Roman"/>
        </w:rPr>
      </w:pPr>
      <w:r>
        <w:rPr>
          <w:rFonts w:cs="Sabon-Roman" w:ascii="Sabon-Roman" w:hAnsi="Sabon-Roman"/>
        </w:rPr>
        <w:t>moved, with the entry into the new century, toward realism</w:t>
      </w:r>
    </w:p>
    <w:p>
      <w:pPr>
        <w:pStyle w:val="Normal"/>
        <w:spacing w:before="0" w:after="0"/>
        <w:contextualSpacing/>
        <w:rPr>
          <w:rFonts w:ascii="Sabon-Roman" w:hAnsi="Sabon-Roman" w:cs="Sabon-Roman"/>
        </w:rPr>
      </w:pPr>
      <w:r>
        <w:rPr>
          <w:rFonts w:cs="Sabon-Roman" w:ascii="Sabon-Roman" w:hAnsi="Sabon-Roman"/>
        </w:rPr>
        <w:t>(once again, in its many aspects: ontology, cognitive science,</w:t>
      </w:r>
    </w:p>
    <w:p>
      <w:pPr>
        <w:pStyle w:val="Normal"/>
        <w:spacing w:before="0" w:after="0"/>
        <w:contextualSpacing/>
        <w:rPr>
          <w:rFonts w:ascii="Sabon-Roman" w:hAnsi="Sabon-Roman" w:cs="Sabon-Roman"/>
        </w:rPr>
      </w:pPr>
      <w:r>
        <w:rPr>
          <w:rFonts w:cs="Sabon-Roman" w:ascii="Sabon-Roman" w:hAnsi="Sabon-Roman"/>
        </w:rPr>
        <w:t>aesthetics as theory of perception, etc.). (xiii)</w:t>
      </w:r>
    </w:p>
    <w:p>
      <w:pPr>
        <w:pStyle w:val="Normal"/>
        <w:spacing w:before="0" w:after="0"/>
        <w:contextualSpacing/>
        <w:rPr>
          <w:rFonts w:ascii="Sabon-Roman" w:hAnsi="Sabon-Roman" w:cs="Sabon-Roman"/>
        </w:rPr>
      </w:pPr>
      <w:r>
        <w:rPr>
          <w:rFonts w:cs="Sabon-Roman" w:ascii="Sabon-Roman" w:hAnsi="Sabon-Roman"/>
        </w:rPr>
      </w:r>
    </w:p>
    <w:p>
      <w:pPr>
        <w:pStyle w:val="Normal"/>
        <w:spacing w:before="0" w:after="0"/>
        <w:contextualSpacing/>
        <w:rPr>
          <w:rFonts w:ascii="Sabon-Roman" w:hAnsi="Sabon-Roman" w:cs="Sabon-Roman"/>
        </w:rPr>
      </w:pPr>
      <w:r>
        <w:rPr>
          <w:rFonts w:cs="Sabon-Roman" w:ascii="Sabon-Roman" w:hAnsi="Sabon-Roman"/>
        </w:rPr>
        <w:t>Therefore, to me the reference to realism has not been a</w:t>
      </w:r>
    </w:p>
    <w:p>
      <w:pPr>
        <w:pStyle w:val="Normal"/>
        <w:spacing w:before="0" w:after="0"/>
        <w:contextualSpacing/>
        <w:rPr>
          <w:rFonts w:ascii="Sabon-Roman" w:hAnsi="Sabon-Roman" w:cs="Sabon-Roman"/>
        </w:rPr>
      </w:pPr>
      <w:r>
        <w:rPr>
          <w:rFonts w:cs="Sabon-Roman" w:ascii="Sabon-Roman" w:hAnsi="Sabon-Roman"/>
        </w:rPr>
        <w:t>means to boast of a laughable philosophical monopoly over the</w:t>
      </w:r>
    </w:p>
    <w:p>
      <w:pPr>
        <w:pStyle w:val="Normal"/>
        <w:spacing w:before="0" w:after="0"/>
        <w:contextualSpacing/>
        <w:rPr>
          <w:rFonts w:ascii="Sabon-Roman" w:hAnsi="Sabon-Roman" w:cs="Sabon-Roman"/>
        </w:rPr>
      </w:pPr>
      <w:r>
        <w:rPr>
          <w:rFonts w:cs="Sabon-Roman" w:ascii="Sabon-Roman" w:hAnsi="Sabon-Roman"/>
        </w:rPr>
        <w:t>real, in a way that would not be too different from the claim of</w:t>
      </w:r>
    </w:p>
    <w:p>
      <w:pPr>
        <w:pStyle w:val="Normal"/>
        <w:spacing w:before="0" w:after="0"/>
        <w:contextualSpacing/>
        <w:rPr>
          <w:rFonts w:ascii="Sabon-Roman" w:hAnsi="Sabon-Roman" w:cs="Sabon-Roman"/>
        </w:rPr>
      </w:pPr>
      <w:r>
        <w:rPr>
          <w:rFonts w:cs="Sabon-Roman" w:ascii="Sabon-Roman" w:hAnsi="Sabon-Roman"/>
        </w:rPr>
        <w:t>privatizing water. It has rather meant the affirmation that water</w:t>
      </w:r>
    </w:p>
    <w:p>
      <w:pPr>
        <w:pStyle w:val="Normal"/>
        <w:spacing w:before="0" w:after="0"/>
        <w:contextualSpacing/>
        <w:rPr>
          <w:rFonts w:ascii="Sabon-Roman" w:hAnsi="Sabon-Roman" w:cs="Sabon-Roman"/>
        </w:rPr>
      </w:pPr>
      <w:r>
        <w:rPr>
          <w:rFonts w:cs="Sabon-Roman" w:ascii="Sabon-Roman" w:hAnsi="Sabon-Roman"/>
        </w:rPr>
        <w:t>is not socially constructed; that the sacrosanct deconstructive</w:t>
      </w:r>
    </w:p>
    <w:p>
      <w:pPr>
        <w:pStyle w:val="Normal"/>
        <w:spacing w:before="0" w:after="0"/>
        <w:contextualSpacing/>
        <w:rPr>
          <w:rFonts w:ascii="Sabon-Roman" w:hAnsi="Sabon-Roman" w:cs="Sabon-Roman"/>
        </w:rPr>
      </w:pPr>
      <w:r>
        <w:rPr>
          <w:rFonts w:cs="Sabon-Roman" w:ascii="Sabon-Roman" w:hAnsi="Sabon-Roman"/>
        </w:rPr>
        <w:t>vocation lying at the core of any philosophy worthy of its name</w:t>
      </w:r>
    </w:p>
    <w:p>
      <w:pPr>
        <w:pStyle w:val="Normal"/>
        <w:spacing w:before="0" w:after="0"/>
        <w:contextualSpacing/>
        <w:rPr>
          <w:rFonts w:ascii="Sabon-Roman" w:hAnsi="Sabon-Roman" w:cs="Sabon-Roman"/>
        </w:rPr>
      </w:pPr>
      <w:r>
        <w:rPr>
          <w:rFonts w:cs="Sabon-Roman" w:ascii="Sabon-Roman" w:hAnsi="Sabon-Roman"/>
        </w:rPr>
        <w:t>has to come to terms with reality, otherwise it will turn into a</w:t>
      </w:r>
    </w:p>
    <w:p>
      <w:pPr>
        <w:pStyle w:val="Normal"/>
        <w:spacing w:before="0" w:after="0"/>
        <w:contextualSpacing/>
        <w:rPr>
          <w:rFonts w:ascii="Sabon-Roman" w:hAnsi="Sabon-Roman" w:cs="Sabon-Roman"/>
        </w:rPr>
      </w:pPr>
      <w:r>
        <w:rPr>
          <w:rFonts w:cs="Sabon-Roman" w:ascii="Sabon-Roman" w:hAnsi="Sabon-Roman"/>
        </w:rPr>
        <w:t>futile game; and that any deconstruction without reconstruction</w:t>
      </w:r>
    </w:p>
    <w:p>
      <w:pPr>
        <w:pStyle w:val="Normal"/>
        <w:spacing w:before="0" w:after="0"/>
        <w:contextualSpacing/>
        <w:rPr>
          <w:rFonts w:ascii="Sabon-Roman" w:hAnsi="Sabon-Roman" w:cs="Sabon-Roman"/>
        </w:rPr>
      </w:pPr>
      <w:r>
        <w:rPr>
          <w:rFonts w:cs="Sabon-Roman" w:ascii="Sabon-Roman" w:hAnsi="Sabon-Roman"/>
        </w:rPr>
        <w:t>is irresponsibility.5 (Xiv)</w:t>
      </w:r>
    </w:p>
    <w:p>
      <w:pPr>
        <w:pStyle w:val="Normal"/>
        <w:spacing w:before="0" w:after="0"/>
        <w:contextualSpacing/>
        <w:rPr/>
      </w:pPr>
      <w:r>
        <w:rPr/>
        <w:t xml:space="preserve"> </w:t>
      </w:r>
      <w:r>
        <w:rPr/>
        <w:t xml:space="preserve">Chapter 2 </w:t>
      </w:r>
      <w:r>
        <w:rPr>
          <w:rFonts w:cs="Sabon-Roman" w:ascii="Sabon-Roman" w:hAnsi="Sabon-Roman"/>
        </w:rPr>
        <w:t>REALISM</w:t>
      </w:r>
    </w:p>
    <w:p>
      <w:pPr>
        <w:pStyle w:val="Normal"/>
        <w:spacing w:before="0" w:after="0"/>
        <w:contextualSpacing/>
        <w:rPr>
          <w:rFonts w:ascii="Sabon-Italic" w:hAnsi="Sabon-Italic" w:cs="Sabon-Italic"/>
          <w:i/>
          <w:i/>
          <w:iCs/>
        </w:rPr>
      </w:pPr>
      <w:r>
        <w:rPr>
          <w:rFonts w:cs="Sabon-Italic" w:ascii="Sabon-Italic" w:hAnsi="Sabon-Italic"/>
          <w:i/>
          <w:iCs/>
        </w:rPr>
        <w:t>Things That Have Existed</w:t>
      </w:r>
    </w:p>
    <w:p>
      <w:pPr>
        <w:pStyle w:val="Normal"/>
        <w:spacing w:before="0" w:after="0"/>
        <w:contextualSpacing/>
        <w:rPr>
          <w:rFonts w:ascii="Sabon-Italic" w:hAnsi="Sabon-Italic" w:cs="Sabon-Italic"/>
          <w:i/>
          <w:i/>
          <w:iCs/>
        </w:rPr>
      </w:pPr>
      <w:r>
        <w:rPr>
          <w:rFonts w:cs="Sabon-Italic" w:ascii="Sabon-Italic" w:hAnsi="Sabon-Italic"/>
          <w:i/>
          <w:iCs/>
        </w:rPr>
        <w:t>Since the Beginning of the World</w:t>
      </w:r>
    </w:p>
    <w:p>
      <w:pPr>
        <w:pStyle w:val="Normal"/>
        <w:spacing w:before="0" w:after="0"/>
        <w:contextualSpacing/>
        <w:rPr>
          <w:rFonts w:ascii="Sabon-Italic" w:hAnsi="Sabon-Italic" w:cs="Sabon-Italic"/>
          <w:i/>
          <w:i/>
          <w:iCs/>
        </w:rPr>
      </w:pPr>
      <w:r>
        <w:rPr>
          <w:rFonts w:cs="Sabon-Italic" w:ascii="Sabon-Italic" w:hAnsi="Sabon-Italic"/>
          <w:i/>
          <w:iCs/>
        </w:rPr>
      </w:r>
    </w:p>
    <w:p>
      <w:pPr>
        <w:pStyle w:val="Normal"/>
        <w:spacing w:before="0" w:after="0"/>
        <w:contextualSpacing/>
        <w:rPr/>
      </w:pPr>
      <w:r>
        <w:rPr/>
        <w:t xml:space="preserve">27 </w:t>
      </w:r>
      <w:r>
        <w:rPr>
          <w:rFonts w:cs="Sabon-Roman" w:ascii="Sabon-Roman" w:hAnsi="Sabon-Roman"/>
        </w:rPr>
        <w:t>Following and radicalizing</w:t>
      </w:r>
    </w:p>
    <w:p>
      <w:pPr>
        <w:pStyle w:val="Normal"/>
        <w:spacing w:before="0" w:after="0"/>
        <w:contextualSpacing/>
        <w:rPr>
          <w:rFonts w:ascii="Sabon-Roman" w:hAnsi="Sabon-Roman" w:cs="Sabon-Roman"/>
        </w:rPr>
      </w:pPr>
      <w:r>
        <w:rPr>
          <w:rFonts w:cs="Sabon-Roman" w:ascii="Sabon-Roman" w:hAnsi="Sabon-Roman"/>
        </w:rPr>
        <w:t>Kant, constructionists will confuse, without residues (i.e.,</w:t>
      </w:r>
    </w:p>
    <w:p>
      <w:pPr>
        <w:pStyle w:val="Normal"/>
        <w:spacing w:before="0" w:after="0"/>
        <w:contextualSpacing/>
        <w:rPr>
          <w:rFonts w:ascii="Sabon-Roman" w:hAnsi="Sabon-Roman" w:cs="Sabon-Roman"/>
        </w:rPr>
      </w:pPr>
      <w:r>
        <w:rPr>
          <w:rFonts w:cs="Sabon-Roman" w:ascii="Sabon-Roman" w:hAnsi="Sabon-Roman"/>
        </w:rPr>
        <w:t>also abolishing the noumenon), ontology with epistemology:</w:t>
      </w:r>
    </w:p>
    <w:p>
      <w:pPr>
        <w:pStyle w:val="Normal"/>
        <w:spacing w:before="0" w:after="0"/>
        <w:contextualSpacing/>
        <w:rPr>
          <w:rFonts w:ascii="Sabon-Roman" w:hAnsi="Sabon-Roman" w:cs="Sabon-Roman"/>
        </w:rPr>
      </w:pPr>
      <w:r>
        <w:rPr>
          <w:rFonts w:cs="Sabon-Roman" w:ascii="Sabon-Roman" w:hAnsi="Sabon-Roman"/>
        </w:rPr>
        <w:t>what there is (and is not dependent on conceptual schemes)</w:t>
      </w:r>
    </w:p>
    <w:p>
      <w:pPr>
        <w:pStyle w:val="Normal"/>
        <w:spacing w:before="0" w:after="0"/>
        <w:contextualSpacing/>
        <w:rPr>
          <w:rFonts w:ascii="Sabon-Roman" w:hAnsi="Sabon-Roman" w:cs="Sabon-Roman"/>
        </w:rPr>
      </w:pPr>
      <w:r>
        <w:rPr>
          <w:rFonts w:cs="Sabon-Roman" w:ascii="Sabon-Roman" w:hAnsi="Sabon-Roman"/>
        </w:rPr>
        <w:t xml:space="preserve">and what we know (and depends on conceptual schemes). </w:t>
      </w:r>
    </w:p>
    <w:p>
      <w:pPr>
        <w:pStyle w:val="Normal"/>
        <w:spacing w:before="0" w:after="0"/>
        <w:contextualSpacing/>
        <w:rPr>
          <w:rFonts w:ascii="Sabon-Roman" w:hAnsi="Sabon-Roman" w:cs="Sabon-Roman"/>
        </w:rPr>
      </w:pPr>
      <w:r>
        <w:rPr>
          <w:rFonts w:cs="Sabon-Roman" w:ascii="Sabon-Roman" w:hAnsi="Sabon-Roman"/>
        </w:rPr>
      </w:r>
    </w:p>
    <w:p>
      <w:pPr>
        <w:pStyle w:val="Normal"/>
        <w:spacing w:before="0" w:after="0"/>
        <w:contextualSpacing/>
        <w:rPr>
          <w:rFonts w:ascii="Sabon-Roman" w:hAnsi="Sabon-Roman" w:cs="Sabon-Roman"/>
        </w:rPr>
      </w:pPr>
      <w:r>
        <w:rPr>
          <w:rFonts w:cs="Sabon-Roman" w:ascii="Sabon-Roman" w:hAnsi="Sabon-Roman"/>
        </w:rPr>
        <w:t>33 This is clear proof of the fact that</w:t>
      </w:r>
    </w:p>
    <w:p>
      <w:pPr>
        <w:pStyle w:val="Normal"/>
        <w:spacing w:before="0" w:after="0"/>
        <w:contextualSpacing/>
        <w:rPr>
          <w:rFonts w:ascii="Sabon-Roman" w:hAnsi="Sabon-Roman" w:cs="Sabon-Roman"/>
        </w:rPr>
      </w:pPr>
      <w:r>
        <w:rPr>
          <w:rFonts w:cs="Sabon-Roman" w:ascii="Sabon-Roman" w:hAnsi="Sabon-Roman"/>
        </w:rPr>
        <w:t>if we abandon the reference to an external world that is stable</w:t>
      </w:r>
    </w:p>
    <w:p>
      <w:pPr>
        <w:pStyle w:val="Normal"/>
        <w:spacing w:before="0" w:after="0"/>
        <w:contextualSpacing/>
        <w:rPr>
          <w:rFonts w:ascii="Sabon-Roman" w:hAnsi="Sabon-Roman" w:cs="Sabon-Roman"/>
        </w:rPr>
      </w:pPr>
      <w:r>
        <w:rPr>
          <w:rFonts w:cs="Sabon-Roman" w:ascii="Sabon-Roman" w:hAnsi="Sabon-Roman"/>
        </w:rPr>
        <w:t>and independent of schemes, then everything is possible, since</w:t>
      </w:r>
    </w:p>
    <w:p>
      <w:pPr>
        <w:pStyle w:val="Normal"/>
        <w:spacing w:before="0" w:after="0"/>
        <w:contextualSpacing/>
        <w:rPr>
          <w:rFonts w:ascii="Sabon-Roman" w:hAnsi="Sabon-Roman" w:cs="Sabon-Roman"/>
        </w:rPr>
      </w:pPr>
      <w:r>
        <w:rPr>
          <w:rFonts w:cs="Sabon-Roman" w:ascii="Sabon-Roman" w:hAnsi="Sabon-Roman"/>
        </w:rPr>
        <w:t>this decision comes to interfere with practical decisions (political</w:t>
      </w:r>
    </w:p>
    <w:p>
      <w:pPr>
        <w:pStyle w:val="Normal"/>
        <w:spacing w:before="0" w:after="0"/>
        <w:contextualSpacing/>
        <w:rPr>
          <w:rFonts w:ascii="Sabon-Roman" w:hAnsi="Sabon-Roman" w:cs="Sabon-Roman"/>
        </w:rPr>
      </w:pPr>
      <w:r>
        <w:rPr>
          <w:rFonts w:cs="Sabon-Roman" w:ascii="Sabon-Roman" w:hAnsi="Sabon-Roman"/>
        </w:rPr>
        <w:t>and moral) and not only with theoretical observations. It</w:t>
      </w:r>
    </w:p>
    <w:p>
      <w:pPr>
        <w:pStyle w:val="Normal"/>
        <w:spacing w:before="0" w:after="0"/>
        <w:contextualSpacing/>
        <w:rPr>
          <w:rFonts w:ascii="Sabon-Roman" w:hAnsi="Sabon-Roman" w:cs="Sabon-Roman"/>
        </w:rPr>
      </w:pPr>
      <w:r>
        <w:rPr>
          <w:rFonts w:cs="Sabon-Roman" w:ascii="Sabon-Roman" w:hAnsi="Sabon-Roman"/>
        </w:rPr>
        <w:t>certainly can be argued that ontology is not what there is, but</w:t>
      </w:r>
    </w:p>
    <w:p>
      <w:pPr>
        <w:pStyle w:val="Normal"/>
        <w:spacing w:before="0" w:after="0"/>
        <w:contextualSpacing/>
        <w:rPr>
          <w:rFonts w:ascii="Sabon-Roman" w:hAnsi="Sabon-Roman" w:cs="Sabon-Roman"/>
        </w:rPr>
      </w:pPr>
      <w:r>
        <w:rPr>
          <w:rFonts w:cs="Sabon-Roman" w:ascii="Sabon-Roman" w:hAnsi="Sabon-Roman"/>
        </w:rPr>
        <w:t>it is the discourse on what there is. So there is always an epistemological</w:t>
      </w:r>
    </w:p>
    <w:p>
      <w:pPr>
        <w:pStyle w:val="Normal"/>
        <w:spacing w:before="0" w:after="0"/>
        <w:contextualSpacing/>
        <w:rPr>
          <w:rFonts w:ascii="Sabon-Roman" w:hAnsi="Sabon-Roman" w:cs="Sabon-Roman"/>
        </w:rPr>
      </w:pPr>
      <w:r>
        <w:rPr>
          <w:rFonts w:cs="Sabon-Roman" w:ascii="Sabon-Roman" w:hAnsi="Sabon-Roman"/>
        </w:rPr>
        <w:t>remnant in ontology and an ontological residue in</w:t>
      </w:r>
    </w:p>
    <w:p>
      <w:pPr>
        <w:pStyle w:val="Normal"/>
        <w:spacing w:before="0" w:after="0"/>
        <w:contextualSpacing/>
        <w:rPr>
          <w:rFonts w:ascii="Sabon-Roman" w:hAnsi="Sabon-Roman" w:cs="Sabon-Roman"/>
        </w:rPr>
      </w:pPr>
      <w:r>
        <w:rPr>
          <w:rFonts w:cs="Sabon-Roman" w:ascii="Sabon-Roman" w:hAnsi="Sabon-Roman"/>
        </w:rPr>
        <w:t>epistemology. This is indisputable: ontology is never without</w:t>
      </w:r>
    </w:p>
    <w:p>
      <w:pPr>
        <w:pStyle w:val="Normal"/>
        <w:spacing w:before="0" w:after="0"/>
        <w:contextualSpacing/>
        <w:rPr>
          <w:rFonts w:ascii="Sabon-Roman" w:hAnsi="Sabon-Roman" w:cs="Sabon-Roman"/>
        </w:rPr>
      </w:pPr>
      <w:r>
        <w:rPr>
          <w:rFonts w:cs="Sabon-Roman" w:ascii="Sabon-Roman" w:hAnsi="Sabon-Roman"/>
        </w:rPr>
        <w:t>epistemology, just as one cannot live without knowledge.</w:t>
      </w:r>
    </w:p>
    <w:p>
      <w:pPr>
        <w:pStyle w:val="Normal"/>
        <w:spacing w:before="0" w:after="0"/>
        <w:contextualSpacing/>
        <w:rPr>
          <w:rFonts w:ascii="Sabon-Roman" w:hAnsi="Sabon-Roman" w:cs="Sabon-Roman"/>
        </w:rPr>
      </w:pPr>
      <w:r>
        <w:rPr>
          <w:rFonts w:cs="Sabon-Roman" w:ascii="Sabon-Roman" w:hAnsi="Sabon-Roman"/>
        </w:rPr>
      </w:r>
    </w:p>
    <w:p>
      <w:pPr>
        <w:pStyle w:val="Normal"/>
        <w:spacing w:before="0" w:after="0"/>
        <w:contextualSpacing/>
        <w:rPr/>
      </w:pPr>
      <w:r>
        <w:rPr/>
        <w:t xml:space="preserve">37 subchapter </w:t>
      </w:r>
      <w:r>
        <w:rPr>
          <w:rFonts w:cs="Sabon-RomanSC" w:ascii="Sabon-RomanSC" w:hAnsi="Sabon-RomanSC"/>
        </w:rPr>
        <w:t>Internal world and External World</w:t>
      </w:r>
    </w:p>
    <w:p>
      <w:pPr>
        <w:pStyle w:val="Normal"/>
        <w:spacing w:before="0" w:after="0"/>
        <w:contextualSpacing/>
        <w:rPr>
          <w:rFonts w:ascii="Sabon-RomanSC" w:hAnsi="Sabon-RomanSC" w:cs="Sabon-RomanSC"/>
        </w:rPr>
      </w:pPr>
      <w:r>
        <w:rPr>
          <w:rFonts w:cs="Sabon-RomanSC" w:ascii="Sabon-RomanSC" w:hAnsi="Sabon-RomanSC"/>
        </w:rPr>
      </w:r>
    </w:p>
    <w:p>
      <w:pPr>
        <w:pStyle w:val="Normal"/>
        <w:spacing w:before="0" w:after="0"/>
        <w:contextualSpacing/>
        <w:rPr/>
      </w:pPr>
      <w:r>
        <w:rPr/>
        <w:t xml:space="preserve">50 </w:t>
      </w:r>
      <w:r>
        <w:rPr>
          <w:rFonts w:cs="Sabon-Roman" w:ascii="Sabon-Roman" w:hAnsi="Sabon-Roman"/>
        </w:rPr>
        <w:t>Claiming (as the very-differentists do) that there is a gap</w:t>
      </w:r>
    </w:p>
    <w:p>
      <w:pPr>
        <w:pStyle w:val="Normal"/>
        <w:spacing w:before="0" w:after="0"/>
        <w:contextualSpacing/>
        <w:rPr>
          <w:rFonts w:ascii="Sabon-Roman" w:hAnsi="Sabon-Roman" w:cs="Sabon-Roman"/>
        </w:rPr>
      </w:pPr>
      <w:r>
        <w:rPr>
          <w:rFonts w:cs="Sabon-Roman" w:ascii="Sabon-Roman" w:hAnsi="Sabon-Roman"/>
        </w:rPr>
        <w:t>between perceptions and facts, and then between facts and</w:t>
      </w:r>
    </w:p>
    <w:p>
      <w:pPr>
        <w:pStyle w:val="Normal"/>
        <w:spacing w:before="0" w:after="0"/>
        <w:contextualSpacing/>
        <w:rPr>
          <w:rFonts w:ascii="Sabon-Roman" w:hAnsi="Sabon-Roman" w:cs="Sabon-Roman"/>
        </w:rPr>
      </w:pPr>
      <w:r>
        <w:rPr>
          <w:rFonts w:cs="Sabon-Roman" w:ascii="Sabon-Roman" w:hAnsi="Sabon-Roman"/>
        </w:rPr>
        <w:t>judgments, would perhaps be possible—however, only if one</w:t>
      </w:r>
    </w:p>
    <w:p>
      <w:pPr>
        <w:pStyle w:val="Normal"/>
        <w:spacing w:before="0" w:after="0"/>
        <w:contextualSpacing/>
        <w:rPr>
          <w:rFonts w:ascii="Sabon-Roman" w:hAnsi="Sabon-Roman" w:cs="Sabon-Roman"/>
        </w:rPr>
      </w:pPr>
      <w:r>
        <w:rPr>
          <w:rFonts w:cs="Sabon-Roman" w:ascii="Sabon-Roman" w:hAnsi="Sabon-Roman"/>
        </w:rPr>
        <w:t>were able to indicate the point of discontinuity in which one</w:t>
      </w:r>
    </w:p>
    <w:p>
      <w:pPr>
        <w:pStyle w:val="Normal"/>
        <w:spacing w:before="0" w:after="0"/>
        <w:contextualSpacing/>
        <w:rPr>
          <w:rFonts w:ascii="Sabon-Roman" w:hAnsi="Sabon-Roman" w:cs="Sabon-Roman"/>
        </w:rPr>
      </w:pPr>
      <w:r>
        <w:rPr>
          <w:rFonts w:cs="Sabon-Roman" w:ascii="Sabon-Roman" w:hAnsi="Sabon-Roman"/>
        </w:rPr>
        <w:t>passes from the unamendable and irrevocable to the interpretable.</w:t>
      </w:r>
    </w:p>
    <w:p>
      <w:pPr>
        <w:pStyle w:val="Normal"/>
        <w:spacing w:before="0" w:after="0"/>
        <w:contextualSpacing/>
        <w:rPr>
          <w:rFonts w:ascii="Sabon-Roman" w:hAnsi="Sabon-Roman" w:cs="Sabon-Roman"/>
        </w:rPr>
      </w:pPr>
      <w:r>
        <w:rPr>
          <w:rFonts w:cs="Sabon-Roman" w:ascii="Sabon-Roman" w:hAnsi="Sabon-Roman"/>
        </w:rPr>
        <w:t>Now, it is precisely this discontinuity that seems unobtainable:</w:t>
      </w:r>
    </w:p>
    <w:p>
      <w:pPr>
        <w:pStyle w:val="Normal"/>
        <w:spacing w:before="0" w:after="0"/>
        <w:contextualSpacing/>
        <w:rPr>
          <w:rFonts w:ascii="Sabon-Roman" w:hAnsi="Sabon-Roman" w:cs="Sabon-Roman"/>
        </w:rPr>
      </w:pPr>
      <w:r>
        <w:rPr>
          <w:rFonts w:cs="Sabon-Roman" w:ascii="Sabon-Roman" w:hAnsi="Sabon-Roman"/>
        </w:rPr>
        <w:t>assessments are made on facts and facts take place in</w:t>
      </w:r>
    </w:p>
    <w:p>
      <w:pPr>
        <w:pStyle w:val="Normal"/>
        <w:spacing w:before="0" w:after="0"/>
        <w:contextualSpacing/>
        <w:rPr>
          <w:rFonts w:ascii="Sabon-Roman" w:hAnsi="Sabon-Roman" w:cs="Sabon-Roman"/>
        </w:rPr>
      </w:pPr>
      <w:r>
        <w:rPr>
          <w:rFonts w:cs="Sabon-Roman" w:ascii="Sabon-Roman" w:hAnsi="Sabon-Roman"/>
        </w:rPr>
        <w:t>a world of objects. If this is so, it is not true that the ascertainment</w:t>
      </w:r>
    </w:p>
    <w:p>
      <w:pPr>
        <w:pStyle w:val="Normal"/>
        <w:spacing w:before="0" w:after="0"/>
        <w:contextualSpacing/>
        <w:rPr>
          <w:rFonts w:ascii="Sabon-Roman" w:hAnsi="Sabon-Roman" w:cs="Sabon-Roman"/>
        </w:rPr>
      </w:pPr>
      <w:r>
        <w:rPr>
          <w:rFonts w:cs="Sabon-Roman" w:ascii="Sabon-Roman" w:hAnsi="Sabon-Roman"/>
        </w:rPr>
        <w:t>of facts in the physical world (for instance, that snow is</w:t>
      </w:r>
    </w:p>
    <w:p>
      <w:pPr>
        <w:pStyle w:val="Normal"/>
        <w:spacing w:before="0" w:after="0"/>
        <w:contextualSpacing/>
        <w:rPr>
          <w:rFonts w:ascii="Sabon-Roman" w:hAnsi="Sabon-Roman" w:cs="Sabon-Roman"/>
        </w:rPr>
      </w:pPr>
      <w:r>
        <w:rPr>
          <w:rFonts w:cs="Sabon-Roman" w:ascii="Sabon-Roman" w:hAnsi="Sabon-Roman"/>
        </w:rPr>
        <w:t>white)9 lies at a radically distinct level from the ascertainment</w:t>
      </w:r>
    </w:p>
    <w:p>
      <w:pPr>
        <w:pStyle w:val="Normal"/>
        <w:spacing w:before="0" w:after="0"/>
        <w:contextualSpacing/>
        <w:rPr>
          <w:rFonts w:ascii="Sabon-Roman" w:hAnsi="Sabon-Roman" w:cs="Sabon-Roman"/>
        </w:rPr>
      </w:pPr>
      <w:r>
        <w:rPr>
          <w:rFonts w:cs="Sabon-Roman" w:ascii="Sabon-Roman" w:hAnsi="Sabon-Roman"/>
        </w:rPr>
        <w:t>of facts in the historical world and, in general, in a higher</w:t>
      </w:r>
    </w:p>
    <w:p>
      <w:pPr>
        <w:pStyle w:val="Normal"/>
        <w:spacing w:before="0" w:after="0"/>
        <w:contextualSpacing/>
        <w:rPr>
          <w:rFonts w:ascii="Sabon-Roman" w:hAnsi="Sabon-Roman" w:cs="Sabon-Roman"/>
        </w:rPr>
      </w:pPr>
      <w:r>
        <w:rPr>
          <w:rFonts w:cs="Sabon-Roman" w:ascii="Sabon-Roman" w:hAnsi="Sabon-Roman"/>
        </w:rPr>
        <w:t>sphere where, according to the very-differentists, the decisive</w:t>
      </w:r>
    </w:p>
    <w:p>
      <w:pPr>
        <w:pStyle w:val="Normal"/>
        <w:spacing w:before="0" w:after="0"/>
        <w:contextualSpacing/>
        <w:rPr>
          <w:rFonts w:ascii="Sabon-Roman" w:hAnsi="Sabon-Roman" w:cs="Sabon-Roman"/>
        </w:rPr>
      </w:pPr>
      <w:r>
        <w:rPr>
          <w:rFonts w:cs="Sabon-Roman" w:ascii="Sabon-Roman" w:hAnsi="Sabon-Roman"/>
        </w:rPr>
        <w:t>matches are played and interpretations have emancipative functions.</w:t>
      </w:r>
    </w:p>
    <w:p>
      <w:pPr>
        <w:pStyle w:val="Normal"/>
        <w:spacing w:before="0" w:after="0"/>
        <w:contextualSpacing/>
        <w:rPr>
          <w:rFonts w:ascii="Sabon-Roman" w:hAnsi="Sabon-Roman" w:cs="Sabon-Roman"/>
        </w:rPr>
      </w:pPr>
      <w:r>
        <w:rPr>
          <w:rFonts w:cs="Sabon-Roman" w:ascii="Sabon-Roman" w:hAnsi="Sabon-Roman"/>
        </w:rPr>
        <w:t>52 This work consists in distinguishing carefully between the</w:t>
      </w:r>
    </w:p>
    <w:p>
      <w:pPr>
        <w:pStyle w:val="Normal"/>
        <w:spacing w:before="0" w:after="0"/>
        <w:contextualSpacing/>
        <w:rPr>
          <w:rFonts w:ascii="Sabon-Roman" w:hAnsi="Sabon-Roman" w:cs="Sabon-Roman"/>
        </w:rPr>
      </w:pPr>
      <w:r>
        <w:rPr>
          <w:rFonts w:cs="Sabon-Roman" w:ascii="Sabon-Roman" w:hAnsi="Sabon-Roman"/>
        </w:rPr>
        <w:t>existence of things that exist only for us, that is, things that</w:t>
      </w:r>
    </w:p>
    <w:p>
      <w:pPr>
        <w:pStyle w:val="Normal"/>
        <w:spacing w:before="0" w:after="0"/>
        <w:contextualSpacing/>
        <w:rPr>
          <w:rFonts w:ascii="Sabon-Roman" w:hAnsi="Sabon-Roman" w:cs="Sabon-Roman"/>
        </w:rPr>
      </w:pPr>
      <w:r>
        <w:rPr>
          <w:rFonts w:cs="Sabon-Roman" w:ascii="Sabon-Roman" w:hAnsi="Sabon-Roman"/>
        </w:rPr>
        <w:t>only exist if there is a humanity, and things that would exist</w:t>
      </w:r>
    </w:p>
    <w:p>
      <w:pPr>
        <w:pStyle w:val="Normal"/>
        <w:spacing w:before="0" w:after="0"/>
        <w:contextualSpacing/>
        <w:rPr>
          <w:rFonts w:ascii="Sabon-Roman" w:hAnsi="Sabon-Roman" w:cs="Sabon-Roman"/>
        </w:rPr>
      </w:pPr>
      <w:r>
        <w:rPr>
          <w:rFonts w:cs="Sabon-Roman" w:ascii="Sabon-Roman" w:hAnsi="Sabon-Roman"/>
        </w:rPr>
        <w:t>even if humanity had never been there. That is why, in my</w:t>
      </w:r>
    </w:p>
    <w:p>
      <w:pPr>
        <w:pStyle w:val="Normal"/>
        <w:spacing w:before="0" w:after="0"/>
        <w:contextualSpacing/>
        <w:rPr>
          <w:rFonts w:ascii="Sabon-Roman" w:hAnsi="Sabon-Roman" w:cs="Sabon-Roman"/>
        </w:rPr>
      </w:pPr>
      <w:r>
        <w:rPr>
          <w:rFonts w:cs="Sabon-Roman" w:ascii="Sabon-Roman" w:hAnsi="Sabon-Roman"/>
        </w:rPr>
        <w:t>opinion, the real deconstruction must commit to distinguishing</w:t>
      </w:r>
    </w:p>
    <w:p>
      <w:pPr>
        <w:pStyle w:val="Normal"/>
        <w:spacing w:before="0" w:after="0"/>
        <w:contextualSpacing/>
        <w:rPr>
          <w:rFonts w:ascii="Sabon-Roman" w:hAnsi="Sabon-Roman" w:cs="Sabon-Roman"/>
        </w:rPr>
      </w:pPr>
      <w:r>
        <w:rPr>
          <w:rFonts w:cs="Sabon-Roman" w:ascii="Sabon-Roman" w:hAnsi="Sabon-Roman"/>
        </w:rPr>
        <w:t>between regions of being that are socially constructed and others</w:t>
      </w:r>
    </w:p>
    <w:p>
      <w:pPr>
        <w:pStyle w:val="Normal"/>
        <w:spacing w:before="0" w:after="0"/>
        <w:contextualSpacing/>
        <w:rPr>
          <w:rFonts w:ascii="Sabon-Roman" w:hAnsi="Sabon-Roman" w:cs="Sabon-Roman"/>
        </w:rPr>
      </w:pPr>
      <w:r>
        <w:rPr>
          <w:rFonts w:cs="Sabon-Roman" w:ascii="Sabon-Roman" w:hAnsi="Sabon-Roman"/>
        </w:rPr>
        <w:t>that are not, to establishing for each region of being some</w:t>
      </w:r>
    </w:p>
    <w:p>
      <w:pPr>
        <w:pStyle w:val="Normal"/>
        <w:spacing w:before="0" w:after="0"/>
        <w:contextualSpacing/>
        <w:rPr>
          <w:rFonts w:ascii="Sabon-Roman" w:hAnsi="Sabon-Roman" w:cs="Sabon-Roman"/>
        </w:rPr>
      </w:pPr>
      <w:r>
        <w:rPr>
          <w:rFonts w:cs="Sabon-Roman" w:ascii="Sabon-Roman" w:hAnsi="Sabon-Roman"/>
        </w:rPr>
        <w:t>specific modes of existence, and finally to ascribing individual</w:t>
      </w:r>
    </w:p>
    <w:p>
      <w:pPr>
        <w:pStyle w:val="Normal"/>
        <w:spacing w:before="0" w:after="0"/>
        <w:contextualSpacing/>
        <w:rPr>
          <w:rFonts w:ascii="Sabon-Roman" w:hAnsi="Sabon-Roman" w:cs="Sabon-Roman"/>
        </w:rPr>
      </w:pPr>
      <w:r>
        <w:rPr>
          <w:rFonts w:cs="Sabon-Roman" w:ascii="Sabon-Roman" w:hAnsi="Sabon-Roman"/>
        </w:rPr>
        <w:t>objects to one of these regions of being, proceeding case by</w:t>
      </w:r>
    </w:p>
    <w:p>
      <w:pPr>
        <w:pStyle w:val="Normal"/>
        <w:spacing w:before="0" w:after="0"/>
        <w:contextualSpacing/>
        <w:rPr>
          <w:rFonts w:ascii="Sabon-Roman" w:hAnsi="Sabon-Roman" w:cs="Sabon-Roman"/>
        </w:rPr>
      </w:pPr>
      <w:r>
        <w:rPr>
          <w:rFonts w:cs="Sabon-Roman" w:ascii="Sabon-Roman" w:hAnsi="Sabon-Roman"/>
        </w:rPr>
        <w:t>case.12</w:t>
      </w:r>
    </w:p>
    <w:p>
      <w:pPr>
        <w:pStyle w:val="Normal"/>
        <w:spacing w:before="0" w:after="0"/>
        <w:contextualSpacing/>
        <w:rPr>
          <w:rFonts w:ascii="Sabon-Roman" w:hAnsi="Sabon-Roman" w:cs="Sabon-Roman"/>
        </w:rPr>
      </w:pPr>
      <w:r>
        <w:rPr>
          <w:rFonts w:cs="Sabon-Roman" w:ascii="Sabon-Roman" w:hAnsi="Sabon-Roman"/>
        </w:rPr>
        <w:t>56 The illusion that these objects are an infinitely interpretable</w:t>
      </w:r>
    </w:p>
    <w:p>
      <w:pPr>
        <w:pStyle w:val="Normal"/>
        <w:spacing w:before="0" w:after="0"/>
        <w:contextualSpacing/>
        <w:rPr>
          <w:rFonts w:ascii="Sabon-Roman" w:hAnsi="Sabon-Roman" w:cs="Sabon-Roman"/>
        </w:rPr>
      </w:pPr>
      <w:r>
        <w:rPr>
          <w:rFonts w:cs="Sabon-Roman" w:ascii="Sabon-Roman" w:hAnsi="Sabon-Roman"/>
        </w:rPr>
        <w:t>phantasmagoria makes us blind, and therefore helpless,</w:t>
      </w:r>
    </w:p>
    <w:p>
      <w:pPr>
        <w:pStyle w:val="Normal"/>
        <w:spacing w:before="0" w:after="0"/>
        <w:contextualSpacing/>
        <w:rPr>
          <w:rFonts w:ascii="Sabon-Roman" w:hAnsi="Sabon-Roman" w:cs="Sabon-Roman"/>
        </w:rPr>
      </w:pPr>
      <w:r>
        <w:rPr>
          <w:rFonts w:cs="Sabon-Roman" w:ascii="Sabon-Roman" w:hAnsi="Sabon-Roman"/>
        </w:rPr>
        <w:t>in front of the world in which we live. So I formulated a</w:t>
      </w:r>
    </w:p>
    <w:p>
      <w:pPr>
        <w:pStyle w:val="Normal"/>
        <w:spacing w:before="0" w:after="0"/>
        <w:contextualSpacing/>
        <w:rPr>
          <w:rFonts w:ascii="Sabon-Roman" w:hAnsi="Sabon-Roman" w:cs="Sabon-Roman"/>
        </w:rPr>
      </w:pPr>
      <w:r>
        <w:rPr>
          <w:rFonts w:cs="Sabon-Roman" w:ascii="Sabon-Roman" w:hAnsi="Sabon-Roman"/>
        </w:rPr>
        <w:t>definition of social objects as “inscriptions of acts,” that is, as</w:t>
      </w:r>
    </w:p>
    <w:p>
      <w:pPr>
        <w:pStyle w:val="Normal"/>
        <w:spacing w:before="0" w:after="0"/>
        <w:contextualSpacing/>
        <w:rPr>
          <w:rFonts w:ascii="Sabon-Roman" w:hAnsi="Sabon-Roman" w:cs="Sabon-Roman"/>
        </w:rPr>
      </w:pPr>
      <w:r>
        <w:rPr>
          <w:rFonts w:cs="Sabon-Roman" w:ascii="Sabon-Roman" w:hAnsi="Sabon-Roman"/>
        </w:rPr>
        <w:t>the establishment of relationships that access the dimension of</w:t>
      </w:r>
    </w:p>
    <w:p>
      <w:pPr>
        <w:pStyle w:val="Normal"/>
        <w:spacing w:before="0" w:after="0"/>
        <w:contextualSpacing/>
        <w:rPr>
          <w:rFonts w:ascii="Sabon-Roman" w:hAnsi="Sabon-Roman" w:cs="Sabon-Roman"/>
        </w:rPr>
      </w:pPr>
      <w:r>
        <w:rPr>
          <w:rFonts w:cs="Sabon-Roman" w:ascii="Sabon-Roman" w:hAnsi="Sabon-Roman"/>
        </w:rPr>
        <w:t>objectivity through recording.</w:t>
      </w:r>
    </w:p>
    <w:p>
      <w:pPr>
        <w:pStyle w:val="Normal"/>
        <w:spacing w:before="0" w:after="0"/>
        <w:contextualSpacing/>
        <w:rPr>
          <w:rFonts w:ascii="Sabon-Roman" w:hAnsi="Sabon-Roman" w:cs="Sabon-Roman"/>
        </w:rPr>
      </w:pPr>
      <w:r>
        <w:rPr>
          <w:rFonts w:cs="Sabon-Roman" w:ascii="Sabon-Roman" w:hAnsi="Sabon-Roman"/>
        </w:rPr>
      </w:r>
    </w:p>
    <w:p>
      <w:pPr>
        <w:pStyle w:val="Normal"/>
        <w:spacing w:before="0" w:after="0"/>
        <w:contextualSpacing/>
        <w:rPr>
          <w:rFonts w:ascii="Sabon-Roman" w:hAnsi="Sabon-Roman" w:cs="Sabon-Roman"/>
        </w:rPr>
      </w:pPr>
      <w:r>
        <w:rPr>
          <w:rFonts w:cs="Sabon-Roman" w:ascii="Sabon-Roman" w:hAnsi="Sabon-Roman"/>
        </w:rPr>
        <w:t>58 First, as regards the distinction between ontology</w:t>
      </w:r>
    </w:p>
    <w:p>
      <w:pPr>
        <w:pStyle w:val="Normal"/>
        <w:spacing w:before="0" w:after="0"/>
        <w:contextualSpacing/>
        <w:rPr>
          <w:rFonts w:ascii="Sabon-Roman" w:hAnsi="Sabon-Roman" w:cs="Sabon-Roman"/>
        </w:rPr>
      </w:pPr>
      <w:r>
        <w:rPr>
          <w:rFonts w:cs="Sabon-Roman" w:ascii="Sabon-Roman" w:hAnsi="Sabon-Roman"/>
        </w:rPr>
        <w:t>and epistemology (and the distinctions that follow, between</w:t>
      </w:r>
    </w:p>
    <w:p>
      <w:pPr>
        <w:pStyle w:val="Normal"/>
        <w:spacing w:before="0" w:after="0"/>
        <w:contextualSpacing/>
        <w:rPr>
          <w:rFonts w:ascii="Sabon-Roman" w:hAnsi="Sabon-Roman" w:cs="Sabon-Roman"/>
        </w:rPr>
      </w:pPr>
      <w:r>
        <w:rPr>
          <w:rFonts w:cs="Sabon-Roman" w:ascii="Sabon-Roman" w:hAnsi="Sabon-Roman"/>
        </w:rPr>
        <w:t>external world and internal world, and between science and</w:t>
      </w:r>
    </w:p>
    <w:p>
      <w:pPr>
        <w:pStyle w:val="Normal"/>
        <w:spacing w:before="0" w:after="0"/>
        <w:contextualSpacing/>
        <w:rPr>
          <w:rFonts w:ascii="Sabon-Roman" w:hAnsi="Sabon-Roman" w:cs="Sabon-Roman"/>
        </w:rPr>
      </w:pPr>
      <w:r>
        <w:rPr>
          <w:rFonts w:cs="Sabon-Roman" w:ascii="Sabon-Roman" w:hAnsi="Sabon-Roman"/>
        </w:rPr>
        <w:t>experience), it seems to me that it responds to the necessity</w:t>
      </w:r>
    </w:p>
    <w:p>
      <w:pPr>
        <w:pStyle w:val="Normal"/>
        <w:spacing w:before="0" w:after="0"/>
        <w:contextualSpacing/>
        <w:rPr>
          <w:rFonts w:ascii="Sabon-Roman" w:hAnsi="Sabon-Roman" w:cs="Sabon-Roman"/>
        </w:rPr>
      </w:pPr>
      <w:r>
        <w:rPr>
          <w:rFonts w:cs="Sabon-Roman" w:ascii="Sabon-Roman" w:hAnsi="Sabon-Roman"/>
        </w:rPr>
        <w:t>to preserve two essential needs for realism, so as to overcome</w:t>
      </w:r>
    </w:p>
    <w:p>
      <w:pPr>
        <w:pStyle w:val="Normal"/>
        <w:spacing w:before="0" w:after="0"/>
        <w:contextualSpacing/>
        <w:rPr>
          <w:rFonts w:ascii="Sabon-Roman" w:hAnsi="Sabon-Roman" w:cs="Sabon-Roman"/>
        </w:rPr>
      </w:pPr>
      <w:r>
        <w:rPr>
          <w:rFonts w:cs="Sabon-Roman" w:ascii="Sabon-Roman" w:hAnsi="Sabon-Roman"/>
        </w:rPr>
        <w:t>the fallacy of being-knowledge, that is, the collapse between</w:t>
      </w:r>
    </w:p>
    <w:p>
      <w:pPr>
        <w:pStyle w:val="Normal"/>
        <w:spacing w:before="0" w:after="0"/>
        <w:contextualSpacing/>
        <w:rPr>
          <w:rFonts w:ascii="Sabon-Roman" w:hAnsi="Sabon-Roman" w:cs="Sabon-Roman"/>
        </w:rPr>
      </w:pPr>
      <w:r>
        <w:rPr>
          <w:rFonts w:cs="Sabon-Roman" w:ascii="Sabon-Roman" w:hAnsi="Sabon-Roman"/>
        </w:rPr>
        <w:t>objects and the knowledge we have of them that began with</w:t>
      </w:r>
    </w:p>
    <w:p>
      <w:pPr>
        <w:pStyle w:val="Normal"/>
        <w:spacing w:before="0" w:after="0"/>
        <w:contextualSpacing/>
        <w:rPr>
          <w:rFonts w:ascii="Sabon-Roman" w:hAnsi="Sabon-Roman" w:cs="Sabon-Roman"/>
        </w:rPr>
      </w:pPr>
      <w:r>
        <w:rPr>
          <w:rFonts w:cs="Sabon-Roman" w:ascii="Sabon-Roman" w:hAnsi="Sabon-Roman"/>
        </w:rPr>
        <w:t>transcendental philosophy and culminated with postmodernism.</w:t>
      </w:r>
    </w:p>
    <w:p>
      <w:pPr>
        <w:pStyle w:val="Normal"/>
        <w:spacing w:before="0" w:after="0"/>
        <w:contextualSpacing/>
        <w:rPr>
          <w:rFonts w:ascii="Sabon-Roman" w:hAnsi="Sabon-Roman" w:cs="Sabon-Roman"/>
        </w:rPr>
      </w:pPr>
      <w:r>
        <w:rPr>
          <w:rFonts w:cs="Sabon-Roman" w:ascii="Sabon-Roman" w:hAnsi="Sabon-Roman"/>
        </w:rPr>
      </w:r>
    </w:p>
    <w:p>
      <w:pPr>
        <w:pStyle w:val="Normal"/>
        <w:spacing w:before="0" w:after="0"/>
        <w:contextualSpacing/>
        <w:rPr>
          <w:rFonts w:ascii="Sabon-Roman" w:hAnsi="Sabon-Roman" w:cs="Sabon-Roman"/>
        </w:rPr>
      </w:pPr>
      <w:r>
        <w:rPr>
          <w:rFonts w:cs="Sabon-Roman" w:ascii="Sabon-Roman" w:hAnsi="Sabon-Roman"/>
        </w:rPr>
        <w:t>59 On the other hand,</w:t>
      </w:r>
    </w:p>
    <w:p>
      <w:pPr>
        <w:pStyle w:val="Normal"/>
        <w:spacing w:before="0" w:after="0"/>
        <w:contextualSpacing/>
        <w:rPr>
          <w:rFonts w:ascii="Sabon-Roman" w:hAnsi="Sabon-Roman" w:cs="Sabon-Roman"/>
        </w:rPr>
      </w:pPr>
      <w:r>
        <w:rPr>
          <w:rFonts w:cs="Sabon-Roman" w:ascii="Sabon-Roman" w:hAnsi="Sabon-Roman"/>
        </w:rPr>
        <w:t>it allows us to see in the social world the work of human construction,</w:t>
      </w:r>
    </w:p>
    <w:p>
      <w:pPr>
        <w:pStyle w:val="Normal"/>
        <w:spacing w:before="0" w:after="0"/>
        <w:contextualSpacing/>
        <w:rPr>
          <w:rFonts w:ascii="Sabon-Roman" w:hAnsi="Sabon-Roman" w:cs="Sabon-Roman"/>
        </w:rPr>
      </w:pPr>
      <w:r>
        <w:rPr>
          <w:rFonts w:cs="Sabon-Roman" w:ascii="Sabon-Roman" w:hAnsi="Sabon-Roman"/>
        </w:rPr>
        <w:t>which however—precisely to the extent to which it</w:t>
      </w:r>
    </w:p>
    <w:p>
      <w:pPr>
        <w:pStyle w:val="Normal"/>
        <w:spacing w:before="0" w:after="0"/>
        <w:contextualSpacing/>
        <w:rPr>
          <w:rFonts w:ascii="Sabon-Roman" w:hAnsi="Sabon-Roman" w:cs="Sabon-Roman"/>
        </w:rPr>
      </w:pPr>
      <w:r>
        <w:rPr>
          <w:rFonts w:cs="Sabon-Roman" w:ascii="Sabon-Roman" w:hAnsi="Sabon-Roman"/>
        </w:rPr>
        <w:t>is a social interaction—does not constitute a purely subjective</w:t>
      </w:r>
    </w:p>
    <w:p>
      <w:pPr>
        <w:pStyle w:val="Normal"/>
        <w:spacing w:before="0" w:after="0"/>
        <w:contextualSpacing/>
        <w:rPr>
          <w:rFonts w:ascii="Sabon-Roman" w:hAnsi="Sabon-Roman" w:cs="Sabon-Roman"/>
        </w:rPr>
      </w:pPr>
      <w:r>
        <w:rPr>
          <w:rFonts w:cs="Sabon-Roman" w:ascii="Sabon-Roman" w:hAnsi="Sabon-Roman"/>
        </w:rPr>
        <w:t>production. In this way, the sphere of natural objects, as well as</w:t>
      </w:r>
    </w:p>
    <w:p>
      <w:pPr>
        <w:pStyle w:val="Normal"/>
        <w:spacing w:before="0" w:after="0"/>
        <w:contextualSpacing/>
        <w:rPr>
          <w:rFonts w:ascii="Sabon-Roman" w:hAnsi="Sabon-Roman" w:cs="Sabon-Roman"/>
        </w:rPr>
      </w:pPr>
      <w:r>
        <w:rPr>
          <w:rFonts w:cs="Sabon-Roman" w:ascii="Sabon-Roman" w:hAnsi="Sabon-Roman"/>
        </w:rPr>
        <w:t>that of social objects, becomes the field of a possible and legitimate</w:t>
      </w:r>
    </w:p>
    <w:p>
      <w:pPr>
        <w:pStyle w:val="Normal"/>
        <w:spacing w:before="0" w:after="0"/>
        <w:contextualSpacing/>
        <w:rPr>
          <w:rFonts w:ascii="Sabon-Roman" w:hAnsi="Sabon-Roman" w:cs="Sabon-Roman"/>
        </w:rPr>
      </w:pPr>
      <w:r>
        <w:rPr>
          <w:rFonts w:cs="Sabon-Roman" w:ascii="Sabon-Roman" w:hAnsi="Sabon-Roman"/>
        </w:rPr>
        <w:t>knowledge, that is, of an epistemology that undoubtedly</w:t>
      </w:r>
    </w:p>
    <w:p>
      <w:pPr>
        <w:pStyle w:val="Normal"/>
        <w:spacing w:before="0" w:after="0"/>
        <w:contextualSpacing/>
        <w:rPr>
          <w:rFonts w:ascii="Sabon-Roman" w:hAnsi="Sabon-Roman" w:cs="Sabon-Roman"/>
        </w:rPr>
      </w:pPr>
      <w:r>
        <w:rPr>
          <w:rFonts w:cs="Sabon-Roman" w:ascii="Sabon-Roman" w:hAnsi="Sabon-Roman"/>
        </w:rPr>
        <w:t>involves hermeneutics (since in many cases knowledge requires</w:t>
      </w:r>
    </w:p>
    <w:p>
      <w:pPr>
        <w:pStyle w:val="Normal"/>
        <w:spacing w:before="0" w:after="0"/>
        <w:contextualSpacing/>
        <w:rPr>
          <w:rFonts w:ascii="Sabon-Roman" w:hAnsi="Sabon-Roman" w:cs="Sabon-Roman"/>
        </w:rPr>
      </w:pPr>
      <w:r>
        <w:rPr>
          <w:rFonts w:cs="Sabon-Roman" w:ascii="Sabon-Roman" w:hAnsi="Sabon-Roman"/>
        </w:rPr>
        <w:t>varying degrees of interpretation). Nevertheless, this epistemology</w:t>
      </w:r>
    </w:p>
    <w:p>
      <w:pPr>
        <w:pStyle w:val="Normal"/>
        <w:spacing w:before="0" w:after="0"/>
        <w:contextualSpacing/>
        <w:rPr>
          <w:rFonts w:ascii="Sabon-Roman" w:hAnsi="Sabon-Roman" w:cs="Sabon-Roman"/>
        </w:rPr>
      </w:pPr>
      <w:r>
        <w:rPr>
          <w:rFonts w:cs="Sabon-Roman" w:ascii="Sabon-Roman" w:hAnsi="Sabon-Roman"/>
        </w:rPr>
        <w:t>has a very different value depending on whether it refers</w:t>
      </w:r>
    </w:p>
    <w:p>
      <w:pPr>
        <w:pStyle w:val="Normal"/>
        <w:spacing w:before="0" w:after="0"/>
        <w:contextualSpacing/>
        <w:rPr>
          <w:rFonts w:ascii="Sabon-Roman" w:hAnsi="Sabon-Roman" w:cs="Sabon-Roman"/>
        </w:rPr>
      </w:pPr>
      <w:r>
        <w:rPr>
          <w:rFonts w:cs="Sabon-Roman" w:ascii="Sabon-Roman" w:hAnsi="Sabon-Roman"/>
        </w:rPr>
        <w:t>to natural objects or social objects. In respect of the former,</w:t>
      </w:r>
    </w:p>
    <w:p>
      <w:pPr>
        <w:pStyle w:val="Normal"/>
        <w:spacing w:before="0" w:after="0"/>
        <w:contextualSpacing/>
        <w:rPr>
          <w:rFonts w:ascii="Sabon-Roman" w:hAnsi="Sabon-Roman" w:cs="Sabon-Roman"/>
        </w:rPr>
      </w:pPr>
      <w:r>
        <w:rPr>
          <w:rFonts w:cs="Sabon-Roman" w:ascii="Sabon-Roman" w:hAnsi="Sabon-Roman"/>
        </w:rPr>
        <w:t>in fact, epistemology exerts a purely reconstructive function,</w:t>
      </w:r>
    </w:p>
    <w:p>
      <w:pPr>
        <w:pStyle w:val="Normal"/>
        <w:spacing w:before="0" w:after="0"/>
        <w:contextualSpacing/>
        <w:rPr>
          <w:rFonts w:ascii="Sabon-Roman" w:hAnsi="Sabon-Roman" w:cs="Sabon-Roman"/>
        </w:rPr>
      </w:pPr>
      <w:r>
        <w:rPr>
          <w:rFonts w:cs="Sabon-Roman" w:ascii="Sabon-Roman" w:hAnsi="Sabon-Roman"/>
        </w:rPr>
        <w:t>merely acknowledging something that exists independently of</w:t>
      </w:r>
    </w:p>
    <w:p>
      <w:pPr>
        <w:pStyle w:val="Normal"/>
        <w:spacing w:before="0" w:after="0"/>
        <w:contextualSpacing/>
        <w:rPr>
          <w:rFonts w:ascii="Sabon-Roman" w:hAnsi="Sabon-Roman" w:cs="Sabon-Roman"/>
        </w:rPr>
      </w:pPr>
      <w:r>
        <w:rPr>
          <w:rFonts w:cs="Sabon-Roman" w:ascii="Sabon-Roman" w:hAnsi="Sabon-Roman"/>
        </w:rPr>
        <w:t>knowledge.</w:t>
      </w:r>
    </w:p>
    <w:p>
      <w:pPr>
        <w:pStyle w:val="Normal"/>
        <w:spacing w:before="0" w:after="0"/>
        <w:contextualSpacing/>
        <w:rPr>
          <w:rFonts w:ascii="Sabon-Roman" w:hAnsi="Sabon-Roman" w:cs="Sabon-Roman"/>
        </w:rPr>
      </w:pPr>
      <w:r>
        <w:rPr>
          <w:rFonts w:cs="Sabon-Roman" w:ascii="Sabon-Roman" w:hAnsi="Sabon-Roman"/>
        </w:rPr>
        <w:t>63 The result of the reconstruction I propose is, as announced</w:t>
      </w:r>
    </w:p>
    <w:p>
      <w:pPr>
        <w:pStyle w:val="Normal"/>
        <w:spacing w:before="0" w:after="0"/>
        <w:contextualSpacing/>
        <w:rPr>
          <w:rFonts w:ascii="Sabon-Roman" w:hAnsi="Sabon-Roman" w:cs="Sabon-Roman"/>
        </w:rPr>
      </w:pPr>
      <w:r>
        <w:rPr>
          <w:rFonts w:cs="Sabon-Roman" w:ascii="Sabon-Roman" w:hAnsi="Sabon-Roman"/>
        </w:rPr>
        <w:t>in chapter 2, a “treaty of perpetual peace” between the realist</w:t>
      </w:r>
    </w:p>
    <w:p>
      <w:pPr>
        <w:pStyle w:val="Normal"/>
        <w:spacing w:before="0" w:after="0"/>
        <w:contextualSpacing/>
        <w:rPr>
          <w:rFonts w:ascii="Sabon-Roman" w:hAnsi="Sabon-Roman" w:cs="Sabon-Roman"/>
        </w:rPr>
      </w:pPr>
      <w:r>
        <w:rPr>
          <w:rFonts w:cs="Sabon-Roman" w:ascii="Sabon-Roman" w:hAnsi="Sabon-Roman"/>
        </w:rPr>
        <w:t>insight and the constructionist one. It is simply a matter of</w:t>
      </w:r>
    </w:p>
    <w:p>
      <w:pPr>
        <w:pStyle w:val="Normal"/>
        <w:spacing w:before="0" w:after="0"/>
        <w:contextualSpacing/>
        <w:rPr>
          <w:rFonts w:ascii="Sabon-Roman" w:hAnsi="Sabon-Roman" w:cs="Sabon-Roman"/>
        </w:rPr>
      </w:pPr>
      <w:r>
        <w:rPr>
          <w:rFonts w:cs="Sabon-Roman" w:ascii="Sabon-Roman" w:hAnsi="Sabon-Roman"/>
        </w:rPr>
        <w:t>assigning each one to its field of competence: 1) Natural objects</w:t>
      </w:r>
    </w:p>
    <w:p>
      <w:pPr>
        <w:pStyle w:val="Normal"/>
        <w:spacing w:before="0" w:after="0"/>
        <w:contextualSpacing/>
        <w:rPr>
          <w:rFonts w:ascii="Sabon-Roman" w:hAnsi="Sabon-Roman" w:cs="Sabon-Roman"/>
        </w:rPr>
      </w:pPr>
      <w:r>
        <w:rPr>
          <w:rFonts w:cs="Sabon-Roman" w:ascii="Sabon-Roman" w:hAnsi="Sabon-Roman"/>
        </w:rPr>
        <w:t>are independent of epistemology and make natural science true.</w:t>
      </w:r>
    </w:p>
    <w:p>
      <w:pPr>
        <w:pStyle w:val="Normal"/>
        <w:spacing w:before="0" w:after="0"/>
        <w:contextualSpacing/>
        <w:rPr>
          <w:rFonts w:ascii="Sabon-Roman" w:hAnsi="Sabon-Roman" w:cs="Sabon-Roman"/>
        </w:rPr>
      </w:pPr>
      <w:r>
        <w:rPr>
          <w:rFonts w:cs="Sabon-Roman" w:ascii="Sabon-Roman" w:hAnsi="Sabon-Roman"/>
        </w:rPr>
        <w:t>2) Experience is independent of science. 3) Social objects are</w:t>
      </w:r>
    </w:p>
    <w:p>
      <w:pPr>
        <w:pStyle w:val="Normal"/>
        <w:spacing w:before="0" w:after="0"/>
        <w:contextualSpacing/>
        <w:rPr>
          <w:rFonts w:ascii="Sabon-Roman" w:hAnsi="Sabon-Roman" w:cs="Sabon-Roman"/>
        </w:rPr>
      </w:pPr>
      <w:r>
        <w:rPr>
          <w:rFonts w:cs="Sabon-Roman" w:ascii="Sabon-Roman" w:hAnsi="Sabon-Roman"/>
        </w:rPr>
        <w:t>dependent on epistemology, without being subjective. 4) “Intuitions</w:t>
      </w:r>
    </w:p>
    <w:p>
      <w:pPr>
        <w:pStyle w:val="Normal"/>
        <w:spacing w:before="0" w:after="0"/>
        <w:contextualSpacing/>
        <w:rPr>
          <w:rFonts w:ascii="Sabon-Roman" w:hAnsi="Sabon-Roman" w:cs="Sabon-Roman"/>
        </w:rPr>
      </w:pPr>
      <w:r>
        <w:rPr>
          <w:rFonts w:cs="Sabon-Roman" w:ascii="Sabon-Roman" w:hAnsi="Sabon-Roman"/>
        </w:rPr>
        <w:t>without concepts are blind” applies primarily to social</w:t>
      </w:r>
    </w:p>
    <w:p>
      <w:pPr>
        <w:pStyle w:val="Normal"/>
        <w:spacing w:before="0" w:after="0"/>
        <w:contextualSpacing/>
        <w:rPr>
          <w:rFonts w:ascii="Sabon-Roman" w:hAnsi="Sabon-Roman" w:cs="Sabon-Roman"/>
        </w:rPr>
      </w:pPr>
      <w:r>
        <w:rPr>
          <w:rFonts w:cs="Sabon-Roman" w:ascii="Sabon-Roman" w:hAnsi="Sabon-Roman"/>
        </w:rPr>
        <w:t>objects (where it has a constructive value) and less to the epistemological</w:t>
      </w:r>
    </w:p>
    <w:p>
      <w:pPr>
        <w:pStyle w:val="Normal"/>
        <w:spacing w:before="0" w:after="0"/>
        <w:contextualSpacing/>
        <w:rPr>
          <w:rFonts w:ascii="Sabon-Roman" w:hAnsi="Sabon-Roman" w:cs="Sabon-Roman"/>
        </w:rPr>
      </w:pPr>
      <w:r>
        <w:rPr>
          <w:rFonts w:cs="Sabon-Roman" w:ascii="Sabon-Roman" w:hAnsi="Sabon-Roman"/>
        </w:rPr>
        <w:t>approach to the natural world (where it has a reconstructive</w:t>
      </w:r>
    </w:p>
    <w:p>
      <w:pPr>
        <w:pStyle w:val="Normal"/>
        <w:spacing w:before="0" w:after="0"/>
        <w:contextualSpacing/>
        <w:rPr>
          <w:rFonts w:ascii="Sabon-Roman" w:hAnsi="Sabon-Roman" w:cs="Sabon-Roman"/>
        </w:rPr>
      </w:pPr>
      <w:r>
        <w:rPr>
          <w:rFonts w:cs="Sabon-Roman" w:ascii="Sabon-Roman" w:hAnsi="Sabon-Roman"/>
        </w:rPr>
        <w:t>value). 5) The realist intuition and the constructionist</w:t>
      </w:r>
    </w:p>
    <w:p>
      <w:pPr>
        <w:pStyle w:val="Normal"/>
        <w:spacing w:before="0" w:after="0"/>
        <w:contextualSpacing/>
        <w:rPr>
          <w:rFonts w:ascii="Sabon-Roman" w:hAnsi="Sabon-Roman" w:cs="Sabon-Roman"/>
        </w:rPr>
      </w:pPr>
      <w:r>
        <w:rPr>
          <w:rFonts w:cs="Sabon-Roman" w:ascii="Sabon-Roman" w:hAnsi="Sabon-Roman"/>
        </w:rPr>
        <w:t>insight have therefore equal legitimacy in their respective fields</w:t>
      </w:r>
    </w:p>
    <w:p>
      <w:pPr>
        <w:pStyle w:val="Normal"/>
        <w:spacing w:before="0" w:after="0"/>
        <w:contextualSpacing/>
        <w:rPr>
          <w:rFonts w:ascii="Sabon-Roman" w:hAnsi="Sabon-Roman" w:cs="Sabon-Roman"/>
        </w:rPr>
      </w:pPr>
      <w:r>
        <w:rPr>
          <w:rFonts w:cs="Sabon-Roman" w:ascii="Sabon-Roman" w:hAnsi="Sabon-Roman"/>
        </w:rPr>
        <w:t>of application. We can obviously dispute on questions such as:</w:t>
      </w:r>
    </w:p>
    <w:p>
      <w:pPr>
        <w:pStyle w:val="Normal"/>
        <w:spacing w:before="0" w:after="0"/>
        <w:contextualSpacing/>
        <w:rPr>
          <w:rFonts w:ascii="Sabon-Roman" w:hAnsi="Sabon-Roman" w:cs="Sabon-Roman"/>
        </w:rPr>
      </w:pPr>
      <w:r>
        <w:rPr>
          <w:rFonts w:cs="Sabon-Roman" w:ascii="Sabon-Roman" w:hAnsi="Sabon-Roman"/>
        </w:rPr>
        <w:t>Are there subatomic entities? What kind of existence do promises</w:t>
      </w:r>
    </w:p>
    <w:p>
      <w:pPr>
        <w:pStyle w:val="Normal"/>
        <w:spacing w:before="0" w:after="0"/>
        <w:contextualSpacing/>
        <w:rPr>
          <w:rFonts w:ascii="Sabon-Roman" w:hAnsi="Sabon-Roman" w:cs="Sabon-Roman"/>
        </w:rPr>
      </w:pPr>
      <w:r>
        <w:rPr>
          <w:rFonts w:cs="Sabon-Roman" w:ascii="Sabon-Roman" w:hAnsi="Sabon-Roman"/>
        </w:rPr>
        <w:t>have? Are species and genders a part of nature or culture?</w:t>
      </w:r>
    </w:p>
    <w:p>
      <w:pPr>
        <w:pStyle w:val="Normal"/>
        <w:spacing w:before="0" w:after="0"/>
        <w:contextualSpacing/>
        <w:rPr>
          <w:rFonts w:ascii="Sabon-Roman" w:hAnsi="Sabon-Roman" w:cs="Sabon-Roman"/>
        </w:rPr>
      </w:pPr>
      <w:r>
        <w:rPr>
          <w:rFonts w:cs="Sabon-Roman" w:ascii="Sabon-Roman" w:hAnsi="Sabon-Roman"/>
        </w:rPr>
        <w:t>This is the real debate, and it is here that the philosophical,</w:t>
      </w:r>
    </w:p>
    <w:p>
      <w:pPr>
        <w:pStyle w:val="Normal"/>
        <w:spacing w:before="0" w:after="0"/>
        <w:contextualSpacing/>
        <w:rPr>
          <w:rFonts w:ascii="Sabon-Roman" w:hAnsi="Sabon-Roman" w:cs="Sabon-Roman"/>
        </w:rPr>
      </w:pPr>
      <w:r>
        <w:rPr>
          <w:rFonts w:cs="Sabon-Roman" w:ascii="Sabon-Roman" w:hAnsi="Sabon-Roman"/>
        </w:rPr>
        <w:t>political, and scientific discussion takes place.</w:t>
      </w:r>
    </w:p>
    <w:p>
      <w:pPr>
        <w:pStyle w:val="Normal"/>
        <w:spacing w:before="0" w:after="0"/>
        <w:contextualSpacing/>
        <w:rPr>
          <w:rFonts w:ascii="Sabon-Roman" w:hAnsi="Sabon-Roman" w:cs="Sabon-Roman"/>
        </w:rPr>
      </w:pPr>
      <w:r>
        <w:rPr>
          <w:rFonts w:cs="Sabon-Roman" w:ascii="Sabon-Roman" w:hAnsi="Sabon-Roman"/>
        </w:rPr>
      </w:r>
    </w:p>
    <w:p>
      <w:pPr>
        <w:pStyle w:val="Normal"/>
        <w:spacing w:before="0" w:after="0"/>
        <w:contextualSpacing/>
        <w:rPr/>
      </w:pPr>
      <w:r>
        <w:rPr/>
      </w:r>
    </w:p>
    <w:p>
      <w:pPr>
        <w:pStyle w:val="ListParagraph"/>
        <w:numPr>
          <w:ilvl w:val="0"/>
          <w:numId w:val="31"/>
        </w:numPr>
        <w:spacing w:before="0" w:after="0"/>
        <w:ind w:left="0" w:right="0" w:hanging="360"/>
        <w:contextualSpacing/>
        <w:rPr>
          <w:rFonts w:ascii="MinionPro-Regular" w:hAnsi="MinionPro-Regular" w:eastAsia="MyriadPro-Bold" w:cs="MinionPro-Regular"/>
          <w:b/>
          <w:b/>
          <w:sz w:val="28"/>
          <w:szCs w:val="28"/>
        </w:rPr>
      </w:pPr>
      <w:r>
        <w:rPr>
          <w:rFonts w:eastAsia="MyriadPro-Bold" w:cs="MinionPro-Regular" w:ascii="MinionPro-Regular" w:hAnsi="MinionPro-Regular"/>
          <w:b/>
          <w:sz w:val="28"/>
          <w:szCs w:val="28"/>
        </w:rPr>
        <w:t>UNBELIEVABLE similarities between Harman’s ideas (2012) and my ideas (2002-2008)</w:t>
      </w:r>
    </w:p>
    <w:p>
      <w:pPr>
        <w:pStyle w:val="Normal"/>
        <w:spacing w:before="0" w:after="0"/>
        <w:contextualSpacing/>
        <w:rPr>
          <w:rFonts w:ascii="MinionPro-Regular" w:hAnsi="MinionPro-Regular" w:eastAsia="MyriadPro-Bold" w:cs="MinionPro-Regular"/>
          <w:b/>
          <w:b/>
          <w:sz w:val="28"/>
          <w:szCs w:val="28"/>
        </w:rPr>
      </w:pPr>
      <w:r>
        <w:rPr>
          <w:rFonts w:eastAsia="MyriadPro-Bold" w:cs="MinionPro-Regular" w:ascii="MinionPro-Regular" w:hAnsi="MinionPro-Regular"/>
          <w:b/>
          <w:sz w:val="28"/>
          <w:szCs w:val="28"/>
        </w:rPr>
      </w:r>
    </w:p>
    <w:p>
      <w:pPr>
        <w:pStyle w:val="Normal"/>
        <w:spacing w:before="0" w:after="0"/>
        <w:contextualSpacing/>
        <w:jc w:val="center"/>
        <w:rPr>
          <w:rFonts w:ascii="MinionPro-Regular" w:hAnsi="MinionPro-Regular" w:eastAsia="MyriadPro-Bold" w:cs="MinionPro-Regular"/>
          <w:b/>
          <w:b/>
          <w:sz w:val="28"/>
          <w:szCs w:val="28"/>
        </w:rPr>
      </w:pPr>
      <w:r>
        <w:rPr>
          <w:rFonts w:eastAsia="MyriadPro-Bold" w:cs="MinionPro-Regular" w:ascii="MinionPro-Regular" w:hAnsi="MinionPro-Regular"/>
          <w:b/>
          <w:sz w:val="28"/>
          <w:szCs w:val="28"/>
        </w:rPr>
        <w:t xml:space="preserve">Gabriel Vacariu (November 2018) </w:t>
      </w:r>
    </w:p>
    <w:p>
      <w:pPr>
        <w:pStyle w:val="Normal"/>
        <w:spacing w:before="0" w:after="0"/>
        <w:contextualSpacing/>
        <w:rPr>
          <w:rFonts w:ascii="PelicanGrotesque-Medium" w:hAnsi="PelicanGrotesque-Medium" w:cs="PelicanGrotesque-Medium"/>
          <w:b/>
          <w:b/>
          <w:sz w:val="28"/>
          <w:szCs w:val="28"/>
        </w:rPr>
      </w:pPr>
      <w:r>
        <w:rPr>
          <w:rFonts w:cs="PelicanGrotesque-Medium" w:ascii="PelicanGrotesque-Medium" w:hAnsi="PelicanGrotesque-Medium"/>
          <w:b/>
          <w:sz w:val="28"/>
          <w:szCs w:val="28"/>
        </w:rPr>
        <w:t xml:space="preserve"> </w:t>
      </w:r>
    </w:p>
    <w:p>
      <w:pPr>
        <w:pStyle w:val="Normal"/>
        <w:spacing w:before="0" w:after="0"/>
        <w:contextualSpacing/>
        <w:rPr/>
      </w:pPr>
      <w:r>
        <w:rPr>
          <w:rFonts w:cs="PelicanGrotesque-Medium" w:ascii="PelicanGrotesque-Medium" w:hAnsi="PelicanGrotesque-Medium"/>
          <w:b/>
          <w:sz w:val="28"/>
          <w:szCs w:val="28"/>
        </w:rPr>
        <w:t>(2017) Graham Harman</w:t>
      </w:r>
      <w:r>
        <w:rPr>
          <w:rFonts w:cs="PelicanGrotesque-Medium" w:ascii="PelicanGrotesque-Medium" w:hAnsi="PelicanGrotesque-Medium"/>
          <w:b/>
          <w:i/>
          <w:sz w:val="28"/>
          <w:szCs w:val="28"/>
        </w:rPr>
        <w:t>: Object-Oriented Ontology: A New Theory</w:t>
      </w:r>
    </w:p>
    <w:p>
      <w:pPr>
        <w:pStyle w:val="Normal"/>
        <w:spacing w:before="0" w:after="0"/>
        <w:contextualSpacing/>
        <w:rPr/>
      </w:pPr>
      <w:r>
        <w:rPr>
          <w:rFonts w:cs="PelicanGrotesque-Medium" w:ascii="PelicanGrotesque-Medium" w:hAnsi="PelicanGrotesque-Medium"/>
          <w:b/>
          <w:i/>
          <w:sz w:val="28"/>
          <w:szCs w:val="28"/>
        </w:rPr>
        <w:t>of Everything</w:t>
      </w:r>
      <w:r>
        <w:rPr>
          <w:rFonts w:cs="PelicanGrotesque-Medium" w:ascii="PelicanGrotesque-Medium" w:hAnsi="PelicanGrotesque-Medium"/>
          <w:b/>
          <w:sz w:val="28"/>
          <w:szCs w:val="28"/>
        </w:rPr>
        <w:t xml:space="preserve"> (Penguin Books)</w:t>
      </w:r>
    </w:p>
    <w:p>
      <w:pPr>
        <w:pStyle w:val="Normal"/>
        <w:spacing w:before="0" w:after="0"/>
        <w:contextualSpacing/>
        <w:rPr>
          <w:rFonts w:ascii="PelicanGrotesque-Medium" w:hAnsi="PelicanGrotesque-Medium" w:cs="PelicanGrotesque-Medium"/>
          <w:b/>
          <w:b/>
        </w:rPr>
      </w:pPr>
      <w:r>
        <w:rPr>
          <w:rFonts w:cs="PelicanGrotesque-Medium" w:ascii="PelicanGrotesque-Medium" w:hAnsi="PelicanGrotesque-Medium"/>
          <w:b/>
        </w:rPr>
      </w:r>
    </w:p>
    <w:p>
      <w:pPr>
        <w:pStyle w:val="Normal"/>
        <w:spacing w:before="0" w:after="0"/>
        <w:contextualSpacing/>
        <w:rPr>
          <w:rFonts w:ascii="PelicanGrotesque-Medium" w:hAnsi="PelicanGrotesque-Medium" w:cs="PelicanGrotesque-Medium"/>
          <w:b/>
          <w:b/>
        </w:rPr>
      </w:pPr>
      <w:r>
        <w:rPr>
          <w:rFonts w:cs="PelicanGrotesque-Medium" w:ascii="PelicanGrotesque-Medium" w:hAnsi="PelicanGrotesque-Medium"/>
          <w:b/>
        </w:rPr>
        <w:t>[My comment: UNBELIEVABLE MANY similar ideas to my ideas (2002-2008)!!!!! See the paragraphs below!!!]</w:t>
      </w:r>
    </w:p>
    <w:p>
      <w:pPr>
        <w:pStyle w:val="Normal"/>
        <w:spacing w:before="0" w:after="0"/>
        <w:contextualSpacing/>
        <w:rPr>
          <w:b/>
          <w:b/>
        </w:rPr>
      </w:pPr>
      <w:r>
        <w:rPr>
          <w:b/>
        </w:rPr>
      </w:r>
    </w:p>
    <w:p>
      <w:pPr>
        <w:pStyle w:val="Normal"/>
        <w:spacing w:before="0" w:after="0"/>
        <w:contextualSpacing/>
        <w:rPr>
          <w:b/>
          <w:b/>
        </w:rPr>
      </w:pPr>
      <w:r>
        <w:rPr>
          <w:b/>
        </w:rPr>
        <w:t>[In the books of these authors (see the list below) mentioned by harman, there seem to be UNBELIEVABLE similar ideas to my ideas!!! See below from harman’s book…]</w:t>
      </w:r>
    </w:p>
    <w:p>
      <w:pPr>
        <w:pStyle w:val="Normal"/>
        <w:spacing w:before="0" w:after="0"/>
        <w:contextualSpacing/>
        <w:rPr>
          <w:b/>
          <w:b/>
        </w:rPr>
      </w:pPr>
      <w:r>
        <w:rPr>
          <w:b/>
        </w:rPr>
      </w:r>
    </w:p>
    <w:p>
      <w:pPr>
        <w:pStyle w:val="ListParagraph"/>
        <w:numPr>
          <w:ilvl w:val="0"/>
          <w:numId w:val="3"/>
        </w:numPr>
        <w:shd w:val="clear" w:fill="FFFFFF"/>
        <w:spacing w:before="0" w:after="0"/>
        <w:ind w:left="0" w:right="0" w:hanging="360"/>
        <w:contextualSpacing/>
        <w:rPr/>
      </w:pPr>
      <w:r>
        <w:rPr>
          <w:b/>
          <w:sz w:val="24"/>
          <w:szCs w:val="24"/>
        </w:rPr>
        <w:t xml:space="preserve">Bryant, Levi R. </w:t>
      </w:r>
      <w:r>
        <w:rPr>
          <w:b/>
          <w:i/>
          <w:iCs/>
          <w:sz w:val="24"/>
          <w:szCs w:val="24"/>
        </w:rPr>
        <w:t>The Democracy of Objects</w:t>
      </w:r>
      <w:r>
        <w:rPr>
          <w:b/>
          <w:sz w:val="24"/>
          <w:szCs w:val="24"/>
        </w:rPr>
        <w:t>. Ann Arbor, MI: Open Humanities Press, 2011.</w:t>
      </w:r>
    </w:p>
    <w:p>
      <w:pPr>
        <w:pStyle w:val="Normal"/>
        <w:spacing w:before="0" w:after="0"/>
        <w:contextualSpacing/>
        <w:rPr>
          <w:b/>
          <w:b/>
        </w:rPr>
      </w:pPr>
      <w:r>
        <w:rPr>
          <w:b/>
        </w:rPr>
      </w:r>
    </w:p>
    <w:p>
      <w:pPr>
        <w:pStyle w:val="ListParagraph"/>
        <w:numPr>
          <w:ilvl w:val="0"/>
          <w:numId w:val="3"/>
        </w:numPr>
        <w:shd w:val="clear" w:fill="FFFFFF"/>
        <w:spacing w:before="0" w:after="0"/>
        <w:ind w:left="0" w:right="0" w:hanging="360"/>
        <w:contextualSpacing/>
        <w:rPr/>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pStyle w:val="Normal"/>
        <w:spacing w:before="0" w:after="0"/>
        <w:contextualSpacing/>
        <w:rPr>
          <w:b/>
          <w:b/>
        </w:rPr>
      </w:pPr>
      <w:r>
        <w:rPr>
          <w:b/>
        </w:rPr>
      </w:r>
    </w:p>
    <w:p>
      <w:pPr>
        <w:pStyle w:val="ListParagraph"/>
        <w:numPr>
          <w:ilvl w:val="0"/>
          <w:numId w:val="3"/>
        </w:numPr>
        <w:spacing w:before="0" w:after="0"/>
        <w:ind w:left="0" w:right="0" w:hanging="360"/>
        <w:contextualSpacing/>
        <w:rPr>
          <w:b/>
          <w:b/>
          <w:sz w:val="24"/>
          <w:szCs w:val="24"/>
        </w:rPr>
      </w:pPr>
      <w:r>
        <w:rPr>
          <w:b/>
          <w:sz w:val="24"/>
          <w:szCs w:val="24"/>
        </w:rPr>
        <w:t xml:space="preserve">Bennett, Jane.  </w:t>
      </w:r>
    </w:p>
    <w:p>
      <w:pPr>
        <w:pStyle w:val="ListParagraph"/>
        <w:spacing w:before="0" w:after="0"/>
        <w:ind w:left="0" w:right="0" w:hanging="0"/>
        <w:contextualSpacing/>
        <w:rPr>
          <w:b/>
          <w:b/>
          <w:sz w:val="24"/>
          <w:szCs w:val="24"/>
        </w:rPr>
      </w:pPr>
      <w:r>
        <w:rPr>
          <w:b/>
          <w:sz w:val="24"/>
          <w:szCs w:val="24"/>
        </w:rPr>
      </w:r>
    </w:p>
    <w:p>
      <w:pPr>
        <w:pStyle w:val="Normal"/>
        <w:spacing w:before="0" w:after="0"/>
        <w:contextualSpacing/>
        <w:rPr/>
      </w:pPr>
      <w:r>
        <w:rPr>
          <w:b/>
        </w:rPr>
        <w:t xml:space="preserve">- ‘Systems and Things: A Response to Graham Harman and Timothy Morton’, </w:t>
      </w:r>
      <w:r>
        <w:rPr>
          <w:b/>
          <w:i/>
          <w:iCs/>
        </w:rPr>
        <w:t xml:space="preserve">New Literary History </w:t>
      </w:r>
      <w:r>
        <w:rPr>
          <w:b/>
        </w:rPr>
        <w:t>43 (2012), pp. 225–33.</w:t>
      </w:r>
    </w:p>
    <w:p>
      <w:pPr>
        <w:pStyle w:val="Normal"/>
        <w:spacing w:before="0" w:after="0"/>
        <w:contextualSpacing/>
        <w:rPr/>
      </w:pPr>
      <w:r>
        <w:rPr>
          <w:b/>
        </w:rPr>
        <w:t xml:space="preserve">- </w:t>
      </w:r>
      <w:r>
        <w:rPr>
          <w:b/>
          <w:i/>
          <w:iCs/>
        </w:rPr>
        <w:t>Vibrant Matter: A Political Ecology of Things</w:t>
      </w:r>
      <w:r>
        <w:rPr>
          <w:b/>
        </w:rPr>
        <w:t>. Durham, NC: Duke University Press, 2010.</w:t>
      </w:r>
    </w:p>
    <w:p>
      <w:pPr>
        <w:pStyle w:val="Normal"/>
        <w:shd w:val="clear" w:fill="FFFFFF"/>
        <w:spacing w:before="0" w:after="0"/>
        <w:contextualSpacing/>
        <w:rPr>
          <w:b/>
          <w:b/>
        </w:rPr>
      </w:pPr>
      <w:r>
        <w:rPr>
          <w:b/>
        </w:rPr>
      </w:r>
    </w:p>
    <w:p>
      <w:pPr>
        <w:pStyle w:val="ListParagraph"/>
        <w:numPr>
          <w:ilvl w:val="0"/>
          <w:numId w:val="3"/>
        </w:numPr>
        <w:spacing w:before="0" w:after="0"/>
        <w:ind w:left="0" w:right="0" w:hanging="360"/>
        <w:contextualSpacing/>
        <w:rPr>
          <w:b/>
          <w:b/>
          <w:sz w:val="24"/>
          <w:szCs w:val="24"/>
        </w:rPr>
      </w:pPr>
      <w:r>
        <w:rPr>
          <w:b/>
          <w:sz w:val="24"/>
          <w:szCs w:val="24"/>
        </w:rPr>
        <w:t xml:space="preserve">Garcia, Tristan. </w:t>
      </w:r>
    </w:p>
    <w:p>
      <w:pPr>
        <w:pStyle w:val="ListParagraph"/>
        <w:numPr>
          <w:ilvl w:val="0"/>
          <w:numId w:val="32"/>
        </w:numPr>
        <w:spacing w:before="0" w:after="0"/>
        <w:ind w:left="0" w:right="0" w:hanging="360"/>
        <w:contextualSpacing/>
        <w:rPr/>
      </w:pPr>
      <w:r>
        <w:rPr>
          <w:b/>
          <w:sz w:val="24"/>
          <w:szCs w:val="24"/>
        </w:rPr>
        <w:t>‘</w:t>
      </w: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pStyle w:val="ListParagraph"/>
        <w:numPr>
          <w:ilvl w:val="0"/>
          <w:numId w:val="32"/>
        </w:numPr>
        <w:spacing w:before="0" w:after="0"/>
        <w:ind w:left="0" w:right="0" w:hanging="360"/>
        <w:contextualSpacing/>
        <w:rPr/>
      </w:pPr>
      <w:r>
        <w:rPr>
          <w:b/>
          <w:i/>
          <w:iCs/>
          <w:sz w:val="24"/>
          <w:szCs w:val="24"/>
        </w:rPr>
        <w:t>Form and Object: A Treatise on Things</w:t>
      </w:r>
      <w:r>
        <w:rPr>
          <w:b/>
          <w:sz w:val="24"/>
          <w:szCs w:val="24"/>
        </w:rPr>
        <w:t>, trans. M. A. Ohm &amp; J. Cogburn. Edinburgh: Edinburgh University Press, 2014.</w:t>
      </w:r>
    </w:p>
    <w:p>
      <w:pPr>
        <w:pStyle w:val="Normal"/>
        <w:spacing w:before="0" w:after="0"/>
        <w:contextualSpacing/>
        <w:rPr>
          <w:b/>
          <w:b/>
        </w:rPr>
      </w:pPr>
      <w:r>
        <w:rPr>
          <w:b/>
        </w:rPr>
      </w:r>
    </w:p>
    <w:p>
      <w:pPr>
        <w:pStyle w:val="ListParagraph"/>
        <w:numPr>
          <w:ilvl w:val="0"/>
          <w:numId w:val="3"/>
        </w:numPr>
        <w:spacing w:before="0" w:after="0"/>
        <w:ind w:left="0" w:right="0" w:hanging="360"/>
        <w:contextualSpacing/>
        <w:rPr/>
      </w:pPr>
      <w:r>
        <w:rPr>
          <w:b/>
          <w:sz w:val="24"/>
          <w:szCs w:val="24"/>
        </w:rPr>
        <w:t xml:space="preserve">Morton, Timothy. </w:t>
      </w:r>
      <w:r>
        <w:rPr>
          <w:b/>
          <w:color w:val="FF0000"/>
          <w:sz w:val="24"/>
          <w:szCs w:val="24"/>
        </w:rPr>
        <w:t>[see below about his book]</w:t>
      </w:r>
    </w:p>
    <w:p>
      <w:pPr>
        <w:pStyle w:val="ListParagraph"/>
        <w:numPr>
          <w:ilvl w:val="0"/>
          <w:numId w:val="32"/>
        </w:numPr>
        <w:spacing w:before="0" w:after="0"/>
        <w:ind w:left="0" w:right="0" w:hanging="360"/>
        <w:contextualSpacing/>
        <w:rPr/>
      </w:pPr>
      <w:r>
        <w:rPr>
          <w:b/>
          <w:i/>
          <w:iCs/>
          <w:sz w:val="24"/>
          <w:szCs w:val="24"/>
        </w:rPr>
        <w:t>Dark Ecology: For a Logic of Future Coexistence</w:t>
      </w:r>
      <w:r>
        <w:rPr>
          <w:b/>
          <w:sz w:val="24"/>
          <w:szCs w:val="24"/>
        </w:rPr>
        <w:t>. New York: Columbia University Press, 2016.</w:t>
      </w:r>
    </w:p>
    <w:p>
      <w:pPr>
        <w:pStyle w:val="ListParagraph"/>
        <w:numPr>
          <w:ilvl w:val="0"/>
          <w:numId w:val="32"/>
        </w:numPr>
        <w:spacing w:before="0" w:after="0"/>
        <w:ind w:left="0" w:right="0" w:hanging="360"/>
        <w:contextualSpacing/>
        <w:rPr/>
      </w:pPr>
      <w:r>
        <w:rPr>
          <w:b/>
          <w:i/>
          <w:iCs/>
          <w:sz w:val="24"/>
          <w:szCs w:val="24"/>
        </w:rPr>
        <w:t>The Ecological Thought</w:t>
      </w:r>
      <w:r>
        <w:rPr>
          <w:b/>
          <w:sz w:val="24"/>
          <w:szCs w:val="24"/>
        </w:rPr>
        <w:t>. Cambridge, MA: Harvard University Press, 2012.</w:t>
      </w:r>
    </w:p>
    <w:p>
      <w:pPr>
        <w:pStyle w:val="ListParagraph"/>
        <w:numPr>
          <w:ilvl w:val="0"/>
          <w:numId w:val="32"/>
        </w:numPr>
        <w:spacing w:before="0" w:after="0"/>
        <w:ind w:left="0" w:right="0" w:hanging="360"/>
        <w:contextualSpacing/>
        <w:rPr/>
      </w:pPr>
      <w:r>
        <w:rPr>
          <w:b/>
          <w:i/>
          <w:iCs/>
          <w:sz w:val="24"/>
          <w:szCs w:val="24"/>
        </w:rPr>
        <w:t>Ecology Without Nature: Rethinking Environmental Aesthetics</w:t>
      </w:r>
      <w:r>
        <w:rPr>
          <w:b/>
          <w:sz w:val="24"/>
          <w:szCs w:val="24"/>
        </w:rPr>
        <w:t>. Cambridge, MA: Harvard University Press, 2009.</w:t>
      </w:r>
    </w:p>
    <w:p>
      <w:pPr>
        <w:pStyle w:val="ListParagraph"/>
        <w:numPr>
          <w:ilvl w:val="0"/>
          <w:numId w:val="32"/>
        </w:numPr>
        <w:spacing w:before="0" w:after="0"/>
        <w:ind w:left="0" w:right="0" w:hanging="360"/>
        <w:contextualSpacing/>
        <w:rPr/>
      </w:pPr>
      <w:r>
        <w:rPr>
          <w:b/>
          <w:i/>
          <w:iCs/>
          <w:sz w:val="24"/>
          <w:szCs w:val="24"/>
        </w:rPr>
        <w:t>Hyperobjects: Philosophy and Ecology After the End of the World</w:t>
      </w:r>
      <w:r>
        <w:rPr>
          <w:b/>
          <w:sz w:val="24"/>
          <w:szCs w:val="24"/>
        </w:rPr>
        <w:t>. Minneapolis: University of Minnesota Press, 2013.</w:t>
      </w:r>
    </w:p>
    <w:p>
      <w:pPr>
        <w:pStyle w:val="ListParagraph"/>
        <w:numPr>
          <w:ilvl w:val="0"/>
          <w:numId w:val="32"/>
        </w:numPr>
        <w:spacing w:before="0" w:after="0"/>
        <w:ind w:left="0" w:right="0" w:hanging="360"/>
        <w:contextualSpacing/>
        <w:rPr/>
      </w:pPr>
      <w:r>
        <w:rPr>
          <w:b/>
          <w:i/>
          <w:iCs/>
          <w:sz w:val="24"/>
          <w:szCs w:val="24"/>
        </w:rPr>
        <w:t xml:space="preserve">Realist Magic: Objects, Ontology, Causality. </w:t>
      </w:r>
      <w:r>
        <w:rPr>
          <w:b/>
          <w:sz w:val="24"/>
          <w:szCs w:val="24"/>
        </w:rPr>
        <w:t>Ann Arbor, MI: Open Humanities Press, 2013.]</w:t>
      </w:r>
    </w:p>
    <w:p>
      <w:pPr>
        <w:pStyle w:val="Normal"/>
        <w:spacing w:before="0" w:after="0"/>
        <w:contextualSpacing/>
        <w:rPr>
          <w:rFonts w:ascii="PelicanGrotesque-Medium" w:hAnsi="PelicanGrotesque-Medium" w:cs="PelicanGrotesque-Medium"/>
        </w:rPr>
      </w:pPr>
      <w:r>
        <w:rPr>
          <w:rFonts w:cs="PelicanGrotesque-Medium" w:ascii="PelicanGrotesque-Medium" w:hAnsi="PelicanGrotesque-Medium"/>
        </w:rPr>
      </w:r>
    </w:p>
    <w:p>
      <w:pPr>
        <w:pStyle w:val="Normal"/>
        <w:spacing w:before="0" w:after="0"/>
        <w:contextualSpacing/>
        <w:rPr>
          <w:rFonts w:ascii="PelicanGrotesque-Medium" w:hAnsi="PelicanGrotesque-Medium" w:cs="PelicanGrotesque-Medium"/>
        </w:rPr>
      </w:pPr>
      <w:r>
        <w:rPr>
          <w:rFonts w:cs="PelicanGrotesque-Medium" w:ascii="PelicanGrotesque-Medium" w:hAnsi="PelicanGrotesque-Medium"/>
        </w:rPr>
        <w:t xml:space="preserve">[Below paragraphs from Harman’s book] </w:t>
      </w:r>
    </w:p>
    <w:p>
      <w:pPr>
        <w:pStyle w:val="Normal"/>
        <w:spacing w:before="0" w:after="0"/>
        <w:contextualSpacing/>
        <w:rPr>
          <w:rFonts w:ascii="PelicanGrotesque-Medium" w:hAnsi="PelicanGrotesque-Medium" w:cs="PelicanGrotesque-Medium"/>
        </w:rPr>
      </w:pPr>
      <w:r>
        <w:rPr>
          <w:rFonts w:cs="PelicanGrotesque-Medium" w:ascii="PelicanGrotesque-Medium" w:hAnsi="PelicanGrotesque-Medium"/>
        </w:rPr>
      </w:r>
    </w:p>
    <w:p>
      <w:pPr>
        <w:pStyle w:val="Normal"/>
        <w:spacing w:before="0" w:after="0"/>
        <w:contextualSpacing/>
        <w:rPr/>
      </w:pPr>
      <w:r>
        <w:rPr>
          <w:rFonts w:cs="PelicanGrotesque-Medium" w:ascii="PelicanGrotesque-Medium" w:hAnsi="PelicanGrotesque-Medium"/>
        </w:rPr>
        <w:t xml:space="preserve">6 </w:t>
      </w:r>
      <w:r>
        <w:rPr>
          <w:rFonts w:cs="FreightTextProBook-Regular" w:ascii="FreightTextProBook-Regular" w:hAnsi="FreightTextProBook-Regular"/>
        </w:rPr>
        <w:t>The subject of the book now before you is 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Oriented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Ontology (abbreviated OOO, and pronounced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t>
      </w:r>
      <w:r>
        <w:rPr>
          <w:rFonts w:cs="FreightTextProBook-Regular" w:ascii="FreightTextProBook-Regular" w:hAnsi="FreightTextProBook-Regular"/>
        </w:rPr>
        <w:t>Triple O’), a relatively new school of philosophy that takes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Socrates at his word.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t xml:space="preserve">9 </w:t>
      </w:r>
      <w:r>
        <w:rPr>
          <w:rFonts w:cs="FreightTextProBook-Regular" w:ascii="FreightTextProBook-Regular" w:hAnsi="FreightTextProBook-Regular"/>
        </w:rPr>
        <w:t>Some of the basic principles of OOO, to be visited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 detail in the coming chapters, are as follows: (1) All objects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must be given equal attention, whether they be human,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natural, cultural, real or fictional. (2) Objects are not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identical with their properties, but have a tense relationship</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with those properties, and this very tension is responsible for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all of the change that occurs in the world. (3) Objects come</w:t>
      </w:r>
    </w:p>
    <w:p>
      <w:pPr>
        <w:pStyle w:val="Normal"/>
        <w:spacing w:before="0" w:after="0"/>
        <w:contextualSpacing/>
        <w:rPr/>
      </w:pPr>
      <w:r>
        <w:rPr>
          <w:rFonts w:cs="FreightTextProBook-Regular" w:ascii="FreightTextProBook-Regular" w:hAnsi="FreightTextProBook-Regular"/>
        </w:rPr>
        <w:t xml:space="preserve">in just two kinds: </w:t>
      </w:r>
      <w:r>
        <w:rPr>
          <w:rFonts w:cs="FreightTextProBook-Italic" w:ascii="FreightTextProBook-Italic" w:hAnsi="FreightTextProBook-Italic"/>
          <w:i/>
          <w:iCs/>
        </w:rPr>
        <w:t xml:space="preserve">real objects </w:t>
      </w:r>
      <w:r>
        <w:rPr>
          <w:rFonts w:cs="FreightTextProBook-Regular" w:ascii="FreightTextProBook-Regular" w:hAnsi="FreightTextProBook-Regular"/>
        </w:rPr>
        <w:t>exist whether or not they currently</w:t>
      </w:r>
    </w:p>
    <w:p>
      <w:pPr>
        <w:pStyle w:val="Normal"/>
        <w:spacing w:before="0" w:after="0"/>
        <w:contextualSpacing/>
        <w:rPr/>
      </w:pPr>
      <w:r>
        <w:rPr>
          <w:rFonts w:cs="FreightTextProBook-Regular" w:ascii="FreightTextProBook-Regular" w:hAnsi="FreightTextProBook-Regular"/>
        </w:rPr>
        <w:t xml:space="preserve">affect anything else, while </w:t>
      </w:r>
      <w:r>
        <w:rPr>
          <w:rFonts w:cs="FreightTextProBook-Italic" w:ascii="FreightTextProBook-Italic" w:hAnsi="FreightTextProBook-Italic"/>
          <w:i/>
          <w:iCs/>
        </w:rPr>
        <w:t xml:space="preserve">sensual objects </w:t>
      </w:r>
      <w:r>
        <w:rPr>
          <w:rFonts w:cs="FreightTextProBook-Regular" w:ascii="FreightTextProBook-Regular" w:hAnsi="FreightTextProBook-Regular"/>
        </w:rPr>
        <w:t>exist only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relation to some real object. (4) Real objects cannot relate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one another directly, but only indirectly, by means of a sensual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 (5) The properties of objects also come in just two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kinds: again, real and sensual. (6) These two kinds of objects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two kinds of qualities lead to four basic permutations,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which OOO treats as the root of time and space, as well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as two closely related terms known as essence and eidos.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(7) Finally, OOO holds that philosophy generally has a closer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relationship with aesthetics than with mathematics or natural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science.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10 But whereas many of these currents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have asserted that reality is something ‘constructed’ by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language, power or human cultural practices, OOO is a</w:t>
      </w:r>
    </w:p>
    <w:p>
      <w:pPr>
        <w:pStyle w:val="Normal"/>
        <w:spacing w:before="0" w:after="0"/>
        <w:contextualSpacing/>
        <w:rPr/>
      </w:pPr>
      <w:r>
        <w:rPr>
          <w:rFonts w:cs="FreightTextProBook-Regular" w:ascii="FreightTextProBook-Regular" w:hAnsi="FreightTextProBook-Regular"/>
        </w:rPr>
        <w:t xml:space="preserve">bluntly </w:t>
      </w:r>
      <w:r>
        <w:rPr>
          <w:rFonts w:cs="FreightTextProBook-Italic" w:ascii="FreightTextProBook-Italic" w:hAnsi="FreightTextProBook-Italic"/>
          <w:i/>
          <w:iCs/>
        </w:rPr>
        <w:t xml:space="preserve">realist </w:t>
      </w:r>
      <w:r>
        <w:rPr>
          <w:rFonts w:cs="FreightTextProBook-Regular" w:ascii="FreightTextProBook-Regular" w:hAnsi="FreightTextProBook-Regular"/>
        </w:rPr>
        <w:t>philosophy. This means among other things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OOO holds that the external world exists independently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human awareness. However bland and commonsensical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this point may sound, it cuts against the grain of the past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century of continental philosophy, and leads in directions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surprisingly alien to common sense.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12 Against such theories,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defends the idea that objects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 xml:space="preserve">– </w:t>
      </w:r>
      <w:r>
        <w:rPr>
          <w:rFonts w:cs="FreightTextProBook-Regular" w:ascii="FreightTextProBook-Regular" w:hAnsi="FreightTextProBook-Regular"/>
        </w:rPr>
        <w:t>whether real, fictional,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natural, artificial, human or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 xml:space="preserve">– </w:t>
      </w:r>
      <w:r>
        <w:rPr>
          <w:rFonts w:cs="FreightTextProBook-Regular" w:ascii="FreightTextProBook-Regular" w:hAnsi="FreightTextProBook-Regular"/>
        </w:rPr>
        <w:t>are mutually autonomous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enter into relation only in special cases that need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 explained rather than assumed.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23-4 String theory is not the only candidate for a ‘theory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everything’, but it remains the most popular, and for many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most promising. The theory has been around in some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form since the 1960s, but became an especially hot topic two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decades later; I still remember the first newspaper stories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about ‘superstrings’ from 1984, which I read as an admiring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high-</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school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student. String theory postulates that matter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composed of vibrating one-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dimensional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strings twisting</w:t>
      </w:r>
    </w:p>
    <w:p>
      <w:pPr>
        <w:pStyle w:val="Normal"/>
        <w:spacing w:before="0" w:after="0"/>
        <w:contextualSpacing/>
        <w:rPr/>
      </w:pPr>
      <w:r>
        <w:rPr>
          <w:rFonts w:cs="FreightTextProBook-Regular" w:ascii="FreightTextProBook-Regular" w:hAnsi="FreightTextProBook-Regular"/>
        </w:rPr>
        <w:t xml:space="preserve">through </w:t>
      </w:r>
      <w:r>
        <w:rPr>
          <w:rFonts w:cs="FreightTextProBook-Italic" w:ascii="FreightTextProBook-Italic" w:hAnsi="FreightTextProBook-Italic"/>
          <w:i/>
          <w:iCs/>
        </w:rPr>
        <w:t xml:space="preserve">ten </w:t>
      </w:r>
      <w:r>
        <w:rPr>
          <w:rFonts w:cs="FreightTextProBook-Regular" w:ascii="FreightTextProBook-Regular" w:hAnsi="FreightTextProBook-Regular"/>
        </w:rPr>
        <w:t>dimensions, rather than the four dimensions of space–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time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Einsteinian physics accepts. In so</w:t>
        <w:noBreakHyphen/>
        <w:t>​called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w:t>
        <w:noBreakHyphen/>
        <w:t>​theory’,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Edward Witten’s 1995 modification of the string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landscape, the total number of dimensions was expanded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eleven. Numerous beautiful mathematical and physical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results can be derived from the theory, including a possible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account of the ever-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elusive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quantum gravity, meaning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theory of gravity that can be explained in terms of quantum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mechanics just as the electromagnetic, strong and weak</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forces already have been. Nonetheless, a backlash against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string theory began in the twenty-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first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century, as can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seen in the widely read critical books by physicists Lee</w:t>
      </w:r>
    </w:p>
    <w:p>
      <w:pPr>
        <w:pStyle w:val="Normal"/>
        <w:spacing w:before="0" w:after="0"/>
        <w:contextualSpacing/>
        <w:rPr/>
      </w:pPr>
      <w:r>
        <w:rPr>
          <w:rFonts w:cs="FreightTextProBook-Regular" w:ascii="FreightTextProBook-Regular" w:hAnsi="FreightTextProBook-Regular"/>
        </w:rPr>
        <w:t>Smolin and Richard Woit.</w:t>
      </w:r>
      <w:r>
        <w:rPr>
          <w:rFonts w:cs="FreightTextProSemibold-Regular" w:ascii="FreightTextProSemibold-Regular" w:hAnsi="FreightTextProSemibold-Regular"/>
        </w:rPr>
        <w:t xml:space="preserve">2 </w:t>
      </w:r>
      <w:r>
        <w:rPr>
          <w:rFonts w:cs="FreightTextProBook-Regular" w:ascii="FreightTextProBook-Regular" w:hAnsi="FreightTextProBook-Regular"/>
        </w:rPr>
        <w:t>Perhaps the most frequent accusation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against string theory by sceptics is that it cannot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experimentally tested, and is therefore said to be little more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than a mathematical exercise of no direct relevance to physics.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Another problem is that so many thousands of different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string theories are mathematically possible that there is no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reason to choose one in particular, except on the shaky basis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we must obviously choose the theory that fits the structure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the universe we know: for otherwise we would not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here today to have debates about it. This line of reasoning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known as the ‘anthropic principle’, viewed by many scientists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with contempt but by others as a pivotal intellectual tool.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25 My claim is that even under this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optimal scenario of maximum scientific triumph, string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theory would still not be a ‘theory of everything’. To see why,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let’s examine what I take to be the four false assumptions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behind Browne’s statement that string theory’s range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applicability is limitless.</w:t>
      </w:r>
    </w:p>
    <w:p>
      <w:pPr>
        <w:pStyle w:val="Normal"/>
        <w:spacing w:before="0" w:after="0"/>
        <w:contextualSpacing/>
        <w:rPr/>
      </w:pPr>
      <w:r>
        <w:rPr>
          <w:rFonts w:cs="FreightTextProBook-Regular" w:ascii="FreightTextProBook-Regular" w:hAnsi="FreightTextProBook-Regular"/>
        </w:rPr>
        <w:t xml:space="preserve">First False Assumption: </w:t>
      </w:r>
      <w:r>
        <w:rPr>
          <w:rFonts w:cs="FreightTextProBook-Italic" w:ascii="FreightTextProBook-Italic" w:hAnsi="FreightTextProBook-Italic"/>
          <w:i/>
          <w:iCs/>
        </w:rPr>
        <w:t>everything that exists must be physical</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 successful string theory would sum up everything we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know about the structure and behaviour of physical matter.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But this makes it a ‘theory of everything’ only on the condition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everything is physical. Of course, many people do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not see it this way.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28 Without going further into this paradox and its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venerable history, it already serves to emphasize what I take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be a chief lesson of the VOC case study: the irreducibility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larger objects to the sum total of their material components.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t xml:space="preserve">29 </w:t>
      </w:r>
      <w:r>
        <w:rPr>
          <w:rFonts w:cs="FreightTextProBook-Regular" w:ascii="FreightTextProBook-Regular" w:hAnsi="FreightTextProBook-Regular"/>
        </w:rPr>
        <w:t xml:space="preserve">Second False Assumption: </w:t>
      </w:r>
      <w:r>
        <w:rPr>
          <w:rFonts w:cs="FreightTextProBook-Italic" w:ascii="FreightTextProBook-Italic" w:hAnsi="FreightTextProBook-Italic"/>
          <w:i/>
          <w:iCs/>
        </w:rPr>
        <w:t>everything that exists must be</w:t>
      </w:r>
    </w:p>
    <w:p>
      <w:pPr>
        <w:pStyle w:val="Normal"/>
        <w:spacing w:before="0" w:after="0"/>
        <w:contextualSpacing/>
        <w:rPr/>
      </w:pPr>
      <w:r>
        <w:rPr>
          <w:rFonts w:cs="FreightTextProBook-Italic" w:ascii="FreightTextProBook-Italic" w:hAnsi="FreightTextProBook-Italic"/>
          <w:i/>
          <w:iCs/>
        </w:rPr>
        <w:t>basic and simple</w:t>
      </w:r>
      <w:r>
        <w:rPr>
          <w:rFonts w:cs="FreightTextProBook-Regular" w:ascii="FreightTextProBook-Regular" w:hAnsi="FreightTextProBook-Regular"/>
        </w:rPr>
        <w:t>. Having read the previous paragraphs,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Browne will reply that we have missed the point. For while it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may be true that the VOC or the Ship of Theseus can survive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despite the turnover of their material pieces, they certainly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cannot exist without any material pieces at all. If over time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VOC only lost atoms and never gained any, there would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finally come a point where its various ships, cargoes and officers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would crumble to dust and the VOC would cease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exist. Browne will say that she never meant to tell us there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cannot be higher-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order</w:t>
      </w:r>
    </w:p>
    <w:p>
      <w:pPr>
        <w:pStyle w:val="Normal"/>
        <w:spacing w:before="0" w:after="0"/>
        <w:contextualSpacing/>
        <w:rPr/>
      </w:pPr>
      <w:r>
        <w:rPr>
          <w:rFonts w:cs="FreightTextProBook-Regular" w:ascii="FreightTextProBook-Regular" w:hAnsi="FreightTextProBook-Regular"/>
        </w:rPr>
        <w:t xml:space="preserve">objects that </w:t>
      </w:r>
      <w:r>
        <w:rPr>
          <w:rFonts w:cs="FreightTextProBook-Italic" w:ascii="FreightTextProBook-Italic" w:hAnsi="FreightTextProBook-Italic"/>
          <w:i/>
          <w:iCs/>
        </w:rPr>
        <w:t xml:space="preserve">seem </w:t>
      </w:r>
      <w:r>
        <w:rPr>
          <w:rFonts w:cs="FreightTextProBook-Regular" w:ascii="FreightTextProBook-Regular" w:hAnsi="FreightTextProBook-Regular"/>
        </w:rPr>
        <w:t>to endure despite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 xml:space="preserve">massive turnover in their material components. </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30 The mid-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large-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sized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objects that surround us (from cups, tables and flowers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skyscrapers and elephants) seem to have independent features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their own, but according to Browne these larger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objects ultimately receive all of their properties from those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their components; after all, without these small components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larger objects could never exist. What this argument</w:t>
      </w:r>
    </w:p>
    <w:p>
      <w:pPr>
        <w:pStyle w:val="Normal"/>
        <w:spacing w:before="0" w:after="0"/>
        <w:contextualSpacing/>
        <w:rPr/>
      </w:pPr>
      <w:r>
        <w:rPr>
          <w:rFonts w:cs="FreightTextProBook-Regular" w:ascii="FreightTextProBook-Regular" w:hAnsi="FreightTextProBook-Regular"/>
        </w:rPr>
        <w:t xml:space="preserve">misses is the phenomenon known as </w:t>
      </w:r>
      <w:r>
        <w:rPr>
          <w:rFonts w:cs="FreightTextProBook-Italic" w:ascii="FreightTextProBook-Italic" w:hAnsi="FreightTextProBook-Italic"/>
          <w:i/>
          <w:iCs/>
        </w:rPr>
        <w:t>emergence</w:t>
      </w:r>
      <w:r>
        <w:rPr>
          <w:rFonts w:cs="FreightTextProBook-Regular" w:ascii="FreightTextProBook-Regular" w:hAnsi="FreightTextProBook-Regular"/>
        </w:rPr>
        <w:t>,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which new properties appear when smaller objects are joined</w:t>
      </w:r>
    </w:p>
    <w:p>
      <w:pPr>
        <w:pStyle w:val="Normal"/>
        <w:spacing w:before="0" w:after="0"/>
        <w:contextualSpacing/>
        <w:rPr/>
      </w:pPr>
      <w:r>
        <w:rPr>
          <w:rFonts w:cs="FreightTextProBook-Regular" w:ascii="FreightTextProBook-Regular" w:hAnsi="FreightTextProBook-Regular"/>
        </w:rPr>
        <w:t>together into a new one.</w:t>
      </w:r>
      <w:r>
        <w:rPr>
          <w:rFonts w:cs="FreightTextProSemibold-Regular" w:ascii="FreightTextProSemibold-Regular" w:hAnsi="FreightTextProSemibold-Regular"/>
        </w:rPr>
        <w:t xml:space="preserve">6 </w:t>
      </w:r>
      <w:r>
        <w:rPr>
          <w:rFonts w:cs="FreightTextProBook-Regular" w:ascii="FreightTextProBook-Regular" w:hAnsi="FreightTextProBook-Regular"/>
        </w:rPr>
        <w:t>This is visible everywhere in 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life.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31 This is also true in the sciences, as can be seen with especial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ease in a field such as organic chemistry: all organic compounds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contain carbon, but there are millions of organic</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compounds, each with its own unique features. Sometimes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defenders of emergence push their luck and make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unnecessary additional claims, asserting for instance that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features of organic compounds ‘could not have been predicted’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from the features of carbon. But quantum chemistry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does allow us to predict the properties of larger molecules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before they are actually created. And predictability is not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even the point, since even if we could predict the features of</w:t>
      </w:r>
    </w:p>
    <w:p>
      <w:pPr>
        <w:pStyle w:val="Normal"/>
        <w:spacing w:before="0" w:after="0"/>
        <w:contextualSpacing/>
        <w:rPr/>
      </w:pPr>
      <w:r>
        <w:rPr>
          <w:rFonts w:cs="FreightTextProBook-Italic" w:ascii="FreightTextProBook-Italic" w:hAnsi="FreightTextProBook-Italic"/>
          <w:i/>
          <w:iCs/>
        </w:rPr>
        <w:t xml:space="preserve">all </w:t>
      </w:r>
      <w:r>
        <w:rPr>
          <w:rFonts w:cs="FreightTextProBook-Regular" w:ascii="FreightTextProBook-Regular" w:hAnsi="FreightTextProBook-Regular"/>
        </w:rPr>
        <w:t>larger entities from their ultimate physical constituents,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ability to predict would not change the fact that the</w:t>
      </w:r>
    </w:p>
    <w:p>
      <w:pPr>
        <w:pStyle w:val="Normal"/>
        <w:spacing w:before="0" w:after="0"/>
        <w:contextualSpacing/>
        <w:rPr/>
      </w:pPr>
      <w:r>
        <w:rPr>
          <w:rFonts w:cs="FreightTextProBook-Regular" w:ascii="FreightTextProBook-Regular" w:hAnsi="FreightTextProBook-Regular"/>
        </w:rPr>
        <w:t xml:space="preserve">larger entity actually </w:t>
      </w:r>
      <w:r>
        <w:rPr>
          <w:rFonts w:cs="FreightTextProBook-Italic" w:ascii="FreightTextProBook-Italic" w:hAnsi="FreightTextProBook-Italic"/>
          <w:i/>
          <w:iCs/>
        </w:rPr>
        <w:t xml:space="preserve">possesses </w:t>
      </w:r>
      <w:r>
        <w:rPr>
          <w:rFonts w:cs="FreightTextProBook-Regular" w:ascii="FreightTextProBook-Regular" w:hAnsi="FreightTextProBook-Regular"/>
        </w:rPr>
        <w:t>emergent qualities not found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 its components. This is equally clear in human life.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32 In other words, the emergent </w:t>
      </w:r>
      <w:r>
        <w:rPr>
          <w:rFonts w:cs="FreightTextProBook-Italic" w:ascii="FreightTextProBook-Italic" w:hAnsi="FreightTextProBook-Italic"/>
          <w:i/>
          <w:iCs/>
        </w:rPr>
        <w:t>reality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an object composed jointly of multiple parts (such as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married couple) does not hinge on the predictability 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unpredictability of how it ultimately turns out. Emergence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does not require mysterious results, but only that the married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couple has joint features not found in either of the individuals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 isolation. The same would hold true if the friends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were completely wrong and the marriage led to eternal and</w:t>
      </w:r>
    </w:p>
    <w:p>
      <w:pPr>
        <w:pStyle w:val="Normal"/>
        <w:spacing w:before="0" w:after="0"/>
        <w:contextualSpacing/>
        <w:rPr/>
      </w:pPr>
      <w:r>
        <w:rPr>
          <w:rFonts w:cs="FreightTextProBook-Regular" w:ascii="FreightTextProBook-Regular" w:hAnsi="FreightTextProBook-Regular"/>
        </w:rPr>
        <w:t xml:space="preserve">blissful harmony: the point is that the </w:t>
      </w:r>
      <w:r>
        <w:rPr>
          <w:rFonts w:cs="FreightTextProBook-Italic" w:ascii="FreightTextProBook-Italic" w:hAnsi="FreightTextProBook-Italic"/>
          <w:i/>
          <w:iCs/>
        </w:rPr>
        <w:t xml:space="preserve">existence </w:t>
      </w:r>
      <w:r>
        <w:rPr>
          <w:rFonts w:cs="FreightTextProBook-Regular" w:ascii="FreightTextProBook-Regular" w:hAnsi="FreightTextProBook-Regular"/>
        </w:rPr>
        <w:t>of the marriage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as an emergent object over and above the two individual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partners has nothing to do with whether its success 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failure could be foreseen.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37-8 Instead, the claim of OOO is that literal</w:t>
      </w:r>
    </w:p>
    <w:p>
      <w:pPr>
        <w:pStyle w:val="Normal"/>
        <w:spacing w:before="0" w:after="0"/>
        <w:contextualSpacing/>
        <w:rPr/>
      </w:pPr>
      <w:r>
        <w:rPr>
          <w:rFonts w:cs="FreightTextProBook-Regular" w:ascii="FreightTextProBook-Regular" w:hAnsi="FreightTextProBook-Regular"/>
        </w:rPr>
        <w:t xml:space="preserve">language is </w:t>
      </w:r>
      <w:r>
        <w:rPr>
          <w:rFonts w:cs="FreightTextProBook-Italic" w:ascii="FreightTextProBook-Italic" w:hAnsi="FreightTextProBook-Italic"/>
          <w:i/>
          <w:iCs/>
        </w:rPr>
        <w:t xml:space="preserve">always </w:t>
      </w:r>
      <w:r>
        <w:rPr>
          <w:rFonts w:cs="FreightTextProBook-Regular" w:ascii="FreightTextProBook-Regular" w:hAnsi="FreightTextProBook-Regular"/>
        </w:rPr>
        <w:t>an oversimplification, since it describes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things in terms of definite literal properties even though</w:t>
      </w:r>
    </w:p>
    <w:p>
      <w:pPr>
        <w:pStyle w:val="Normal"/>
        <w:spacing w:before="0" w:after="0"/>
        <w:contextualSpacing/>
        <w:rPr/>
      </w:pPr>
      <w:r>
        <w:rPr>
          <w:rFonts w:cs="FreightTextProBook-Italic" w:ascii="FreightTextProBook-Italic" w:hAnsi="FreightTextProBook-Italic"/>
          <w:i/>
          <w:iCs/>
        </w:rPr>
        <w:t xml:space="preserve">objects are never just bundles of literal properties </w:t>
      </w:r>
      <w:r>
        <w:rPr>
          <w:rFonts w:cs="FreightTextProBook-Regular" w:ascii="FreightTextProBook-Regular" w:hAnsi="FreightTextProBook-Regular"/>
        </w:rPr>
        <w:t>(despite Hume’s view to the contrary). It is not just that the chemical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assay of the wine fails to do justice to the human experience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tasting wine, but that it fails to do justice even to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chemical–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physical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structure of the wine. This may sound like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 startling claim, since the natural sciences are generally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regarded as the court of final appeal in our era, just as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Church was in the medieval period.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40 Against smallism, 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oriented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thought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holds that objects exist at numerous different scales, including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electron, the molecule, the Dutch East India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Company and the galaxy. The mere fact of complexity and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largeness does not make something less real than its component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parts.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41 We can accept this definition provisionally,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with the caveat that philosophy for OOO is more about</w:t>
      </w:r>
    </w:p>
    <w:p>
      <w:pPr>
        <w:pStyle w:val="Normal"/>
        <w:spacing w:before="0" w:after="0"/>
        <w:contextualSpacing/>
        <w:rPr/>
      </w:pPr>
      <w:r>
        <w:rPr>
          <w:rFonts w:cs="FreightTextProBook-Regular" w:ascii="FreightTextProBook-Regular" w:hAnsi="FreightTextProBook-Regular"/>
        </w:rPr>
        <w:t xml:space="preserve">how things in the broadest possible sense of the term </w:t>
      </w:r>
      <w:r>
        <w:rPr>
          <w:rFonts w:cs="FreightTextProBook-Italic" w:ascii="FreightTextProBook-Italic" w:hAnsi="FreightTextProBook-Italic"/>
          <w:i/>
          <w:iCs/>
        </w:rPr>
        <w:t>do not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hang together in the broadest possible sense of the term, but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maintain a degree of autonomy despite their interrelations.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43 My response is that OOO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means ‘object’ in an unusually wide sense: an object is anything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cannot be entirely reduced either to the components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which it is made or to the effects that it has on other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things. The first point, about objects being irreducible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their constituent pieces, is an old one for philosophers;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second point is less discussed but equally important.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49-50 In any case, the examples just mentioned are all overmining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theories that reduce things to their impact on us or 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each other, denying them any excess or surplus beyond such</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impact. But the problem faced by all overmining theories is</w:t>
      </w:r>
    </w:p>
    <w:p>
      <w:pPr>
        <w:pStyle w:val="Normal"/>
        <w:spacing w:before="0" w:after="0"/>
        <w:contextualSpacing/>
        <w:rPr/>
      </w:pPr>
      <w:r>
        <w:rPr>
          <w:rFonts w:cs="FreightTextProBook-Regular" w:ascii="FreightTextProBook-Regular" w:hAnsi="FreightTextProBook-Regular"/>
        </w:rPr>
        <w:t xml:space="preserve">their inability to account for </w:t>
      </w:r>
      <w:r>
        <w:rPr>
          <w:rFonts w:cs="FreightTextProBook-Italic" w:ascii="FreightTextProBook-Italic" w:hAnsi="FreightTextProBook-Italic"/>
          <w:i/>
          <w:iCs/>
        </w:rPr>
        <w:t>change</w:t>
      </w:r>
      <w:r>
        <w:rPr>
          <w:rFonts w:cs="FreightTextProBook-Regular" w:ascii="FreightTextProBook-Regular" w:hAnsi="FreightTextProBook-Regular"/>
        </w:rPr>
        <w:t>. If atoms, billiard balls,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watermelons, prisons or Professor Whitehead are nothing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more than the sum total of their relations or effects in this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very instant, then how is it that they can be doing something very different five minutes or two weeks from now?</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51 This brings us to the verge of discussing OOO’s unconventional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notion of what an object is. In everyday language,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word ‘object’ often has the connotations of something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physical, solid, durable, inhuman or utterly inanimate.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by contrast, ‘object’ simply means anything that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cannot be reduced either downward or upward, which means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anything that has a surplus beyond its constituent pieces and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beneath its sum total of effects on the world.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51-51 There is no direct access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world that could permanently establish the existence of</w:t>
      </w:r>
    </w:p>
    <w:p>
      <w:pPr>
        <w:pStyle w:val="Normal"/>
        <w:spacing w:before="0" w:after="0"/>
        <w:contextualSpacing/>
        <w:rPr/>
      </w:pPr>
      <w:r>
        <w:rPr>
          <w:rFonts w:cs="FreightTextProBook-Regular" w:ascii="FreightTextProBook-Regular" w:hAnsi="FreightTextProBook-Regular"/>
        </w:rPr>
        <w:t xml:space="preserve">these objects, or even much simpler variants of them, for the simple reason that </w:t>
      </w:r>
      <w:r>
        <w:rPr>
          <w:rFonts w:cs="FreightTextProBook-Italic" w:ascii="FreightTextProBook-Italic" w:hAnsi="FreightTextProBook-Italic"/>
          <w:i/>
          <w:iCs/>
        </w:rPr>
        <w:t>there is no direct knowledge of anything</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53 To repeat, the only necessary criterion for an object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is that it be irreducible in both directions: an object is</w:t>
      </w:r>
    </w:p>
    <w:p>
      <w:pPr>
        <w:pStyle w:val="Normal"/>
        <w:spacing w:before="0" w:after="0"/>
        <w:contextualSpacing/>
        <w:rPr/>
      </w:pPr>
      <w:r>
        <w:rPr>
          <w:rFonts w:cs="FreightTextProBook-Italic" w:ascii="FreightTextProBook-Italic" w:hAnsi="FreightTextProBook-Italic"/>
          <w:i/>
          <w:iCs/>
        </w:rPr>
        <w:t xml:space="preserve">more than its pieces </w:t>
      </w:r>
      <w:r>
        <w:rPr>
          <w:rFonts w:cs="FreightTextProBook-Regular" w:ascii="FreightTextProBook-Regular" w:hAnsi="FreightTextProBook-Regular"/>
        </w:rPr>
        <w:t xml:space="preserve">and </w:t>
      </w:r>
      <w:r>
        <w:rPr>
          <w:rFonts w:cs="FreightTextProBook-Italic" w:ascii="FreightTextProBook-Italic" w:hAnsi="FreightTextProBook-Italic"/>
          <w:i/>
          <w:iCs/>
        </w:rPr>
        <w:t>less than its effects</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54 OOO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uses this term in the same sense as DeLanda, referring to an</w:t>
      </w:r>
    </w:p>
    <w:p>
      <w:pPr>
        <w:pStyle w:val="Normal"/>
        <w:spacing w:before="0" w:after="0"/>
        <w:contextualSpacing/>
        <w:rPr/>
      </w:pPr>
      <w:r>
        <w:rPr>
          <w:rFonts w:cs="FreightTextProBook-Regular" w:ascii="FreightTextProBook-Regular" w:hAnsi="FreightTextProBook-Regular"/>
        </w:rPr>
        <w:t xml:space="preserve">ontology that </w:t>
      </w:r>
      <w:r>
        <w:rPr>
          <w:rFonts w:cs="FreightTextProBook-Italic" w:ascii="FreightTextProBook-Italic" w:hAnsi="FreightTextProBook-Italic"/>
          <w:i/>
          <w:iCs/>
        </w:rPr>
        <w:t xml:space="preserve">initially </w:t>
      </w:r>
      <w:r>
        <w:rPr>
          <w:rFonts w:cs="FreightTextProBook-Regular" w:ascii="FreightTextProBook-Regular" w:hAnsi="FreightTextProBook-Regular"/>
        </w:rPr>
        <w:t>treats all objects in the same way,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rather than assuming in advance that different types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objects require completely different ontologies.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t xml:space="preserve">61 </w:t>
      </w:r>
      <w:r>
        <w:rPr>
          <w:rFonts w:cs="FreightTextProBook-Regular" w:ascii="FreightTextProBook-Regular" w:hAnsi="FreightTextProBook-Regular"/>
        </w:rPr>
        <w:t>The previous chapter criticized most ‘theories of everything’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for displaying four basic defects: physicalism, smallism, anti-</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fictionalism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literalism. At this point I hope that most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readers will agree that a theory of everything should be able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give an account of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physical</w:t>
      </w:r>
    </w:p>
    <w:p>
      <w:pPr>
        <w:pStyle w:val="Normal"/>
        <w:spacing w:before="0" w:after="0"/>
        <w:contextualSpacing/>
        <w:rPr/>
      </w:pPr>
      <w:r>
        <w:rPr>
          <w:rFonts w:cs="FreightTextProBook-Regular" w:ascii="FreightTextProBook-Regular" w:hAnsi="FreightTextProBook-Regular"/>
        </w:rPr>
        <w:t xml:space="preserve">entities (the </w:t>
      </w:r>
      <w:r>
        <w:rPr>
          <w:rFonts w:cs="FreightTextProBook-Italic" w:ascii="FreightTextProBook-Italic" w:hAnsi="FreightTextProBook-Italic"/>
          <w:i/>
          <w:iCs/>
        </w:rPr>
        <w:t>esprit de corps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a winning football club) no less than physical ones (atoms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iron).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150 Given that real objects are by definition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incapable of touching each other, we need to find a way in</w:t>
      </w:r>
    </w:p>
    <w:p>
      <w:pPr>
        <w:pStyle w:val="Normal"/>
        <w:spacing w:before="0" w:after="0"/>
        <w:contextualSpacing/>
        <w:rPr/>
      </w:pPr>
      <w:r>
        <w:rPr>
          <w:rFonts w:cs="FreightTextProBook-Regular" w:ascii="FreightTextProBook-Regular" w:hAnsi="FreightTextProBook-Regular"/>
        </w:rPr>
        <w:t xml:space="preserve">which they </w:t>
      </w:r>
      <w:r>
        <w:rPr>
          <w:rFonts w:cs="FreightTextProBook-Italic" w:ascii="FreightTextProBook-Italic" w:hAnsi="FreightTextProBook-Italic"/>
          <w:i/>
          <w:iCs/>
        </w:rPr>
        <w:t>touch without touching</w:t>
      </w:r>
      <w:r>
        <w:rPr>
          <w:rFonts w:cs="FreightTextProBook-Regular" w:ascii="FreightTextProBook-Regular" w:hAnsi="FreightTextProBook-Regular"/>
        </w:rPr>
        <w:t>, through some sort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indirect contact. This concept is known in OOO as ‘vicarious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causation’.</w:t>
      </w:r>
    </w:p>
    <w:p>
      <w:pPr>
        <w:pStyle w:val="Normal"/>
        <w:spacing w:before="0" w:after="0"/>
        <w:contextualSpacing/>
        <w:rPr/>
      </w:pPr>
      <w:r>
        <w:rPr>
          <w:rFonts w:cs="FreightTextProBook-Regular" w:ascii="FreightTextProBook-Regular" w:hAnsi="FreightTextProBook-Regular"/>
        </w:rPr>
        <w:t xml:space="preserve">161 Let this suffice for a basic overview of </w:t>
      </w:r>
      <w:r>
        <w:rPr>
          <w:rFonts w:cs="FreightTextProBook-Italic" w:ascii="FreightTextProBook-Italic" w:hAnsi="FreightTextProBook-Italic"/>
          <w:i/>
          <w:iCs/>
        </w:rPr>
        <w:t>ontography</w:t>
      </w:r>
      <w:r>
        <w:rPr>
          <w:rFonts w:cs="FreightTextProBook-Regular" w:ascii="FreightTextProBook-Regular" w:hAnsi="FreightTextProBook-Regular"/>
        </w:rPr>
        <w:t>, the part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OOO that explores the rifts between the two kinds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objects and their two kinds of qualities. The main principle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ontography is that all of the movement and stasis in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world can be derived from a single root: the interplay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between objects and their qualities. As such, OOO is opposed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any form of realism that thinks the real object or its real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qualities can be directly obtained. Such realisms can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found even among the friends of OOO: for instance, in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New Realism of Maurizio Ferraris (Turin) and Markus</w:t>
      </w:r>
    </w:p>
    <w:p>
      <w:pPr>
        <w:pStyle w:val="Normal"/>
        <w:spacing w:before="0" w:after="0"/>
        <w:contextualSpacing/>
        <w:rPr/>
      </w:pPr>
      <w:r>
        <w:rPr>
          <w:rFonts w:cs="FreightTextProBook-Regular" w:ascii="FreightTextProBook-Regular" w:hAnsi="FreightTextProBook-Regular"/>
        </w:rPr>
        <w:t>Gabriel (Bonn).</w:t>
      </w:r>
      <w:r>
        <w:rPr>
          <w:rFonts w:cs="FreightTextProSemibold-Regular" w:ascii="FreightTextProSemibold-Regular" w:hAnsi="FreightTextProSemibold-Regular"/>
        </w:rPr>
        <w:t xml:space="preserve">7 </w:t>
      </w:r>
      <w:r>
        <w:rPr>
          <w:rFonts w:cs="FreightTextProBook-Regular" w:ascii="FreightTextProBook-Regular" w:hAnsi="FreightTextProBook-Regular"/>
        </w:rPr>
        <w:t>Ferraris and Gabriel are particularly concerned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with the rampant spread of relativism throughout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European philosophy, and for this reason they are committed</w:t>
      </w:r>
    </w:p>
    <w:p>
      <w:pPr>
        <w:pStyle w:val="Normal"/>
        <w:spacing w:before="0" w:after="0"/>
        <w:contextualSpacing/>
        <w:rPr/>
      </w:pPr>
      <w:r>
        <w:rPr>
          <w:rFonts w:cs="FreightTextProBook-Regular" w:ascii="FreightTextProBook-Regular" w:hAnsi="FreightTextProBook-Regular"/>
        </w:rPr>
        <w:t xml:space="preserve">to a realism able to obtain </w:t>
      </w:r>
      <w:r>
        <w:rPr>
          <w:rFonts w:cs="FreightTextProBook-Italic" w:ascii="FreightTextProBook-Italic" w:hAnsi="FreightTextProBook-Italic"/>
          <w:i/>
          <w:iCs/>
        </w:rPr>
        <w:t xml:space="preserve">knowledge </w:t>
      </w:r>
      <w:r>
        <w:rPr>
          <w:rFonts w:cs="FreightTextProBook-Regular" w:ascii="FreightTextProBook-Regular" w:hAnsi="FreightTextProBook-Regular"/>
        </w:rPr>
        <w:t>about the real. This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obviously differs from OOO, which sees knowledge as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duomining result that turns the things into caricatures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themselves, however important knowledge remains for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advance of the human species.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167 While it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obvious how the relation between a number of components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can form a new object, this effect is often concealed if we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consider a rapidly forming object that quickly decomposes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again into its constituent parts. An example I once discussed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was the mid-air collision of two planes, which OOO interprets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as the formation of a new collision-object with a very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brief lifespan, followed by a serious retroactive effect on its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two component objects, followed in turn by the decomposition</w:t>
      </w:r>
    </w:p>
    <w:p>
      <w:pPr>
        <w:pStyle w:val="Normal"/>
        <w:spacing w:before="0" w:after="0"/>
        <w:contextualSpacing/>
        <w:rPr/>
      </w:pPr>
      <w:r>
        <w:rPr>
          <w:rFonts w:cs="FreightTextProBook-Regular" w:ascii="FreightTextProBook-Regular" w:hAnsi="FreightTextProBook-Regular"/>
        </w:rPr>
        <w:t>of the collision-object into its initial components.</w:t>
      </w:r>
      <w:r>
        <w:rPr>
          <w:rFonts w:cs="FreightTextProSemibold-Regular" w:ascii="FreightTextProSemibold-Regular" w:hAnsi="FreightTextProSemibold-Regular"/>
        </w:rPr>
        <w:t>9</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rFonts w:cs="FreightTextProSemibold-Regular" w:ascii="FreightTextProSemibold-Regular" w:hAnsi="FreightTextProSemibold-Regular"/>
        </w:rPr>
        <w:t xml:space="preserve">168-9 </w:t>
      </w:r>
      <w:r>
        <w:rPr>
          <w:rFonts w:cs="FreightTextProBook-Regular" w:ascii="FreightTextProBook-Regular" w:hAnsi="FreightTextProBook-Regular"/>
        </w:rPr>
        <w:t>In asking what knowledge is, we can use our previous discussions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narrow down the field of possible answers. Above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all, OOO is completely opposed to the idea of knowledge as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direct access to the real; we do not even think physical causation consists of direct contact between two entities,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will certainly not grant such a power to ‘minds’ any more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than to ‘bodies’. We also know that knowledge cannot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metaphorical in character, since that is the medium in which</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both aesthetics and philosophy operate; knowledge, by contrast,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must ascribe genuine qualities to the entities it knows.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222 Bogost’s influential</w:t>
      </w:r>
    </w:p>
    <w:p>
      <w:pPr>
        <w:pStyle w:val="Normal"/>
        <w:spacing w:before="0" w:after="0"/>
        <w:contextualSpacing/>
        <w:rPr/>
      </w:pPr>
      <w:r>
        <w:rPr>
          <w:rFonts w:cs="FreightTextProBook-Italic" w:ascii="FreightTextProBook-Italic" w:hAnsi="FreightTextProBook-Italic"/>
          <w:i/>
          <w:iCs/>
        </w:rPr>
        <w:t xml:space="preserve">Persuasive Games </w:t>
      </w:r>
      <w:r>
        <w:rPr>
          <w:rFonts w:cs="FreightTextProBook-Regular" w:ascii="FreightTextProBook-Regular" w:hAnsi="FreightTextProBook-Regular"/>
        </w:rPr>
        <w:t>focuses on the concept of ‘procedural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rhetoric’ in a manner congenial to OOO’s interest in rhetoric</w:t>
      </w:r>
    </w:p>
    <w:p>
      <w:pPr>
        <w:pStyle w:val="Normal"/>
        <w:spacing w:before="0" w:after="0"/>
        <w:contextualSpacing/>
        <w:rPr/>
      </w:pPr>
      <w:r>
        <w:rPr>
          <w:rFonts w:cs="FreightTextProBook-Regular" w:ascii="FreightTextProBook-Regular" w:hAnsi="FreightTextProBook-Regular"/>
        </w:rPr>
        <w:t xml:space="preserve">more generally. The subtitle of </w:t>
      </w:r>
      <w:r>
        <w:rPr>
          <w:rFonts w:cs="FreightTextProBook-Italic" w:ascii="FreightTextProBook-Italic" w:hAnsi="FreightTextProBook-Italic"/>
          <w:i/>
          <w:iCs/>
        </w:rPr>
        <w:t>Alien Phenomenology</w:t>
      </w:r>
      <w:r>
        <w:rPr>
          <w:rFonts w:cs="FreightTextProBook-Regular" w:ascii="FreightTextProBook-Regular" w:hAnsi="FreightTextProBook-Regular"/>
        </w:rPr>
        <w:t>, ‘What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It’s Like to Be a Thing’, points to another key concern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that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entities be treated philosophically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same way as human ones.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Bogost, Ian. </w:t>
      </w:r>
      <w:r>
        <w:rPr>
          <w:rFonts w:cs="FreightTextProBook-Italic" w:ascii="FreightTextProBook-Italic" w:hAnsi="FreightTextProBook-Italic"/>
          <w:i/>
          <w:iCs/>
        </w:rPr>
        <w:t>Alien Phenomenology, or What It’s Like to Be a Thing</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Minneapolis: University of Minnesota Press, 2012.</w:t>
      </w:r>
    </w:p>
    <w:p>
      <w:pPr>
        <w:pStyle w:val="Normal"/>
        <w:spacing w:before="0" w:after="0"/>
        <w:contextualSpacing/>
        <w:rPr/>
      </w:pPr>
      <w:r>
        <w:rPr>
          <w:rFonts w:cs="FreightTextProBook-Regular" w:ascii="FreightTextProBook-Regular" w:hAnsi="FreightTextProBook-Regular"/>
        </w:rPr>
        <w:t xml:space="preserve">—— </w:t>
      </w:r>
      <w:r>
        <w:rPr>
          <w:rFonts w:cs="FreightTextProBook-Italic" w:ascii="FreightTextProBook-Italic" w:hAnsi="FreightTextProBook-Italic"/>
          <w:i/>
          <w:iCs/>
        </w:rPr>
        <w:t>Persuasive</w:t>
      </w:r>
    </w:p>
    <w:p>
      <w:pPr>
        <w:pStyle w:val="Normal"/>
        <w:spacing w:before="0" w:after="0"/>
        <w:contextualSpacing/>
        <w:rPr/>
      </w:pPr>
      <w:r>
        <w:rPr>
          <w:rFonts w:cs="FreightTextProBook-Italic" w:ascii="FreightTextProBook-Italic" w:hAnsi="FreightTextProBook-Italic"/>
          <w:i/>
          <w:iCs/>
        </w:rPr>
        <w:t>Games: The Expressive Power of Videogames</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Cambridge, MA: MIT Press, 2010.</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227 Bryant was known primarily for</w:t>
      </w:r>
    </w:p>
    <w:p>
      <w:pPr>
        <w:pStyle w:val="Normal"/>
        <w:spacing w:before="0" w:after="0"/>
        <w:contextualSpacing/>
        <w:rPr/>
      </w:pPr>
      <w:r>
        <w:rPr>
          <w:rFonts w:cs="FreightTextProBook-Italic" w:ascii="FreightTextProBook-Italic" w:hAnsi="FreightTextProBook-Italic"/>
          <w:i/>
          <w:iCs/>
        </w:rPr>
        <w:t>Difference and Givenness</w:t>
      </w:r>
      <w:r>
        <w:rPr>
          <w:rFonts w:cs="FreightTextProBook-Regular" w:ascii="FreightTextProBook-Regular" w:hAnsi="FreightTextProBook-Regular"/>
        </w:rPr>
        <w:t>, his highly regarded debut book 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philosophy of Deleuze. The most famous work of his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early 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oriented</w:t>
      </w:r>
    </w:p>
    <w:p>
      <w:pPr>
        <w:pStyle w:val="Normal"/>
        <w:spacing w:before="0" w:after="0"/>
        <w:contextualSpacing/>
        <w:rPr/>
      </w:pPr>
      <w:r>
        <w:rPr>
          <w:rFonts w:cs="FreightTextProBook-Regular" w:ascii="FreightTextProBook-Regular" w:hAnsi="FreightTextProBook-Regular"/>
        </w:rPr>
        <w:t xml:space="preserve">period is surely the 2011 book </w:t>
      </w:r>
      <w:r>
        <w:rPr>
          <w:rFonts w:cs="FreightTextProBook-Italic" w:ascii="FreightTextProBook-Italic" w:hAnsi="FreightTextProBook-Italic"/>
          <w:i/>
          <w:iCs/>
        </w:rPr>
        <w:t>The</w:t>
      </w:r>
    </w:p>
    <w:p>
      <w:pPr>
        <w:pStyle w:val="Normal"/>
        <w:spacing w:before="0" w:after="0"/>
        <w:contextualSpacing/>
        <w:rPr/>
      </w:pPr>
      <w:r>
        <w:rPr>
          <w:rFonts w:cs="FreightTextProBook-Italic" w:ascii="FreightTextProBook-Italic" w:hAnsi="FreightTextProBook-Italic"/>
          <w:i/>
          <w:iCs/>
        </w:rPr>
        <w:t xml:space="preserve">Democracy of </w:t>
      </w:r>
      <w:r>
        <w:rPr>
          <w:rFonts w:cs="FreightTextProBook-Regular" w:ascii="FreightTextProBook-Regular" w:hAnsi="FreightTextProBook-Regular"/>
        </w:rPr>
        <w:t>Objects.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227-8 Here I will focus on </w:t>
      </w:r>
      <w:r>
        <w:rPr>
          <w:rFonts w:cs="FreightTextProBook-Italic" w:ascii="FreightTextProBook-Italic" w:hAnsi="FreightTextProBook-Italic"/>
          <w:i/>
          <w:iCs/>
        </w:rPr>
        <w:t>Onto-</w:t>
      </w:r>
    </w:p>
    <w:p>
      <w:pPr>
        <w:pStyle w:val="Normal"/>
        <w:spacing w:before="0" w:after="0"/>
        <w:contextualSpacing/>
        <w:rPr/>
      </w:pPr>
      <w:r>
        <w:rPr>
          <w:rFonts w:cs="FreightTextProBook-Italic" w:ascii="FreightTextProBook-Italic" w:hAnsi="FreightTextProBook-Italic"/>
          <w:i/>
          <w:iCs/>
        </w:rPr>
        <w:t>Cartography</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since it is Bryant’s latest book, the subject so far of much less commentary than</w:t>
      </w:r>
    </w:p>
    <w:p>
      <w:pPr>
        <w:pStyle w:val="Normal"/>
        <w:spacing w:before="0" w:after="0"/>
        <w:contextualSpacing/>
        <w:rPr/>
      </w:pPr>
      <w:r>
        <w:rPr>
          <w:rFonts w:cs="FreightTextProBook-Regular" w:ascii="FreightTextProBook-Regular" w:hAnsi="FreightTextProBook-Regular"/>
        </w:rPr>
        <w:t xml:space="preserve">the already established </w:t>
      </w:r>
      <w:r>
        <w:rPr>
          <w:rFonts w:cs="FreightTextProBook-Italic" w:ascii="FreightTextProBook-Italic" w:hAnsi="FreightTextProBook-Italic"/>
          <w:i/>
          <w:iCs/>
        </w:rPr>
        <w:t>The Democracy of Objects</w:t>
      </w:r>
      <w:r>
        <w:rPr>
          <w:rFonts w:cs="FreightTextProBook-Regular" w:ascii="FreightTextProBook-Regular" w:hAnsi="FreightTextProBook-Regular"/>
        </w:rPr>
        <w:t xml:space="preserve">. In </w:t>
      </w:r>
      <w:r>
        <w:rPr>
          <w:rFonts w:cs="FreightTextProBook-Italic" w:ascii="FreightTextProBook-Italic" w:hAnsi="FreightTextProBook-Italic"/>
          <w:i/>
          <w:iCs/>
        </w:rPr>
        <w:t>Onto-</w:t>
      </w:r>
    </w:p>
    <w:p>
      <w:pPr>
        <w:pStyle w:val="Normal"/>
        <w:spacing w:before="0" w:after="0"/>
        <w:contextualSpacing/>
        <w:rPr/>
      </w:pPr>
      <w:r>
        <w:rPr>
          <w:rFonts w:cs="FreightTextProBook-Italic" w:ascii="FreightTextProBook-Italic" w:hAnsi="FreightTextProBook-Italic"/>
          <w:i/>
          <w:iCs/>
        </w:rPr>
        <w:t>Cartography</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Bryant claims to partly abandon OOO in favour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what he calls a ‘ machine-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oriented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ontology’. In one sense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this might signal a simple return to his Deleuzian roots, since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Deleuze and Guattari frequently speak of ‘desiring machines’</w:t>
      </w:r>
    </w:p>
    <w:p>
      <w:pPr>
        <w:pStyle w:val="Normal"/>
        <w:spacing w:before="0" w:after="0"/>
        <w:contextualSpacing/>
        <w:rPr/>
      </w:pPr>
      <w:r>
        <w:rPr>
          <w:rFonts w:cs="FreightTextProBook-Regular" w:ascii="FreightTextProBook-Regular" w:hAnsi="FreightTextProBook-Regular"/>
        </w:rPr>
        <w:t>as well as other types of machines.</w:t>
      </w:r>
      <w:r>
        <w:rPr>
          <w:rFonts w:cs="FreightTextProSemibold-Regular" w:ascii="FreightTextProSemibold-Regular" w:hAnsi="FreightTextProSemibold-Regular"/>
        </w:rPr>
        <w:t xml:space="preserve">21 </w:t>
      </w:r>
      <w:r>
        <w:rPr>
          <w:rFonts w:cs="FreightTextProBook-Regular" w:ascii="FreightTextProBook-Regular" w:hAnsi="FreightTextProBook-Regular"/>
        </w:rPr>
        <w:t>Yet Bryant also makes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specific complaint about the term ‘object’. His primary reservation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is that objects are usually opposed to human subjects,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hence the term OOO is doomed to perpetual misunderstanding.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Nonetheless, we cannot help noticing that his classification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the six different types of machines uses the</w:t>
      </w:r>
    </w:p>
    <w:p>
      <w:pPr>
        <w:pStyle w:val="Normal"/>
        <w:spacing w:before="0" w:after="0"/>
        <w:contextualSpacing/>
        <w:rPr/>
      </w:pPr>
      <w:r>
        <w:rPr>
          <w:rFonts w:cs="FreightTextProBook-Regular" w:ascii="FreightTextProBook-Regular" w:hAnsi="FreightTextProBook-Regular"/>
        </w:rPr>
        <w:t>name ‘object’ for no less than four of them.</w:t>
      </w:r>
      <w:r>
        <w:rPr>
          <w:rFonts w:cs="FreightTextProSemibold-Regular" w:ascii="FreightTextProSemibold-Regular" w:hAnsi="FreightTextProSemibold-Regular"/>
        </w:rPr>
        <w:t xml:space="preserve">22 </w:t>
      </w:r>
      <w:r>
        <w:rPr>
          <w:rFonts w:cs="FreightTextProBook-Regular" w:ascii="FreightTextProBook-Regular" w:hAnsi="FreightTextProBook-Regular"/>
        </w:rPr>
        <w:t>And quite aside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from this inconsistency, ‘machine’ carries historical baggage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at least as heavy as ‘object’, which Bryant tacitly recognizes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by spending more than ten pages trying to distance his own</w:t>
      </w:r>
    </w:p>
    <w:p>
      <w:pPr>
        <w:pStyle w:val="Normal"/>
        <w:spacing w:before="0" w:after="0"/>
        <w:contextualSpacing/>
        <w:rPr/>
      </w:pPr>
      <w:r>
        <w:rPr>
          <w:rFonts w:cs="FreightTextProBook-Regular" w:ascii="FreightTextProBook-Regular" w:hAnsi="FreightTextProBook-Regular"/>
        </w:rPr>
        <w:t>sense of ‘machine’ from various possible misreadings.</w:t>
      </w:r>
      <w:r>
        <w:rPr>
          <w:rFonts w:cs="FreightTextProSemibold-Regular" w:ascii="FreightTextProSemibold-Regular" w:hAnsi="FreightTextProSemibold-Regular"/>
        </w:rPr>
        <w:t xml:space="preserve">23 </w:t>
      </w:r>
      <w:r>
        <w:rPr>
          <w:rFonts w:cs="FreightTextProBook-Regular" w:ascii="FreightTextProBook-Regular" w:hAnsi="FreightTextProBook-Regular"/>
        </w:rPr>
        <w:t>All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this aside, what Bryant seems to like best about the term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t>
      </w:r>
      <w:r>
        <w:rPr>
          <w:rFonts w:cs="FreightTextProBook-Regular" w:ascii="FreightTextProBook-Regular" w:hAnsi="FreightTextProBook-Regular"/>
        </w:rPr>
        <w:t>machine’ is its suggestion of a composite entity built of further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sub-</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machines,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 xml:space="preserve">and so on downward indefinitely. </w:t>
      </w:r>
    </w:p>
    <w:p>
      <w:pPr>
        <w:pStyle w:val="Normal"/>
        <w:spacing w:before="0" w:after="0"/>
        <w:contextualSpacing/>
        <w:rPr/>
      </w:pPr>
      <w:r>
        <w:rPr>
          <w:rFonts w:cs="FreightTextProBook-Regular" w:ascii="FreightTextProBook-Regular" w:hAnsi="FreightTextProBook-Regular"/>
        </w:rPr>
        <w:t xml:space="preserve">232 in 2013, Morton published his controversial </w:t>
      </w:r>
      <w:r>
        <w:rPr>
          <w:rFonts w:cs="FreightTextProBook-Italic" w:ascii="FreightTextProBook-Italic" w:hAnsi="FreightTextProBook-Italic"/>
          <w:i/>
          <w:iCs/>
        </w:rPr>
        <w:t>Realist Magic</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whose controversy stemmed mostly from its spirited defence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the OOO thesis that physical causation itself has a metaphorical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structure.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233-4 Like Bogost, Morton rejects the modernist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idea of thought as taking a distance from the world 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rising above it in jaded or ironic transcendence. In Morton’s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words: ‘If there is no metalanguage, then cynical distance,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dominant ideological mode of the left, is in very bad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shape, and will not be able to cope with the time of hyperobjects.’</w:t>
      </w:r>
    </w:p>
    <w:p>
      <w:pPr>
        <w:pStyle w:val="Normal"/>
        <w:spacing w:before="0" w:after="0"/>
        <w:contextualSpacing/>
        <w:rPr/>
      </w:pPr>
      <w:r>
        <w:rPr>
          <w:rFonts w:cs="FreightTextProSemibold-Regular" w:ascii="FreightTextProSemibold-Regular" w:hAnsi="FreightTextProSemibold-Regular"/>
        </w:rPr>
        <w:t xml:space="preserve">33 </w:t>
      </w:r>
      <w:r>
        <w:rPr>
          <w:rFonts w:cs="FreightTextProBook-Regular" w:ascii="FreightTextProBook-Regular" w:hAnsi="FreightTextProBook-Regular"/>
        </w:rPr>
        <w:t>To begin to cope with it, Morton invokes a list of five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features belonging to hyperobjects: viscosity, nonlocality,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temporal undulation, phasing and interobjectivity. He summarizes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these properties as follows: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Hyperobjects have numerous properties in common. They</w:t>
      </w:r>
    </w:p>
    <w:p>
      <w:pPr>
        <w:pStyle w:val="Normal"/>
        <w:spacing w:before="0" w:after="0"/>
        <w:contextualSpacing/>
        <w:rPr/>
      </w:pPr>
      <w:r>
        <w:rPr>
          <w:rFonts w:cs="FreightTextProBook-Regular" w:ascii="FreightTextProBook-Regular" w:hAnsi="FreightTextProBook-Regular"/>
        </w:rPr>
        <w:t xml:space="preserve">are </w:t>
      </w:r>
      <w:r>
        <w:rPr>
          <w:rFonts w:cs="FreightTextProBook-Italic" w:ascii="FreightTextProBook-Italic" w:hAnsi="FreightTextProBook-Italic"/>
          <w:i/>
          <w:iCs/>
        </w:rPr>
        <w:t>viscous</w:t>
      </w:r>
      <w:r>
        <w:rPr>
          <w:rFonts w:cs="FreightTextProBook-Regular" w:ascii="FreightTextProBook-Regular" w:hAnsi="FreightTextProBook-Regular"/>
        </w:rPr>
        <w:t>, which means that they ‘stick’ to beings that</w:t>
      </w:r>
    </w:p>
    <w:p>
      <w:pPr>
        <w:pStyle w:val="Normal"/>
        <w:spacing w:before="0" w:after="0"/>
        <w:contextualSpacing/>
        <w:rPr/>
      </w:pPr>
      <w:r>
        <w:rPr>
          <w:rFonts w:cs="FreightTextProBook-Regular" w:ascii="FreightTextProBook-Regular" w:hAnsi="FreightTextProBook-Regular"/>
        </w:rPr>
        <w:t xml:space="preserve">are involved with them. They are </w:t>
      </w:r>
      <w:r>
        <w:rPr>
          <w:rFonts w:cs="FreightTextProBook-Italic" w:ascii="FreightTextProBook-Italic" w:hAnsi="FreightTextProBook-Italic"/>
          <w:i/>
          <w:iCs/>
        </w:rPr>
        <w:t>nonlocal</w:t>
      </w:r>
      <w:r>
        <w:rPr>
          <w:rFonts w:cs="FreightTextProBook-Regular" w:ascii="FreightTextProBook-Regular" w:hAnsi="FreightTextProBook-Regular"/>
        </w:rPr>
        <w:t>; in other words,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any ‘local manifestation’ of a hyperobject is not directly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hyperobject. They involve profoundly different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temporalities than the 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scale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ones we are used to</w:t>
      </w:r>
    </w:p>
    <w:p>
      <w:pPr>
        <w:pStyle w:val="Normal"/>
        <w:spacing w:before="0" w:after="0"/>
        <w:contextualSpacing/>
        <w:rPr/>
      </w:pPr>
      <w:r>
        <w:rPr>
          <w:rFonts w:cs="FreightTextProBook-Regular" w:ascii="FreightTextProBook-Regular" w:hAnsi="FreightTextProBook-Regular"/>
        </w:rPr>
        <w:t>[</w:t>
      </w:r>
      <w:r>
        <w:rPr>
          <w:rFonts w:cs="FreightTextProBook-Italic" w:ascii="FreightTextProBook-Italic" w:hAnsi="FreightTextProBook-Italic"/>
          <w:i/>
          <w:iCs/>
        </w:rPr>
        <w:t>temporal undulation</w:t>
      </w:r>
      <w:r>
        <w:rPr>
          <w:rFonts w:cs="FreightTextProBook-Regular" w:ascii="FreightTextProBook-Regular" w:hAnsi="FreightTextProBook-Regular"/>
        </w:rPr>
        <w:t>] . . . Hyperobjects occupy a high-</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dimensional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phase space that results in their being invisible</w:t>
      </w:r>
    </w:p>
    <w:p>
      <w:pPr>
        <w:pStyle w:val="Normal"/>
        <w:spacing w:before="0" w:after="0"/>
        <w:contextualSpacing/>
        <w:rPr/>
      </w:pPr>
      <w:r>
        <w:rPr>
          <w:rFonts w:cs="FreightTextProBook-Regular" w:ascii="FreightTextProBook-Regular" w:hAnsi="FreightTextProBook-Regular"/>
        </w:rPr>
        <w:t>to humans for stretches of time [</w:t>
      </w:r>
      <w:r>
        <w:rPr>
          <w:rFonts w:cs="FreightTextProBook-Italic" w:ascii="FreightTextProBook-Italic" w:hAnsi="FreightTextProBook-Italic"/>
          <w:i/>
          <w:iCs/>
        </w:rPr>
        <w:t>phasing</w:t>
      </w:r>
      <w:r>
        <w:rPr>
          <w:rFonts w:cs="FreightTextProBook-Regular" w:ascii="FreightTextProBook-Regular" w:hAnsi="FreightTextProBook-Regular"/>
        </w:rPr>
        <w:t>]. And they exhibit</w:t>
      </w:r>
    </w:p>
    <w:p>
      <w:pPr>
        <w:pStyle w:val="Normal"/>
        <w:spacing w:before="0" w:after="0"/>
        <w:contextualSpacing/>
        <w:rPr/>
      </w:pPr>
      <w:r>
        <w:rPr>
          <w:rFonts w:cs="FreightTextProBook-Regular" w:ascii="FreightTextProBook-Regular" w:hAnsi="FreightTextProBook-Regular"/>
        </w:rPr>
        <w:t xml:space="preserve">their effects </w:t>
      </w:r>
      <w:r>
        <w:rPr>
          <w:rFonts w:cs="FreightTextProBook-Italic" w:ascii="FreightTextProBook-Italic" w:hAnsi="FreightTextProBook-Italic"/>
          <w:i/>
          <w:iCs/>
        </w:rPr>
        <w:t>interobjectively</w:t>
      </w:r>
      <w:r>
        <w:rPr>
          <w:rFonts w:cs="FreightTextProBook-Regular" w:ascii="FreightTextProBook-Regular" w:hAnsi="FreightTextProBook-Regular"/>
        </w:rPr>
        <w:t>; that is, they can be detected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 space that consists of interrelationships between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aesthetic properties of objects. The hyperobject is not a</w:t>
      </w:r>
    </w:p>
    <w:p>
      <w:pPr>
        <w:pStyle w:val="Normal"/>
        <w:spacing w:before="0" w:after="0"/>
        <w:contextualSpacing/>
        <w:rPr/>
      </w:pPr>
      <w:r>
        <w:rPr>
          <w:rFonts w:cs="FreightTextProBook-Regular" w:ascii="FreightTextProBook-Regular" w:hAnsi="FreightTextProBook-Regular"/>
        </w:rPr>
        <w:t xml:space="preserve">function of our knowledge: it’s </w:t>
      </w:r>
      <w:r>
        <w:rPr>
          <w:rFonts w:cs="FreightTextProBook-Italic" w:ascii="FreightTextProBook-Italic" w:hAnsi="FreightTextProBook-Italic"/>
          <w:i/>
          <w:iCs/>
        </w:rPr>
        <w:t xml:space="preserve">hyper </w:t>
      </w:r>
      <w:r>
        <w:rPr>
          <w:rFonts w:cs="FreightTextProBook-Regular" w:ascii="FreightTextProBook-Regular" w:hAnsi="FreightTextProBook-Regular"/>
        </w:rPr>
        <w:t>relative to worms,</w:t>
      </w:r>
    </w:p>
    <w:p>
      <w:pPr>
        <w:pStyle w:val="Normal"/>
        <w:spacing w:before="0" w:after="0"/>
        <w:contextualSpacing/>
        <w:rPr/>
      </w:pPr>
      <w:r>
        <w:rPr>
          <w:rFonts w:cs="FreightTextProBook-Regular" w:ascii="FreightTextProBook-Regular" w:hAnsi="FreightTextProBook-Regular"/>
        </w:rPr>
        <w:t>lemons, and ultraviolet rays, as well as humans.</w:t>
      </w:r>
      <w:r>
        <w:rPr>
          <w:rFonts w:cs="FreightTextProSemibold-Regular" w:ascii="FreightTextProSemibold-Regular" w:hAnsi="FreightTextProSemibold-Regular"/>
        </w:rPr>
        <w:t>34</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t>[Hypernothing with hyperobjects!!!]</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rFonts w:cs="FreightTextProSemibold-Regular" w:ascii="FreightTextProSemibold-Regular" w:hAnsi="FreightTextProSemibold-Regular"/>
        </w:rPr>
        <w:t xml:space="preserve">235-6 </w:t>
      </w:r>
      <w:r>
        <w:rPr>
          <w:rFonts w:cs="FreightTextProBook-Regular" w:ascii="FreightTextProBook-Regular" w:hAnsi="FreightTextProBook-Regular"/>
        </w:rPr>
        <w:t>We turn next to what Morton calls the nonlocality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hyperobjects. He openly acknowledges the scientific origins</w:t>
      </w:r>
    </w:p>
    <w:p>
      <w:pPr>
        <w:pStyle w:val="Normal"/>
        <w:spacing w:before="0" w:after="0"/>
        <w:contextualSpacing/>
        <w:rPr/>
      </w:pPr>
      <w:r>
        <w:rPr>
          <w:rFonts w:cs="FreightTextProBook-Regular" w:ascii="FreightTextProBook-Regular" w:hAnsi="FreightTextProBook-Regular"/>
        </w:rPr>
        <w:t>of this concept: ‘</w:t>
      </w:r>
      <w:r>
        <w:rPr>
          <w:rFonts w:cs="FreightTextProBook-Italic" w:ascii="FreightTextProBook-Italic" w:hAnsi="FreightTextProBook-Italic"/>
          <w:i/>
          <w:iCs/>
        </w:rPr>
        <w:t xml:space="preserve">Nonlocality </w:t>
      </w:r>
      <w:r>
        <w:rPr>
          <w:rFonts w:cs="FreightTextProBook-Regular" w:ascii="FreightTextProBook-Regular" w:hAnsi="FreightTextProBook-Regular"/>
        </w:rPr>
        <w:t>is a technical term in quantum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theory. Alain Aspect, Einstein’s student David Bohm, Anton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Zeilinger, and others have shown that the Einstein–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Podolsky–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Rosen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[EPR] Paradox concerning quantum theory is an</w:t>
      </w:r>
    </w:p>
    <w:p>
      <w:pPr>
        <w:pStyle w:val="Normal"/>
        <w:spacing w:before="0" w:after="0"/>
        <w:contextualSpacing/>
        <w:rPr/>
      </w:pPr>
      <w:r>
        <w:rPr>
          <w:rFonts w:cs="FreightTextProBook-Regular" w:ascii="FreightTextProBook-Regular" w:hAnsi="FreightTextProBook-Regular"/>
        </w:rPr>
        <w:t>empirical fact.’</w:t>
      </w:r>
      <w:r>
        <w:rPr>
          <w:rFonts w:cs="FreightTextProSemibold-Regular" w:ascii="FreightTextProSemibold-Regular" w:hAnsi="FreightTextProSemibold-Regular"/>
        </w:rPr>
        <w:t xml:space="preserve">40 </w:t>
      </w:r>
      <w:r>
        <w:rPr>
          <w:rFonts w:cs="FreightTextProBook-Regular" w:ascii="FreightTextProBook-Regular" w:hAnsi="FreightTextProBook-Regular"/>
        </w:rPr>
        <w:t>What this means is that two particles can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t>
      </w:r>
      <w:r>
        <w:rPr>
          <w:rFonts w:cs="FreightTextProBook-Regular" w:ascii="FreightTextProBook-Regular" w:hAnsi="FreightTextProBook-Regular"/>
        </w:rPr>
        <w:t>entangled’, so that when information is sent to one of them,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other will immediately act in opposite or complementary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fashion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 xml:space="preserve">– </w:t>
      </w:r>
      <w:r>
        <w:rPr>
          <w:rFonts w:cs="FreightTextProBook-Regular" w:ascii="FreightTextProBook-Regular" w:hAnsi="FreightTextProBook-Regular"/>
        </w:rPr>
        <w:t>even if they are already separated by a distance that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ought to make rapid communication impossible. Morton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continues: ‘According to the accepted view, this should fail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happen, since it implies signals travelling faster than light. [Yet] Zeilinger has demonstrated nonlocal phenomena using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entangled particles on either side of Vienna, between two</w:t>
      </w:r>
    </w:p>
    <w:p>
      <w:pPr>
        <w:pStyle w:val="Normal"/>
        <w:spacing w:before="0" w:after="0"/>
        <w:contextualSpacing/>
        <w:rPr/>
      </w:pPr>
      <w:r>
        <w:rPr>
          <w:rFonts w:cs="FreightTextProBook-Regular" w:ascii="FreightTextProBook-Regular" w:hAnsi="FreightTextProBook-Regular"/>
        </w:rPr>
        <w:t>Canary Islands, and between orbiting satellites.’</w:t>
      </w:r>
      <w:r>
        <w:rPr>
          <w:rFonts w:cs="FreightTextProSemibold-Regular" w:ascii="FreightTextProSemibold-Regular" w:hAnsi="FreightTextProSemibold-Regular"/>
        </w:rPr>
        <w:t xml:space="preserve">41 </w:t>
      </w:r>
      <w:r>
        <w:rPr>
          <w:rFonts w:cs="FreightTextProBook-Regular" w:ascii="FreightTextProBook-Regular" w:hAnsi="FreightTextProBook-Regular"/>
        </w:rPr>
        <w:t>Unless we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want to question Einstein’s axiom that the speed of light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maximum speed for any information transfer, we seem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compelled to accept nonlocality as a basic feature of our universe.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From this, Morton draws conclusions extending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beyond the sphere of contemporary science, linking it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Bryant’s ontology: none of the surviving witnesses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Hiroshima experienced the entire event, but only ‘local manifestations’</w:t>
      </w:r>
    </w:p>
    <w:p>
      <w:pPr>
        <w:pStyle w:val="Normal"/>
        <w:spacing w:before="0" w:after="0"/>
        <w:contextualSpacing/>
        <w:rPr/>
      </w:pPr>
      <w:r>
        <w:rPr>
          <w:rFonts w:cs="FreightTextProBook-Regular" w:ascii="FreightTextProBook-Regular" w:hAnsi="FreightTextProBook-Regular"/>
        </w:rPr>
        <w:t>of it.</w:t>
      </w:r>
      <w:r>
        <w:rPr>
          <w:rFonts w:cs="FreightTextProSemibold-Regular" w:ascii="FreightTextProSemibold-Regular" w:hAnsi="FreightTextProSemibold-Regular"/>
        </w:rPr>
        <w:t xml:space="preserve">42 </w:t>
      </w:r>
      <w:r>
        <w:rPr>
          <w:rFonts w:cs="FreightTextProBook-Regular" w:ascii="FreightTextProBook-Regular" w:hAnsi="FreightTextProBook-Regular"/>
        </w:rPr>
        <w:t>Morton ties this insight to his views from</w:t>
      </w:r>
    </w:p>
    <w:p>
      <w:pPr>
        <w:pStyle w:val="Normal"/>
        <w:spacing w:before="0" w:after="0"/>
        <w:contextualSpacing/>
        <w:rPr/>
      </w:pPr>
      <w:r>
        <w:rPr>
          <w:rFonts w:cs="FreightTextProBook-Italic" w:ascii="FreightTextProBook-Italic" w:hAnsi="FreightTextProBook-Italic"/>
          <w:i/>
          <w:iCs/>
        </w:rPr>
        <w:t xml:space="preserve">Realist Magic </w:t>
      </w:r>
      <w:r>
        <w:rPr>
          <w:rFonts w:cs="FreightTextProBook-Regular" w:ascii="FreightTextProBook-Regular" w:hAnsi="FreightTextProBook-Regular"/>
        </w:rPr>
        <w:t>on the aesthetic structure of causation in general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perception more specifically: ‘birds perceive not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some traditional material lump [when navigating], but 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aesthetic shape’, which can also be treated as a local manifestation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the earth’s magnetic field, ungraspable in itself</w:t>
      </w:r>
    </w:p>
    <w:p>
      <w:pPr>
        <w:pStyle w:val="Normal"/>
        <w:spacing w:before="0" w:after="0"/>
        <w:contextualSpacing/>
        <w:rPr/>
      </w:pPr>
      <w:r>
        <w:rPr>
          <w:rFonts w:cs="FreightTextProBook-Regular" w:ascii="FreightTextProBook-Regular" w:hAnsi="FreightTextProBook-Regular"/>
        </w:rPr>
        <w:t>or as a whole.</w:t>
      </w:r>
      <w:r>
        <w:rPr>
          <w:rFonts w:cs="FreightTextProSemibold-Regular" w:ascii="FreightTextProSemibold-Regular" w:hAnsi="FreightTextProSemibold-Regular"/>
        </w:rPr>
        <w:t xml:space="preserve">43 </w:t>
      </w:r>
      <w:r>
        <w:rPr>
          <w:rFonts w:cs="FreightTextProBook-Regular" w:ascii="FreightTextProBook-Regular" w:hAnsi="FreightTextProBook-Regular"/>
        </w:rPr>
        <w:t>Returning to the environmental concerns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are central to his book, Morton reminds us that all we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ever experience of earth systems are local manifestations as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well: ‘When you feel raindrops falling on your head, you are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experiencing climate, in some sense . . . But you are never</w:t>
      </w:r>
    </w:p>
    <w:p>
      <w:pPr>
        <w:pStyle w:val="Normal"/>
        <w:spacing w:before="0" w:after="0"/>
        <w:contextualSpacing/>
        <w:rPr/>
      </w:pPr>
      <w:r>
        <w:rPr>
          <w:rFonts w:cs="FreightTextProBook-Regular" w:ascii="FreightTextProBook-Regular" w:hAnsi="FreightTextProBook-Regular"/>
        </w:rPr>
        <w:t>directly experiencing global warming as such.’</w:t>
      </w:r>
      <w:r>
        <w:rPr>
          <w:rFonts w:cs="FreightTextProSemibold-Regular" w:ascii="FreightTextProSemibold-Regular" w:hAnsi="FreightTextProSemibold-Regular"/>
        </w:rPr>
        <w:t xml:space="preserve">44 </w:t>
      </w:r>
      <w:r>
        <w:rPr>
          <w:rFonts w:cs="FreightTextProBook-Regular" w:ascii="FreightTextProBook-Regular" w:hAnsi="FreightTextProBook-Regular"/>
        </w:rPr>
        <w:t>Or more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poetically, ‘when I look for the hyperobject oil, I don’t find it.</w:t>
      </w:r>
    </w:p>
    <w:p>
      <w:pPr>
        <w:pStyle w:val="Normal"/>
        <w:spacing w:before="0" w:after="0"/>
        <w:contextualSpacing/>
        <w:rPr/>
      </w:pPr>
      <w:r>
        <w:rPr>
          <w:rFonts w:cs="FreightTextProBook-Regular" w:ascii="FreightTextProBook-Regular" w:hAnsi="FreightTextProBook-Regular"/>
        </w:rPr>
        <w:t>Oil is just droplets, flows, rivers, and slicks of oil.’</w:t>
      </w:r>
      <w:r>
        <w:rPr>
          <w:rFonts w:cs="FreightTextProSemibold-Regular" w:ascii="FreightTextProSemibold-Regular" w:hAnsi="FreightTextProSemibold-Regular"/>
        </w:rPr>
        <w:t>45</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rFonts w:cs="FreightTextProSemibold-Regular" w:ascii="FreightTextProSemibold-Regular" w:hAnsi="FreightTextProSemibold-Regular"/>
        </w:rPr>
        <w:t xml:space="preserve">239-40  </w:t>
      </w:r>
      <w:r>
        <w:rPr>
          <w:rFonts w:cs="FreightTextProBook-Regular" w:ascii="FreightTextProBook-Regular" w:hAnsi="FreightTextProBook-Regular"/>
        </w:rPr>
        <w:t>What this repeated false solution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misses is the central claim of OOO: that philosophy</w:t>
      </w:r>
    </w:p>
    <w:p>
      <w:pPr>
        <w:pStyle w:val="Normal"/>
        <w:spacing w:before="0" w:after="0"/>
        <w:contextualSpacing/>
        <w:rPr/>
      </w:pPr>
      <w:r>
        <w:rPr>
          <w:rFonts w:cs="FreightTextProBook-Regular" w:ascii="FreightTextProBook-Regular" w:hAnsi="FreightTextProBook-Regular"/>
        </w:rPr>
        <w:t xml:space="preserve">must also account for relations </w:t>
      </w:r>
      <w:r>
        <w:rPr>
          <w:rFonts w:cs="FreightTextProBook-Italic" w:ascii="FreightTextProBook-Italic" w:hAnsi="FreightTextProBook-Italic"/>
          <w:i/>
          <w:iCs/>
        </w:rPr>
        <w:t xml:space="preserve">between objects </w:t>
      </w:r>
      <w:r>
        <w:rPr>
          <w:rFonts w:cs="FreightTextProBook-Regular" w:ascii="FreightTextProBook-Regular" w:hAnsi="FreightTextProBook-Regular"/>
        </w:rPr>
        <w:t>even when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there are no humans anywhere on the scene, without simply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leaving it to science to calculate the outcome of such relations.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Here Morton puts a clever twist on the philosophically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overexposed theme of the ‘intersubjectivity’ of communicating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 beings: ‘ “intersubjectivity” is really human interobjectivity</w:t>
      </w:r>
    </w:p>
    <w:p>
      <w:pPr>
        <w:pStyle w:val="Normal"/>
        <w:spacing w:before="0" w:after="0"/>
        <w:contextualSpacing/>
        <w:rPr/>
      </w:pPr>
      <w:r>
        <w:rPr>
          <w:rFonts w:cs="FreightTextProBook-Regular" w:ascii="FreightTextProBook-Regular" w:hAnsi="FreightTextProBook-Regular"/>
        </w:rPr>
        <w:t>with lines drawn around it to exclude nonhumans.’</w:t>
      </w:r>
      <w:r>
        <w:rPr>
          <w:rFonts w:cs="FreightTextProSemibold-Regular" w:ascii="FreightTextProSemibold-Regular" w:hAnsi="FreightTextProSemibold-Regular"/>
        </w:rPr>
        <w:t xml:space="preserve">55 </w:t>
      </w:r>
      <w:r>
        <w:rPr>
          <w:rFonts w:cs="FreightTextProBook-Regular" w:ascii="FreightTextProBook-Regular" w:hAnsi="FreightTextProBook-Regular"/>
        </w:rPr>
        <w:t>Referring to Heidegger’s tool-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analysis,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Morton invokes his own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term ‘mesh’. Whereas Heidegger himself uses the system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meaningful tools to claim that humans are always at the centre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things, Morton puts an ‘interobjective’ spin on his mesh,</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which is replete with 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relations that have nothing</w:t>
      </w:r>
    </w:p>
    <w:p>
      <w:pPr>
        <w:pStyle w:val="Normal"/>
        <w:spacing w:before="0" w:after="0"/>
        <w:contextualSpacing/>
        <w:rPr/>
      </w:pPr>
      <w:r>
        <w:rPr>
          <w:rFonts w:cs="FreightTextProBook-Regular" w:ascii="FreightTextProBook-Regular" w:hAnsi="FreightTextProBook-Regular"/>
        </w:rPr>
        <w:t>to do with people at all.</w:t>
      </w:r>
      <w:r>
        <w:rPr>
          <w:rFonts w:cs="FreightTextProSemibold-Regular" w:ascii="FreightTextProSemibold-Regular" w:hAnsi="FreightTextProSemibold-Regular"/>
        </w:rPr>
        <w:t xml:space="preserve">56 </w:t>
      </w:r>
      <w:r>
        <w:rPr>
          <w:rFonts w:cs="FreightTextProBook-Regular" w:ascii="FreightTextProBook-Regular" w:hAnsi="FreightTextProBook-Regular"/>
        </w:rPr>
        <w:t>The imperfect translation of objects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is not something that is done solely by finite human minds, as Kant held; rather, objects do this to each other as well. As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Morton puts it, in typically beautiful prose: ‘The bamboo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forest is a gigantic wind chime, modulating the wind into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bambooese. The bamboo forest ruthlessly bamboo-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morphizes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wind, translating its pressure into movement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sound. It is an abyss of bamboo-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wind.’</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t>57</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rFonts w:cs="FreightTextProSemibold-Regular" w:ascii="FreightTextProSemibold-Regular" w:hAnsi="FreightTextProSemibold-Regular"/>
        </w:rPr>
        <w:t xml:space="preserve">240-1-2 </w:t>
      </w:r>
      <w:r>
        <w:rPr>
          <w:rFonts w:cs="FreightTextProBook-Regular" w:ascii="FreightTextProBook-Regular" w:hAnsi="FreightTextProBook-Regular"/>
        </w:rPr>
        <w:t>Bennett (b. 1957) is Professor of Political Science at Johns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Hopkins University in Baltimore. She came to the attention</w:t>
      </w:r>
    </w:p>
    <w:p>
      <w:pPr>
        <w:pStyle w:val="Normal"/>
        <w:spacing w:before="0" w:after="0"/>
        <w:contextualSpacing/>
        <w:rPr/>
      </w:pPr>
      <w:r>
        <w:rPr>
          <w:rFonts w:cs="FreightTextProBook-Regular" w:ascii="FreightTextProBook-Regular" w:hAnsi="FreightTextProBook-Regular"/>
        </w:rPr>
        <w:t xml:space="preserve">of OOO readers with her fourth book, </w:t>
      </w:r>
      <w:r>
        <w:rPr>
          <w:rFonts w:cs="FreightTextProBook-Italic" w:ascii="FreightTextProBook-Italic" w:hAnsi="FreightTextProBook-Italic"/>
          <w:i/>
          <w:iCs/>
        </w:rPr>
        <w:t>Vibrant Matter</w:t>
      </w:r>
      <w:r>
        <w:rPr>
          <w:rFonts w:cs="FreightTextProBook-Regular" w:ascii="FreightTextProBook-Regular" w:hAnsi="FreightTextProBook-Regular"/>
        </w:rPr>
        <w:t>, published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 2010. This beautifully written work opposes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modernist spirit in philosophy by stressing the agency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materials, including inanimate ones. In response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the critique that this amounts to an ‘anthropomorphic’</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projection of human qualities onto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entities,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Bennett has often said that a bit of anthropomorphism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sometimes needed to counter the much more prevalent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anthropocentrism.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Yet for all these points of agreement with OOO, Bennett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ultimately suspicious of our view that the world is home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existent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unified entities that have individual shapes prior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being encountered by some observer. Her allegiance to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philosophies of Baruch Spinoza, Henri Bergson and Deleuze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lead her to conclude that the model of ‘a world of fixed entities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 . . [is a] distortion . . . necessary and useful because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humans must use the world instrumentally if they are to survive</w:t>
      </w:r>
    </w:p>
    <w:p>
      <w:pPr>
        <w:pStyle w:val="Normal"/>
        <w:spacing w:before="0" w:after="0"/>
        <w:contextualSpacing/>
        <w:rPr/>
      </w:pPr>
      <w:r>
        <w:rPr>
          <w:rFonts w:cs="FreightTextProBook-Regular" w:ascii="FreightTextProBook-Regular" w:hAnsi="FreightTextProBook-Regular"/>
        </w:rPr>
        <w:t>in it.’</w:t>
      </w:r>
      <w:r>
        <w:rPr>
          <w:rFonts w:cs="FreightTextProSemibold-Regular" w:ascii="FreightTextProSemibold-Regular" w:hAnsi="FreightTextProSemibold-Regular"/>
        </w:rPr>
        <w:t xml:space="preserve">63 </w:t>
      </w:r>
      <w:r>
        <w:rPr>
          <w:rFonts w:cs="FreightTextProBook-Regular" w:ascii="FreightTextProBook-Regular" w:hAnsi="FreightTextProBook-Regular"/>
        </w:rPr>
        <w:t xml:space="preserve">This attitude culminates at the end of </w:t>
      </w:r>
      <w:r>
        <w:rPr>
          <w:rFonts w:cs="FreightTextProBook-Italic" w:ascii="FreightTextProBook-Italic" w:hAnsi="FreightTextProBook-Italic"/>
          <w:i/>
          <w:iCs/>
        </w:rPr>
        <w:t>Vibrant</w:t>
      </w:r>
    </w:p>
    <w:p>
      <w:pPr>
        <w:pStyle w:val="Normal"/>
        <w:spacing w:before="0" w:after="0"/>
        <w:contextualSpacing/>
        <w:rPr/>
      </w:pPr>
      <w:r>
        <w:rPr>
          <w:rFonts w:cs="FreightTextProBook-Italic" w:ascii="FreightTextProBook-Italic" w:hAnsi="FreightTextProBook-Italic"/>
          <w:i/>
          <w:iCs/>
        </w:rPr>
        <w:t xml:space="preserve">Matter </w:t>
      </w:r>
      <w:r>
        <w:rPr>
          <w:rFonts w:cs="FreightTextProBook-Regular" w:ascii="FreightTextProBook-Regular" w:hAnsi="FreightTextProBook-Regular"/>
        </w:rPr>
        <w:t>with a new ‘Nicene Creed’, as Bennett playfully puts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it. This creed begins as follows: ‘I believe in one matter–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energy,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maker of things seen and unseen. I believe that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this pluriverse is traversed by heterogeneities that are continually</w:t>
      </w:r>
    </w:p>
    <w:p>
      <w:pPr>
        <w:pStyle w:val="Normal"/>
        <w:spacing w:before="0" w:after="0"/>
        <w:contextualSpacing/>
        <w:rPr/>
      </w:pPr>
      <w:r>
        <w:rPr>
          <w:rFonts w:cs="FreightTextProBook-Italic" w:ascii="FreightTextProBook-Italic" w:hAnsi="FreightTextProBook-Italic"/>
          <w:i/>
          <w:iCs/>
        </w:rPr>
        <w:t>doing things</w:t>
      </w:r>
      <w:r>
        <w:rPr>
          <w:rFonts w:cs="FreightTextProBook-Regular" w:ascii="FreightTextProBook-Regular" w:hAnsi="FreightTextProBook-Regular"/>
        </w:rPr>
        <w:t>.’</w:t>
      </w:r>
      <w:r>
        <w:rPr>
          <w:rFonts w:cs="FreightTextProSemibold-Regular" w:ascii="FreightTextProSemibold-Regular" w:hAnsi="FreightTextProSemibold-Regular"/>
        </w:rPr>
        <w:t xml:space="preserve">64 </w:t>
      </w:r>
      <w:r>
        <w:rPr>
          <w:rFonts w:cs="FreightTextProBook-Regular" w:ascii="FreightTextProBook-Regular" w:hAnsi="FreightTextProBook-Regular"/>
        </w:rPr>
        <w:t>The words in this credo that show</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Bennett’s ultimate disagreement with OOO are ‘one’,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t>
      </w:r>
      <w:r>
        <w:rPr>
          <w:rFonts w:cs="FreightTextProBook-Regular" w:ascii="FreightTextProBook-Regular" w:hAnsi="FreightTextProBook-Regular"/>
        </w:rPr>
        <w:t>matter’, and ‘doing things’. For OOO does not view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world as a unified whole that is only secondarily broken up</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into individuals; it does not endorse the concept of matter 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all, with the possible exception of Bryant; and again with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exception of Bryant, OOO does not think the ultimate role</w:t>
      </w:r>
    </w:p>
    <w:p>
      <w:pPr>
        <w:pStyle w:val="Normal"/>
        <w:spacing w:before="0" w:after="0"/>
        <w:contextualSpacing/>
        <w:rPr/>
      </w:pPr>
      <w:r>
        <w:rPr>
          <w:rFonts w:cs="FreightTextProBook-Regular" w:ascii="FreightTextProBook-Regular" w:hAnsi="FreightTextProBook-Regular"/>
        </w:rPr>
        <w:t xml:space="preserve">of objects is </w:t>
      </w:r>
      <w:r>
        <w:rPr>
          <w:rFonts w:cs="FreightTextProBook-Italic" w:ascii="FreightTextProBook-Italic" w:hAnsi="FreightTextProBook-Italic"/>
          <w:i/>
          <w:iCs/>
        </w:rPr>
        <w:t>doing</w:t>
      </w:r>
      <w:r>
        <w:rPr>
          <w:rFonts w:cs="FreightTextProBook-Regular" w:ascii="FreightTextProBook-Regular" w:hAnsi="FreightTextProBook-Regular"/>
        </w:rPr>
        <w:t>, which for most of us can only count as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form of overmining.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243 In 2011 [Tristan Garcia] he made waves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French philosophy with a massive systematic book entitled</w:t>
      </w:r>
    </w:p>
    <w:p>
      <w:pPr>
        <w:pStyle w:val="Normal"/>
        <w:spacing w:before="0" w:after="0"/>
        <w:contextualSpacing/>
        <w:rPr/>
      </w:pPr>
      <w:r>
        <w:rPr>
          <w:rFonts w:cs="FreightTextProBook-Italic" w:ascii="FreightTextProBook-Italic" w:hAnsi="FreightTextProBook-Italic"/>
          <w:i/>
          <w:iCs/>
        </w:rPr>
        <w:t>Form and Object: A Treatise on Things</w:t>
      </w:r>
      <w:r>
        <w:rPr>
          <w:rFonts w:cs="FreightTextProBook-Regular" w:ascii="FreightTextProBook-Regular" w:hAnsi="FreightTextProBook-Regular"/>
        </w:rPr>
        <w:t>, available in English</w:t>
      </w:r>
    </w:p>
    <w:p>
      <w:pPr>
        <w:pStyle w:val="Normal"/>
        <w:spacing w:before="0" w:after="0"/>
        <w:contextualSpacing/>
        <w:rPr/>
      </w:pPr>
      <w:r>
        <w:rPr>
          <w:rFonts w:cs="FreightTextProBook-Regular" w:ascii="FreightTextProBook-Regular" w:hAnsi="FreightTextProBook-Regular"/>
        </w:rPr>
        <w:t xml:space="preserve">since 2014. Though Garcia wrote </w:t>
      </w:r>
      <w:r>
        <w:rPr>
          <w:rFonts w:cs="FreightTextProBook-Italic" w:ascii="FreightTextProBook-Italic" w:hAnsi="FreightTextProBook-Italic"/>
          <w:i/>
          <w:iCs/>
        </w:rPr>
        <w:t xml:space="preserve">Form and Object </w:t>
      </w:r>
      <w:r>
        <w:rPr>
          <w:rFonts w:cs="FreightTextProBook-Regular" w:ascii="FreightTextProBook-Regular" w:hAnsi="FreightTextProBook-Regular"/>
        </w:rPr>
        <w:t>before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becoming familiar with the work of OOO authors, the points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resonance are sufficient that he addressed the similarities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differences with my own work in a 2013 essay entitled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t>
      </w:r>
      <w:r>
        <w:rPr>
          <w:rFonts w:cs="FreightTextProBook-Regular" w:ascii="FreightTextProBook-Regular" w:hAnsi="FreightTextProBook-Regular"/>
        </w:rPr>
        <w:t>Crossing Ways of Thinking’. Garcia</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t xml:space="preserve">244 </w:t>
      </w:r>
      <w:r>
        <w:rPr>
          <w:rFonts w:cs="FreightTextProBook-Regular" w:ascii="FreightTextProBook-Regular" w:hAnsi="FreightTextProBook-Regular"/>
        </w:rPr>
        <w:t>For Garcia, things are always outside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themselves in the world, and thus (unlike OOO) 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rejects the Kantian thing</w:t>
        <w:noBreakHyphen/>
        <w:t>​in</w:t>
        <w:noBreakHyphen/>
        <w:t>​itself,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which supposedly is what</w:t>
      </w:r>
    </w:p>
    <w:p>
      <w:pPr>
        <w:pStyle w:val="Normal"/>
        <w:spacing w:before="0" w:after="0"/>
        <w:contextualSpacing/>
        <w:rPr/>
      </w:pPr>
      <w:r>
        <w:rPr>
          <w:rFonts w:cs="FreightTextProBook-Regular" w:ascii="FreightTextProBook-Regular" w:hAnsi="FreightTextProBook-Regular"/>
        </w:rPr>
        <w:t>it is regardless of any relations with outside things.</w:t>
      </w:r>
      <w:r>
        <w:rPr>
          <w:rFonts w:cs="FreightTextProSemibold-Regular" w:ascii="FreightTextProSemibold-Regular" w:hAnsi="FreightTextProSemibold-Regular"/>
        </w:rPr>
        <w:t xml:space="preserve">72 </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Whereas in ‘The Third Table’ I argued that a table is reducible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neither to its components nor to its relations, Garcia</w:t>
      </w:r>
    </w:p>
    <w:p>
      <w:pPr>
        <w:pStyle w:val="Normal"/>
        <w:spacing w:before="0" w:after="0"/>
        <w:contextualSpacing/>
        <w:rPr/>
      </w:pPr>
      <w:r>
        <w:rPr>
          <w:rFonts w:cs="FreightTextProBook-Regular" w:ascii="FreightTextProBook-Regular" w:hAnsi="FreightTextProBook-Regular"/>
        </w:rPr>
        <w:t xml:space="preserve">takes a different approach: for him, the table is the </w:t>
      </w:r>
      <w:r>
        <w:rPr>
          <w:rFonts w:cs="FreightTextProBook-Italic" w:ascii="FreightTextProBook-Italic" w:hAnsi="FreightTextProBook-Italic"/>
          <w:i/>
          <w:iCs/>
        </w:rPr>
        <w:t>difference</w:t>
      </w:r>
    </w:p>
    <w:p>
      <w:pPr>
        <w:pStyle w:val="Normal"/>
        <w:spacing w:before="0" w:after="0"/>
        <w:contextualSpacing/>
        <w:rPr/>
      </w:pPr>
      <w:r>
        <w:rPr>
          <w:rFonts w:cs="FreightTextProBook-Regular" w:ascii="FreightTextProBook-Regular" w:hAnsi="FreightTextProBook-Regular"/>
        </w:rPr>
        <w:t xml:space="preserve">between the two. In any case, in his Introduction to </w:t>
      </w:r>
      <w:r>
        <w:rPr>
          <w:rFonts w:cs="FreightTextProBook-Italic" w:ascii="FreightTextProBook-Italic" w:hAnsi="FreightTextProBook-Italic"/>
          <w:i/>
          <w:iCs/>
        </w:rPr>
        <w:t>Form and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 he agrees with OOO and DeLanda about the necessity</w:t>
      </w:r>
    </w:p>
    <w:p>
      <w:pPr>
        <w:pStyle w:val="Normal"/>
        <w:spacing w:before="0" w:after="0"/>
        <w:contextualSpacing/>
        <w:rPr/>
      </w:pPr>
      <w:r>
        <w:rPr>
          <w:rFonts w:cs="FreightTextProBook-Regular" w:ascii="FreightTextProBook-Regular" w:hAnsi="FreightTextProBook-Regular"/>
        </w:rPr>
        <w:t>of beginning with a ‘flat ontology’.</w:t>
      </w:r>
      <w:r>
        <w:rPr>
          <w:rFonts w:cs="FreightTextProSemibold-Regular" w:ascii="FreightTextProSemibold-Regular" w:hAnsi="FreightTextProSemibold-Regular"/>
        </w:rPr>
        <w:t>73</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rFonts w:cs="FreightTextProBook-Regular" w:ascii="FreightTextProBook-Regular" w:hAnsi="FreightTextProBook-Regular"/>
        </w:rPr>
        <w:t xml:space="preserve">Book II of </w:t>
      </w:r>
      <w:r>
        <w:rPr>
          <w:rFonts w:cs="FreightTextProBook-Italic" w:ascii="FreightTextProBook-Italic" w:hAnsi="FreightTextProBook-Italic"/>
          <w:i/>
          <w:iCs/>
        </w:rPr>
        <w:t xml:space="preserve">Form and Object </w:t>
      </w:r>
      <w:r>
        <w:rPr>
          <w:rFonts w:cs="FreightTextProBook-Regular" w:ascii="FreightTextProBook-Regular" w:hAnsi="FreightTextProBook-Regular"/>
        </w:rPr>
        <w:t>shifts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its focus from things to objects, which Garcia defines as specific</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things inscribed in specific systems of relations, as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opposed to anything no</w:t>
        <w:noBreakHyphen/>
        <w:t>​matter-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While Book I might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seem forbidding to some readers due to its sometimes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abstract precision, Book II cuts into the juicy pulp of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247 Yet OOO challenges the notion of nature as holistic,</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viewing the world instead as a partially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communicating</w:t>
      </w:r>
    </w:p>
    <w:p>
      <w:pPr>
        <w:pStyle w:val="Normal"/>
        <w:spacing w:before="0" w:after="0"/>
        <w:contextualSpacing/>
        <w:rPr/>
      </w:pPr>
      <w:r>
        <w:rPr>
          <w:rFonts w:cs="FreightTextProBook-Regular" w:ascii="FreightTextProBook-Regular" w:hAnsi="FreightTextProBook-Regular"/>
        </w:rPr>
        <w:t xml:space="preserve">system in which only certain </w:t>
      </w:r>
      <w:r>
        <w:rPr>
          <w:rFonts w:cs="FreightTextProBook-Italic" w:ascii="FreightTextProBook-Italic" w:hAnsi="FreightTextProBook-Italic"/>
          <w:i/>
          <w:iCs/>
        </w:rPr>
        <w:t xml:space="preserve">specific </w:t>
      </w:r>
      <w:r>
        <w:rPr>
          <w:rFonts w:cs="FreightTextProBook-Regular" w:ascii="FreightTextProBook-Regular" w:hAnsi="FreightTextProBook-Regular"/>
        </w:rPr>
        <w:t>relations yield dangerous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positive feedback loops.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249 Flat ontology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undercuts the vertical hierarchization of wholes and parts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insofar as everything is already both whole and part, depending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on whether we look downward or upward from it. ‘In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flat ontology] model, everything exists side by side, like</w:t>
      </w:r>
    </w:p>
    <w:p>
      <w:pPr>
        <w:pStyle w:val="Normal"/>
        <w:spacing w:before="0" w:after="0"/>
        <w:contextualSpacing/>
        <w:rPr/>
      </w:pPr>
      <w:r>
        <w:rPr>
          <w:rFonts w:cs="FreightTextProBook-Regular" w:ascii="FreightTextProBook-Regular" w:hAnsi="FreightTextProBook-Regular"/>
        </w:rPr>
        <w:t>a collection of treasures laid out on a table.’</w:t>
      </w:r>
      <w:r>
        <w:rPr>
          <w:rFonts w:cs="FreightTextProSemibold-Regular" w:ascii="FreightTextProSemibold-Regular" w:hAnsi="FreightTextProSemibold-Regular"/>
        </w:rPr>
        <w:t>85</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rFonts w:cs="FreightTextProSemibold-Regular" w:ascii="FreightTextProSemibold-Regular" w:hAnsi="FreightTextProSemibold-Regular"/>
        </w:rPr>
        <w:t xml:space="preserve">255-6 </w:t>
      </w:r>
      <w:r>
        <w:rPr>
          <w:rFonts w:cs="FreightTextProBook-Regular" w:ascii="FreightTextProBook-Regular" w:hAnsi="FreightTextProBook-Regular"/>
        </w:rPr>
        <w:t>Another way to look at OOO is that it takes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other fork in the road after Kant than the one taken by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German Idealism (Hegel, Fichte, Schelling): which eliminated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Kant’s things</w:t>
        <w:noBreakHyphen/>
        <w:t>in</w:t>
        <w:noBreakHyphen/>
        <w:t>themselves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while affirming his prejudice that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philosophy must talk primarily about the interplay between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thought and world, leaving any 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interactions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apart from humans to the mathematizing methods of natural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science. By contrast, OOO endorses the things</w:t>
        <w:noBreakHyphen/>
        <w:t>in</w:t>
        <w:noBreakHyphen/>
        <w:t>themselves and asks instead why Kant treated them as the sole and tragic</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burden of human beings, rather than as the ungraspable</w:t>
      </w:r>
    </w:p>
    <w:p>
      <w:pPr>
        <w:pStyle w:val="Normal"/>
        <w:spacing w:before="0" w:after="0"/>
        <w:contextualSpacing/>
        <w:rPr/>
      </w:pPr>
      <w:r>
        <w:rPr>
          <w:rFonts w:cs="FreightTextProBook-Regular" w:ascii="FreightTextProBook-Regular" w:hAnsi="FreightTextProBook-Regular"/>
        </w:rPr>
        <w:t xml:space="preserve">terms of </w:t>
      </w:r>
      <w:r>
        <w:rPr>
          <w:rFonts w:cs="FreightTextProBook-Italic" w:ascii="FreightTextProBook-Italic" w:hAnsi="FreightTextProBook-Italic"/>
          <w:i/>
          <w:iCs/>
        </w:rPr>
        <w:t xml:space="preserve">every </w:t>
      </w:r>
      <w:r>
        <w:rPr>
          <w:rFonts w:cs="FreightTextProBook-Regular" w:ascii="FreightTextProBook-Regular" w:hAnsi="FreightTextProBook-Regular"/>
        </w:rPr>
        <w:t>relation, including those between fire and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cotton or raindrops and tar. Third, the interdisciplinary success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OOO allows us to view it instead as an extremely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broad method in the spirit of actor-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network</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theory, but one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rescues the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relational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core of every object, thus</w:t>
      </w:r>
    </w:p>
    <w:p>
      <w:pPr>
        <w:pStyle w:val="Normal"/>
        <w:spacing w:before="0" w:after="0"/>
        <w:contextualSpacing/>
        <w:rPr/>
      </w:pPr>
      <w:r>
        <w:rPr>
          <w:rFonts w:cs="FreightTextProBook-Regular" w:ascii="FreightTextProBook-Regular" w:hAnsi="FreightTextProBook-Regular"/>
        </w:rPr>
        <w:t xml:space="preserve">paving the way for an </w:t>
      </w:r>
      <w:r>
        <w:rPr>
          <w:rFonts w:cs="FreightTextProBook-Italic" w:ascii="FreightTextProBook-Italic" w:hAnsi="FreightTextProBook-Italic"/>
          <w:i/>
          <w:iCs/>
        </w:rPr>
        <w:t xml:space="preserve">aesthetic </w:t>
      </w:r>
      <w:r>
        <w:rPr>
          <w:rFonts w:cs="FreightTextProBook-Regular" w:ascii="FreightTextProBook-Regular" w:hAnsi="FreightTextProBook-Regular"/>
        </w:rPr>
        <w:t>conception of things. In differing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moods, I favour each of these conceptions in turn, and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reader is free to do likewise.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256 </w:t>
      </w:r>
      <w:r>
        <w:rPr>
          <w:rFonts w:cs="FreightTextProBook-Italic" w:ascii="FreightTextProBook-Italic" w:hAnsi="FreightTextProBook-Italic"/>
          <w:i/>
          <w:iCs/>
        </w:rPr>
        <w:t xml:space="preserve">Flat Ontology </w:t>
      </w:r>
      <w:r>
        <w:rPr>
          <w:rFonts w:cs="FreightTextProBook-Regular" w:ascii="FreightTextProBook-Regular" w:hAnsi="FreightTextProBook-Regular"/>
        </w:rPr>
        <w:t>(Chapter 1). This is the idea that philosophy</w:t>
      </w:r>
    </w:p>
    <w:p>
      <w:pPr>
        <w:pStyle w:val="Normal"/>
        <w:spacing w:before="0" w:after="0"/>
        <w:contextualSpacing/>
        <w:rPr/>
      </w:pPr>
      <w:r>
        <w:rPr>
          <w:rFonts w:cs="FreightTextProBook-Regular" w:ascii="FreightTextProBook-Regular" w:hAnsi="FreightTextProBook-Regular"/>
        </w:rPr>
        <w:t xml:space="preserve">must </w:t>
      </w:r>
      <w:r>
        <w:rPr>
          <w:rFonts w:cs="FreightTextProBook-Italic" w:ascii="FreightTextProBook-Italic" w:hAnsi="FreightTextProBook-Italic"/>
          <w:i/>
          <w:iCs/>
        </w:rPr>
        <w:t xml:space="preserve">begin </w:t>
      </w:r>
      <w:r>
        <w:rPr>
          <w:rFonts w:cs="FreightTextProBook-Regular" w:ascii="FreightTextProBook-Regular" w:hAnsi="FreightTextProBook-Regular"/>
        </w:rPr>
        <w:t>by casting the widest possible net in aspiring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talk about everything. The chief enemy of flat ontology is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taxonomical prejudice which assumes in advance that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world must be divided up between a small number of radically</w:t>
      </w:r>
    </w:p>
    <w:p>
      <w:pPr>
        <w:pStyle w:val="Normal"/>
        <w:spacing w:before="0" w:after="0"/>
        <w:contextualSpacing/>
        <w:rPr/>
      </w:pPr>
      <w:r>
        <w:rPr>
          <w:rFonts w:cs="FreightTextProBook-Regular" w:ascii="FreightTextProBook-Regular" w:hAnsi="FreightTextProBook-Regular"/>
        </w:rPr>
        <w:t xml:space="preserve">different </w:t>
      </w:r>
      <w:r>
        <w:rPr>
          <w:rFonts w:cs="FreightTextProBook-Italic" w:ascii="FreightTextProBook-Italic" w:hAnsi="FreightTextProBook-Italic"/>
          <w:i/>
          <w:iCs/>
        </w:rPr>
        <w:t xml:space="preserve">types </w:t>
      </w:r>
      <w:r>
        <w:rPr>
          <w:rFonts w:cs="FreightTextProBook-Regular" w:ascii="FreightTextProBook-Regular" w:hAnsi="FreightTextProBook-Regular"/>
        </w:rPr>
        <w:t>of entities.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256-7 This modern taxonomy continues today in the work of leading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European philosophers such as Žižek, Badiou and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Meillassoux. This is why OOO, using Latour’s term, calls itself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 ‘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modern’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philosophy, since we have no wish to return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the pre-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modern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era and merely reject thought/world or human/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as a purportedly basic distinction that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wrongly cuts the universe in half. It is DeLanda who inspired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OOO’s use of the term ‘flat ontology’, though the tendency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this phrase describes can be found throughout the history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philosophy, especially in Aristotle’s claim that while humans,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animals and plants may be different, a human is not more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 than a plant is a plant. That is to say, both are equally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substances.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257 </w:t>
      </w:r>
      <w:r>
        <w:rPr>
          <w:rFonts w:cs="FreightTextProBook-Italic" w:ascii="FreightTextProBook-Italic" w:hAnsi="FreightTextProBook-Italic"/>
          <w:i/>
          <w:iCs/>
        </w:rPr>
        <w:t>Anti-</w:t>
      </w:r>
    </w:p>
    <w:p>
      <w:pPr>
        <w:pStyle w:val="Normal"/>
        <w:spacing w:before="0" w:after="0"/>
        <w:contextualSpacing/>
        <w:rPr>
          <w:rFonts w:ascii="FreightTextProBook-Italic" w:hAnsi="FreightTextProBook-Italic" w:cs="FreightTextProBook-Italic"/>
          <w:i/>
          <w:i/>
          <w:iCs/>
        </w:rPr>
      </w:pPr>
      <w:r>
        <w:rPr>
          <w:rFonts w:cs="FreightTextProBook-Italic" w:ascii="FreightTextProBook-Italic" w:hAnsi="FreightTextProBook-Italic"/>
          <w:i/>
          <w:iCs/>
        </w:rPr>
        <w:t>mining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(Chapter 1). An object is whatever cannot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reduced to either of the two basic kinds of knowledge: what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something is made of, and what it does.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Italic" w:ascii="FreightTextProBook-Italic" w:hAnsi="FreightTextProBook-Italic"/>
          <w:i/>
          <w:iCs/>
        </w:rPr>
        <w:t xml:space="preserve">258 OOO is not a form of materialism </w:t>
      </w:r>
      <w:r>
        <w:rPr>
          <w:rFonts w:cs="FreightTextProBook-Regular" w:ascii="FreightTextProBook-Regular" w:hAnsi="FreightTextProBook-Regular"/>
        </w:rPr>
        <w:t>(Chapter 1). Any new</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theory will tend to attract a number of different misunderstandings.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By far the most common mistake pertaining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is the claim that it is a form of ‘materialism’. In fact,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has no interest whatsoever in the concept of ‘matter’,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let alone materialism. The notion of matter as unformed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physical stuff in which forms can be stamped has no basis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experience, and is simply unhelpful in theoretical terms.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difference between a horse, an imaginary horse and a unicorn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is not that the former ‘inheres’ in matter and the latter two</w:t>
      </w:r>
    </w:p>
    <w:p>
      <w:pPr>
        <w:pStyle w:val="Normal"/>
        <w:spacing w:before="0" w:after="0"/>
        <w:contextualSpacing/>
        <w:rPr/>
      </w:pPr>
      <w:r>
        <w:rPr>
          <w:rFonts w:cs="FreightTextProBook-Regular" w:ascii="FreightTextProBook-Regular" w:hAnsi="FreightTextProBook-Regular"/>
        </w:rPr>
        <w:t xml:space="preserve">do not. Instead, the difference is that the real horse has a </w:t>
      </w:r>
      <w:r>
        <w:rPr>
          <w:rFonts w:cs="FreightTextProBook-Italic" w:ascii="FreightTextProBook-Italic" w:hAnsi="FreightTextProBook-Italic"/>
          <w:i/>
          <w:iCs/>
        </w:rPr>
        <w:t>different</w:t>
      </w:r>
    </w:p>
    <w:p>
      <w:pPr>
        <w:pStyle w:val="Normal"/>
        <w:spacing w:before="0" w:after="0"/>
        <w:contextualSpacing/>
        <w:rPr/>
      </w:pPr>
      <w:r>
        <w:rPr>
          <w:rFonts w:cs="FreightTextProBook-Italic" w:ascii="FreightTextProBook-Italic" w:hAnsi="FreightTextProBook-Italic"/>
          <w:i/>
          <w:iCs/>
        </w:rPr>
        <w:t xml:space="preserve">form </w:t>
      </w:r>
      <w:r>
        <w:rPr>
          <w:rFonts w:cs="FreightTextProBook-Regular" w:ascii="FreightTextProBook-Regular" w:hAnsi="FreightTextProBook-Regular"/>
        </w:rPr>
        <w:t>from the imaginary horse, and certainly a different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one from the unicorn. One of the implications of this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we cannot ‘extract’ a form from a thing and express this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form in mathematical or other directly knowable terms; 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rather, we can do this, but only by paying the price of changing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form into something else. There is no translation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anything without energy loss, and hence it is impossible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grasp anything perfectly.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258-9 </w:t>
      </w:r>
      <w:r>
        <w:rPr>
          <w:rFonts w:cs="FreightTextProBook-Italic" w:ascii="FreightTextProBook-Italic" w:hAnsi="FreightTextProBook-Italic"/>
          <w:i/>
          <w:iCs/>
        </w:rPr>
        <w:t>Objects withhold themselves not just from human access,</w:t>
      </w:r>
    </w:p>
    <w:p>
      <w:pPr>
        <w:pStyle w:val="Normal"/>
        <w:spacing w:before="0" w:after="0"/>
        <w:contextualSpacing/>
        <w:rPr/>
      </w:pPr>
      <w:r>
        <w:rPr>
          <w:rFonts w:cs="FreightTextProBook-Italic" w:ascii="FreightTextProBook-Italic" w:hAnsi="FreightTextProBook-Italic"/>
          <w:i/>
          <w:iCs/>
        </w:rPr>
        <w:t xml:space="preserve">but from each other as well </w:t>
      </w:r>
      <w:r>
        <w:rPr>
          <w:rFonts w:cs="FreightTextProBook-Regular" w:ascii="FreightTextProBook-Regular" w:hAnsi="FreightTextProBook-Regular"/>
        </w:rPr>
        <w:t>(Chapter 1)</w:t>
      </w:r>
      <w:r>
        <w:rPr>
          <w:rFonts w:cs="FreightTextProBook-Italic" w:ascii="FreightTextProBook-Italic" w:hAnsi="FreightTextProBook-Italic"/>
          <w:i/>
          <w:iCs/>
        </w:rPr>
        <w:t xml:space="preserve">. </w:t>
      </w:r>
      <w:r>
        <w:rPr>
          <w:rFonts w:cs="FreightTextProBook-Regular" w:ascii="FreightTextProBook-Regular" w:hAnsi="FreightTextProBook-Regular"/>
        </w:rPr>
        <w:t>This is the important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way in which OOO differs from Kant, and from important …</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259 By contrast, OOO fully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accepts the Kantian thing</w:t>
        <w:noBreakHyphen/>
        <w:t>​in</w:t>
        <w:noBreakHyphen/>
        <w:t>​itself,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merely denies that it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is something that haunts human thought alone.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259-60 realism obsess over the single gap between reality and our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representations of it. Along with broadening this question so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thinking humans are no longer the sole locus of these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representations, OOO adds another twist to the problem.</w:t>
      </w:r>
    </w:p>
    <w:p>
      <w:pPr>
        <w:pStyle w:val="Normal"/>
        <w:spacing w:before="0" w:after="0"/>
        <w:contextualSpacing/>
        <w:rPr/>
      </w:pPr>
      <w:r>
        <w:rPr>
          <w:rFonts w:cs="FreightTextProBook-Regular" w:ascii="FreightTextProBook-Regular" w:hAnsi="FreightTextProBook-Regular"/>
        </w:rPr>
        <w:t xml:space="preserve">There is also a gap </w:t>
      </w:r>
      <w:r>
        <w:rPr>
          <w:rFonts w:cs="FreightTextProBook-Italic" w:ascii="FreightTextProBook-Italic" w:hAnsi="FreightTextProBook-Italic"/>
          <w:i/>
          <w:iCs/>
        </w:rPr>
        <w:t xml:space="preserve">within </w:t>
      </w:r>
      <w:r>
        <w:rPr>
          <w:rFonts w:cs="FreightTextProBook-Regular" w:ascii="FreightTextProBook-Regular" w:hAnsi="FreightTextProBook-Regular"/>
        </w:rPr>
        <w:t>things, and we call it the 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qualities rift. Neither the sensual object nor the real one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is just a bundle of qualities. Instead, the object precedes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its qualities despite not being able to exist without them.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combination, these two separate axes of the world (withdrawn/present and objects/qualities) yield a fourfold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structure (as shown in Figure 1) that is the basis of the OOO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method in every field where it has found relevance.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260 </w:t>
      </w:r>
      <w:r>
        <w:rPr>
          <w:rFonts w:cs="FreightTextProBook-Italic" w:ascii="FreightTextProBook-Italic" w:hAnsi="FreightTextProBook-Italic"/>
          <w:i/>
          <w:iCs/>
        </w:rPr>
        <w:t xml:space="preserve">Aesthetics as first philosophy </w:t>
      </w:r>
      <w:r>
        <w:rPr>
          <w:rFonts w:cs="FreightTextProBook-Regular" w:ascii="FreightTextProBook-Regular" w:hAnsi="FreightTextProBook-Regular"/>
        </w:rPr>
        <w:t>(Chapter 2). Aesthetic experience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is crucial to OOO as a form of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literal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access to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 It occurs when sensual qualities no longer belong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their usual sensual object, but are transferred instead to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real object, which necessarily withdraws from all access. For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this reason, the vanished real object is replaced by the aesthetic</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beholder herself or himself as the new real object that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supports the sensual qualities.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b/>
          <w:b/>
        </w:rPr>
      </w:pPr>
      <w:r>
        <w:rPr>
          <w:b/>
        </w:rPr>
        <w:t>[In the books of these authors (mentioned by harman, there seem to be UNBELIEVABLE similar ideas to my ideas!!! See below:</w:t>
      </w:r>
    </w:p>
    <w:p>
      <w:pPr>
        <w:pStyle w:val="Normal"/>
        <w:spacing w:before="0" w:after="0"/>
        <w:contextualSpacing/>
        <w:rPr>
          <w:b/>
          <w:b/>
        </w:rPr>
      </w:pPr>
      <w:r>
        <w:rPr>
          <w:b/>
        </w:rPr>
      </w:r>
    </w:p>
    <w:p>
      <w:pPr>
        <w:pStyle w:val="ListParagraph"/>
        <w:numPr>
          <w:ilvl w:val="0"/>
          <w:numId w:val="3"/>
        </w:numPr>
        <w:shd w:val="clear" w:fill="FFFFFF"/>
        <w:spacing w:before="0" w:after="0"/>
        <w:ind w:left="0" w:right="0" w:hanging="360"/>
        <w:contextualSpacing/>
        <w:rPr/>
      </w:pPr>
      <w:r>
        <w:rPr>
          <w:b/>
          <w:sz w:val="24"/>
          <w:szCs w:val="24"/>
        </w:rPr>
        <w:t xml:space="preserve">Bryant, Levi R. </w:t>
      </w:r>
      <w:r>
        <w:rPr>
          <w:b/>
          <w:i/>
          <w:iCs/>
          <w:sz w:val="24"/>
          <w:szCs w:val="24"/>
        </w:rPr>
        <w:t>The Democracy of Objects</w:t>
      </w:r>
      <w:r>
        <w:rPr>
          <w:b/>
          <w:sz w:val="24"/>
          <w:szCs w:val="24"/>
        </w:rPr>
        <w:t>. Ann Arbor, MI: Open Humanities Press, 2011.</w:t>
      </w:r>
    </w:p>
    <w:p>
      <w:pPr>
        <w:pStyle w:val="Normal"/>
        <w:spacing w:before="0" w:after="0"/>
        <w:contextualSpacing/>
        <w:rPr>
          <w:b/>
          <w:b/>
        </w:rPr>
      </w:pPr>
      <w:r>
        <w:rPr>
          <w:b/>
        </w:rPr>
      </w:r>
    </w:p>
    <w:p>
      <w:pPr>
        <w:pStyle w:val="ListParagraph"/>
        <w:numPr>
          <w:ilvl w:val="0"/>
          <w:numId w:val="3"/>
        </w:numPr>
        <w:shd w:val="clear" w:fill="FFFFFF"/>
        <w:spacing w:before="0" w:after="0"/>
        <w:ind w:left="0" w:right="0" w:hanging="360"/>
        <w:contextualSpacing/>
        <w:rPr/>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pStyle w:val="Normal"/>
        <w:spacing w:before="0" w:after="0"/>
        <w:contextualSpacing/>
        <w:rPr>
          <w:b/>
          <w:b/>
        </w:rPr>
      </w:pPr>
      <w:r>
        <w:rPr>
          <w:b/>
        </w:rPr>
      </w:r>
    </w:p>
    <w:p>
      <w:pPr>
        <w:pStyle w:val="ListParagraph"/>
        <w:numPr>
          <w:ilvl w:val="0"/>
          <w:numId w:val="3"/>
        </w:numPr>
        <w:spacing w:before="0" w:after="0"/>
        <w:ind w:left="0" w:right="0" w:hanging="360"/>
        <w:contextualSpacing/>
        <w:rPr>
          <w:b/>
          <w:b/>
          <w:sz w:val="24"/>
          <w:szCs w:val="24"/>
        </w:rPr>
      </w:pPr>
      <w:r>
        <w:rPr>
          <w:b/>
          <w:sz w:val="24"/>
          <w:szCs w:val="24"/>
        </w:rPr>
        <w:t xml:space="preserve">Bennett, Jane.  </w:t>
      </w:r>
    </w:p>
    <w:p>
      <w:pPr>
        <w:pStyle w:val="ListParagraph"/>
        <w:spacing w:before="0" w:after="0"/>
        <w:ind w:left="0" w:right="0" w:hanging="0"/>
        <w:contextualSpacing/>
        <w:rPr>
          <w:b/>
          <w:b/>
          <w:sz w:val="24"/>
          <w:szCs w:val="24"/>
        </w:rPr>
      </w:pPr>
      <w:r>
        <w:rPr>
          <w:b/>
          <w:sz w:val="24"/>
          <w:szCs w:val="24"/>
        </w:rPr>
      </w:r>
    </w:p>
    <w:p>
      <w:pPr>
        <w:pStyle w:val="Normal"/>
        <w:spacing w:before="0" w:after="0"/>
        <w:contextualSpacing/>
        <w:rPr/>
      </w:pPr>
      <w:r>
        <w:rPr>
          <w:b/>
        </w:rPr>
        <w:t xml:space="preserve">- ‘Systems and Things: A Response to Graham Harman and Timothy Morton’, </w:t>
      </w:r>
      <w:r>
        <w:rPr>
          <w:b/>
          <w:i/>
          <w:iCs/>
        </w:rPr>
        <w:t xml:space="preserve">New Literary History </w:t>
      </w:r>
      <w:r>
        <w:rPr>
          <w:b/>
        </w:rPr>
        <w:t>43 (2012), pp. 225–33.</w:t>
      </w:r>
    </w:p>
    <w:p>
      <w:pPr>
        <w:pStyle w:val="Normal"/>
        <w:spacing w:before="0" w:after="0"/>
        <w:contextualSpacing/>
        <w:rPr/>
      </w:pPr>
      <w:r>
        <w:rPr>
          <w:b/>
        </w:rPr>
        <w:t xml:space="preserve">- </w:t>
      </w:r>
      <w:r>
        <w:rPr>
          <w:b/>
          <w:i/>
          <w:iCs/>
        </w:rPr>
        <w:t>Vibrant Matter: A Political Ecology of Things</w:t>
      </w:r>
      <w:r>
        <w:rPr>
          <w:b/>
        </w:rPr>
        <w:t>. Durham, NC: Duke University Press, 2010.</w:t>
      </w:r>
    </w:p>
    <w:p>
      <w:pPr>
        <w:pStyle w:val="Normal"/>
        <w:shd w:val="clear" w:fill="FFFFFF"/>
        <w:spacing w:before="0" w:after="0"/>
        <w:contextualSpacing/>
        <w:rPr>
          <w:b/>
          <w:b/>
        </w:rPr>
      </w:pPr>
      <w:r>
        <w:rPr>
          <w:b/>
        </w:rPr>
      </w:r>
    </w:p>
    <w:p>
      <w:pPr>
        <w:pStyle w:val="ListParagraph"/>
        <w:numPr>
          <w:ilvl w:val="0"/>
          <w:numId w:val="3"/>
        </w:numPr>
        <w:spacing w:before="0" w:after="0"/>
        <w:ind w:left="0" w:right="0" w:hanging="360"/>
        <w:contextualSpacing/>
        <w:rPr>
          <w:b/>
          <w:b/>
          <w:sz w:val="24"/>
          <w:szCs w:val="24"/>
        </w:rPr>
      </w:pPr>
      <w:r>
        <w:rPr>
          <w:b/>
          <w:sz w:val="24"/>
          <w:szCs w:val="24"/>
        </w:rPr>
        <w:t xml:space="preserve">Garcia, Tristan. </w:t>
      </w:r>
    </w:p>
    <w:p>
      <w:pPr>
        <w:pStyle w:val="ListParagraph"/>
        <w:numPr>
          <w:ilvl w:val="0"/>
          <w:numId w:val="32"/>
        </w:numPr>
        <w:spacing w:before="0" w:after="0"/>
        <w:ind w:left="0" w:right="0" w:hanging="360"/>
        <w:contextualSpacing/>
        <w:rPr/>
      </w:pPr>
      <w:r>
        <w:rPr>
          <w:b/>
          <w:sz w:val="24"/>
          <w:szCs w:val="24"/>
        </w:rPr>
        <w:t>‘</w:t>
      </w: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pStyle w:val="ListParagraph"/>
        <w:numPr>
          <w:ilvl w:val="0"/>
          <w:numId w:val="32"/>
        </w:numPr>
        <w:spacing w:before="0" w:after="0"/>
        <w:ind w:left="0" w:right="0" w:hanging="360"/>
        <w:contextualSpacing/>
        <w:rPr/>
      </w:pPr>
      <w:r>
        <w:rPr>
          <w:b/>
          <w:i/>
          <w:iCs/>
          <w:sz w:val="24"/>
          <w:szCs w:val="24"/>
        </w:rPr>
        <w:t>Form and Object: A Treatise on Things</w:t>
      </w:r>
      <w:r>
        <w:rPr>
          <w:b/>
          <w:sz w:val="24"/>
          <w:szCs w:val="24"/>
        </w:rPr>
        <w:t>, trans. M. A. Ohm &amp; J. Cogburn. Edinburgh: Edinburgh University Press, 2014.</w:t>
      </w:r>
    </w:p>
    <w:p>
      <w:pPr>
        <w:pStyle w:val="Normal"/>
        <w:spacing w:before="0" w:after="0"/>
        <w:contextualSpacing/>
        <w:rPr>
          <w:b/>
          <w:b/>
        </w:rPr>
      </w:pPr>
      <w:r>
        <w:rPr>
          <w:b/>
        </w:rPr>
      </w:r>
    </w:p>
    <w:p>
      <w:pPr>
        <w:pStyle w:val="ListParagraph"/>
        <w:numPr>
          <w:ilvl w:val="0"/>
          <w:numId w:val="3"/>
        </w:numPr>
        <w:spacing w:before="0" w:after="0"/>
        <w:ind w:left="0" w:right="0" w:hanging="360"/>
        <w:contextualSpacing/>
        <w:rPr>
          <w:b/>
          <w:b/>
          <w:sz w:val="24"/>
          <w:szCs w:val="24"/>
        </w:rPr>
      </w:pPr>
      <w:r>
        <w:rPr>
          <w:b/>
          <w:sz w:val="24"/>
          <w:szCs w:val="24"/>
        </w:rPr>
        <w:t xml:space="preserve">Morton, Timothy. </w:t>
      </w:r>
    </w:p>
    <w:p>
      <w:pPr>
        <w:pStyle w:val="ListParagraph"/>
        <w:numPr>
          <w:ilvl w:val="0"/>
          <w:numId w:val="32"/>
        </w:numPr>
        <w:spacing w:before="0" w:after="0"/>
        <w:ind w:left="0" w:right="0" w:hanging="360"/>
        <w:contextualSpacing/>
        <w:rPr/>
      </w:pPr>
      <w:r>
        <w:rPr>
          <w:b/>
          <w:i/>
          <w:iCs/>
          <w:sz w:val="24"/>
          <w:szCs w:val="24"/>
        </w:rPr>
        <w:t>Dark Ecology: For a Logic of Future Coexistence</w:t>
      </w:r>
      <w:r>
        <w:rPr>
          <w:b/>
          <w:sz w:val="24"/>
          <w:szCs w:val="24"/>
        </w:rPr>
        <w:t>. New York: Columbia University Press, 2016.</w:t>
      </w:r>
    </w:p>
    <w:p>
      <w:pPr>
        <w:pStyle w:val="ListParagraph"/>
        <w:numPr>
          <w:ilvl w:val="0"/>
          <w:numId w:val="32"/>
        </w:numPr>
        <w:spacing w:before="0" w:after="0"/>
        <w:ind w:left="0" w:right="0" w:hanging="360"/>
        <w:contextualSpacing/>
        <w:rPr/>
      </w:pPr>
      <w:r>
        <w:rPr>
          <w:b/>
          <w:i/>
          <w:iCs/>
          <w:sz w:val="24"/>
          <w:szCs w:val="24"/>
        </w:rPr>
        <w:t>The Ecological Thought</w:t>
      </w:r>
      <w:r>
        <w:rPr>
          <w:b/>
          <w:sz w:val="24"/>
          <w:szCs w:val="24"/>
        </w:rPr>
        <w:t>. Cambridge, MA: Harvard University Press, 2012.</w:t>
      </w:r>
    </w:p>
    <w:p>
      <w:pPr>
        <w:pStyle w:val="ListParagraph"/>
        <w:numPr>
          <w:ilvl w:val="0"/>
          <w:numId w:val="32"/>
        </w:numPr>
        <w:spacing w:before="0" w:after="0"/>
        <w:ind w:left="0" w:right="0" w:hanging="360"/>
        <w:contextualSpacing/>
        <w:rPr/>
      </w:pPr>
      <w:r>
        <w:rPr>
          <w:b/>
          <w:i/>
          <w:iCs/>
          <w:sz w:val="24"/>
          <w:szCs w:val="24"/>
        </w:rPr>
        <w:t>Ecology Without Nature: Rethinking Environmental Aesthetics</w:t>
      </w:r>
      <w:r>
        <w:rPr>
          <w:b/>
          <w:sz w:val="24"/>
          <w:szCs w:val="24"/>
        </w:rPr>
        <w:t>. Cambridge, MA: Harvard</w:t>
      </w:r>
      <w:r>
        <w:rPr>
          <w:b/>
          <w:sz w:val="24"/>
          <w:szCs w:val="24"/>
          <w:lang w:val="en-US"/>
        </w:rPr>
        <w:t xml:space="preserve"> </w:t>
      </w:r>
      <w:r>
        <w:rPr>
          <w:b/>
          <w:sz w:val="24"/>
          <w:szCs w:val="24"/>
        </w:rPr>
        <w:t>University Press, 2009.</w:t>
      </w:r>
    </w:p>
    <w:p>
      <w:pPr>
        <w:pStyle w:val="ListParagraph"/>
        <w:numPr>
          <w:ilvl w:val="0"/>
          <w:numId w:val="32"/>
        </w:numPr>
        <w:spacing w:before="0" w:after="0"/>
        <w:ind w:left="0" w:right="0" w:hanging="360"/>
        <w:contextualSpacing/>
        <w:rPr/>
      </w:pPr>
      <w:r>
        <w:rPr>
          <w:b/>
          <w:i/>
          <w:iCs/>
          <w:sz w:val="24"/>
          <w:szCs w:val="24"/>
        </w:rPr>
        <w:t>Hyperobjects: Philosophy and Ecology After the End of the World</w:t>
      </w:r>
      <w:r>
        <w:rPr>
          <w:b/>
          <w:sz w:val="24"/>
          <w:szCs w:val="24"/>
        </w:rPr>
        <w:t>. Minneapolis: University of Minnesota Press, 2013.</w:t>
      </w:r>
    </w:p>
    <w:p>
      <w:pPr>
        <w:pStyle w:val="ListParagraph"/>
        <w:numPr>
          <w:ilvl w:val="0"/>
          <w:numId w:val="32"/>
        </w:numPr>
        <w:spacing w:before="0" w:after="0"/>
        <w:ind w:left="0" w:right="0" w:hanging="360"/>
        <w:contextualSpacing/>
        <w:rPr/>
      </w:pPr>
      <w:r>
        <w:rPr>
          <w:b/>
          <w:i/>
          <w:iCs/>
          <w:sz w:val="24"/>
          <w:szCs w:val="24"/>
        </w:rPr>
        <w:t xml:space="preserve">Realist Magic: Objects, Ontology, Causality. </w:t>
      </w:r>
      <w:r>
        <w:rPr>
          <w:b/>
          <w:sz w:val="24"/>
          <w:szCs w:val="24"/>
        </w:rPr>
        <w:t>Ann Arbor, MI: Open Humanities Press, 2013.]</w:t>
      </w:r>
    </w:p>
    <w:p>
      <w:pPr>
        <w:pStyle w:val="Normal"/>
        <w:spacing w:before="0" w:after="0"/>
        <w:contextualSpacing/>
        <w:rPr>
          <w:b/>
          <w:b/>
        </w:rPr>
      </w:pPr>
      <w:r>
        <w:rPr>
          <w:b/>
        </w:rPr>
      </w:r>
    </w:p>
    <w:p>
      <w:pPr>
        <w:pStyle w:val="Normal"/>
        <w:spacing w:before="0" w:after="0"/>
        <w:contextualSpacing/>
        <w:rPr>
          <w:b/>
          <w:b/>
        </w:rPr>
      </w:pPr>
      <w:r>
        <w:rPr>
          <w:b/>
        </w:rPr>
        <w:t>[In the books of these authors (mentioned by harman, there seem to be UNBELIEVABLE similar ideas to my ideas!!!]</w:t>
      </w:r>
    </w:p>
    <w:p>
      <w:pPr>
        <w:pStyle w:val="Normal"/>
        <w:spacing w:before="0" w:after="0"/>
        <w:contextualSpacing/>
        <w:rPr>
          <w:b/>
          <w:b/>
        </w:rPr>
      </w:pPr>
      <w:r>
        <w:rPr>
          <w:b/>
        </w:rPr>
      </w:r>
    </w:p>
    <w:p>
      <w:pPr>
        <w:pStyle w:val="HTMLAddress"/>
        <w:numPr>
          <w:ilvl w:val="0"/>
          <w:numId w:val="31"/>
        </w:numPr>
        <w:spacing w:before="0" w:after="0"/>
        <w:ind w:left="0" w:right="0" w:hanging="360"/>
        <w:contextualSpacing/>
        <w:rPr>
          <w:rFonts w:ascii="Segoe UI" w:hAnsi="Segoe UI" w:cs="Segoe UI"/>
          <w:i w:val="false"/>
          <w:i w:val="false"/>
          <w:iCs w:val="false"/>
          <w:color w:val="000000"/>
          <w:sz w:val="30"/>
          <w:szCs w:val="30"/>
        </w:rPr>
      </w:pPr>
      <w:r>
        <w:rPr>
          <w:rFonts w:cs="Segoe UI" w:ascii="Segoe UI" w:hAnsi="Segoe UI"/>
          <w:i w:val="false"/>
          <w:iCs w:val="false"/>
          <w:color w:val="000000"/>
          <w:sz w:val="30"/>
          <w:szCs w:val="30"/>
        </w:rPr>
        <w:t xml:space="preserve">Another one who published UNBELIEVABLE similar ideas to my ideas: </w:t>
      </w:r>
    </w:p>
    <w:p>
      <w:pPr>
        <w:pStyle w:val="HTMLAddress"/>
        <w:spacing w:before="0" w:after="0"/>
        <w:contextualSpacing/>
        <w:rPr/>
      </w:pPr>
      <w:hyperlink r:id="rId436">
        <w:r>
          <w:rPr>
            <w:rStyle w:val="InternetLink"/>
            <w:rFonts w:eastAsia="Calibri" w:cs="Segoe UI" w:ascii="Segoe UI" w:hAnsi="Segoe UI"/>
            <w:b/>
            <w:bCs/>
            <w:i w:val="false"/>
            <w:iCs w:val="false"/>
            <w:caps/>
            <w:color w:val="auto"/>
            <w:sz w:val="22"/>
            <w:szCs w:val="22"/>
          </w:rPr>
          <w:t>PHILIP BALL</w:t>
        </w:r>
      </w:hyperlink>
      <w:r>
        <w:rPr>
          <w:rFonts w:cs="Segoe UI" w:ascii="Segoe UI" w:hAnsi="Segoe UI"/>
          <w:b/>
          <w:i w:val="false"/>
          <w:iCs w:val="false"/>
          <w:sz w:val="22"/>
          <w:szCs w:val="22"/>
        </w:rPr>
        <w:t xml:space="preserve"> is a writer based in London. </w:t>
      </w:r>
    </w:p>
    <w:p>
      <w:pPr>
        <w:pStyle w:val="Normal"/>
        <w:spacing w:before="0" w:after="0"/>
        <w:contextualSpacing/>
        <w:rPr>
          <w:b/>
          <w:b/>
          <w:sz w:val="22"/>
          <w:szCs w:val="22"/>
        </w:rPr>
      </w:pPr>
      <w:r>
        <w:rPr>
          <w:b/>
          <w:sz w:val="22"/>
          <w:szCs w:val="22"/>
        </w:rPr>
      </w:r>
    </w:p>
    <w:p>
      <w:pPr>
        <w:pStyle w:val="Normal"/>
        <w:spacing w:before="0" w:after="0"/>
        <w:contextualSpacing/>
        <w:rPr/>
      </w:pPr>
      <w:r>
        <w:rPr>
          <w:b/>
          <w:sz w:val="22"/>
          <w:szCs w:val="22"/>
        </w:rPr>
        <w:t xml:space="preserve">About his book </w:t>
      </w:r>
      <w:hyperlink r:id="rId437">
        <w:r>
          <w:rPr>
            <w:rStyle w:val="InternetLink"/>
            <w:rFonts w:cs="Segoe UI" w:ascii="Segoe UI" w:hAnsi="Segoe UI"/>
            <w:color w:val="000000"/>
            <w:sz w:val="22"/>
            <w:szCs w:val="22"/>
          </w:rPr>
          <w:t>Beyond Weird: Why Everything You Thought You Knew about Quantum Physics Is Different</w:t>
        </w:r>
      </w:hyperlink>
      <w:r>
        <w:rPr>
          <w:rStyle w:val="Emphasis"/>
          <w:rFonts w:cs="Segoe UI" w:ascii="Segoe UI" w:hAnsi="Segoe UI"/>
          <w:i w:val="false"/>
          <w:iCs w:val="false"/>
          <w:color w:val="000000"/>
          <w:sz w:val="22"/>
          <w:szCs w:val="22"/>
        </w:rPr>
        <w:t xml:space="preserve">. (2018) it is written at this address: </w:t>
      </w:r>
    </w:p>
    <w:p>
      <w:pPr>
        <w:pStyle w:val="Normal"/>
        <w:spacing w:before="0" w:after="0"/>
        <w:contextualSpacing/>
        <w:rPr/>
      </w:pPr>
      <w:hyperlink r:id="rId438">
        <w:r>
          <w:rPr>
            <w:rStyle w:val="InternetLink"/>
            <w:b/>
            <w:sz w:val="22"/>
            <w:szCs w:val="22"/>
          </w:rPr>
          <w:t>https://www.theatlantic.com/science/archive/2018/10/beyond-weird-decoherence-quantum-weirdness-schrodingers-cat/573448/</w:t>
        </w:r>
      </w:hyperlink>
    </w:p>
    <w:p>
      <w:pPr>
        <w:pStyle w:val="Normal"/>
        <w:spacing w:before="0" w:after="0"/>
        <w:contextualSpacing/>
        <w:rPr>
          <w:b/>
          <w:b/>
          <w:sz w:val="22"/>
          <w:szCs w:val="22"/>
        </w:rPr>
      </w:pPr>
      <w:r>
        <w:rPr>
          <w:b/>
          <w:sz w:val="22"/>
          <w:szCs w:val="22"/>
        </w:rPr>
      </w:r>
    </w:p>
    <w:p>
      <w:pPr>
        <w:pStyle w:val="ListParagraph"/>
        <w:numPr>
          <w:ilvl w:val="0"/>
          <w:numId w:val="32"/>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pStyle w:val="ListParagraph"/>
        <w:numPr>
          <w:ilvl w:val="0"/>
          <w:numId w:val="32"/>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pStyle w:val="NormalWeb"/>
        <w:numPr>
          <w:ilvl w:val="0"/>
          <w:numId w:val="32"/>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pStyle w:val="NormalWeb"/>
        <w:numPr>
          <w:ilvl w:val="0"/>
          <w:numId w:val="32"/>
        </w:numPr>
        <w:spacing w:before="0" w:after="0"/>
        <w:ind w:left="0" w:right="0" w:hanging="360"/>
        <w:contextualSpacing/>
        <w:rPr/>
      </w:pPr>
      <w:r>
        <w:rPr>
          <w:rFonts w:ascii="Georgia" w:hAnsi="Georgia"/>
          <w:color w:val="000000"/>
          <w:sz w:val="22"/>
          <w:szCs w:val="22"/>
        </w:rPr>
        <w:t>The concept comes from the science of ordinary waves. Here, too, orderly wave interference (like that from </w:t>
      </w:r>
      <w:hyperlink r:id="rId439">
        <w:r>
          <w:rPr>
            <w:rStyle w:val="InternetLink"/>
            <w:rFonts w:ascii="Georgia" w:hAnsi="Georgia"/>
            <w:color w:val="000000"/>
            <w:sz w:val="22"/>
            <w:szCs w:val="22"/>
          </w:rPr>
          <w:t>double slits</w:t>
        </w:r>
      </w:hyperlink>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pStyle w:val="ListParagraph"/>
        <w:numPr>
          <w:ilvl w:val="0"/>
          <w:numId w:val="32"/>
        </w:numPr>
        <w:spacing w:before="0" w:after="0"/>
        <w:ind w:left="0" w:right="0" w:hanging="360"/>
        <w:contextualSpacing/>
        <w:rPr>
          <w:b/>
          <w:b/>
        </w:rPr>
      </w:pPr>
      <w:r>
        <w:rPr>
          <w:b/>
        </w:rPr>
        <w:t>…</w:t>
      </w:r>
      <w:r>
        <w:rPr>
          <w:b/>
        </w:rPr>
        <w:t>.</w:t>
      </w:r>
    </w:p>
    <w:p>
      <w:pPr>
        <w:pStyle w:val="ListParagraph"/>
        <w:numPr>
          <w:ilvl w:val="0"/>
          <w:numId w:val="32"/>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pStyle w:val="ListParagraph"/>
        <w:numPr>
          <w:ilvl w:val="0"/>
          <w:numId w:val="32"/>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pStyle w:val="ListParagraph"/>
        <w:numPr>
          <w:ilvl w:val="0"/>
          <w:numId w:val="32"/>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pStyle w:val="ListParagraph"/>
        <w:numPr>
          <w:ilvl w:val="0"/>
          <w:numId w:val="32"/>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pStyle w:val="ListParagraph"/>
        <w:numPr>
          <w:ilvl w:val="0"/>
          <w:numId w:val="32"/>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pStyle w:val="ListParagraph"/>
        <w:numPr>
          <w:ilvl w:val="0"/>
          <w:numId w:val="32"/>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pStyle w:val="ListParagraph"/>
        <w:numPr>
          <w:ilvl w:val="0"/>
          <w:numId w:val="32"/>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pStyle w:val="ListParagraph"/>
        <w:numPr>
          <w:ilvl w:val="0"/>
          <w:numId w:val="32"/>
        </w:numPr>
        <w:spacing w:before="0" w:after="0"/>
        <w:ind w:left="0" w:right="0" w:hanging="360"/>
        <w:contextualSpacing/>
        <w:rPr/>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pStyle w:val="ListParagraph"/>
        <w:numPr>
          <w:ilvl w:val="0"/>
          <w:numId w:val="32"/>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pStyle w:val="ListParagraph"/>
        <w:numPr>
          <w:ilvl w:val="0"/>
          <w:numId w:val="32"/>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pStyle w:val="Normal"/>
        <w:spacing w:before="0" w:after="0"/>
        <w:contextualSpacing/>
        <w:rPr>
          <w:b/>
          <w:b/>
        </w:rPr>
      </w:pPr>
      <w:r>
        <w:rPr>
          <w:b/>
        </w:rPr>
      </w:r>
    </w:p>
    <w:p>
      <w:pPr>
        <w:pStyle w:val="Normal"/>
        <w:spacing w:before="0" w:after="0"/>
        <w:contextualSpacing/>
        <w:rPr>
          <w:b/>
          <w:b/>
        </w:rPr>
      </w:pPr>
      <w:r>
        <w:rPr>
          <w:b/>
        </w:rPr>
      </w:r>
    </w:p>
    <w:p>
      <w:pPr>
        <w:pStyle w:val="Heading1"/>
        <w:numPr>
          <w:ilvl w:val="0"/>
          <w:numId w:val="31"/>
        </w:numPr>
        <w:shd w:val="clear" w:fill="F9F9F9"/>
        <w:spacing w:before="0" w:after="0"/>
        <w:ind w:left="0" w:right="0" w:hanging="360"/>
        <w:contextualSpacing/>
        <w:jc w:val="center"/>
        <w:rPr/>
      </w:pPr>
      <w:r>
        <w:rPr>
          <w:rFonts w:ascii="Georgia" w:hAnsi="Georgia"/>
          <w:bCs w:val="false"/>
          <w:sz w:val="24"/>
          <w:szCs w:val="24"/>
          <w:highlight w:val="white"/>
        </w:rPr>
        <w:t>Gerhard</w:t>
      </w:r>
      <w:r>
        <w:rPr>
          <w:rFonts w:ascii="Georgia" w:hAnsi="Georgia"/>
          <w:b w:val="false"/>
          <w:bCs w:val="false"/>
          <w:sz w:val="24"/>
          <w:szCs w:val="24"/>
          <w:highlight w:val="white"/>
        </w:rPr>
        <w:t xml:space="preserve"> </w:t>
      </w:r>
      <w:r>
        <w:rPr>
          <w:rFonts w:ascii="Georgia" w:hAnsi="Georgia"/>
          <w:bCs w:val="false"/>
          <w:sz w:val="24"/>
          <w:szCs w:val="24"/>
          <w:highlight w:val="white"/>
        </w:rPr>
        <w:t>Grössing</w:t>
      </w:r>
      <w:r>
        <w:rPr>
          <w:rFonts w:ascii="Georgia" w:hAnsi="Georgia"/>
          <w:b w:val="false"/>
          <w:bCs w:val="false"/>
          <w:sz w:val="24"/>
          <w:szCs w:val="24"/>
          <w:highlight w:val="white"/>
        </w:rPr>
        <w:t xml:space="preserve">: </w:t>
      </w:r>
      <w:r>
        <w:rPr>
          <w:rFonts w:ascii="Georgia" w:hAnsi="Georgia"/>
          <w:b w:val="false"/>
          <w:bCs w:val="false"/>
          <w:caps/>
          <w:spacing w:val="30"/>
          <w:sz w:val="24"/>
          <w:szCs w:val="24"/>
        </w:rPr>
        <w:t>VACUUM LANDSCAPING: CAUSE OF NONLOCAL INFLUENCES WITHOUT SIGNALLING</w:t>
      </w:r>
    </w:p>
    <w:p>
      <w:pPr>
        <w:pStyle w:val="Normal"/>
        <w:spacing w:before="0" w:after="0"/>
        <w:contextualSpacing/>
        <w:rPr/>
      </w:pPr>
      <w:r>
        <w:rPr>
          <w:rFonts w:cs="Arial" w:ascii="Arial" w:hAnsi="Arial"/>
          <w:color w:val="3A3A39"/>
          <w:highlight w:val="white"/>
        </w:rPr>
        <w:t xml:space="preserve">Gerhard </w:t>
      </w:r>
      <w:r>
        <w:rPr>
          <w:rFonts w:cs="Arial" w:ascii="Arial" w:hAnsi="Arial"/>
          <w:b/>
          <w:color w:val="3A3A39"/>
          <w:highlight w:val="white"/>
        </w:rPr>
        <w:t>Grössing</w:t>
      </w:r>
      <w:r>
        <w:rPr>
          <w:rFonts w:cs="Arial" w:ascii="Arial" w:hAnsi="Arial"/>
          <w:color w:val="3A3A39"/>
          <w:highlight w:val="white"/>
        </w:rPr>
        <w:t xml:space="preserve"> is Co-Founder and Director of the Austrian Institute for Nonlinear Studies (AINS) in Vienna, Austria</w:t>
      </w:r>
    </w:p>
    <w:p>
      <w:pPr>
        <w:pStyle w:val="Normal"/>
        <w:spacing w:before="0" w:after="0"/>
        <w:contextualSpacing/>
        <w:rPr>
          <w:b/>
          <w:b/>
        </w:rPr>
      </w:pPr>
      <w:r>
        <w:rPr>
          <w:b/>
        </w:rPr>
      </w:r>
    </w:p>
    <w:p>
      <w:pPr>
        <w:pStyle w:val="Normal"/>
        <w:spacing w:before="0" w:after="0"/>
        <w:contextualSpacing/>
        <w:rPr/>
      </w:pPr>
      <w:hyperlink r:id="rId440">
        <w:r>
          <w:rPr>
            <w:rStyle w:val="InternetLink"/>
            <w:b/>
          </w:rPr>
          <w:t>https://www.fetzer-franklin-fund.org/vacuum-landscaping-cause-of-nonlocal-influences-without-signaling-entropy/</w:t>
        </w:r>
      </w:hyperlink>
    </w:p>
    <w:p>
      <w:pPr>
        <w:pStyle w:val="Heading1"/>
        <w:shd w:val="clear" w:fill="F9F9F9"/>
        <w:spacing w:before="0" w:after="0"/>
        <w:contextualSpacing/>
        <w:rPr>
          <w:rFonts w:ascii="Georgia" w:hAnsi="Georgia"/>
          <w:b w:val="false"/>
          <w:b w:val="false"/>
          <w:bCs w:val="false"/>
          <w:caps/>
          <w:color w:val="3A3A39"/>
          <w:spacing w:val="15"/>
          <w:sz w:val="24"/>
          <w:szCs w:val="24"/>
        </w:rPr>
      </w:pPr>
      <w:r>
        <w:rPr>
          <w:rFonts w:ascii="Georgia" w:hAnsi="Georgia"/>
          <w:b w:val="false"/>
          <w:bCs w:val="false"/>
          <w:caps/>
          <w:color w:val="3A3A39"/>
          <w:spacing w:val="15"/>
          <w:sz w:val="24"/>
          <w:szCs w:val="24"/>
        </w:rPr>
        <w:t>VACUUM LANDSCAPING: CAUSE OF NONLOCAL INFLUENCES WITHOUT SIGNALING</w:t>
      </w:r>
    </w:p>
    <w:p>
      <w:pPr>
        <w:pStyle w:val="Normal"/>
        <w:spacing w:before="0" w:after="0"/>
        <w:contextualSpacing/>
        <w:rPr>
          <w:rFonts w:ascii="Arial" w:hAnsi="Arial" w:cs="Arial"/>
          <w:color w:val="3A3A39"/>
          <w:highlight w:val="white"/>
        </w:rPr>
      </w:pPr>
      <w:r>
        <w:rPr>
          <w:rFonts w:cs="Arial" w:ascii="Arial" w:hAnsi="Arial"/>
          <w:color w:val="3A3A39"/>
          <w:highlight w:val="white"/>
        </w:rPr>
        <w:t> </w:t>
      </w:r>
      <w:r>
        <w:rPr>
          <w:rFonts w:cs="Arial" w:ascii="Arial" w:hAnsi="Arial"/>
          <w:color w:val="3A3A39"/>
          <w:highlight w:val="white"/>
        </w:rPr>
        <w:t>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pStyle w:val="Normal"/>
        <w:spacing w:before="0" w:after="0"/>
        <w:contextualSpacing/>
        <w:rPr>
          <w:b/>
          <w:b/>
        </w:rPr>
      </w:pPr>
      <w:r>
        <w:rPr>
          <w:b/>
        </w:rPr>
      </w:r>
    </w:p>
    <w:p>
      <w:pPr>
        <w:pStyle w:val="Normal"/>
        <w:spacing w:before="0" w:after="0"/>
        <w:contextualSpacing/>
        <w:rPr>
          <w:b/>
          <w:b/>
        </w:rPr>
      </w:pPr>
      <w:r>
        <w:rPr>
          <w:b/>
        </w:rPr>
        <w:t xml:space="preserve">The article  in Entropy journal has this abstract: </w:t>
      </w:r>
    </w:p>
    <w:p>
      <w:pPr>
        <w:pStyle w:val="Normal"/>
        <w:spacing w:before="0" w:after="0"/>
        <w:contextualSpacing/>
        <w:rPr/>
      </w:pPr>
      <w:r>
        <w:rPr/>
        <w:t xml:space="preserve">Received: 30 April 2018; Accepted: 11 June 2018; Published: 13 June 2018 </w:t>
      </w:r>
    </w:p>
    <w:p>
      <w:pPr>
        <w:pStyle w:val="Normal"/>
        <w:spacing w:before="0" w:after="0"/>
        <w:contextualSpacing/>
        <w:rPr/>
      </w:pPr>
      <w:r>
        <w:rPr/>
      </w:r>
    </w:p>
    <w:p>
      <w:pPr>
        <w:pStyle w:val="Normal"/>
        <w:spacing w:before="0" w:after="0"/>
        <w:contextualSpacing/>
        <w:rPr/>
      </w:pPr>
      <w:r>
        <w:rP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pStyle w:val="Normal"/>
        <w:spacing w:before="0" w:after="0"/>
        <w:contextualSpacing/>
        <w:rPr>
          <w:b/>
          <w:b/>
        </w:rPr>
      </w:pPr>
      <w:r>
        <w:rPr>
          <w:b/>
        </w:rPr>
      </w:r>
    </w:p>
    <w:p>
      <w:pPr>
        <w:pStyle w:val="Normal"/>
        <w:spacing w:before="0" w:after="0"/>
        <w:contextualSpacing/>
        <w:rPr/>
      </w:pPr>
      <w:r>
        <w:rPr>
          <w:b/>
        </w:rPr>
        <w:t xml:space="preserve">p.2 </w:t>
      </w:r>
      <w:r>
        <w:rP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pStyle w:val="Normal"/>
        <w:spacing w:before="0" w:after="0"/>
        <w:contextualSpacing/>
        <w:rPr/>
      </w:pPr>
      <w:r>
        <w:rPr>
          <w:b/>
        </w:rPr>
        <w:tab/>
      </w:r>
      <w:r>
        <w:rP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pPr>
      <w:r>
        <w:rPr>
          <w:b/>
        </w:rPr>
        <w:t xml:space="preserve">p. 10; </w:t>
      </w:r>
      <w:r>
        <w:rP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cs="Cambria Math" w:ascii="Cambria Math" w:hAnsi="Cambria Math"/>
        </w:rPr>
        <w:t>∝</w:t>
      </w:r>
      <w:r>
        <w:rP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pStyle w:val="Normal"/>
        <w:spacing w:before="0" w:after="0"/>
        <w:contextualSpacing/>
        <w:rPr/>
      </w:pPr>
      <w:r>
        <w:rPr/>
      </w:r>
    </w:p>
    <w:p>
      <w:pPr>
        <w:pStyle w:val="Normal"/>
        <w:spacing w:before="0" w:after="0"/>
        <w:contextualSpacing/>
        <w:rPr/>
      </w:pPr>
      <w:r>
        <w:rP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pStyle w:val="Normal"/>
        <w:spacing w:before="0" w:after="0"/>
        <w:contextualSpacing/>
        <w:rPr>
          <w:b/>
          <w:b/>
        </w:rPr>
      </w:pPr>
      <w:r>
        <w:rPr>
          <w:b/>
        </w:rPr>
      </w:r>
    </w:p>
    <w:p>
      <w:pPr>
        <w:pStyle w:val="Normal"/>
        <w:spacing w:before="0" w:after="0"/>
        <w:contextualSpacing/>
        <w:rPr>
          <w:b/>
          <w:b/>
        </w:rPr>
      </w:pPr>
      <w:r>
        <w:rPr>
          <w:b/>
        </w:rPr>
        <w:t xml:space="preserve">[My  comments: UNBELIEVABLE similar ideas to my ideas regarding the ONTOLOGY of Quantum Mechanics!!!] </w:t>
      </w:r>
    </w:p>
    <w:p>
      <w:pPr>
        <w:pStyle w:val="Normal"/>
        <w:spacing w:before="0" w:after="0"/>
        <w:contextualSpacing/>
        <w:jc w:val="left"/>
        <w:rPr>
          <w:rFonts w:ascii="Calibri" w:hAnsi="Calibri" w:eastAsia="Calibri" w:cs="Calibri"/>
          <w:color w:val="000000"/>
        </w:rPr>
      </w:pPr>
      <w:r>
        <w:rPr>
          <w:rFonts w:eastAsia="Calibri" w:cs="Calibri" w:ascii="Calibri" w:hAnsi="Calibri"/>
          <w:color w:val="000000"/>
        </w:rPr>
      </w:r>
    </w:p>
    <w:p>
      <w:pPr>
        <w:pStyle w:val="Normal"/>
        <w:spacing w:before="0" w:after="0"/>
        <w:contextualSpacing/>
        <w:jc w:val="left"/>
        <w:rPr>
          <w:rFonts w:ascii="Calibri" w:hAnsi="Calibri" w:eastAsia="Calibri" w:cs="Calibri"/>
          <w:color w:val="000000"/>
        </w:rPr>
      </w:pPr>
      <w:r>
        <w:rPr>
          <w:rFonts w:eastAsia="Calibri" w:cs="Calibri" w:ascii="Calibri" w:hAnsi="Calibri"/>
          <w:color w:val="000000"/>
        </w:rPr>
      </w:r>
    </w:p>
    <w:p>
      <w:pPr>
        <w:pStyle w:val="Normal"/>
        <w:spacing w:before="0" w:after="0"/>
        <w:contextualSpacing/>
        <w:jc w:val="left"/>
        <w:rPr>
          <w:rFonts w:ascii="Calibri" w:hAnsi="Calibri" w:eastAsia="Calibri" w:cs="Calibri"/>
          <w:color w:val="000000"/>
        </w:rPr>
      </w:pPr>
      <w:r>
        <w:rPr>
          <w:rFonts w:eastAsia="Calibri" w:cs="Calibri" w:ascii="Calibri" w:hAnsi="Calibri"/>
          <w:color w:val="000000"/>
        </w:rPr>
      </w:r>
    </w:p>
    <w:p>
      <w:pPr>
        <w:pStyle w:val="ListParagraph"/>
        <w:numPr>
          <w:ilvl w:val="0"/>
          <w:numId w:val="31"/>
        </w:numPr>
        <w:spacing w:before="0" w:after="0"/>
        <w:ind w:left="0" w:right="0" w:hanging="360"/>
        <w:contextualSpacing/>
        <w:rPr/>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pStyle w:val="Normal"/>
        <w:spacing w:before="0" w:after="0"/>
        <w:contextualSpacing/>
        <w:jc w:val="left"/>
        <w:rPr>
          <w:rFonts w:eastAsia="Calibri"/>
          <w:b/>
          <w:b/>
          <w:bCs/>
          <w:sz w:val="28"/>
          <w:szCs w:val="28"/>
        </w:rPr>
      </w:pPr>
      <w:r>
        <w:rPr>
          <w:rFonts w:eastAsia="Calibri"/>
          <w:b/>
          <w:bCs/>
          <w:sz w:val="28"/>
          <w:szCs w:val="28"/>
        </w:rPr>
        <w:t xml:space="preserve"> </w:t>
      </w:r>
    </w:p>
    <w:p>
      <w:pPr>
        <w:pStyle w:val="Normal"/>
        <w:spacing w:before="0" w:after="0"/>
        <w:contextualSpacing/>
        <w:jc w:val="left"/>
        <w:rPr/>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pStyle w:val="Normal"/>
        <w:spacing w:before="0" w:after="0"/>
        <w:contextualSpacing/>
        <w:jc w:val="left"/>
        <w:rPr>
          <w:rFonts w:eastAsia="Calibri"/>
        </w:rPr>
      </w:pPr>
      <w:r>
        <w:rPr>
          <w:rFonts w:eastAsia="Calibri"/>
        </w:rPr>
      </w:r>
    </w:p>
    <w:p>
      <w:pPr>
        <w:pStyle w:val="Normal"/>
        <w:spacing w:before="0" w:after="0"/>
        <w:contextualSpacing/>
        <w:jc w:val="left"/>
        <w:rPr/>
      </w:pPr>
      <w:r>
        <w:rPr>
          <w:rFonts w:eastAsia="Calibri"/>
        </w:rPr>
        <w:t>[many UNBELIEVABLE similar ideas to</w:t>
      </w:r>
      <w:r>
        <w:rPr>
          <w:rFonts w:eastAsia="Calibri" w:cs="Calibri" w:ascii="Calibri" w:hAnsi="Calibri"/>
          <w:sz w:val="23"/>
          <w:szCs w:val="23"/>
        </w:rPr>
        <w:t xml:space="preserve"> my EDWs; her “thing ontology” is exactly my EDWs!!!]</w:t>
      </w:r>
    </w:p>
    <w:p>
      <w:pPr>
        <w:pStyle w:val="Normal"/>
        <w:spacing w:before="0" w:after="0"/>
        <w:contextualSpacing/>
        <w:jc w:val="left"/>
        <w:rPr>
          <w:rFonts w:ascii="Calibri" w:hAnsi="Calibri" w:eastAsia="Calibri" w:cs="Calibri"/>
          <w:sz w:val="23"/>
          <w:szCs w:val="23"/>
        </w:rPr>
      </w:pPr>
      <w:r>
        <w:rPr>
          <w:rFonts w:eastAsia="Calibri" w:cs="Calibri" w:ascii="Calibri" w:hAnsi="Calibri"/>
          <w:sz w:val="23"/>
          <w:szCs w:val="23"/>
        </w:rPr>
      </w:r>
    </w:p>
    <w:p>
      <w:pPr>
        <w:pStyle w:val="Normal"/>
        <w:spacing w:before="0" w:after="0"/>
        <w:contextualSpacing/>
        <w:jc w:val="left"/>
        <w:rPr/>
      </w:pPr>
      <w:r>
        <w:rPr>
          <w:rFonts w:eastAsia="Calibri" w:cs="Calibri" w:ascii="Calibri" w:hAnsi="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pStyle w:val="Normal"/>
        <w:spacing w:before="0" w:after="0"/>
        <w:contextualSpacing/>
        <w:jc w:val="left"/>
        <w:rPr/>
      </w:pPr>
      <w:r>
        <w:rPr>
          <w:rFonts w:eastAsia="Calibri" w:cs="Calibri" w:ascii="Calibri" w:hAnsi="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pStyle w:val="Normal"/>
        <w:spacing w:before="0" w:after="0"/>
        <w:contextualSpacing/>
        <w:jc w:val="left"/>
        <w:rPr/>
      </w:pPr>
      <w:r>
        <w:rPr>
          <w:rFonts w:eastAsia="Calibri" w:cs="Calibri" w:ascii="Calibri" w:hAnsi="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pStyle w:val="Normal"/>
        <w:spacing w:before="0" w:after="0"/>
        <w:contextualSpacing/>
        <w:jc w:val="left"/>
        <w:rPr/>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pStyle w:val="Normal"/>
        <w:spacing w:before="0" w:after="0"/>
        <w:contextualSpacing/>
        <w:jc w:val="left"/>
        <w:rPr/>
      </w:pPr>
      <w:r>
        <w:rPr>
          <w:b/>
        </w:rPr>
        <w:t xml:space="preserve">- </w:t>
      </w:r>
      <w:r>
        <w:rPr/>
        <w:t xml:space="preserve">Within the framework of thing ontology, identity is defined such that it does not allow for change in principle.  (18) </w:t>
      </w:r>
    </w:p>
    <w:p>
      <w:pPr>
        <w:pStyle w:val="Default"/>
        <w:spacing w:before="0" w:after="0"/>
        <w:contextualSpacing/>
        <w:rPr/>
      </w:pPr>
      <w:r>
        <w:rPr>
          <w:rFonts w:cs="Times New Roman" w:ascii="Times New Roman" w:hAnsi="Times New Roman"/>
          <w:b/>
        </w:rPr>
        <w:t xml:space="preserve">- </w:t>
      </w:r>
      <w:r>
        <w:rPr>
          <w:rFonts w:cs="Times New Roman" w:ascii="Times New Roman" w:hAnsi="Times New Roman"/>
        </w:rPr>
        <w:t xml:space="preserve">The conditions of process stabilisation can be scientifically investigated, and they will be different for different kinds of </w:t>
      </w:r>
      <w:r>
        <w:rPr>
          <w:rFonts w:eastAsia="Calibri" w:cs="Times New Roman" w:ascii="Times New Roman" w:hAnsi="Times New Roman"/>
        </w:rPr>
        <w:t>process. However, what matters from a metaphysical point of view is that any process</w:t>
      </w:r>
      <w:r>
        <w:rPr>
          <w:rFonts w:eastAsia="Calibri" w:cs="Calibri" w:ascii="Calibri" w:hAnsi="Calibri"/>
          <w:sz w:val="23"/>
          <w:szCs w:val="23"/>
        </w:rPr>
        <w:t xml:space="preserve"> of whatever kind persists as long as stabilisation can be maintained. </w:t>
      </w:r>
    </w:p>
    <w:p>
      <w:pPr>
        <w:pStyle w:val="Normal"/>
        <w:spacing w:before="0" w:after="0"/>
        <w:contextualSpacing/>
        <w:jc w:val="left"/>
        <w:rPr>
          <w:rFonts w:ascii="Calibri" w:hAnsi="Calibri" w:eastAsia="Calibri" w:cs="Calibri"/>
          <w:color w:val="000000"/>
          <w:sz w:val="23"/>
          <w:szCs w:val="23"/>
        </w:rPr>
      </w:pPr>
      <w:r>
        <w:rPr>
          <w:rFonts w:eastAsia="Calibri" w:cs="Calibri" w:ascii="Calibri" w:hAnsi="Calibri"/>
          <w:color w:val="000000"/>
          <w:sz w:val="23"/>
          <w:szCs w:val="23"/>
        </w:rPr>
        <w:t>Process ontology calls for a change of perspective: rather than asking how change is possible, we have to ask how identity is possible. (18-9)</w:t>
      </w:r>
    </w:p>
    <w:p>
      <w:pPr>
        <w:pStyle w:val="Normal"/>
        <w:spacing w:before="0" w:after="0"/>
        <w:contextualSpacing/>
        <w:jc w:val="left"/>
        <w:rPr>
          <w:b/>
          <w:b/>
          <w:sz w:val="32"/>
          <w:szCs w:val="32"/>
        </w:rPr>
      </w:pPr>
      <w:r>
        <w:rPr>
          <w:b/>
          <w:sz w:val="32"/>
          <w:szCs w:val="32"/>
        </w:rPr>
      </w:r>
    </w:p>
    <w:p>
      <w:pPr>
        <w:pStyle w:val="Normal"/>
        <w:spacing w:before="0" w:after="0"/>
        <w:contextualSpacing/>
        <w:jc w:val="left"/>
        <w:rPr>
          <w:b/>
          <w:b/>
        </w:rPr>
      </w:pPr>
      <w:r>
        <w:rPr>
          <w:b/>
        </w:rPr>
        <w:t xml:space="preserve">See also </w:t>
      </w:r>
    </w:p>
    <w:p>
      <w:pPr>
        <w:pStyle w:val="Heading1"/>
        <w:shd w:val="clear" w:fill="FFFFFF"/>
        <w:spacing w:before="0" w:after="0"/>
        <w:contextualSpacing/>
        <w:rPr>
          <w:rFonts w:ascii="Arial" w:hAnsi="Arial" w:cs="Arial"/>
          <w:sz w:val="24"/>
          <w:szCs w:val="24"/>
        </w:rPr>
      </w:pPr>
      <w:r>
        <w:rPr>
          <w:rFonts w:cs="Arial" w:ascii="Arial" w:hAnsi="Arial"/>
          <w:sz w:val="24"/>
          <w:szCs w:val="24"/>
        </w:rPr>
        <w:t>Persons as Biological Processes: A Bio-Processual Way Out of the Personal Identity Dilemma</w:t>
      </w:r>
    </w:p>
    <w:p>
      <w:pPr>
        <w:pStyle w:val="Normal"/>
        <w:shd w:val="clear" w:fill="FFFFFF"/>
        <w:spacing w:before="0" w:after="0"/>
        <w:contextualSpacing/>
        <w:rPr/>
      </w:pPr>
      <w:hyperlink r:id="rId441" w:tgtFrame="View other works by Anne Sophie Meincke">
        <w:r>
          <w:rPr>
            <w:rStyle w:val="Name"/>
            <w:rFonts w:cs="Arial" w:ascii="Arial" w:hAnsi="Arial"/>
            <w:color w:val="109D49"/>
          </w:rPr>
          <w:t>Anne Sophie Meincke</w:t>
        </w:r>
      </w:hyperlink>
    </w:p>
    <w:p>
      <w:pPr>
        <w:pStyle w:val="Normal"/>
        <w:shd w:val="clear" w:fill="FFFFFF"/>
        <w:spacing w:before="0" w:after="0"/>
        <w:contextualSpacing/>
        <w:rPr/>
      </w:pPr>
      <w:r>
        <w:rPr>
          <w:rFonts w:cs="Arial" w:ascii="Arial" w:hAnsi="Arial"/>
          <w:color w:val="333333"/>
        </w:rPr>
        <w:t>In Daniel J. Nicholson &amp; John Dupre (eds.), </w:t>
      </w:r>
      <w:r>
        <w:rPr>
          <w:rStyle w:val="Emphasis"/>
          <w:rFonts w:cs="Arial" w:ascii="Arial" w:hAnsi="Arial"/>
          <w:color w:val="333333"/>
        </w:rPr>
        <w:t>Everything Flows. Towards a Processual Philosophy of Biology</w:t>
      </w:r>
      <w:r>
        <w:rPr>
          <w:rFonts w:cs="Arial" w:ascii="Arial" w:hAnsi="Arial"/>
          <w:color w:val="333333"/>
        </w:rPr>
        <w:t>. Oxford, UK: pp. 357-378 (2018)</w:t>
      </w:r>
    </w:p>
    <w:tbl>
      <w:tblPr>
        <w:tblStyle w:val="7"/>
        <w:tblW w:w="12684" w:type="dxa"/>
        <w:jc w:val="left"/>
        <w:tblInd w:w="0" w:type="dxa"/>
        <w:shd w:fill="FFFFFF" w:val="clear"/>
        <w:tblCellMar>
          <w:top w:w="0" w:type="dxa"/>
          <w:left w:w="0" w:type="dxa"/>
          <w:bottom w:w="0" w:type="dxa"/>
          <w:right w:w="300" w:type="dxa"/>
        </w:tblCellMar>
      </w:tblPr>
      <w:tblGrid>
        <w:gridCol w:w="421"/>
        <w:gridCol w:w="12262"/>
      </w:tblGrid>
      <w:tr>
        <w:trPr/>
        <w:tc>
          <w:tcPr>
            <w:tcW w:w="421" w:type="dxa"/>
            <w:tcBorders>
              <w:bottom w:val="single" w:sz="6" w:space="0" w:color="DEDEDE"/>
            </w:tcBorders>
            <w:shd w:color="auto" w:fill="FFFFFF" w:val="clear"/>
            <w:vAlign w:val="center"/>
          </w:tcPr>
          <w:p>
            <w:pPr>
              <w:pStyle w:val="Normal"/>
              <w:spacing w:before="0" w:after="0"/>
              <w:contextualSpacing/>
              <w:jc w:val="left"/>
              <w:rPr>
                <w:rFonts w:ascii="Arial" w:hAnsi="Arial" w:eastAsia="Times New Roman" w:cs="Arial"/>
                <w:b/>
                <w:b/>
                <w:bCs/>
                <w:color w:val="555555"/>
              </w:rPr>
            </w:pPr>
            <w:r>
              <w:rPr>
                <w:rFonts w:eastAsia="Times New Roman" w:cs="Arial" w:ascii="Arial" w:hAnsi="Arial"/>
                <w:b/>
                <w:bCs/>
                <w:color w:val="555555"/>
              </w:rPr>
            </w:r>
          </w:p>
        </w:tc>
        <w:tc>
          <w:tcPr>
            <w:tcW w:w="12262" w:type="dxa"/>
            <w:tcBorders>
              <w:bottom w:val="single" w:sz="6" w:space="0" w:color="DEDEDE"/>
            </w:tcBorders>
            <w:shd w:color="auto" w:fill="FFFFFF" w:val="clear"/>
            <w:tcMar>
              <w:bottom w:w="300" w:type="dxa"/>
              <w:right w:w="0" w:type="dxa"/>
            </w:tcMar>
            <w:vAlign w:val="center"/>
          </w:tcPr>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Human persons exist longer than a single moment in time; they persist through time. However, so far it has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not been possible to make this natural and widespread assumption metaphysically comprehensible.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The philosophical debate on personal identity is rather stuck in a dilemma: reductionist theories explain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personal identity away, while non-reductionist theories fail to give any informative account at all.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This chapter argues that this dilemma emerges from an underlying commitment, shared by both sides of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in the debate, to an ontology which that gives the priority to static unchanging things.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The claim defended here is that the dilemma of personal identity can be overcome if we acknowledge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the biological nature of human persons and switch to a process- ontological framework that takes process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and change to be ontologically primary. Human persons are biological higher-order processes, rather than</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things, and their identity conditions can be scientifically investigated.</w:t>
            </w:r>
          </w:p>
        </w:tc>
      </w:tr>
    </w:tbl>
    <w:p>
      <w:pPr>
        <w:pStyle w:val="Normal"/>
        <w:spacing w:before="0" w:after="0"/>
        <w:contextualSpacing/>
        <w:jc w:val="left"/>
        <w:rPr>
          <w:b/>
          <w:b/>
          <w:sz w:val="32"/>
          <w:szCs w:val="32"/>
        </w:rPr>
      </w:pPr>
      <w:r>
        <w:rPr>
          <w:b/>
          <w:sz w:val="32"/>
          <w:szCs w:val="32"/>
        </w:rPr>
      </w:r>
    </w:p>
    <w:p>
      <w:pPr>
        <w:pStyle w:val="Normal"/>
        <w:spacing w:before="0" w:after="0"/>
        <w:contextualSpacing/>
        <w:jc w:val="left"/>
        <w:rPr>
          <w:b/>
          <w:b/>
        </w:rPr>
      </w:pPr>
      <w:r>
        <w:rPr>
          <w:b/>
        </w:rPr>
        <w:t xml:space="preserve">[from the abstract, I see UNBELIEVABLE similar ideas rom my book “Self as an EW”…] </w:t>
      </w:r>
    </w:p>
    <w:p>
      <w:pPr>
        <w:pStyle w:val="Normal"/>
        <w:spacing w:before="0" w:after="0"/>
        <w:contextualSpacing/>
        <w:jc w:val="left"/>
        <w:rPr>
          <w:b/>
          <w:b/>
        </w:rPr>
      </w:pPr>
      <w:r>
        <w:rPr>
          <w:b/>
        </w:rPr>
      </w:r>
    </w:p>
    <w:p>
      <w:pPr>
        <w:pStyle w:val="Normal"/>
        <w:spacing w:before="0" w:after="0"/>
        <w:contextualSpacing/>
        <w:jc w:val="left"/>
        <w:rPr>
          <w:rFonts w:ascii="CMR17" w:hAnsi="CMR17" w:eastAsia="Calibri" w:cs="CMR17"/>
          <w:b/>
          <w:b/>
          <w:sz w:val="32"/>
          <w:szCs w:val="32"/>
        </w:rPr>
      </w:pPr>
      <w:r>
        <w:rPr>
          <w:rFonts w:eastAsia="Calibri" w:cs="CMR17" w:ascii="CMR17" w:hAnsi="CMR17"/>
          <w:b/>
          <w:sz w:val="32"/>
          <w:szCs w:val="32"/>
        </w:rPr>
        <w:t xml:space="preserve">January 2019 </w:t>
      </w:r>
    </w:p>
    <w:p>
      <w:pPr>
        <w:pStyle w:val="ListParagraph"/>
        <w:spacing w:before="0" w:after="0"/>
        <w:ind w:left="0" w:right="0" w:hanging="0"/>
        <w:contextualSpacing/>
        <w:rPr/>
      </w:pPr>
      <w:r>
        <w:rPr>
          <w:rFonts w:eastAsia="Calibri" w:cs="CMR17" w:ascii="CMR17" w:hAnsi="CMR17"/>
          <w:b/>
          <w:sz w:val="28"/>
          <w:szCs w:val="28"/>
        </w:rPr>
        <w:t>[</w:t>
      </w:r>
      <w:r>
        <w:rPr>
          <w:rFonts w:eastAsia="Calibri" w:cs="CMR17" w:ascii="CMR17" w:hAnsi="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pStyle w:val="Normal"/>
        <w:spacing w:before="0" w:after="0"/>
        <w:contextualSpacing/>
        <w:jc w:val="left"/>
        <w:rPr>
          <w:rFonts w:ascii="CMR17" w:hAnsi="CMR17" w:eastAsia="Calibri" w:cs="CMR17"/>
          <w:b/>
          <w:b/>
          <w:color w:val="FF0000"/>
        </w:rPr>
      </w:pPr>
      <w:r>
        <w:rPr>
          <w:rFonts w:eastAsia="Calibri" w:cs="CMR17" w:ascii="CMR17" w:hAnsi="CMR17"/>
          <w:b/>
          <w:color w:val="FF0000"/>
        </w:rPr>
        <w:t>I emphasize that at bibliography of the paper investigated by myself in January 2019, there are articles from 2017 and an article of de Haro 2018 forthcoming. Therefore, Le Bihana and Read’s article seems to be written in 2018!</w:t>
      </w:r>
    </w:p>
    <w:p>
      <w:pPr>
        <w:pStyle w:val="Normal"/>
        <w:spacing w:before="0" w:after="0"/>
        <w:contextualSpacing/>
        <w:jc w:val="left"/>
        <w:rPr>
          <w:rFonts w:ascii="CMR17" w:hAnsi="CMR17" w:eastAsia="Calibri" w:cs="CMR17"/>
          <w:b/>
          <w:b/>
          <w:color w:val="FF0000"/>
        </w:rPr>
      </w:pPr>
      <w:r>
        <w:rPr>
          <w:rFonts w:eastAsia="Calibri" w:cs="CMR17" w:ascii="CMR17" w:hAnsi="CMR17"/>
          <w:b/>
          <w:color w:val="FF0000"/>
        </w:rPr>
      </w:r>
    </w:p>
    <w:p>
      <w:pPr>
        <w:pStyle w:val="Normal"/>
        <w:spacing w:before="0" w:after="0"/>
        <w:contextualSpacing/>
        <w:jc w:val="left"/>
        <w:rPr>
          <w:rFonts w:ascii="CMR17" w:hAnsi="CMR17" w:eastAsia="Calibri" w:cs="CMR17"/>
          <w:b/>
          <w:b/>
          <w:color w:val="FF0000"/>
        </w:rPr>
      </w:pPr>
      <w:r>
        <w:rPr>
          <w:rFonts w:eastAsia="Calibri" w:cs="CMR17" w:ascii="CMR17" w:hAnsi="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pStyle w:val="Normal"/>
        <w:spacing w:before="0" w:after="0"/>
        <w:contextualSpacing/>
        <w:jc w:val="left"/>
        <w:rPr>
          <w:rFonts w:ascii="CMR17" w:hAnsi="CMR17" w:eastAsia="Calibri" w:cs="CMR17"/>
          <w:b/>
          <w:b/>
          <w:sz w:val="41"/>
          <w:szCs w:val="41"/>
        </w:rPr>
      </w:pPr>
      <w:r>
        <w:rPr>
          <w:rFonts w:eastAsia="Calibri" w:cs="CMR17" w:ascii="CMR17" w:hAnsi="CMR17"/>
          <w:b/>
          <w:sz w:val="41"/>
          <w:szCs w:val="41"/>
        </w:rPr>
      </w:r>
    </w:p>
    <w:p>
      <w:pPr>
        <w:pStyle w:val="ListParagraph"/>
        <w:numPr>
          <w:ilvl w:val="0"/>
          <w:numId w:val="31"/>
        </w:numPr>
        <w:spacing w:before="0" w:after="0"/>
        <w:ind w:left="0" w:right="0" w:hanging="360"/>
        <w:contextualSpacing/>
        <w:rPr/>
      </w:pPr>
      <w:r>
        <w:rPr>
          <w:rFonts w:eastAsia="Calibri" w:cs="CMR12" w:ascii="CMR12" w:hAnsi="CMR12"/>
          <w:b/>
          <w:sz w:val="28"/>
          <w:szCs w:val="28"/>
        </w:rPr>
        <w:t>Baptiste Le Bihan</w:t>
      </w:r>
      <w:r>
        <w:rPr>
          <w:rFonts w:eastAsia="Calibri" w:cs="CMR8" w:ascii="CMR8" w:hAnsi="CMR8"/>
          <w:b/>
          <w:sz w:val="28"/>
          <w:szCs w:val="28"/>
        </w:rPr>
        <w:t xml:space="preserve">a </w:t>
      </w:r>
      <w:r>
        <w:rPr>
          <w:rFonts w:eastAsia="Calibri" w:cs="CMR12" w:ascii="CMR12" w:hAnsi="CMR12"/>
          <w:b/>
          <w:sz w:val="28"/>
          <w:szCs w:val="28"/>
        </w:rPr>
        <w:t>and James Read</w:t>
      </w:r>
      <w:r>
        <w:rPr>
          <w:rFonts w:eastAsia="Calibri" w:cs="CMR8" w:ascii="CMR8" w:hAnsi="CMR8"/>
          <w:b/>
          <w:sz w:val="28"/>
          <w:szCs w:val="28"/>
        </w:rPr>
        <w:t xml:space="preserve"> </w:t>
      </w:r>
      <w:r>
        <w:rPr>
          <w:rFonts w:eastAsia="Calibri" w:cs="CMR17" w:ascii="CMR17" w:hAnsi="CMR17"/>
          <w:b/>
          <w:sz w:val="28"/>
          <w:szCs w:val="28"/>
        </w:rPr>
        <w:t>“Duality and Ontology”</w:t>
      </w:r>
      <w:r>
        <w:rPr>
          <w:rFonts w:eastAsia="Calibri" w:cs="Cambria Math" w:ascii="Cambria Math" w:hAnsi="Cambria Math"/>
          <w:b/>
          <w:sz w:val="28"/>
          <w:szCs w:val="28"/>
        </w:rPr>
        <w:t xml:space="preserve"> </w:t>
      </w:r>
      <w:r>
        <w:rPr>
          <w:rFonts w:eastAsia="Calibri" w:cs="CMR17" w:ascii="CMR17" w:hAnsi="CMR17"/>
          <w:b/>
          <w:sz w:val="28"/>
          <w:szCs w:val="28"/>
        </w:rPr>
        <w:t xml:space="preserve">(forthcoming, </w:t>
      </w:r>
      <w:r>
        <w:rPr>
          <w:rFonts w:eastAsia="Calibri" w:cs="CMR10" w:ascii="CMR10" w:hAnsi="CMR10"/>
          <w:sz w:val="20"/>
          <w:szCs w:val="20"/>
        </w:rPr>
        <w:t xml:space="preserve">in </w:t>
      </w:r>
      <w:r>
        <w:rPr>
          <w:rFonts w:eastAsia="Calibri" w:cs="CMTI10" w:ascii="CMTI10" w:hAnsi="CMTI10"/>
          <w:i/>
          <w:sz w:val="20"/>
          <w:szCs w:val="20"/>
        </w:rPr>
        <w:t>Philosophy Compass</w:t>
      </w:r>
      <w:r>
        <w:rPr>
          <w:rFonts w:eastAsia="Calibri" w:cs="CMR17" w:ascii="CMR17" w:hAnsi="CMR17"/>
          <w:b/>
          <w:sz w:val="28"/>
          <w:szCs w:val="28"/>
        </w:rPr>
        <w:t>)</w:t>
      </w:r>
    </w:p>
    <w:p>
      <w:pPr>
        <w:pStyle w:val="Normal"/>
        <w:spacing w:before="0" w:after="0"/>
        <w:contextualSpacing/>
        <w:jc w:val="left"/>
        <w:rPr>
          <w:rFonts w:ascii="CMR8" w:hAnsi="CMR8" w:eastAsia="Calibri" w:cs="CMR8"/>
          <w:b/>
          <w:b/>
          <w:sz w:val="28"/>
          <w:szCs w:val="28"/>
        </w:rPr>
      </w:pPr>
      <w:r>
        <w:rPr>
          <w:rFonts w:eastAsia="Calibri" w:cs="CMR8" w:ascii="CMR8" w:hAnsi="CMR8"/>
          <w:b/>
          <w:sz w:val="28"/>
          <w:szCs w:val="28"/>
        </w:rPr>
      </w:r>
    </w:p>
    <w:p>
      <w:pPr>
        <w:pStyle w:val="Normal"/>
        <w:spacing w:before="0" w:after="0"/>
        <w:contextualSpacing/>
        <w:jc w:val="left"/>
        <w:rPr/>
      </w:pPr>
      <w:r>
        <w:rPr>
          <w:rFonts w:eastAsia="Calibri" w:cs="CMR8" w:ascii="CMR8" w:hAnsi="CMR8"/>
          <w:sz w:val="16"/>
          <w:szCs w:val="16"/>
        </w:rPr>
        <w:t>(</w:t>
      </w:r>
      <w:r>
        <w:rPr>
          <w:rFonts w:eastAsia="Calibri" w:cs="CMR10" w:ascii="CMR10" w:hAnsi="CMR10"/>
          <w:sz w:val="22"/>
          <w:szCs w:val="22"/>
        </w:rPr>
        <w:t xml:space="preserve">Philosophy Department, University of Geneva 2 Rue de Candolle, 1205 Geneva, Switzerland; </w:t>
      </w:r>
      <w:r>
        <w:rPr>
          <w:rFonts w:eastAsia="Calibri" w:cs="CMR8" w:ascii="CMR8" w:hAnsi="CMR8"/>
          <w:sz w:val="16"/>
          <w:szCs w:val="16"/>
        </w:rPr>
        <w:t xml:space="preserve">b </w:t>
      </w:r>
      <w:r>
        <w:rPr>
          <w:rFonts w:eastAsia="Calibri" w:cs="CMR10" w:ascii="CMR10" w:hAnsi="CMR10"/>
          <w:sz w:val="22"/>
          <w:szCs w:val="22"/>
        </w:rPr>
        <w:t>Faculty of Philosophy, University of Oxford Radcli</w:t>
      </w:r>
      <w:r>
        <w:rPr>
          <w:rFonts w:eastAsia="Calibri" w:cs="Cambria Math" w:ascii="Cambria Math" w:hAnsi="Cambria Math"/>
          <w:sz w:val="22"/>
          <w:szCs w:val="22"/>
        </w:rPr>
        <w:t>↵</w:t>
      </w:r>
      <w:r>
        <w:rPr>
          <w:rFonts w:eastAsia="Calibri" w:cs="CMR10" w:ascii="CMR10" w:hAnsi="CMR10"/>
          <w:sz w:val="22"/>
          <w:szCs w:val="22"/>
        </w:rPr>
        <w:t>e Humanities, Oxford OX2 6GG, United Kingdom)</w:t>
      </w:r>
    </w:p>
    <w:p>
      <w:pPr>
        <w:pStyle w:val="Normal"/>
        <w:spacing w:before="0" w:after="0"/>
        <w:contextualSpacing/>
        <w:jc w:val="left"/>
        <w:rPr>
          <w:b/>
          <w:b/>
        </w:rPr>
      </w:pPr>
      <w:r>
        <w:rPr>
          <w:b/>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 this paper, we undertake a comprehensive and nontechnical</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survey of the landscape of possible ontological interpretations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of duality-related theories. We provide a significantly enriched</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and clarified taxonomy of options—several of which are novel to the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 xml:space="preserve">literature. (p. 1) </w:t>
      </w:r>
    </w:p>
    <w:p>
      <w:pPr>
        <w:pStyle w:val="Normal"/>
        <w:spacing w:before="0" w:after="0"/>
        <w:contextualSpacing/>
        <w:jc w:val="left"/>
        <w:rPr>
          <w:b/>
          <w:b/>
        </w:rPr>
      </w:pPr>
      <w:r>
        <w:rPr>
          <w:b/>
        </w:rPr>
      </w:r>
    </w:p>
    <w:p>
      <w:pPr>
        <w:pStyle w:val="Normal"/>
        <w:spacing w:before="0" w:after="0"/>
        <w:contextualSpacing/>
        <w:jc w:val="left"/>
        <w:rPr>
          <w:b/>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pStyle w:val="Normal"/>
        <w:spacing w:before="0" w:after="0"/>
        <w:contextualSpacing/>
        <w:jc w:val="left"/>
        <w:rPr>
          <w:b/>
          <w:b/>
        </w:rPr>
      </w:pPr>
      <w:r>
        <w:rPr>
          <w:b/>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There exists not just one string theory, but rather five, related by</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an intricate web of dualities. That is to say, each model of a given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string theory possesses (via the duality map under consideration) a</w:t>
      </w:r>
    </w:p>
    <w:p>
      <w:pPr>
        <w:pStyle w:val="Normal"/>
        <w:spacing w:before="0" w:after="0"/>
        <w:contextualSpacing/>
        <w:jc w:val="left"/>
        <w:rPr/>
      </w:pPr>
      <w:r>
        <w:rPr>
          <w:rFonts w:eastAsia="Calibri" w:cs="CMR10" w:ascii="CMR10" w:hAnsi="CMR10"/>
          <w:sz w:val="22"/>
          <w:szCs w:val="22"/>
        </w:rPr>
        <w:t xml:space="preserve">dual model, which </w:t>
      </w:r>
      <w:r>
        <w:rPr>
          <w:rFonts w:eastAsia="Calibri" w:cs="CMTI10" w:ascii="CMTI10" w:hAnsi="CMTI10"/>
          <w:sz w:val="22"/>
          <w:szCs w:val="22"/>
        </w:rPr>
        <w:t xml:space="preserve">prima facie </w:t>
      </w:r>
      <w:r>
        <w:rPr>
          <w:rFonts w:eastAsia="Calibri" w:cs="CMR10" w:ascii="CMR10" w:hAnsi="CMR10"/>
          <w:sz w:val="22"/>
          <w:szCs w:val="22"/>
        </w:rPr>
        <w:t>makes very di</w:t>
      </w:r>
      <w:r>
        <w:rPr>
          <w:rFonts w:eastAsia="Calibri" w:cs="Cambria Math" w:ascii="Cambria Math" w:hAnsi="Cambria Math"/>
          <w:sz w:val="22"/>
          <w:szCs w:val="22"/>
        </w:rPr>
        <w:t>↵</w:t>
      </w:r>
      <w:r>
        <w:rPr>
          <w:rFonts w:eastAsia="Calibri" w:cs="CMR10" w:ascii="CMR10" w:hAnsi="CMR10"/>
          <w:sz w:val="22"/>
          <w:szCs w:val="22"/>
        </w:rPr>
        <w:t>erent ontological claims about the world, while nevertheless being empirically equivalent.</w:t>
      </w:r>
      <w:r>
        <w:rPr>
          <w:rFonts w:eastAsia="Calibri" w:cs="CMR8" w:ascii="CMR8" w:hAnsi="CMR8"/>
          <w:sz w:val="16"/>
          <w:szCs w:val="16"/>
        </w:rPr>
        <w:t>5,6</w:t>
      </w:r>
    </w:p>
    <w:p>
      <w:pPr>
        <w:pStyle w:val="Normal"/>
        <w:spacing w:before="0" w:after="0"/>
        <w:contextualSpacing/>
        <w:jc w:val="left"/>
        <w:rPr/>
      </w:pPr>
      <w:r>
        <w:rPr>
          <w:rFonts w:eastAsia="Calibri" w:cs="CMR10" w:ascii="CMR10" w:hAnsi="CMR10"/>
          <w:sz w:val="22"/>
          <w:szCs w:val="22"/>
        </w:rPr>
        <w:t xml:space="preserve">Thus, at first blush, dualities instantiate the </w:t>
      </w:r>
      <w:r>
        <w:rPr>
          <w:rFonts w:eastAsia="Calibri" w:cs="CMTI10" w:ascii="CMTI10" w:hAnsi="CMTI10"/>
          <w:sz w:val="22"/>
          <w:szCs w:val="22"/>
        </w:rPr>
        <w:t>underdetermination of</w:t>
      </w:r>
    </w:p>
    <w:p>
      <w:pPr>
        <w:pStyle w:val="Normal"/>
        <w:spacing w:before="0" w:after="0"/>
        <w:contextualSpacing/>
        <w:jc w:val="left"/>
        <w:rPr/>
      </w:pPr>
      <w:r>
        <w:rPr>
          <w:rFonts w:eastAsia="Calibri" w:cs="CMTI10" w:ascii="CMTI10" w:hAnsi="CMTI10"/>
          <w:sz w:val="22"/>
          <w:szCs w:val="22"/>
        </w:rPr>
        <w:t xml:space="preserve">theory by empirical evidence </w:t>
      </w:r>
      <w:r>
        <w:rPr>
          <w:rFonts w:eastAsia="Calibri" w:cs="CMR10" w:ascii="CMR10" w:hAnsi="CMR10"/>
          <w:sz w:val="22"/>
          <w:szCs w:val="22"/>
        </w:rPr>
        <w:t>familiar from the philosophy of science.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 the case of dualities, however, this underdetermination is peculiar,</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as the empirical equivalence of the solutions under consideration was</w:t>
      </w:r>
    </w:p>
    <w:p>
      <w:pPr>
        <w:pStyle w:val="Normal"/>
        <w:spacing w:before="0" w:after="0"/>
        <w:contextualSpacing/>
        <w:jc w:val="left"/>
        <w:rPr/>
      </w:pPr>
      <w:r>
        <w:rPr>
          <w:rFonts w:eastAsia="Calibri" w:cs="CMR10" w:ascii="CMR10" w:hAnsi="CMR10"/>
          <w:sz w:val="22"/>
          <w:szCs w:val="22"/>
        </w:rPr>
        <w:t xml:space="preserve">often not expected </w:t>
      </w:r>
      <w:r>
        <w:rPr>
          <w:rFonts w:eastAsia="Calibri" w:cs="CMTI10" w:ascii="CMTI10" w:hAnsi="CMTI10"/>
          <w:sz w:val="22"/>
          <w:szCs w:val="22"/>
        </w:rPr>
        <w:t>ab initio</w:t>
      </w:r>
      <w:r>
        <w:rPr>
          <w:rFonts w:eastAsia="Calibri" w:cs="CMR10" w:ascii="CMR10" w:hAnsi="CMR10"/>
          <w:sz w:val="22"/>
          <w:szCs w:val="22"/>
        </w:rPr>
        <w:t>, but rather came as a profound surprise,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 light of their apparently diverging ontological pictures. (pp. 3-4)</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color w:val="FF0000"/>
          <w:sz w:val="22"/>
          <w:szCs w:val="22"/>
        </w:rPr>
      </w:pPr>
      <w:r>
        <w:rPr>
          <w:rFonts w:eastAsia="Calibri" w:cs="CMR10" w:ascii="CMR10" w:hAnsi="CMR10"/>
          <w:color w:val="FF0000"/>
          <w:sz w:val="22"/>
          <w:szCs w:val="22"/>
        </w:rPr>
        <w:t>[about (super)string theory, I have a chapter in my book 2010!]</w:t>
      </w:r>
    </w:p>
    <w:p>
      <w:pPr>
        <w:pStyle w:val="Normal"/>
        <w:spacing w:before="0" w:after="0"/>
        <w:contextualSpacing/>
        <w:jc w:val="left"/>
        <w:rPr>
          <w:b/>
          <w:b/>
        </w:rPr>
      </w:pPr>
      <w:r>
        <w:rPr>
          <w:b/>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our hope is that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this work will both open this area of research to an expanded class of</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philosophers of all stripes, bring enhanced clarity to the literature 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these matters, and show the way to novel ontological interpretations</w:t>
      </w:r>
    </w:p>
    <w:p>
      <w:pPr>
        <w:pStyle w:val="Normal"/>
        <w:spacing w:before="0" w:after="0"/>
        <w:contextualSpacing/>
        <w:jc w:val="left"/>
        <w:rPr/>
      </w:pPr>
      <w:r>
        <w:rPr>
          <w:rFonts w:eastAsia="Calibri" w:cs="CMR10" w:ascii="CMR10" w:hAnsi="CMR10"/>
          <w:sz w:val="22"/>
          <w:szCs w:val="22"/>
        </w:rPr>
        <w:t>of duality-related theories.</w:t>
      </w:r>
      <w:r>
        <w:rPr>
          <w:rFonts w:eastAsia="Calibri" w:cs="CMR8" w:ascii="CMR8" w:hAnsi="CMR8"/>
          <w:sz w:val="16"/>
          <w:szCs w:val="16"/>
        </w:rPr>
        <w:t xml:space="preserve">7 (p. 4) </w:t>
      </w:r>
    </w:p>
    <w:p>
      <w:pPr>
        <w:pStyle w:val="Normal"/>
        <w:spacing w:before="0" w:after="0"/>
        <w:contextualSpacing/>
        <w:jc w:val="left"/>
        <w:rPr>
          <w:b/>
          <w:b/>
        </w:rPr>
      </w:pPr>
      <w:r>
        <w:rPr>
          <w:b/>
        </w:rPr>
      </w:r>
    </w:p>
    <w:p>
      <w:pPr>
        <w:pStyle w:val="Normal"/>
        <w:spacing w:before="0" w:after="0"/>
        <w:contextualSpacing/>
        <w:jc w:val="left"/>
        <w:rPr/>
      </w:pPr>
      <w:r>
        <w:rPr>
          <w:rFonts w:eastAsia="Calibri" w:cs="CMSY10" w:ascii="CMSY10" w:hAnsi="CMSY10"/>
          <w:sz w:val="22"/>
          <w:szCs w:val="22"/>
        </w:rPr>
        <w:t xml:space="preserve">• </w:t>
      </w:r>
      <w:r>
        <w:rPr>
          <w:rFonts w:eastAsia="Calibri" w:cs="CMR10" w:ascii="CMR10" w:hAnsi="CMR10"/>
          <w:sz w:val="22"/>
          <w:szCs w:val="22"/>
        </w:rPr>
        <w:t>(</w:t>
      </w:r>
      <w:r>
        <w:rPr>
          <w:rFonts w:eastAsia="Calibri" w:cs="CMTI10" w:ascii="CMTI10" w:hAnsi="CMTI10"/>
          <w:sz w:val="22"/>
          <w:szCs w:val="22"/>
        </w:rPr>
        <w:t>Discrimination</w:t>
      </w:r>
      <w:r>
        <w:rPr>
          <w:rFonts w:eastAsia="Calibri" w:cs="CMR10" w:ascii="CMR10" w:hAnsi="CMR10"/>
          <w:sz w:val="22"/>
          <w:szCs w:val="22"/>
        </w:rPr>
        <w:t>.) Privilege the ontological claims of just one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of the two dual theories. That is, consider two dual theories,</w:t>
      </w:r>
    </w:p>
    <w:p>
      <w:pPr>
        <w:pStyle w:val="Normal"/>
        <w:spacing w:before="0" w:after="0"/>
        <w:contextualSpacing/>
        <w:jc w:val="left"/>
        <w:rPr/>
      </w:pPr>
      <w:r>
        <w:rPr>
          <w:rFonts w:eastAsia="Calibri" w:cs="CMSY10" w:ascii="CMSY10" w:hAnsi="CMSY10"/>
          <w:sz w:val="22"/>
          <w:szCs w:val="22"/>
        </w:rPr>
        <w:t>T</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T</w:t>
      </w:r>
      <w:r>
        <w:rPr>
          <w:rFonts w:eastAsia="Calibri" w:cs="CMR8" w:ascii="CMR8" w:hAnsi="CMR8"/>
          <w:sz w:val="16"/>
          <w:szCs w:val="16"/>
        </w:rPr>
        <w:t>2</w:t>
      </w:r>
      <w:r>
        <w:rPr>
          <w:rFonts w:eastAsia="Calibri" w:cs="CMR10" w:ascii="CMR10" w:hAnsi="CMR10"/>
          <w:sz w:val="22"/>
          <w:szCs w:val="22"/>
        </w:rPr>
        <w:t xml:space="preserve">, with (respectively) solutions </w:t>
      </w: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 xml:space="preserve">2 </w:t>
      </w:r>
      <w:r>
        <w:rPr>
          <w:rFonts w:eastAsia="Calibri" w:cs="CMR10" w:ascii="CMR10" w:hAnsi="CMR10"/>
          <w:sz w:val="22"/>
          <w:szCs w:val="22"/>
        </w:rPr>
        <w:t>related by</w:t>
      </w:r>
    </w:p>
    <w:p>
      <w:pPr>
        <w:pStyle w:val="Normal"/>
        <w:spacing w:before="0" w:after="0"/>
        <w:contextualSpacing/>
        <w:jc w:val="left"/>
        <w:rPr/>
      </w:pPr>
      <w:r>
        <w:rPr>
          <w:rFonts w:eastAsia="Calibri" w:cs="CMR10" w:ascii="CMR10" w:hAnsi="CMR10"/>
          <w:sz w:val="22"/>
          <w:szCs w:val="22"/>
        </w:rPr>
        <w:t>the duality map. Na¨ıvely interpreted,</w:t>
      </w:r>
      <w:r>
        <w:rPr>
          <w:rFonts w:eastAsia="Calibri" w:cs="CMR8" w:ascii="CMR8" w:hAnsi="CMR8"/>
          <w:sz w:val="16"/>
          <w:szCs w:val="16"/>
        </w:rPr>
        <w:t xml:space="preserve">8 </w:t>
      </w: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 xml:space="preserve">2 </w:t>
      </w:r>
      <w:r>
        <w:rPr>
          <w:rFonts w:eastAsia="Calibri" w:cs="CMR10" w:ascii="CMR10" w:hAnsi="CMR10"/>
          <w:sz w:val="22"/>
          <w:szCs w:val="22"/>
        </w:rPr>
        <w:t>represent</w:t>
      </w:r>
    </w:p>
    <w:p>
      <w:pPr>
        <w:pStyle w:val="Normal"/>
        <w:spacing w:before="0" w:after="0"/>
        <w:contextualSpacing/>
        <w:jc w:val="left"/>
        <w:rPr/>
      </w:pPr>
      <w:r>
        <w:rPr>
          <w:rFonts w:eastAsia="Calibri" w:cs="CMR10" w:ascii="CMR10" w:hAnsi="CMR10"/>
          <w:sz w:val="22"/>
          <w:szCs w:val="22"/>
        </w:rPr>
        <w:t xml:space="preserve">two </w:t>
      </w:r>
      <w:r>
        <w:rPr>
          <w:rFonts w:eastAsia="Calibri" w:cs="CMTI10" w:ascii="CMTI10" w:hAnsi="CMTI10"/>
          <w:sz w:val="22"/>
          <w:szCs w:val="22"/>
        </w:rPr>
        <w:t xml:space="preserve">distinct </w:t>
      </w:r>
      <w:r>
        <w:rPr>
          <w:rFonts w:eastAsia="Calibri" w:cs="CMR10" w:ascii="CMR10" w:hAnsi="CMR10"/>
          <w:sz w:val="22"/>
          <w:szCs w:val="22"/>
        </w:rPr>
        <w:t xml:space="preserve">worlds, respectively </w:t>
      </w:r>
      <w:r>
        <w:rPr>
          <w:rFonts w:eastAsia="Calibri" w:cs="CMMI10" w:ascii="CMMI10" w:hAnsi="CMMI10"/>
          <w:sz w:val="22"/>
          <w:szCs w:val="22"/>
        </w:rPr>
        <w:t>W</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MI10" w:ascii="CMMI10" w:hAnsi="CMMI10"/>
          <w:sz w:val="22"/>
          <w:szCs w:val="22"/>
        </w:rPr>
        <w:t>W</w:t>
      </w:r>
      <w:r>
        <w:rPr>
          <w:rFonts w:eastAsia="Calibri" w:cs="CMR8" w:ascii="CMR8" w:hAnsi="CMR8"/>
          <w:sz w:val="16"/>
          <w:szCs w:val="16"/>
        </w:rPr>
        <w:t xml:space="preserve">2 </w:t>
      </w:r>
      <w:r>
        <w:rPr>
          <w:rFonts w:eastAsia="Calibri" w:cs="CMR10" w:ascii="CMR10" w:hAnsi="CMR10"/>
          <w:sz w:val="22"/>
          <w:szCs w:val="22"/>
        </w:rPr>
        <w:t>(hence a case of</w:t>
      </w:r>
    </w:p>
    <w:p>
      <w:pPr>
        <w:pStyle w:val="Normal"/>
        <w:spacing w:before="0" w:after="0"/>
        <w:contextualSpacing/>
        <w:jc w:val="left"/>
        <w:rPr/>
      </w:pPr>
      <w:r>
        <w:rPr>
          <w:rFonts w:eastAsia="Calibri" w:cs="CMR10" w:ascii="CMR10" w:hAnsi="CMR10"/>
          <w:sz w:val="22"/>
          <w:szCs w:val="22"/>
        </w:rPr>
        <w:t xml:space="preserve">underdetermination). However, according to this </w:t>
      </w:r>
      <w:r>
        <w:rPr>
          <w:rFonts w:eastAsia="Calibri" w:cs="CMTI10" w:ascii="CMTI10" w:hAnsi="CMTI10"/>
          <w:sz w:val="22"/>
          <w:szCs w:val="22"/>
        </w:rPr>
        <w:t>discriminatory</w:t>
      </w:r>
    </w:p>
    <w:p>
      <w:pPr>
        <w:pStyle w:val="Normal"/>
        <w:spacing w:before="0" w:after="0"/>
        <w:contextualSpacing/>
        <w:jc w:val="left"/>
        <w:rPr/>
      </w:pPr>
      <w:r>
        <w:rPr>
          <w:rFonts w:eastAsia="Calibri" w:cs="CMR10" w:ascii="CMR10" w:hAnsi="CMR10"/>
          <w:sz w:val="22"/>
          <w:szCs w:val="22"/>
        </w:rPr>
        <w:t xml:space="preserve">strategy, only one of </w:t>
      </w: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 xml:space="preserve">2 </w:t>
      </w:r>
      <w:r>
        <w:rPr>
          <w:rFonts w:eastAsia="Calibri" w:cs="CMR10" w:ascii="CMR10" w:hAnsi="CMR10"/>
          <w:sz w:val="22"/>
          <w:szCs w:val="22"/>
        </w:rPr>
        <w:t>is a legitimate description of</w:t>
      </w:r>
    </w:p>
    <w:p>
      <w:pPr>
        <w:pStyle w:val="Normal"/>
        <w:spacing w:before="0" w:after="0"/>
        <w:contextualSpacing/>
        <w:jc w:val="left"/>
        <w:rPr/>
      </w:pPr>
      <w:r>
        <w:rPr>
          <w:rFonts w:eastAsia="Calibri" w:cs="CMR10" w:ascii="CMR10" w:hAnsi="CMR10"/>
          <w:sz w:val="22"/>
          <w:szCs w:val="22"/>
        </w:rPr>
        <w:t>the actual world.</w:t>
      </w:r>
      <w:r>
        <w:rPr>
          <w:rFonts w:eastAsia="Calibri" w:cs="CMR8" w:ascii="CMR8" w:hAnsi="CMR8"/>
          <w:sz w:val="16"/>
          <w:szCs w:val="16"/>
        </w:rPr>
        <w:t xml:space="preserve">9 </w:t>
      </w:r>
      <w:r>
        <w:rPr>
          <w:rFonts w:eastAsia="Calibri" w:cs="CMR10" w:ascii="CMR10" w:hAnsi="CMR10"/>
          <w:sz w:val="22"/>
          <w:szCs w:val="22"/>
        </w:rPr>
        <w:t>Though coherent, this approach faces an obvious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problem: principled reasons for privileging the ontological  claims of just one of the two dual solutions appear (in general)</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 xml:space="preserve">to be lacking (cf. [48, 54]). </w:t>
      </w:r>
    </w:p>
    <w:p>
      <w:pPr>
        <w:pStyle w:val="Normal"/>
        <w:spacing w:before="0" w:after="0"/>
        <w:contextualSpacing/>
        <w:jc w:val="left"/>
        <w:rPr/>
      </w:pPr>
      <w:r>
        <w:rPr>
          <w:rFonts w:eastAsia="Calibri" w:cs="CMSY10" w:ascii="CMSY10" w:hAnsi="CMSY10"/>
          <w:sz w:val="22"/>
          <w:szCs w:val="22"/>
        </w:rPr>
        <w:t xml:space="preserve">• </w:t>
      </w:r>
      <w:r>
        <w:rPr>
          <w:rFonts w:eastAsia="Calibri" w:cs="CMR10" w:ascii="CMR10" w:hAnsi="CMR10"/>
          <w:sz w:val="22"/>
          <w:szCs w:val="22"/>
        </w:rPr>
        <w:t>(</w:t>
      </w:r>
      <w:r>
        <w:rPr>
          <w:rFonts w:eastAsia="Calibri" w:cs="CMTI10" w:ascii="CMTI10" w:hAnsi="CMTI10"/>
          <w:sz w:val="22"/>
          <w:szCs w:val="22"/>
        </w:rPr>
        <w:t>Common core</w:t>
      </w:r>
      <w:r>
        <w:rPr>
          <w:rFonts w:eastAsia="Calibri" w:cs="CMR10" w:ascii="CMR10" w:hAnsi="CMR10"/>
          <w:sz w:val="22"/>
          <w:szCs w:val="22"/>
        </w:rPr>
        <w:t>.) ‘Break’ the underdetermination by interpreting</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only the ‘common core’ of the solutions related by the duality</w:t>
      </w:r>
    </w:p>
    <w:p>
      <w:pPr>
        <w:pStyle w:val="Normal"/>
        <w:spacing w:before="0" w:after="0"/>
        <w:contextualSpacing/>
        <w:jc w:val="left"/>
        <w:rPr/>
      </w:pPr>
      <w:r>
        <w:rPr>
          <w:rFonts w:eastAsia="Calibri" w:cs="CMR10" w:ascii="CMR10" w:hAnsi="CMR10"/>
          <w:sz w:val="22"/>
          <w:szCs w:val="22"/>
        </w:rPr>
        <w:t>map as representing physical states of a</w:t>
      </w:r>
      <w:r>
        <w:rPr>
          <w:rFonts w:eastAsia="Calibri" w:cs="Cambria Math" w:ascii="Cambria Math" w:hAnsi="Cambria Math"/>
          <w:sz w:val="22"/>
          <w:szCs w:val="22"/>
        </w:rPr>
        <w:t>↵</w:t>
      </w:r>
      <w:r>
        <w:rPr>
          <w:rFonts w:eastAsia="Calibri" w:cs="CMR10" w:ascii="CMR10" w:hAnsi="CMR10"/>
          <w:sz w:val="22"/>
          <w:szCs w:val="22"/>
        </w:rPr>
        <w:t>airs. In more detail,</w:t>
      </w:r>
    </w:p>
    <w:p>
      <w:pPr>
        <w:pStyle w:val="Normal"/>
        <w:spacing w:before="0" w:after="0"/>
        <w:contextualSpacing/>
        <w:jc w:val="left"/>
        <w:rPr/>
      </w:pPr>
      <w:r>
        <w:rPr>
          <w:rFonts w:eastAsia="Calibri" w:cs="CMR10" w:ascii="CMR10" w:hAnsi="CMR10"/>
          <w:sz w:val="22"/>
          <w:szCs w:val="22"/>
        </w:rPr>
        <w:t xml:space="preserve">consider again two dual theories, </w:t>
      </w:r>
      <w:r>
        <w:rPr>
          <w:rFonts w:eastAsia="Calibri" w:cs="CMSY10" w:ascii="CMSY10" w:hAnsi="CMSY10"/>
          <w:sz w:val="22"/>
          <w:szCs w:val="22"/>
        </w:rPr>
        <w:t>T</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T</w:t>
      </w:r>
      <w:r>
        <w:rPr>
          <w:rFonts w:eastAsia="Calibri" w:cs="CMR8" w:ascii="CMR8" w:hAnsi="CMR8"/>
          <w:sz w:val="16"/>
          <w:szCs w:val="16"/>
        </w:rPr>
        <w:t>2</w:t>
      </w:r>
      <w:r>
        <w:rPr>
          <w:rFonts w:eastAsia="Calibri" w:cs="CMR10" w:ascii="CMR10" w:hAnsi="CMR10"/>
          <w:sz w:val="22"/>
          <w:szCs w:val="22"/>
        </w:rPr>
        <w:t>, with (respectively)</w:t>
      </w:r>
    </w:p>
    <w:p>
      <w:pPr>
        <w:pStyle w:val="Normal"/>
        <w:spacing w:before="0" w:after="0"/>
        <w:contextualSpacing/>
        <w:jc w:val="left"/>
        <w:rPr/>
      </w:pPr>
      <w:r>
        <w:rPr>
          <w:rFonts w:eastAsia="Calibri" w:cs="CMR10" w:ascii="CMR10" w:hAnsi="CMR10"/>
          <w:sz w:val="22"/>
          <w:szCs w:val="22"/>
        </w:rPr>
        <w:t xml:space="preserve">solutions </w:t>
      </w: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 xml:space="preserve">2 </w:t>
      </w:r>
      <w:r>
        <w:rPr>
          <w:rFonts w:eastAsia="Calibri" w:cs="CMR10" w:ascii="CMR10" w:hAnsi="CMR10"/>
          <w:sz w:val="22"/>
          <w:szCs w:val="22"/>
        </w:rPr>
        <w:t>related by the duality map. On this position,</w:t>
      </w:r>
    </w:p>
    <w:p>
      <w:pPr>
        <w:pStyle w:val="Normal"/>
        <w:spacing w:before="0" w:after="0"/>
        <w:contextualSpacing/>
        <w:jc w:val="left"/>
        <w:rPr/>
      </w:pPr>
      <w:r>
        <w:rPr>
          <w:rFonts w:eastAsia="Calibri" w:cs="CMR10" w:ascii="CMR10" w:hAnsi="CMR10"/>
          <w:sz w:val="22"/>
          <w:szCs w:val="22"/>
        </w:rPr>
        <w:t xml:space="preserve">the ‘na¨ıve’ interpretation of </w:t>
      </w: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2</w:t>
      </w:r>
      <w:r>
        <w:rPr>
          <w:rFonts w:eastAsia="Calibri" w:cs="CMR10" w:ascii="CMR10" w:hAnsi="CMR10"/>
          <w:sz w:val="22"/>
          <w:szCs w:val="22"/>
        </w:rPr>
        <w:t>, according to</w:t>
      </w:r>
    </w:p>
    <w:p>
      <w:pPr>
        <w:pStyle w:val="Normal"/>
        <w:spacing w:before="0" w:after="0"/>
        <w:contextualSpacing/>
        <w:jc w:val="left"/>
        <w:rPr/>
      </w:pPr>
      <w:r>
        <w:rPr>
          <w:rFonts w:eastAsia="Calibri" w:cs="CMR10" w:ascii="CMR10" w:hAnsi="CMR10"/>
          <w:sz w:val="22"/>
          <w:szCs w:val="22"/>
        </w:rPr>
        <w:t xml:space="preserve">which these solutions represent distinct worlds </w:t>
      </w:r>
      <w:r>
        <w:rPr>
          <w:rFonts w:eastAsia="Calibri" w:cs="CMMI10" w:ascii="CMMI10" w:hAnsi="CMMI10"/>
          <w:sz w:val="22"/>
          <w:szCs w:val="22"/>
        </w:rPr>
        <w:t>W</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MI10" w:ascii="CMMI10" w:hAnsi="CMMI10"/>
          <w:sz w:val="22"/>
          <w:szCs w:val="22"/>
        </w:rPr>
        <w:t>W</w:t>
      </w:r>
      <w:r>
        <w:rPr>
          <w:rFonts w:eastAsia="Calibri" w:cs="CMR8" w:ascii="CMR8" w:hAnsi="CMR8"/>
          <w:sz w:val="16"/>
          <w:szCs w:val="16"/>
        </w:rPr>
        <w:t>2</w:t>
      </w:r>
      <w:r>
        <w:rPr>
          <w:rFonts w:eastAsia="Calibri" w:cs="CMR10" w:ascii="CMR10" w:hAnsi="CMR10"/>
          <w:sz w:val="22"/>
          <w:szCs w:val="22"/>
        </w:rPr>
        <w:t>, is not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correct. Rather, we should identify the mathematical structure</w:t>
      </w:r>
    </w:p>
    <w:p>
      <w:pPr>
        <w:pStyle w:val="Normal"/>
        <w:spacing w:before="0" w:after="0"/>
        <w:contextualSpacing/>
        <w:jc w:val="left"/>
        <w:rPr/>
      </w:pPr>
      <w:r>
        <w:rPr>
          <w:rFonts w:eastAsia="Calibri" w:cs="CMTI10" w:ascii="CMTI10" w:hAnsi="CMTI10"/>
          <w:sz w:val="22"/>
          <w:szCs w:val="22"/>
        </w:rPr>
        <w:t xml:space="preserve">common </w:t>
      </w:r>
      <w:r>
        <w:rPr>
          <w:rFonts w:eastAsia="Calibri" w:cs="CMR10" w:ascii="CMR10" w:hAnsi="CMR10"/>
          <w:sz w:val="22"/>
          <w:szCs w:val="22"/>
        </w:rPr>
        <w:t xml:space="preserve">to those solutions, and interpret </w:t>
      </w: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 xml:space="preserve">2 </w:t>
      </w:r>
      <w:r>
        <w:rPr>
          <w:rFonts w:eastAsia="Calibri" w:cs="CMR10" w:ascii="CMR10" w:hAnsi="CMR10"/>
          <w:sz w:val="22"/>
          <w:szCs w:val="22"/>
        </w:rPr>
        <w:t>in terms</w:t>
      </w:r>
    </w:p>
    <w:p>
      <w:pPr>
        <w:pStyle w:val="Normal"/>
        <w:spacing w:before="0" w:after="0"/>
        <w:contextualSpacing/>
        <w:jc w:val="left"/>
        <w:rPr/>
      </w:pPr>
      <w:r>
        <w:rPr>
          <w:rFonts w:eastAsia="Calibri" w:cs="CMR10" w:ascii="CMR10" w:hAnsi="CMR10"/>
          <w:sz w:val="22"/>
          <w:szCs w:val="22"/>
        </w:rPr>
        <w:t>of only that common structure—call it</w:t>
      </w:r>
      <w:r>
        <w:rPr>
          <w:rFonts w:eastAsia="Calibri" w:cs="CMSY10" w:ascii="CMSY10" w:hAnsi="CMSY10"/>
          <w:sz w:val="22"/>
          <w:szCs w:val="22"/>
        </w:rPr>
        <w:t>M</w:t>
      </w:r>
      <w:r>
        <w:rPr>
          <w:rFonts w:eastAsia="Calibri" w:cs="CMMI8" w:ascii="CMMI8" w:hAnsi="CMMI8"/>
          <w:sz w:val="16"/>
          <w:szCs w:val="16"/>
        </w:rPr>
        <w:t>c</w:t>
      </w:r>
      <w:r>
        <w:rPr>
          <w:rFonts w:eastAsia="Calibri" w:cs="CMR10" w:ascii="CMR10" w:hAnsi="CMR10"/>
          <w:sz w:val="22"/>
          <w:szCs w:val="22"/>
        </w:rPr>
        <w:t>. In so doing, the underdetermination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is (apparently) broken, for in so interpreting</w:t>
      </w:r>
    </w:p>
    <w:p>
      <w:pPr>
        <w:pStyle w:val="Normal"/>
        <w:spacing w:before="0" w:after="0"/>
        <w:contextualSpacing/>
        <w:jc w:val="left"/>
        <w:rPr/>
      </w:pP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2</w:t>
      </w:r>
      <w:r>
        <w:rPr>
          <w:rFonts w:eastAsia="Calibri" w:cs="CMR10" w:ascii="CMR10" w:hAnsi="CMR10"/>
          <w:sz w:val="22"/>
          <w:szCs w:val="22"/>
        </w:rPr>
        <w:t>, these solutions may be regarded as representing</w:t>
      </w:r>
    </w:p>
    <w:p>
      <w:pPr>
        <w:pStyle w:val="Normal"/>
        <w:spacing w:before="0" w:after="0"/>
        <w:contextualSpacing/>
        <w:jc w:val="left"/>
        <w:rPr/>
      </w:pPr>
      <w:r>
        <w:rPr>
          <w:rFonts w:eastAsia="Calibri" w:cs="CMR10" w:ascii="CMR10" w:hAnsi="CMR10"/>
          <w:sz w:val="22"/>
          <w:szCs w:val="22"/>
        </w:rPr>
        <w:t xml:space="preserve">the </w:t>
      </w:r>
      <w:r>
        <w:rPr>
          <w:rFonts w:eastAsia="Calibri" w:cs="CMTI10" w:ascii="CMTI10" w:hAnsi="CMTI10"/>
          <w:sz w:val="22"/>
          <w:szCs w:val="22"/>
        </w:rPr>
        <w:t xml:space="preserve">same </w:t>
      </w:r>
      <w:r>
        <w:rPr>
          <w:rFonts w:eastAsia="Calibri" w:cs="CMR10" w:ascii="CMR10" w:hAnsi="CMR10"/>
          <w:sz w:val="22"/>
          <w:szCs w:val="22"/>
        </w:rPr>
        <w:t xml:space="preserve">world—call it </w:t>
      </w:r>
      <w:r>
        <w:rPr>
          <w:rFonts w:eastAsia="Calibri" w:cs="CMMI10" w:ascii="CMMI10" w:hAnsi="CMMI10"/>
          <w:sz w:val="22"/>
          <w:szCs w:val="22"/>
        </w:rPr>
        <w:t>W</w:t>
      </w:r>
      <w:r>
        <w:rPr>
          <w:rFonts w:eastAsia="Calibri" w:cs="CMMI8" w:ascii="CMMI8" w:hAnsi="CMMI8"/>
          <w:sz w:val="16"/>
          <w:szCs w:val="16"/>
        </w:rPr>
        <w:t>c</w:t>
      </w:r>
      <w:r>
        <w:rPr>
          <w:rFonts w:eastAsia="Calibri" w:cs="CMR10" w:ascii="CMR10" w:hAnsi="CMR10"/>
          <w:sz w:val="22"/>
          <w:szCs w:val="22"/>
        </w:rPr>
        <w:t>—the ontology of which is taken to</w:t>
      </w:r>
    </w:p>
    <w:p>
      <w:pPr>
        <w:pStyle w:val="Normal"/>
        <w:spacing w:before="0" w:after="0"/>
        <w:contextualSpacing/>
        <w:jc w:val="left"/>
        <w:rPr/>
      </w:pPr>
      <w:r>
        <w:rPr>
          <w:rFonts w:eastAsia="Calibri" w:cs="CMR10" w:ascii="CMR10" w:hAnsi="CMR10"/>
          <w:sz w:val="22"/>
          <w:szCs w:val="22"/>
        </w:rPr>
        <w:t xml:space="preserve">be represented by </w:t>
      </w:r>
      <w:r>
        <w:rPr>
          <w:rFonts w:eastAsia="Calibri" w:cs="CMSY10" w:ascii="CMSY10" w:hAnsi="CMSY10"/>
          <w:sz w:val="22"/>
          <w:szCs w:val="22"/>
        </w:rPr>
        <w:t>M</w:t>
      </w:r>
      <w:r>
        <w:rPr>
          <w:rFonts w:eastAsia="Calibri" w:cs="CMMI8" w:ascii="CMMI8" w:hAnsi="CMMI8"/>
          <w:sz w:val="16"/>
          <w:szCs w:val="16"/>
        </w:rPr>
        <w:t>c</w:t>
      </w:r>
      <w:r>
        <w:rPr>
          <w:rFonts w:eastAsia="Calibri" w:cs="CMR10" w:ascii="CMR10" w:hAnsi="CMR10"/>
          <w:sz w:val="22"/>
          <w:szCs w:val="22"/>
        </w:rPr>
        <w: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 this paper, our concerns are twofold: (1) We contend that both</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discriminatory and common core approaches are more subtle than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has hitherto been appreciated—and in fact, both approaches are consistent</w:t>
      </w:r>
    </w:p>
    <w:p>
      <w:pPr>
        <w:pStyle w:val="Normal"/>
        <w:spacing w:before="0" w:after="0"/>
        <w:contextualSpacing/>
        <w:jc w:val="left"/>
        <w:rPr/>
      </w:pPr>
      <w:r>
        <w:rPr>
          <w:rFonts w:eastAsia="Calibri" w:cs="CMR10" w:ascii="CMR10" w:hAnsi="CMR10"/>
          <w:sz w:val="22"/>
          <w:szCs w:val="22"/>
        </w:rPr>
        <w:t xml:space="preserve">with a number of </w:t>
      </w:r>
      <w:r>
        <w:rPr>
          <w:rFonts w:eastAsia="Calibri" w:cs="CMTI10" w:ascii="CMTI10" w:hAnsi="CMTI10"/>
          <w:sz w:val="22"/>
          <w:szCs w:val="22"/>
        </w:rPr>
        <w:t>distinct</w:t>
      </w:r>
      <w:r>
        <w:rPr>
          <w:rFonts w:eastAsia="Calibri" w:cs="CMR10" w:ascii="CMR10" w:hAnsi="CMR10"/>
          <w:sz w:val="22"/>
          <w:szCs w:val="22"/>
        </w:rPr>
        <w:t>, more fine-grained views, only some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of which overcome the putative underdetermination in the case of</w:t>
      </w:r>
    </w:p>
    <w:p>
      <w:pPr>
        <w:pStyle w:val="Normal"/>
        <w:spacing w:before="0" w:after="0"/>
        <w:contextualSpacing/>
        <w:jc w:val="left"/>
        <w:rPr/>
      </w:pPr>
      <w:r>
        <w:rPr>
          <w:rFonts w:eastAsia="Calibri" w:cs="CMR10" w:ascii="CMR10" w:hAnsi="CMR10"/>
          <w:sz w:val="22"/>
          <w:szCs w:val="22"/>
        </w:rPr>
        <w:t xml:space="preserve">dualities. (2) We maintain that there exist (at least) two </w:t>
      </w:r>
      <w:r>
        <w:rPr>
          <w:rFonts w:eastAsia="Calibri" w:cs="CMTI10" w:ascii="CMTI10" w:hAnsi="CMTI10"/>
          <w:sz w:val="22"/>
          <w:szCs w:val="22"/>
        </w:rPr>
        <w:t xml:space="preserve">further </w:t>
      </w:r>
      <w:r>
        <w:rPr>
          <w:rFonts w:eastAsia="Calibri" w:cs="CMR10" w:ascii="CMR10" w:hAnsi="CMR10"/>
          <w:sz w:val="22"/>
          <w:szCs w:val="22"/>
        </w:rPr>
        <w:t>approaches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for addressing the underdetermination which arises in the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case of dualities—these we call ‘nihilism’ and ‘pluralism’. Roughly</w:t>
      </w:r>
    </w:p>
    <w:p>
      <w:pPr>
        <w:pStyle w:val="Normal"/>
        <w:spacing w:before="0" w:after="0"/>
        <w:contextualSpacing/>
        <w:jc w:val="left"/>
        <w:rPr/>
      </w:pPr>
      <w:r>
        <w:rPr>
          <w:rFonts w:eastAsia="Calibri" w:cs="CMR10" w:ascii="CMR10" w:hAnsi="CMR10"/>
          <w:sz w:val="22"/>
          <w:szCs w:val="22"/>
        </w:rPr>
        <w:t xml:space="preserve">speaking, nihilism is the view that </w:t>
      </w:r>
      <w:r>
        <w:rPr>
          <w:rFonts w:eastAsia="Calibri" w:cs="CMTI10" w:ascii="CMTI10" w:hAnsi="CMTI10"/>
          <w:sz w:val="22"/>
          <w:szCs w:val="22"/>
        </w:rPr>
        <w:t xml:space="preserve">no </w:t>
      </w:r>
      <w:r>
        <w:rPr>
          <w:rFonts w:eastAsia="Calibri" w:cs="CMR10" w:ascii="CMR10" w:hAnsi="CMR10"/>
          <w:sz w:val="22"/>
          <w:szCs w:val="22"/>
        </w:rPr>
        <w:t>solutions of dual theories constitute</w:t>
      </w:r>
    </w:p>
    <w:p>
      <w:pPr>
        <w:pStyle w:val="Normal"/>
        <w:spacing w:before="0" w:after="0"/>
        <w:contextualSpacing/>
        <w:jc w:val="left"/>
        <w:rPr/>
      </w:pPr>
      <w:r>
        <w:rPr>
          <w:rFonts w:eastAsia="Calibri" w:cs="CMR10" w:ascii="CMR10" w:hAnsi="CMR10"/>
          <w:sz w:val="22"/>
          <w:szCs w:val="22"/>
        </w:rPr>
        <w:t>legitimate descriptions of the actual world;</w:t>
      </w:r>
      <w:r>
        <w:rPr>
          <w:rFonts w:eastAsia="Calibri" w:cs="CMR8" w:ascii="CMR8" w:hAnsi="CMR8"/>
          <w:sz w:val="16"/>
          <w:szCs w:val="16"/>
        </w:rPr>
        <w:t xml:space="preserve">10 </w:t>
      </w:r>
      <w:r>
        <w:rPr>
          <w:rFonts w:eastAsia="Calibri" w:cs="CMR10" w:ascii="CMR10" w:hAnsi="CMR10"/>
          <w:sz w:val="22"/>
          <w:szCs w:val="22"/>
        </w:rPr>
        <w:t>pluralism is the</w:t>
      </w:r>
    </w:p>
    <w:p>
      <w:pPr>
        <w:pStyle w:val="Normal"/>
        <w:spacing w:before="0" w:after="0"/>
        <w:contextualSpacing/>
        <w:jc w:val="left"/>
        <w:rPr/>
      </w:pPr>
      <w:r>
        <w:rPr>
          <w:rFonts w:eastAsia="Calibri" w:cs="CMR10" w:ascii="CMR10" w:hAnsi="CMR10"/>
          <w:sz w:val="22"/>
          <w:szCs w:val="22"/>
        </w:rPr>
        <w:t xml:space="preserve">view that </w:t>
      </w:r>
      <w:r>
        <w:rPr>
          <w:rFonts w:eastAsia="Calibri" w:cs="CMTI10" w:ascii="CMTI10" w:hAnsi="CMTI10"/>
          <w:sz w:val="22"/>
          <w:szCs w:val="22"/>
        </w:rPr>
        <w:t xml:space="preserve">all </w:t>
      </w:r>
      <w:r>
        <w:rPr>
          <w:rFonts w:eastAsia="Calibri" w:cs="CMR10" w:ascii="CMR10" w:hAnsi="CMR10"/>
          <w:sz w:val="22"/>
          <w:szCs w:val="22"/>
        </w:rPr>
        <w:t xml:space="preserve">dual solutions may be taken to represent </w:t>
      </w:r>
      <w:r>
        <w:rPr>
          <w:rFonts w:eastAsia="Calibri" w:cs="CMTI10" w:ascii="CMTI10" w:hAnsi="CMTI10"/>
          <w:sz w:val="22"/>
          <w:szCs w:val="22"/>
        </w:rPr>
        <w:t xml:space="preserve">the same </w:t>
      </w:r>
      <w:r>
        <w:rPr>
          <w:rFonts w:eastAsia="Calibri" w:cs="CMR10" w:ascii="CMR10" w:hAnsi="CMR10"/>
          <w:sz w:val="22"/>
          <w:szCs w:val="22"/>
        </w:rPr>
        <w:t>actual</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world—but not because such a world is represented by the common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core of those solutions, but rather because the structure of all dual</w:t>
      </w:r>
    </w:p>
    <w:p>
      <w:pPr>
        <w:pStyle w:val="Normal"/>
        <w:spacing w:before="0" w:after="0"/>
        <w:contextualSpacing/>
        <w:jc w:val="left"/>
        <w:rPr/>
      </w:pPr>
      <w:r>
        <w:rPr>
          <w:rFonts w:eastAsia="Calibri" w:cs="CMR10" w:ascii="CMR10" w:hAnsi="CMR10"/>
          <w:sz w:val="22"/>
          <w:szCs w:val="22"/>
        </w:rPr>
        <w:t xml:space="preserve">solutions may be instantiated </w:t>
      </w:r>
      <w:r>
        <w:rPr>
          <w:rFonts w:eastAsia="Calibri" w:cs="CMTI10" w:ascii="CMTI10" w:hAnsi="CMTI10"/>
          <w:sz w:val="22"/>
          <w:szCs w:val="22"/>
        </w:rPr>
        <w:t>simultaneously</w:t>
      </w:r>
      <w:r>
        <w:rPr>
          <w:rFonts w:eastAsia="Calibri" w:cs="CMR10" w:ascii="CMR10" w:hAnsi="CMR10"/>
          <w:sz w:val="22"/>
          <w:szCs w:val="22"/>
        </w:rPr>
        <w:t>.</w:t>
      </w:r>
      <w:r>
        <w:rPr>
          <w:rFonts w:eastAsia="Calibri" w:cs="CMR8" w:ascii="CMR8" w:hAnsi="CMR8"/>
          <w:sz w:val="16"/>
          <w:szCs w:val="16"/>
        </w:rPr>
        <w:t>11</w:t>
      </w:r>
      <w:r>
        <w:rPr>
          <w:rFonts w:eastAsia="Calibri" w:cs="CMR10" w:ascii="CMR10" w:hAnsi="CMR10"/>
          <w:sz w:val="22"/>
          <w:szCs w:val="22"/>
        </w:rPr>
        <w:t xml:space="preserve"> (pp. 5-6) </w:t>
      </w:r>
      <w:r>
        <w:rPr>
          <w:rFonts w:eastAsia="Calibri" w:cs="CMR10" w:ascii="CMR10" w:hAnsi="CMR10"/>
          <w:b/>
          <w:color w:val="FF0000"/>
          <w:sz w:val="22"/>
          <w:szCs w:val="22"/>
        </w:rPr>
        <w:t>[EXACTLY MY EDWS]</w:t>
      </w:r>
      <w:r>
        <w:rPr>
          <w:rFonts w:eastAsia="Calibri" w:cs="CMR10" w:ascii="CMR10" w:hAnsi="CMR10"/>
          <w:color w:val="FF0000"/>
          <w:sz w:val="22"/>
          <w:szCs w:val="22"/>
        </w:rPr>
        <w:t xml:space="preserve"> </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We identify two: (i) a tactic—common in the physics literature—of</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attempting to embed the two dual theories into some ‘deeper’ theory</w:t>
      </w:r>
    </w:p>
    <w:p>
      <w:pPr>
        <w:pStyle w:val="Normal"/>
        <w:spacing w:before="0" w:after="0"/>
        <w:contextualSpacing/>
        <w:jc w:val="left"/>
        <w:rPr/>
      </w:pPr>
      <w:r>
        <w:rPr>
          <w:rFonts w:eastAsia="Calibri" w:cs="CMR10" w:ascii="CMR10" w:hAnsi="CMR10"/>
          <w:sz w:val="22"/>
          <w:szCs w:val="22"/>
        </w:rPr>
        <w:t>(</w:t>
      </w:r>
      <w:r>
        <w:rPr>
          <w:rFonts w:eastAsia="Calibri" w:cs="CMSY10" w:ascii="CMSY10" w:hAnsi="CMSY10"/>
          <w:sz w:val="22"/>
          <w:szCs w:val="22"/>
        </w:rPr>
        <w:t>§</w:t>
      </w:r>
      <w:r>
        <w:rPr>
          <w:rFonts w:eastAsia="Calibri" w:cs="CMR10" w:ascii="CMR10" w:hAnsi="CMR10"/>
          <w:sz w:val="22"/>
          <w:szCs w:val="22"/>
        </w:rPr>
        <w:t>8.1); and (ii) the ‘pluralist’ strategy indicated above, in which the</w:t>
      </w:r>
    </w:p>
    <w:p>
      <w:pPr>
        <w:pStyle w:val="Normal"/>
        <w:spacing w:before="0" w:after="0"/>
        <w:contextualSpacing/>
        <w:jc w:val="left"/>
        <w:rPr/>
      </w:pPr>
      <w:r>
        <w:rPr>
          <w:rFonts w:eastAsia="Calibri" w:cs="CMR10" w:ascii="CMR10" w:hAnsi="CMR10"/>
          <w:sz w:val="22"/>
          <w:szCs w:val="22"/>
        </w:rPr>
        <w:t xml:space="preserve">structures of all dual solutions are regarded as being </w:t>
      </w:r>
      <w:r>
        <w:rPr>
          <w:rFonts w:eastAsia="Calibri" w:cs="CMTI10" w:ascii="CMTI10" w:hAnsi="CMTI10"/>
          <w:sz w:val="22"/>
          <w:szCs w:val="22"/>
        </w:rPr>
        <w:t xml:space="preserve">jointly </w:t>
      </w:r>
      <w:r>
        <w:rPr>
          <w:rFonts w:eastAsia="Calibri" w:cs="CMR10" w:ascii="CMR10" w:hAnsi="CMR10"/>
          <w:sz w:val="22"/>
          <w:szCs w:val="22"/>
        </w:rPr>
        <w:t>instantiated</w:t>
      </w:r>
    </w:p>
    <w:p>
      <w:pPr>
        <w:pStyle w:val="Normal"/>
        <w:spacing w:before="0" w:after="0"/>
        <w:contextualSpacing/>
        <w:jc w:val="left"/>
        <w:rPr/>
      </w:pPr>
      <w:r>
        <w:rPr>
          <w:rFonts w:eastAsia="Calibri" w:cs="CMR10" w:ascii="CMR10" w:hAnsi="CMR10"/>
          <w:sz w:val="22"/>
          <w:szCs w:val="22"/>
        </w:rPr>
        <w:t>(</w:t>
      </w:r>
      <w:r>
        <w:rPr>
          <w:rFonts w:eastAsia="Calibri" w:cs="CMSY10" w:ascii="CMSY10" w:hAnsi="CMSY10"/>
          <w:sz w:val="22"/>
          <w:szCs w:val="22"/>
        </w:rPr>
        <w:t>§</w:t>
      </w:r>
      <w:r>
        <w:rPr>
          <w:rFonts w:eastAsia="Calibri" w:cs="CMR10" w:ascii="CMR10" w:hAnsi="CMR10"/>
          <w:sz w:val="22"/>
          <w:szCs w:val="22"/>
        </w:rPr>
        <w:t>8.2). (p. 9)</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Should one rest satisfied with the underdetermination interpretation?</w:t>
      </w:r>
    </w:p>
    <w:p>
      <w:pPr>
        <w:pStyle w:val="Normal"/>
        <w:spacing w:before="0" w:after="0"/>
        <w:contextualSpacing/>
        <w:jc w:val="left"/>
        <w:rPr/>
      </w:pPr>
      <w:r>
        <w:rPr>
          <w:rFonts w:eastAsia="Calibri" w:cs="CMR10" w:ascii="CMR10" w:hAnsi="CMR10"/>
          <w:sz w:val="22"/>
          <w:szCs w:val="22"/>
        </w:rPr>
        <w:t xml:space="preserve">Arguably </w:t>
      </w:r>
      <w:r>
        <w:rPr>
          <w:rFonts w:eastAsia="Calibri" w:cs="CMTI10" w:ascii="CMTI10" w:hAnsi="CMTI10"/>
          <w:sz w:val="22"/>
          <w:szCs w:val="22"/>
        </w:rPr>
        <w:t>no</w:t>
      </w:r>
      <w:r>
        <w:rPr>
          <w:rFonts w:eastAsia="Calibri" w:cs="CMR10" w:ascii="CMR10" w:hAnsi="CMR10"/>
          <w:sz w:val="22"/>
          <w:szCs w:val="22"/>
        </w:rPr>
        <w:t>, for in cases of underdetermination, it is impossible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to ascertain which of a class of empirically equivalent worlds—all empirically</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adequate to the actual world—is, in fact, the actual world.</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Thus, underdetermination gives rise to a sceptical challenge: absent a</w:t>
      </w:r>
    </w:p>
    <w:p>
      <w:pPr>
        <w:pStyle w:val="Normal"/>
        <w:spacing w:before="0" w:after="0"/>
        <w:contextualSpacing/>
        <w:jc w:val="left"/>
        <w:rPr/>
      </w:pPr>
      <w:r>
        <w:rPr>
          <w:rFonts w:eastAsia="Calibri" w:cs="CMR10" w:ascii="CMR10" w:hAnsi="CMR10"/>
          <w:sz w:val="22"/>
          <w:szCs w:val="22"/>
        </w:rPr>
        <w:t xml:space="preserve">means of determining which of a class of worlds is the actual world, </w:t>
      </w:r>
      <w:r>
        <w:rPr>
          <w:rFonts w:eastAsia="Calibri" w:cs="CMTI10" w:ascii="CMTI10" w:hAnsi="CMTI10"/>
          <w:sz w:val="22"/>
          <w:szCs w:val="22"/>
        </w:rPr>
        <w:t>we</w:t>
      </w:r>
    </w:p>
    <w:p>
      <w:pPr>
        <w:pStyle w:val="Normal"/>
        <w:spacing w:before="0" w:after="0"/>
        <w:contextualSpacing/>
        <w:jc w:val="left"/>
        <w:rPr/>
      </w:pPr>
      <w:r>
        <w:rPr>
          <w:rFonts w:eastAsia="Calibri" w:cs="CMTI10" w:ascii="CMTI10" w:hAnsi="CMTI10"/>
          <w:sz w:val="22"/>
          <w:szCs w:val="22"/>
        </w:rPr>
        <w:t>have at hand no determinate picture of what the world is really like</w:t>
      </w:r>
      <w:r>
        <w:rPr>
          <w:rFonts w:eastAsia="Calibri" w:cs="CMR10" w:ascii="CMR10" w:hAnsi="CMR10"/>
          <w:sz w:val="22"/>
          <w:szCs w:val="22"/>
        </w:rPr>
        <w:t xml:space="preserve">. </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One might seek to overcome such underdetermination in the following</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way: identify the ‘common mathematical core’ of the duality- related solutions under consideration, and take the actual world to be</w:t>
      </w:r>
    </w:p>
    <w:p>
      <w:pPr>
        <w:pStyle w:val="Normal"/>
        <w:spacing w:before="0" w:after="0"/>
        <w:contextualSpacing/>
        <w:jc w:val="left"/>
        <w:rPr/>
      </w:pPr>
      <w:r>
        <w:rPr>
          <w:rFonts w:eastAsia="Calibri" w:cs="CMR10" w:ascii="CMR10" w:hAnsi="CMR10"/>
          <w:sz w:val="22"/>
          <w:szCs w:val="22"/>
        </w:rPr>
        <w:t>represented by this common mathematical core.</w:t>
      </w:r>
      <w:r>
        <w:rPr>
          <w:rFonts w:eastAsia="Calibri" w:cs="CMR8" w:ascii="CMR8" w:hAnsi="CMR8"/>
          <w:sz w:val="16"/>
          <w:szCs w:val="16"/>
        </w:rPr>
        <w:t xml:space="preserve">19 </w:t>
      </w:r>
      <w:r>
        <w:rPr>
          <w:rFonts w:eastAsia="Calibri" w:cs="CMR10" w:ascii="CMR10" w:hAnsi="CMR10"/>
          <w:sz w:val="22"/>
          <w:szCs w:val="22"/>
        </w:rPr>
        <w:t>This, in e</w:t>
      </w:r>
      <w:r>
        <w:rPr>
          <w:rFonts w:eastAsia="Calibri" w:cs="Cambria Math" w:ascii="Cambria Math" w:hAnsi="Cambria Math"/>
          <w:sz w:val="22"/>
          <w:szCs w:val="22"/>
        </w:rPr>
        <w:t>↵</w:t>
      </w:r>
      <w:r>
        <w:rPr>
          <w:rFonts w:eastAsia="Calibri" w:cs="CMR10" w:ascii="CMR10" w:hAnsi="CMR10"/>
          <w:sz w:val="22"/>
          <w:szCs w:val="22"/>
        </w:rPr>
        <w:t>ect, takes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us from scenario (2) of figure 1, to scenario (1). Note, however, that</w:t>
      </w:r>
    </w:p>
    <w:p>
      <w:pPr>
        <w:pStyle w:val="Normal"/>
        <w:spacing w:before="0" w:after="0"/>
        <w:contextualSpacing/>
        <w:jc w:val="left"/>
        <w:rPr/>
      </w:pPr>
      <w:r>
        <w:rPr>
          <w:rFonts w:eastAsia="Calibri" w:cs="CMR10" w:ascii="CMR10" w:hAnsi="CMR10"/>
          <w:sz w:val="22"/>
          <w:szCs w:val="22"/>
        </w:rPr>
        <w:t xml:space="preserve">in itself such a move is </w:t>
      </w:r>
      <w:r>
        <w:rPr>
          <w:rFonts w:eastAsia="Calibri" w:cs="CMTI10" w:ascii="CMTI10" w:hAnsi="CMTI10"/>
          <w:sz w:val="22"/>
          <w:szCs w:val="22"/>
        </w:rPr>
        <w:t xml:space="preserve">insufficient </w:t>
      </w:r>
      <w:r>
        <w:rPr>
          <w:rFonts w:eastAsia="Calibri" w:cs="CMR10" w:ascii="CMR10" w:hAnsi="CMR10"/>
          <w:sz w:val="22"/>
          <w:szCs w:val="22"/>
        </w:rPr>
        <w:t>to resolve the underdetermination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under consideration. Indeed, there is a sense in which, absent further</w:t>
      </w:r>
    </w:p>
    <w:p>
      <w:pPr>
        <w:pStyle w:val="Normal"/>
        <w:spacing w:before="0" w:after="0"/>
        <w:contextualSpacing/>
        <w:jc w:val="left"/>
        <w:rPr/>
      </w:pPr>
      <w:r>
        <w:rPr>
          <w:rFonts w:eastAsia="Calibri" w:cs="CMR10" w:ascii="CMR10" w:hAnsi="CMR10"/>
          <w:sz w:val="22"/>
          <w:szCs w:val="22"/>
        </w:rPr>
        <w:t xml:space="preserve">philosophical details, such a move has made the situation </w:t>
      </w:r>
      <w:r>
        <w:rPr>
          <w:rFonts w:eastAsia="Calibri" w:cs="CMTI10" w:ascii="CMTI10" w:hAnsi="CMTI10"/>
          <w:sz w:val="22"/>
          <w:szCs w:val="22"/>
        </w:rPr>
        <w:t>worse</w:t>
      </w:r>
      <w:r>
        <w:rPr>
          <w:rFonts w:eastAsia="Calibri" w:cs="CMR10" w:ascii="CMR10" w:hAnsi="CMR10"/>
          <w:sz w:val="22"/>
          <w:szCs w:val="22"/>
        </w:rPr>
        <w:t>: we</w:t>
      </w:r>
    </w:p>
    <w:p>
      <w:pPr>
        <w:pStyle w:val="Normal"/>
        <w:spacing w:before="0" w:after="0"/>
        <w:contextualSpacing/>
        <w:jc w:val="left"/>
        <w:rPr/>
      </w:pPr>
      <w:r>
        <w:rPr>
          <w:rFonts w:eastAsia="Calibri" w:cs="CMR10" w:ascii="CMR10" w:hAnsi="CMR10"/>
          <w:sz w:val="22"/>
          <w:szCs w:val="22"/>
        </w:rPr>
        <w:t>have, in e</w:t>
      </w:r>
      <w:r>
        <w:rPr>
          <w:rFonts w:eastAsia="Calibri" w:cs="Cambria Math" w:ascii="Cambria Math" w:hAnsi="Cambria Math"/>
          <w:sz w:val="22"/>
          <w:szCs w:val="22"/>
        </w:rPr>
        <w:t>↵</w:t>
      </w:r>
      <w:r>
        <w:rPr>
          <w:rFonts w:eastAsia="Calibri" w:cs="CMR10" w:ascii="CMR10" w:hAnsi="CMR10"/>
          <w:sz w:val="22"/>
          <w:szCs w:val="22"/>
        </w:rPr>
        <w:t xml:space="preserve">ect, identified a </w:t>
      </w:r>
      <w:r>
        <w:rPr>
          <w:rFonts w:eastAsia="Calibri" w:cs="CMTI10" w:ascii="CMTI10" w:hAnsi="CMTI10"/>
          <w:sz w:val="22"/>
          <w:szCs w:val="22"/>
        </w:rPr>
        <w:t xml:space="preserve">further </w:t>
      </w:r>
      <w:r>
        <w:rPr>
          <w:rFonts w:eastAsia="Calibri" w:cs="CMR10" w:ascii="CMR10" w:hAnsi="CMR10"/>
          <w:sz w:val="22"/>
          <w:szCs w:val="22"/>
        </w:rPr>
        <w:t>world which is empirically adequate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to the actual world. (pp. 11-12)</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Faced with such a passage, the question arises naturally: why</w:t>
      </w:r>
    </w:p>
    <w:p>
      <w:pPr>
        <w:pStyle w:val="Normal"/>
        <w:spacing w:before="0" w:after="0"/>
        <w:contextualSpacing/>
        <w:jc w:val="left"/>
        <w:rPr/>
      </w:pPr>
      <w:r>
        <w:rPr>
          <w:rFonts w:eastAsia="Calibri" w:cs="CMR10" w:ascii="CMR10" w:hAnsi="CMR10"/>
          <w:sz w:val="22"/>
          <w:szCs w:val="22"/>
        </w:rPr>
        <w:t xml:space="preserve">should the </w:t>
      </w:r>
      <w:r>
        <w:rPr>
          <w:rFonts w:eastAsia="Calibri" w:cs="CMTI10" w:ascii="CMTI10" w:hAnsi="CMTI10"/>
          <w:sz w:val="22"/>
          <w:szCs w:val="22"/>
        </w:rPr>
        <w:t xml:space="preserve">epistemological </w:t>
      </w:r>
      <w:r>
        <w:rPr>
          <w:rFonts w:eastAsia="Calibri" w:cs="CMR10" w:ascii="CMR10" w:hAnsi="CMR10"/>
          <w:sz w:val="22"/>
          <w:szCs w:val="22"/>
        </w:rPr>
        <w:t>fact about what human beings happen to</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currently know about two dual theories relative to one another warrant</w:t>
      </w:r>
    </w:p>
    <w:p>
      <w:pPr>
        <w:pStyle w:val="Normal"/>
        <w:spacing w:before="0" w:after="0"/>
        <w:contextualSpacing/>
        <w:jc w:val="left"/>
        <w:rPr/>
      </w:pPr>
      <w:r>
        <w:rPr>
          <w:rFonts w:eastAsia="Calibri" w:cs="CMR10" w:ascii="CMR10" w:hAnsi="CMR10"/>
          <w:sz w:val="22"/>
          <w:szCs w:val="22"/>
        </w:rPr>
        <w:t xml:space="preserve">the </w:t>
      </w:r>
      <w:r>
        <w:rPr>
          <w:rFonts w:eastAsia="Calibri" w:cs="CMTI10" w:ascii="CMTI10" w:hAnsi="CMTI10"/>
          <w:sz w:val="22"/>
          <w:szCs w:val="22"/>
        </w:rPr>
        <w:t xml:space="preserve">metaphysical </w:t>
      </w:r>
      <w:r>
        <w:rPr>
          <w:rFonts w:eastAsia="Calibri" w:cs="CMR10" w:ascii="CMR10" w:hAnsi="CMR10"/>
          <w:sz w:val="22"/>
          <w:szCs w:val="22"/>
        </w:rPr>
        <w:t>conclusion that the theory about which we currently</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know more must give the correct description of the world? Such worries</w:t>
      </w:r>
    </w:p>
    <w:p>
      <w:pPr>
        <w:pStyle w:val="Normal"/>
        <w:spacing w:before="0" w:after="0"/>
        <w:contextualSpacing/>
        <w:jc w:val="left"/>
        <w:rPr/>
      </w:pPr>
      <w:r>
        <w:rPr>
          <w:rFonts w:eastAsia="Calibri" w:cs="CMR10" w:ascii="CMR10" w:hAnsi="CMR10"/>
          <w:sz w:val="22"/>
          <w:szCs w:val="22"/>
        </w:rPr>
        <w:t xml:space="preserve">have been expressed by Teh [54, </w:t>
      </w:r>
      <w:r>
        <w:rPr>
          <w:rFonts w:eastAsia="Calibri" w:cs="CMSY10" w:ascii="CMSY10" w:hAnsi="CMSY10"/>
          <w:sz w:val="22"/>
          <w:szCs w:val="22"/>
        </w:rPr>
        <w:t>§</w:t>
      </w:r>
      <w:r>
        <w:rPr>
          <w:rFonts w:eastAsia="Calibri" w:cs="CMR10" w:ascii="CMR10" w:hAnsi="CMR10"/>
          <w:sz w:val="22"/>
          <w:szCs w:val="22"/>
        </w:rPr>
        <w:t>4], and most explicitly by Dieks,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van Dongen, and De Haro [12, 23]. What is needed is some argument</w:t>
      </w:r>
    </w:p>
    <w:p>
      <w:pPr>
        <w:pStyle w:val="Normal"/>
        <w:spacing w:before="0" w:after="0"/>
        <w:contextualSpacing/>
        <w:jc w:val="left"/>
        <w:rPr/>
      </w:pPr>
      <w:r>
        <w:rPr>
          <w:rFonts w:eastAsia="Calibri" w:cs="CMR10" w:ascii="CMR10" w:hAnsi="CMR10"/>
          <w:sz w:val="22"/>
          <w:szCs w:val="22"/>
        </w:rPr>
        <w:t>to the e</w:t>
      </w:r>
      <w:r>
        <w:rPr>
          <w:rFonts w:eastAsia="Calibri" w:cs="Cambria Math" w:ascii="Cambria Math" w:hAnsi="Cambria Math"/>
          <w:sz w:val="22"/>
          <w:szCs w:val="22"/>
        </w:rPr>
        <w:t>↵</w:t>
      </w:r>
      <w:r>
        <w:rPr>
          <w:rFonts w:eastAsia="Calibri" w:cs="CMR10" w:ascii="CMR10" w:hAnsi="CMR10"/>
          <w:sz w:val="22"/>
          <w:szCs w:val="22"/>
        </w:rPr>
        <w:t>ect that one description of the world has metaphysical priority</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over its dual; such authors, however, treat this with suspicion—for</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example, Teh writes, “We have no good reason to think of the gravitational</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side of the duality as metaphysically emergent from the gauge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 xml:space="preserve">theory side, or vice versa” [54, p. 310]. </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Is this response to Horowitz and Polchinski reasonable? In fact,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there is perhaps room to defend the discriminatory apporach to dualities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such as the AdS/CFT correspondence in the face of such criticism.</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Here is an alternative way to read Horowitz and Polchinski: it is not</w:t>
      </w:r>
    </w:p>
    <w:p>
      <w:pPr>
        <w:pStyle w:val="Normal"/>
        <w:spacing w:before="0" w:after="0"/>
        <w:contextualSpacing/>
        <w:jc w:val="left"/>
        <w:rPr/>
      </w:pPr>
      <w:r>
        <w:rPr>
          <w:rFonts w:eastAsia="Calibri" w:cs="CMR10" w:ascii="CMR10" w:hAnsi="CMR10"/>
          <w:sz w:val="22"/>
          <w:szCs w:val="22"/>
        </w:rPr>
        <w:t xml:space="preserve">that we simply better </w:t>
      </w:r>
      <w:r>
        <w:rPr>
          <w:rFonts w:eastAsia="Calibri" w:cs="CMTI10" w:ascii="CMTI10" w:hAnsi="CMTI10"/>
          <w:sz w:val="22"/>
          <w:szCs w:val="22"/>
        </w:rPr>
        <w:t xml:space="preserve">understand </w:t>
      </w:r>
      <w:r>
        <w:rPr>
          <w:rFonts w:eastAsia="Calibri" w:cs="CMR10" w:ascii="CMR10" w:hAnsi="CMR10"/>
          <w:sz w:val="22"/>
          <w:szCs w:val="22"/>
        </w:rPr>
        <w:t>one of the two dual theories (namely,</w:t>
      </w:r>
    </w:p>
    <w:p>
      <w:pPr>
        <w:pStyle w:val="Normal"/>
        <w:spacing w:before="0" w:after="0"/>
        <w:contextualSpacing/>
        <w:jc w:val="left"/>
        <w:rPr/>
      </w:pPr>
      <w:r>
        <w:rPr>
          <w:rFonts w:eastAsia="Calibri" w:cs="CMR10" w:ascii="CMR10" w:hAnsi="CMR10"/>
          <w:sz w:val="22"/>
          <w:szCs w:val="22"/>
        </w:rPr>
        <w:t xml:space="preserve">the CFT); rather, it is that we only </w:t>
      </w:r>
      <w:r>
        <w:rPr>
          <w:rFonts w:eastAsia="Calibri" w:cs="CMTI10" w:ascii="CMTI10" w:hAnsi="CMTI10"/>
          <w:sz w:val="22"/>
          <w:szCs w:val="22"/>
        </w:rPr>
        <w:t xml:space="preserve">have available </w:t>
      </w:r>
      <w:r>
        <w:rPr>
          <w:rFonts w:eastAsia="Calibri" w:cs="CMR10" w:ascii="CMR10" w:hAnsi="CMR10"/>
          <w:sz w:val="22"/>
          <w:szCs w:val="22"/>
        </w:rPr>
        <w:t>the full mathematical</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structure of the CFT, whereas the other dual theory—the AdS</w:t>
      </w:r>
    </w:p>
    <w:p>
      <w:pPr>
        <w:pStyle w:val="Normal"/>
        <w:spacing w:before="0" w:after="0"/>
        <w:contextualSpacing/>
        <w:jc w:val="left"/>
        <w:rPr/>
      </w:pPr>
      <w:r>
        <w:rPr>
          <w:rFonts w:eastAsia="Calibri" w:cs="CMR10" w:ascii="CMR10" w:hAnsi="CMR10"/>
          <w:sz w:val="22"/>
          <w:szCs w:val="22"/>
        </w:rPr>
        <w:t xml:space="preserve">string theory—is only </w:t>
      </w:r>
      <w:r>
        <w:rPr>
          <w:rFonts w:eastAsia="Calibri" w:cs="CMTI10" w:ascii="CMTI10" w:hAnsi="CMTI10"/>
          <w:sz w:val="22"/>
          <w:szCs w:val="22"/>
        </w:rPr>
        <w:t xml:space="preserve">partly constructed </w:t>
      </w:r>
      <w:r>
        <w:rPr>
          <w:rFonts w:eastAsia="Calibri" w:cs="CMR10" w:ascii="CMR10" w:hAnsi="CMR10"/>
          <w:sz w:val="22"/>
          <w:szCs w:val="22"/>
        </w:rPr>
        <w:t>(our understanding of the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AdS side of the AdS/CFT duality is inherently perturbative—cf. [2]).</w:t>
      </w:r>
    </w:p>
    <w:p>
      <w:pPr>
        <w:pStyle w:val="Normal"/>
        <w:spacing w:before="0" w:after="0"/>
        <w:contextualSpacing/>
        <w:jc w:val="left"/>
        <w:rPr/>
      </w:pPr>
      <w:r>
        <w:rPr>
          <w:rFonts w:eastAsia="Calibri" w:cs="CMR10" w:ascii="CMR10" w:hAnsi="CMR10"/>
          <w:sz w:val="22"/>
          <w:szCs w:val="22"/>
        </w:rPr>
        <w:t>The question here is not (</w:t>
      </w:r>
      <w:r>
        <w:rPr>
          <w:rFonts w:eastAsia="Calibri" w:cs="CMTI10" w:ascii="CMTI10" w:hAnsi="CMTI10"/>
          <w:sz w:val="22"/>
          <w:szCs w:val="22"/>
        </w:rPr>
        <w:t xml:space="preserve">pace </w:t>
      </w:r>
      <w:r>
        <w:rPr>
          <w:rFonts w:eastAsia="Calibri" w:cs="CMR10" w:ascii="CMR10" w:hAnsi="CMR10"/>
          <w:sz w:val="22"/>
          <w:szCs w:val="22"/>
        </w:rPr>
        <w:t>the argument above) one of our only investing</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with ontological import those physical theories which we best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understand, but rather one of our only investing with ontological import</w:t>
      </w:r>
    </w:p>
    <w:p>
      <w:pPr>
        <w:pStyle w:val="Normal"/>
        <w:spacing w:before="0" w:after="0"/>
        <w:contextualSpacing/>
        <w:jc w:val="left"/>
        <w:rPr/>
      </w:pPr>
      <w:r>
        <w:rPr>
          <w:rFonts w:eastAsia="Calibri" w:cs="CMR10" w:ascii="CMR10" w:hAnsi="CMR10"/>
          <w:sz w:val="22"/>
          <w:szCs w:val="22"/>
        </w:rPr>
        <w:t xml:space="preserve">those physical theories which </w:t>
      </w:r>
      <w:r>
        <w:rPr>
          <w:rFonts w:eastAsia="Calibri" w:cs="CMTI10" w:ascii="CMTI10" w:hAnsi="CMTI10"/>
          <w:sz w:val="22"/>
          <w:szCs w:val="22"/>
        </w:rPr>
        <w:t>which we actually have to hand</w:t>
      </w:r>
      <w:r>
        <w:rPr>
          <w:rFonts w:eastAsia="Calibri" w:cs="CMR10" w:ascii="CMR10" w:hAnsi="CMR10"/>
          <w:sz w:val="22"/>
          <w:szCs w:val="22"/>
        </w:rPr>
        <w:t xml:space="preserve">. (p. 14) </w:t>
      </w:r>
      <w:r>
        <w:rPr>
          <w:rFonts w:eastAsia="Calibri" w:cs="CMR10" w:ascii="CMR10" w:hAnsi="CMR10"/>
          <w:color w:val="FF0000"/>
          <w:sz w:val="22"/>
          <w:szCs w:val="22"/>
        </w:rPr>
        <w:t>[exactly my EDWs]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color w:val="FF0000"/>
          <w:sz w:val="22"/>
          <w:szCs w:val="22"/>
        </w:rPr>
      </w:pPr>
      <w:r>
        <w:rPr>
          <w:rFonts w:eastAsia="Calibri" w:cs="CMR10" w:ascii="CMR10" w:hAnsi="CMR10"/>
          <w:color w:val="FF0000"/>
          <w:sz w:val="22"/>
          <w:szCs w:val="22"/>
        </w:rPr>
        <w:t>[here is mentioned de Haro which is on this list]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second sense in which one might be a nihilist is the following.</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Suppose that, for antecedent reasons, one is unsympathetic to a particular</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research programme, e.g. string theory. In that case, one might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reject (for said to-be-articulated antecedent reasons) solutions of all</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e.g. dual string theories as being legitimate candidates to describe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actual world, while remaining a realist, for one might think that</w:t>
      </w:r>
    </w:p>
    <w:p>
      <w:pPr>
        <w:pStyle w:val="Normal"/>
        <w:spacing w:before="0" w:after="0"/>
        <w:contextualSpacing/>
        <w:jc w:val="left"/>
        <w:rPr/>
      </w:pPr>
      <w:r>
        <w:rPr>
          <w:rFonts w:eastAsia="Calibri" w:cs="CMR10" w:ascii="CMR10" w:hAnsi="CMR10"/>
          <w:sz w:val="22"/>
          <w:szCs w:val="22"/>
        </w:rPr>
        <w:t xml:space="preserve">solutions of </w:t>
      </w:r>
      <w:r>
        <w:rPr>
          <w:rFonts w:eastAsia="Calibri" w:cs="CMTI10" w:ascii="CMTI10" w:hAnsi="CMTI10"/>
          <w:sz w:val="22"/>
          <w:szCs w:val="22"/>
        </w:rPr>
        <w:t xml:space="preserve">other </w:t>
      </w:r>
      <w:r>
        <w:rPr>
          <w:rFonts w:eastAsia="Calibri" w:cs="CMR10" w:ascii="CMR10" w:hAnsi="CMR10"/>
          <w:sz w:val="22"/>
          <w:szCs w:val="22"/>
        </w:rPr>
        <w:t>theories (e.g. loop quantum gravity, or extensions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 xml:space="preserve">thereof) may legitimately describe the actual world. (p. 16) </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common core approach purports to identify a possible world ‘isomorphic’</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to the mathematical structure common to the dual solutions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under consideration. Though this approach is popular in the philosophy</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of physics literature (see e.g. [24, 26, 35, 37, 50]), it is not the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only live interpretative option purporting to break the underdetermination.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Indeed, a distinct position—widely embraced in the physics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community in the context of string-theoretic dualities—is to embed</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spaces of solutions of the two dual theories under consideration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into that of some deeper, ‘overarching’ theory. (p. 17)</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What to make of this approach with regard to the problem of underdetermination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arising in the context of dualities? Merely embedding</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spaces of solutions of the two dual theories into that of some</w:t>
      </w:r>
    </w:p>
    <w:p>
      <w:pPr>
        <w:pStyle w:val="Normal"/>
        <w:spacing w:before="0" w:after="0"/>
        <w:contextualSpacing/>
        <w:jc w:val="left"/>
        <w:rPr/>
      </w:pPr>
      <w:r>
        <w:rPr>
          <w:rFonts w:eastAsia="Calibri" w:cs="CMR10" w:ascii="CMR10" w:hAnsi="CMR10"/>
          <w:sz w:val="22"/>
          <w:szCs w:val="22"/>
        </w:rPr>
        <w:t>‘</w:t>
      </w:r>
      <w:r>
        <w:rPr>
          <w:rFonts w:eastAsia="Calibri" w:cs="CMR10" w:ascii="CMR10" w:hAnsi="CMR10"/>
          <w:sz w:val="22"/>
          <w:szCs w:val="22"/>
        </w:rPr>
        <w:t xml:space="preserve">deeper’ theory does </w:t>
      </w:r>
      <w:r>
        <w:rPr>
          <w:rFonts w:eastAsia="Calibri" w:cs="CMTI10" w:ascii="CMTI10" w:hAnsi="CMTI10"/>
          <w:sz w:val="22"/>
          <w:szCs w:val="22"/>
        </w:rPr>
        <w:t xml:space="preserve">not </w:t>
      </w:r>
      <w:r>
        <w:rPr>
          <w:rFonts w:eastAsia="Calibri" w:cs="CMR10" w:ascii="CMR10" w:hAnsi="CMR10"/>
          <w:sz w:val="22"/>
          <w:szCs w:val="22"/>
        </w:rPr>
        <w:t>in itself resolve the underdetermination—for</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again, given the empirical evidence compatible with one dual solution,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it is not clear whether one should embrace the ontological claims of</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 xml:space="preserve">that solution, or of its dual, or of the overarching theory. (p. 18) </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second alternative to the common core approach we dub ‘pluralism’.</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On this approach, we consider the (distinct) structures of each</w:t>
      </w:r>
    </w:p>
    <w:p>
      <w:pPr>
        <w:pStyle w:val="Normal"/>
        <w:spacing w:before="0" w:after="0"/>
        <w:contextualSpacing/>
        <w:jc w:val="left"/>
        <w:rPr/>
      </w:pPr>
      <w:r>
        <w:rPr>
          <w:rFonts w:eastAsia="Calibri" w:cs="CMR10" w:ascii="CMR10" w:hAnsi="CMR10"/>
          <w:sz w:val="22"/>
          <w:szCs w:val="22"/>
        </w:rPr>
        <w:t xml:space="preserve">of the dual solutions under consideration as describing </w:t>
      </w:r>
      <w:r>
        <w:rPr>
          <w:rFonts w:eastAsia="Calibri" w:cs="CMTI10" w:ascii="CMTI10" w:hAnsi="CMTI10"/>
          <w:sz w:val="22"/>
          <w:szCs w:val="22"/>
        </w:rPr>
        <w:t>co-instantiated</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structures in the actual world. That is, on this view, dual solutions</w:t>
      </w:r>
    </w:p>
    <w:p>
      <w:pPr>
        <w:pStyle w:val="Normal"/>
        <w:spacing w:before="0" w:after="0"/>
        <w:contextualSpacing/>
        <w:jc w:val="left"/>
        <w:rPr/>
      </w:pPr>
      <w:r>
        <w:rPr>
          <w:rFonts w:eastAsia="Calibri" w:cs="CMR10" w:ascii="CMR10" w:hAnsi="CMR10"/>
          <w:sz w:val="22"/>
          <w:szCs w:val="22"/>
        </w:rPr>
        <w:t xml:space="preserve">may be taken to represent parts of </w:t>
      </w:r>
      <w:r>
        <w:rPr>
          <w:rFonts w:eastAsia="Calibri" w:cs="CMTI10" w:ascii="CMTI10" w:hAnsi="CMTI10"/>
          <w:sz w:val="22"/>
          <w:szCs w:val="22"/>
        </w:rPr>
        <w:t xml:space="preserve">one </w:t>
      </w:r>
      <w:r>
        <w:rPr>
          <w:rFonts w:eastAsia="Calibri" w:cs="CMR10" w:ascii="CMR10" w:hAnsi="CMR10"/>
          <w:sz w:val="22"/>
          <w:szCs w:val="22"/>
        </w:rPr>
        <w:t>world. Each dual describes</w:t>
      </w:r>
    </w:p>
    <w:p>
      <w:pPr>
        <w:pStyle w:val="Normal"/>
        <w:spacing w:before="0" w:after="0"/>
        <w:contextualSpacing/>
        <w:jc w:val="left"/>
        <w:rPr/>
      </w:pPr>
      <w:r>
        <w:rPr>
          <w:rFonts w:eastAsia="Calibri" w:cs="CMR10" w:ascii="CMR10" w:hAnsi="CMR10"/>
          <w:sz w:val="22"/>
          <w:szCs w:val="22"/>
        </w:rPr>
        <w:t>a seemingly di</w:t>
      </w:r>
      <w:r>
        <w:rPr>
          <w:rFonts w:eastAsia="Calibri" w:cs="Cambria Math" w:ascii="Cambria Math" w:hAnsi="Cambria Math"/>
          <w:sz w:val="22"/>
          <w:szCs w:val="22"/>
        </w:rPr>
        <w:t>↵</w:t>
      </w:r>
      <w:r>
        <w:rPr>
          <w:rFonts w:eastAsia="Calibri" w:cs="CMR10" w:ascii="CMR10" w:hAnsi="CMR10"/>
          <w:sz w:val="22"/>
          <w:szCs w:val="22"/>
        </w:rPr>
        <w:t>erent reality, but each of the structures under consideration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represents a numerically distinct part of one world. Thus,</w:t>
      </w:r>
    </w:p>
    <w:p>
      <w:pPr>
        <w:pStyle w:val="Normal"/>
        <w:spacing w:before="0" w:after="0"/>
        <w:contextualSpacing/>
        <w:jc w:val="left"/>
        <w:rPr/>
      </w:pPr>
      <w:r>
        <w:rPr>
          <w:rFonts w:eastAsia="Calibri" w:cs="CMR10" w:ascii="CMR10" w:hAnsi="CMR10"/>
          <w:sz w:val="22"/>
          <w:szCs w:val="22"/>
        </w:rPr>
        <w:t xml:space="preserve">according to pluralism, the physical world is in a certain sense fragmented. </w:t>
      </w:r>
      <w:r>
        <w:rPr>
          <w:rFonts w:eastAsia="Calibri" w:cs="CMR10" w:ascii="CMR10" w:hAnsi="CMR10"/>
          <w:b/>
          <w:color w:val="FF0000"/>
          <w:sz w:val="22"/>
          <w:szCs w:val="22"/>
        </w:rPr>
        <w:t>[Exactly my EDWs]</w:t>
      </w:r>
    </w:p>
    <w:p>
      <w:pPr>
        <w:pStyle w:val="Normal"/>
        <w:spacing w:before="0" w:after="0"/>
        <w:contextualSpacing/>
        <w:jc w:val="left"/>
        <w:rPr>
          <w:rFonts w:ascii="CMR8" w:hAnsi="CMR8" w:eastAsia="Calibri" w:cs="CMR8"/>
          <w:sz w:val="16"/>
          <w:szCs w:val="16"/>
        </w:rPr>
      </w:pPr>
      <w:r>
        <w:rPr>
          <w:rFonts w:eastAsia="Calibri" w:cs="CMR8" w:ascii="CMR8" w:hAnsi="CMR8"/>
          <w:sz w:val="16"/>
          <w:szCs w:val="16"/>
        </w:rPr>
        <w:t xml:space="preserve">27 </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pluralist strategy must pass a number of hurdles, if it is to be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regarded as being successful. First, if pluralism is to resolve the putative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underdetermination arising in cases of dualities, then, as before,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some principled argument according to which the original dual solutions</w:t>
      </w:r>
    </w:p>
    <w:p>
      <w:pPr>
        <w:pStyle w:val="Normal"/>
        <w:spacing w:before="0" w:after="0"/>
        <w:contextualSpacing/>
        <w:jc w:val="left"/>
        <w:rPr/>
      </w:pPr>
      <w:r>
        <w:rPr>
          <w:rFonts w:eastAsia="Calibri" w:cs="CMR10" w:ascii="CMR10" w:hAnsi="CMR10"/>
          <w:sz w:val="22"/>
          <w:szCs w:val="22"/>
        </w:rPr>
        <w:t xml:space="preserve">are </w:t>
      </w:r>
      <w:r>
        <w:rPr>
          <w:rFonts w:eastAsia="Calibri" w:cs="CMTI10" w:ascii="CMTI10" w:hAnsi="CMTI10"/>
          <w:sz w:val="22"/>
          <w:szCs w:val="22"/>
        </w:rPr>
        <w:t xml:space="preserve">not </w:t>
      </w:r>
      <w:r>
        <w:rPr>
          <w:rFonts w:eastAsia="Calibri" w:cs="CMR10" w:ascii="CMR10" w:hAnsi="CMR10"/>
          <w:sz w:val="22"/>
          <w:szCs w:val="22"/>
        </w:rPr>
        <w:t>legitimate candidates for representing the actual world</w:t>
      </w:r>
    </w:p>
    <w:p>
      <w:pPr>
        <w:pStyle w:val="Normal"/>
        <w:spacing w:before="0" w:after="0"/>
        <w:contextualSpacing/>
        <w:jc w:val="left"/>
        <w:rPr/>
      </w:pPr>
      <w:r>
        <w:rPr>
          <w:rFonts w:eastAsia="Calibri" w:cs="CMR10" w:ascii="CMR10" w:hAnsi="CMR10"/>
          <w:sz w:val="22"/>
          <w:szCs w:val="22"/>
        </w:rPr>
        <w:t xml:space="preserve">must be issued. Note, though, that this is not a problem </w:t>
      </w:r>
      <w:r>
        <w:rPr>
          <w:rFonts w:eastAsia="Calibri" w:cs="CMTI10" w:ascii="CMTI10" w:hAnsi="CMTI10"/>
          <w:sz w:val="22"/>
          <w:szCs w:val="22"/>
        </w:rPr>
        <w:t xml:space="preserve">particular </w:t>
      </w:r>
      <w:r>
        <w:rPr>
          <w:rFonts w:eastAsia="Calibri" w:cs="CMR10" w:ascii="CMR10" w:hAnsi="CMR10"/>
          <w:sz w:val="22"/>
          <w:szCs w:val="22"/>
        </w:rPr>
        <w:t>to</w:t>
      </w:r>
    </w:p>
    <w:p>
      <w:pPr>
        <w:pStyle w:val="Normal"/>
        <w:spacing w:before="0" w:after="0"/>
        <w:contextualSpacing/>
        <w:jc w:val="left"/>
        <w:rPr/>
      </w:pPr>
      <w:r>
        <w:rPr>
          <w:rFonts w:eastAsia="Calibri" w:cs="CMR10" w:ascii="CMR10" w:hAnsi="CMR10"/>
          <w:sz w:val="22"/>
          <w:szCs w:val="22"/>
        </w:rPr>
        <w:t>pluralism.</w:t>
      </w:r>
      <w:r>
        <w:rPr>
          <w:rFonts w:eastAsia="Calibri" w:cs="CMR8" w:ascii="CMR8" w:hAnsi="CMR8"/>
          <w:sz w:val="16"/>
          <w:szCs w:val="16"/>
        </w:rPr>
        <w:t xml:space="preserve"> (p. 19)</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 xml:space="preserve"> </w:t>
      </w:r>
      <w:r>
        <w:rPr>
          <w:rFonts w:eastAsia="Calibri" w:cs="CMR10" w:ascii="CMR10" w:hAnsi="CMR10"/>
          <w:b/>
          <w:sz w:val="22"/>
          <w:szCs w:val="22"/>
        </w:rPr>
        <w:t>As we see it, there exist two central particular issues for pluralism:</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an overdetermination problem, and an ontological problem. On</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the former, since each of the individual dual solutions has certain empirical</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substructures, taken to correspond to the body of empirical</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data in the actual world, it seems that the pluralist strategy has, in a</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certain sense, swapped a problem of underdetermination for a problem</w:t>
      </w:r>
    </w:p>
    <w:p>
      <w:pPr>
        <w:pStyle w:val="Normal"/>
        <w:spacing w:before="0" w:after="0"/>
        <w:contextualSpacing/>
        <w:jc w:val="left"/>
        <w:rPr/>
      </w:pPr>
      <w:r>
        <w:rPr>
          <w:rFonts w:eastAsia="Calibri" w:cs="CMR10" w:ascii="CMR10" w:hAnsi="CMR10"/>
          <w:b/>
          <w:sz w:val="22"/>
          <w:szCs w:val="22"/>
        </w:rPr>
        <w:t xml:space="preserve">of </w:t>
      </w:r>
      <w:r>
        <w:rPr>
          <w:rFonts w:eastAsia="Calibri" w:cs="CMTI10" w:ascii="CMTI10" w:hAnsi="CMTI10"/>
          <w:b/>
          <w:sz w:val="22"/>
          <w:szCs w:val="22"/>
        </w:rPr>
        <w:t>over</w:t>
      </w:r>
      <w:r>
        <w:rPr>
          <w:rFonts w:eastAsia="Calibri" w:cs="CMR10" w:ascii="CMR10" w:hAnsi="CMR10"/>
          <w:b/>
          <w:sz w:val="22"/>
          <w:szCs w:val="22"/>
        </w:rPr>
        <w:t>determination, for now all of the dual structures may be taken to account for that body of empirical data. On the latter, the</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ontological problem is to understand what such a ‘fragmented’ world</w:t>
      </w:r>
    </w:p>
    <w:p>
      <w:pPr>
        <w:pStyle w:val="Normal"/>
        <w:spacing w:before="0" w:after="0"/>
        <w:contextualSpacing/>
        <w:jc w:val="left"/>
        <w:rPr/>
      </w:pPr>
      <w:r>
        <w:rPr>
          <w:rFonts w:eastAsia="Calibri" w:cs="CMR10" w:ascii="CMR10" w:hAnsi="CMR10"/>
          <w:b/>
          <w:sz w:val="22"/>
          <w:szCs w:val="22"/>
        </w:rPr>
        <w:t xml:space="preserve">might look like, and whether the notion is consistent. </w:t>
      </w:r>
      <w:r>
        <w:rPr>
          <w:rFonts w:eastAsia="Calibri" w:cs="CMR10" w:ascii="CMR10" w:hAnsi="CMR10"/>
          <w:b/>
          <w:color w:val="FF0000"/>
          <w:sz w:val="22"/>
          <w:szCs w:val="22"/>
        </w:rPr>
        <w:t>[exactly my EDWs!]</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Let us focus upon the overdetermination problem. There exist</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two central options available by way of response to this issue: either</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the pluralist may claim (a) that only one of the co-instantiated</w:t>
      </w:r>
    </w:p>
    <w:p>
      <w:pPr>
        <w:pStyle w:val="Normal"/>
        <w:spacing w:before="0" w:after="0"/>
        <w:contextualSpacing/>
        <w:jc w:val="left"/>
        <w:rPr/>
      </w:pPr>
      <w:r>
        <w:rPr>
          <w:rFonts w:eastAsia="Calibri" w:cs="CMR10" w:ascii="CMR10" w:hAnsi="CMR10"/>
          <w:b/>
          <w:sz w:val="22"/>
          <w:szCs w:val="22"/>
        </w:rPr>
        <w:t xml:space="preserve">dual structures gives rise to the </w:t>
      </w:r>
      <w:r>
        <w:rPr>
          <w:rFonts w:eastAsia="Calibri" w:cs="CMTI10" w:ascii="CMTI10" w:hAnsi="CMTI10"/>
          <w:b/>
          <w:sz w:val="22"/>
          <w:szCs w:val="22"/>
        </w:rPr>
        <w:t xml:space="preserve">observed </w:t>
      </w:r>
      <w:r>
        <w:rPr>
          <w:rFonts w:eastAsia="Calibri" w:cs="CMR10" w:ascii="CMR10" w:hAnsi="CMR10"/>
          <w:b/>
          <w:sz w:val="22"/>
          <w:szCs w:val="22"/>
        </w:rPr>
        <w:t>empirical data in the actual</w:t>
      </w:r>
    </w:p>
    <w:p>
      <w:pPr>
        <w:pStyle w:val="Normal"/>
        <w:spacing w:before="0" w:after="0"/>
        <w:contextualSpacing/>
        <w:jc w:val="left"/>
        <w:rPr/>
      </w:pPr>
      <w:r>
        <w:rPr>
          <w:rFonts w:eastAsia="Calibri" w:cs="CMR10" w:ascii="CMR10" w:hAnsi="CMR10"/>
          <w:b/>
          <w:sz w:val="22"/>
          <w:szCs w:val="22"/>
        </w:rPr>
        <w:t>world,</w:t>
      </w:r>
      <w:r>
        <w:rPr>
          <w:rFonts w:eastAsia="Calibri" w:cs="CMR8" w:ascii="CMR8" w:hAnsi="CMR8"/>
          <w:b/>
          <w:sz w:val="16"/>
          <w:szCs w:val="16"/>
        </w:rPr>
        <w:t xml:space="preserve">28 </w:t>
      </w:r>
      <w:r>
        <w:rPr>
          <w:rFonts w:eastAsia="Calibri" w:cs="CMR10" w:ascii="CMR10" w:hAnsi="CMR10"/>
          <w:b/>
          <w:sz w:val="22"/>
          <w:szCs w:val="22"/>
        </w:rPr>
        <w:t>or she may claim (b) that that all such structures account</w:t>
      </w:r>
    </w:p>
    <w:p>
      <w:pPr>
        <w:pStyle w:val="Normal"/>
        <w:spacing w:before="0" w:after="0"/>
        <w:contextualSpacing/>
        <w:jc w:val="left"/>
        <w:rPr/>
      </w:pPr>
      <w:r>
        <w:rPr>
          <w:rFonts w:eastAsia="Calibri" w:cs="CMTI10" w:ascii="CMTI10" w:hAnsi="CMTI10"/>
          <w:b/>
          <w:sz w:val="22"/>
          <w:szCs w:val="22"/>
        </w:rPr>
        <w:t xml:space="preserve">non-redundantly </w:t>
      </w:r>
      <w:r>
        <w:rPr>
          <w:rFonts w:eastAsia="Calibri" w:cs="CMR10" w:ascii="CMR10" w:hAnsi="CMR10"/>
          <w:b/>
          <w:sz w:val="22"/>
          <w:szCs w:val="22"/>
        </w:rPr>
        <w:t>for that data. In our view, there exist legitimate</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concerns regarding both proposals; let us discuss them in turn.</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On the former view—(a)—the observed empirical data in the actual</w:t>
      </w:r>
    </w:p>
    <w:p>
      <w:pPr>
        <w:pStyle w:val="Normal"/>
        <w:spacing w:before="0" w:after="0"/>
        <w:contextualSpacing/>
        <w:jc w:val="left"/>
        <w:rPr/>
      </w:pPr>
      <w:r>
        <w:rPr>
          <w:rFonts w:eastAsia="Calibri" w:cs="CMR10" w:ascii="CMR10" w:hAnsi="CMR10"/>
          <w:b/>
          <w:sz w:val="22"/>
          <w:szCs w:val="22"/>
        </w:rPr>
        <w:t xml:space="preserve">world may be accounted for by appeal to just </w:t>
      </w:r>
      <w:r>
        <w:rPr>
          <w:rFonts w:eastAsia="Calibri" w:cs="CMTI10" w:ascii="CMTI10" w:hAnsi="CMTI10"/>
          <w:b/>
          <w:sz w:val="22"/>
          <w:szCs w:val="22"/>
        </w:rPr>
        <w:t xml:space="preserve">one </w:t>
      </w:r>
      <w:r>
        <w:rPr>
          <w:rFonts w:eastAsia="Calibri" w:cs="CMR10" w:ascii="CMR10" w:hAnsi="CMR10"/>
          <w:b/>
          <w:sz w:val="22"/>
          <w:szCs w:val="22"/>
        </w:rPr>
        <w:t>of the dual</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structures—though we do not know which one. Clearly, such an option</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is problematic, for it merely pushes the putative underdetermination</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arising in the case of dualities from the question of which of a number</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of worlds (i.e., those corresponding to the dual solutions, na¨ıvely</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interpreted) could be the actual world, to the question of which of</w:t>
      </w:r>
    </w:p>
    <w:p>
      <w:pPr>
        <w:pStyle w:val="Normal"/>
        <w:spacing w:before="0" w:after="0"/>
        <w:contextualSpacing/>
        <w:jc w:val="left"/>
        <w:rPr/>
      </w:pPr>
      <w:r>
        <w:rPr>
          <w:rFonts w:eastAsia="Calibri" w:cs="CMR10" w:ascii="CMR10" w:hAnsi="CMR10"/>
          <w:b/>
          <w:sz w:val="22"/>
          <w:szCs w:val="22"/>
        </w:rPr>
        <w:t xml:space="preserve">a number of distinct structures </w:t>
      </w:r>
      <w:r>
        <w:rPr>
          <w:rFonts w:eastAsia="Calibri" w:cs="CMTI10" w:ascii="CMTI10" w:hAnsi="CMTI10"/>
          <w:b/>
          <w:sz w:val="22"/>
          <w:szCs w:val="22"/>
        </w:rPr>
        <w:t xml:space="preserve">within </w:t>
      </w:r>
      <w:r>
        <w:rPr>
          <w:rFonts w:eastAsia="Calibri" w:cs="CMR10" w:ascii="CMR10" w:hAnsi="CMR10"/>
          <w:b/>
          <w:sz w:val="22"/>
          <w:szCs w:val="22"/>
        </w:rPr>
        <w:t>a world could be that which</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accounts for the observed empirical data.</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In order to maintain the latter view—(b)—the pluralist will argue</w:t>
      </w:r>
    </w:p>
    <w:p>
      <w:pPr>
        <w:pStyle w:val="Normal"/>
        <w:spacing w:before="0" w:after="0"/>
        <w:contextualSpacing/>
        <w:jc w:val="left"/>
        <w:rPr/>
      </w:pPr>
      <w:r>
        <w:rPr>
          <w:rFonts w:eastAsia="Calibri" w:cs="CMR10" w:ascii="CMR10" w:hAnsi="CMR10"/>
          <w:b/>
          <w:sz w:val="22"/>
          <w:szCs w:val="22"/>
        </w:rPr>
        <w:t xml:space="preserve">that, in fact, all of the co-instantiated dual structures are </w:t>
      </w:r>
      <w:r>
        <w:rPr>
          <w:rFonts w:eastAsia="Calibri" w:cs="CMTI10" w:ascii="CMTI10" w:hAnsi="CMTI10"/>
          <w:b/>
          <w:sz w:val="22"/>
          <w:szCs w:val="22"/>
        </w:rPr>
        <w:t>necessary</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for accounting for the observed body of empirical data in the actual</w:t>
      </w:r>
    </w:p>
    <w:p>
      <w:pPr>
        <w:pStyle w:val="Normal"/>
        <w:spacing w:before="0" w:after="0"/>
        <w:contextualSpacing/>
        <w:jc w:val="left"/>
        <w:rPr/>
      </w:pPr>
      <w:r>
        <w:rPr>
          <w:rFonts w:eastAsia="Calibri" w:cs="CMR10" w:ascii="CMR10" w:hAnsi="CMR10"/>
          <w:b/>
          <w:sz w:val="22"/>
          <w:szCs w:val="22"/>
        </w:rPr>
        <w:t>world.</w:t>
      </w:r>
      <w:r>
        <w:rPr>
          <w:rFonts w:eastAsia="Calibri" w:cs="CMR8" w:ascii="CMR8" w:hAnsi="CMR8"/>
          <w:b/>
          <w:sz w:val="16"/>
          <w:szCs w:val="16"/>
        </w:rPr>
        <w:t xml:space="preserve">29 </w:t>
      </w:r>
      <w:r>
        <w:rPr>
          <w:rFonts w:eastAsia="Calibri" w:cs="CMR10" w:ascii="CMR10" w:hAnsi="CMR10"/>
          <w:b/>
          <w:sz w:val="22"/>
          <w:szCs w:val="22"/>
        </w:rPr>
        <w:t>It is not, however, clear that such a view is compelling, for</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it certainly appears that each of the dual structures could account for</w:t>
      </w:r>
    </w:p>
    <w:p>
      <w:pPr>
        <w:pStyle w:val="Normal"/>
        <w:spacing w:before="0" w:after="0"/>
        <w:contextualSpacing/>
        <w:jc w:val="left"/>
        <w:rPr/>
      </w:pPr>
      <w:r>
        <w:rPr>
          <w:rFonts w:eastAsia="Calibri" w:cs="CMR10" w:ascii="CMR10" w:hAnsi="CMR10"/>
          <w:b/>
          <w:sz w:val="22"/>
          <w:szCs w:val="22"/>
        </w:rPr>
        <w:t xml:space="preserve">the observed empirical data </w:t>
      </w:r>
      <w:r>
        <w:rPr>
          <w:rFonts w:eastAsia="Calibri" w:cs="CMTI10" w:ascii="CMTI10" w:hAnsi="CMTI10"/>
          <w:b/>
          <w:sz w:val="22"/>
          <w:szCs w:val="22"/>
        </w:rPr>
        <w:t>in and of themselves</w:t>
      </w:r>
      <w:r>
        <w:rPr>
          <w:rFonts w:eastAsia="Calibri" w:cs="CMR10" w:ascii="CMR10" w:hAnsi="CMR10"/>
          <w:b/>
          <w:sz w:val="22"/>
          <w:szCs w:val="22"/>
        </w:rPr>
        <w:t>. This point is best</w:t>
      </w:r>
    </w:p>
    <w:p>
      <w:pPr>
        <w:pStyle w:val="Normal"/>
        <w:spacing w:before="0" w:after="0"/>
        <w:contextualSpacing/>
        <w:jc w:val="left"/>
        <w:rPr/>
      </w:pPr>
      <w:r>
        <w:rPr>
          <w:rFonts w:eastAsia="Calibri" w:cs="CMR10" w:ascii="CMR10" w:hAnsi="CMR10"/>
          <w:b/>
          <w:sz w:val="22"/>
          <w:szCs w:val="22"/>
        </w:rPr>
        <w:t xml:space="preserve">illustrated by way of example. (pp. 19-20) </w:t>
      </w:r>
      <w:r>
        <w:rPr>
          <w:rFonts w:eastAsia="Calibri" w:cs="CMR10" w:ascii="CMR10" w:hAnsi="CMR10"/>
          <w:b/>
          <w:color w:val="FF0000"/>
          <w:sz w:val="22"/>
          <w:szCs w:val="22"/>
        </w:rPr>
        <w:t>[exactly my EDWs!]</w:t>
      </w:r>
    </w:p>
    <w:p>
      <w:pPr>
        <w:pStyle w:val="Normal"/>
        <w:spacing w:before="0" w:after="0"/>
        <w:contextualSpacing/>
        <w:jc w:val="left"/>
        <w:rPr>
          <w:b/>
          <w:b/>
        </w:rPr>
      </w:pPr>
      <w:r>
        <w:rPr>
          <w:b/>
        </w:rPr>
      </w:r>
    </w:p>
    <w:p>
      <w:pPr>
        <w:pStyle w:val="Normal"/>
        <w:spacing w:before="0" w:after="0"/>
        <w:contextualSpacing/>
        <w:jc w:val="left"/>
        <w:rPr>
          <w:b/>
          <w:b/>
        </w:rPr>
      </w:pPr>
      <w:r>
        <w:rPr>
          <w:b/>
        </w:rPr>
      </w:r>
    </w:p>
    <w:p>
      <w:pPr>
        <w:pStyle w:val="Normal"/>
        <w:spacing w:before="0" w:after="0"/>
        <w:contextualSpacing/>
        <w:jc w:val="left"/>
        <w:rPr/>
      </w:pPr>
      <w:r>
        <w:rPr>
          <w:rFonts w:eastAsia="Calibri" w:cs="CMR10" w:ascii="CMR10" w:hAnsi="CMR10"/>
          <w:sz w:val="22"/>
          <w:szCs w:val="22"/>
        </w:rPr>
        <w:t xml:space="preserve">analogue of the pluralist view here, </w:t>
      </w:r>
      <w:r>
        <w:rPr>
          <w:rFonts w:eastAsia="Calibri" w:cs="CMTI10" w:ascii="CMTI10" w:hAnsi="CMTI10"/>
          <w:sz w:val="22"/>
          <w:szCs w:val="22"/>
        </w:rPr>
        <w:t xml:space="preserve">each </w:t>
      </w:r>
      <w:r>
        <w:rPr>
          <w:rFonts w:eastAsia="Calibri" w:cs="CMR10" w:ascii="CMR10" w:hAnsi="CMR10"/>
          <w:sz w:val="22"/>
          <w:szCs w:val="22"/>
        </w:rPr>
        <w:t>of the gauge-related solutions</w:t>
      </w:r>
    </w:p>
    <w:p>
      <w:pPr>
        <w:pStyle w:val="Normal"/>
        <w:spacing w:before="0" w:after="0"/>
        <w:contextualSpacing/>
        <w:jc w:val="left"/>
        <w:rPr/>
      </w:pPr>
      <w:r>
        <w:rPr>
          <w:rFonts w:eastAsia="Calibri" w:cs="CMR10" w:ascii="CMR10" w:hAnsi="CMR10"/>
          <w:sz w:val="22"/>
          <w:szCs w:val="22"/>
        </w:rPr>
        <w:t xml:space="preserve">in a particular equivalence class of the theory, the </w:t>
      </w:r>
      <w:r>
        <w:rPr>
          <w:rFonts w:eastAsia="Calibri" w:cs="CMR10" w:ascii="CMR10" w:hAnsi="CMR10"/>
          <w:b/>
          <w:sz w:val="22"/>
          <w:szCs w:val="22"/>
        </w:rPr>
        <w:t>empirical substructures</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of which correspond to the empirical data in the actual world, is</w:t>
      </w:r>
    </w:p>
    <w:p>
      <w:pPr>
        <w:pStyle w:val="Normal"/>
        <w:spacing w:before="0" w:after="0"/>
        <w:contextualSpacing/>
        <w:jc w:val="left"/>
        <w:rPr/>
      </w:pPr>
      <w:r>
        <w:rPr>
          <w:rFonts w:eastAsia="Calibri" w:cs="CMR10" w:ascii="CMR10" w:hAnsi="CMR10"/>
          <w:b/>
          <w:sz w:val="22"/>
          <w:szCs w:val="22"/>
        </w:rPr>
        <w:t>instantiated in the actual world.</w:t>
      </w:r>
      <w:r>
        <w:rPr>
          <w:rFonts w:eastAsia="Calibri" w:cs="CMR10" w:ascii="CMR10" w:hAnsi="CMR10"/>
          <w:sz w:val="22"/>
          <w:szCs w:val="22"/>
        </w:rPr>
        <w:t xml:space="preserve"> But—and here is our response to this</w:t>
      </w:r>
    </w:p>
    <w:p>
      <w:pPr>
        <w:pStyle w:val="Normal"/>
        <w:spacing w:before="0" w:after="0"/>
        <w:contextualSpacing/>
        <w:jc w:val="left"/>
        <w:rPr/>
      </w:pPr>
      <w:r>
        <w:rPr>
          <w:rFonts w:eastAsia="Calibri" w:cs="CMR10" w:ascii="CMR10" w:hAnsi="CMR10"/>
          <w:sz w:val="22"/>
          <w:szCs w:val="22"/>
        </w:rPr>
        <w:t xml:space="preserve">position—since each of these structures could </w:t>
      </w:r>
      <w:r>
        <w:rPr>
          <w:rFonts w:eastAsia="Calibri" w:cs="CMTI10" w:ascii="CMTI10" w:hAnsi="CMTI10"/>
          <w:sz w:val="22"/>
          <w:szCs w:val="22"/>
        </w:rPr>
        <w:t xml:space="preserve">individually </w:t>
      </w:r>
      <w:r>
        <w:rPr>
          <w:rFonts w:eastAsia="Calibri" w:cs="CMR10" w:ascii="CMR10" w:hAnsi="CMR10"/>
          <w:sz w:val="22"/>
          <w:szCs w:val="22"/>
        </w:rPr>
        <w:t>give rise to</w:t>
      </w:r>
    </w:p>
    <w:p>
      <w:pPr>
        <w:pStyle w:val="Normal"/>
        <w:spacing w:before="0" w:after="0"/>
        <w:contextualSpacing/>
        <w:jc w:val="left"/>
        <w:rPr/>
      </w:pPr>
      <w:r>
        <w:rPr>
          <w:rFonts w:eastAsia="Calibri" w:cs="CMR10" w:ascii="CMR10" w:hAnsi="CMR10"/>
          <w:sz w:val="22"/>
          <w:szCs w:val="22"/>
        </w:rPr>
        <w:t xml:space="preserve">that observed empirical data, </w:t>
      </w:r>
      <w:r>
        <w:rPr>
          <w:rFonts w:eastAsia="Calibri" w:cs="CMR10" w:ascii="CMR10" w:hAnsi="CMR10"/>
          <w:b/>
          <w:sz w:val="22"/>
          <w:szCs w:val="22"/>
        </w:rPr>
        <w:t>it simply does not seem correct to state</w:t>
      </w:r>
    </w:p>
    <w:p>
      <w:pPr>
        <w:pStyle w:val="Normal"/>
        <w:spacing w:before="0" w:after="0"/>
        <w:contextualSpacing/>
        <w:jc w:val="left"/>
        <w:rPr/>
      </w:pPr>
      <w:r>
        <w:rPr>
          <w:rFonts w:eastAsia="Calibri" w:cs="CMR10" w:ascii="CMR10" w:hAnsi="CMR10"/>
          <w:b/>
          <w:sz w:val="22"/>
          <w:szCs w:val="22"/>
        </w:rPr>
        <w:t xml:space="preserve">that all structures </w:t>
      </w:r>
      <w:r>
        <w:rPr>
          <w:rFonts w:eastAsia="Calibri" w:cs="CMTI10" w:ascii="CMTI10" w:hAnsi="CMTI10"/>
          <w:b/>
          <w:sz w:val="22"/>
          <w:szCs w:val="22"/>
        </w:rPr>
        <w:t xml:space="preserve">together </w:t>
      </w:r>
      <w:r>
        <w:rPr>
          <w:rFonts w:eastAsia="Calibri" w:cs="CMR10" w:ascii="CMR10" w:hAnsi="CMR10"/>
          <w:b/>
          <w:sz w:val="22"/>
          <w:szCs w:val="22"/>
        </w:rPr>
        <w:t>must be co-instantiated in order to account</w:t>
      </w:r>
    </w:p>
    <w:p>
      <w:pPr>
        <w:pStyle w:val="Normal"/>
        <w:spacing w:before="0" w:after="0"/>
        <w:contextualSpacing/>
        <w:jc w:val="left"/>
        <w:rPr/>
      </w:pPr>
      <w:r>
        <w:rPr>
          <w:rFonts w:eastAsia="Calibri" w:cs="CMR10" w:ascii="CMR10" w:hAnsi="CMR10"/>
          <w:b/>
          <w:sz w:val="22"/>
          <w:szCs w:val="22"/>
        </w:rPr>
        <w:t>for this data. To claim otherwise appears metaphysically otiose.</w:t>
      </w:r>
      <w:r>
        <w:rPr>
          <w:rFonts w:eastAsia="Calibri" w:cs="CMR8" w:ascii="CMR8" w:hAnsi="CMR8"/>
          <w:b/>
          <w:sz w:val="16"/>
          <w:szCs w:val="16"/>
        </w:rPr>
        <w:t xml:space="preserve">33 </w:t>
      </w:r>
      <w:r>
        <w:rPr>
          <w:rFonts w:eastAsia="Calibri" w:cs="CMR10" w:ascii="CMR10" w:hAnsi="CMR10"/>
          <w:b/>
          <w:sz w:val="22"/>
          <w:szCs w:val="22"/>
        </w:rPr>
        <w:t>In</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our view, the central challenge for the pluralist is to articulate a sense</w:t>
      </w:r>
    </w:p>
    <w:p>
      <w:pPr>
        <w:pStyle w:val="Normal"/>
        <w:spacing w:before="0" w:after="0"/>
        <w:contextualSpacing/>
        <w:jc w:val="left"/>
        <w:rPr/>
      </w:pPr>
      <w:r>
        <w:rPr>
          <w:rFonts w:eastAsia="Calibri" w:cs="CMR10" w:ascii="CMR10" w:hAnsi="CMR10"/>
          <w:b/>
          <w:sz w:val="22"/>
          <w:szCs w:val="22"/>
        </w:rPr>
        <w:t xml:space="preserve">in which the above analogy does </w:t>
      </w:r>
      <w:r>
        <w:rPr>
          <w:rFonts w:eastAsia="Calibri" w:cs="CMTI10" w:ascii="CMTI10" w:hAnsi="CMTI10"/>
          <w:b/>
          <w:sz w:val="22"/>
          <w:szCs w:val="22"/>
        </w:rPr>
        <w:t xml:space="preserve">not </w:t>
      </w:r>
      <w:r>
        <w:rPr>
          <w:rFonts w:eastAsia="Calibri" w:cs="CMR10" w:ascii="CMR10" w:hAnsi="CMR10"/>
          <w:b/>
          <w:sz w:val="22"/>
          <w:szCs w:val="22"/>
        </w:rPr>
        <w:t>hold, the co-instantiated structures</w:t>
      </w:r>
    </w:p>
    <w:p>
      <w:pPr>
        <w:pStyle w:val="Normal"/>
        <w:spacing w:before="0" w:after="0"/>
        <w:contextualSpacing/>
        <w:jc w:val="left"/>
        <w:rPr/>
      </w:pPr>
      <w:r>
        <w:rPr>
          <w:rFonts w:eastAsia="Calibri" w:cs="CMTI10" w:ascii="CMTI10" w:hAnsi="CMTI10"/>
          <w:b/>
          <w:sz w:val="22"/>
          <w:szCs w:val="22"/>
        </w:rPr>
        <w:t xml:space="preserve">do </w:t>
      </w:r>
      <w:r>
        <w:rPr>
          <w:rFonts w:eastAsia="Calibri" w:cs="CMR10" w:ascii="CMR10" w:hAnsi="CMR10"/>
          <w:b/>
          <w:sz w:val="22"/>
          <w:szCs w:val="22"/>
        </w:rPr>
        <w:t>non-redundantly account for the observed empirical data, and</w:t>
      </w:r>
    </w:p>
    <w:p>
      <w:pPr>
        <w:pStyle w:val="Normal"/>
        <w:spacing w:before="0" w:after="0"/>
        <w:contextualSpacing/>
        <w:jc w:val="left"/>
        <w:rPr/>
      </w:pPr>
      <w:r>
        <w:rPr>
          <w:rFonts w:eastAsia="Calibri" w:cs="CMR10" w:ascii="CMR10" w:hAnsi="CMR10"/>
          <w:b/>
          <w:sz w:val="22"/>
          <w:szCs w:val="22"/>
        </w:rPr>
        <w:t xml:space="preserve">therefore the problem of overdetermination is evaded. </w:t>
      </w:r>
      <w:r>
        <w:rPr>
          <w:rFonts w:eastAsia="Calibri" w:cs="CMR10" w:ascii="CMR10" w:hAnsi="CMR10"/>
          <w:b/>
          <w:color w:val="FF0000"/>
          <w:sz w:val="22"/>
          <w:szCs w:val="22"/>
        </w:rPr>
        <w:t>[exactly my EDWs]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Thus, pluralism faces a number of challenges, if it is ultimately to</w:t>
      </w:r>
    </w:p>
    <w:p>
      <w:pPr>
        <w:pStyle w:val="Normal"/>
        <w:spacing w:before="0" w:after="0"/>
        <w:contextualSpacing/>
        <w:jc w:val="left"/>
        <w:rPr/>
      </w:pPr>
      <w:r>
        <w:rPr>
          <w:rFonts w:eastAsia="Calibri" w:cs="CMR10" w:ascii="CMR10" w:hAnsi="CMR10"/>
          <w:sz w:val="22"/>
          <w:szCs w:val="22"/>
        </w:rPr>
        <w:t xml:space="preserve">be </w:t>
      </w:r>
      <w:r>
        <w:rPr>
          <w:rFonts w:eastAsia="Calibri" w:cs="CMR10" w:ascii="CMR10" w:hAnsi="CMR10"/>
          <w:b/>
          <w:sz w:val="22"/>
          <w:szCs w:val="22"/>
        </w:rPr>
        <w:t>regarded as being a compelling resolution to the problem of underdetermination</w:t>
      </w:r>
    </w:p>
    <w:p>
      <w:pPr>
        <w:pStyle w:val="Normal"/>
        <w:spacing w:before="0" w:after="0"/>
        <w:contextualSpacing/>
        <w:jc w:val="left"/>
        <w:rPr/>
      </w:pPr>
      <w:r>
        <w:rPr>
          <w:rFonts w:eastAsia="Calibri" w:cs="CMR10" w:ascii="CMR10" w:hAnsi="CMR10"/>
          <w:b/>
          <w:sz w:val="22"/>
          <w:szCs w:val="22"/>
        </w:rPr>
        <w:t>in the case of dualities</w:t>
      </w:r>
      <w:r>
        <w:rPr>
          <w:rFonts w:eastAsia="Calibri" w:cs="CMR10" w:ascii="CMR10" w:hAnsi="CMR10"/>
          <w:sz w:val="22"/>
          <w:szCs w:val="22"/>
        </w:rPr>
        <w:t>. Nevertheless, for the purpose</w:t>
      </w:r>
    </w:p>
    <w:p>
      <w:pPr>
        <w:pStyle w:val="Normal"/>
        <w:spacing w:before="0" w:after="0"/>
        <w:contextualSpacing/>
        <w:jc w:val="left"/>
        <w:rPr/>
      </w:pPr>
      <w:r>
        <w:rPr>
          <w:rFonts w:eastAsia="Calibri" w:cs="CMR10" w:ascii="CMR10" w:hAnsi="CMR10"/>
          <w:sz w:val="22"/>
          <w:szCs w:val="22"/>
        </w:rPr>
        <w:t xml:space="preserve">of fully mapping the terrain on this topic, and since the view is </w:t>
      </w:r>
      <w:r>
        <w:rPr>
          <w:rFonts w:eastAsia="Calibri" w:cs="CMTI10" w:ascii="CMTI10" w:hAnsi="CMTI10"/>
          <w:sz w:val="22"/>
          <w:szCs w:val="22"/>
        </w:rPr>
        <w:t>prima</w:t>
      </w:r>
    </w:p>
    <w:p>
      <w:pPr>
        <w:pStyle w:val="Normal"/>
        <w:spacing w:before="0" w:after="0"/>
        <w:contextualSpacing/>
        <w:jc w:val="left"/>
        <w:rPr/>
      </w:pPr>
      <w:r>
        <w:rPr>
          <w:rFonts w:eastAsia="Calibri" w:cs="CMTI10" w:ascii="CMTI10" w:hAnsi="CMTI10"/>
          <w:sz w:val="22"/>
          <w:szCs w:val="22"/>
        </w:rPr>
        <w:t xml:space="preserve">facie </w:t>
      </w:r>
      <w:r>
        <w:rPr>
          <w:rFonts w:eastAsia="Calibri" w:cs="CMR10" w:ascii="CMR10" w:hAnsi="CMR10"/>
          <w:sz w:val="22"/>
          <w:szCs w:val="22"/>
        </w:rPr>
        <w:t>consistent, it certainly deserves to be studied further. (p. 21)</w:t>
      </w:r>
    </w:p>
    <w:p>
      <w:pPr>
        <w:pStyle w:val="Normal"/>
        <w:spacing w:before="0" w:after="0"/>
        <w:contextualSpacing/>
        <w:jc w:val="left"/>
        <w:rPr>
          <w:b/>
          <w:b/>
        </w:rPr>
      </w:pPr>
      <w:r>
        <w:rPr>
          <w:b/>
        </w:rPr>
      </w:r>
    </w:p>
    <w:p>
      <w:pPr>
        <w:pStyle w:val="Normal"/>
        <w:spacing w:before="0" w:after="0"/>
        <w:contextualSpacing/>
        <w:jc w:val="left"/>
        <w:rPr>
          <w:rFonts w:ascii="CMBX12" w:hAnsi="CMBX12" w:eastAsia="Calibri" w:cs="CMBX12"/>
          <w:sz w:val="34"/>
          <w:szCs w:val="34"/>
        </w:rPr>
      </w:pPr>
      <w:r>
        <w:rPr>
          <w:rFonts w:eastAsia="Calibri" w:cs="CMBX12" w:ascii="CMBX12" w:hAnsi="CMBX12"/>
          <w:sz w:val="34"/>
          <w:szCs w:val="34"/>
        </w:rPr>
        <w:t>9 Conclusion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 this paper, we have cut the issue of the interpretation of dualities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along two distinct axes. First, which of the dual solutions under consideration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should be taken to constitute a legitimate description of</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actual world. The options here divide into three categories: underdetermination,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discrimination, and nihilism. Second, candidate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replacements for the ontology represented by the dual solutions under</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consideration, na¨ıvely interpreted. Though the best-known approach in the philosophical literature in this regard is the common core approach,</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we have identified in this paper two others: (a) appeal to an</w:t>
      </w:r>
    </w:p>
    <w:p>
      <w:pPr>
        <w:pStyle w:val="Normal"/>
        <w:spacing w:before="0" w:after="0"/>
        <w:contextualSpacing/>
        <w:jc w:val="left"/>
        <w:rPr/>
      </w:pPr>
      <w:r>
        <w:rPr>
          <w:rFonts w:eastAsia="Calibri" w:cs="CMR10" w:ascii="CMR10" w:hAnsi="CMR10"/>
          <w:sz w:val="22"/>
          <w:szCs w:val="22"/>
        </w:rPr>
        <w:t xml:space="preserve">overarching theory; and (b) what </w:t>
      </w:r>
      <w:r>
        <w:rPr>
          <w:rFonts w:eastAsia="Calibri" w:cs="CMR10" w:ascii="CMR10" w:hAnsi="CMR10"/>
          <w:b/>
          <w:sz w:val="22"/>
          <w:szCs w:val="22"/>
        </w:rPr>
        <w:t>we have dubbed ‘pluralism’</w:t>
      </w:r>
      <w:r>
        <w:rPr>
          <w:rFonts w:eastAsia="Calibri" w:cs="CMR10" w:ascii="CMR10" w:hAnsi="CMR10"/>
          <w:sz w:val="22"/>
          <w:szCs w:val="22"/>
        </w:rPr>
        <w:t xml:space="preserve">. </w:t>
      </w:r>
      <w:r>
        <w:rPr>
          <w:rFonts w:eastAsia="Calibri" w:cs="CMR10" w:ascii="CMR10" w:hAnsi="CMR10"/>
          <w:b/>
          <w:color w:val="FF0000"/>
          <w:sz w:val="22"/>
          <w:szCs w:val="22"/>
        </w:rPr>
        <w:t>[exactly my EDWs!!!]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 xml:space="preserve"> </w:t>
      </w:r>
      <w:r>
        <w:rPr>
          <w:rFonts w:eastAsia="Calibri" w:cs="CMR10" w:ascii="CMR10" w:hAnsi="CMR10"/>
          <w:sz w:val="22"/>
          <w:szCs w:val="22"/>
        </w:rPr>
        <w:t>This</w:t>
      </w:r>
    </w:p>
    <w:p>
      <w:pPr>
        <w:pStyle w:val="Normal"/>
        <w:spacing w:before="0" w:after="0"/>
        <w:contextualSpacing/>
        <w:jc w:val="left"/>
        <w:rPr/>
      </w:pPr>
      <w:r>
        <w:rPr>
          <w:rFonts w:eastAsia="Calibri" w:cs="CMR10" w:ascii="CMR10" w:hAnsi="CMR10"/>
          <w:sz w:val="22"/>
          <w:szCs w:val="22"/>
        </w:rPr>
        <w:t>latter position o</w:t>
      </w:r>
      <w:r>
        <w:rPr>
          <w:rFonts w:eastAsia="Calibri" w:cs="Cambria Math" w:ascii="Cambria Math" w:hAnsi="Cambria Math"/>
          <w:sz w:val="22"/>
          <w:szCs w:val="22"/>
        </w:rPr>
        <w:t>↵</w:t>
      </w:r>
      <w:r>
        <w:rPr>
          <w:rFonts w:eastAsia="Calibri" w:cs="CMR10" w:ascii="CMR10" w:hAnsi="CMR10"/>
          <w:sz w:val="22"/>
          <w:szCs w:val="22"/>
        </w:rPr>
        <w:t>ers a novel avenue for the interpretation of dualities—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albeit one that currently faces difficulties.</w:t>
      </w:r>
    </w:p>
    <w:p>
      <w:pPr>
        <w:pStyle w:val="Normal"/>
        <w:spacing w:before="0" w:after="0"/>
        <w:contextualSpacing/>
        <w:jc w:val="left"/>
        <w:rPr>
          <w:b/>
          <w:b/>
          <w:sz w:val="32"/>
          <w:szCs w:val="32"/>
        </w:rPr>
      </w:pPr>
      <w:r>
        <w:rPr>
          <w:b/>
          <w:sz w:val="32"/>
          <w:szCs w:val="32"/>
        </w:rPr>
      </w:r>
    </w:p>
    <w:p>
      <w:pPr>
        <w:pStyle w:val="ListParagraph"/>
        <w:numPr>
          <w:ilvl w:val="0"/>
          <w:numId w:val="34"/>
        </w:numPr>
        <w:spacing w:before="0" w:after="0"/>
        <w:ind w:left="0" w:right="0" w:hanging="0"/>
        <w:contextualSpacing/>
        <w:rPr>
          <w:rFonts w:eastAsia="Calibri"/>
          <w:b/>
          <w:b/>
          <w:sz w:val="28"/>
          <w:szCs w:val="28"/>
        </w:rPr>
      </w:pPr>
      <w:r>
        <w:rPr>
          <w:rFonts w:eastAsia="Calibri"/>
          <w:b/>
          <w:sz w:val="28"/>
          <w:szCs w:val="28"/>
        </w:rPr>
        <w:t>(January 2019)</w:t>
      </w:r>
    </w:p>
    <w:p>
      <w:pPr>
        <w:pStyle w:val="Normal"/>
        <w:spacing w:before="0" w:after="0"/>
        <w:contextualSpacing/>
        <w:jc w:val="left"/>
        <w:rPr/>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pStyle w:val="Normal"/>
        <w:spacing w:before="0" w:after="0"/>
        <w:contextualSpacing/>
        <w:jc w:val="left"/>
        <w:rPr>
          <w:b/>
          <w:b/>
          <w:sz w:val="32"/>
          <w:szCs w:val="32"/>
        </w:rPr>
      </w:pPr>
      <w:r>
        <w:rPr>
          <w:b/>
          <w:sz w:val="32"/>
          <w:szCs w:val="32"/>
        </w:rPr>
      </w:r>
    </w:p>
    <w:p>
      <w:pPr>
        <w:pStyle w:val="Normal"/>
        <w:spacing w:before="0" w:after="0"/>
        <w:contextualSpacing/>
        <w:jc w:val="left"/>
        <w:rPr>
          <w:b/>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pStyle w:val="Normal"/>
        <w:spacing w:before="0" w:after="0"/>
        <w:contextualSpacing/>
        <w:jc w:val="left"/>
        <w:rPr>
          <w:b/>
          <w:b/>
        </w:rPr>
      </w:pPr>
      <w:r>
        <w:rPr>
          <w:b/>
        </w:rPr>
      </w:r>
    </w:p>
    <w:p>
      <w:pPr>
        <w:pStyle w:val="Normal"/>
        <w:spacing w:before="0" w:after="0"/>
        <w:contextualSpacing/>
        <w:jc w:val="left"/>
        <w:rPr>
          <w:rFonts w:ascii="Perpetua" w:hAnsi="Perpetua" w:eastAsia="Calibri" w:cs="Perpetua"/>
        </w:rPr>
      </w:pPr>
      <w:r>
        <w:rPr>
          <w:rFonts w:eastAsia="Calibri" w:cs="Perpetua" w:ascii="Perpetua" w:hAnsi="Perpetua"/>
        </w:rPr>
        <w:t>‘</w:t>
      </w:r>
      <w:r>
        <w:rPr>
          <w:rFonts w:eastAsia="Calibri" w:cs="Perpetua" w:ascii="Perpetua" w:hAnsi="Perpetua"/>
        </w:rPr>
        <w:t>Space does not exist fundamentally: it emerges somehow from a</w:t>
      </w:r>
    </w:p>
    <w:p>
      <w:pPr>
        <w:pStyle w:val="Normal"/>
        <w:spacing w:before="0" w:after="0"/>
        <w:contextualSpacing/>
        <w:jc w:val="left"/>
        <w:rPr/>
      </w:pPr>
      <w:r>
        <w:rPr>
          <w:rFonts w:eastAsia="Calibri" w:cs="Perpetua" w:ascii="Perpetua" w:hAnsi="Perpetua"/>
        </w:rPr>
        <w:t xml:space="preserve">more fundamental non-spatial structure.’ (71) </w:t>
      </w:r>
      <w:r>
        <w:rPr>
          <w:rFonts w:eastAsia="Calibri" w:cs="Perpetua" w:ascii="Perpetua" w:hAnsi="Perpetua"/>
          <w:color w:val="FF0000"/>
        </w:rPr>
        <w:t>[I have published a book 2016 in which I indicated space (spacetime) cannot exist because of the EDWs. Le bihan follows EXACTLY the same argument!]</w:t>
      </w:r>
    </w:p>
    <w:p>
      <w:pPr>
        <w:pStyle w:val="Normal"/>
        <w:spacing w:before="0" w:after="0"/>
        <w:contextualSpacing/>
        <w:jc w:val="left"/>
        <w:rPr>
          <w:b/>
          <w:b/>
        </w:rPr>
      </w:pPr>
      <w:r>
        <w:rPr>
          <w:b/>
        </w:rPr>
      </w:r>
    </w:p>
    <w:p>
      <w:pPr>
        <w:pStyle w:val="Normal"/>
        <w:spacing w:before="0" w:after="0"/>
        <w:contextualSpacing/>
        <w:jc w:val="left"/>
        <w:rPr>
          <w:rFonts w:ascii="Perpetua" w:hAnsi="Perpetua" w:eastAsia="Calibri" w:cs="Perpetua"/>
        </w:rPr>
      </w:pPr>
      <w:r>
        <w:rPr>
          <w:rFonts w:eastAsia="Calibri" w:cs="Perpetua" w:ascii="Perpetua" w:hAnsi="Perpetua"/>
        </w:rPr>
        <w:t>If one of these approaches turns out to be right, then it seems</w:t>
      </w:r>
    </w:p>
    <w:p>
      <w:pPr>
        <w:pStyle w:val="Normal"/>
        <w:spacing w:before="0" w:after="0"/>
        <w:contextualSpacing/>
        <w:jc w:val="left"/>
        <w:rPr/>
      </w:pPr>
      <w:r>
        <w:rPr>
          <w:rFonts w:eastAsia="Calibri" w:cs="Perpetua" w:ascii="Perpetua" w:hAnsi="Perpetua"/>
        </w:rPr>
        <w:t xml:space="preserve">that we will have a novel reason to accept </w:t>
      </w:r>
      <w:r>
        <w:rPr>
          <w:rFonts w:eastAsia="Calibri" w:cs="Perpetua-Italic" w:ascii="Perpetua-Italic" w:hAnsi="Perpetua-Italic"/>
          <w:i/>
          <w:iCs/>
        </w:rPr>
        <w:t>the existence of levels of reality</w:t>
      </w:r>
    </w:p>
    <w:p>
      <w:pPr>
        <w:pStyle w:val="Normal"/>
        <w:spacing w:before="0" w:after="0"/>
        <w:contextualSpacing/>
        <w:jc w:val="left"/>
        <w:rPr/>
      </w:pPr>
      <w:r>
        <w:rPr>
          <w:rFonts w:eastAsia="Calibri" w:cs="Perpetua-Italic" w:ascii="Perpetua-Italic" w:hAnsi="Perpetua-Italic"/>
          <w:i/>
          <w:iCs/>
        </w:rPr>
        <w:t>connected by relations of ontological priority</w:t>
      </w:r>
      <w:r>
        <w:rPr>
          <w:rFonts w:eastAsia="Calibri" w:cs="Perpetua" w:ascii="Perpetua" w:hAnsi="Perpetua"/>
        </w:rPr>
        <w:t>. Indeed, at first glance,</w:t>
      </w:r>
    </w:p>
    <w:p>
      <w:pPr>
        <w:pStyle w:val="Normal"/>
        <w:spacing w:before="0" w:after="0"/>
        <w:contextualSpacing/>
        <w:jc w:val="left"/>
        <w:rPr>
          <w:rFonts w:ascii="Perpetua" w:hAnsi="Perpetua" w:eastAsia="Calibri" w:cs="Perpetua"/>
        </w:rPr>
      </w:pPr>
      <w:r>
        <w:rPr>
          <w:rFonts w:eastAsia="Calibri" w:cs="Perpetua" w:ascii="Perpetua" w:hAnsi="Perpetua"/>
        </w:rPr>
        <w:t>the claim that ordinary space (or relativistic spacetime) is not fundamental</w:t>
      </w:r>
    </w:p>
    <w:p>
      <w:pPr>
        <w:pStyle w:val="Normal"/>
        <w:spacing w:before="0" w:after="0"/>
        <w:contextualSpacing/>
        <w:jc w:val="left"/>
        <w:rPr/>
      </w:pPr>
      <w:r>
        <w:rPr>
          <w:rFonts w:eastAsia="Calibri" w:cs="Perpetua" w:ascii="Perpetua" w:hAnsi="Perpetua"/>
        </w:rPr>
        <w:t xml:space="preserve">invites two main readings: either space is </w:t>
      </w:r>
      <w:r>
        <w:rPr>
          <w:rFonts w:eastAsia="Calibri" w:cs="Perpetua-Italic" w:ascii="Perpetua-Italic" w:hAnsi="Perpetua-Italic"/>
          <w:i/>
          <w:iCs/>
        </w:rPr>
        <w:t xml:space="preserve">not real at all </w:t>
      </w:r>
      <w:r>
        <w:rPr>
          <w:rFonts w:eastAsia="Calibri" w:cs="Perpetua" w:ascii="Perpetua" w:hAnsi="Perpetua"/>
        </w:rPr>
        <w:t xml:space="preserve">or it is </w:t>
      </w:r>
      <w:r>
        <w:rPr>
          <w:rFonts w:eastAsia="Calibri" w:cs="Perpetua-Italic" w:ascii="Perpetua-Italic" w:hAnsi="Perpetua-Italic"/>
          <w:i/>
          <w:iCs/>
        </w:rPr>
        <w:t>non-fundamentally real</w:t>
      </w:r>
      <w:r>
        <w:rPr>
          <w:rFonts w:eastAsia="Calibri" w:cs="Perpetua" w:ascii="Perpetua" w:hAnsi="Perpetua"/>
        </w:rPr>
        <w:t>. In other words, the first interpretation</w:t>
      </w:r>
    </w:p>
    <w:p>
      <w:pPr>
        <w:pStyle w:val="Normal"/>
        <w:spacing w:before="0" w:after="0"/>
        <w:contextualSpacing/>
        <w:jc w:val="left"/>
        <w:rPr>
          <w:rFonts w:ascii="Perpetua" w:hAnsi="Perpetua" w:eastAsia="Calibri" w:cs="Perpetua"/>
        </w:rPr>
      </w:pPr>
      <w:r>
        <w:rPr>
          <w:rFonts w:eastAsia="Calibri" w:cs="Perpetua" w:ascii="Perpetua" w:hAnsi="Perpetua"/>
        </w:rPr>
        <w:t>amounts to the view that space is emergent (or does not exist</w:t>
      </w:r>
    </w:p>
    <w:p>
      <w:pPr>
        <w:pStyle w:val="Normal"/>
        <w:spacing w:before="0" w:after="0"/>
        <w:contextualSpacing/>
        <w:jc w:val="left"/>
        <w:rPr/>
      </w:pPr>
      <w:r>
        <w:rPr>
          <w:rFonts w:eastAsia="Calibri" w:cs="Perpetua" w:ascii="Perpetua" w:hAnsi="Perpetua"/>
        </w:rPr>
        <w:t xml:space="preserve">fundamentally) because space does not exist </w:t>
      </w:r>
      <w:r>
        <w:rPr>
          <w:rFonts w:eastAsia="Calibri" w:cs="Perpetua-Italic" w:ascii="Perpetua-Italic" w:hAnsi="Perpetua-Italic"/>
          <w:i/>
          <w:iCs/>
        </w:rPr>
        <w:t>simpliciter</w:t>
      </w:r>
      <w:r>
        <w:rPr>
          <w:rFonts w:eastAsia="Calibri" w:cs="Perpetua" w:ascii="Perpetua" w:hAnsi="Perpetua"/>
        </w:rPr>
        <w:t>, suggesting</w:t>
      </w:r>
    </w:p>
    <w:p>
      <w:pPr>
        <w:pStyle w:val="Normal"/>
        <w:spacing w:before="0" w:after="0"/>
        <w:contextualSpacing/>
        <w:jc w:val="left"/>
        <w:rPr>
          <w:rFonts w:ascii="Perpetua" w:hAnsi="Perpetua" w:eastAsia="Calibri" w:cs="Perpetua"/>
        </w:rPr>
      </w:pPr>
      <w:r>
        <w:rPr>
          <w:rFonts w:eastAsia="Calibri" w:cs="Perpetua" w:ascii="Perpetua" w:hAnsi="Perpetua"/>
        </w:rPr>
        <w:t>that emergence should be explained away as a form of illusion. (pp. 72-73)</w:t>
      </w:r>
    </w:p>
    <w:p>
      <w:pPr>
        <w:pStyle w:val="Normal"/>
        <w:spacing w:before="0" w:after="0"/>
        <w:contextualSpacing/>
        <w:jc w:val="left"/>
        <w:rPr>
          <w:b/>
          <w:b/>
        </w:rPr>
      </w:pPr>
      <w:r>
        <w:rPr>
          <w:b/>
        </w:rPr>
      </w:r>
    </w:p>
    <w:p>
      <w:pPr>
        <w:pStyle w:val="Normal"/>
        <w:spacing w:before="0" w:after="0"/>
        <w:contextualSpacing/>
        <w:jc w:val="left"/>
        <w:rPr/>
      </w:pPr>
      <w:r>
        <w:rPr>
          <w:rFonts w:eastAsia="Calibri" w:cs="Perpetua" w:ascii="Perpetua" w:hAnsi="Perpetua"/>
        </w:rPr>
        <w:t xml:space="preserve">As a result, space emergence seems, </w:t>
      </w:r>
      <w:r>
        <w:rPr>
          <w:rFonts w:eastAsia="Calibri" w:cs="Perpetua-Italic" w:ascii="Perpetua-Italic" w:hAnsi="Perpetua-Italic"/>
          <w:i/>
          <w:iCs/>
        </w:rPr>
        <w:t>prima facie</w:t>
      </w:r>
      <w:r>
        <w:rPr>
          <w:rFonts w:eastAsia="Calibri" w:cs="Perpetua" w:ascii="Perpetua" w:hAnsi="Perpetua"/>
        </w:rPr>
        <w:t>, to entail the</w:t>
      </w:r>
    </w:p>
    <w:p>
      <w:pPr>
        <w:pStyle w:val="Normal"/>
        <w:spacing w:before="0" w:after="0"/>
        <w:contextualSpacing/>
        <w:jc w:val="left"/>
        <w:rPr/>
      </w:pPr>
      <w:r>
        <w:rPr>
          <w:rFonts w:eastAsia="Calibri" w:cs="Perpetua" w:ascii="Perpetua" w:hAnsi="Perpetua"/>
        </w:rPr>
        <w:t>existence of some levels of reality.</w:t>
      </w:r>
      <w:r>
        <w:rPr>
          <w:rFonts w:eastAsia="Calibri" w:cs="Perpetua" w:ascii="Perpetua" w:hAnsi="Perpetua"/>
          <w:sz w:val="14"/>
          <w:szCs w:val="14"/>
        </w:rPr>
        <w:t xml:space="preserve">3 </w:t>
      </w:r>
      <w:r>
        <w:rPr>
          <w:rFonts w:eastAsia="Calibri" w:cs="Perpetua" w:ascii="Perpetua" w:hAnsi="Perpetua"/>
        </w:rPr>
        <w:t>The idea that reality is layered</w:t>
      </w:r>
    </w:p>
    <w:p>
      <w:pPr>
        <w:pStyle w:val="Normal"/>
        <w:spacing w:before="0" w:after="0"/>
        <w:contextualSpacing/>
        <w:jc w:val="left"/>
        <w:rPr>
          <w:rFonts w:ascii="Perpetua" w:hAnsi="Perpetua" w:eastAsia="Calibri" w:cs="Perpetua"/>
        </w:rPr>
      </w:pPr>
      <w:r>
        <w:rPr>
          <w:rFonts w:eastAsia="Calibri" w:cs="Perpetua" w:ascii="Perpetua" w:hAnsi="Perpetua"/>
        </w:rPr>
        <w:t>in ontological levels is not new. Importantly, we find it in discussions</w:t>
      </w:r>
    </w:p>
    <w:p>
      <w:pPr>
        <w:pStyle w:val="Normal"/>
        <w:spacing w:before="0" w:after="0"/>
        <w:contextualSpacing/>
        <w:jc w:val="left"/>
        <w:rPr/>
      </w:pPr>
      <w:r>
        <w:rPr>
          <w:rFonts w:eastAsia="Calibri" w:cs="Perpetua" w:ascii="Perpetua" w:hAnsi="Perpetua"/>
        </w:rPr>
        <w:t xml:space="preserve">on the status of special sciences. </w:t>
      </w:r>
      <w:r>
        <w:rPr>
          <w:rFonts w:eastAsia="Calibri" w:cs="Perpetua" w:ascii="Perpetua" w:hAnsi="Perpetua"/>
          <w:color w:val="FF0000"/>
        </w:rPr>
        <w:t xml:space="preserve">[exactly my EDWs!!!!, not layers!] </w:t>
      </w:r>
      <w:r>
        <w:rPr>
          <w:rFonts w:eastAsia="Calibri" w:cs="Perpetua" w:ascii="Perpetua" w:hAnsi="Perpetua"/>
        </w:rPr>
        <w:t>One possible interpretation</w:t>
      </w:r>
    </w:p>
    <w:p>
      <w:pPr>
        <w:pStyle w:val="Normal"/>
        <w:spacing w:before="0" w:after="0"/>
        <w:contextualSpacing/>
        <w:jc w:val="left"/>
        <w:rPr>
          <w:rFonts w:ascii="Perpetua" w:hAnsi="Perpetua" w:eastAsia="Calibri" w:cs="Perpetua"/>
        </w:rPr>
      </w:pPr>
      <w:r>
        <w:rPr>
          <w:rFonts w:eastAsia="Calibri" w:cs="Perpetua" w:ascii="Perpetua" w:hAnsi="Perpetua"/>
        </w:rPr>
        <w:t>of the non-reductionist claim that special sciences such as biology</w:t>
      </w:r>
    </w:p>
    <w:p>
      <w:pPr>
        <w:pStyle w:val="Normal"/>
        <w:spacing w:before="0" w:after="0"/>
        <w:contextualSpacing/>
        <w:jc w:val="left"/>
        <w:rPr>
          <w:rFonts w:ascii="Perpetua" w:hAnsi="Perpetua" w:eastAsia="Calibri" w:cs="Perpetua"/>
        </w:rPr>
      </w:pPr>
      <w:r>
        <w:rPr>
          <w:rFonts w:eastAsia="Calibri" w:cs="Perpetua" w:ascii="Perpetua" w:hAnsi="Perpetua"/>
        </w:rPr>
        <w:t>or cognitive psychology do not reduce, semantically, to fundamental</w:t>
      </w:r>
    </w:p>
    <w:p>
      <w:pPr>
        <w:pStyle w:val="Normal"/>
        <w:spacing w:before="0" w:after="0"/>
        <w:contextualSpacing/>
        <w:jc w:val="left"/>
        <w:rPr>
          <w:rFonts w:ascii="Perpetua" w:hAnsi="Perpetua" w:eastAsia="Calibri" w:cs="Perpetua"/>
        </w:rPr>
      </w:pPr>
      <w:r>
        <w:rPr>
          <w:rFonts w:eastAsia="Calibri" w:cs="Perpetua" w:ascii="Perpetua" w:hAnsi="Perpetua"/>
        </w:rPr>
        <w:t>physics is that the entities engaged by these special sciences may</w:t>
      </w:r>
    </w:p>
    <w:p>
      <w:pPr>
        <w:pStyle w:val="Normal"/>
        <w:spacing w:before="0" w:after="0"/>
        <w:contextualSpacing/>
        <w:jc w:val="left"/>
        <w:rPr/>
      </w:pPr>
      <w:r>
        <w:rPr>
          <w:rFonts w:eastAsia="Calibri" w:cs="Perpetua" w:ascii="Perpetua" w:hAnsi="Perpetua"/>
        </w:rPr>
        <w:t xml:space="preserve">not be identified with the entities posited by fundamental physics. </w:t>
      </w:r>
      <w:r>
        <w:rPr>
          <w:rFonts w:eastAsia="Calibri" w:cs="Perpetua" w:ascii="Perpetua" w:hAnsi="Perpetua"/>
          <w:color w:val="FF0000"/>
        </w:rPr>
        <w:t xml:space="preserve">[again my EDWs!!!] </w:t>
      </w:r>
      <w:r>
        <w:rPr>
          <w:rFonts w:eastAsia="Calibri" w:cs="Perpetua" w:ascii="Perpetua" w:hAnsi="Perpetua"/>
        </w:rPr>
        <w:t>If</w:t>
      </w:r>
    </w:p>
    <w:p>
      <w:pPr>
        <w:pStyle w:val="Normal"/>
        <w:spacing w:before="0" w:after="0"/>
        <w:contextualSpacing/>
        <w:jc w:val="left"/>
        <w:rPr/>
      </w:pPr>
      <w:r>
        <w:rPr>
          <w:rFonts w:eastAsia="Calibri" w:cs="Perpetua" w:ascii="Perpetua" w:hAnsi="Perpetua"/>
        </w:rPr>
        <w:t>true, then the natural world is layered in several levels of reality, one corresponding to each of the special sciences.</w:t>
      </w:r>
      <w:r>
        <w:rPr>
          <w:rFonts w:eastAsia="Calibri" w:cs="Perpetua" w:ascii="Perpetua" w:hAnsi="Perpetua"/>
          <w:sz w:val="14"/>
          <w:szCs w:val="14"/>
        </w:rPr>
        <w:t xml:space="preserve">4 </w:t>
      </w:r>
      <w:r>
        <w:rPr>
          <w:rFonts w:eastAsia="Calibri" w:cs="Perpetua" w:ascii="Perpetua" w:hAnsi="Perpetua"/>
        </w:rPr>
        <w:t>As such, a proponent</w:t>
      </w:r>
    </w:p>
    <w:p>
      <w:pPr>
        <w:pStyle w:val="Normal"/>
        <w:spacing w:before="0" w:after="0"/>
        <w:contextualSpacing/>
        <w:jc w:val="left"/>
        <w:rPr>
          <w:rFonts w:ascii="Perpetua" w:hAnsi="Perpetua" w:eastAsia="Calibri" w:cs="Perpetua"/>
        </w:rPr>
      </w:pPr>
      <w:r>
        <w:rPr>
          <w:rFonts w:eastAsia="Calibri" w:cs="Perpetua" w:ascii="Perpetua" w:hAnsi="Perpetua"/>
        </w:rPr>
        <w:t>of levels in special sciences might argue that space emergence would</w:t>
      </w:r>
    </w:p>
    <w:p>
      <w:pPr>
        <w:pStyle w:val="Normal"/>
        <w:spacing w:before="0" w:after="0"/>
        <w:contextualSpacing/>
        <w:jc w:val="left"/>
        <w:rPr>
          <w:rFonts w:ascii="Perpetua" w:hAnsi="Perpetua" w:eastAsia="Calibri" w:cs="Perpetua"/>
        </w:rPr>
      </w:pPr>
      <w:r>
        <w:rPr>
          <w:rFonts w:eastAsia="Calibri" w:cs="Perpetua" w:ascii="Perpetua" w:hAnsi="Perpetua"/>
        </w:rPr>
        <w:t>provide us with new evidence that the natural world is layered. (p 74)</w:t>
      </w:r>
    </w:p>
    <w:p>
      <w:pPr>
        <w:pStyle w:val="Normal"/>
        <w:spacing w:before="0" w:after="0"/>
        <w:contextualSpacing/>
        <w:jc w:val="left"/>
        <w:rPr>
          <w:rFonts w:ascii="Perpetua" w:hAnsi="Perpetua" w:eastAsia="Calibri" w:cs="Perpetua"/>
          <w:sz w:val="14"/>
          <w:szCs w:val="14"/>
        </w:rPr>
      </w:pPr>
      <w:r>
        <w:rPr>
          <w:rFonts w:eastAsia="Calibri" w:cs="Perpetua" w:ascii="Perpetua" w:hAnsi="Perpetua"/>
          <w:sz w:val="14"/>
          <w:szCs w:val="14"/>
        </w:rPr>
      </w:r>
    </w:p>
    <w:p>
      <w:pPr>
        <w:pStyle w:val="Normal"/>
        <w:spacing w:before="0" w:after="0"/>
        <w:contextualSpacing/>
        <w:jc w:val="left"/>
        <w:rPr/>
      </w:pPr>
      <w:r>
        <w:rPr>
          <w:b/>
        </w:rPr>
        <w:t xml:space="preserve">footenote 3: </w:t>
      </w:r>
      <w:r>
        <w:rPr>
          <w:rFonts w:eastAsia="Calibri" w:cs="Perpetua" w:ascii="Perpetua" w:hAnsi="Perpetua"/>
          <w:sz w:val="20"/>
          <w:szCs w:val="20"/>
        </w:rPr>
        <w:t>Depending on what we mean by the expression ‘level of reality’, one might</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argue that a world made of fundamental and non-fundamental entities should not</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be understood as a world in which there are levels of reality. It should be clear,</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however, that in the case of space emergence, non-fundamental spatial entities</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are taken to be all located in the same domain of description, while fundamental</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entities all are located in another domain of description, in such a way that if we</w:t>
      </w:r>
    </w:p>
    <w:p>
      <w:pPr>
        <w:pStyle w:val="Normal"/>
        <w:spacing w:before="0" w:after="0"/>
        <w:contextualSpacing/>
        <w:jc w:val="left"/>
        <w:rPr/>
      </w:pPr>
      <w:r>
        <w:rPr>
          <w:rFonts w:eastAsia="Calibri" w:cs="Perpetua" w:ascii="Perpetua" w:hAnsi="Perpetua"/>
          <w:sz w:val="20"/>
          <w:szCs w:val="20"/>
        </w:rPr>
        <w:t xml:space="preserve">want to claim that these </w:t>
      </w:r>
      <w:r>
        <w:rPr>
          <w:rFonts w:eastAsia="Calibri" w:cs="Perpetua-Italic" w:ascii="Perpetua-Italic" w:hAnsi="Perpetua-Italic"/>
          <w:i/>
          <w:iCs/>
          <w:sz w:val="20"/>
          <w:szCs w:val="20"/>
        </w:rPr>
        <w:t xml:space="preserve">domains of description </w:t>
      </w:r>
      <w:r>
        <w:rPr>
          <w:rFonts w:eastAsia="Calibri" w:cs="Perpetua" w:ascii="Perpetua" w:hAnsi="Perpetua"/>
          <w:sz w:val="20"/>
          <w:szCs w:val="20"/>
        </w:rPr>
        <w:t xml:space="preserve">represent genuine distinct </w:t>
      </w:r>
      <w:r>
        <w:rPr>
          <w:rFonts w:eastAsia="Calibri" w:cs="Perpetua-Italic" w:ascii="Perpetua-Italic" w:hAnsi="Perpetua-Italic"/>
          <w:i/>
          <w:iCs/>
          <w:sz w:val="20"/>
          <w:szCs w:val="20"/>
        </w:rPr>
        <w:t>ontological</w:t>
      </w:r>
    </w:p>
    <w:p>
      <w:pPr>
        <w:pStyle w:val="Normal"/>
        <w:spacing w:before="0" w:after="0"/>
        <w:contextualSpacing/>
        <w:jc w:val="left"/>
        <w:rPr/>
      </w:pPr>
      <w:r>
        <w:rPr>
          <w:rFonts w:eastAsia="Calibri" w:cs="Perpetua-Italic" w:ascii="Perpetua-Italic" w:hAnsi="Perpetua-Italic"/>
          <w:i/>
          <w:iCs/>
          <w:sz w:val="20"/>
          <w:szCs w:val="20"/>
        </w:rPr>
        <w:t>domains</w:t>
      </w:r>
      <w:r>
        <w:rPr>
          <w:rFonts w:eastAsia="Calibri" w:cs="Perpetua" w:ascii="Perpetua" w:hAnsi="Perpetua"/>
          <w:sz w:val="20"/>
          <w:szCs w:val="20"/>
        </w:rPr>
        <w:t>, the talk of levels of reality is perfectly justified.</w:t>
      </w:r>
      <w:r>
        <w:rPr>
          <w:b/>
        </w:rPr>
        <w:t xml:space="preserve"> </w:t>
      </w:r>
      <w:r>
        <w:rPr>
          <w:b/>
          <w:color w:val="FF0000"/>
        </w:rPr>
        <w:t>[again my EDWs!]</w:t>
      </w:r>
    </w:p>
    <w:p>
      <w:pPr>
        <w:pStyle w:val="Normal"/>
        <w:spacing w:before="0" w:after="0"/>
        <w:contextualSpacing/>
        <w:jc w:val="left"/>
        <w:rPr>
          <w:b/>
          <w:b/>
        </w:rPr>
      </w:pPr>
      <w:r>
        <w:rPr>
          <w:b/>
        </w:rPr>
      </w:r>
    </w:p>
    <w:p>
      <w:pPr>
        <w:pStyle w:val="Normal"/>
        <w:spacing w:before="0" w:after="0"/>
        <w:contextualSpacing/>
        <w:jc w:val="left"/>
        <w:rPr>
          <w:rFonts w:ascii="Perpetua" w:hAnsi="Perpetua" w:eastAsia="Calibri" w:cs="Perpetua"/>
        </w:rPr>
      </w:pPr>
      <w:r>
        <w:rPr>
          <w:rFonts w:eastAsia="Calibri" w:cs="Perpetua" w:ascii="Perpetua" w:hAnsi="Perpetua"/>
        </w:rPr>
        <w:t>I will suggest otherwise and argue that space emergence does not</w:t>
      </w:r>
    </w:p>
    <w:p>
      <w:pPr>
        <w:pStyle w:val="Normal"/>
        <w:spacing w:before="0" w:after="0"/>
        <w:contextualSpacing/>
        <w:jc w:val="left"/>
        <w:rPr>
          <w:rFonts w:ascii="Perpetua" w:hAnsi="Perpetua" w:eastAsia="Calibri" w:cs="Perpetua"/>
        </w:rPr>
      </w:pPr>
      <w:r>
        <w:rPr>
          <w:rFonts w:eastAsia="Calibri" w:cs="Perpetua" w:ascii="Perpetua" w:hAnsi="Perpetua"/>
        </w:rPr>
        <w:t>require positing ontological levels, relations of ontological priority,</w:t>
      </w:r>
    </w:p>
    <w:p>
      <w:pPr>
        <w:pStyle w:val="Normal"/>
        <w:spacing w:before="0" w:after="0"/>
        <w:contextualSpacing/>
        <w:jc w:val="left"/>
        <w:rPr>
          <w:rFonts w:ascii="Perpetua" w:hAnsi="Perpetua" w:eastAsia="Calibri" w:cs="Perpetua"/>
        </w:rPr>
      </w:pPr>
      <w:r>
        <w:rPr>
          <w:rFonts w:eastAsia="Calibri" w:cs="Perpetua" w:ascii="Perpetua" w:hAnsi="Perpetua"/>
        </w:rPr>
        <w:t>or emergence within physics. In order to argue for this claim, I will</w:t>
      </w:r>
    </w:p>
    <w:p>
      <w:pPr>
        <w:pStyle w:val="Normal"/>
        <w:spacing w:before="0" w:after="0"/>
        <w:contextualSpacing/>
        <w:jc w:val="left"/>
        <w:rPr/>
      </w:pPr>
      <w:r>
        <w:rPr>
          <w:rFonts w:eastAsia="Calibri" w:cs="Perpetua" w:ascii="Perpetua" w:hAnsi="Perpetua"/>
        </w:rPr>
        <w:t xml:space="preserve">introduce and motivate the </w:t>
      </w:r>
      <w:r>
        <w:rPr>
          <w:rFonts w:eastAsia="Calibri" w:cs="Perpetua-Italic" w:ascii="Perpetua-Italic" w:hAnsi="Perpetua-Italic"/>
          <w:i/>
          <w:iCs/>
        </w:rPr>
        <w:t>mereological bundle theory of space</w:t>
      </w:r>
      <w:r>
        <w:rPr>
          <w:rFonts w:eastAsia="Calibri" w:cs="Perpetua" w:ascii="Perpetua" w:hAnsi="Perpetua"/>
        </w:rPr>
        <w:t>:</w:t>
      </w:r>
      <w:r>
        <w:rPr>
          <w:rFonts w:eastAsia="Calibri" w:cs="Perpetua" w:ascii="Perpetua" w:hAnsi="Perpetua"/>
          <w:sz w:val="14"/>
          <w:szCs w:val="14"/>
        </w:rPr>
        <w:t xml:space="preserve">5 </w:t>
      </w:r>
      <w:r>
        <w:rPr>
          <w:rFonts w:eastAsia="Calibri" w:cs="Perpetua" w:ascii="Perpetua" w:hAnsi="Perpetua"/>
        </w:rPr>
        <w:t>what</w:t>
      </w:r>
    </w:p>
    <w:p>
      <w:pPr>
        <w:pStyle w:val="Normal"/>
        <w:spacing w:before="0" w:after="0"/>
        <w:contextualSpacing/>
        <w:jc w:val="left"/>
        <w:rPr>
          <w:rFonts w:ascii="Perpetua" w:hAnsi="Perpetua" w:eastAsia="Calibri" w:cs="Perpetua"/>
        </w:rPr>
      </w:pPr>
      <w:r>
        <w:rPr>
          <w:rFonts w:eastAsia="Calibri" w:cs="Perpetua" w:ascii="Perpetua" w:hAnsi="Perpetua"/>
        </w:rPr>
        <w:t>we call a ‘derivative’ or a ‘non-fundamental’ space is in fact a mereological</w:t>
      </w:r>
    </w:p>
    <w:p>
      <w:pPr>
        <w:pStyle w:val="Normal"/>
        <w:spacing w:before="0" w:after="0"/>
        <w:contextualSpacing/>
        <w:jc w:val="left"/>
        <w:rPr>
          <w:rFonts w:ascii="Perpetua" w:hAnsi="Perpetua" w:eastAsia="Calibri" w:cs="Perpetua"/>
        </w:rPr>
      </w:pPr>
      <w:r>
        <w:rPr>
          <w:rFonts w:eastAsia="Calibri" w:cs="Perpetua" w:ascii="Perpetua" w:hAnsi="Perpetua"/>
        </w:rPr>
        <w:t>bundle of proper parts of the ‘maximal structure’, namely</w:t>
      </w:r>
    </w:p>
    <w:p>
      <w:pPr>
        <w:pStyle w:val="Normal"/>
        <w:spacing w:before="0" w:after="0"/>
        <w:contextualSpacing/>
        <w:jc w:val="left"/>
        <w:rPr>
          <w:rFonts w:ascii="Perpetua" w:hAnsi="Perpetua" w:eastAsia="Calibri" w:cs="Perpetua"/>
        </w:rPr>
      </w:pPr>
      <w:r>
        <w:rPr>
          <w:rFonts w:eastAsia="Calibri" w:cs="Perpetua" w:ascii="Perpetua" w:hAnsi="Perpetua"/>
        </w:rPr>
        <w:t>the whole cosmos, whatever its exact (non-spatial) nature turns out</w:t>
      </w:r>
    </w:p>
    <w:p>
      <w:pPr>
        <w:pStyle w:val="Normal"/>
        <w:spacing w:before="0" w:after="0"/>
        <w:contextualSpacing/>
        <w:jc w:val="left"/>
        <w:rPr>
          <w:rFonts w:ascii="Perpetua" w:hAnsi="Perpetua" w:eastAsia="Calibri" w:cs="Perpetua"/>
        </w:rPr>
      </w:pPr>
      <w:r>
        <w:rPr>
          <w:rFonts w:eastAsia="Calibri" w:cs="Perpetua" w:ascii="Perpetua" w:hAnsi="Perpetua"/>
        </w:rPr>
        <w:t>to be. (p 74)</w:t>
      </w:r>
    </w:p>
    <w:p>
      <w:pPr>
        <w:pStyle w:val="Normal"/>
        <w:spacing w:before="0" w:after="0"/>
        <w:contextualSpacing/>
        <w:jc w:val="left"/>
        <w:rPr>
          <w:b/>
          <w:b/>
        </w:rPr>
      </w:pPr>
      <w:r>
        <w:rPr>
          <w:b/>
        </w:rPr>
      </w:r>
    </w:p>
    <w:p>
      <w:pPr>
        <w:pStyle w:val="Normal"/>
        <w:spacing w:before="0" w:after="0"/>
        <w:contextualSpacing/>
        <w:jc w:val="left"/>
        <w:rPr>
          <w:rFonts w:ascii="Perpetua" w:hAnsi="Perpetua" w:eastAsia="Calibri" w:cs="Perpetua"/>
        </w:rPr>
      </w:pPr>
      <w:r>
        <w:rPr>
          <w:rFonts w:eastAsia="Calibri" w:cs="Perpetua" w:ascii="Perpetua" w:hAnsi="Perpetua"/>
        </w:rPr>
        <w:t>But many other examples</w:t>
      </w:r>
    </w:p>
    <w:p>
      <w:pPr>
        <w:pStyle w:val="Normal"/>
        <w:spacing w:before="0" w:after="0"/>
        <w:contextualSpacing/>
        <w:jc w:val="left"/>
        <w:rPr>
          <w:rFonts w:ascii="Perpetua" w:hAnsi="Perpetua" w:eastAsia="Calibri" w:cs="Perpetua"/>
        </w:rPr>
      </w:pPr>
      <w:r>
        <w:rPr>
          <w:rFonts w:eastAsia="Calibri" w:cs="Perpetua" w:ascii="Perpetua" w:hAnsi="Perpetua"/>
        </w:rPr>
        <w:t>of space emergence may be found in the quantum gravity literature,</w:t>
      </w:r>
    </w:p>
    <w:p>
      <w:pPr>
        <w:pStyle w:val="Normal"/>
        <w:spacing w:before="0" w:after="0"/>
        <w:contextualSpacing/>
        <w:jc w:val="left"/>
        <w:rPr>
          <w:rFonts w:ascii="Perpetua" w:hAnsi="Perpetua" w:eastAsia="Calibri" w:cs="Perpetua"/>
        </w:rPr>
      </w:pPr>
      <w:r>
        <w:rPr>
          <w:rFonts w:eastAsia="Calibri" w:cs="Perpetua" w:ascii="Perpetua" w:hAnsi="Perpetua"/>
        </w:rPr>
        <w:t>and the general ontological interpretation that I will propose, by</w:t>
      </w:r>
    </w:p>
    <w:p>
      <w:pPr>
        <w:pStyle w:val="Normal"/>
        <w:spacing w:before="0" w:after="0"/>
        <w:contextualSpacing/>
        <w:jc w:val="left"/>
        <w:rPr/>
      </w:pPr>
      <w:r>
        <w:rPr>
          <w:rFonts w:eastAsia="Calibri" w:cs="Perpetua" w:ascii="Perpetua" w:hAnsi="Perpetua"/>
        </w:rPr>
        <w:t>its abstract nature, should apply to many, if not all, of them.</w:t>
      </w:r>
      <w:r>
        <w:rPr>
          <w:rFonts w:eastAsia="Calibri" w:cs="Perpetua" w:ascii="Perpetua" w:hAnsi="Perpetua"/>
          <w:sz w:val="14"/>
          <w:szCs w:val="14"/>
        </w:rPr>
        <w:t xml:space="preserve">8 </w:t>
      </w:r>
      <w:r>
        <w:rPr>
          <w:rFonts w:eastAsia="Calibri" w:cs="Perpetua" w:ascii="Perpetua" w:hAnsi="Perpetua"/>
        </w:rPr>
        <w:t>LQG</w:t>
      </w:r>
    </w:p>
    <w:p>
      <w:pPr>
        <w:pStyle w:val="Normal"/>
        <w:spacing w:before="0" w:after="0"/>
        <w:contextualSpacing/>
        <w:jc w:val="left"/>
        <w:rPr>
          <w:rFonts w:ascii="Perpetua" w:hAnsi="Perpetua" w:eastAsia="Calibri" w:cs="Perpetua"/>
        </w:rPr>
      </w:pPr>
      <w:r>
        <w:rPr>
          <w:rFonts w:eastAsia="Calibri" w:cs="Perpetua" w:ascii="Perpetua" w:hAnsi="Perpetua"/>
        </w:rPr>
        <w:t>is one program among many in quantum gravity. These programs</w:t>
      </w:r>
    </w:p>
    <w:p>
      <w:pPr>
        <w:pStyle w:val="Normal"/>
        <w:spacing w:before="0" w:after="0"/>
        <w:contextualSpacing/>
        <w:jc w:val="left"/>
        <w:rPr>
          <w:rFonts w:ascii="Perpetua" w:hAnsi="Perpetua" w:eastAsia="Calibri" w:cs="Perpetua"/>
        </w:rPr>
      </w:pPr>
      <w:r>
        <w:rPr>
          <w:rFonts w:eastAsia="Calibri" w:cs="Perpetua" w:ascii="Perpetua" w:hAnsi="Perpetua"/>
        </w:rPr>
        <w:t>aim at finding an explanation of quantum gravity, either by starting</w:t>
      </w:r>
    </w:p>
    <w:p>
      <w:pPr>
        <w:pStyle w:val="Normal"/>
        <w:spacing w:before="0" w:after="0"/>
        <w:contextualSpacing/>
        <w:jc w:val="left"/>
        <w:rPr>
          <w:rFonts w:ascii="Perpetua" w:hAnsi="Perpetua" w:eastAsia="Calibri" w:cs="Perpetua"/>
        </w:rPr>
      </w:pPr>
      <w:r>
        <w:rPr>
          <w:rFonts w:eastAsia="Calibri" w:cs="Perpetua" w:ascii="Perpetua" w:hAnsi="Perpetua"/>
        </w:rPr>
        <w:t>with a GR framework, then introducing quantum aspects in the account</w:t>
      </w:r>
    </w:p>
    <w:p>
      <w:pPr>
        <w:pStyle w:val="Normal"/>
        <w:spacing w:before="0" w:after="0"/>
        <w:contextualSpacing/>
        <w:jc w:val="left"/>
        <w:rPr>
          <w:rFonts w:ascii="Perpetua" w:hAnsi="Perpetua" w:eastAsia="Calibri" w:cs="Perpetua"/>
        </w:rPr>
      </w:pPr>
      <w:r>
        <w:rPr>
          <w:rFonts w:eastAsia="Calibri" w:cs="Perpetua" w:ascii="Perpetua" w:hAnsi="Perpetua"/>
        </w:rPr>
        <w:t>(as with LQG), or in trying to unify general relativity with the</w:t>
      </w:r>
    </w:p>
    <w:p>
      <w:pPr>
        <w:pStyle w:val="Normal"/>
        <w:spacing w:before="0" w:after="0"/>
        <w:contextualSpacing/>
        <w:jc w:val="left"/>
        <w:rPr>
          <w:rFonts w:ascii="Perpetua" w:hAnsi="Perpetua" w:eastAsia="Calibri" w:cs="Perpetua"/>
        </w:rPr>
      </w:pPr>
      <w:r>
        <w:rPr>
          <w:rFonts w:eastAsia="Calibri" w:cs="Perpetua" w:ascii="Perpetua" w:hAnsi="Perpetua"/>
        </w:rPr>
        <w:t>standard model of particle physics by building a new theory (as with</w:t>
      </w:r>
    </w:p>
    <w:p>
      <w:pPr>
        <w:pStyle w:val="Normal"/>
        <w:spacing w:before="0" w:after="0"/>
        <w:contextualSpacing/>
        <w:jc w:val="left"/>
        <w:rPr/>
      </w:pPr>
      <w:r>
        <w:rPr>
          <w:rFonts w:eastAsia="Calibri" w:cs="Perpetua" w:ascii="Perpetua" w:hAnsi="Perpetua"/>
        </w:rPr>
        <w:t>string theory).</w:t>
      </w:r>
      <w:r>
        <w:rPr>
          <w:rFonts w:eastAsia="Calibri" w:cs="Perpetua" w:ascii="Perpetua" w:hAnsi="Perpetua"/>
          <w:sz w:val="14"/>
          <w:szCs w:val="14"/>
        </w:rPr>
        <w:t xml:space="preserve">9  </w:t>
      </w:r>
      <w:r>
        <w:rPr>
          <w:rFonts w:eastAsia="Calibri" w:cs="Perpetua" w:ascii="Perpetua" w:hAnsi="Perpetua"/>
        </w:rPr>
        <w:t>None of these research programs are empirically</w:t>
      </w:r>
    </w:p>
    <w:p>
      <w:pPr>
        <w:pStyle w:val="Normal"/>
        <w:spacing w:before="0" w:after="0"/>
        <w:contextualSpacing/>
        <w:jc w:val="left"/>
        <w:rPr/>
      </w:pPr>
      <w:r>
        <w:rPr>
          <w:rFonts w:eastAsia="Calibri" w:cs="Perpetua" w:ascii="Perpetua" w:hAnsi="Perpetua"/>
        </w:rPr>
        <w:t xml:space="preserve">confirmed, though. </w:t>
      </w:r>
      <w:r>
        <w:rPr>
          <w:rFonts w:eastAsia="Calibri" w:cs="Perpetua" w:ascii="Perpetua" w:hAnsi="Perpetua"/>
          <w:color w:val="FF0000"/>
        </w:rPr>
        <w:t>[in my books I investigated quantum mechanics, Einstein both relativities, and spacetime!!!]</w:t>
      </w:r>
    </w:p>
    <w:p>
      <w:pPr>
        <w:pStyle w:val="Normal"/>
        <w:spacing w:before="0" w:after="0"/>
        <w:contextualSpacing/>
        <w:jc w:val="left"/>
        <w:rPr/>
      </w:pPr>
      <w:r>
        <w:rPr>
          <w:b/>
        </w:rPr>
        <w:t xml:space="preserve">footenote 9 </w:t>
      </w:r>
      <w:r>
        <w:rPr>
          <w:rFonts w:eastAsia="Calibri" w:cs="Perpetua" w:ascii="Perpetua" w:hAnsi="Perpetua"/>
          <w:sz w:val="12"/>
          <w:szCs w:val="12"/>
        </w:rPr>
        <w:t xml:space="preserve">9 </w:t>
      </w:r>
      <w:r>
        <w:rPr>
          <w:rFonts w:eastAsia="Calibri" w:cs="Perpetua" w:ascii="Perpetua" w:hAnsi="Perpetua"/>
          <w:sz w:val="20"/>
          <w:szCs w:val="20"/>
        </w:rPr>
        <w:t>Right now, our two most fundamental physical theories are general relativity</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and the standard model of particle physics (leaving aside the possibility that</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macroscopic thermodynamics is also fundamental, see Ladyman and Ross 2007).</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The two theories describe different physics and are in tension to explain phenomena</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where gravitational effects (the playground of GR) meet quantum effects</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(an aspect of quantum mechanics, also covered by the standard model of particle</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physics), namely phenomena such as black holes and the very early universe.</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w:t>
      </w:r>
      <w:r>
        <w:rPr>
          <w:rFonts w:eastAsia="Calibri" w:cs="Perpetua" w:ascii="Perpetua" w:hAnsi="Perpetua"/>
        </w:rPr>
        <w:t>Constitution’ would be a misnomer or, at best,</w:t>
      </w:r>
    </w:p>
    <w:p>
      <w:pPr>
        <w:pStyle w:val="Normal"/>
        <w:spacing w:before="0" w:after="0"/>
        <w:contextualSpacing/>
        <w:jc w:val="left"/>
        <w:rPr>
          <w:rFonts w:ascii="Perpetua" w:hAnsi="Perpetua" w:eastAsia="Calibri" w:cs="Perpetua"/>
        </w:rPr>
      </w:pPr>
      <w:r>
        <w:rPr>
          <w:rFonts w:eastAsia="Calibri" w:cs="Perpetua" w:ascii="Perpetua" w:hAnsi="Perpetua"/>
        </w:rPr>
        <w:t>constitution in a narrow epistemic sense: due to some features of</w:t>
      </w:r>
    </w:p>
    <w:p>
      <w:pPr>
        <w:pStyle w:val="Normal"/>
        <w:spacing w:before="0" w:after="0"/>
        <w:contextualSpacing/>
        <w:jc w:val="left"/>
        <w:rPr/>
      </w:pPr>
      <w:r>
        <w:rPr>
          <w:rFonts w:eastAsia="Calibri" w:cs="Perpetua" w:ascii="Perpetua" w:hAnsi="Perpetua"/>
        </w:rPr>
        <w:t xml:space="preserve">our conceptual and perceptual apparatus, space </w:t>
      </w:r>
      <w:r>
        <w:rPr>
          <w:rFonts w:eastAsia="Calibri" w:cs="Perpetua-Italic" w:ascii="Perpetua-Italic" w:hAnsi="Perpetua-Italic"/>
          <w:i/>
          <w:iCs/>
        </w:rPr>
        <w:t xml:space="preserve">seems </w:t>
      </w:r>
      <w:r>
        <w:rPr>
          <w:rFonts w:eastAsia="Calibri" w:cs="Perpetua" w:ascii="Perpetua" w:hAnsi="Perpetua"/>
        </w:rPr>
        <w:t>to exist. But</w:t>
      </w:r>
    </w:p>
    <w:p>
      <w:pPr>
        <w:pStyle w:val="Normal"/>
        <w:spacing w:before="0" w:after="0"/>
        <w:contextualSpacing/>
        <w:jc w:val="left"/>
        <w:rPr>
          <w:rFonts w:ascii="Perpetua" w:hAnsi="Perpetua" w:eastAsia="Calibri" w:cs="Perpetua"/>
        </w:rPr>
      </w:pPr>
      <w:r>
        <w:rPr>
          <w:rFonts w:eastAsia="Calibri" w:cs="Perpetua" w:ascii="Perpetua" w:hAnsi="Perpetua"/>
        </w:rPr>
        <w:t>there is no genuine, mind-independent, constitution of space since</w:t>
      </w:r>
    </w:p>
    <w:p>
      <w:pPr>
        <w:pStyle w:val="Normal"/>
        <w:spacing w:before="0" w:after="0"/>
        <w:contextualSpacing/>
        <w:jc w:val="left"/>
        <w:rPr>
          <w:rFonts w:ascii="Perpetua" w:hAnsi="Perpetua" w:eastAsia="Calibri" w:cs="Perpetua"/>
        </w:rPr>
      </w:pPr>
      <w:r>
        <w:rPr>
          <w:rFonts w:eastAsia="Calibri" w:cs="Perpetua" w:ascii="Perpetua" w:hAnsi="Perpetua"/>
        </w:rPr>
        <w:t>there is no space. In this interpretation, the phenomenology of space</w:t>
      </w:r>
    </w:p>
    <w:p>
      <w:pPr>
        <w:pStyle w:val="Normal"/>
        <w:spacing w:before="0" w:after="0"/>
        <w:contextualSpacing/>
        <w:jc w:val="left"/>
        <w:rPr>
          <w:rFonts w:ascii="Perpetua" w:hAnsi="Perpetua" w:eastAsia="Calibri" w:cs="Perpetua"/>
        </w:rPr>
      </w:pPr>
      <w:r>
        <w:rPr>
          <w:rFonts w:eastAsia="Calibri" w:cs="Perpetua" w:ascii="Perpetua" w:hAnsi="Perpetua"/>
        </w:rPr>
        <w:t>and time relates directly to the fundamental non-spatial ontology,</w:t>
      </w:r>
    </w:p>
    <w:p>
      <w:pPr>
        <w:pStyle w:val="Normal"/>
        <w:spacing w:before="0" w:after="0"/>
        <w:contextualSpacing/>
        <w:jc w:val="left"/>
        <w:rPr>
          <w:rFonts w:ascii="Perpetua" w:hAnsi="Perpetua" w:eastAsia="Calibri" w:cs="Perpetua"/>
        </w:rPr>
      </w:pPr>
      <w:r>
        <w:rPr>
          <w:rFonts w:eastAsia="Calibri" w:cs="Perpetua" w:ascii="Perpetua" w:hAnsi="Perpetua"/>
        </w:rPr>
        <w:t>without positing an in-between physical derivative spatial structure. (p. 79)</w:t>
      </w:r>
    </w:p>
    <w:p>
      <w:pPr>
        <w:pStyle w:val="Normal"/>
        <w:spacing w:before="0" w:after="0"/>
        <w:contextualSpacing/>
        <w:jc w:val="left"/>
        <w:rPr>
          <w:b/>
          <w:b/>
          <w:sz w:val="32"/>
          <w:szCs w:val="32"/>
        </w:rPr>
      </w:pPr>
      <w:r>
        <w:rPr>
          <w:b/>
          <w:sz w:val="32"/>
          <w:szCs w:val="32"/>
        </w:rPr>
      </w:r>
    </w:p>
    <w:p>
      <w:pPr>
        <w:pStyle w:val="Normal"/>
        <w:spacing w:before="0" w:after="0"/>
        <w:contextualSpacing/>
        <w:jc w:val="left"/>
        <w:rPr/>
      </w:pPr>
      <w:r>
        <w:rPr>
          <w:rFonts w:eastAsia="Calibri" w:cs="Perpetua" w:ascii="Perpetua" w:hAnsi="Perpetua"/>
        </w:rPr>
        <w:t xml:space="preserve">Space is </w:t>
      </w:r>
      <w:r>
        <w:rPr>
          <w:rFonts w:eastAsia="Calibri" w:cs="Perpetua-Italic" w:ascii="Perpetua-Italic" w:hAnsi="Perpetua-Italic"/>
          <w:i/>
          <w:iCs/>
        </w:rPr>
        <w:t>grounded in</w:t>
      </w:r>
      <w:r>
        <w:rPr>
          <w:rFonts w:eastAsia="Calibri" w:cs="Perpetua" w:ascii="Perpetua" w:hAnsi="Perpetua"/>
        </w:rPr>
        <w:t xml:space="preserve">, or is </w:t>
      </w:r>
      <w:r>
        <w:rPr>
          <w:rFonts w:eastAsia="Calibri" w:cs="Perpetua-Italic" w:ascii="Perpetua-Italic" w:hAnsi="Perpetua-Italic"/>
          <w:i/>
          <w:iCs/>
        </w:rPr>
        <w:t>built from</w:t>
      </w:r>
      <w:r>
        <w:rPr>
          <w:rFonts w:eastAsia="Calibri" w:cs="Perpetua" w:ascii="Perpetua" w:hAnsi="Perpetua"/>
        </w:rPr>
        <w:t>, a more fundamental</w:t>
      </w:r>
    </w:p>
    <w:p>
      <w:pPr>
        <w:pStyle w:val="Normal"/>
        <w:spacing w:before="0" w:after="0"/>
        <w:contextualSpacing/>
        <w:jc w:val="left"/>
        <w:rPr>
          <w:rFonts w:ascii="Perpetua" w:hAnsi="Perpetua" w:eastAsia="Calibri" w:cs="Perpetua"/>
        </w:rPr>
      </w:pPr>
      <w:r>
        <w:rPr>
          <w:rFonts w:eastAsia="Calibri" w:cs="Perpetua" w:ascii="Perpetua" w:hAnsi="Perpetua"/>
        </w:rPr>
        <w:t>ontology. There are many possible ways to think of the connecting</w:t>
      </w:r>
    </w:p>
    <w:p>
      <w:pPr>
        <w:pStyle w:val="Normal"/>
        <w:spacing w:before="0" w:after="0"/>
        <w:contextualSpacing/>
        <w:jc w:val="left"/>
        <w:rPr>
          <w:rFonts w:ascii="Perpetua" w:hAnsi="Perpetua" w:eastAsia="Calibri" w:cs="Perpetua"/>
        </w:rPr>
      </w:pPr>
      <w:r>
        <w:rPr>
          <w:rFonts w:eastAsia="Calibri" w:cs="Perpetua" w:ascii="Perpetua" w:hAnsi="Perpetua"/>
        </w:rPr>
        <w:t>device obtaining between the two layers and grounding or building</w:t>
      </w:r>
    </w:p>
    <w:p>
      <w:pPr>
        <w:pStyle w:val="Normal"/>
        <w:spacing w:before="0" w:after="0"/>
        <w:contextualSpacing/>
        <w:jc w:val="left"/>
        <w:rPr/>
      </w:pPr>
      <w:r>
        <w:rPr>
          <w:rFonts w:eastAsia="Calibri" w:cs="Perpetua" w:ascii="Perpetua" w:hAnsi="Perpetua"/>
        </w:rPr>
        <w:t xml:space="preserve">the upper entities. One may construe the relation as a </w:t>
      </w:r>
      <w:r>
        <w:rPr>
          <w:rFonts w:eastAsia="Calibri" w:cs="Perpetua-Italic" w:ascii="Perpetua-Italic" w:hAnsi="Perpetua-Italic"/>
          <w:i/>
          <w:iCs/>
        </w:rPr>
        <w:t>grounding relation</w:t>
      </w:r>
      <w:r>
        <w:rPr>
          <w:rFonts w:eastAsia="Calibri" w:cs="Perpetua" w:ascii="Perpetua" w:hAnsi="Perpetua"/>
        </w:rPr>
        <w:t>.</w:t>
      </w:r>
    </w:p>
    <w:p>
      <w:pPr>
        <w:pStyle w:val="Normal"/>
        <w:spacing w:before="0" w:after="0"/>
        <w:contextualSpacing/>
        <w:jc w:val="left"/>
        <w:rPr>
          <w:rFonts w:ascii="Perpetua" w:hAnsi="Perpetua" w:eastAsia="Calibri" w:cs="Perpetua"/>
        </w:rPr>
      </w:pPr>
      <w:r>
        <w:rPr>
          <w:rFonts w:eastAsia="Calibri" w:cs="Perpetua" w:ascii="Perpetua" w:hAnsi="Perpetua"/>
        </w:rPr>
        <w:t>Note, however, that this relation has to be ontological—it cannot</w:t>
      </w:r>
    </w:p>
    <w:p>
      <w:pPr>
        <w:pStyle w:val="Normal"/>
        <w:spacing w:before="0" w:after="0"/>
        <w:contextualSpacing/>
        <w:jc w:val="left"/>
        <w:rPr>
          <w:rFonts w:ascii="Perpetua" w:hAnsi="Perpetua" w:eastAsia="Calibri" w:cs="Perpetua"/>
        </w:rPr>
      </w:pPr>
      <w:r>
        <w:rPr>
          <w:rFonts w:eastAsia="Calibri" w:cs="Perpetua" w:ascii="Perpetua" w:hAnsi="Perpetua"/>
        </w:rPr>
        <w:t>be merely a mathematical procedure (as with Albert’s notion of</w:t>
      </w:r>
    </w:p>
    <w:p>
      <w:pPr>
        <w:pStyle w:val="Normal"/>
        <w:spacing w:before="0" w:after="0"/>
        <w:contextualSpacing/>
        <w:jc w:val="left"/>
        <w:rPr>
          <w:rFonts w:ascii="Perpetua" w:hAnsi="Perpetua" w:eastAsia="Calibri" w:cs="Perpetua"/>
        </w:rPr>
      </w:pPr>
      <w:r>
        <w:rPr>
          <w:rFonts w:eastAsia="Calibri" w:cs="Perpetua" w:ascii="Perpetua" w:hAnsi="Perpetua"/>
        </w:rPr>
        <w:t xml:space="preserve">functional realization that suggests an eliminativist picture). </w:t>
      </w:r>
    </w:p>
    <w:p>
      <w:pPr>
        <w:pStyle w:val="Normal"/>
        <w:spacing w:before="0" w:after="0"/>
        <w:contextualSpacing/>
        <w:jc w:val="left"/>
        <w:rPr>
          <w:rFonts w:ascii="Perpetua" w:hAnsi="Perpetua" w:eastAsia="Calibri" w:cs="Perpetua"/>
        </w:rPr>
      </w:pPr>
      <w:r>
        <w:rPr>
          <w:rFonts w:eastAsia="Calibri" w:cs="Perpetua" w:ascii="Perpetua" w:hAnsi="Perpetua"/>
        </w:rPr>
        <w:t>The derivative view suggests not only that the world is stratified,</w:t>
      </w:r>
    </w:p>
    <w:p>
      <w:pPr>
        <w:pStyle w:val="Normal"/>
        <w:spacing w:before="0" w:after="0"/>
        <w:contextualSpacing/>
        <w:jc w:val="left"/>
        <w:rPr/>
      </w:pPr>
      <w:r>
        <w:rPr>
          <w:rFonts w:eastAsia="Calibri" w:cs="Perpetua" w:ascii="Perpetua" w:hAnsi="Perpetua"/>
        </w:rPr>
        <w:t xml:space="preserve">but also that the layers are related by a </w:t>
      </w:r>
      <w:r>
        <w:rPr>
          <w:rFonts w:eastAsia="Calibri" w:cs="Perpetua-Italic" w:ascii="Perpetua-Italic" w:hAnsi="Perpetua-Italic"/>
          <w:i/>
          <w:iCs/>
        </w:rPr>
        <w:t xml:space="preserve">connecting relation </w:t>
      </w:r>
      <w:r>
        <w:rPr>
          <w:rFonts w:eastAsia="Calibri" w:cs="Perpetua" w:ascii="Perpetua" w:hAnsi="Perpetua"/>
        </w:rPr>
        <w:t>and that the</w:t>
      </w:r>
    </w:p>
    <w:p>
      <w:pPr>
        <w:pStyle w:val="Normal"/>
        <w:spacing w:before="0" w:after="0"/>
        <w:contextualSpacing/>
        <w:jc w:val="left"/>
        <w:rPr>
          <w:rFonts w:ascii="Perpetua" w:hAnsi="Perpetua" w:eastAsia="Calibri" w:cs="Perpetua"/>
        </w:rPr>
      </w:pPr>
      <w:r>
        <w:rPr>
          <w:rFonts w:eastAsia="Calibri" w:cs="Perpetua" w:ascii="Perpetua" w:hAnsi="Perpetua"/>
        </w:rPr>
        <w:t>derivative structure is less fundamental than the fundamental structure.</w:t>
      </w:r>
    </w:p>
    <w:p>
      <w:pPr>
        <w:pStyle w:val="Normal"/>
        <w:spacing w:before="0" w:after="0"/>
        <w:contextualSpacing/>
        <w:jc w:val="left"/>
        <w:rPr>
          <w:rFonts w:ascii="Perpetua" w:hAnsi="Perpetua" w:eastAsia="Calibri" w:cs="Perpetua"/>
        </w:rPr>
      </w:pPr>
      <w:r>
        <w:rPr>
          <w:rFonts w:eastAsia="Calibri" w:cs="Perpetua" w:ascii="Perpetua" w:hAnsi="Perpetua"/>
        </w:rPr>
        <w:t>Take note that there is not necessarily a connection between</w:t>
      </w:r>
    </w:p>
    <w:p>
      <w:pPr>
        <w:pStyle w:val="Normal"/>
        <w:spacing w:before="0" w:after="0"/>
        <w:contextualSpacing/>
        <w:jc w:val="left"/>
        <w:rPr>
          <w:rFonts w:ascii="Perpetua" w:hAnsi="Perpetua" w:eastAsia="Calibri" w:cs="Perpetua"/>
        </w:rPr>
      </w:pPr>
      <w:r>
        <w:rPr>
          <w:rFonts w:eastAsia="Calibri" w:cs="Perpetua" w:ascii="Perpetua" w:hAnsi="Perpetua"/>
        </w:rPr>
        <w:t>the stratified view and the existence of fundamentality relations. We</w:t>
      </w:r>
    </w:p>
    <w:p>
      <w:pPr>
        <w:pStyle w:val="Normal"/>
        <w:spacing w:before="0" w:after="0"/>
        <w:contextualSpacing/>
        <w:jc w:val="left"/>
        <w:rPr>
          <w:rFonts w:ascii="Perpetua" w:hAnsi="Perpetua" w:eastAsia="Calibri" w:cs="Perpetua"/>
        </w:rPr>
      </w:pPr>
      <w:r>
        <w:rPr>
          <w:rFonts w:eastAsia="Calibri" w:cs="Perpetua" w:ascii="Perpetua" w:hAnsi="Perpetua"/>
        </w:rPr>
        <w:t>may well discover one day that the world is stratified although no</w:t>
      </w:r>
    </w:p>
    <w:p>
      <w:pPr>
        <w:pStyle w:val="Normal"/>
        <w:spacing w:before="0" w:after="0"/>
        <w:contextualSpacing/>
        <w:jc w:val="left"/>
        <w:rPr/>
      </w:pPr>
      <w:r>
        <w:rPr>
          <w:rFonts w:eastAsia="Calibri" w:cs="Perpetua" w:ascii="Perpetua" w:hAnsi="Perpetua"/>
        </w:rPr>
        <w:t xml:space="preserve">relation of fundamentality is connecting the layers. </w:t>
      </w:r>
      <w:r>
        <w:rPr>
          <w:rFonts w:eastAsia="Calibri" w:cs="Perpetua" w:ascii="Perpetua" w:hAnsi="Perpetua"/>
          <w:color w:val="FF0000"/>
        </w:rPr>
        <w:t>[my EDWs!!!]</w:t>
      </w:r>
      <w:r>
        <w:rPr>
          <w:rFonts w:eastAsia="Calibri" w:cs="Perpetua" w:ascii="Perpetua" w:hAnsi="Perpetua"/>
        </w:rPr>
        <w:t xml:space="preserve"> Also, there is no</w:t>
      </w:r>
    </w:p>
    <w:p>
      <w:pPr>
        <w:pStyle w:val="Normal"/>
        <w:spacing w:before="0" w:after="0"/>
        <w:contextualSpacing/>
        <w:jc w:val="left"/>
        <w:rPr>
          <w:rFonts w:ascii="Perpetua" w:hAnsi="Perpetua" w:eastAsia="Calibri" w:cs="Perpetua"/>
        </w:rPr>
      </w:pPr>
      <w:r>
        <w:rPr>
          <w:rFonts w:eastAsia="Calibri" w:cs="Perpetua" w:ascii="Perpetua" w:hAnsi="Perpetua"/>
        </w:rPr>
        <w:t>logical connection between the existence of fundamentality relations</w:t>
      </w:r>
    </w:p>
    <w:p>
      <w:pPr>
        <w:pStyle w:val="Normal"/>
        <w:spacing w:before="0" w:after="0"/>
        <w:contextualSpacing/>
        <w:jc w:val="left"/>
        <w:rPr>
          <w:rFonts w:ascii="Perpetua" w:hAnsi="Perpetua" w:eastAsia="Calibri" w:cs="Perpetua"/>
        </w:rPr>
      </w:pPr>
      <w:r>
        <w:rPr>
          <w:rFonts w:eastAsia="Calibri" w:cs="Perpetua" w:ascii="Perpetua" w:hAnsi="Perpetua"/>
        </w:rPr>
        <w:t>and the view that this or that particular level is more fundamental</w:t>
      </w:r>
    </w:p>
    <w:p>
      <w:pPr>
        <w:pStyle w:val="Normal"/>
        <w:spacing w:before="0" w:after="0"/>
        <w:contextualSpacing/>
        <w:jc w:val="left"/>
        <w:rPr/>
      </w:pPr>
      <w:r>
        <w:rPr>
          <w:rFonts w:eastAsia="Calibri" w:cs="Perpetua" w:ascii="Perpetua" w:hAnsi="Perpetua"/>
        </w:rPr>
        <w:t xml:space="preserve">than the others. </w:t>
      </w:r>
      <w:r>
        <w:rPr>
          <w:rFonts w:eastAsia="Calibri" w:cs="Perpetua" w:ascii="Perpetua" w:hAnsi="Perpetua"/>
          <w:color w:val="FF0000"/>
        </w:rPr>
        <w:t xml:space="preserve">[this idea mirros exactly one of my essential notion: “correspondence” between entities that belong to EDWs!!!!] </w:t>
      </w:r>
      <w:r>
        <w:rPr>
          <w:rFonts w:eastAsia="Calibri" w:cs="Perpetua" w:ascii="Perpetua" w:hAnsi="Perpetua"/>
        </w:rPr>
        <w:t>Physics seems to construe the small-scale world as</w:t>
      </w:r>
    </w:p>
    <w:p>
      <w:pPr>
        <w:pStyle w:val="Normal"/>
        <w:spacing w:before="0" w:after="0"/>
        <w:contextualSpacing/>
        <w:jc w:val="left"/>
        <w:rPr>
          <w:rFonts w:ascii="Perpetua" w:hAnsi="Perpetua" w:eastAsia="Calibri" w:cs="Perpetua"/>
        </w:rPr>
      </w:pPr>
      <w:r>
        <w:rPr>
          <w:rFonts w:eastAsia="Calibri" w:cs="Perpetua" w:ascii="Perpetua" w:hAnsi="Perpetua"/>
        </w:rPr>
        <w:t>being more fundamental than the macroscopic and the cosmological</w:t>
      </w:r>
    </w:p>
    <w:p>
      <w:pPr>
        <w:pStyle w:val="Normal"/>
        <w:spacing w:before="0" w:after="0"/>
        <w:contextualSpacing/>
        <w:jc w:val="left"/>
        <w:rPr>
          <w:rFonts w:ascii="Perpetua" w:hAnsi="Perpetua" w:eastAsia="Calibri" w:cs="Perpetua"/>
        </w:rPr>
      </w:pPr>
      <w:r>
        <w:rPr>
          <w:rFonts w:eastAsia="Calibri" w:cs="Perpetua" w:ascii="Perpetua" w:hAnsi="Perpetua"/>
        </w:rPr>
        <w:t>scales. Still, it might be that the more fundamental level is the macroscopic</w:t>
      </w:r>
    </w:p>
    <w:p>
      <w:pPr>
        <w:pStyle w:val="Normal"/>
        <w:spacing w:before="0" w:after="0"/>
        <w:contextualSpacing/>
        <w:jc w:val="left"/>
        <w:rPr>
          <w:rFonts w:ascii="Perpetua" w:hAnsi="Perpetua" w:eastAsia="Calibri" w:cs="Perpetua"/>
        </w:rPr>
      </w:pPr>
      <w:r>
        <w:rPr>
          <w:rFonts w:eastAsia="Calibri" w:cs="Perpetua" w:ascii="Perpetua" w:hAnsi="Perpetua"/>
        </w:rPr>
        <w:t xml:space="preserve">level or the cosmological level (see Schaffer 2010). </w:t>
      </w:r>
    </w:p>
    <w:p>
      <w:pPr>
        <w:pStyle w:val="Normal"/>
        <w:spacing w:before="0" w:after="0"/>
        <w:contextualSpacing/>
        <w:jc w:val="left"/>
        <w:rPr>
          <w:rFonts w:ascii="Perpetua" w:hAnsi="Perpetua" w:eastAsia="Calibri" w:cs="Perpetua"/>
        </w:rPr>
      </w:pPr>
      <w:r>
        <w:rPr>
          <w:rFonts w:eastAsia="Calibri" w:cs="Perpetua" w:ascii="Perpetua" w:hAnsi="Perpetua"/>
        </w:rPr>
        <w:t>By positing a derivative space, a physical creature both distinct</w:t>
      </w:r>
    </w:p>
    <w:p>
      <w:pPr>
        <w:pStyle w:val="Normal"/>
        <w:spacing w:before="0" w:after="0"/>
        <w:contextualSpacing/>
        <w:jc w:val="left"/>
        <w:rPr>
          <w:rFonts w:ascii="Perpetua" w:hAnsi="Perpetua" w:eastAsia="Calibri" w:cs="Perpetua"/>
        </w:rPr>
      </w:pPr>
      <w:r>
        <w:rPr>
          <w:rFonts w:eastAsia="Calibri" w:cs="Perpetua" w:ascii="Perpetua" w:hAnsi="Perpetua"/>
        </w:rPr>
        <w:t>from the fundamental structure and the phenomenal space and time,</w:t>
      </w:r>
    </w:p>
    <w:p>
      <w:pPr>
        <w:pStyle w:val="Normal"/>
        <w:spacing w:before="0" w:after="0"/>
        <w:contextualSpacing/>
        <w:jc w:val="left"/>
        <w:rPr>
          <w:rFonts w:ascii="Perpetua" w:hAnsi="Perpetua" w:eastAsia="Calibri" w:cs="Perpetua"/>
        </w:rPr>
      </w:pPr>
      <w:r>
        <w:rPr>
          <w:rFonts w:eastAsia="Calibri" w:cs="Perpetua" w:ascii="Perpetua" w:hAnsi="Perpetua"/>
        </w:rPr>
        <w:t>one lays the groundwork for an answer to the phenomenal worry. If</w:t>
      </w:r>
    </w:p>
    <w:p>
      <w:pPr>
        <w:pStyle w:val="Normal"/>
        <w:spacing w:before="0" w:after="0"/>
        <w:contextualSpacing/>
        <w:jc w:val="left"/>
        <w:rPr>
          <w:rFonts w:ascii="Perpetua" w:hAnsi="Perpetua" w:eastAsia="Calibri" w:cs="Perpetua"/>
        </w:rPr>
      </w:pPr>
      <w:r>
        <w:rPr>
          <w:rFonts w:eastAsia="Calibri" w:cs="Perpetua" w:ascii="Perpetua" w:hAnsi="Perpetua"/>
        </w:rPr>
        <w:t>we perceive space and time, this is simply because space and time are</w:t>
      </w:r>
    </w:p>
    <w:p>
      <w:pPr>
        <w:pStyle w:val="Normal"/>
        <w:spacing w:before="0" w:after="0"/>
        <w:contextualSpacing/>
        <w:jc w:val="left"/>
        <w:rPr>
          <w:rFonts w:ascii="Perpetua" w:hAnsi="Perpetua" w:eastAsia="Calibri" w:cs="Perpetua"/>
        </w:rPr>
      </w:pPr>
      <w:r>
        <w:rPr>
          <w:rFonts w:eastAsia="Calibri" w:cs="Perpetua" w:ascii="Perpetua" w:hAnsi="Perpetua"/>
        </w:rPr>
        <w:t>real, although derivatively real. We have direct phenomenal access to</w:t>
      </w:r>
    </w:p>
    <w:p>
      <w:pPr>
        <w:pStyle w:val="Normal"/>
        <w:spacing w:before="0" w:after="0"/>
        <w:contextualSpacing/>
        <w:jc w:val="left"/>
        <w:rPr>
          <w:rFonts w:ascii="Perpetua" w:hAnsi="Perpetua" w:eastAsia="Calibri" w:cs="Perpetua"/>
        </w:rPr>
      </w:pPr>
      <w:r>
        <w:rPr>
          <w:rFonts w:eastAsia="Calibri" w:cs="Perpetua" w:ascii="Perpetua" w:hAnsi="Perpetua"/>
        </w:rPr>
        <w:t>these derivative entities and this is why our daily life takes place in a</w:t>
      </w:r>
    </w:p>
    <w:p>
      <w:pPr>
        <w:pStyle w:val="Normal"/>
        <w:spacing w:before="0" w:after="0"/>
        <w:contextualSpacing/>
        <w:jc w:val="left"/>
        <w:rPr>
          <w:rFonts w:ascii="Perpetua" w:hAnsi="Perpetua" w:eastAsia="Calibri" w:cs="Perpetua"/>
        </w:rPr>
      </w:pPr>
      <w:r>
        <w:rPr>
          <w:rFonts w:eastAsia="Calibri" w:cs="Perpetua" w:ascii="Perpetua" w:hAnsi="Perpetua"/>
        </w:rPr>
        <w:t>spatial and temporal environment. Also, the derivative view explains</w:t>
      </w:r>
    </w:p>
    <w:p>
      <w:pPr>
        <w:pStyle w:val="Normal"/>
        <w:spacing w:before="0" w:after="0"/>
        <w:contextualSpacing/>
        <w:jc w:val="left"/>
        <w:rPr>
          <w:rFonts w:ascii="Perpetua" w:hAnsi="Perpetua" w:eastAsia="Calibri" w:cs="Perpetua"/>
        </w:rPr>
      </w:pPr>
      <w:r>
        <w:rPr>
          <w:rFonts w:eastAsia="Calibri" w:cs="Perpetua" w:ascii="Perpetua" w:hAnsi="Perpetua"/>
        </w:rPr>
        <w:t>the empirical success of GR: a derivative structure, close enough to</w:t>
      </w:r>
    </w:p>
    <w:p>
      <w:pPr>
        <w:pStyle w:val="Normal"/>
        <w:spacing w:before="0" w:after="0"/>
        <w:contextualSpacing/>
        <w:jc w:val="left"/>
        <w:rPr>
          <w:rFonts w:ascii="Perpetua" w:hAnsi="Perpetua" w:eastAsia="Calibri" w:cs="Perpetua"/>
        </w:rPr>
      </w:pPr>
      <w:r>
        <w:rPr>
          <w:rFonts w:eastAsia="Calibri" w:cs="Perpetua" w:ascii="Perpetua" w:hAnsi="Perpetua"/>
        </w:rPr>
        <w:t>GR spacetime, is a physically real derivative entity. Finally, the derivative</w:t>
      </w:r>
    </w:p>
    <w:p>
      <w:pPr>
        <w:pStyle w:val="Normal"/>
        <w:spacing w:before="0" w:after="0"/>
        <w:contextualSpacing/>
        <w:jc w:val="left"/>
        <w:rPr>
          <w:rFonts w:ascii="Perpetua" w:hAnsi="Perpetua" w:eastAsia="Calibri" w:cs="Perpetua"/>
        </w:rPr>
      </w:pPr>
      <w:r>
        <w:rPr>
          <w:rFonts w:eastAsia="Calibri" w:cs="Perpetua" w:ascii="Perpetua" w:hAnsi="Perpetua"/>
        </w:rPr>
        <w:t>space view delivers, apparently, a solution to the problem of empirical</w:t>
      </w:r>
    </w:p>
    <w:p>
      <w:pPr>
        <w:pStyle w:val="Normal"/>
        <w:spacing w:before="0" w:after="0"/>
        <w:contextualSpacing/>
        <w:jc w:val="left"/>
        <w:rPr>
          <w:rFonts w:ascii="Perpetua" w:hAnsi="Perpetua" w:eastAsia="Calibri" w:cs="Perpetua"/>
        </w:rPr>
      </w:pPr>
      <w:r>
        <w:rPr>
          <w:rFonts w:eastAsia="Calibri" w:cs="Perpetua" w:ascii="Perpetua" w:hAnsi="Perpetua"/>
        </w:rPr>
        <w:t>coherence. (p. 81)</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One may ask to</w:t>
      </w:r>
    </w:p>
    <w:p>
      <w:pPr>
        <w:pStyle w:val="Normal"/>
        <w:spacing w:before="0" w:after="0"/>
        <w:contextualSpacing/>
        <w:jc w:val="left"/>
        <w:rPr/>
      </w:pPr>
      <w:r>
        <w:rPr>
          <w:rFonts w:eastAsia="Calibri" w:cs="Perpetua" w:ascii="Perpetua" w:hAnsi="Perpetua"/>
        </w:rPr>
        <w:t xml:space="preserve">which category the </w:t>
      </w:r>
      <w:r>
        <w:rPr>
          <w:rFonts w:eastAsia="Calibri" w:cs="Perpetua-Italic" w:ascii="Perpetua-Italic" w:hAnsi="Perpetua-Italic"/>
          <w:i/>
          <w:iCs/>
        </w:rPr>
        <w:t xml:space="preserve">connecting relation </w:t>
      </w:r>
      <w:r>
        <w:rPr>
          <w:rFonts w:eastAsia="Calibri" w:cs="Perpetua" w:ascii="Perpetua" w:hAnsi="Perpetua"/>
        </w:rPr>
        <w:t>between the two structures is</w:t>
      </w:r>
    </w:p>
    <w:p>
      <w:pPr>
        <w:pStyle w:val="Normal"/>
        <w:spacing w:before="0" w:after="0"/>
        <w:contextualSpacing/>
        <w:jc w:val="left"/>
        <w:rPr>
          <w:rFonts w:ascii="Perpetua" w:hAnsi="Perpetua" w:eastAsia="Calibri" w:cs="Perpetua"/>
        </w:rPr>
      </w:pPr>
      <w:r>
        <w:rPr>
          <w:rFonts w:eastAsia="Calibri" w:cs="Perpetua" w:ascii="Perpetua" w:hAnsi="Perpetua"/>
        </w:rPr>
        <w:t>supposed to belong. A natural candidate, quite popular these days, is</w:t>
      </w:r>
    </w:p>
    <w:p>
      <w:pPr>
        <w:pStyle w:val="Normal"/>
        <w:spacing w:before="0" w:after="0"/>
        <w:contextualSpacing/>
        <w:jc w:val="left"/>
        <w:rPr/>
      </w:pPr>
      <w:r>
        <w:rPr>
          <w:rFonts w:eastAsia="Calibri" w:cs="Perpetua" w:ascii="Perpetua" w:hAnsi="Perpetua"/>
        </w:rPr>
        <w:t xml:space="preserve">the relation of </w:t>
      </w:r>
      <w:r>
        <w:rPr>
          <w:rFonts w:eastAsia="Calibri" w:cs="Perpetua-Italic" w:ascii="Perpetua-Italic" w:hAnsi="Perpetua-Italic"/>
          <w:i/>
          <w:iCs/>
        </w:rPr>
        <w:t xml:space="preserve">grounding </w:t>
      </w:r>
      <w:r>
        <w:rPr>
          <w:rFonts w:eastAsia="Calibri" w:cs="Perpetua" w:ascii="Perpetua" w:hAnsi="Perpetua"/>
        </w:rPr>
        <w:t>(see for instance Fine 2001, Schaffer 2003,</w:t>
      </w:r>
    </w:p>
    <w:p>
      <w:pPr>
        <w:pStyle w:val="Normal"/>
        <w:spacing w:before="0" w:after="0"/>
        <w:contextualSpacing/>
        <w:jc w:val="left"/>
        <w:rPr>
          <w:rFonts w:ascii="Perpetua" w:hAnsi="Perpetua" w:eastAsia="Calibri" w:cs="Perpetua"/>
        </w:rPr>
      </w:pPr>
      <w:r>
        <w:rPr>
          <w:rFonts w:eastAsia="Calibri" w:cs="Perpetua" w:ascii="Perpetua" w:hAnsi="Perpetua"/>
        </w:rPr>
        <w:t>Correia and Schnieder 2012, and Wilson 2017). However, as others,</w:t>
      </w:r>
    </w:p>
    <w:p>
      <w:pPr>
        <w:pStyle w:val="Normal"/>
        <w:spacing w:before="0" w:after="0"/>
        <w:contextualSpacing/>
        <w:jc w:val="left"/>
        <w:rPr>
          <w:rFonts w:ascii="Perpetua" w:hAnsi="Perpetua" w:eastAsia="Calibri" w:cs="Perpetua"/>
        </w:rPr>
      </w:pPr>
      <w:r>
        <w:rPr>
          <w:rFonts w:eastAsia="Calibri" w:cs="Perpetua" w:ascii="Perpetua" w:hAnsi="Perpetua"/>
        </w:rPr>
        <w:t>I believe that the grounding relation should be understood as an</w:t>
      </w:r>
    </w:p>
    <w:p>
      <w:pPr>
        <w:pStyle w:val="Normal"/>
        <w:spacing w:before="0" w:after="0"/>
        <w:contextualSpacing/>
        <w:jc w:val="left"/>
        <w:rPr>
          <w:rFonts w:ascii="Perpetua" w:hAnsi="Perpetua" w:eastAsia="Calibri" w:cs="Perpetua"/>
        </w:rPr>
      </w:pPr>
      <w:r>
        <w:rPr>
          <w:rFonts w:eastAsia="Calibri" w:cs="Perpetua" w:ascii="Perpetua" w:hAnsi="Perpetua"/>
        </w:rPr>
        <w:t>explanatory relation, not a mind-independent relation obtaining in</w:t>
      </w:r>
    </w:p>
    <w:p>
      <w:pPr>
        <w:pStyle w:val="Normal"/>
        <w:spacing w:before="0" w:after="0"/>
        <w:contextualSpacing/>
        <w:jc w:val="left"/>
        <w:rPr/>
      </w:pPr>
      <w:r>
        <w:rPr>
          <w:rFonts w:eastAsia="Calibri" w:cs="Perpetua" w:ascii="Perpetua" w:hAnsi="Perpetua"/>
        </w:rPr>
        <w:t>the world.</w:t>
      </w:r>
      <w:r>
        <w:rPr>
          <w:rFonts w:eastAsia="Calibri" w:cs="Perpetua" w:ascii="Perpetua" w:hAnsi="Perpetua"/>
          <w:sz w:val="14"/>
          <w:szCs w:val="14"/>
        </w:rPr>
        <w:t xml:space="preserve">19 </w:t>
      </w:r>
      <w:r>
        <w:rPr>
          <w:rFonts w:eastAsia="Calibri" w:cs="Perpetua" w:ascii="Perpetua" w:hAnsi="Perpetua"/>
        </w:rPr>
        <w:t>Keeping in mind that the grounding relation will be understood</w:t>
      </w:r>
    </w:p>
    <w:p>
      <w:pPr>
        <w:pStyle w:val="Normal"/>
        <w:spacing w:before="0" w:after="0"/>
        <w:contextualSpacing/>
        <w:jc w:val="left"/>
        <w:rPr/>
      </w:pPr>
      <w:r>
        <w:rPr>
          <w:rFonts w:eastAsia="Calibri" w:cs="Perpetua" w:ascii="Perpetua" w:hAnsi="Perpetua"/>
        </w:rPr>
        <w:t xml:space="preserve">here as an </w:t>
      </w:r>
      <w:r>
        <w:rPr>
          <w:rFonts w:eastAsia="Calibri" w:cs="Perpetua-Italic" w:ascii="Perpetua-Italic" w:hAnsi="Perpetua-Italic"/>
          <w:i/>
          <w:iCs/>
        </w:rPr>
        <w:t xml:space="preserve">explanatory </w:t>
      </w:r>
      <w:r>
        <w:rPr>
          <w:rFonts w:eastAsia="Calibri" w:cs="Perpetua" w:ascii="Perpetua" w:hAnsi="Perpetua"/>
        </w:rPr>
        <w:t>relation, let me use instead the notion</w:t>
      </w:r>
    </w:p>
    <w:p>
      <w:pPr>
        <w:pStyle w:val="Normal"/>
        <w:spacing w:before="0" w:after="0"/>
        <w:contextualSpacing/>
        <w:jc w:val="left"/>
        <w:rPr/>
      </w:pPr>
      <w:r>
        <w:rPr>
          <w:rFonts w:eastAsia="Calibri" w:cs="Perpetua" w:ascii="Perpetua" w:hAnsi="Perpetua"/>
        </w:rPr>
        <w:t xml:space="preserve">of </w:t>
      </w:r>
      <w:r>
        <w:rPr>
          <w:rFonts w:eastAsia="Calibri" w:cs="Perpetua-Italic" w:ascii="Perpetua-Italic" w:hAnsi="Perpetua-Italic"/>
          <w:i/>
          <w:iCs/>
        </w:rPr>
        <w:t>building relation</w:t>
      </w:r>
      <w:r>
        <w:rPr>
          <w:rFonts w:eastAsia="Calibri" w:cs="Perpetua" w:ascii="Perpetua" w:hAnsi="Perpetua"/>
        </w:rPr>
        <w:t>, understood as an ontological mind-independent</w:t>
      </w:r>
    </w:p>
    <w:p>
      <w:pPr>
        <w:pStyle w:val="Normal"/>
        <w:spacing w:before="0" w:after="0"/>
        <w:contextualSpacing/>
        <w:jc w:val="left"/>
        <w:rPr/>
      </w:pPr>
      <w:r>
        <w:rPr>
          <w:rFonts w:eastAsia="Calibri" w:cs="Perpetua" w:ascii="Perpetua" w:hAnsi="Perpetua"/>
        </w:rPr>
        <w:t>relation existing between entities.</w:t>
      </w:r>
      <w:r>
        <w:rPr>
          <w:rFonts w:eastAsia="Calibri" w:cs="Perpetua" w:ascii="Perpetua" w:hAnsi="Perpetua"/>
          <w:sz w:val="14"/>
          <w:szCs w:val="14"/>
        </w:rPr>
        <w:t xml:space="preserve">20 </w:t>
      </w:r>
      <w:r>
        <w:rPr>
          <w:rFonts w:eastAsia="Calibri" w:cs="Perpetua" w:ascii="Perpetua" w:hAnsi="Perpetua"/>
        </w:rPr>
        <w:t xml:space="preserve"> </w:t>
      </w:r>
      <w:r>
        <w:rPr>
          <w:rFonts w:eastAsia="Calibri" w:cs="Perpetua" w:ascii="Perpetua" w:hAnsi="Perpetua"/>
          <w:color w:val="FF0000"/>
        </w:rPr>
        <w:t xml:space="preserve">[Exactly my EDWs!!!!] </w:t>
      </w:r>
      <w:r>
        <w:rPr>
          <w:rFonts w:eastAsia="Calibri" w:cs="Perpetua" w:ascii="Perpetua" w:hAnsi="Perpetua"/>
        </w:rPr>
        <w:t>What matters is that the building</w:t>
      </w:r>
    </w:p>
    <w:p>
      <w:pPr>
        <w:pStyle w:val="Normal"/>
        <w:spacing w:before="0" w:after="0"/>
        <w:contextualSpacing/>
        <w:jc w:val="left"/>
        <w:rPr/>
      </w:pPr>
      <w:r>
        <w:rPr>
          <w:rFonts w:eastAsia="Calibri" w:cs="Perpetua" w:ascii="Perpetua" w:hAnsi="Perpetua"/>
        </w:rPr>
        <w:t xml:space="preserve">relation </w:t>
      </w:r>
      <w:r>
        <w:rPr>
          <w:rFonts w:eastAsia="Calibri" w:cs="Perpetua" w:ascii="Perpetua" w:hAnsi="Perpetua"/>
          <w:color w:val="FF0000"/>
        </w:rPr>
        <w:t>[m notion is “interaction!!]</w:t>
      </w:r>
      <w:r>
        <w:rPr>
          <w:rFonts w:eastAsia="Calibri" w:cs="Perpetua" w:ascii="Perpetua" w:hAnsi="Perpetua"/>
        </w:rPr>
        <w:t>, whatever it is, does not come for free in our ontology. If</w:t>
      </w:r>
    </w:p>
    <w:p>
      <w:pPr>
        <w:pStyle w:val="Normal"/>
        <w:spacing w:before="0" w:after="0"/>
        <w:contextualSpacing/>
        <w:jc w:val="left"/>
        <w:rPr>
          <w:rFonts w:ascii="Perpetua" w:hAnsi="Perpetua" w:eastAsia="Calibri" w:cs="Perpetua"/>
        </w:rPr>
      </w:pPr>
      <w:r>
        <w:rPr>
          <w:rFonts w:eastAsia="Calibri" w:cs="Perpetua" w:ascii="Perpetua" w:hAnsi="Perpetua"/>
        </w:rPr>
        <w:t>we do not need to posit a mind-independent relation, we should try</w:t>
      </w:r>
    </w:p>
    <w:p>
      <w:pPr>
        <w:pStyle w:val="Normal"/>
        <w:spacing w:before="0" w:after="0"/>
        <w:contextualSpacing/>
        <w:jc w:val="left"/>
        <w:rPr>
          <w:rFonts w:ascii="Perpetua" w:hAnsi="Perpetua" w:eastAsia="Calibri" w:cs="Perpetua"/>
        </w:rPr>
      </w:pPr>
      <w:r>
        <w:rPr>
          <w:rFonts w:eastAsia="Calibri" w:cs="Perpetua" w:ascii="Perpetua" w:hAnsi="Perpetua"/>
        </w:rPr>
        <w:t>to describe the world without using it. Furthermore, the derivative</w:t>
      </w:r>
    </w:p>
    <w:p>
      <w:pPr>
        <w:pStyle w:val="Normal"/>
        <w:spacing w:before="0" w:after="0"/>
        <w:contextualSpacing/>
        <w:jc w:val="left"/>
        <w:rPr/>
      </w:pPr>
      <w:r>
        <w:rPr>
          <w:rFonts w:eastAsia="Calibri" w:cs="Perpetua" w:ascii="Perpetua" w:hAnsi="Perpetua"/>
        </w:rPr>
        <w:t xml:space="preserve">space view implies the existence of </w:t>
      </w:r>
      <w:r>
        <w:rPr>
          <w:rFonts w:eastAsia="Calibri" w:cs="Perpetua-Italic" w:ascii="Perpetua-Italic" w:hAnsi="Perpetua-Italic"/>
          <w:i/>
          <w:iCs/>
        </w:rPr>
        <w:t>levels of reality</w:t>
      </w:r>
      <w:r>
        <w:rPr>
          <w:rFonts w:eastAsia="Calibri" w:cs="Perpetua" w:ascii="Perpetua" w:hAnsi="Perpetua"/>
        </w:rPr>
        <w:t>: the ontological</w:t>
      </w:r>
    </w:p>
    <w:p>
      <w:pPr>
        <w:pStyle w:val="Normal"/>
        <w:spacing w:before="0" w:after="0"/>
        <w:contextualSpacing/>
        <w:jc w:val="left"/>
        <w:rPr>
          <w:rFonts w:ascii="Perpetua" w:hAnsi="Perpetua" w:eastAsia="Calibri" w:cs="Perpetua"/>
        </w:rPr>
      </w:pPr>
      <w:r>
        <w:rPr>
          <w:rFonts w:eastAsia="Calibri" w:cs="Perpetua" w:ascii="Perpetua" w:hAnsi="Perpetua"/>
        </w:rPr>
        <w:t>cost gets bigger and bigger. The notion of ontological level is not very</w:t>
      </w:r>
    </w:p>
    <w:p>
      <w:pPr>
        <w:pStyle w:val="Normal"/>
        <w:spacing w:before="0" w:after="0"/>
        <w:contextualSpacing/>
        <w:jc w:val="left"/>
        <w:rPr>
          <w:rFonts w:ascii="Perpetua" w:hAnsi="Perpetua" w:eastAsia="Calibri" w:cs="Perpetua"/>
        </w:rPr>
      </w:pPr>
      <w:r>
        <w:rPr>
          <w:rFonts w:eastAsia="Calibri" w:cs="Perpetua" w:ascii="Perpetua" w:hAnsi="Perpetua"/>
        </w:rPr>
        <w:t>clear, at least not as much as the notion of descriptive level. What</w:t>
      </w:r>
    </w:p>
    <w:p>
      <w:pPr>
        <w:pStyle w:val="Normal"/>
        <w:spacing w:before="0" w:after="0"/>
        <w:contextualSpacing/>
        <w:jc w:val="left"/>
        <w:rPr>
          <w:rFonts w:ascii="Perpetua" w:hAnsi="Perpetua" w:eastAsia="Calibri" w:cs="Perpetua"/>
        </w:rPr>
      </w:pPr>
      <w:r>
        <w:rPr>
          <w:rFonts w:eastAsia="Calibri" w:cs="Perpetua" w:ascii="Perpetua" w:hAnsi="Perpetua"/>
        </w:rPr>
        <w:t>does it mean that behind levels of description (think for instance of the biological level or the chemical level) lie ‘ontological levels’? One</w:t>
      </w:r>
    </w:p>
    <w:p>
      <w:pPr>
        <w:pStyle w:val="Normal"/>
        <w:spacing w:before="0" w:after="0"/>
        <w:contextualSpacing/>
        <w:jc w:val="left"/>
        <w:rPr>
          <w:rFonts w:ascii="Perpetua" w:hAnsi="Perpetua" w:eastAsia="Calibri" w:cs="Perpetua"/>
        </w:rPr>
      </w:pPr>
      <w:r>
        <w:rPr>
          <w:rFonts w:eastAsia="Calibri" w:cs="Perpetua" w:ascii="Perpetua" w:hAnsi="Perpetua"/>
        </w:rPr>
        <w:t>could argue that levels come for free and should not be interpreted</w:t>
      </w:r>
    </w:p>
    <w:p>
      <w:pPr>
        <w:pStyle w:val="Normal"/>
        <w:spacing w:before="0" w:after="0"/>
        <w:contextualSpacing/>
        <w:jc w:val="left"/>
        <w:rPr>
          <w:rFonts w:ascii="Perpetua" w:hAnsi="Perpetua" w:eastAsia="Calibri" w:cs="Perpetua"/>
        </w:rPr>
      </w:pPr>
      <w:r>
        <w:rPr>
          <w:rFonts w:eastAsia="Calibri" w:cs="Perpetua" w:ascii="Perpetua" w:hAnsi="Perpetua"/>
        </w:rPr>
        <w:t>too seriously. However, if ontological levels come for free, then these</w:t>
      </w:r>
    </w:p>
    <w:p>
      <w:pPr>
        <w:pStyle w:val="Normal"/>
        <w:spacing w:before="0" w:after="0"/>
        <w:contextualSpacing/>
        <w:jc w:val="left"/>
        <w:rPr/>
      </w:pPr>
      <w:r>
        <w:rPr>
          <w:rFonts w:eastAsia="Calibri" w:cs="Perpetua" w:ascii="Perpetua" w:hAnsi="Perpetua"/>
        </w:rPr>
        <w:t xml:space="preserve">merely </w:t>
      </w:r>
      <w:r>
        <w:rPr>
          <w:rFonts w:eastAsia="Calibri" w:cs="Perpetua-Italic" w:ascii="Perpetua-Italic" w:hAnsi="Perpetua-Italic"/>
          <w:i/>
          <w:iCs/>
        </w:rPr>
        <w:t xml:space="preserve">are </w:t>
      </w:r>
      <w:r>
        <w:rPr>
          <w:rFonts w:eastAsia="Calibri" w:cs="Perpetua" w:ascii="Perpetua" w:hAnsi="Perpetua"/>
        </w:rPr>
        <w:t>levels of description: the notion of ontological level has</w:t>
      </w:r>
    </w:p>
    <w:p>
      <w:pPr>
        <w:pStyle w:val="Normal"/>
        <w:spacing w:before="0" w:after="0"/>
        <w:contextualSpacing/>
        <w:jc w:val="left"/>
        <w:rPr>
          <w:rFonts w:ascii="Perpetua" w:hAnsi="Perpetua" w:eastAsia="Calibri" w:cs="Perpetua"/>
        </w:rPr>
      </w:pPr>
      <w:r>
        <w:rPr>
          <w:rFonts w:eastAsia="Calibri" w:cs="Perpetua" w:ascii="Perpetua" w:hAnsi="Perpetua"/>
        </w:rPr>
        <w:t>no counterpart obtaining in the world. The derivative view thereby</w:t>
      </w:r>
    </w:p>
    <w:p>
      <w:pPr>
        <w:pStyle w:val="Normal"/>
        <w:spacing w:before="0" w:after="0"/>
        <w:contextualSpacing/>
        <w:jc w:val="left"/>
        <w:rPr>
          <w:rFonts w:ascii="Perpetua" w:hAnsi="Perpetua" w:eastAsia="Calibri" w:cs="Perpetua"/>
        </w:rPr>
      </w:pPr>
      <w:r>
        <w:rPr>
          <w:rFonts w:eastAsia="Calibri" w:cs="Perpetua" w:ascii="Perpetua" w:hAnsi="Perpetua"/>
        </w:rPr>
        <w:t>collapses into eliminativism. (82-83)</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According to the mereological view of space constitution, the socalled</w:t>
      </w:r>
    </w:p>
    <w:p>
      <w:pPr>
        <w:pStyle w:val="Normal"/>
        <w:spacing w:before="0" w:after="0"/>
        <w:contextualSpacing/>
        <w:jc w:val="left"/>
        <w:rPr/>
      </w:pPr>
      <w:r>
        <w:rPr>
          <w:rFonts w:eastAsia="Calibri" w:cs="Perpetua" w:ascii="Perpetua" w:hAnsi="Perpetua"/>
        </w:rPr>
        <w:t>‘</w:t>
      </w:r>
      <w:r>
        <w:rPr>
          <w:rFonts w:eastAsia="Calibri" w:cs="Perpetua" w:ascii="Perpetua" w:hAnsi="Perpetua"/>
        </w:rPr>
        <w:t xml:space="preserve">derivative structure’ is in fact a </w:t>
      </w:r>
      <w:r>
        <w:rPr>
          <w:rFonts w:eastAsia="Calibri" w:cs="Perpetua-Italic" w:ascii="Perpetua-Italic" w:hAnsi="Perpetua-Italic"/>
          <w:i/>
          <w:iCs/>
        </w:rPr>
        <w:t>mereological sum of non-spatial</w:t>
      </w:r>
    </w:p>
    <w:p>
      <w:pPr>
        <w:pStyle w:val="Normal"/>
        <w:spacing w:before="0" w:after="0"/>
        <w:contextualSpacing/>
        <w:jc w:val="left"/>
        <w:rPr/>
      </w:pPr>
      <w:r>
        <w:rPr>
          <w:rFonts w:eastAsia="Calibri" w:cs="Perpetua-Italic" w:ascii="Perpetua-Italic" w:hAnsi="Perpetua-Italic"/>
          <w:i/>
          <w:iCs/>
        </w:rPr>
        <w:t>building blocks</w:t>
      </w:r>
      <w:r>
        <w:rPr>
          <w:rFonts w:eastAsia="Calibri" w:cs="Perpetua" w:ascii="Perpetua" w:hAnsi="Perpetua"/>
        </w:rPr>
        <w:t>. As such, space is not a genuinely derivative structure.</w:t>
      </w:r>
    </w:p>
    <w:p>
      <w:pPr>
        <w:pStyle w:val="Normal"/>
        <w:spacing w:before="0" w:after="0"/>
        <w:contextualSpacing/>
        <w:jc w:val="left"/>
        <w:rPr/>
      </w:pPr>
      <w:r>
        <w:rPr>
          <w:rFonts w:eastAsia="Calibri" w:cs="Perpetua" w:ascii="Perpetua" w:hAnsi="Perpetua"/>
        </w:rPr>
        <w:t xml:space="preserve">Space is, in some non-spatial sense, </w:t>
      </w:r>
      <w:r>
        <w:rPr>
          <w:rFonts w:eastAsia="Calibri" w:cs="Perpetua-Italic" w:ascii="Perpetua-Italic" w:hAnsi="Perpetua-Italic"/>
          <w:i/>
          <w:iCs/>
        </w:rPr>
        <w:t xml:space="preserve">within </w:t>
      </w:r>
      <w:r>
        <w:rPr>
          <w:rFonts w:eastAsia="Calibri" w:cs="Perpetua" w:ascii="Perpetua" w:hAnsi="Perpetua"/>
        </w:rPr>
        <w:t>the fundamental structure. (p 83)</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Indeed, the</w:t>
      </w:r>
    </w:p>
    <w:p>
      <w:pPr>
        <w:pStyle w:val="Normal"/>
        <w:spacing w:before="0" w:after="0"/>
        <w:contextualSpacing/>
        <w:jc w:val="left"/>
        <w:rPr>
          <w:rFonts w:ascii="Perpetua" w:hAnsi="Perpetua" w:eastAsia="Calibri" w:cs="Perpetua"/>
        </w:rPr>
      </w:pPr>
      <w:r>
        <w:rPr>
          <w:rFonts w:eastAsia="Calibri" w:cs="Perpetua" w:ascii="Perpetua" w:hAnsi="Perpetua"/>
        </w:rPr>
        <w:t>relationist Leibnizian approach may be expressed as the view that</w:t>
      </w:r>
    </w:p>
    <w:p>
      <w:pPr>
        <w:pStyle w:val="Normal"/>
        <w:spacing w:before="0" w:after="0"/>
        <w:contextualSpacing/>
        <w:jc w:val="left"/>
        <w:rPr>
          <w:rFonts w:ascii="Perpetua" w:hAnsi="Perpetua" w:eastAsia="Calibri" w:cs="Perpetua"/>
        </w:rPr>
      </w:pPr>
      <w:r>
        <w:rPr>
          <w:rFonts w:eastAsia="Calibri" w:cs="Perpetua" w:ascii="Perpetua" w:hAnsi="Perpetua"/>
        </w:rPr>
        <w:t>space is identical with a mereological sum of relations. The substantivalist</w:t>
      </w:r>
    </w:p>
    <w:p>
      <w:pPr>
        <w:pStyle w:val="Normal"/>
        <w:spacing w:before="0" w:after="0"/>
        <w:contextualSpacing/>
        <w:jc w:val="left"/>
        <w:rPr>
          <w:rFonts w:ascii="Perpetua" w:hAnsi="Perpetua" w:eastAsia="Calibri" w:cs="Perpetua"/>
        </w:rPr>
      </w:pPr>
      <w:r>
        <w:rPr>
          <w:rFonts w:eastAsia="Calibri" w:cs="Perpetua" w:ascii="Perpetua" w:hAnsi="Perpetua"/>
        </w:rPr>
        <w:t>view may be expressed as the view that space is identical to</w:t>
      </w:r>
    </w:p>
    <w:p>
      <w:pPr>
        <w:pStyle w:val="Normal"/>
        <w:spacing w:before="0" w:after="0"/>
        <w:contextualSpacing/>
        <w:jc w:val="left"/>
        <w:rPr>
          <w:rFonts w:ascii="Perpetua" w:hAnsi="Perpetua" w:eastAsia="Calibri" w:cs="Perpetua"/>
        </w:rPr>
      </w:pPr>
      <w:r>
        <w:rPr>
          <w:rFonts w:eastAsia="Calibri" w:cs="Perpetua" w:ascii="Perpetua" w:hAnsi="Perpetua"/>
        </w:rPr>
        <w:t>a substance, or a collection of substances. Nonetheless, if space is</w:t>
      </w:r>
    </w:p>
    <w:p>
      <w:pPr>
        <w:pStyle w:val="Normal"/>
        <w:spacing w:before="0" w:after="0"/>
        <w:contextualSpacing/>
        <w:jc w:val="left"/>
        <w:rPr>
          <w:rFonts w:ascii="Perpetua" w:hAnsi="Perpetua" w:eastAsia="Calibri" w:cs="Perpetua"/>
        </w:rPr>
      </w:pPr>
      <w:r>
        <w:rPr>
          <w:rFonts w:eastAsia="Calibri" w:cs="Perpetua" w:ascii="Perpetua" w:hAnsi="Perpetua"/>
        </w:rPr>
        <w:t>identical to one substance, or a collection of substances, it remains</w:t>
      </w:r>
    </w:p>
    <w:p>
      <w:pPr>
        <w:pStyle w:val="Normal"/>
        <w:spacing w:before="0" w:after="0"/>
        <w:contextualSpacing/>
        <w:jc w:val="left"/>
        <w:rPr>
          <w:rFonts w:ascii="Perpetua" w:hAnsi="Perpetua" w:eastAsia="Calibri" w:cs="Perpetua"/>
        </w:rPr>
      </w:pPr>
      <w:r>
        <w:rPr>
          <w:rFonts w:eastAsia="Calibri" w:cs="Perpetua" w:ascii="Perpetua" w:hAnsi="Perpetua"/>
        </w:rPr>
        <w:t>that the one substance is internally structured by spatial relations</w:t>
      </w:r>
    </w:p>
    <w:p>
      <w:pPr>
        <w:pStyle w:val="Normal"/>
        <w:spacing w:before="0" w:after="0"/>
        <w:contextualSpacing/>
        <w:jc w:val="left"/>
        <w:rPr>
          <w:rFonts w:ascii="Perpetua" w:hAnsi="Perpetua" w:eastAsia="Calibri" w:cs="Perpetua"/>
        </w:rPr>
      </w:pPr>
      <w:r>
        <w:rPr>
          <w:rFonts w:eastAsia="Calibri" w:cs="Perpetua" w:ascii="Perpetua" w:hAnsi="Perpetua"/>
        </w:rPr>
        <w:t>(in the monist framework), or that the various substances (in the</w:t>
      </w:r>
    </w:p>
    <w:p>
      <w:pPr>
        <w:pStyle w:val="Normal"/>
        <w:spacing w:before="0" w:after="0"/>
        <w:contextualSpacing/>
        <w:jc w:val="left"/>
        <w:rPr>
          <w:rFonts w:ascii="Perpetua" w:hAnsi="Perpetua" w:eastAsia="Calibri" w:cs="Perpetua"/>
        </w:rPr>
      </w:pPr>
      <w:r>
        <w:rPr>
          <w:rFonts w:eastAsia="Calibri" w:cs="Perpetua" w:ascii="Perpetua" w:hAnsi="Perpetua"/>
        </w:rPr>
        <w:t>pluralist framework) are structured by external spatial relations.</w:t>
      </w:r>
    </w:p>
    <w:p>
      <w:pPr>
        <w:pStyle w:val="Normal"/>
        <w:spacing w:before="0" w:after="0"/>
        <w:contextualSpacing/>
        <w:jc w:val="left"/>
        <w:rPr>
          <w:rFonts w:ascii="Perpetua" w:hAnsi="Perpetua" w:eastAsia="Calibri" w:cs="Perpetua"/>
        </w:rPr>
      </w:pPr>
      <w:r>
        <w:rPr>
          <w:rFonts w:eastAsia="Calibri" w:cs="Perpetua" w:ascii="Perpetua" w:hAnsi="Perpetua"/>
        </w:rPr>
        <w:t>Therefore, independently of whether space is only relational, or also</w:t>
      </w:r>
    </w:p>
    <w:p>
      <w:pPr>
        <w:pStyle w:val="Normal"/>
        <w:spacing w:before="0" w:after="0"/>
        <w:contextualSpacing/>
        <w:jc w:val="left"/>
        <w:rPr>
          <w:rFonts w:ascii="Perpetua" w:hAnsi="Perpetua" w:eastAsia="Calibri" w:cs="Perpetua"/>
        </w:rPr>
      </w:pPr>
      <w:r>
        <w:rPr>
          <w:rFonts w:eastAsia="Calibri" w:cs="Perpetua" w:ascii="Perpetua" w:hAnsi="Perpetua"/>
        </w:rPr>
        <w:t>substantial, it has to be identical to a collection of spatial relations</w:t>
      </w:r>
    </w:p>
    <w:p>
      <w:pPr>
        <w:pStyle w:val="Normal"/>
        <w:spacing w:before="0" w:after="0"/>
        <w:contextualSpacing/>
        <w:jc w:val="left"/>
        <w:rPr>
          <w:rFonts w:ascii="Perpetua" w:hAnsi="Perpetua" w:eastAsia="Calibri" w:cs="Perpetua"/>
        </w:rPr>
      </w:pPr>
      <w:r>
        <w:rPr>
          <w:rFonts w:eastAsia="Calibri" w:cs="Perpetua" w:ascii="Perpetua" w:hAnsi="Perpetua"/>
        </w:rPr>
        <w:t>(in the relationist picture), or to a collection of spatial relations and</w:t>
      </w:r>
    </w:p>
    <w:p>
      <w:pPr>
        <w:pStyle w:val="Normal"/>
        <w:spacing w:before="0" w:after="0"/>
        <w:contextualSpacing/>
        <w:jc w:val="left"/>
        <w:rPr>
          <w:rFonts w:ascii="Perpetua" w:hAnsi="Perpetua" w:eastAsia="Calibri" w:cs="Perpetua"/>
        </w:rPr>
      </w:pPr>
      <w:r>
        <w:rPr>
          <w:rFonts w:eastAsia="Calibri" w:cs="Perpetua" w:ascii="Perpetua" w:hAnsi="Perpetua"/>
        </w:rPr>
        <w:t>a ‘substantial something’ (in the substantivalist picture). What matters</w:t>
      </w:r>
    </w:p>
    <w:p>
      <w:pPr>
        <w:pStyle w:val="Normal"/>
        <w:spacing w:before="0" w:after="0"/>
        <w:contextualSpacing/>
        <w:jc w:val="left"/>
        <w:rPr>
          <w:rFonts w:ascii="Perpetua" w:hAnsi="Perpetua" w:eastAsia="Calibri" w:cs="Perpetua"/>
        </w:rPr>
      </w:pPr>
      <w:r>
        <w:rPr>
          <w:rFonts w:eastAsia="Calibri" w:cs="Perpetua" w:ascii="Perpetua" w:hAnsi="Perpetua"/>
        </w:rPr>
        <w:t>here is that the mereological sum associated with space will have</w:t>
      </w:r>
    </w:p>
    <w:p>
      <w:pPr>
        <w:pStyle w:val="Normal"/>
        <w:spacing w:before="0" w:after="0"/>
        <w:contextualSpacing/>
        <w:jc w:val="left"/>
        <w:rPr>
          <w:rFonts w:ascii="Perpetua" w:hAnsi="Perpetua" w:eastAsia="Calibri" w:cs="Perpetua"/>
        </w:rPr>
      </w:pPr>
      <w:r>
        <w:rPr>
          <w:rFonts w:eastAsia="Calibri" w:cs="Perpetua" w:ascii="Perpetua" w:hAnsi="Perpetua"/>
        </w:rPr>
        <w:t>to include at least spatial relations, independently of what the other</w:t>
      </w:r>
    </w:p>
    <w:p>
      <w:pPr>
        <w:pStyle w:val="Normal"/>
        <w:spacing w:before="0" w:after="0"/>
        <w:contextualSpacing/>
        <w:jc w:val="left"/>
        <w:rPr>
          <w:rFonts w:ascii="Perpetua" w:hAnsi="Perpetua" w:eastAsia="Calibri" w:cs="Perpetua"/>
        </w:rPr>
      </w:pPr>
      <w:r>
        <w:rPr>
          <w:rFonts w:eastAsia="Calibri" w:cs="Perpetua" w:ascii="Perpetua" w:hAnsi="Perpetua"/>
        </w:rPr>
        <w:t>ingredients will turn out to be: points, objects, properties, or substances</w:t>
      </w:r>
    </w:p>
    <w:p>
      <w:pPr>
        <w:pStyle w:val="Normal"/>
        <w:spacing w:before="0" w:after="0"/>
        <w:contextualSpacing/>
        <w:jc w:val="left"/>
        <w:rPr>
          <w:rFonts w:ascii="Perpetua" w:hAnsi="Perpetua" w:eastAsia="Calibri" w:cs="Perpetua"/>
        </w:rPr>
      </w:pPr>
      <w:r>
        <w:rPr>
          <w:rFonts w:eastAsia="Calibri" w:cs="Perpetua" w:ascii="Perpetua" w:hAnsi="Perpetua"/>
        </w:rPr>
        <w:t>(cf. Le Bihan 2016). Furthermore, these spatial relations may</w:t>
      </w:r>
    </w:p>
    <w:p>
      <w:pPr>
        <w:pStyle w:val="Normal"/>
        <w:spacing w:before="0" w:after="0"/>
        <w:contextualSpacing/>
        <w:jc w:val="left"/>
        <w:rPr>
          <w:rFonts w:ascii="Perpetua" w:hAnsi="Perpetua" w:eastAsia="Calibri" w:cs="Perpetua"/>
        </w:rPr>
      </w:pPr>
      <w:r>
        <w:rPr>
          <w:rFonts w:eastAsia="Calibri" w:cs="Perpetua" w:ascii="Perpetua" w:hAnsi="Perpetua"/>
        </w:rPr>
        <w:t>well instantiate properties of various kinds—in order to account for</w:t>
      </w:r>
    </w:p>
    <w:p>
      <w:pPr>
        <w:pStyle w:val="Normal"/>
        <w:spacing w:before="0" w:after="0"/>
        <w:contextualSpacing/>
        <w:jc w:val="left"/>
        <w:rPr>
          <w:rFonts w:ascii="Perpetua" w:hAnsi="Perpetua" w:eastAsia="Calibri" w:cs="Perpetua"/>
        </w:rPr>
      </w:pPr>
      <w:r>
        <w:rPr>
          <w:rFonts w:eastAsia="Calibri" w:cs="Perpetua" w:ascii="Perpetua" w:hAnsi="Perpetua"/>
        </w:rPr>
        <w:t>the curvature of space, for instance. Therefore, the view that space</w:t>
      </w:r>
    </w:p>
    <w:p>
      <w:pPr>
        <w:pStyle w:val="Normal"/>
        <w:spacing w:before="0" w:after="0"/>
        <w:contextualSpacing/>
        <w:jc w:val="left"/>
        <w:rPr>
          <w:rFonts w:ascii="Perpetua" w:hAnsi="Perpetua" w:eastAsia="Calibri" w:cs="Perpetua"/>
        </w:rPr>
      </w:pPr>
      <w:r>
        <w:rPr>
          <w:rFonts w:eastAsia="Calibri" w:cs="Perpetua" w:ascii="Perpetua" w:hAnsi="Perpetua"/>
        </w:rPr>
        <w:t>is identical to a collection of relations is consistent with the claim</w:t>
      </w:r>
    </w:p>
    <w:p>
      <w:pPr>
        <w:pStyle w:val="Normal"/>
        <w:spacing w:before="0" w:after="0"/>
        <w:contextualSpacing/>
        <w:jc w:val="left"/>
        <w:rPr>
          <w:rFonts w:ascii="Perpetua" w:hAnsi="Perpetua" w:eastAsia="Calibri" w:cs="Perpetua"/>
        </w:rPr>
      </w:pPr>
      <w:r>
        <w:rPr>
          <w:rFonts w:eastAsia="Calibri" w:cs="Perpetua" w:ascii="Perpetua" w:hAnsi="Perpetua"/>
        </w:rPr>
        <w:t>that space has a rich and complex structure. If the reader believes</w:t>
      </w:r>
    </w:p>
    <w:p>
      <w:pPr>
        <w:pStyle w:val="Normal"/>
        <w:spacing w:before="0" w:after="0"/>
        <w:contextualSpacing/>
        <w:jc w:val="left"/>
        <w:rPr>
          <w:rFonts w:ascii="Perpetua" w:hAnsi="Perpetua" w:eastAsia="Calibri" w:cs="Perpetua"/>
        </w:rPr>
      </w:pPr>
      <w:r>
        <w:rPr>
          <w:rFonts w:eastAsia="Calibri" w:cs="Perpetua" w:ascii="Perpetua" w:hAnsi="Perpetua"/>
        </w:rPr>
        <w:t>that it is awkward to describe space as being a mereological sum of</w:t>
      </w:r>
    </w:p>
    <w:p>
      <w:pPr>
        <w:pStyle w:val="Normal"/>
        <w:spacing w:before="0" w:after="0"/>
        <w:contextualSpacing/>
        <w:jc w:val="left"/>
        <w:rPr>
          <w:rFonts w:ascii="Perpetua" w:hAnsi="Perpetua" w:eastAsia="Calibri" w:cs="Perpetua"/>
        </w:rPr>
      </w:pPr>
      <w:r>
        <w:rPr>
          <w:rFonts w:eastAsia="Calibri" w:cs="Perpetua" w:ascii="Perpetua" w:hAnsi="Perpetua"/>
        </w:rPr>
        <w:t>spatial relations plus, possibly, other ingredients, what matters here</w:t>
      </w:r>
    </w:p>
    <w:p>
      <w:pPr>
        <w:pStyle w:val="Normal"/>
        <w:spacing w:before="0" w:after="0"/>
        <w:contextualSpacing/>
        <w:jc w:val="left"/>
        <w:rPr/>
      </w:pPr>
      <w:r>
        <w:rPr>
          <w:rFonts w:eastAsia="Calibri" w:cs="Perpetua" w:ascii="Perpetua" w:hAnsi="Perpetua"/>
        </w:rPr>
        <w:t xml:space="preserve">is that the view is </w:t>
      </w:r>
      <w:r>
        <w:rPr>
          <w:rFonts w:eastAsia="Calibri" w:cs="Perpetua-Italic" w:ascii="Perpetua-Italic" w:hAnsi="Perpetua-Italic"/>
          <w:i/>
          <w:iCs/>
        </w:rPr>
        <w:t>consistent</w:t>
      </w:r>
      <w:r>
        <w:rPr>
          <w:rFonts w:eastAsia="Calibri" w:cs="Perpetua" w:ascii="Perpetua" w:hAnsi="Perpetua"/>
        </w:rPr>
        <w:t>. At the very least, it is logically consistent</w:t>
      </w:r>
    </w:p>
    <w:p>
      <w:pPr>
        <w:pStyle w:val="Normal"/>
        <w:spacing w:before="0" w:after="0"/>
        <w:contextualSpacing/>
        <w:jc w:val="left"/>
        <w:rPr>
          <w:rFonts w:ascii="Perpetua" w:hAnsi="Perpetua" w:eastAsia="Calibri" w:cs="Perpetua"/>
        </w:rPr>
      </w:pPr>
      <w:r>
        <w:rPr>
          <w:rFonts w:eastAsia="Calibri" w:cs="Perpetua" w:ascii="Perpetua" w:hAnsi="Perpetua"/>
        </w:rPr>
        <w:t>to conceive of any piece of space as being made of (i.e. composed of)</w:t>
      </w:r>
    </w:p>
    <w:p>
      <w:pPr>
        <w:pStyle w:val="Normal"/>
        <w:spacing w:before="0" w:after="0"/>
        <w:contextualSpacing/>
        <w:jc w:val="left"/>
        <w:rPr>
          <w:rFonts w:ascii="Perpetua" w:hAnsi="Perpetua" w:eastAsia="Calibri" w:cs="Perpetua"/>
        </w:rPr>
      </w:pPr>
      <w:r>
        <w:rPr>
          <w:rFonts w:eastAsia="Calibri" w:cs="Perpetua" w:ascii="Perpetua" w:hAnsi="Perpetua"/>
        </w:rPr>
        <w:t>spatial ingredients, and so, to conceive of the full physical space as</w:t>
      </w:r>
    </w:p>
    <w:p>
      <w:pPr>
        <w:pStyle w:val="Normal"/>
        <w:spacing w:before="0" w:after="0"/>
        <w:contextualSpacing/>
        <w:jc w:val="left"/>
        <w:rPr>
          <w:rFonts w:ascii="Perpetua" w:hAnsi="Perpetua" w:eastAsia="Calibri" w:cs="Perpetua"/>
        </w:rPr>
      </w:pPr>
      <w:r>
        <w:rPr>
          <w:rFonts w:eastAsia="Calibri" w:cs="Perpetua" w:ascii="Perpetua" w:hAnsi="Perpetua"/>
        </w:rPr>
        <w:t>being a mereological sum of geometrical building blocks. (p. 84)</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In this section, I will assume for the</w:t>
      </w:r>
    </w:p>
    <w:p>
      <w:pPr>
        <w:pStyle w:val="Normal"/>
        <w:spacing w:before="0" w:after="0"/>
        <w:contextualSpacing/>
        <w:jc w:val="left"/>
        <w:rPr/>
      </w:pPr>
      <w:r>
        <w:rPr>
          <w:rFonts w:eastAsia="Calibri" w:cs="Perpetua" w:ascii="Perpetua" w:hAnsi="Perpetua"/>
        </w:rPr>
        <w:t xml:space="preserve">sake of argumentation that there is </w:t>
      </w:r>
      <w:r>
        <w:rPr>
          <w:rFonts w:eastAsia="Calibri" w:cs="Perpetua-Italic" w:ascii="Perpetua-Italic" w:hAnsi="Perpetua-Italic"/>
          <w:i/>
          <w:iCs/>
        </w:rPr>
        <w:t xml:space="preserve">prima facie </w:t>
      </w:r>
      <w:r>
        <w:rPr>
          <w:rFonts w:eastAsia="Calibri" w:cs="Perpetua" w:ascii="Perpetua" w:hAnsi="Perpetua"/>
        </w:rPr>
        <w:t>something problematic</w:t>
      </w:r>
    </w:p>
    <w:p>
      <w:pPr>
        <w:pStyle w:val="Normal"/>
        <w:spacing w:before="0" w:after="0"/>
        <w:contextualSpacing/>
        <w:jc w:val="left"/>
        <w:rPr>
          <w:rFonts w:ascii="Perpetua" w:hAnsi="Perpetua" w:eastAsia="Calibri" w:cs="Perpetua"/>
        </w:rPr>
      </w:pPr>
      <w:r>
        <w:rPr>
          <w:rFonts w:eastAsia="Calibri" w:cs="Perpetua" w:ascii="Perpetua" w:hAnsi="Perpetua"/>
        </w:rPr>
        <w:t>with the identification of space constitution with space composition</w:t>
      </w:r>
    </w:p>
    <w:p>
      <w:pPr>
        <w:pStyle w:val="Normal"/>
        <w:spacing w:before="0" w:after="0"/>
        <w:contextualSpacing/>
        <w:jc w:val="left"/>
        <w:rPr>
          <w:rFonts w:ascii="Perpetua" w:hAnsi="Perpetua" w:eastAsia="Calibri" w:cs="Perpetua"/>
        </w:rPr>
      </w:pPr>
      <w:r>
        <w:rPr>
          <w:rFonts w:eastAsia="Calibri" w:cs="Perpetua" w:ascii="Perpetua" w:hAnsi="Perpetua"/>
        </w:rPr>
        <w:t>because of this strange explanatory gap between the sets of primitives</w:t>
      </w:r>
    </w:p>
    <w:p>
      <w:pPr>
        <w:pStyle w:val="Normal"/>
        <w:spacing w:before="0" w:after="0"/>
        <w:contextualSpacing/>
        <w:jc w:val="left"/>
        <w:rPr>
          <w:rFonts w:ascii="Perpetua" w:hAnsi="Perpetua" w:eastAsia="Calibri" w:cs="Perpetua"/>
        </w:rPr>
      </w:pPr>
      <w:r>
        <w:rPr>
          <w:rFonts w:eastAsia="Calibri" w:cs="Perpetua" w:ascii="Perpetua" w:hAnsi="Perpetua"/>
        </w:rPr>
        <w:t>notions involved in the two theories and suggest a way to avoid</w:t>
      </w:r>
    </w:p>
    <w:p>
      <w:pPr>
        <w:pStyle w:val="Normal"/>
        <w:spacing w:before="0" w:after="0"/>
        <w:contextualSpacing/>
        <w:jc w:val="left"/>
        <w:rPr/>
      </w:pPr>
      <w:r>
        <w:rPr>
          <w:rFonts w:eastAsia="Calibri" w:cs="Perpetua" w:ascii="Perpetua" w:hAnsi="Perpetua"/>
        </w:rPr>
        <w:t>the problem. (85)</w:t>
      </w:r>
      <w:r>
        <w:rPr>
          <w:rFonts w:eastAsia="Calibri" w:cs="Perpetua" w:ascii="Perpetua" w:hAnsi="Perpetua"/>
          <w:color w:val="FF0000"/>
        </w:rPr>
        <w:t xml:space="preserve"> [exactly my EDWs!!!!]</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The relation of logical composition</w:t>
      </w:r>
    </w:p>
    <w:p>
      <w:pPr>
        <w:pStyle w:val="Normal"/>
        <w:spacing w:before="0" w:after="0"/>
        <w:contextualSpacing/>
        <w:jc w:val="left"/>
        <w:rPr/>
      </w:pPr>
      <w:r>
        <w:rPr>
          <w:rFonts w:eastAsia="Calibri" w:cs="Perpetua" w:ascii="Perpetua" w:hAnsi="Perpetua"/>
        </w:rPr>
        <w:t xml:space="preserve">is </w:t>
      </w:r>
      <w:r>
        <w:rPr>
          <w:rFonts w:eastAsia="Calibri" w:cs="Perpetua-Italic" w:ascii="Perpetua-Italic" w:hAnsi="Perpetua-Italic"/>
          <w:i/>
          <w:iCs/>
        </w:rPr>
        <w:t xml:space="preserve">mind-independent </w:t>
      </w:r>
      <w:r>
        <w:rPr>
          <w:rFonts w:eastAsia="Calibri" w:cs="Perpetua" w:ascii="Perpetua" w:hAnsi="Perpetua"/>
        </w:rPr>
        <w:t xml:space="preserve">and </w:t>
      </w:r>
      <w:r>
        <w:rPr>
          <w:rFonts w:eastAsia="Calibri" w:cs="Perpetua-Italic" w:ascii="Perpetua-Italic" w:hAnsi="Perpetua-Italic"/>
          <w:i/>
          <w:iCs/>
        </w:rPr>
        <w:t>concrete</w:t>
      </w:r>
      <w:r>
        <w:rPr>
          <w:rFonts w:eastAsia="Calibri" w:cs="Perpetua" w:ascii="Perpetua" w:hAnsi="Perpetua"/>
        </w:rPr>
        <w:t>. It is mind-independent as it obtains</w:t>
      </w:r>
    </w:p>
    <w:p>
      <w:pPr>
        <w:pStyle w:val="Normal"/>
        <w:spacing w:before="0" w:after="0"/>
        <w:contextualSpacing/>
        <w:jc w:val="left"/>
        <w:rPr>
          <w:rFonts w:ascii="Perpetua" w:hAnsi="Perpetua" w:eastAsia="Calibri" w:cs="Perpetua"/>
        </w:rPr>
      </w:pPr>
      <w:r>
        <w:rPr>
          <w:rFonts w:eastAsia="Calibri" w:cs="Perpetua" w:ascii="Perpetua" w:hAnsi="Perpetua"/>
        </w:rPr>
        <w:t>independently of any observer and exists on its own. It is concrete as</w:t>
      </w:r>
    </w:p>
    <w:p>
      <w:pPr>
        <w:pStyle w:val="Normal"/>
        <w:spacing w:before="0" w:after="0"/>
        <w:contextualSpacing/>
        <w:jc w:val="left"/>
        <w:rPr/>
      </w:pPr>
      <w:r>
        <w:rPr>
          <w:rFonts w:eastAsia="Calibri" w:cs="Perpetua" w:ascii="Perpetua" w:hAnsi="Perpetua"/>
        </w:rPr>
        <w:t xml:space="preserve">it has the same existential status as physical entities. (86) </w:t>
      </w:r>
      <w:r>
        <w:rPr>
          <w:rFonts w:eastAsia="Calibri" w:cs="Perpetua" w:ascii="Perpetua" w:hAnsi="Perpetua"/>
          <w:color w:val="FF0000"/>
        </w:rPr>
        <w:t>[exactly my EDWs!!!! Word by word!!!]</w:t>
      </w:r>
    </w:p>
    <w:p>
      <w:pPr>
        <w:pStyle w:val="Normal"/>
        <w:spacing w:before="0" w:after="0"/>
        <w:contextualSpacing/>
        <w:jc w:val="left"/>
        <w:rPr>
          <w:b/>
          <w:b/>
          <w:sz w:val="32"/>
          <w:szCs w:val="32"/>
        </w:rPr>
      </w:pPr>
      <w:r>
        <w:rPr>
          <w:b/>
          <w:sz w:val="32"/>
          <w:szCs w:val="32"/>
        </w:rPr>
      </w:r>
    </w:p>
    <w:p>
      <w:pPr>
        <w:pStyle w:val="Normal"/>
        <w:spacing w:before="0" w:after="0"/>
        <w:contextualSpacing/>
        <w:jc w:val="left"/>
        <w:rPr/>
      </w:pPr>
      <w:r>
        <w:rPr>
          <w:rFonts w:eastAsia="Calibri" w:cs="Perpetua" w:ascii="Perpetua" w:hAnsi="Perpetua"/>
        </w:rPr>
        <w:t xml:space="preserve">Therefore, logical mereology allows </w:t>
      </w:r>
      <w:r>
        <w:rPr>
          <w:rFonts w:eastAsia="Calibri" w:cs="Perpetua-Italic" w:ascii="Perpetua-Italic" w:hAnsi="Perpetua-Italic"/>
          <w:i/>
          <w:iCs/>
        </w:rPr>
        <w:t>trans-categorical composition</w:t>
      </w:r>
      <w:r>
        <w:rPr>
          <w:rFonts w:eastAsia="Calibri" w:cs="Perpetua" w:ascii="Perpetua" w:hAnsi="Perpetua"/>
        </w:rPr>
        <w:t>,</w:t>
      </w:r>
    </w:p>
    <w:p>
      <w:pPr>
        <w:pStyle w:val="Normal"/>
        <w:spacing w:before="0" w:after="0"/>
        <w:contextualSpacing/>
        <w:jc w:val="left"/>
        <w:rPr>
          <w:rFonts w:ascii="Perpetua" w:hAnsi="Perpetua" w:eastAsia="Calibri" w:cs="Perpetua"/>
        </w:rPr>
      </w:pPr>
      <w:r>
        <w:rPr>
          <w:rFonts w:eastAsia="Calibri" w:cs="Perpetua" w:ascii="Perpetua" w:hAnsi="Perpetua"/>
        </w:rPr>
        <w:t>namely that entities belonging to a particular metaphysical category</w:t>
      </w:r>
    </w:p>
    <w:p>
      <w:pPr>
        <w:pStyle w:val="Normal"/>
        <w:spacing w:before="0" w:after="0"/>
        <w:contextualSpacing/>
        <w:jc w:val="left"/>
        <w:rPr>
          <w:rFonts w:ascii="Perpetua" w:hAnsi="Perpetua" w:eastAsia="Calibri" w:cs="Perpetua"/>
        </w:rPr>
      </w:pPr>
      <w:r>
        <w:rPr>
          <w:rFonts w:eastAsia="Calibri" w:cs="Perpetua" w:ascii="Perpetua" w:hAnsi="Perpetua"/>
        </w:rPr>
        <w:t>(say, properties) compose an entity that belongs to a distinct metaphysical</w:t>
      </w:r>
    </w:p>
    <w:p>
      <w:pPr>
        <w:pStyle w:val="Normal"/>
        <w:spacing w:before="0" w:after="0"/>
        <w:contextualSpacing/>
        <w:jc w:val="left"/>
        <w:rPr/>
      </w:pPr>
      <w:r>
        <w:rPr>
          <w:rFonts w:eastAsia="Calibri" w:cs="Perpetua" w:ascii="Perpetua" w:hAnsi="Perpetua"/>
        </w:rPr>
        <w:t>category (say, an object or an event).</w:t>
      </w:r>
      <w:r>
        <w:rPr>
          <w:rFonts w:eastAsia="Calibri" w:cs="Perpetua" w:ascii="Perpetua" w:hAnsi="Perpetua"/>
          <w:color w:val="FF0000"/>
        </w:rPr>
        <w:t xml:space="preserve"> [“trans-categorical composition” means my “correspondence”!!!!!]</w:t>
      </w:r>
    </w:p>
    <w:p>
      <w:pPr>
        <w:pStyle w:val="Normal"/>
        <w:spacing w:before="0" w:after="0"/>
        <w:contextualSpacing/>
        <w:jc w:val="left"/>
        <w:rPr/>
      </w:pPr>
      <w:r>
        <w:rPr>
          <w:rFonts w:eastAsia="Calibri" w:cs="Perpetua" w:ascii="Perpetua" w:hAnsi="Perpetua"/>
        </w:rPr>
        <w:t xml:space="preserve">I will now present the </w:t>
      </w:r>
      <w:r>
        <w:rPr>
          <w:rFonts w:eastAsia="Calibri" w:cs="Perpetua-Italic" w:ascii="Perpetua-Italic" w:hAnsi="Perpetua-Italic"/>
          <w:i/>
          <w:iCs/>
        </w:rPr>
        <w:t>mereological bundle theory of space</w:t>
      </w:r>
      <w:r>
        <w:rPr>
          <w:rFonts w:eastAsia="Calibri" w:cs="Perpetua" w:ascii="Perpetua" w:hAnsi="Perpetua"/>
        </w:rPr>
        <w:t>, which</w:t>
      </w:r>
    </w:p>
    <w:p>
      <w:pPr>
        <w:pStyle w:val="Normal"/>
        <w:spacing w:before="0" w:after="0"/>
        <w:contextualSpacing/>
        <w:jc w:val="left"/>
        <w:rPr>
          <w:rFonts w:ascii="Perpetua" w:hAnsi="Perpetua" w:eastAsia="Calibri" w:cs="Perpetua"/>
        </w:rPr>
      </w:pPr>
      <w:r>
        <w:rPr>
          <w:rFonts w:eastAsia="Calibri" w:cs="Perpetua" w:ascii="Perpetua" w:hAnsi="Perpetua"/>
        </w:rPr>
        <w:t>avoids positing levels of reality. I will then describe more precisely</w:t>
      </w:r>
    </w:p>
    <w:p>
      <w:pPr>
        <w:pStyle w:val="Normal"/>
        <w:spacing w:before="0" w:after="0"/>
        <w:contextualSpacing/>
        <w:jc w:val="left"/>
        <w:rPr>
          <w:rFonts w:ascii="Perpetua" w:hAnsi="Perpetua" w:eastAsia="Calibri" w:cs="Perpetua"/>
        </w:rPr>
      </w:pPr>
      <w:r>
        <w:rPr>
          <w:rFonts w:eastAsia="Calibri" w:cs="Perpetua" w:ascii="Perpetua" w:hAnsi="Perpetua"/>
        </w:rPr>
        <w:t>how the view differs from L.A. Paul’s view. According to the</w:t>
      </w:r>
    </w:p>
    <w:p>
      <w:pPr>
        <w:pStyle w:val="Normal"/>
        <w:spacing w:before="0" w:after="0"/>
        <w:contextualSpacing/>
        <w:jc w:val="left"/>
        <w:rPr>
          <w:rFonts w:ascii="Perpetua" w:hAnsi="Perpetua" w:eastAsia="Calibri" w:cs="Perpetua"/>
        </w:rPr>
      </w:pPr>
      <w:r>
        <w:rPr>
          <w:rFonts w:eastAsia="Calibri" w:cs="Perpetua" w:ascii="Perpetua" w:hAnsi="Perpetua"/>
        </w:rPr>
        <w:t>mereological bundle theory of space, the relation of constitution is</w:t>
      </w:r>
    </w:p>
    <w:p>
      <w:pPr>
        <w:pStyle w:val="Normal"/>
        <w:spacing w:before="0" w:after="0"/>
        <w:contextualSpacing/>
        <w:jc w:val="left"/>
        <w:rPr>
          <w:rFonts w:ascii="Perpetua" w:hAnsi="Perpetua" w:eastAsia="Calibri" w:cs="Perpetua"/>
        </w:rPr>
      </w:pPr>
      <w:r>
        <w:rPr>
          <w:rFonts w:eastAsia="Calibri" w:cs="Perpetua" w:ascii="Perpetua" w:hAnsi="Perpetua"/>
        </w:rPr>
        <w:t>identical to logical composition, and each of the constituted entities</w:t>
      </w:r>
    </w:p>
    <w:p>
      <w:pPr>
        <w:pStyle w:val="Normal"/>
        <w:spacing w:before="0" w:after="0"/>
        <w:contextualSpacing/>
        <w:jc w:val="left"/>
        <w:rPr>
          <w:rFonts w:ascii="Perpetua" w:hAnsi="Perpetua" w:eastAsia="Calibri" w:cs="Perpetua"/>
        </w:rPr>
      </w:pPr>
      <w:r>
        <w:rPr>
          <w:rFonts w:eastAsia="Calibri" w:cs="Perpetua" w:ascii="Perpetua" w:hAnsi="Perpetua"/>
        </w:rPr>
        <w:t>is a mereological bundle of proper parts of the maximal structure.</w:t>
      </w:r>
    </w:p>
    <w:p>
      <w:pPr>
        <w:pStyle w:val="Normal"/>
        <w:spacing w:before="0" w:after="0"/>
        <w:contextualSpacing/>
        <w:jc w:val="left"/>
        <w:rPr>
          <w:rFonts w:ascii="Perpetua" w:hAnsi="Perpetua" w:eastAsia="Calibri" w:cs="Perpetua"/>
        </w:rPr>
      </w:pPr>
      <w:r>
        <w:rPr>
          <w:rFonts w:eastAsia="Calibri" w:cs="Perpetua" w:ascii="Perpetua" w:hAnsi="Perpetua"/>
        </w:rPr>
        <w:t>In this framework, 3D spatial relations (in WFR) and 4D spatiotemporal</w:t>
      </w:r>
    </w:p>
    <w:p>
      <w:pPr>
        <w:pStyle w:val="Normal"/>
        <w:spacing w:before="0" w:after="0"/>
        <w:contextualSpacing/>
        <w:jc w:val="left"/>
        <w:rPr>
          <w:rFonts w:ascii="Perpetua" w:hAnsi="Perpetua" w:eastAsia="Calibri" w:cs="Perpetua"/>
        </w:rPr>
      </w:pPr>
      <w:r>
        <w:rPr>
          <w:rFonts w:eastAsia="Calibri" w:cs="Perpetua" w:ascii="Perpetua" w:hAnsi="Perpetua"/>
        </w:rPr>
        <w:t>relations (in general relativity) are interpreted as being</w:t>
      </w:r>
    </w:p>
    <w:p>
      <w:pPr>
        <w:pStyle w:val="Normal"/>
        <w:spacing w:before="0" w:after="0"/>
        <w:contextualSpacing/>
        <w:jc w:val="left"/>
        <w:rPr/>
      </w:pPr>
      <w:r>
        <w:rPr>
          <w:rFonts w:eastAsia="Calibri" w:cs="Perpetua-Italic" w:ascii="Perpetua-Italic" w:hAnsi="Perpetua-Italic"/>
          <w:i/>
          <w:iCs/>
        </w:rPr>
        <w:t xml:space="preserve">logically made of </w:t>
      </w:r>
      <w:r>
        <w:rPr>
          <w:rFonts w:eastAsia="Calibri" w:cs="Perpetua" w:ascii="Perpetua" w:hAnsi="Perpetua"/>
        </w:rPr>
        <w:t>parts belonging to distinct metaphysical categories. (86)</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The entity we call ‘space’ is a trans-categorical mereological sum of</w:t>
      </w:r>
    </w:p>
    <w:p>
      <w:pPr>
        <w:pStyle w:val="Normal"/>
        <w:spacing w:before="0" w:after="0"/>
        <w:contextualSpacing/>
        <w:jc w:val="left"/>
        <w:rPr>
          <w:rFonts w:ascii="Perpetua" w:hAnsi="Perpetua" w:eastAsia="Calibri" w:cs="Perpetua"/>
        </w:rPr>
      </w:pPr>
      <w:r>
        <w:rPr>
          <w:rFonts w:eastAsia="Calibri" w:cs="Perpetua" w:ascii="Perpetua" w:hAnsi="Perpetua"/>
        </w:rPr>
        <w:t>mereological atoms (following a bottom-up description) or, equivalently,</w:t>
      </w:r>
    </w:p>
    <w:p>
      <w:pPr>
        <w:pStyle w:val="Normal"/>
        <w:spacing w:before="0" w:after="0"/>
        <w:contextualSpacing/>
        <w:jc w:val="left"/>
        <w:rPr>
          <w:rFonts w:ascii="Perpetua" w:hAnsi="Perpetua" w:eastAsia="Calibri" w:cs="Perpetua"/>
        </w:rPr>
      </w:pPr>
      <w:r>
        <w:rPr>
          <w:rFonts w:eastAsia="Calibri" w:cs="Perpetua" w:ascii="Perpetua" w:hAnsi="Perpetua"/>
        </w:rPr>
        <w:t>a trans-categorical proper part of the maximal structure (following</w:t>
      </w:r>
    </w:p>
    <w:p>
      <w:pPr>
        <w:pStyle w:val="Normal"/>
        <w:spacing w:before="0" w:after="0"/>
        <w:contextualSpacing/>
        <w:jc w:val="left"/>
        <w:rPr/>
      </w:pPr>
      <w:r>
        <w:rPr>
          <w:rFonts w:eastAsia="Calibri" w:cs="Perpetua" w:ascii="Perpetua" w:hAnsi="Perpetua"/>
        </w:rPr>
        <w:t xml:space="preserve">a top-down description). </w:t>
      </w:r>
      <w:r>
        <w:rPr>
          <w:rFonts w:eastAsia="Calibri" w:cs="Perpetua" w:ascii="Perpetua" w:hAnsi="Perpetua"/>
          <w:color w:val="FF0000"/>
        </w:rPr>
        <w:t>[exactly my idea about space from my book 2016!!!!]</w:t>
      </w:r>
      <w:r>
        <w:rPr>
          <w:rFonts w:eastAsia="Calibri" w:cs="Perpetua" w:ascii="Perpetua" w:hAnsi="Perpetua"/>
        </w:rPr>
        <w:t xml:space="preserve"> Importantly (in order to make sense</w:t>
      </w:r>
    </w:p>
    <w:p>
      <w:pPr>
        <w:pStyle w:val="Normal"/>
        <w:spacing w:before="0" w:after="0"/>
        <w:contextualSpacing/>
        <w:jc w:val="left"/>
        <w:rPr>
          <w:rFonts w:ascii="Perpetua" w:hAnsi="Perpetua" w:eastAsia="Calibri" w:cs="Perpetua"/>
        </w:rPr>
      </w:pPr>
      <w:r>
        <w:rPr>
          <w:rFonts w:eastAsia="Calibri" w:cs="Perpetua" w:ascii="Perpetua" w:hAnsi="Perpetua"/>
        </w:rPr>
        <w:t>of geometrical deviation in LQG), trans-categorical proper parts of</w:t>
      </w:r>
    </w:p>
    <w:p>
      <w:pPr>
        <w:pStyle w:val="Normal"/>
        <w:spacing w:before="0" w:after="0"/>
        <w:contextualSpacing/>
        <w:jc w:val="left"/>
        <w:rPr/>
      </w:pPr>
      <w:r>
        <w:rPr>
          <w:rFonts w:eastAsia="Calibri" w:cs="Perpetua" w:ascii="Perpetua" w:hAnsi="Perpetua"/>
        </w:rPr>
        <w:t xml:space="preserve">a spatial relation do not have to be connected in the maximal structure. </w:t>
      </w:r>
      <w:r>
        <w:rPr>
          <w:rFonts w:eastAsia="Calibri" w:cs="Perpetua" w:ascii="Perpetua" w:hAnsi="Perpetua"/>
          <w:color w:val="FF0000"/>
        </w:rPr>
        <w:t>[exactly my idea about space from my book 2016!!!!]</w:t>
      </w:r>
    </w:p>
    <w:p>
      <w:pPr>
        <w:pStyle w:val="Normal"/>
        <w:spacing w:before="0" w:after="0"/>
        <w:contextualSpacing/>
        <w:jc w:val="left"/>
        <w:rPr>
          <w:rFonts w:ascii="Perpetua" w:hAnsi="Perpetua" w:eastAsia="Calibri" w:cs="Perpetua"/>
        </w:rPr>
      </w:pPr>
      <w:r>
        <w:rPr>
          <w:rFonts w:eastAsia="Calibri" w:cs="Perpetua" w:ascii="Perpetua" w:hAnsi="Perpetua"/>
        </w:rPr>
        <w:t>We can consider any distribution of entities, and ask whether</w:t>
      </w:r>
    </w:p>
    <w:p>
      <w:pPr>
        <w:pStyle w:val="Normal"/>
        <w:spacing w:before="0" w:after="0"/>
        <w:contextualSpacing/>
        <w:jc w:val="left"/>
        <w:rPr>
          <w:rFonts w:ascii="Perpetua" w:hAnsi="Perpetua" w:eastAsia="Calibri" w:cs="Perpetua"/>
        </w:rPr>
      </w:pPr>
      <w:r>
        <w:rPr>
          <w:rFonts w:eastAsia="Calibri" w:cs="Perpetua" w:ascii="Perpetua" w:hAnsi="Perpetua"/>
        </w:rPr>
        <w:t>this distribution is a mereological sum. And regarding whether</w:t>
      </w:r>
    </w:p>
    <w:p>
      <w:pPr>
        <w:pStyle w:val="Normal"/>
        <w:spacing w:before="0" w:after="0"/>
        <w:contextualSpacing/>
        <w:jc w:val="left"/>
        <w:rPr>
          <w:rFonts w:ascii="Perpetua" w:hAnsi="Perpetua" w:eastAsia="Calibri" w:cs="Perpetua"/>
        </w:rPr>
      </w:pPr>
      <w:r>
        <w:rPr>
          <w:rFonts w:eastAsia="Calibri" w:cs="Perpetua" w:ascii="Perpetua" w:hAnsi="Perpetua"/>
        </w:rPr>
        <w:t>or not a distributional class of entities composes a collective class,</w:t>
      </w:r>
    </w:p>
    <w:p>
      <w:pPr>
        <w:pStyle w:val="Normal"/>
        <w:spacing w:before="0" w:after="0"/>
        <w:contextualSpacing/>
        <w:jc w:val="left"/>
        <w:rPr>
          <w:rFonts w:ascii="Perpetua" w:hAnsi="Perpetua" w:eastAsia="Calibri" w:cs="Perpetua"/>
        </w:rPr>
      </w:pPr>
      <w:r>
        <w:rPr>
          <w:rFonts w:eastAsia="Calibri" w:cs="Perpetua" w:ascii="Perpetua" w:hAnsi="Perpetua"/>
        </w:rPr>
        <w:t>namely a mereological sum of these entities, the answer will be given</w:t>
      </w:r>
    </w:p>
    <w:p>
      <w:pPr>
        <w:pStyle w:val="Normal"/>
        <w:spacing w:before="0" w:after="0"/>
        <w:contextualSpacing/>
        <w:jc w:val="left"/>
        <w:rPr>
          <w:rFonts w:ascii="Perpetua" w:hAnsi="Perpetua" w:eastAsia="Calibri" w:cs="Perpetua"/>
        </w:rPr>
      </w:pPr>
      <w:r>
        <w:rPr>
          <w:rFonts w:eastAsia="Calibri" w:cs="Perpetua" w:ascii="Perpetua" w:hAnsi="Perpetua"/>
        </w:rPr>
        <w:t>by the actual derivation of the spatial description from the non-spatial</w:t>
      </w:r>
    </w:p>
    <w:p>
      <w:pPr>
        <w:pStyle w:val="Normal"/>
        <w:spacing w:before="0" w:after="0"/>
        <w:contextualSpacing/>
        <w:jc w:val="left"/>
        <w:rPr>
          <w:rFonts w:ascii="Perpetua" w:hAnsi="Perpetua" w:eastAsia="Calibri" w:cs="Perpetua"/>
        </w:rPr>
      </w:pPr>
      <w:r>
        <w:rPr>
          <w:rFonts w:eastAsia="Calibri" w:cs="Perpetua" w:ascii="Perpetua" w:hAnsi="Perpetua"/>
        </w:rPr>
        <w:t>theory. Composition occurs when, and only when, we may map</w:t>
      </w:r>
    </w:p>
    <w:p>
      <w:pPr>
        <w:pStyle w:val="Normal"/>
        <w:spacing w:before="0" w:after="0"/>
        <w:contextualSpacing/>
        <w:jc w:val="left"/>
        <w:rPr>
          <w:rFonts w:ascii="Perpetua" w:hAnsi="Perpetua" w:eastAsia="Calibri" w:cs="Perpetua"/>
        </w:rPr>
      </w:pPr>
      <w:r>
        <w:rPr>
          <w:rFonts w:eastAsia="Calibri" w:cs="Perpetua" w:ascii="Perpetua" w:hAnsi="Perpetua"/>
        </w:rPr>
        <w:t>an entity from the spatial structure onto a plurality of entities that</w:t>
      </w:r>
    </w:p>
    <w:p>
      <w:pPr>
        <w:pStyle w:val="Normal"/>
        <w:spacing w:before="0" w:after="0"/>
        <w:contextualSpacing/>
        <w:jc w:val="left"/>
        <w:rPr>
          <w:rFonts w:ascii="Perpetua" w:hAnsi="Perpetua" w:eastAsia="Calibri" w:cs="Perpetua"/>
        </w:rPr>
      </w:pPr>
      <w:r>
        <w:rPr>
          <w:rFonts w:eastAsia="Calibri" w:cs="Perpetua" w:ascii="Perpetua" w:hAnsi="Perpetua"/>
        </w:rPr>
        <w:t>are parts of the non-spatial structure. As a result, the mereological</w:t>
      </w:r>
    </w:p>
    <w:p>
      <w:pPr>
        <w:pStyle w:val="Normal"/>
        <w:spacing w:before="0" w:after="0"/>
        <w:contextualSpacing/>
        <w:jc w:val="left"/>
        <w:rPr>
          <w:rFonts w:ascii="Perpetua" w:hAnsi="Perpetua" w:eastAsia="Calibri" w:cs="Perpetua"/>
        </w:rPr>
      </w:pPr>
      <w:r>
        <w:rPr>
          <w:rFonts w:eastAsia="Calibri" w:cs="Perpetua" w:ascii="Perpetua" w:hAnsi="Perpetua"/>
        </w:rPr>
        <w:t>bundle theory of space entails a restricted composition answer to van</w:t>
      </w:r>
    </w:p>
    <w:p>
      <w:pPr>
        <w:pStyle w:val="Normal"/>
        <w:spacing w:before="0" w:after="0"/>
        <w:contextualSpacing/>
        <w:jc w:val="left"/>
        <w:rPr>
          <w:rFonts w:ascii="Perpetua" w:hAnsi="Perpetua" w:eastAsia="Calibri" w:cs="Perpetua"/>
        </w:rPr>
      </w:pPr>
      <w:r>
        <w:rPr>
          <w:rFonts w:eastAsia="Calibri" w:cs="Perpetua" w:ascii="Perpetua" w:hAnsi="Perpetua"/>
        </w:rPr>
        <w:t>Inwagen’s special composition question (1990), which might count</w:t>
      </w:r>
    </w:p>
    <w:p>
      <w:pPr>
        <w:pStyle w:val="Normal"/>
        <w:spacing w:before="0" w:after="0"/>
        <w:contextualSpacing/>
        <w:jc w:val="left"/>
        <w:rPr>
          <w:rFonts w:ascii="Perpetua" w:hAnsi="Perpetua" w:eastAsia="Calibri" w:cs="Perpetua"/>
        </w:rPr>
      </w:pPr>
      <w:r>
        <w:rPr>
          <w:rFonts w:eastAsia="Calibri" w:cs="Perpetua" w:ascii="Perpetua" w:hAnsi="Perpetua"/>
        </w:rPr>
        <w:t>as a good or bad point, depending on one’s philosophical view about</w:t>
      </w:r>
    </w:p>
    <w:p>
      <w:pPr>
        <w:pStyle w:val="Normal"/>
        <w:spacing w:before="0" w:after="0"/>
        <w:contextualSpacing/>
        <w:jc w:val="left"/>
        <w:rPr/>
      </w:pPr>
      <w:r>
        <w:rPr>
          <w:rFonts w:eastAsia="Calibri" w:cs="Perpetua" w:ascii="Perpetua" w:hAnsi="Perpetua"/>
        </w:rPr>
        <w:t xml:space="preserve">the range of composition. </w:t>
      </w:r>
      <w:r>
        <w:rPr>
          <w:rFonts w:eastAsia="Calibri" w:cs="Perpetua" w:ascii="Perpetua" w:hAnsi="Perpetua"/>
          <w:color w:val="FF0000"/>
        </w:rPr>
        <w:t>[exactly my idea about space from my book 2016!!!!]</w:t>
      </w:r>
    </w:p>
    <w:p>
      <w:pPr>
        <w:pStyle w:val="Normal"/>
        <w:spacing w:before="0" w:after="0"/>
        <w:contextualSpacing/>
        <w:jc w:val="left"/>
        <w:rPr>
          <w:rFonts w:ascii="Perpetua" w:hAnsi="Perpetua" w:eastAsia="Calibri" w:cs="Perpetua"/>
        </w:rPr>
      </w:pPr>
      <w:r>
        <w:rPr>
          <w:rFonts w:eastAsia="Calibri" w:cs="Perpetua" w:ascii="Perpetua" w:hAnsi="Perpetua"/>
        </w:rPr>
        <w:t>Operating under these assumptions, we end up with two structures,</w:t>
      </w:r>
    </w:p>
    <w:p>
      <w:pPr>
        <w:pStyle w:val="Normal"/>
        <w:spacing w:before="0" w:after="0"/>
        <w:contextualSpacing/>
        <w:jc w:val="left"/>
        <w:rPr>
          <w:rFonts w:ascii="Perpetua" w:hAnsi="Perpetua" w:eastAsia="Calibri" w:cs="Perpetua"/>
        </w:rPr>
      </w:pPr>
      <w:r>
        <w:rPr>
          <w:rFonts w:eastAsia="Calibri" w:cs="Perpetua" w:ascii="Perpetua" w:hAnsi="Perpetua"/>
        </w:rPr>
        <w:t>namely two collections of relations that permit us to localize</w:t>
      </w:r>
    </w:p>
    <w:p>
      <w:pPr>
        <w:pStyle w:val="Normal"/>
        <w:spacing w:before="0" w:after="0"/>
        <w:contextualSpacing/>
        <w:jc w:val="left"/>
        <w:rPr/>
      </w:pPr>
      <w:r>
        <w:rPr>
          <w:rFonts w:eastAsia="Calibri" w:cs="Perpetua" w:ascii="Perpetua" w:hAnsi="Perpetua"/>
        </w:rPr>
        <w:t xml:space="preserve">entities. </w:t>
      </w:r>
      <w:r>
        <w:rPr>
          <w:rFonts w:eastAsia="Calibri" w:cs="Perpetua" w:ascii="Perpetua" w:hAnsi="Perpetua"/>
          <w:color w:val="FF0000"/>
        </w:rPr>
        <w:t xml:space="preserve">[i.e., EDWs!!!] </w:t>
      </w:r>
      <w:r>
        <w:rPr>
          <w:rFonts w:eastAsia="Calibri" w:cs="Perpetua" w:ascii="Perpetua" w:hAnsi="Perpetua"/>
        </w:rPr>
        <w:t>Some of the relations or other categories that compose the</w:t>
      </w:r>
    </w:p>
    <w:p>
      <w:pPr>
        <w:pStyle w:val="Normal"/>
        <w:spacing w:before="0" w:after="0"/>
        <w:contextualSpacing/>
        <w:jc w:val="left"/>
        <w:rPr>
          <w:rFonts w:ascii="Perpetua" w:hAnsi="Perpetua" w:eastAsia="Calibri" w:cs="Perpetua"/>
        </w:rPr>
      </w:pPr>
      <w:r>
        <w:rPr>
          <w:rFonts w:eastAsia="Calibri" w:cs="Perpetua" w:ascii="Perpetua" w:hAnsi="Perpetua"/>
        </w:rPr>
        <w:t>maximal structure, also compose trans-categorical sums—and these</w:t>
      </w:r>
    </w:p>
    <w:p>
      <w:pPr>
        <w:pStyle w:val="Normal"/>
        <w:spacing w:before="0" w:after="0"/>
        <w:contextualSpacing/>
        <w:jc w:val="left"/>
        <w:rPr>
          <w:rFonts w:ascii="Perpetua" w:hAnsi="Perpetua" w:eastAsia="Calibri" w:cs="Perpetua"/>
        </w:rPr>
      </w:pPr>
      <w:r>
        <w:rPr>
          <w:rFonts w:eastAsia="Calibri" w:cs="Perpetua" w:ascii="Perpetua" w:hAnsi="Perpetua"/>
        </w:rPr>
        <w:t>trans-categorical sums are spatial or spatio-temporal relations. Also,</w:t>
      </w:r>
    </w:p>
    <w:p>
      <w:pPr>
        <w:pStyle w:val="Normal"/>
        <w:spacing w:before="0" w:after="0"/>
        <w:contextualSpacing/>
        <w:jc w:val="left"/>
        <w:rPr/>
      </w:pPr>
      <w:r>
        <w:rPr>
          <w:rFonts w:eastAsia="Calibri" w:cs="Perpetua" w:ascii="Perpetua" w:hAnsi="Perpetua"/>
        </w:rPr>
        <w:t xml:space="preserve">each </w:t>
      </w:r>
      <w:r>
        <w:rPr>
          <w:rFonts w:eastAsia="Calibri" w:cs="Perpetua-Italic" w:ascii="Perpetua-Italic" w:hAnsi="Perpetua-Italic"/>
          <w:i/>
          <w:iCs/>
        </w:rPr>
        <w:t xml:space="preserve">connection </w:t>
      </w:r>
      <w:r>
        <w:rPr>
          <w:rFonts w:eastAsia="Calibri" w:cs="Perpetua" w:ascii="Perpetua" w:hAnsi="Perpetua"/>
        </w:rPr>
        <w:t>between two constituted spatial or spatio-temporal</w:t>
      </w:r>
    </w:p>
    <w:p>
      <w:pPr>
        <w:pStyle w:val="Normal"/>
        <w:spacing w:before="0" w:after="0"/>
        <w:contextualSpacing/>
        <w:jc w:val="left"/>
        <w:rPr>
          <w:rFonts w:ascii="Perpetua" w:hAnsi="Perpetua" w:eastAsia="Calibri" w:cs="Perpetua"/>
        </w:rPr>
      </w:pPr>
      <w:r>
        <w:rPr>
          <w:rFonts w:eastAsia="Calibri" w:cs="Perpetua" w:ascii="Perpetua" w:hAnsi="Perpetua"/>
        </w:rPr>
        <w:t>relation is a logical mereological sum made of ingredients that are</w:t>
      </w:r>
    </w:p>
    <w:p>
      <w:pPr>
        <w:pStyle w:val="Normal"/>
        <w:spacing w:before="0" w:after="0"/>
        <w:contextualSpacing/>
        <w:jc w:val="left"/>
        <w:rPr>
          <w:rFonts w:ascii="Perpetua" w:hAnsi="Perpetua" w:eastAsia="Calibri" w:cs="Perpetua"/>
        </w:rPr>
      </w:pPr>
      <w:r>
        <w:rPr>
          <w:rFonts w:eastAsia="Calibri" w:cs="Perpetua" w:ascii="Perpetua" w:hAnsi="Perpetua"/>
        </w:rPr>
        <w:t>parts of the maximal structure. Therefore, trans-categorical composition</w:t>
      </w:r>
    </w:p>
    <w:p>
      <w:pPr>
        <w:pStyle w:val="Normal"/>
        <w:spacing w:before="0" w:after="0"/>
        <w:contextualSpacing/>
        <w:jc w:val="left"/>
        <w:rPr>
          <w:rFonts w:ascii="Perpetua" w:hAnsi="Perpetua" w:eastAsia="Calibri" w:cs="Perpetua"/>
        </w:rPr>
      </w:pPr>
      <w:r>
        <w:rPr>
          <w:rFonts w:eastAsia="Calibri" w:cs="Perpetua" w:ascii="Perpetua" w:hAnsi="Perpetua"/>
        </w:rPr>
        <w:t>plays two functions: first, composing each spatial or spatiotemporal</w:t>
      </w:r>
    </w:p>
    <w:p>
      <w:pPr>
        <w:pStyle w:val="Normal"/>
        <w:spacing w:before="0" w:after="0"/>
        <w:contextualSpacing/>
        <w:jc w:val="left"/>
        <w:rPr>
          <w:rFonts w:ascii="Perpetua" w:hAnsi="Perpetua" w:eastAsia="Calibri" w:cs="Perpetua"/>
        </w:rPr>
      </w:pPr>
      <w:r>
        <w:rPr>
          <w:rFonts w:eastAsia="Calibri" w:cs="Perpetua" w:ascii="Perpetua" w:hAnsi="Perpetua"/>
        </w:rPr>
        <w:t>relations; second, composing the whole spatial system of</w:t>
      </w:r>
    </w:p>
    <w:p>
      <w:pPr>
        <w:pStyle w:val="Normal"/>
        <w:spacing w:before="0" w:after="0"/>
        <w:contextualSpacing/>
        <w:jc w:val="left"/>
        <w:rPr>
          <w:rFonts w:ascii="Perpetua" w:hAnsi="Perpetua" w:eastAsia="Calibri" w:cs="Perpetua"/>
        </w:rPr>
      </w:pPr>
      <w:r>
        <w:rPr>
          <w:rFonts w:eastAsia="Calibri" w:cs="Perpetua" w:ascii="Perpetua" w:hAnsi="Perpetua"/>
        </w:rPr>
        <w:t>locality by also composing the connections between these relations,</w:t>
      </w:r>
    </w:p>
    <w:p>
      <w:pPr>
        <w:pStyle w:val="Normal"/>
        <w:spacing w:before="0" w:after="0"/>
        <w:contextualSpacing/>
        <w:jc w:val="left"/>
        <w:rPr/>
      </w:pPr>
      <w:r>
        <w:rPr>
          <w:rFonts w:eastAsia="Calibri" w:cs="Perpetua" w:ascii="Perpetua" w:hAnsi="Perpetua"/>
        </w:rPr>
        <w:t xml:space="preserve">namely the organization of spatial or spatio-temporal relations. (87) </w:t>
      </w:r>
      <w:r>
        <w:rPr>
          <w:rFonts w:eastAsia="Calibri" w:cs="Perpetua" w:ascii="Perpetua" w:hAnsi="Perpetua"/>
          <w:color w:val="FF0000"/>
        </w:rPr>
        <w:t>[exactly my EDWs!!!!]</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Take the case of LQG and consider a fragment of GR spacetime:</w:t>
      </w:r>
    </w:p>
    <w:p>
      <w:pPr>
        <w:pStyle w:val="Normal"/>
        <w:spacing w:before="0" w:after="0"/>
        <w:contextualSpacing/>
        <w:jc w:val="left"/>
        <w:rPr>
          <w:rFonts w:ascii="Perpetua" w:hAnsi="Perpetua" w:eastAsia="Calibri" w:cs="Perpetua"/>
        </w:rPr>
      </w:pPr>
      <w:r>
        <w:rPr>
          <w:rFonts w:eastAsia="Calibri" w:cs="Perpetua" w:ascii="Perpetua" w:hAnsi="Perpetua"/>
        </w:rPr>
        <w:t>this fragment includes a constituted system of locality with relations</w:t>
      </w:r>
    </w:p>
    <w:p>
      <w:pPr>
        <w:pStyle w:val="Normal"/>
        <w:spacing w:before="0" w:after="0"/>
        <w:contextualSpacing/>
        <w:jc w:val="left"/>
        <w:rPr>
          <w:rFonts w:ascii="Perpetua" w:hAnsi="Perpetua" w:eastAsia="Calibri" w:cs="Perpetua"/>
        </w:rPr>
      </w:pPr>
      <w:r>
        <w:rPr>
          <w:rFonts w:eastAsia="Calibri" w:cs="Perpetua" w:ascii="Perpetua" w:hAnsi="Perpetua"/>
        </w:rPr>
        <w:t>of partial order between events or points. According to the mereological</w:t>
      </w:r>
    </w:p>
    <w:p>
      <w:pPr>
        <w:pStyle w:val="Normal"/>
        <w:spacing w:before="0" w:after="0"/>
        <w:contextualSpacing/>
        <w:jc w:val="left"/>
        <w:rPr>
          <w:rFonts w:ascii="Perpetua" w:hAnsi="Perpetua" w:eastAsia="Calibri" w:cs="Perpetua"/>
        </w:rPr>
      </w:pPr>
      <w:r>
        <w:rPr>
          <w:rFonts w:eastAsia="Calibri" w:cs="Perpetua" w:ascii="Perpetua" w:hAnsi="Perpetua"/>
        </w:rPr>
        <w:t>view, each of these relations of partial order is a mereological</w:t>
      </w:r>
    </w:p>
    <w:p>
      <w:pPr>
        <w:pStyle w:val="Normal"/>
        <w:spacing w:before="0" w:after="0"/>
        <w:contextualSpacing/>
        <w:jc w:val="left"/>
        <w:rPr>
          <w:rFonts w:ascii="Perpetua" w:hAnsi="Perpetua" w:eastAsia="Calibri" w:cs="Perpetua"/>
        </w:rPr>
      </w:pPr>
      <w:r>
        <w:rPr>
          <w:rFonts w:eastAsia="Calibri" w:cs="Perpetua" w:ascii="Perpetua" w:hAnsi="Perpetua"/>
        </w:rPr>
        <w:t>sum of entities localised, and potentially dispersed, in the maximal</w:t>
      </w:r>
    </w:p>
    <w:p>
      <w:pPr>
        <w:pStyle w:val="Normal"/>
        <w:spacing w:before="0" w:after="0"/>
        <w:contextualSpacing/>
        <w:jc w:val="left"/>
        <w:rPr>
          <w:rFonts w:ascii="Perpetua" w:hAnsi="Perpetua" w:eastAsia="Calibri" w:cs="Perpetua"/>
        </w:rPr>
      </w:pPr>
      <w:r>
        <w:rPr>
          <w:rFonts w:eastAsia="Calibri" w:cs="Perpetua" w:ascii="Perpetua" w:hAnsi="Perpetua"/>
        </w:rPr>
        <w:t>structure. But really, in the mereological framework, each of</w:t>
      </w:r>
    </w:p>
    <w:p>
      <w:pPr>
        <w:pStyle w:val="Normal"/>
        <w:spacing w:before="0" w:after="0"/>
        <w:contextualSpacing/>
        <w:jc w:val="left"/>
        <w:rPr>
          <w:rFonts w:ascii="Perpetua" w:hAnsi="Perpetua" w:eastAsia="Calibri" w:cs="Perpetua"/>
        </w:rPr>
      </w:pPr>
      <w:r>
        <w:rPr>
          <w:rFonts w:eastAsia="Calibri" w:cs="Perpetua" w:ascii="Perpetua" w:hAnsi="Perpetua"/>
        </w:rPr>
        <w:t>these relations of partial order is numerically identical to a mereological</w:t>
      </w:r>
    </w:p>
    <w:p>
      <w:pPr>
        <w:pStyle w:val="Normal"/>
        <w:spacing w:before="0" w:after="0"/>
        <w:contextualSpacing/>
        <w:jc w:val="left"/>
        <w:rPr/>
      </w:pPr>
      <w:r>
        <w:rPr>
          <w:rFonts w:eastAsia="Calibri" w:cs="Perpetua" w:ascii="Perpetua" w:hAnsi="Perpetua"/>
        </w:rPr>
        <w:t xml:space="preserve">sum of logical proper parts of the maximal structure. These ingredients can be </w:t>
      </w:r>
      <w:r>
        <w:rPr>
          <w:rFonts w:eastAsia="Calibri" w:cs="Perpetua-Italic" w:ascii="Perpetua-Italic" w:hAnsi="Perpetua-Italic"/>
          <w:i/>
          <w:iCs/>
        </w:rPr>
        <w:t xml:space="preserve">both </w:t>
      </w:r>
      <w:r>
        <w:rPr>
          <w:rFonts w:eastAsia="Calibri" w:cs="Perpetua" w:ascii="Perpetua" w:hAnsi="Perpetua"/>
        </w:rPr>
        <w:t>scattered in the maximal structure by being</w:t>
      </w:r>
    </w:p>
    <w:p>
      <w:pPr>
        <w:pStyle w:val="Normal"/>
        <w:spacing w:before="0" w:after="0"/>
        <w:contextualSpacing/>
        <w:jc w:val="left"/>
        <w:rPr>
          <w:rFonts w:ascii="Perpetua" w:hAnsi="Perpetua" w:eastAsia="Calibri" w:cs="Perpetua"/>
        </w:rPr>
      </w:pPr>
      <w:r>
        <w:rPr>
          <w:rFonts w:eastAsia="Calibri" w:cs="Perpetua" w:ascii="Perpetua" w:hAnsi="Perpetua"/>
        </w:rPr>
        <w:t>non-local with respect to the system of locality associated with the</w:t>
      </w:r>
    </w:p>
    <w:p>
      <w:pPr>
        <w:pStyle w:val="Normal"/>
        <w:spacing w:before="0" w:after="0"/>
        <w:contextualSpacing/>
        <w:jc w:val="left"/>
        <w:rPr/>
      </w:pPr>
      <w:r>
        <w:rPr>
          <w:rFonts w:eastAsia="Calibri" w:cs="Perpetua" w:ascii="Perpetua" w:hAnsi="Perpetua"/>
        </w:rPr>
        <w:t xml:space="preserve">maximal structure </w:t>
      </w:r>
      <w:r>
        <w:rPr>
          <w:rFonts w:eastAsia="Calibri" w:cs="Perpetua-Italic" w:ascii="Perpetua-Italic" w:hAnsi="Perpetua-Italic"/>
          <w:i/>
          <w:iCs/>
        </w:rPr>
        <w:t xml:space="preserve">and </w:t>
      </w:r>
      <w:r>
        <w:rPr>
          <w:rFonts w:eastAsia="Calibri" w:cs="Perpetua" w:ascii="Perpetua" w:hAnsi="Perpetua"/>
        </w:rPr>
        <w:t>local in the constituted spacetime, namely</w:t>
      </w:r>
    </w:p>
    <w:p>
      <w:pPr>
        <w:pStyle w:val="Normal"/>
        <w:spacing w:before="0" w:after="0"/>
        <w:contextualSpacing/>
        <w:jc w:val="left"/>
        <w:rPr>
          <w:rFonts w:ascii="Perpetua" w:hAnsi="Perpetua" w:eastAsia="Calibri" w:cs="Perpetua"/>
        </w:rPr>
      </w:pPr>
      <w:r>
        <w:rPr>
          <w:rFonts w:eastAsia="Calibri" w:cs="Perpetua" w:ascii="Perpetua" w:hAnsi="Perpetua"/>
        </w:rPr>
        <w:t>the partial structure we refer to as ‘spacetime’. Each spatial or spatio-</w:t>
      </w:r>
    </w:p>
    <w:p>
      <w:pPr>
        <w:pStyle w:val="Normal"/>
        <w:spacing w:before="0" w:after="0"/>
        <w:contextualSpacing/>
        <w:jc w:val="left"/>
        <w:rPr>
          <w:rFonts w:ascii="Perpetua" w:hAnsi="Perpetua" w:eastAsia="Calibri" w:cs="Perpetua"/>
        </w:rPr>
      </w:pPr>
      <w:r>
        <w:rPr>
          <w:rFonts w:eastAsia="Calibri" w:cs="Perpetua" w:ascii="Perpetua" w:hAnsi="Perpetua"/>
        </w:rPr>
        <w:t>temporal relation that constitutes space (and looks like a primitive</w:t>
      </w:r>
    </w:p>
    <w:p>
      <w:pPr>
        <w:pStyle w:val="Normal"/>
        <w:spacing w:before="0" w:after="0"/>
        <w:contextualSpacing/>
        <w:jc w:val="left"/>
        <w:rPr/>
      </w:pPr>
      <w:r>
        <w:rPr>
          <w:rFonts w:eastAsia="Calibri" w:cs="Perpetua" w:ascii="Perpetua" w:hAnsi="Perpetua"/>
        </w:rPr>
        <w:t xml:space="preserve">entity) is in fact </w:t>
      </w:r>
      <w:r>
        <w:rPr>
          <w:rFonts w:eastAsia="Calibri" w:cs="Perpetua-Italic" w:ascii="Perpetua-Italic" w:hAnsi="Perpetua-Italic"/>
          <w:i/>
          <w:iCs/>
        </w:rPr>
        <w:t xml:space="preserve">made of </w:t>
      </w:r>
      <w:r>
        <w:rPr>
          <w:rFonts w:eastAsia="Calibri" w:cs="Perpetua" w:ascii="Perpetua" w:hAnsi="Perpetua"/>
        </w:rPr>
        <w:t>trans-categorical parts. The mapping</w:t>
      </w:r>
    </w:p>
    <w:p>
      <w:pPr>
        <w:pStyle w:val="Normal"/>
        <w:spacing w:before="0" w:after="0"/>
        <w:contextualSpacing/>
        <w:jc w:val="left"/>
        <w:rPr>
          <w:rFonts w:ascii="Perpetua" w:hAnsi="Perpetua" w:eastAsia="Calibri" w:cs="Perpetua"/>
        </w:rPr>
      </w:pPr>
      <w:r>
        <w:rPr>
          <w:rFonts w:eastAsia="Calibri" w:cs="Perpetua" w:ascii="Perpetua" w:hAnsi="Perpetua"/>
        </w:rPr>
        <w:t>between the non-spatio-temporal building blocks and the spatial or</w:t>
      </w:r>
    </w:p>
    <w:p>
      <w:pPr>
        <w:pStyle w:val="Normal"/>
        <w:spacing w:before="0" w:after="0"/>
        <w:contextualSpacing/>
        <w:jc w:val="left"/>
        <w:rPr>
          <w:rFonts w:ascii="Perpetua" w:hAnsi="Perpetua" w:eastAsia="Calibri" w:cs="Perpetua"/>
        </w:rPr>
      </w:pPr>
      <w:r>
        <w:rPr>
          <w:rFonts w:eastAsia="Calibri" w:cs="Perpetua" w:ascii="Perpetua" w:hAnsi="Perpetua"/>
        </w:rPr>
        <w:t>spatio-temporal entities may well be very complex and strike us as</w:t>
      </w:r>
    </w:p>
    <w:p>
      <w:pPr>
        <w:pStyle w:val="Normal"/>
        <w:spacing w:before="0" w:after="0"/>
        <w:contextualSpacing/>
        <w:jc w:val="left"/>
        <w:rPr>
          <w:rFonts w:ascii="Perpetua" w:hAnsi="Perpetua" w:eastAsia="Calibri" w:cs="Perpetua"/>
        </w:rPr>
      </w:pPr>
      <w:r>
        <w:rPr>
          <w:rFonts w:eastAsia="Calibri" w:cs="Perpetua" w:ascii="Perpetua" w:hAnsi="Perpetua"/>
        </w:rPr>
        <w:t>weird, but there is no insurmountable difficulty here. Each relation</w:t>
      </w:r>
    </w:p>
    <w:p>
      <w:pPr>
        <w:pStyle w:val="Normal"/>
        <w:spacing w:before="0" w:after="0"/>
        <w:contextualSpacing/>
        <w:jc w:val="left"/>
        <w:rPr>
          <w:rFonts w:ascii="Perpetua" w:hAnsi="Perpetua" w:eastAsia="Calibri" w:cs="Perpetua"/>
        </w:rPr>
      </w:pPr>
      <w:r>
        <w:rPr>
          <w:rFonts w:eastAsia="Calibri" w:cs="Perpetua" w:ascii="Perpetua" w:hAnsi="Perpetua"/>
        </w:rPr>
        <w:t>that constitutes space is itself made of trans-categorical parts, and</w:t>
      </w:r>
    </w:p>
    <w:p>
      <w:pPr>
        <w:pStyle w:val="Normal"/>
        <w:spacing w:before="0" w:after="0"/>
        <w:contextualSpacing/>
        <w:jc w:val="left"/>
        <w:rPr>
          <w:rFonts w:ascii="Perpetua" w:hAnsi="Perpetua" w:eastAsia="Calibri" w:cs="Perpetua"/>
        </w:rPr>
      </w:pPr>
      <w:r>
        <w:rPr>
          <w:rFonts w:eastAsia="Calibri" w:cs="Perpetua" w:ascii="Perpetua" w:hAnsi="Perpetua"/>
        </w:rPr>
        <w:t>the whole space structure results from a relation of composition applied</w:t>
      </w:r>
    </w:p>
    <w:p>
      <w:pPr>
        <w:pStyle w:val="Normal"/>
        <w:spacing w:before="0" w:after="0"/>
        <w:contextualSpacing/>
        <w:jc w:val="left"/>
        <w:rPr/>
      </w:pPr>
      <w:r>
        <w:rPr>
          <w:rFonts w:eastAsia="Calibri" w:cs="Perpetua" w:ascii="Perpetua" w:hAnsi="Perpetua"/>
        </w:rPr>
        <w:t xml:space="preserve">to each spatial relation. (87-88)  </w:t>
      </w:r>
      <w:r>
        <w:rPr>
          <w:rFonts w:eastAsia="Calibri" w:cs="Perpetua" w:ascii="Perpetua" w:hAnsi="Perpetua"/>
          <w:color w:val="FF0000"/>
        </w:rPr>
        <w:t>[exactly my EDWs!!!!]</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But note that there is no reason why</w:t>
      </w:r>
    </w:p>
    <w:p>
      <w:pPr>
        <w:pStyle w:val="Normal"/>
        <w:spacing w:before="0" w:after="0"/>
        <w:contextualSpacing/>
        <w:jc w:val="left"/>
        <w:rPr>
          <w:rFonts w:ascii="Perpetua" w:hAnsi="Perpetua" w:eastAsia="Calibri" w:cs="Perpetua"/>
        </w:rPr>
      </w:pPr>
      <w:r>
        <w:rPr>
          <w:rFonts w:eastAsia="Calibri" w:cs="Perpetua" w:ascii="Perpetua" w:hAnsi="Perpetua"/>
        </w:rPr>
        <w:t>a composed entity must belong to the category of material objects.</w:t>
      </w:r>
    </w:p>
    <w:p>
      <w:pPr>
        <w:pStyle w:val="Normal"/>
        <w:spacing w:before="0" w:after="0"/>
        <w:contextualSpacing/>
        <w:jc w:val="left"/>
        <w:rPr>
          <w:rFonts w:ascii="Perpetua" w:hAnsi="Perpetua" w:eastAsia="Calibri" w:cs="Perpetua"/>
        </w:rPr>
      </w:pPr>
      <w:r>
        <w:rPr>
          <w:rFonts w:eastAsia="Calibri" w:cs="Perpetua" w:ascii="Perpetua" w:hAnsi="Perpetua"/>
        </w:rPr>
        <w:t>Although material objects might well be bundles of mereological entities,</w:t>
      </w:r>
    </w:p>
    <w:p>
      <w:pPr>
        <w:pStyle w:val="Normal"/>
        <w:spacing w:before="0" w:after="0"/>
        <w:contextualSpacing/>
        <w:jc w:val="left"/>
        <w:rPr>
          <w:rFonts w:ascii="Perpetua" w:hAnsi="Perpetua" w:eastAsia="Calibri" w:cs="Perpetua"/>
        </w:rPr>
      </w:pPr>
      <w:r>
        <w:rPr>
          <w:rFonts w:eastAsia="Calibri" w:cs="Perpetua" w:ascii="Perpetua" w:hAnsi="Perpetua"/>
        </w:rPr>
        <w:t>in the context of the recovering of GR I propose to identify</w:t>
      </w:r>
    </w:p>
    <w:p>
      <w:pPr>
        <w:pStyle w:val="Normal"/>
        <w:spacing w:before="0" w:after="0"/>
        <w:contextualSpacing/>
        <w:jc w:val="left"/>
        <w:rPr/>
      </w:pPr>
      <w:r>
        <w:rPr>
          <w:rFonts w:eastAsia="Calibri" w:cs="Perpetua" w:ascii="Perpetua" w:hAnsi="Perpetua"/>
        </w:rPr>
        <w:t xml:space="preserve">the composite entities with spatio-temporal </w:t>
      </w:r>
      <w:r>
        <w:rPr>
          <w:rFonts w:eastAsia="Calibri" w:cs="Perpetua-Italic" w:ascii="Perpetua-Italic" w:hAnsi="Perpetua-Italic"/>
          <w:i/>
          <w:iCs/>
        </w:rPr>
        <w:t>relations</w:t>
      </w:r>
      <w:r>
        <w:rPr>
          <w:rFonts w:eastAsia="Calibri" w:cs="Perpetua" w:ascii="Perpetua" w:hAnsi="Perpetua"/>
        </w:rPr>
        <w:t>. Note that there</w:t>
      </w:r>
    </w:p>
    <w:p>
      <w:pPr>
        <w:pStyle w:val="Normal"/>
        <w:spacing w:before="0" w:after="0"/>
        <w:contextualSpacing/>
        <w:jc w:val="left"/>
        <w:rPr>
          <w:rFonts w:ascii="Perpetua" w:hAnsi="Perpetua" w:eastAsia="Calibri" w:cs="Perpetua"/>
        </w:rPr>
      </w:pPr>
      <w:r>
        <w:rPr>
          <w:rFonts w:eastAsia="Calibri" w:cs="Perpetua" w:ascii="Perpetua" w:hAnsi="Perpetua"/>
        </w:rPr>
        <w:t>is some flexibility in the account regarding how we should think</w:t>
      </w:r>
    </w:p>
    <w:p>
      <w:pPr>
        <w:pStyle w:val="Normal"/>
        <w:spacing w:before="0" w:after="0"/>
        <w:contextualSpacing/>
        <w:jc w:val="left"/>
        <w:rPr>
          <w:rFonts w:ascii="Perpetua" w:hAnsi="Perpetua" w:eastAsia="Calibri" w:cs="Perpetua"/>
        </w:rPr>
      </w:pPr>
      <w:r>
        <w:rPr>
          <w:rFonts w:eastAsia="Calibri" w:cs="Perpetua" w:ascii="Perpetua" w:hAnsi="Perpetua"/>
        </w:rPr>
        <w:t>about the category of spatial entities. The category of spatial entities</w:t>
      </w:r>
    </w:p>
    <w:p>
      <w:pPr>
        <w:pStyle w:val="Normal"/>
        <w:spacing w:before="0" w:after="0"/>
        <w:contextualSpacing/>
        <w:jc w:val="left"/>
        <w:rPr>
          <w:rFonts w:ascii="Perpetua" w:hAnsi="Perpetua" w:eastAsia="Calibri" w:cs="Perpetua"/>
        </w:rPr>
      </w:pPr>
      <w:r>
        <w:rPr>
          <w:rFonts w:eastAsia="Calibri" w:cs="Perpetua" w:ascii="Perpetua" w:hAnsi="Perpetua"/>
        </w:rPr>
        <w:t>may have different categorical structures depending on whether</w:t>
      </w:r>
    </w:p>
    <w:p>
      <w:pPr>
        <w:pStyle w:val="Normal"/>
        <w:spacing w:before="0" w:after="0"/>
        <w:contextualSpacing/>
        <w:jc w:val="left"/>
        <w:rPr>
          <w:rFonts w:ascii="Perpetua" w:hAnsi="Perpetua" w:eastAsia="Calibri" w:cs="Perpetua"/>
        </w:rPr>
      </w:pPr>
      <w:r>
        <w:rPr>
          <w:rFonts w:eastAsia="Calibri" w:cs="Perpetua" w:ascii="Perpetua" w:hAnsi="Perpetua"/>
        </w:rPr>
        <w:t>space is analysed as a collection of relations only, or as a substance,</w:t>
      </w:r>
    </w:p>
    <w:p>
      <w:pPr>
        <w:pStyle w:val="Normal"/>
        <w:spacing w:before="0" w:after="0"/>
        <w:contextualSpacing/>
        <w:jc w:val="left"/>
        <w:rPr>
          <w:rFonts w:ascii="Perpetua" w:hAnsi="Perpetua" w:eastAsia="Calibri" w:cs="Perpetua"/>
        </w:rPr>
      </w:pPr>
      <w:r>
        <w:rPr>
          <w:rFonts w:eastAsia="Calibri" w:cs="Perpetua" w:ascii="Perpetua" w:hAnsi="Perpetua"/>
        </w:rPr>
        <w:t>for instance. (88)</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but also points, relations which instantiates</w:t>
      </w:r>
    </w:p>
    <w:p>
      <w:pPr>
        <w:pStyle w:val="Normal"/>
        <w:spacing w:before="0" w:after="0"/>
        <w:contextualSpacing/>
        <w:jc w:val="left"/>
        <w:rPr>
          <w:rFonts w:ascii="Perpetua" w:hAnsi="Perpetua" w:eastAsia="Calibri" w:cs="Perpetua"/>
        </w:rPr>
      </w:pPr>
      <w:r>
        <w:rPr>
          <w:rFonts w:eastAsia="Calibri" w:cs="Perpetua" w:ascii="Perpetua" w:hAnsi="Perpetua"/>
        </w:rPr>
        <w:t>properties, substances or other categories. Although it is</w:t>
      </w:r>
    </w:p>
    <w:p>
      <w:pPr>
        <w:pStyle w:val="Normal"/>
        <w:spacing w:before="0" w:after="0"/>
        <w:contextualSpacing/>
        <w:jc w:val="left"/>
        <w:rPr>
          <w:rFonts w:ascii="Perpetua" w:hAnsi="Perpetua" w:eastAsia="Calibri" w:cs="Perpetua"/>
        </w:rPr>
      </w:pPr>
      <w:r>
        <w:rPr>
          <w:rFonts w:eastAsia="Calibri" w:cs="Perpetua" w:ascii="Perpetua" w:hAnsi="Perpetua"/>
        </w:rPr>
        <w:t>doubtful that physics will single out a unique set of categories as being</w:t>
      </w:r>
    </w:p>
    <w:p>
      <w:pPr>
        <w:pStyle w:val="Normal"/>
        <w:spacing w:before="0" w:after="0"/>
        <w:contextualSpacing/>
        <w:jc w:val="left"/>
        <w:rPr>
          <w:rFonts w:ascii="Perpetua" w:hAnsi="Perpetua" w:eastAsia="Calibri" w:cs="Perpetua"/>
        </w:rPr>
      </w:pPr>
      <w:r>
        <w:rPr>
          <w:rFonts w:eastAsia="Calibri" w:cs="Perpetua" w:ascii="Perpetua" w:hAnsi="Perpetua"/>
        </w:rPr>
        <w:t>mereologically fundamental, at least, these categories will have</w:t>
      </w:r>
    </w:p>
    <w:p>
      <w:pPr>
        <w:pStyle w:val="Normal"/>
        <w:spacing w:before="0" w:after="0"/>
        <w:contextualSpacing/>
        <w:jc w:val="left"/>
        <w:rPr>
          <w:rFonts w:ascii="Perpetua" w:hAnsi="Perpetua" w:eastAsia="Calibri" w:cs="Perpetua"/>
        </w:rPr>
      </w:pPr>
      <w:r>
        <w:rPr>
          <w:rFonts w:eastAsia="Calibri" w:cs="Perpetua" w:ascii="Perpetua" w:hAnsi="Perpetua"/>
        </w:rPr>
        <w:t>to be deployed in order to be as close as possible to the physical theory</w:t>
      </w:r>
    </w:p>
    <w:p>
      <w:pPr>
        <w:pStyle w:val="Normal"/>
        <w:spacing w:before="0" w:after="0"/>
        <w:contextualSpacing/>
        <w:jc w:val="left"/>
        <w:rPr>
          <w:rFonts w:ascii="Perpetua" w:hAnsi="Perpetua" w:eastAsia="Calibri" w:cs="Perpetua"/>
        </w:rPr>
      </w:pPr>
      <w:r>
        <w:rPr>
          <w:rFonts w:eastAsia="Calibri" w:cs="Perpetua" w:ascii="Perpetua" w:hAnsi="Perpetua"/>
        </w:rPr>
        <w:t>under consideration. (89)</w:t>
      </w:r>
    </w:p>
    <w:p>
      <w:pPr>
        <w:pStyle w:val="Normal"/>
        <w:spacing w:before="0" w:after="0"/>
        <w:contextualSpacing/>
        <w:jc w:val="left"/>
        <w:rPr>
          <w:b/>
          <w:b/>
          <w:sz w:val="32"/>
          <w:szCs w:val="32"/>
        </w:rPr>
      </w:pPr>
      <w:r>
        <w:rPr>
          <w:b/>
          <w:sz w:val="32"/>
          <w:szCs w:val="32"/>
        </w:rPr>
      </w:r>
    </w:p>
    <w:p>
      <w:pPr>
        <w:pStyle w:val="Normal"/>
        <w:spacing w:before="0" w:after="0"/>
        <w:contextualSpacing/>
        <w:jc w:val="left"/>
        <w:rPr/>
      </w:pPr>
      <w:r>
        <w:rPr>
          <w:rFonts w:eastAsia="Calibri" w:cs="Perpetua" w:ascii="Perpetua" w:hAnsi="Perpetua"/>
        </w:rPr>
        <w:t xml:space="preserve">(c) I also reject the claim that </w:t>
      </w:r>
      <w:r>
        <w:rPr>
          <w:rFonts w:eastAsia="Calibri" w:cs="Perpetua-Italic" w:ascii="Perpetua-Italic" w:hAnsi="Perpetua-Italic"/>
          <w:i/>
          <w:iCs/>
        </w:rPr>
        <w:t xml:space="preserve">natural instantiation </w:t>
      </w:r>
      <w:r>
        <w:rPr>
          <w:rFonts w:eastAsia="Calibri" w:cs="Perpetua" w:ascii="Perpetua" w:hAnsi="Perpetua"/>
        </w:rPr>
        <w:t>is parthood,</w:t>
      </w:r>
    </w:p>
    <w:p>
      <w:pPr>
        <w:pStyle w:val="Normal"/>
        <w:spacing w:before="0" w:after="0"/>
        <w:contextualSpacing/>
        <w:jc w:val="left"/>
        <w:rPr>
          <w:rFonts w:ascii="Perpetua" w:hAnsi="Perpetua" w:eastAsia="Calibri" w:cs="Perpetua"/>
        </w:rPr>
      </w:pPr>
      <w:r>
        <w:rPr>
          <w:rFonts w:eastAsia="Calibri" w:cs="Perpetua" w:ascii="Perpetua" w:hAnsi="Perpetua"/>
        </w:rPr>
        <w:t>namely that a natural object instantiates a natural property iff this</w:t>
      </w:r>
    </w:p>
    <w:p>
      <w:pPr>
        <w:pStyle w:val="Normal"/>
        <w:spacing w:before="0" w:after="0"/>
        <w:contextualSpacing/>
        <w:jc w:val="left"/>
        <w:rPr>
          <w:rFonts w:ascii="Perpetua" w:hAnsi="Perpetua" w:eastAsia="Calibri" w:cs="Perpetua"/>
        </w:rPr>
      </w:pPr>
      <w:r>
        <w:rPr>
          <w:rFonts w:eastAsia="Calibri" w:cs="Perpetua" w:ascii="Perpetua" w:hAnsi="Perpetua"/>
        </w:rPr>
        <w:t>property is one of its proper parts. For instance, one possible theory</w:t>
      </w:r>
    </w:p>
    <w:p>
      <w:pPr>
        <w:pStyle w:val="Normal"/>
        <w:spacing w:before="0" w:after="0"/>
        <w:contextualSpacing/>
        <w:jc w:val="left"/>
        <w:rPr>
          <w:rFonts w:ascii="Perpetua" w:hAnsi="Perpetua" w:eastAsia="Calibri" w:cs="Perpetua"/>
        </w:rPr>
      </w:pPr>
      <w:r>
        <w:rPr>
          <w:rFonts w:eastAsia="Calibri" w:cs="Perpetua" w:ascii="Perpetua" w:hAnsi="Perpetua"/>
        </w:rPr>
        <w:t>of instantiation that fits nicely with the account is that properties and</w:t>
      </w:r>
    </w:p>
    <w:p>
      <w:pPr>
        <w:pStyle w:val="Normal"/>
        <w:spacing w:before="0" w:after="0"/>
        <w:contextualSpacing/>
        <w:jc w:val="left"/>
        <w:rPr>
          <w:rFonts w:ascii="Perpetua" w:hAnsi="Perpetua" w:eastAsia="Calibri" w:cs="Perpetua"/>
        </w:rPr>
      </w:pPr>
      <w:r>
        <w:rPr>
          <w:rFonts w:eastAsia="Calibri" w:cs="Perpetua" w:ascii="Perpetua" w:hAnsi="Perpetua"/>
        </w:rPr>
        <w:t>relations are instantiated by the sole fact of being connected to other</w:t>
      </w:r>
    </w:p>
    <w:p>
      <w:pPr>
        <w:pStyle w:val="Normal"/>
        <w:spacing w:before="0" w:after="0"/>
        <w:contextualSpacing/>
        <w:jc w:val="left"/>
        <w:rPr/>
      </w:pPr>
      <w:r>
        <w:rPr>
          <w:rFonts w:eastAsia="Calibri" w:cs="Perpetua" w:ascii="Perpetua" w:hAnsi="Perpetua"/>
        </w:rPr>
        <w:t>actual entities (cf. Le Bihan 2016).</w:t>
      </w:r>
      <w:r>
        <w:rPr>
          <w:rFonts w:eastAsia="Calibri" w:cs="Perpetua" w:ascii="Perpetua" w:hAnsi="Perpetua"/>
          <w:color w:val="FF0000"/>
        </w:rPr>
        <w:t xml:space="preserve"> [exactly my EDWs!!!!]</w:t>
      </w:r>
    </w:p>
    <w:p>
      <w:pPr>
        <w:pStyle w:val="Normal"/>
        <w:spacing w:before="0" w:after="0"/>
        <w:contextualSpacing/>
        <w:jc w:val="left"/>
        <w:rPr/>
      </w:pPr>
      <w:r>
        <w:rPr>
          <w:rFonts w:eastAsia="Calibri" w:cs="Perpetua" w:ascii="Perpetua" w:hAnsi="Perpetua"/>
        </w:rPr>
        <w:t xml:space="preserve">(d) Finally, and most importantly, </w:t>
      </w:r>
      <w:r>
        <w:rPr>
          <w:rFonts w:eastAsia="Calibri" w:cs="Perpetua-Italic" w:ascii="Perpetua-Italic" w:hAnsi="Perpetua-Italic"/>
          <w:i/>
          <w:iCs/>
        </w:rPr>
        <w:t>L.A. Paul endorses the ontological</w:t>
      </w:r>
    </w:p>
    <w:p>
      <w:pPr>
        <w:pStyle w:val="Normal"/>
        <w:spacing w:before="0" w:after="0"/>
        <w:contextualSpacing/>
        <w:jc w:val="left"/>
        <w:rPr/>
      </w:pPr>
      <w:r>
        <w:rPr>
          <w:rFonts w:eastAsia="Calibri" w:cs="Perpetua-Italic" w:ascii="Perpetua-Italic" w:hAnsi="Perpetua-Italic"/>
          <w:i/>
          <w:iCs/>
        </w:rPr>
        <w:t>priority of the parts over the whole</w:t>
      </w:r>
      <w:r>
        <w:rPr>
          <w:rFonts w:eastAsia="Calibri" w:cs="Perpetua" w:ascii="Perpetua" w:hAnsi="Perpetua"/>
        </w:rPr>
        <w:t>.</w:t>
      </w:r>
      <w:r>
        <w:rPr>
          <w:rFonts w:eastAsia="Calibri" w:cs="Perpetua" w:ascii="Perpetua" w:hAnsi="Perpetua"/>
          <w:sz w:val="14"/>
          <w:szCs w:val="14"/>
        </w:rPr>
        <w:t xml:space="preserve">25 </w:t>
      </w:r>
      <w:r>
        <w:rPr>
          <w:rFonts w:eastAsia="Calibri" w:cs="Perpetua" w:ascii="Perpetua" w:hAnsi="Perpetua"/>
        </w:rPr>
        <w:t>Therefore, L.A. Paul’s approach</w:t>
      </w:r>
    </w:p>
    <w:p>
      <w:pPr>
        <w:pStyle w:val="Normal"/>
        <w:spacing w:before="0" w:after="0"/>
        <w:contextualSpacing/>
        <w:jc w:val="left"/>
        <w:rPr>
          <w:rFonts w:ascii="Perpetua" w:hAnsi="Perpetua" w:eastAsia="Calibri" w:cs="Perpetua"/>
        </w:rPr>
      </w:pPr>
      <w:r>
        <w:rPr>
          <w:rFonts w:eastAsia="Calibri" w:cs="Perpetua" w:ascii="Perpetua" w:hAnsi="Perpetua"/>
        </w:rPr>
        <w:t>commits her to a stratified picture, giving ontological priority to</w:t>
      </w:r>
    </w:p>
    <w:p>
      <w:pPr>
        <w:pStyle w:val="Normal"/>
        <w:spacing w:before="0" w:after="0"/>
        <w:contextualSpacing/>
        <w:jc w:val="left"/>
        <w:rPr>
          <w:rFonts w:ascii="Perpetua" w:hAnsi="Perpetua" w:eastAsia="Calibri" w:cs="Perpetua"/>
        </w:rPr>
      </w:pPr>
      <w:r>
        <w:rPr>
          <w:rFonts w:eastAsia="Calibri" w:cs="Perpetua" w:ascii="Perpetua" w:hAnsi="Perpetua"/>
        </w:rPr>
        <w:t>the mereologically fundamental level. But this claim is independent</w:t>
      </w:r>
    </w:p>
    <w:p>
      <w:pPr>
        <w:pStyle w:val="Normal"/>
        <w:spacing w:before="0" w:after="0"/>
        <w:contextualSpacing/>
        <w:jc w:val="left"/>
        <w:rPr>
          <w:rFonts w:ascii="Perpetua" w:hAnsi="Perpetua" w:eastAsia="Calibri" w:cs="Perpetua"/>
        </w:rPr>
      </w:pPr>
      <w:r>
        <w:rPr>
          <w:rFonts w:eastAsia="Calibri" w:cs="Perpetua" w:ascii="Perpetua" w:hAnsi="Perpetua"/>
        </w:rPr>
        <w:t>of the mereological bundle theory of constituted entities (or material</w:t>
      </w:r>
    </w:p>
    <w:p>
      <w:pPr>
        <w:pStyle w:val="Normal"/>
        <w:spacing w:before="0" w:after="0"/>
        <w:contextualSpacing/>
        <w:jc w:val="left"/>
        <w:rPr>
          <w:rFonts w:ascii="Perpetua" w:hAnsi="Perpetua" w:eastAsia="Calibri" w:cs="Perpetua"/>
        </w:rPr>
      </w:pPr>
      <w:r>
        <w:rPr>
          <w:rFonts w:eastAsia="Calibri" w:cs="Perpetua" w:ascii="Perpetua" w:hAnsi="Perpetua"/>
        </w:rPr>
        <w:t>objects). One may accept the claim that constituted entities are</w:t>
      </w:r>
    </w:p>
    <w:p>
      <w:pPr>
        <w:pStyle w:val="Normal"/>
        <w:spacing w:before="0" w:after="0"/>
        <w:contextualSpacing/>
        <w:jc w:val="left"/>
        <w:rPr>
          <w:rFonts w:ascii="Perpetua" w:hAnsi="Perpetua" w:eastAsia="Calibri" w:cs="Perpetua"/>
        </w:rPr>
      </w:pPr>
      <w:r>
        <w:rPr>
          <w:rFonts w:eastAsia="Calibri" w:cs="Perpetua" w:ascii="Perpetua" w:hAnsi="Perpetua"/>
        </w:rPr>
        <w:t>mereological bundles of entities composing the maximal structure,</w:t>
      </w:r>
    </w:p>
    <w:p>
      <w:pPr>
        <w:pStyle w:val="Normal"/>
        <w:spacing w:before="0" w:after="0"/>
        <w:contextualSpacing/>
        <w:jc w:val="left"/>
        <w:rPr>
          <w:rFonts w:ascii="Perpetua" w:hAnsi="Perpetua" w:eastAsia="Calibri" w:cs="Perpetua"/>
        </w:rPr>
      </w:pPr>
      <w:r>
        <w:rPr>
          <w:rFonts w:eastAsia="Calibri" w:cs="Perpetua" w:ascii="Perpetua" w:hAnsi="Perpetua"/>
        </w:rPr>
        <w:t>and refuse the further claim that these parts are metaphysically prior</w:t>
      </w:r>
    </w:p>
    <w:p>
      <w:pPr>
        <w:pStyle w:val="Normal"/>
        <w:spacing w:before="0" w:after="0"/>
        <w:contextualSpacing/>
        <w:jc w:val="left"/>
        <w:rPr>
          <w:rFonts w:ascii="Perpetua" w:hAnsi="Perpetua" w:eastAsia="Calibri" w:cs="Perpetua"/>
        </w:rPr>
      </w:pPr>
      <w:r>
        <w:rPr>
          <w:rFonts w:eastAsia="Calibri" w:cs="Perpetua" w:ascii="Perpetua" w:hAnsi="Perpetua"/>
        </w:rPr>
        <w:t>to the wholes they logically compose. The view is compatible with</w:t>
      </w:r>
    </w:p>
    <w:p>
      <w:pPr>
        <w:pStyle w:val="Normal"/>
        <w:spacing w:before="0" w:after="0"/>
        <w:contextualSpacing/>
        <w:jc w:val="left"/>
        <w:rPr>
          <w:rFonts w:ascii="Perpetua" w:hAnsi="Perpetua" w:eastAsia="Calibri" w:cs="Perpetua"/>
        </w:rPr>
      </w:pPr>
      <w:r>
        <w:rPr>
          <w:rFonts w:eastAsia="Calibri" w:cs="Perpetua" w:ascii="Perpetua" w:hAnsi="Perpetua"/>
        </w:rPr>
        <w:t>the claim that wholes are more fundamental than parts and, interestingly</w:t>
      </w:r>
    </w:p>
    <w:p>
      <w:pPr>
        <w:pStyle w:val="Normal"/>
        <w:spacing w:before="0" w:after="0"/>
        <w:contextualSpacing/>
        <w:jc w:val="left"/>
        <w:rPr>
          <w:rFonts w:ascii="Perpetua" w:hAnsi="Perpetua" w:eastAsia="Calibri" w:cs="Perpetua"/>
        </w:rPr>
      </w:pPr>
      <w:r>
        <w:rPr>
          <w:rFonts w:eastAsia="Calibri" w:cs="Perpetua" w:ascii="Perpetua" w:hAnsi="Perpetua"/>
        </w:rPr>
        <w:t>for our purpose, that neither parts nor wholes are more fundamental</w:t>
      </w:r>
    </w:p>
    <w:p>
      <w:pPr>
        <w:pStyle w:val="Normal"/>
        <w:spacing w:before="0" w:after="0"/>
        <w:contextualSpacing/>
        <w:jc w:val="left"/>
        <w:rPr>
          <w:rFonts w:ascii="Perpetua" w:hAnsi="Perpetua" w:eastAsia="Calibri" w:cs="Perpetua"/>
        </w:rPr>
      </w:pPr>
      <w:r>
        <w:rPr>
          <w:rFonts w:eastAsia="Calibri" w:cs="Perpetua" w:ascii="Perpetua" w:hAnsi="Perpetua"/>
        </w:rPr>
        <w:t>than the other (in the sense of ontological priority). The</w:t>
      </w:r>
    </w:p>
    <w:p>
      <w:pPr>
        <w:pStyle w:val="Normal"/>
        <w:spacing w:before="0" w:after="0"/>
        <w:contextualSpacing/>
        <w:jc w:val="left"/>
        <w:rPr>
          <w:rFonts w:ascii="Perpetua" w:hAnsi="Perpetua" w:eastAsia="Calibri" w:cs="Perpetua"/>
        </w:rPr>
      </w:pPr>
      <w:r>
        <w:rPr>
          <w:rFonts w:eastAsia="Calibri" w:cs="Perpetua" w:ascii="Perpetua" w:hAnsi="Perpetua"/>
        </w:rPr>
        <w:t>mereological bundle theory, thereby, does not entail the existence</w:t>
      </w:r>
    </w:p>
    <w:p>
      <w:pPr>
        <w:pStyle w:val="Normal"/>
        <w:spacing w:before="0" w:after="0"/>
        <w:contextualSpacing/>
        <w:jc w:val="left"/>
        <w:rPr>
          <w:rFonts w:ascii="Perpetua" w:hAnsi="Perpetua" w:eastAsia="Calibri" w:cs="Perpetua"/>
        </w:rPr>
      </w:pPr>
      <w:r>
        <w:rPr>
          <w:rFonts w:eastAsia="Calibri" w:cs="Perpetua" w:ascii="Perpetua" w:hAnsi="Perpetua"/>
        </w:rPr>
        <w:t>of levels of reality since parts are not more fundamental than the</w:t>
      </w:r>
    </w:p>
    <w:p>
      <w:pPr>
        <w:pStyle w:val="Normal"/>
        <w:spacing w:before="0" w:after="0"/>
        <w:contextualSpacing/>
        <w:jc w:val="left"/>
        <w:rPr>
          <w:rFonts w:ascii="Perpetua" w:hAnsi="Perpetua" w:eastAsia="Calibri" w:cs="Perpetua"/>
        </w:rPr>
      </w:pPr>
      <w:r>
        <w:rPr>
          <w:rFonts w:eastAsia="Calibri" w:cs="Perpetua" w:ascii="Perpetua" w:hAnsi="Perpetua"/>
        </w:rPr>
        <w:t>wholes they compose. As such, there is no reason to believe that</w:t>
      </w:r>
    </w:p>
    <w:p>
      <w:pPr>
        <w:pStyle w:val="Normal"/>
        <w:spacing w:before="0" w:after="0"/>
        <w:contextualSpacing/>
        <w:jc w:val="left"/>
        <w:rPr>
          <w:rFonts w:ascii="Perpetua" w:hAnsi="Perpetua" w:eastAsia="Calibri" w:cs="Perpetua"/>
        </w:rPr>
      </w:pPr>
      <w:r>
        <w:rPr>
          <w:rFonts w:eastAsia="Calibri" w:cs="Perpetua" w:ascii="Perpetua" w:hAnsi="Perpetua"/>
        </w:rPr>
        <w:t>non-spatial parts belong to a more fundamental level, or that spatial</w:t>
      </w:r>
    </w:p>
    <w:p>
      <w:pPr>
        <w:pStyle w:val="Normal"/>
        <w:spacing w:before="0" w:after="0"/>
        <w:contextualSpacing/>
        <w:jc w:val="left"/>
        <w:rPr>
          <w:rFonts w:ascii="Perpetua" w:hAnsi="Perpetua" w:eastAsia="Calibri" w:cs="Perpetua"/>
        </w:rPr>
      </w:pPr>
      <w:r>
        <w:rPr>
          <w:rFonts w:eastAsia="Calibri" w:cs="Perpetua" w:ascii="Perpetua" w:hAnsi="Perpetua"/>
        </w:rPr>
        <w:t>wholes (spatial relations) belong to a more derivative level. Therefore,</w:t>
      </w:r>
    </w:p>
    <w:p>
      <w:pPr>
        <w:pStyle w:val="Normal"/>
        <w:spacing w:before="0" w:after="0"/>
        <w:contextualSpacing/>
        <w:jc w:val="left"/>
        <w:rPr>
          <w:rFonts w:ascii="Perpetua" w:hAnsi="Perpetua" w:eastAsia="Calibri" w:cs="Perpetua"/>
        </w:rPr>
      </w:pPr>
      <w:r>
        <w:rPr>
          <w:rFonts w:eastAsia="Calibri" w:cs="Perpetua" w:ascii="Perpetua" w:hAnsi="Perpetua"/>
        </w:rPr>
        <w:t>the mereological view avoids positing levels and allows us to</w:t>
      </w:r>
    </w:p>
    <w:p>
      <w:pPr>
        <w:pStyle w:val="Normal"/>
        <w:spacing w:before="0" w:after="0"/>
        <w:contextualSpacing/>
        <w:jc w:val="left"/>
        <w:rPr>
          <w:rFonts w:ascii="Perpetua" w:hAnsi="Perpetua" w:eastAsia="Calibri" w:cs="Perpetua"/>
        </w:rPr>
      </w:pPr>
      <w:r>
        <w:rPr>
          <w:rFonts w:eastAsia="Calibri" w:cs="Perpetua" w:ascii="Perpetua" w:hAnsi="Perpetua"/>
        </w:rPr>
        <w:t>stick to the more traditional view that the world is made of parts,</w:t>
      </w:r>
    </w:p>
    <w:p>
      <w:pPr>
        <w:pStyle w:val="Normal"/>
        <w:spacing w:before="0" w:after="0"/>
        <w:contextualSpacing/>
        <w:jc w:val="left"/>
        <w:rPr>
          <w:rFonts w:ascii="Perpetua" w:hAnsi="Perpetua" w:eastAsia="Calibri" w:cs="Perpetua"/>
        </w:rPr>
      </w:pPr>
      <w:r>
        <w:rPr>
          <w:rFonts w:eastAsia="Calibri" w:cs="Perpetua" w:ascii="Perpetua" w:hAnsi="Perpetua"/>
        </w:rPr>
        <w:t>the spatial and the non-spatial theories corresponding to particular</w:t>
      </w:r>
    </w:p>
    <w:p>
      <w:pPr>
        <w:pStyle w:val="Normal"/>
        <w:spacing w:before="0" w:after="0"/>
        <w:contextualSpacing/>
        <w:jc w:val="left"/>
        <w:rPr>
          <w:rFonts w:ascii="Perpetua" w:hAnsi="Perpetua" w:eastAsia="Calibri" w:cs="Perpetua"/>
        </w:rPr>
      </w:pPr>
      <w:r>
        <w:rPr>
          <w:rFonts w:eastAsia="Calibri" w:cs="Perpetua" w:ascii="Perpetua" w:hAnsi="Perpetua"/>
        </w:rPr>
        <w:t>‘</w:t>
      </w:r>
      <w:r>
        <w:rPr>
          <w:rFonts w:eastAsia="Calibri" w:cs="Perpetua" w:ascii="Perpetua" w:hAnsi="Perpetua"/>
        </w:rPr>
        <w:t xml:space="preserve">mereological levels’. </w:t>
      </w:r>
    </w:p>
    <w:p>
      <w:pPr>
        <w:pStyle w:val="Normal"/>
        <w:spacing w:before="0" w:after="0"/>
        <w:contextualSpacing/>
        <w:jc w:val="left"/>
        <w:rPr>
          <w:rFonts w:ascii="Perpetua" w:hAnsi="Perpetua" w:eastAsia="Calibri" w:cs="Perpetua"/>
        </w:rPr>
      </w:pPr>
      <w:r>
        <w:rPr>
          <w:rFonts w:eastAsia="Calibri" w:cs="Perpetua" w:ascii="Perpetua" w:hAnsi="Perpetua"/>
        </w:rPr>
        <w:t>The mereological theory of space thereby inherits the advantages</w:t>
      </w:r>
    </w:p>
    <w:p>
      <w:pPr>
        <w:pStyle w:val="Normal"/>
        <w:spacing w:before="0" w:after="0"/>
        <w:contextualSpacing/>
        <w:jc w:val="left"/>
        <w:rPr>
          <w:rFonts w:ascii="Perpetua" w:hAnsi="Perpetua" w:eastAsia="Calibri" w:cs="Perpetua"/>
        </w:rPr>
      </w:pPr>
      <w:r>
        <w:rPr>
          <w:rFonts w:eastAsia="Calibri" w:cs="Perpetua" w:ascii="Perpetua" w:hAnsi="Perpetua"/>
        </w:rPr>
        <w:t>of the derivative space view since it accepts the reality of space:</w:t>
      </w:r>
    </w:p>
    <w:p>
      <w:pPr>
        <w:pStyle w:val="Normal"/>
        <w:spacing w:before="0" w:after="0"/>
        <w:contextualSpacing/>
        <w:jc w:val="left"/>
        <w:rPr>
          <w:rFonts w:ascii="Perpetua" w:hAnsi="Perpetua" w:eastAsia="Calibri" w:cs="Perpetua"/>
        </w:rPr>
      </w:pPr>
      <w:r>
        <w:rPr>
          <w:rFonts w:eastAsia="Calibri" w:cs="Perpetua" w:ascii="Perpetua" w:hAnsi="Perpetua"/>
        </w:rPr>
        <w:t>there is no phenomenological issue since both our measurements</w:t>
      </w:r>
    </w:p>
    <w:p>
      <w:pPr>
        <w:pStyle w:val="Normal"/>
        <w:spacing w:before="0" w:after="0"/>
        <w:contextualSpacing/>
        <w:jc w:val="left"/>
        <w:rPr>
          <w:rFonts w:ascii="Perpetua" w:hAnsi="Perpetua" w:eastAsia="Calibri" w:cs="Perpetua"/>
        </w:rPr>
      </w:pPr>
      <w:r>
        <w:rPr>
          <w:rFonts w:eastAsia="Calibri" w:cs="Perpetua" w:ascii="Perpetua" w:hAnsi="Perpetua"/>
        </w:rPr>
        <w:t>and perceptions are occurring within time and space (or spacetime). The view avoids positing genuine derivative entities and allows us</w:t>
      </w:r>
    </w:p>
    <w:p>
      <w:pPr>
        <w:pStyle w:val="Normal"/>
        <w:spacing w:before="0" w:after="0"/>
        <w:contextualSpacing/>
        <w:jc w:val="left"/>
        <w:rPr>
          <w:rFonts w:ascii="Perpetua" w:hAnsi="Perpetua" w:eastAsia="Calibri" w:cs="Perpetua"/>
        </w:rPr>
      </w:pPr>
      <w:r>
        <w:rPr>
          <w:rFonts w:eastAsia="Calibri" w:cs="Perpetua" w:ascii="Perpetua" w:hAnsi="Perpetua"/>
        </w:rPr>
        <w:t>to adopt an ontology that does not include levels of reality. Another</w:t>
      </w:r>
    </w:p>
    <w:p>
      <w:pPr>
        <w:pStyle w:val="Normal"/>
        <w:spacing w:before="0" w:after="0"/>
        <w:contextualSpacing/>
        <w:jc w:val="left"/>
        <w:rPr>
          <w:rFonts w:ascii="Perpetua" w:hAnsi="Perpetua" w:eastAsia="Calibri" w:cs="Perpetua"/>
        </w:rPr>
      </w:pPr>
      <w:r>
        <w:rPr>
          <w:rFonts w:eastAsia="Calibri" w:cs="Perpetua" w:ascii="Perpetua" w:hAnsi="Perpetua"/>
        </w:rPr>
        <w:t>interesting advantage of the mereological view over the derivative space view is that the relation of constitution is identified with a</w:t>
      </w:r>
    </w:p>
    <w:p>
      <w:pPr>
        <w:pStyle w:val="Normal"/>
        <w:spacing w:before="0" w:after="0"/>
        <w:contextualSpacing/>
        <w:jc w:val="left"/>
        <w:rPr/>
      </w:pPr>
      <w:r>
        <w:rPr>
          <w:rFonts w:eastAsia="Calibri" w:cs="Perpetua-Italic" w:ascii="Perpetua-Italic" w:hAnsi="Perpetua-Italic"/>
          <w:i/>
          <w:iCs/>
        </w:rPr>
        <w:t>generic relation</w:t>
      </w:r>
      <w:r>
        <w:rPr>
          <w:rFonts w:eastAsia="Calibri" w:cs="Perpetua" w:ascii="Perpetua" w:hAnsi="Perpetua"/>
        </w:rPr>
        <w:t>, namely one we find in many places in our ordinary</w:t>
      </w:r>
    </w:p>
    <w:p>
      <w:pPr>
        <w:pStyle w:val="Normal"/>
        <w:spacing w:before="0" w:after="0"/>
        <w:contextualSpacing/>
        <w:jc w:val="left"/>
        <w:rPr/>
      </w:pPr>
      <w:r>
        <w:rPr>
          <w:rFonts w:eastAsia="Calibri" w:cs="Perpetua" w:ascii="Perpetua" w:hAnsi="Perpetua"/>
        </w:rPr>
        <w:t xml:space="preserve">and scientific descriptions of the world: the </w:t>
      </w:r>
      <w:r>
        <w:rPr>
          <w:rFonts w:eastAsia="Calibri" w:cs="Perpetua-Italic" w:ascii="Perpetua-Italic" w:hAnsi="Perpetua-Italic"/>
          <w:i/>
          <w:iCs/>
        </w:rPr>
        <w:t>relation of composition</w:t>
      </w:r>
      <w:r>
        <w:rPr>
          <w:rFonts w:eastAsia="Calibri" w:cs="Perpetua" w:ascii="Perpetua" w:hAnsi="Perpetua"/>
        </w:rPr>
        <w:t>.</w:t>
      </w:r>
    </w:p>
    <w:p>
      <w:pPr>
        <w:pStyle w:val="Normal"/>
        <w:spacing w:before="0" w:after="0"/>
        <w:contextualSpacing/>
        <w:jc w:val="left"/>
        <w:rPr>
          <w:rFonts w:ascii="Perpetua" w:hAnsi="Perpetua" w:eastAsia="Calibri" w:cs="Perpetua"/>
        </w:rPr>
      </w:pPr>
      <w:r>
        <w:rPr>
          <w:rFonts w:eastAsia="Calibri" w:cs="Perpetua" w:ascii="Perpetua" w:hAnsi="Perpetua"/>
        </w:rPr>
        <w:t>There is no need to posit a new and theoretically costly relation of</w:t>
      </w:r>
    </w:p>
    <w:p>
      <w:pPr>
        <w:pStyle w:val="Normal"/>
        <w:spacing w:before="0" w:after="0"/>
        <w:contextualSpacing/>
        <w:jc w:val="left"/>
        <w:rPr/>
      </w:pPr>
      <w:r>
        <w:rPr>
          <w:rFonts w:eastAsia="Calibri" w:cs="Perpetua" w:ascii="Perpetua" w:hAnsi="Perpetua"/>
        </w:rPr>
        <w:t xml:space="preserve">emergence, designed specifically to do the work we expect it to do. </w:t>
      </w:r>
      <w:r>
        <w:rPr>
          <w:rFonts w:eastAsia="Calibri" w:cs="Perpetua" w:ascii="Perpetua" w:hAnsi="Perpetua"/>
          <w:color w:val="FF0000"/>
        </w:rPr>
        <w:t>[exactly my EDWs!!!! Against “emergence” in my book 2008!!!!]</w:t>
      </w:r>
    </w:p>
    <w:p>
      <w:pPr>
        <w:pStyle w:val="Normal"/>
        <w:spacing w:before="0" w:after="0"/>
        <w:contextualSpacing/>
        <w:jc w:val="left"/>
        <w:rPr>
          <w:rFonts w:ascii="Perpetua" w:hAnsi="Perpetua" w:eastAsia="Calibri" w:cs="Perpetua"/>
        </w:rPr>
      </w:pPr>
      <w:r>
        <w:rPr>
          <w:rFonts w:eastAsia="Calibri" w:cs="Perpetua" w:ascii="Perpetua" w:hAnsi="Perpetua"/>
        </w:rPr>
        <w:t>One may object that this is true of the standard relation of composition,</w:t>
      </w:r>
    </w:p>
    <w:p>
      <w:pPr>
        <w:pStyle w:val="Normal"/>
        <w:spacing w:before="0" w:after="0"/>
        <w:contextualSpacing/>
        <w:jc w:val="left"/>
        <w:rPr>
          <w:rFonts w:ascii="Perpetua" w:hAnsi="Perpetua" w:eastAsia="Calibri" w:cs="Perpetua"/>
        </w:rPr>
      </w:pPr>
      <w:r>
        <w:rPr>
          <w:rFonts w:eastAsia="Calibri" w:cs="Perpetua" w:ascii="Perpetua" w:hAnsi="Perpetua"/>
        </w:rPr>
        <w:t>but not of the trans-categorical interpretation of composition. I</w:t>
      </w:r>
    </w:p>
    <w:p>
      <w:pPr>
        <w:pStyle w:val="Normal"/>
        <w:spacing w:before="0" w:after="0"/>
        <w:contextualSpacing/>
        <w:jc w:val="left"/>
        <w:rPr>
          <w:rFonts w:ascii="Perpetua" w:hAnsi="Perpetua" w:eastAsia="Calibri" w:cs="Perpetua"/>
        </w:rPr>
      </w:pPr>
      <w:r>
        <w:rPr>
          <w:rFonts w:eastAsia="Calibri" w:cs="Perpetua" w:ascii="Perpetua" w:hAnsi="Perpetua"/>
        </w:rPr>
        <w:t>agree: the latter might not be part of our naïve ontology. But it does</w:t>
      </w:r>
    </w:p>
    <w:p>
      <w:pPr>
        <w:pStyle w:val="Normal"/>
        <w:spacing w:before="0" w:after="0"/>
        <w:contextualSpacing/>
        <w:jc w:val="left"/>
        <w:rPr>
          <w:rFonts w:ascii="Perpetua" w:hAnsi="Perpetua" w:eastAsia="Calibri" w:cs="Perpetua"/>
        </w:rPr>
      </w:pPr>
      <w:r>
        <w:rPr>
          <w:rFonts w:eastAsia="Calibri" w:cs="Perpetua" w:ascii="Perpetua" w:hAnsi="Perpetua"/>
        </w:rPr>
        <w:t>not mean that the relation of trans-categorical composition does not</w:t>
      </w:r>
    </w:p>
    <w:p>
      <w:pPr>
        <w:pStyle w:val="Normal"/>
        <w:spacing w:before="0" w:after="0"/>
        <w:contextualSpacing/>
        <w:jc w:val="left"/>
        <w:rPr/>
      </w:pPr>
      <w:r>
        <w:rPr>
          <w:rFonts w:eastAsia="Calibri" w:cs="Perpetua" w:ascii="Perpetua" w:hAnsi="Perpetua"/>
        </w:rPr>
        <w:t xml:space="preserve">explain a lot in many different contexts. </w:t>
      </w:r>
      <w:r>
        <w:rPr>
          <w:rFonts w:eastAsia="Calibri" w:cs="Perpetua" w:ascii="Perpetua" w:hAnsi="Perpetua"/>
          <w:color w:val="FF0000"/>
        </w:rPr>
        <w:t>[“</w:t>
      </w:r>
      <w:r>
        <w:rPr>
          <w:rFonts w:eastAsia="Calibri" w:cs="Perpetua" w:ascii="Perpetua" w:hAnsi="Perpetua"/>
        </w:rPr>
        <w:t xml:space="preserve">trans-categorical </w:t>
      </w:r>
      <w:r>
        <w:rPr>
          <w:rFonts w:eastAsia="Calibri" w:cs="Perpetua" w:ascii="Perpetua" w:hAnsi="Perpetua"/>
          <w:color w:val="FF0000"/>
        </w:rPr>
        <w:t>composition” means correspondence in my EDWs!!] I</w:t>
      </w:r>
      <w:r>
        <w:rPr>
          <w:rFonts w:eastAsia="Calibri" w:cs="Perpetua" w:ascii="Perpetua" w:hAnsi="Perpetua"/>
        </w:rPr>
        <w:t xml:space="preserve"> suggest that since the notion</w:t>
      </w:r>
    </w:p>
    <w:p>
      <w:pPr>
        <w:pStyle w:val="Normal"/>
        <w:spacing w:before="0" w:after="0"/>
        <w:contextualSpacing/>
        <w:jc w:val="left"/>
        <w:rPr>
          <w:rFonts w:ascii="Perpetua" w:hAnsi="Perpetua" w:eastAsia="Calibri" w:cs="Perpetua"/>
        </w:rPr>
      </w:pPr>
      <w:r>
        <w:rPr>
          <w:rFonts w:eastAsia="Calibri" w:cs="Perpetua" w:ascii="Perpetua" w:hAnsi="Perpetua"/>
        </w:rPr>
        <w:t>can do so much explanatory work (both in contemporary physics</w:t>
      </w:r>
    </w:p>
    <w:p>
      <w:pPr>
        <w:pStyle w:val="Normal"/>
        <w:spacing w:before="0" w:after="0"/>
        <w:contextualSpacing/>
        <w:jc w:val="left"/>
        <w:rPr>
          <w:rFonts w:ascii="Perpetua" w:hAnsi="Perpetua" w:eastAsia="Calibri" w:cs="Perpetua"/>
        </w:rPr>
      </w:pPr>
      <w:r>
        <w:rPr>
          <w:rFonts w:eastAsia="Calibri" w:cs="Perpetua" w:ascii="Perpetua" w:hAnsi="Perpetua"/>
        </w:rPr>
        <w:t>and in metaphysics, as established by L.A. Paul) without positing</w:t>
      </w:r>
    </w:p>
    <w:p>
      <w:pPr>
        <w:pStyle w:val="Normal"/>
        <w:spacing w:before="0" w:after="0"/>
        <w:contextualSpacing/>
        <w:jc w:val="left"/>
        <w:rPr>
          <w:rFonts w:ascii="Perpetua" w:hAnsi="Perpetua" w:eastAsia="Calibri" w:cs="Perpetua"/>
        </w:rPr>
      </w:pPr>
      <w:r>
        <w:rPr>
          <w:rFonts w:eastAsia="Calibri" w:cs="Perpetua" w:ascii="Perpetua" w:hAnsi="Perpetua"/>
        </w:rPr>
        <w:t>levels, it is an interesting option to take it as a primitive theoretical</w:t>
      </w:r>
    </w:p>
    <w:p>
      <w:pPr>
        <w:pStyle w:val="Normal"/>
        <w:spacing w:before="0" w:after="0"/>
        <w:contextualSpacing/>
        <w:jc w:val="left"/>
        <w:rPr>
          <w:rFonts w:ascii="Perpetua" w:hAnsi="Perpetua" w:eastAsia="Calibri" w:cs="Perpetua"/>
        </w:rPr>
      </w:pPr>
      <w:r>
        <w:rPr>
          <w:rFonts w:eastAsia="Calibri" w:cs="Perpetua" w:ascii="Perpetua" w:hAnsi="Perpetua"/>
        </w:rPr>
        <w:t>notion in our ontological interpretation of LQG and WFR.</w:t>
      </w:r>
    </w:p>
    <w:p>
      <w:pPr>
        <w:pStyle w:val="Normal"/>
        <w:spacing w:before="0" w:after="0"/>
        <w:contextualSpacing/>
        <w:jc w:val="left"/>
        <w:rPr>
          <w:rFonts w:ascii="Perpetua" w:hAnsi="Perpetua" w:eastAsia="Calibri" w:cs="Perpetua"/>
        </w:rPr>
      </w:pPr>
      <w:r>
        <w:rPr>
          <w:rFonts w:eastAsia="Calibri" w:cs="Perpetua" w:ascii="Perpetua" w:hAnsi="Perpetua"/>
        </w:rPr>
        <w:t>Perhaps the reader will object to this line of thought that transcategorical</w:t>
      </w:r>
    </w:p>
    <w:p>
      <w:pPr>
        <w:pStyle w:val="Normal"/>
        <w:spacing w:before="0" w:after="0"/>
        <w:contextualSpacing/>
        <w:jc w:val="left"/>
        <w:rPr>
          <w:rFonts w:ascii="Perpetua" w:hAnsi="Perpetua" w:eastAsia="Calibri" w:cs="Perpetua"/>
        </w:rPr>
      </w:pPr>
      <w:r>
        <w:rPr>
          <w:rFonts w:eastAsia="Calibri" w:cs="Perpetua" w:ascii="Perpetua" w:hAnsi="Perpetua"/>
        </w:rPr>
        <w:t>composition is just another name for emergence (in the</w:t>
      </w:r>
    </w:p>
    <w:p>
      <w:pPr>
        <w:pStyle w:val="Normal"/>
        <w:spacing w:before="0" w:after="0"/>
        <w:contextualSpacing/>
        <w:jc w:val="left"/>
        <w:rPr>
          <w:rFonts w:ascii="Perpetua" w:hAnsi="Perpetua" w:eastAsia="Calibri" w:cs="Perpetua"/>
        </w:rPr>
      </w:pPr>
      <w:r>
        <w:rPr>
          <w:rFonts w:eastAsia="Calibri" w:cs="Perpetua" w:ascii="Perpetua" w:hAnsi="Perpetua"/>
        </w:rPr>
        <w:t>philosopher’s sense), though: with the substitution of metaphysical</w:t>
      </w:r>
    </w:p>
    <w:p>
      <w:pPr>
        <w:pStyle w:val="Normal"/>
        <w:spacing w:before="0" w:after="0"/>
        <w:contextualSpacing/>
        <w:jc w:val="left"/>
        <w:rPr>
          <w:rFonts w:ascii="Perpetua" w:hAnsi="Perpetua" w:eastAsia="Calibri" w:cs="Perpetua"/>
        </w:rPr>
      </w:pPr>
      <w:r>
        <w:rPr>
          <w:rFonts w:eastAsia="Calibri" w:cs="Perpetua" w:ascii="Perpetua" w:hAnsi="Perpetua"/>
        </w:rPr>
        <w:t>emergence by trans-categorical composition, we have not accomplished</w:t>
      </w:r>
    </w:p>
    <w:p>
      <w:pPr>
        <w:pStyle w:val="Normal"/>
        <w:spacing w:before="0" w:after="0"/>
        <w:contextualSpacing/>
        <w:jc w:val="left"/>
        <w:rPr>
          <w:rFonts w:ascii="Perpetua" w:hAnsi="Perpetua" w:eastAsia="Calibri" w:cs="Perpetua"/>
        </w:rPr>
      </w:pPr>
      <w:r>
        <w:rPr>
          <w:rFonts w:eastAsia="Calibri" w:cs="Perpetua" w:ascii="Perpetua" w:hAnsi="Perpetua"/>
        </w:rPr>
        <w:t>much. However, there is no ontological priority of the parts</w:t>
      </w:r>
    </w:p>
    <w:p>
      <w:pPr>
        <w:pStyle w:val="Normal"/>
        <w:spacing w:before="0" w:after="0"/>
        <w:contextualSpacing/>
        <w:jc w:val="left"/>
        <w:rPr/>
      </w:pPr>
      <w:r>
        <w:rPr>
          <w:rFonts w:eastAsia="Calibri" w:cs="Perpetua" w:ascii="Perpetua" w:hAnsi="Perpetua"/>
        </w:rPr>
        <w:t xml:space="preserve">over the whole, or of the wholes over their parts. </w:t>
      </w:r>
      <w:r>
        <w:rPr>
          <w:rFonts w:eastAsia="Calibri" w:cs="Perpetua" w:ascii="Perpetua" w:hAnsi="Perpetua"/>
          <w:color w:val="FF0000"/>
        </w:rPr>
        <w:t xml:space="preserve">[exactlhy the same idea in my book 2008!] </w:t>
      </w:r>
      <w:r>
        <w:rPr>
          <w:rFonts w:eastAsia="Calibri" w:cs="Perpetua" w:ascii="Perpetua" w:hAnsi="Perpetua"/>
        </w:rPr>
        <w:t>The mereological</w:t>
      </w:r>
    </w:p>
    <w:p>
      <w:pPr>
        <w:pStyle w:val="Normal"/>
        <w:spacing w:before="0" w:after="0"/>
        <w:contextualSpacing/>
        <w:jc w:val="left"/>
        <w:rPr>
          <w:rFonts w:ascii="Perpetua" w:hAnsi="Perpetua" w:eastAsia="Calibri" w:cs="Perpetua"/>
        </w:rPr>
      </w:pPr>
      <w:r>
        <w:rPr>
          <w:rFonts w:eastAsia="Calibri" w:cs="Perpetua" w:ascii="Perpetua" w:hAnsi="Perpetua"/>
        </w:rPr>
        <w:t>approach states that the natural world is made of non-spatial parts,</w:t>
      </w:r>
    </w:p>
    <w:p>
      <w:pPr>
        <w:pStyle w:val="Normal"/>
        <w:spacing w:before="0" w:after="0"/>
        <w:contextualSpacing/>
        <w:jc w:val="left"/>
        <w:rPr>
          <w:rFonts w:ascii="Perpetua" w:hAnsi="Perpetua" w:eastAsia="Calibri" w:cs="Perpetua"/>
        </w:rPr>
      </w:pPr>
      <w:r>
        <w:rPr>
          <w:rFonts w:eastAsia="Calibri" w:cs="Perpetua" w:ascii="Perpetua" w:hAnsi="Perpetua"/>
        </w:rPr>
        <w:t>and that these parts are not more fundamental than the spatial relations</w:t>
      </w:r>
    </w:p>
    <w:p>
      <w:pPr>
        <w:pStyle w:val="Normal"/>
        <w:spacing w:before="0" w:after="0"/>
        <w:contextualSpacing/>
        <w:jc w:val="left"/>
        <w:rPr/>
      </w:pPr>
      <w:r>
        <w:rPr>
          <w:rFonts w:eastAsia="Calibri" w:cs="Perpetua" w:ascii="Perpetua" w:hAnsi="Perpetua"/>
        </w:rPr>
        <w:t xml:space="preserve">they compose. </w:t>
      </w:r>
      <w:r>
        <w:rPr>
          <w:rFonts w:eastAsia="Calibri" w:cs="Perpetua" w:ascii="Perpetua" w:hAnsi="Perpetua"/>
          <w:color w:val="FF0000"/>
        </w:rPr>
        <w:t xml:space="preserve">[my EDWs!!!] </w:t>
      </w:r>
      <w:r>
        <w:rPr>
          <w:rFonts w:eastAsia="Calibri" w:cs="Perpetua" w:ascii="Perpetua" w:hAnsi="Perpetua"/>
        </w:rPr>
        <w:t>To put it differently, we do not need to take</w:t>
      </w:r>
    </w:p>
    <w:p>
      <w:pPr>
        <w:pStyle w:val="Normal"/>
        <w:spacing w:before="0" w:after="0"/>
        <w:contextualSpacing/>
        <w:jc w:val="left"/>
        <w:rPr/>
      </w:pPr>
      <w:r>
        <w:rPr>
          <w:rFonts w:eastAsia="Calibri" w:cs="Perpetua" w:ascii="Perpetua" w:hAnsi="Perpetua"/>
        </w:rPr>
        <w:t xml:space="preserve">seriously the claim that building blocks of space are literally </w:t>
      </w:r>
      <w:r>
        <w:rPr>
          <w:rFonts w:eastAsia="Calibri" w:cs="Perpetua-Italic" w:ascii="Perpetua-Italic" w:hAnsi="Perpetua-Italic"/>
          <w:i/>
          <w:iCs/>
        </w:rPr>
        <w:t>building</w:t>
      </w:r>
    </w:p>
    <w:p>
      <w:pPr>
        <w:pStyle w:val="Normal"/>
        <w:spacing w:before="0" w:after="0"/>
        <w:contextualSpacing/>
        <w:jc w:val="left"/>
        <w:rPr>
          <w:rFonts w:ascii="Perpetua" w:hAnsi="Perpetua" w:eastAsia="Calibri" w:cs="Perpetua"/>
        </w:rPr>
      </w:pPr>
      <w:r>
        <w:rPr>
          <w:rFonts w:eastAsia="Calibri" w:cs="Perpetua" w:ascii="Perpetua" w:hAnsi="Perpetua"/>
        </w:rPr>
        <w:t>space. Building blocks are as much the result of a trans-categorical</w:t>
      </w:r>
    </w:p>
    <w:p>
      <w:pPr>
        <w:pStyle w:val="Normal"/>
        <w:spacing w:before="0" w:after="0"/>
        <w:contextualSpacing/>
        <w:jc w:val="left"/>
        <w:rPr/>
      </w:pPr>
      <w:r>
        <w:rPr>
          <w:rFonts w:eastAsia="Calibri" w:cs="Perpetua-Italic" w:ascii="Perpetua-Italic" w:hAnsi="Perpetua-Italic"/>
          <w:i/>
          <w:iCs/>
        </w:rPr>
        <w:t>de</w:t>
      </w:r>
      <w:r>
        <w:rPr>
          <w:rFonts w:eastAsia="Calibri" w:cs="Perpetua" w:ascii="Perpetua" w:hAnsi="Perpetua"/>
        </w:rPr>
        <w:t xml:space="preserve">composition from the maximal structure, since there is no </w:t>
      </w:r>
      <w:r>
        <w:rPr>
          <w:rFonts w:eastAsia="Calibri" w:cs="Perpetua-Italic" w:ascii="Perpetua-Italic" w:hAnsi="Perpetua-Italic"/>
          <w:i/>
          <w:iCs/>
        </w:rPr>
        <w:t>privileged</w:t>
      </w:r>
    </w:p>
    <w:p>
      <w:pPr>
        <w:pStyle w:val="Normal"/>
        <w:spacing w:before="0" w:after="0"/>
        <w:contextualSpacing/>
        <w:jc w:val="left"/>
        <w:rPr/>
      </w:pPr>
      <w:r>
        <w:rPr>
          <w:rFonts w:eastAsia="Calibri" w:cs="Perpetua-Italic" w:ascii="Perpetua-Italic" w:hAnsi="Perpetua-Italic"/>
          <w:i/>
          <w:iCs/>
        </w:rPr>
        <w:t xml:space="preserve">ontological direction </w:t>
      </w:r>
      <w:r>
        <w:rPr>
          <w:rFonts w:eastAsia="Calibri" w:cs="Perpetua" w:ascii="Perpetua" w:hAnsi="Perpetua"/>
        </w:rPr>
        <w:t>added to composition and decomposition.</w:t>
      </w:r>
    </w:p>
    <w:p>
      <w:pPr>
        <w:pStyle w:val="Normal"/>
        <w:spacing w:before="0" w:after="0"/>
        <w:contextualSpacing/>
        <w:jc w:val="left"/>
        <w:rPr>
          <w:rFonts w:ascii="Perpetua" w:hAnsi="Perpetua" w:eastAsia="Calibri" w:cs="Perpetua"/>
        </w:rPr>
      </w:pPr>
      <w:r>
        <w:rPr>
          <w:rFonts w:eastAsia="Calibri" w:cs="Perpetua" w:ascii="Perpetua" w:hAnsi="Perpetua"/>
        </w:rPr>
        <w:t>This is a crucial difference with respect to emergence as usually construed.</w:t>
      </w:r>
    </w:p>
    <w:p>
      <w:pPr>
        <w:pStyle w:val="Normal"/>
        <w:spacing w:before="0" w:after="0"/>
        <w:contextualSpacing/>
        <w:jc w:val="left"/>
        <w:rPr>
          <w:rFonts w:ascii="Perpetua" w:hAnsi="Perpetua" w:eastAsia="Calibri" w:cs="Perpetua"/>
        </w:rPr>
      </w:pPr>
      <w:r>
        <w:rPr>
          <w:rFonts w:eastAsia="Calibri" w:cs="Perpetua" w:ascii="Perpetua" w:hAnsi="Perpetua"/>
        </w:rPr>
        <w:t>Indeed, emergence is regarded as being asymmetric and generating</w:t>
      </w:r>
    </w:p>
    <w:p>
      <w:pPr>
        <w:pStyle w:val="Normal"/>
        <w:spacing w:before="0" w:after="0"/>
        <w:contextualSpacing/>
        <w:jc w:val="left"/>
        <w:rPr>
          <w:rFonts w:ascii="Perpetua" w:hAnsi="Perpetua" w:eastAsia="Calibri" w:cs="Perpetua"/>
        </w:rPr>
      </w:pPr>
      <w:r>
        <w:rPr>
          <w:rFonts w:eastAsia="Calibri" w:cs="Perpetua" w:ascii="Perpetua" w:hAnsi="Perpetua"/>
        </w:rPr>
        <w:t>ontological levels, in this context. (90-91)</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The particular problemsolver</w:t>
      </w:r>
    </w:p>
    <w:p>
      <w:pPr>
        <w:pStyle w:val="Normal"/>
        <w:spacing w:before="0" w:after="0"/>
        <w:contextualSpacing/>
        <w:jc w:val="left"/>
        <w:rPr>
          <w:rFonts w:ascii="Perpetua" w:hAnsi="Perpetua" w:eastAsia="Calibri" w:cs="Perpetua"/>
        </w:rPr>
      </w:pPr>
      <w:r>
        <w:rPr>
          <w:rFonts w:eastAsia="Calibri" w:cs="Perpetua" w:ascii="Perpetua" w:hAnsi="Perpetua"/>
        </w:rPr>
        <w:t>that I have considered (composition) must be weighted in comparison</w:t>
      </w:r>
    </w:p>
    <w:p>
      <w:pPr>
        <w:pStyle w:val="Normal"/>
        <w:spacing w:before="0" w:after="0"/>
        <w:contextualSpacing/>
        <w:jc w:val="left"/>
        <w:rPr>
          <w:rFonts w:ascii="Perpetua" w:hAnsi="Perpetua" w:eastAsia="Calibri" w:cs="Perpetua"/>
        </w:rPr>
      </w:pPr>
      <w:r>
        <w:rPr>
          <w:rFonts w:eastAsia="Calibri" w:cs="Perpetua" w:ascii="Perpetua" w:hAnsi="Perpetua"/>
        </w:rPr>
        <w:t>with the generic relation of constitution that we find in contemporary</w:t>
      </w:r>
    </w:p>
    <w:p>
      <w:pPr>
        <w:pStyle w:val="Normal"/>
        <w:spacing w:before="0" w:after="0"/>
        <w:contextualSpacing/>
        <w:jc w:val="left"/>
        <w:rPr>
          <w:rFonts w:ascii="Perpetua" w:hAnsi="Perpetua" w:eastAsia="Calibri" w:cs="Perpetua"/>
        </w:rPr>
      </w:pPr>
      <w:r>
        <w:rPr>
          <w:rFonts w:eastAsia="Calibri" w:cs="Perpetua" w:ascii="Perpetua" w:hAnsi="Perpetua"/>
        </w:rPr>
        <w:t>physics (‘emergence’) and with other building relations</w:t>
      </w:r>
    </w:p>
    <w:p>
      <w:pPr>
        <w:pStyle w:val="Normal"/>
        <w:spacing w:before="0" w:after="0"/>
        <w:contextualSpacing/>
        <w:jc w:val="left"/>
        <w:rPr>
          <w:rFonts w:ascii="Perpetua" w:hAnsi="Perpetua" w:eastAsia="Calibri" w:cs="Perpetua"/>
        </w:rPr>
      </w:pPr>
      <w:r>
        <w:rPr>
          <w:rFonts w:eastAsia="Calibri" w:cs="Perpetua" w:ascii="Perpetua" w:hAnsi="Perpetua"/>
        </w:rPr>
        <w:t>that could be used to analyse the neutral relation of constitution.</w:t>
      </w:r>
    </w:p>
    <w:p>
      <w:pPr>
        <w:pStyle w:val="Normal"/>
        <w:spacing w:before="0" w:after="0"/>
        <w:contextualSpacing/>
        <w:jc w:val="left"/>
        <w:rPr>
          <w:rFonts w:ascii="Perpetua" w:hAnsi="Perpetua" w:eastAsia="Calibri" w:cs="Perpetua"/>
        </w:rPr>
      </w:pPr>
      <w:r>
        <w:rPr>
          <w:rFonts w:eastAsia="Calibri" w:cs="Perpetua" w:ascii="Perpetua" w:hAnsi="Perpetua"/>
        </w:rPr>
        <w:t>What matters here is that composition is a particular building relation,</w:t>
      </w:r>
    </w:p>
    <w:p>
      <w:pPr>
        <w:pStyle w:val="Normal"/>
        <w:spacing w:before="0" w:after="0"/>
        <w:contextualSpacing/>
        <w:jc w:val="left"/>
        <w:rPr>
          <w:rFonts w:ascii="Perpetua" w:hAnsi="Perpetua" w:eastAsia="Calibri" w:cs="Perpetua"/>
        </w:rPr>
      </w:pPr>
      <w:r>
        <w:rPr>
          <w:rFonts w:eastAsia="Calibri" w:cs="Perpetua" w:ascii="Perpetua" w:hAnsi="Perpetua"/>
        </w:rPr>
        <w:t>a particular problem-solver, that clearly avoids an ontologically</w:t>
      </w:r>
    </w:p>
    <w:p>
      <w:pPr>
        <w:pStyle w:val="Normal"/>
        <w:spacing w:before="0" w:after="0"/>
        <w:contextualSpacing/>
        <w:jc w:val="left"/>
        <w:rPr>
          <w:rFonts w:ascii="Perpetua" w:hAnsi="Perpetua" w:eastAsia="Calibri" w:cs="Perpetua"/>
        </w:rPr>
      </w:pPr>
      <w:r>
        <w:rPr>
          <w:rFonts w:eastAsia="Calibri" w:cs="Perpetua" w:ascii="Perpetua" w:hAnsi="Perpetua"/>
        </w:rPr>
        <w:t>loaded interpretation of the levels involved in space constitution, and</w:t>
      </w:r>
    </w:p>
    <w:p>
      <w:pPr>
        <w:pStyle w:val="Normal"/>
        <w:spacing w:before="0" w:after="0"/>
        <w:contextualSpacing/>
        <w:jc w:val="left"/>
        <w:rPr>
          <w:rFonts w:ascii="Perpetua" w:hAnsi="Perpetua" w:eastAsia="Calibri" w:cs="Perpetua"/>
        </w:rPr>
      </w:pPr>
      <w:r>
        <w:rPr>
          <w:rFonts w:eastAsia="Calibri" w:cs="Perpetua" w:ascii="Perpetua" w:hAnsi="Perpetua"/>
        </w:rPr>
        <w:t>avoids positing a relation of ontological priority obtaining between</w:t>
      </w:r>
    </w:p>
    <w:p>
      <w:pPr>
        <w:pStyle w:val="Normal"/>
        <w:spacing w:before="0" w:after="0"/>
        <w:contextualSpacing/>
        <w:jc w:val="left"/>
        <w:rPr>
          <w:rFonts w:ascii="Perpetua" w:hAnsi="Perpetua" w:eastAsia="Calibri" w:cs="Perpetua"/>
        </w:rPr>
      </w:pPr>
      <w:r>
        <w:rPr>
          <w:rFonts w:eastAsia="Calibri" w:cs="Perpetua" w:ascii="Perpetua" w:hAnsi="Perpetua"/>
        </w:rPr>
        <w:t>the levels. To be crystal clear: it does not show that space constitution</w:t>
      </w:r>
    </w:p>
    <w:p>
      <w:pPr>
        <w:pStyle w:val="Normal"/>
        <w:spacing w:before="0" w:after="0"/>
        <w:contextualSpacing/>
        <w:jc w:val="left"/>
        <w:rPr>
          <w:rFonts w:ascii="Perpetua" w:hAnsi="Perpetua" w:eastAsia="Calibri" w:cs="Perpetua"/>
        </w:rPr>
      </w:pPr>
      <w:r>
        <w:rPr>
          <w:rFonts w:eastAsia="Calibri" w:cs="Perpetua" w:ascii="Perpetua" w:hAnsi="Perpetua"/>
        </w:rPr>
        <w:t>should necessarily be interpreted in a mereological framework.</w:t>
      </w:r>
    </w:p>
    <w:p>
      <w:pPr>
        <w:pStyle w:val="Normal"/>
        <w:spacing w:before="0" w:after="0"/>
        <w:contextualSpacing/>
        <w:jc w:val="left"/>
        <w:rPr>
          <w:rFonts w:ascii="Perpetua" w:hAnsi="Perpetua" w:eastAsia="Calibri" w:cs="Perpetua"/>
        </w:rPr>
      </w:pPr>
      <w:r>
        <w:rPr>
          <w:rFonts w:eastAsia="Calibri" w:cs="Perpetua" w:ascii="Perpetua" w:hAnsi="Perpetua"/>
        </w:rPr>
        <w:t>But the very existence of this levels-free problem-solver shows that</w:t>
      </w:r>
    </w:p>
    <w:p>
      <w:pPr>
        <w:pStyle w:val="Normal"/>
        <w:spacing w:before="0" w:after="0"/>
        <w:contextualSpacing/>
        <w:jc w:val="left"/>
        <w:rPr>
          <w:rFonts w:ascii="Perpetua" w:hAnsi="Perpetua" w:eastAsia="Calibri" w:cs="Perpetua"/>
        </w:rPr>
      </w:pPr>
      <w:r>
        <w:rPr>
          <w:rFonts w:eastAsia="Calibri" w:cs="Perpetua" w:ascii="Perpetua" w:hAnsi="Perpetua"/>
        </w:rPr>
        <w:t>space constitution does not entail the existence of ontological levels</w:t>
      </w:r>
    </w:p>
    <w:p>
      <w:pPr>
        <w:pStyle w:val="Normal"/>
        <w:spacing w:before="0" w:after="0"/>
        <w:contextualSpacing/>
        <w:jc w:val="left"/>
        <w:rPr/>
      </w:pPr>
      <w:r>
        <w:rPr>
          <w:rFonts w:eastAsia="Calibri" w:cs="Perpetua" w:ascii="Perpetua" w:hAnsi="Perpetua"/>
        </w:rPr>
        <w:t>connected by relations of ontological priority. (92)</w:t>
      </w:r>
      <w:r>
        <w:rPr>
          <w:rFonts w:eastAsia="Calibri" w:cs="Perpetua" w:ascii="Perpetua" w:hAnsi="Perpetua"/>
          <w:color w:val="FF0000"/>
        </w:rPr>
        <w:t xml:space="preserve"> [exactly my idea in my books!]</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The mereological view of space offers an interesting middle way</w:t>
      </w:r>
    </w:p>
    <w:p>
      <w:pPr>
        <w:pStyle w:val="Normal"/>
        <w:spacing w:before="0" w:after="0"/>
        <w:contextualSpacing/>
        <w:jc w:val="left"/>
        <w:rPr>
          <w:rFonts w:ascii="Perpetua" w:hAnsi="Perpetua" w:eastAsia="Calibri" w:cs="Perpetua"/>
        </w:rPr>
      </w:pPr>
      <w:r>
        <w:rPr>
          <w:rFonts w:eastAsia="Calibri" w:cs="Perpetua" w:ascii="Perpetua" w:hAnsi="Perpetua"/>
        </w:rPr>
        <w:t>between eliminativism and the derivative space view. Space is a</w:t>
      </w:r>
    </w:p>
    <w:p>
      <w:pPr>
        <w:pStyle w:val="Normal"/>
        <w:spacing w:before="0" w:after="0"/>
        <w:contextualSpacing/>
        <w:jc w:val="left"/>
        <w:rPr>
          <w:rFonts w:ascii="Perpetua" w:hAnsi="Perpetua" w:eastAsia="Calibri" w:cs="Perpetua"/>
        </w:rPr>
      </w:pPr>
      <w:r>
        <w:rPr>
          <w:rFonts w:eastAsia="Calibri" w:cs="Perpetua" w:ascii="Perpetua" w:hAnsi="Perpetua"/>
        </w:rPr>
        <w:t>mereological bundle of non-spatial building blocks. It is neither</w:t>
      </w:r>
    </w:p>
    <w:p>
      <w:pPr>
        <w:pStyle w:val="Normal"/>
        <w:spacing w:before="0" w:after="0"/>
        <w:contextualSpacing/>
        <w:jc w:val="left"/>
        <w:rPr>
          <w:rFonts w:ascii="Perpetua" w:hAnsi="Perpetua" w:eastAsia="Calibri" w:cs="Perpetua"/>
        </w:rPr>
      </w:pPr>
      <w:r>
        <w:rPr>
          <w:rFonts w:eastAsia="Calibri" w:cs="Perpetua" w:ascii="Perpetua" w:hAnsi="Perpetua"/>
        </w:rPr>
        <w:t>derivatively real nor fundamentally real since there are no levels</w:t>
      </w:r>
    </w:p>
    <w:p>
      <w:pPr>
        <w:pStyle w:val="Normal"/>
        <w:spacing w:before="0" w:after="0"/>
        <w:contextualSpacing/>
        <w:jc w:val="left"/>
        <w:rPr>
          <w:rFonts w:ascii="Perpetua" w:hAnsi="Perpetua" w:eastAsia="Calibri" w:cs="Perpetua"/>
        </w:rPr>
      </w:pPr>
      <w:r>
        <w:rPr>
          <w:rFonts w:eastAsia="Calibri" w:cs="Perpetua" w:ascii="Perpetua" w:hAnsi="Perpetua"/>
        </w:rPr>
        <w:t>of reality and no separation between fundamental and derivative</w:t>
      </w:r>
    </w:p>
    <w:p>
      <w:pPr>
        <w:pStyle w:val="Normal"/>
        <w:spacing w:before="0" w:after="0"/>
        <w:contextualSpacing/>
        <w:jc w:val="left"/>
        <w:rPr>
          <w:rFonts w:ascii="Perpetua" w:hAnsi="Perpetua" w:eastAsia="Calibri" w:cs="Perpetua"/>
        </w:rPr>
      </w:pPr>
      <w:r>
        <w:rPr>
          <w:rFonts w:eastAsia="Calibri" w:cs="Perpetua" w:ascii="Perpetua" w:hAnsi="Perpetua"/>
        </w:rPr>
        <w:t>entities. The view inherits many advantages of the derivative space</w:t>
      </w:r>
    </w:p>
    <w:p>
      <w:pPr>
        <w:pStyle w:val="Normal"/>
        <w:spacing w:before="0" w:after="0"/>
        <w:contextualSpacing/>
        <w:jc w:val="left"/>
        <w:rPr>
          <w:rFonts w:ascii="Perpetua" w:hAnsi="Perpetua" w:eastAsia="Calibri" w:cs="Perpetua"/>
        </w:rPr>
      </w:pPr>
      <w:r>
        <w:rPr>
          <w:rFonts w:eastAsia="Calibri" w:cs="Perpetua" w:ascii="Perpetua" w:hAnsi="Perpetua"/>
        </w:rPr>
        <w:t>view: it solves the problem of empirical coherence and the phenomenal</w:t>
      </w:r>
    </w:p>
    <w:p>
      <w:pPr>
        <w:pStyle w:val="Normal"/>
        <w:spacing w:before="0" w:after="0"/>
        <w:contextualSpacing/>
        <w:jc w:val="left"/>
        <w:rPr>
          <w:rFonts w:ascii="Perpetua" w:hAnsi="Perpetua" w:eastAsia="Calibri" w:cs="Perpetua"/>
        </w:rPr>
      </w:pPr>
      <w:r>
        <w:rPr>
          <w:rFonts w:eastAsia="Calibri" w:cs="Perpetua" w:ascii="Perpetua" w:hAnsi="Perpetua"/>
        </w:rPr>
        <w:t>issue by accepting the reality of space. But it does so at a</w:t>
      </w:r>
    </w:p>
    <w:p>
      <w:pPr>
        <w:pStyle w:val="Normal"/>
        <w:spacing w:before="0" w:after="0"/>
        <w:contextualSpacing/>
        <w:jc w:val="left"/>
        <w:rPr>
          <w:rFonts w:ascii="Perpetua" w:hAnsi="Perpetua" w:eastAsia="Calibri" w:cs="Perpetua"/>
        </w:rPr>
      </w:pPr>
      <w:r>
        <w:rPr>
          <w:rFonts w:eastAsia="Calibri" w:cs="Perpetua" w:ascii="Perpetua" w:hAnsi="Perpetua"/>
        </w:rPr>
        <w:t>lesser cost by avoiding committing to a stratified ontology. Thus,</w:t>
      </w:r>
    </w:p>
    <w:p>
      <w:pPr>
        <w:pStyle w:val="Normal"/>
        <w:spacing w:before="0" w:after="0"/>
        <w:contextualSpacing/>
        <w:jc w:val="left"/>
        <w:rPr>
          <w:rFonts w:ascii="Perpetua" w:hAnsi="Perpetua" w:eastAsia="Calibri" w:cs="Perpetua"/>
        </w:rPr>
      </w:pPr>
      <w:r>
        <w:rPr>
          <w:rFonts w:eastAsia="Calibri" w:cs="Perpetua" w:ascii="Perpetua" w:hAnsi="Perpetua"/>
        </w:rPr>
        <w:t>space constitution is not necessarily pointing towards the existence</w:t>
      </w:r>
    </w:p>
    <w:p>
      <w:pPr>
        <w:pStyle w:val="Normal"/>
        <w:spacing w:before="0" w:after="0"/>
        <w:contextualSpacing/>
        <w:jc w:val="left"/>
        <w:rPr>
          <w:rFonts w:ascii="Perpetua" w:hAnsi="Perpetua" w:eastAsia="Calibri" w:cs="Perpetua"/>
        </w:rPr>
      </w:pPr>
      <w:r>
        <w:rPr>
          <w:rFonts w:eastAsia="Calibri" w:cs="Perpetua" w:ascii="Perpetua" w:hAnsi="Perpetua"/>
        </w:rPr>
        <w:t>of ontological levels within physics, and we should not be too</w:t>
      </w:r>
    </w:p>
    <w:p>
      <w:pPr>
        <w:pStyle w:val="Normal"/>
        <w:spacing w:before="0" w:after="0"/>
        <w:contextualSpacing/>
        <w:jc w:val="left"/>
        <w:rPr>
          <w:rFonts w:ascii="Perpetua" w:hAnsi="Perpetua" w:eastAsia="Calibri" w:cs="Perpetua"/>
        </w:rPr>
      </w:pPr>
      <w:r>
        <w:rPr>
          <w:rFonts w:eastAsia="Calibri" w:cs="Perpetua" w:ascii="Perpetua" w:hAnsi="Perpetua"/>
        </w:rPr>
        <w:t>quick to see there a new motivation for adopting anti-reductionism</w:t>
      </w:r>
    </w:p>
    <w:p>
      <w:pPr>
        <w:pStyle w:val="Normal"/>
        <w:spacing w:before="0" w:after="0"/>
        <w:contextualSpacing/>
        <w:jc w:val="left"/>
        <w:rPr>
          <w:rFonts w:ascii="Perpetua" w:hAnsi="Perpetua" w:eastAsia="Calibri" w:cs="Perpetua"/>
        </w:rPr>
      </w:pPr>
      <w:r>
        <w:rPr>
          <w:rFonts w:eastAsia="Calibri" w:cs="Perpetua" w:ascii="Perpetua" w:hAnsi="Perpetua"/>
        </w:rPr>
        <w:t>about special sciences. More generally, composition is an excellent</w:t>
      </w:r>
    </w:p>
    <w:p>
      <w:pPr>
        <w:pStyle w:val="Normal"/>
        <w:spacing w:before="0" w:after="0"/>
        <w:contextualSpacing/>
        <w:jc w:val="left"/>
        <w:rPr>
          <w:rFonts w:ascii="Perpetua" w:hAnsi="Perpetua" w:eastAsia="Calibri" w:cs="Perpetua"/>
        </w:rPr>
      </w:pPr>
      <w:r>
        <w:rPr>
          <w:rFonts w:eastAsia="Calibri" w:cs="Perpetua" w:ascii="Perpetua" w:hAnsi="Perpetua"/>
        </w:rPr>
        <w:t>primitive theoretical notion to interpret space constitution,</w:t>
      </w:r>
    </w:p>
    <w:p>
      <w:pPr>
        <w:pStyle w:val="Normal"/>
        <w:spacing w:before="0" w:after="0"/>
        <w:contextualSpacing/>
        <w:jc w:val="left"/>
        <w:rPr>
          <w:rFonts w:ascii="Perpetua" w:hAnsi="Perpetua" w:eastAsia="Calibri" w:cs="Perpetua"/>
        </w:rPr>
      </w:pPr>
      <w:r>
        <w:rPr>
          <w:rFonts w:eastAsia="Calibri" w:cs="Perpetua" w:ascii="Perpetua" w:hAnsi="Perpetua"/>
        </w:rPr>
        <w:t>without positing unnecessary entities (levels and non-fundamental</w:t>
      </w:r>
    </w:p>
    <w:p>
      <w:pPr>
        <w:pStyle w:val="Normal"/>
        <w:spacing w:before="0" w:after="0"/>
        <w:contextualSpacing/>
        <w:jc w:val="left"/>
        <w:rPr/>
      </w:pPr>
      <w:r>
        <w:rPr>
          <w:rFonts w:eastAsia="Calibri" w:cs="Perpetua" w:ascii="Perpetua" w:hAnsi="Perpetua"/>
        </w:rPr>
        <w:t xml:space="preserve">entities). </w:t>
      </w:r>
      <w:r>
        <w:rPr>
          <w:rFonts w:eastAsia="Calibri" w:cs="Perpetua" w:ascii="Perpetua" w:hAnsi="Perpetua"/>
          <w:color w:val="FF0000"/>
        </w:rPr>
        <w:t>[again my EDWs!!!]</w:t>
      </w:r>
      <w:r>
        <w:rPr>
          <w:rFonts w:eastAsia="Calibri" w:cs="Perpetua" w:ascii="Perpetua" w:hAnsi="Perpetua"/>
        </w:rPr>
        <w:t xml:space="preserve"> Therefore, the phenomenon of space constitution, if it</w:t>
      </w:r>
    </w:p>
    <w:p>
      <w:pPr>
        <w:pStyle w:val="Normal"/>
        <w:spacing w:before="0" w:after="0"/>
        <w:contextualSpacing/>
        <w:jc w:val="left"/>
        <w:rPr>
          <w:rFonts w:ascii="Perpetua" w:hAnsi="Perpetua" w:eastAsia="Calibri" w:cs="Perpetua"/>
        </w:rPr>
      </w:pPr>
      <w:r>
        <w:rPr>
          <w:rFonts w:eastAsia="Calibri" w:cs="Perpetua" w:ascii="Perpetua" w:hAnsi="Perpetua"/>
        </w:rPr>
        <w:t>had to be confirmed in one of the research programs in quantum</w:t>
      </w:r>
    </w:p>
    <w:p>
      <w:pPr>
        <w:pStyle w:val="Normal"/>
        <w:spacing w:before="0" w:after="0"/>
        <w:contextualSpacing/>
        <w:jc w:val="left"/>
        <w:rPr>
          <w:rFonts w:ascii="Perpetua" w:hAnsi="Perpetua" w:eastAsia="Calibri" w:cs="Perpetua"/>
        </w:rPr>
      </w:pPr>
      <w:r>
        <w:rPr>
          <w:rFonts w:eastAsia="Calibri" w:cs="Perpetua" w:ascii="Perpetua" w:hAnsi="Perpetua"/>
        </w:rPr>
        <w:t>gravity or if WFR turned out to be the best reading of quantum</w:t>
      </w:r>
    </w:p>
    <w:p>
      <w:pPr>
        <w:pStyle w:val="Normal"/>
        <w:spacing w:before="0" w:after="0"/>
        <w:contextualSpacing/>
        <w:jc w:val="left"/>
        <w:rPr>
          <w:rFonts w:ascii="Perpetua" w:hAnsi="Perpetua" w:eastAsia="Calibri" w:cs="Perpetua"/>
        </w:rPr>
      </w:pPr>
      <w:r>
        <w:rPr>
          <w:rFonts w:eastAsia="Calibri" w:cs="Perpetua" w:ascii="Perpetua" w:hAnsi="Perpetua"/>
        </w:rPr>
        <w:t>mechanics, would not commit us to a strong relation of emergence:</w:t>
      </w:r>
    </w:p>
    <w:p>
      <w:pPr>
        <w:pStyle w:val="Normal"/>
        <w:spacing w:before="0" w:after="0"/>
        <w:contextualSpacing/>
        <w:jc w:val="left"/>
        <w:rPr>
          <w:rFonts w:ascii="Perpetua" w:hAnsi="Perpetua" w:eastAsia="Calibri" w:cs="Perpetua"/>
        </w:rPr>
      </w:pPr>
      <w:r>
        <w:rPr>
          <w:rFonts w:eastAsia="Calibri" w:cs="Perpetua" w:ascii="Perpetua" w:hAnsi="Perpetua"/>
        </w:rPr>
        <w:t>with trans-categorical mereology, we can get rid of emergence (in the philosopher’s sense), fundamentality as ontological priority and</w:t>
      </w:r>
    </w:p>
    <w:p>
      <w:pPr>
        <w:pStyle w:val="Normal"/>
        <w:spacing w:before="0" w:after="0"/>
        <w:contextualSpacing/>
        <w:jc w:val="left"/>
        <w:rPr/>
      </w:pPr>
      <w:r>
        <w:rPr>
          <w:rFonts w:eastAsia="Calibri" w:cs="Perpetua" w:ascii="Perpetua" w:hAnsi="Perpetua"/>
        </w:rPr>
        <w:t>levels of reality.</w:t>
      </w:r>
      <w:r>
        <w:rPr>
          <w:rFonts w:eastAsia="Calibri" w:cs="Perpetua" w:ascii="Perpetua" w:hAnsi="Perpetua"/>
          <w:sz w:val="14"/>
          <w:szCs w:val="14"/>
        </w:rPr>
        <w:t xml:space="preserve">26 </w:t>
      </w:r>
      <w:r>
        <w:rPr>
          <w:rFonts w:eastAsia="Calibri" w:cs="Perpetua" w:ascii="Perpetua" w:hAnsi="Perpetua"/>
        </w:rPr>
        <w:t xml:space="preserve">(92-93) </w:t>
      </w:r>
      <w:r>
        <w:rPr>
          <w:rFonts w:eastAsia="Calibri" w:cs="Perpetua" w:ascii="Perpetua" w:hAnsi="Perpetua"/>
          <w:color w:val="FF0000"/>
        </w:rPr>
        <w:t>[exactly my ideas in my book 2008!!!]</w:t>
      </w:r>
    </w:p>
    <w:p>
      <w:pPr>
        <w:pStyle w:val="Normal"/>
        <w:spacing w:before="0" w:after="0"/>
        <w:contextualSpacing/>
        <w:jc w:val="left"/>
        <w:rPr>
          <w:b/>
          <w:b/>
          <w:color w:val="FF0000"/>
          <w:sz w:val="32"/>
          <w:szCs w:val="32"/>
        </w:rPr>
      </w:pPr>
      <w:r>
        <w:rPr>
          <w:b/>
          <w:color w:val="FF0000"/>
          <w:sz w:val="32"/>
          <w:szCs w:val="32"/>
        </w:rPr>
      </w:r>
    </w:p>
    <w:p>
      <w:pPr>
        <w:pStyle w:val="Normal"/>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pStyle w:val="Normal"/>
        <w:spacing w:before="0" w:after="0"/>
        <w:contextualSpacing/>
        <w:rPr>
          <w:b/>
          <w:b/>
          <w:sz w:val="32"/>
          <w:szCs w:val="32"/>
        </w:rPr>
      </w:pPr>
      <w:r>
        <w:rPr>
          <w:b/>
          <w:sz w:val="32"/>
          <w:szCs w:val="32"/>
        </w:rPr>
      </w:r>
    </w:p>
    <w:p>
      <w:pPr>
        <w:pStyle w:val="ListParagraph"/>
        <w:numPr>
          <w:ilvl w:val="0"/>
          <w:numId w:val="34"/>
        </w:numPr>
        <w:spacing w:before="0" w:after="0"/>
        <w:ind w:left="0" w:right="0" w:hanging="0"/>
        <w:contextualSpacing/>
        <w:rPr/>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eastAsia="Calibri" w:cs="Calibri-Italic" w:ascii="Calibri-Italic" w:hAnsi="Calibri-Italic"/>
          <w:i/>
          <w:iCs/>
          <w:color w:val="000000"/>
          <w:sz w:val="24"/>
          <w:szCs w:val="24"/>
        </w:rPr>
        <w:t>Journal of Modern Physics</w:t>
      </w:r>
      <w:r>
        <w:rPr>
          <w:rFonts w:eastAsia="Calibri" w:cs="Calibri"/>
          <w:color w:val="000000"/>
          <w:sz w:val="24"/>
          <w:szCs w:val="24"/>
        </w:rPr>
        <w:t xml:space="preserve">, </w:t>
      </w:r>
      <w:r>
        <w:rPr>
          <w:rFonts w:eastAsia="Calibri" w:cs="Calibri-Bold" w:ascii="Calibri-Bold" w:hAnsi="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pStyle w:val="Normal"/>
        <w:spacing w:before="0" w:after="0"/>
        <w:contextualSpacing/>
        <w:rPr>
          <w:b/>
          <w:b/>
        </w:rPr>
      </w:pPr>
      <w:r>
        <w:rPr>
          <w:b/>
        </w:rPr>
      </w:r>
    </w:p>
    <w:p>
      <w:pPr>
        <w:pStyle w:val="Normal"/>
        <w:spacing w:before="0" w:after="0"/>
        <w:contextualSpacing/>
        <w:rPr>
          <w:rFonts w:ascii="Calibri" w:hAnsi="Calibri" w:eastAsia="Calibri" w:cs="Calibri"/>
          <w:sz w:val="20"/>
          <w:szCs w:val="20"/>
        </w:rPr>
      </w:pPr>
      <w:r>
        <w:rPr>
          <w:rFonts w:eastAsia="Calibri" w:cs="Calibri" w:ascii="Calibri" w:hAnsi="Calibri"/>
          <w:sz w:val="20"/>
          <w:szCs w:val="20"/>
        </w:rPr>
        <w:t>(Research Center of Information Technologies “TELAN Electronics”, Kiev, Ukraine)</w:t>
      </w:r>
    </w:p>
    <w:p>
      <w:pPr>
        <w:pStyle w:val="Normal"/>
        <w:spacing w:before="0" w:after="0"/>
        <w:contextualSpacing/>
        <w:rPr>
          <w:b/>
          <w:b/>
        </w:rPr>
      </w:pPr>
      <w:r>
        <w:rPr>
          <w:b/>
        </w:rPr>
      </w:r>
    </w:p>
    <w:p>
      <w:pPr>
        <w:pStyle w:val="Normal"/>
        <w:spacing w:before="0" w:after="0"/>
        <w:contextualSpacing/>
        <w:jc w:val="left"/>
        <w:rPr>
          <w:rFonts w:ascii="Cambria-Bold" w:hAnsi="Cambria-Bold" w:eastAsia="Calibri" w:cs="Cambria-Bold"/>
          <w:b/>
          <w:b/>
          <w:bCs/>
          <w:color w:val="31859C"/>
        </w:rPr>
      </w:pPr>
      <w:r>
        <w:rPr>
          <w:rFonts w:eastAsia="Calibri" w:cs="Cambria-Bold" w:ascii="Cambria-Bold" w:hAnsi="Cambria-Bold"/>
          <w:b/>
          <w:bCs/>
          <w:color w:val="31859C"/>
        </w:rPr>
        <w:t>Abstract</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Analysis of WMAP and Planck spacecraft data has proved that we live in an invisible Multiverse,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referred to as hidden, that has a quaternion structure. It explains the reason for the mutual invisibility</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of parallel universes contained in the hidden Multiverse. It is shown that the hidden Multiverse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includes most likely twenty parallel universes from different dimensions, six of which are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adjacent to our universe. Besides, edges of the hidden Multiverse are connected to other (from one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to four) Multiverses, which are observable neither by electromagnetic nor by gravitational manifestations.</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The Multiverse described contains four matter-antimatter pairs, annihilation of</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which is prevented by relative spatial position of the universes. The experimental proof of existence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of the hidden Multiverse is explained to be the phenomenon of dark matter and dark energy</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that correspond to other invisible parallel universes, except ours, included in the hidden Multiverse.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General scientific principle of physical reality of imaginary numbers, refuting some of the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statements of the existing version of the special theory of relativity, is a physical and mathematical</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foundation of the outlined conception of the hidden Multiverse. The article presents relativistic</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formulas of the theory of special relativity adjusted in accordance with the principle. It also offers</w:t>
      </w:r>
    </w:p>
    <w:p>
      <w:pPr>
        <w:pStyle w:val="Normal"/>
        <w:spacing w:before="0" w:after="0"/>
        <w:contextualSpacing/>
        <w:rPr/>
      </w:pPr>
      <w:r>
        <w:rPr>
          <w:rFonts w:eastAsia="Calibri" w:cs="Cambria-Bold" w:ascii="Cambria-Bold" w:hAnsi="Cambria-Bold"/>
          <w:b/>
          <w:bCs/>
          <w:color w:val="000000"/>
          <w:sz w:val="20"/>
          <w:szCs w:val="20"/>
        </w:rPr>
        <w:t>appropriate interpretation of multidimensional space of the hidden Multiverse.</w:t>
      </w:r>
      <w:r>
        <w:rPr>
          <w:b/>
        </w:rPr>
        <w:t xml:space="preserve"> </w:t>
      </w:r>
    </w:p>
    <w:p>
      <w:pPr>
        <w:pStyle w:val="Normal"/>
        <w:spacing w:before="0" w:after="0"/>
        <w:contextualSpacing/>
        <w:rPr>
          <w:b/>
          <w:b/>
        </w:rPr>
      </w:pPr>
      <w:r>
        <w:rPr>
          <w:b/>
        </w:rPr>
      </w:r>
    </w:p>
    <w:p>
      <w:pPr>
        <w:pStyle w:val="Normal"/>
        <w:spacing w:before="0" w:after="0"/>
        <w:contextualSpacing/>
        <w:jc w:val="left"/>
        <w:rPr/>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pStyle w:val="Normal"/>
        <w:spacing w:before="0" w:after="0"/>
        <w:contextualSpacing/>
        <w:rPr/>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rPr/>
        <w:t>(1235)</w:t>
      </w:r>
      <w:r>
        <w:rPr>
          <w:b/>
        </w:rPr>
        <w:t xml:space="preserve"> </w:t>
      </w:r>
    </w:p>
    <w:p>
      <w:pPr>
        <w:pStyle w:val="Normal"/>
        <w:spacing w:before="0" w:after="0"/>
        <w:contextualSpacing/>
        <w:rPr>
          <w:b/>
          <w:b/>
        </w:rPr>
      </w:pPr>
      <w:r>
        <w:rPr>
          <w:b/>
        </w:rPr>
      </w:r>
    </w:p>
    <w:p>
      <w:pPr>
        <w:pStyle w:val="Normal"/>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pStyle w:val="Normal"/>
        <w:spacing w:before="0" w:after="0"/>
        <w:contextualSpacing/>
        <w:jc w:val="left"/>
        <w:rPr/>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pStyle w:val="Normal"/>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pStyle w:val="Normal"/>
        <w:spacing w:before="0" w:after="0"/>
        <w:contextualSpacing/>
        <w:rPr/>
      </w:pPr>
      <w:r>
        <w:rPr>
          <w:rFonts w:eastAsia="Calibri"/>
          <w:sz w:val="20"/>
          <w:szCs w:val="20"/>
        </w:rPr>
        <w:t xml:space="preserve">tardyon universe. </w:t>
      </w:r>
      <w:r>
        <w:rPr/>
        <w:t>(1235)</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jc w:val="left"/>
        <w:rPr>
          <w:rFonts w:eastAsia="Calibri"/>
          <w:sz w:val="20"/>
          <w:szCs w:val="20"/>
        </w:rPr>
      </w:pPr>
      <w:r>
        <w:rPr>
          <w:rFonts w:eastAsia="Calibri"/>
          <w:sz w:val="20"/>
          <w:szCs w:val="20"/>
        </w:rPr>
        <w:t>However, the hidden Multiverse can contain more than two universes.</w:t>
      </w:r>
    </w:p>
    <w:p>
      <w:pPr>
        <w:pStyle w:val="Normal"/>
        <w:spacing w:before="0" w:after="0"/>
        <w:contextualSpacing/>
        <w:jc w:val="left"/>
        <w:rPr/>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eastAsia="SymbolMT" w:cs="SymbolMT" w:ascii="SymbolMT" w:hAnsi="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eastAsia="SymbolMT" w:cs="SymbolMT" w:ascii="SymbolMT" w:hAnsi="SymbolMT"/>
          <w:sz w:val="18"/>
          <w:szCs w:val="18"/>
        </w:rPr>
        <w:t xml:space="preserve">= </w:t>
      </w:r>
      <w:r>
        <w:rPr>
          <w:rFonts w:eastAsia="Calibri"/>
          <w:sz w:val="18"/>
          <w:szCs w:val="18"/>
        </w:rPr>
        <w:t xml:space="preserve">3 </w:t>
      </w:r>
      <w:r>
        <w:rPr>
          <w:rFonts w:eastAsia="Calibri"/>
          <w:sz w:val="20"/>
          <w:szCs w:val="20"/>
        </w:rPr>
        <w:t>, another tardyon universe</w:t>
      </w:r>
    </w:p>
    <w:p>
      <w:pPr>
        <w:pStyle w:val="Normal"/>
        <w:spacing w:before="0" w:after="0"/>
        <w:contextualSpacing/>
        <w:jc w:val="left"/>
        <w:rPr/>
      </w:pPr>
      <w:r>
        <w:rPr>
          <w:rFonts w:eastAsia="Calibri"/>
          <w:sz w:val="20"/>
          <w:szCs w:val="20"/>
        </w:rPr>
        <w:t xml:space="preserve">corresponds to </w:t>
      </w:r>
      <w:r>
        <w:rPr>
          <w:rFonts w:eastAsia="Calibri"/>
          <w:i/>
          <w:iCs/>
          <w:sz w:val="18"/>
          <w:szCs w:val="18"/>
        </w:rPr>
        <w:t xml:space="preserve">q </w:t>
      </w:r>
      <w:r>
        <w:rPr>
          <w:rFonts w:eastAsia="SymbolMT" w:cs="SymbolMT" w:ascii="SymbolMT" w:hAnsi="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eastAsia="SymbolMT" w:cs="SymbolMT" w:ascii="SymbolMT" w:hAnsi="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pStyle w:val="Normal"/>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pStyle w:val="Normal"/>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pStyle w:val="Normal"/>
        <w:spacing w:before="0" w:after="0"/>
        <w:contextualSpacing/>
        <w:jc w:val="left"/>
        <w:rPr/>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pStyle w:val="Normal"/>
        <w:spacing w:before="0" w:after="0"/>
        <w:contextualSpacing/>
        <w:jc w:val="left"/>
        <w:rPr/>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pStyle w:val="Normal"/>
        <w:spacing w:before="0" w:after="0"/>
        <w:contextualSpacing/>
        <w:jc w:val="left"/>
        <w:rPr/>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pStyle w:val="Normal"/>
        <w:spacing w:before="0" w:after="0"/>
        <w:contextualSpacing/>
        <w:jc w:val="left"/>
        <w:rPr/>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pStyle w:val="Normal"/>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pStyle w:val="Normal"/>
        <w:spacing w:before="0" w:after="0"/>
        <w:contextualSpacing/>
        <w:jc w:val="left"/>
        <w:rPr/>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pStyle w:val="Normal"/>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pStyle w:val="Normal"/>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pStyle w:val="Normal"/>
        <w:spacing w:before="0" w:after="0"/>
        <w:contextualSpacing/>
        <w:jc w:val="left"/>
        <w:rPr/>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pStyle w:val="Normal"/>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pStyle w:val="Normal"/>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jc w:val="left"/>
        <w:rPr/>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pStyle w:val="Normal"/>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pStyle w:val="Normal"/>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pStyle w:val="Normal"/>
        <w:spacing w:before="0" w:after="0"/>
        <w:contextualSpacing/>
        <w:jc w:val="left"/>
        <w:rPr/>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pStyle w:val="Normal"/>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pStyle w:val="Normal"/>
        <w:spacing w:before="0" w:after="0"/>
        <w:contextualSpacing/>
        <w:rPr>
          <w:rFonts w:eastAsia="Calibri"/>
          <w:color w:val="000000"/>
          <w:sz w:val="20"/>
          <w:szCs w:val="20"/>
        </w:rPr>
      </w:pPr>
      <w:r>
        <w:rPr>
          <w:rFonts w:eastAsia="Calibri"/>
          <w:color w:val="000000"/>
          <w:sz w:val="20"/>
          <w:szCs w:val="20"/>
        </w:rPr>
        <w:t>could be destabilized. (1237)</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pStyle w:val="Normal"/>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pStyle w:val="Normal"/>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pStyle w:val="Normal"/>
        <w:spacing w:before="0" w:after="0"/>
        <w:contextualSpacing/>
        <w:jc w:val="left"/>
        <w:rPr>
          <w:rFonts w:eastAsia="Calibri"/>
          <w:color w:val="000000"/>
          <w:sz w:val="20"/>
          <w:szCs w:val="20"/>
        </w:rPr>
      </w:pPr>
      <w:r>
        <w:rPr>
          <w:rFonts w:eastAsia="Calibri"/>
          <w:color w:val="000000"/>
          <w:sz w:val="20"/>
          <w:szCs w:val="20"/>
        </w:rPr>
        <w:t>to understanding its nature.</w:t>
      </w:r>
    </w:p>
    <w:p>
      <w:pPr>
        <w:pStyle w:val="Normal"/>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pStyle w:val="Normal"/>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pStyle w:val="Normal"/>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pStyle w:val="Normal"/>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pStyle w:val="Normal"/>
        <w:spacing w:before="0" w:after="0"/>
        <w:contextualSpacing/>
        <w:jc w:val="left"/>
        <w:rPr/>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pStyle w:val="Normal"/>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pStyle w:val="Normal"/>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pStyle w:val="Normal"/>
        <w:spacing w:before="0" w:after="0"/>
        <w:contextualSpacing/>
        <w:rPr>
          <w:rFonts w:eastAsia="Calibri"/>
          <w:color w:val="000000"/>
          <w:sz w:val="20"/>
          <w:szCs w:val="20"/>
        </w:rPr>
      </w:pPr>
      <w:r>
        <w:rPr>
          <w:rFonts w:eastAsia="Calibri"/>
          <w:color w:val="000000"/>
          <w:sz w:val="20"/>
          <w:szCs w:val="20"/>
        </w:rPr>
        <w:t>other universes. (1240)</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jc w:val="left"/>
        <w:rPr/>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pStyle w:val="Normal"/>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pStyle w:val="Normal"/>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pStyle w:val="Normal"/>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pStyle w:val="Normal"/>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pStyle w:val="Normal"/>
        <w:spacing w:before="0" w:after="0"/>
        <w:contextualSpacing/>
        <w:jc w:val="left"/>
        <w:rPr/>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pStyle w:val="Normal"/>
        <w:spacing w:before="0" w:after="0"/>
        <w:contextualSpacing/>
        <w:jc w:val="left"/>
        <w:rPr>
          <w:rFonts w:ascii="Cambria-Bold" w:hAnsi="Cambria-Bold" w:eastAsia="Calibri" w:cs="Cambria-Bold"/>
          <w:b/>
          <w:b/>
          <w:bCs/>
          <w:color w:val="31859C"/>
        </w:rPr>
      </w:pPr>
      <w:r>
        <w:rPr>
          <w:rFonts w:eastAsia="Calibri" w:cs="Cambria-Bold" w:ascii="Cambria-Bold" w:hAnsi="Cambria-Bold"/>
          <w:b/>
          <w:bCs/>
          <w:color w:val="31859C"/>
        </w:rPr>
        <w:t>8. Quaternion Structure of the Hidden Multiverse</w:t>
      </w:r>
    </w:p>
    <w:p>
      <w:pPr>
        <w:pStyle w:val="Normal"/>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pStyle w:val="Normal"/>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pStyle w:val="Normal"/>
        <w:spacing w:before="0" w:after="0"/>
        <w:contextualSpacing/>
        <w:jc w:val="left"/>
        <w:rPr/>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pStyle w:val="Normal"/>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pStyle w:val="Normal"/>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pStyle w:val="Normal"/>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pStyle w:val="Normal"/>
        <w:spacing w:before="0" w:after="0"/>
        <w:contextualSpacing/>
        <w:rPr>
          <w:rFonts w:eastAsia="Calibri"/>
          <w:color w:val="000000"/>
          <w:sz w:val="20"/>
          <w:szCs w:val="20"/>
        </w:rPr>
      </w:pPr>
      <w:r>
        <w:rPr>
          <w:rFonts w:eastAsia="Calibri"/>
          <w:color w:val="000000"/>
          <w:sz w:val="20"/>
          <w:szCs w:val="20"/>
        </w:rPr>
        <w:t xml:space="preserve">numbers. (1241) </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pStyle w:val="Normal"/>
        <w:spacing w:before="0" w:after="0"/>
        <w:contextualSpacing/>
        <w:jc w:val="left"/>
        <w:rPr/>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pStyle w:val="Normal"/>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pStyle w:val="Normal"/>
        <w:spacing w:before="0" w:after="0"/>
        <w:contextualSpacing/>
        <w:jc w:val="left"/>
        <w:rPr/>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pStyle w:val="Normal"/>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pStyle w:val="Normal"/>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pStyle w:val="Normal"/>
        <w:spacing w:before="0" w:after="0"/>
        <w:contextualSpacing/>
        <w:jc w:val="left"/>
        <w:rPr/>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pStyle w:val="Normal"/>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pStyle w:val="Normal"/>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pStyle w:val="Normal"/>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pStyle w:val="Normal"/>
        <w:spacing w:before="0" w:after="0"/>
        <w:contextualSpacing/>
        <w:jc w:val="left"/>
        <w:rPr/>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pStyle w:val="Normal"/>
        <w:spacing w:before="0" w:after="0"/>
        <w:contextualSpacing/>
        <w:jc w:val="left"/>
        <w:rPr/>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pStyle w:val="Normal"/>
        <w:spacing w:before="0" w:after="0"/>
        <w:contextualSpacing/>
        <w:jc w:val="left"/>
        <w:rPr/>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pStyle w:val="Normal"/>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pStyle w:val="Normal"/>
        <w:spacing w:before="0" w:after="0"/>
        <w:contextualSpacing/>
        <w:jc w:val="left"/>
        <w:rPr/>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pStyle w:val="Normal"/>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pStyle w:val="Normal"/>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pStyle w:val="Normal"/>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pStyle w:val="Normal"/>
        <w:spacing w:before="0" w:after="0"/>
        <w:contextualSpacing/>
        <w:jc w:val="left"/>
        <w:rPr/>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pStyle w:val="Normal"/>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pStyle w:val="Normal"/>
        <w:spacing w:before="0" w:after="0"/>
        <w:contextualSpacing/>
        <w:jc w:val="left"/>
        <w:rPr/>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pStyle w:val="Normal"/>
        <w:spacing w:before="0" w:after="0"/>
        <w:contextualSpacing/>
        <w:rPr/>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jc w:val="left"/>
        <w:rPr>
          <w:rFonts w:ascii="Cambria-Bold" w:hAnsi="Cambria-Bold" w:eastAsia="Calibri" w:cs="Cambria-Bold"/>
          <w:b/>
          <w:b/>
          <w:bCs/>
          <w:color w:val="31859C"/>
        </w:rPr>
      </w:pPr>
      <w:r>
        <w:rPr>
          <w:rFonts w:eastAsia="Calibri" w:cs="Cambria-Bold" w:ascii="Cambria-Bold" w:hAnsi="Cambria-Bold"/>
          <w:b/>
          <w:bCs/>
          <w:color w:val="31859C"/>
        </w:rPr>
        <w:t>10. Conclusions</w:t>
      </w:r>
    </w:p>
    <w:p>
      <w:pPr>
        <w:pStyle w:val="Normal"/>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pStyle w:val="Normal"/>
        <w:spacing w:before="0" w:after="0"/>
        <w:contextualSpacing/>
        <w:jc w:val="left"/>
        <w:rPr/>
      </w:pPr>
      <w:r>
        <w:rPr>
          <w:rFonts w:eastAsia="SymbolMT" w:cs="SymbolMT" w:ascii="SymbolMT" w:hAnsi="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pStyle w:val="Normal"/>
        <w:spacing w:before="0" w:after="0"/>
        <w:contextualSpacing/>
        <w:jc w:val="left"/>
        <w:rPr/>
      </w:pPr>
      <w:r>
        <w:rPr>
          <w:rFonts w:eastAsia="SymbolMT" w:cs="SymbolMT" w:ascii="SymbolMT" w:hAnsi="SymbolMT"/>
          <w:color w:val="000000"/>
          <w:sz w:val="20"/>
          <w:szCs w:val="20"/>
        </w:rPr>
        <w:t xml:space="preserve">• </w:t>
      </w:r>
      <w:r>
        <w:rPr>
          <w:rFonts w:eastAsia="Calibri"/>
          <w:color w:val="000000"/>
          <w:sz w:val="20"/>
          <w:szCs w:val="20"/>
        </w:rPr>
        <w:t>resonance has been proved to exist at complex frequencies, rather than real ones;</w:t>
      </w:r>
    </w:p>
    <w:p>
      <w:pPr>
        <w:pStyle w:val="Normal"/>
        <w:spacing w:before="0" w:after="0"/>
        <w:contextualSpacing/>
        <w:jc w:val="left"/>
        <w:rPr/>
      </w:pPr>
      <w:r>
        <w:rPr>
          <w:rFonts w:eastAsia="SymbolMT" w:cs="SymbolMT" w:ascii="SymbolMT" w:hAnsi="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pStyle w:val="Normal"/>
        <w:spacing w:before="0" w:after="0"/>
        <w:contextualSpacing/>
        <w:jc w:val="left"/>
        <w:rPr/>
      </w:pPr>
      <w:r>
        <w:rPr>
          <w:rFonts w:eastAsia="SymbolMT" w:cs="SymbolMT" w:ascii="SymbolMT" w:hAnsi="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pStyle w:val="Normal"/>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pStyle w:val="Normal"/>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pStyle w:val="Normal"/>
        <w:spacing w:before="0" w:after="0"/>
        <w:contextualSpacing/>
        <w:jc w:val="left"/>
        <w:rPr/>
      </w:pPr>
      <w:r>
        <w:rPr>
          <w:rFonts w:eastAsia="SymbolMT" w:cs="SymbolMT" w:ascii="SymbolMT" w:hAnsi="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relativistic formulas of the STR have been suggested given the principle of physical reality of imaginary</w:t>
      </w:r>
    </w:p>
    <w:p>
      <w:pPr>
        <w:pStyle w:val="Normal"/>
        <w:spacing w:before="0" w:after="0"/>
        <w:contextualSpacing/>
        <w:jc w:val="left"/>
        <w:rPr>
          <w:rFonts w:eastAsia="Calibri"/>
          <w:sz w:val="20"/>
          <w:szCs w:val="20"/>
        </w:rPr>
      </w:pPr>
      <w:r>
        <w:rPr>
          <w:rFonts w:eastAsia="Calibri"/>
          <w:sz w:val="20"/>
          <w:szCs w:val="20"/>
        </w:rPr>
        <w:t>numbers;</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conception of quaternion structure of the hidden Multiverse, which, according to the WMAP and Planck data,</w:t>
      </w:r>
    </w:p>
    <w:p>
      <w:pPr>
        <w:pStyle w:val="Normal"/>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pStyle w:val="Normal"/>
        <w:spacing w:before="0" w:after="0"/>
        <w:contextualSpacing/>
        <w:jc w:val="left"/>
        <w:rPr>
          <w:rFonts w:eastAsia="Calibri"/>
          <w:sz w:val="20"/>
          <w:szCs w:val="20"/>
        </w:rPr>
      </w:pPr>
      <w:r>
        <w:rPr>
          <w:rFonts w:eastAsia="Calibri"/>
          <w:sz w:val="20"/>
          <w:szCs w:val="20"/>
        </w:rPr>
        <w:t>of the adjusted relativistic formulas of the STR;</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according to the WMAP and Planck data six parallel universes among those twenty mutually invisible universes</w:t>
      </w:r>
    </w:p>
    <w:p>
      <w:pPr>
        <w:pStyle w:val="Normal"/>
        <w:spacing w:before="0" w:after="0"/>
        <w:contextualSpacing/>
        <w:jc w:val="left"/>
        <w:rPr>
          <w:rFonts w:eastAsia="Calibri"/>
          <w:sz w:val="20"/>
          <w:szCs w:val="20"/>
        </w:rPr>
      </w:pPr>
      <w:r>
        <w:rPr>
          <w:rFonts w:eastAsia="Calibri"/>
          <w:sz w:val="20"/>
          <w:szCs w:val="20"/>
        </w:rPr>
        <w:t>existing in different dimensions are adjacent to our universe;</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it has been shown that dark matter and dark energy correspond both to other invisible parallel universes of</w:t>
      </w:r>
    </w:p>
    <w:p>
      <w:pPr>
        <w:pStyle w:val="Normal"/>
        <w:spacing w:before="0" w:after="0"/>
        <w:contextualSpacing/>
        <w:jc w:val="left"/>
        <w:rPr>
          <w:rFonts w:eastAsia="Calibri"/>
          <w:sz w:val="20"/>
          <w:szCs w:val="20"/>
        </w:rPr>
      </w:pPr>
      <w:r>
        <w:rPr>
          <w:rFonts w:eastAsia="Calibri"/>
          <w:sz w:val="20"/>
          <w:szCs w:val="20"/>
        </w:rPr>
        <w:t>the hidden Multiverse, except ours;</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it has been shown that dark matter corresponds to the adjacent invisible parallel universes and dark energy</w:t>
      </w:r>
    </w:p>
    <w:p>
      <w:pPr>
        <w:pStyle w:val="Normal"/>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it has been explained how portals sometimes appear between adjacent parallel universes of the hidden Multiverse,</w:t>
      </w:r>
    </w:p>
    <w:p>
      <w:pPr>
        <w:pStyle w:val="Normal"/>
        <w:spacing w:before="0" w:after="0"/>
        <w:contextualSpacing/>
        <w:jc w:val="left"/>
        <w:rPr>
          <w:rFonts w:eastAsia="Calibri"/>
          <w:sz w:val="20"/>
          <w:szCs w:val="20"/>
        </w:rPr>
      </w:pPr>
      <w:r>
        <w:rPr>
          <w:rFonts w:eastAsia="Calibri"/>
          <w:sz w:val="20"/>
          <w:szCs w:val="20"/>
        </w:rPr>
        <w:t>enabling inhabitants of one universe to penetrate into another;</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since time in different parallel universes of the hidden Multiverse flows in different directions, movement</w:t>
      </w:r>
    </w:p>
    <w:p>
      <w:pPr>
        <w:pStyle w:val="Normal"/>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it has been shown that quaternion structure of the hidden Multiverse contains four pairs of different mattersantimatters,</w:t>
      </w:r>
    </w:p>
    <w:p>
      <w:pPr>
        <w:pStyle w:val="Normal"/>
        <w:spacing w:before="0" w:after="0"/>
        <w:contextualSpacing/>
        <w:jc w:val="left"/>
        <w:rPr>
          <w:rFonts w:eastAsia="Calibri"/>
          <w:sz w:val="20"/>
          <w:szCs w:val="20"/>
        </w:rPr>
      </w:pPr>
      <w:r>
        <w:rPr>
          <w:rFonts w:eastAsia="Calibri"/>
          <w:sz w:val="20"/>
          <w:szCs w:val="20"/>
        </w:rPr>
        <w:t>and that their annihilation is prevented;</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it has been shown that tachyons locate in tachyon universes and antiverses of six different types;</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and, finally, it has been shown how the outlined hypothesis of the hidden Multiverse can be subjected to review</w:t>
      </w:r>
    </w:p>
    <w:p>
      <w:pPr>
        <w:pStyle w:val="Normal"/>
        <w:spacing w:before="0" w:after="0"/>
        <w:contextualSpacing/>
        <w:rPr>
          <w:rFonts w:eastAsia="Calibri"/>
          <w:sz w:val="20"/>
          <w:szCs w:val="20"/>
        </w:rPr>
      </w:pPr>
      <w:r>
        <w:rPr>
          <w:rFonts w:eastAsia="Calibri"/>
          <w:sz w:val="20"/>
          <w:szCs w:val="20"/>
        </w:rPr>
        <w:t>for compliance with Popper’s falsification criterion. (1244-5)</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w:t>
      </w:r>
      <w:r>
        <w:rPr>
          <w:rFonts w:eastAsia="Calibri" w:cs="TimesNewRomanPSMT" w:ascii="TimesNewRomanPSMT" w:hAnsi="TimesNewRomanPSMT"/>
          <w:color w:val="FF0000"/>
          <w:sz w:val="20"/>
          <w:szCs w:val="20"/>
        </w:rPr>
        <w:t>As Vacariu mentioned in (2008), the same alternative is for dark matter and</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dark energy. These dark phenomena correspond to certain entities/phenomena</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that belong to another EW. We see only the phenomena that correspond to such</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entities/processes. We leave the physicists trying to grasp the possible</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phenomena that correspond to what we call “dark matter and energy”, a very hot</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actual Ptolemaic epicycle. The helpful analogy is the nonlocality from quantum</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mechanics that is a problem because of inserting within the unicorn-world both</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the waves and the particles. Within the unicorn-world, because of the</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w:t>
      </w:r>
      <w:r>
        <w:rPr>
          <w:rFonts w:eastAsia="Calibri" w:cs="TimesNewRomanPSMT" w:ascii="TimesNewRomanPSMT" w:hAnsi="TimesNewRomanPSMT"/>
          <w:color w:val="FF0000"/>
          <w:sz w:val="20"/>
          <w:szCs w:val="20"/>
        </w:rPr>
        <w:t>nonlocality”, Einstein’s principle of light has been under question by some</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physicist. In Vacariu (2008), it is showed that the principle is correct, only the</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correspondence between the particles and the wave represents the nonlocality.</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So, the certain correspondences can reflect phenomena that seem to ignore well</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accepted physical laws. Identifying to which EDWs belong to those phenomena</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and their correspondences, we avoid contradicting such laws. The question is</w:t>
      </w:r>
    </w:p>
    <w:p>
      <w:pPr>
        <w:pStyle w:val="Normal"/>
        <w:spacing w:before="0" w:after="0"/>
        <w:contextualSpacing/>
        <w:jc w:val="left"/>
        <w:rPr/>
      </w:pPr>
      <w:r>
        <w:rPr>
          <w:rFonts w:eastAsia="Calibri" w:cs="TimesNewRomanPSMT" w:ascii="TimesNewRomanPSMT" w:hAnsi="TimesNewRomanPSMT"/>
          <w:color w:val="FF0000"/>
          <w:sz w:val="20"/>
          <w:szCs w:val="20"/>
        </w:rPr>
        <w:t>“</w:t>
      </w:r>
      <w:r>
        <w:rPr>
          <w:rFonts w:eastAsia="Calibri" w:cs="TimesNewRomanPSMT" w:ascii="TimesNewRomanPSMT" w:hAnsi="TimesNewRomanPSMT"/>
          <w:color w:val="FF0000"/>
          <w:sz w:val="20"/>
          <w:szCs w:val="20"/>
        </w:rPr>
        <w:t xml:space="preserve">What phenomena from an EW </w:t>
      </w:r>
      <w:r>
        <w:rPr>
          <w:rFonts w:eastAsia="Calibri" w:cs="TimesNewRomanPS-ItalicMT" w:ascii="TimesNewRomanPS-ItalicMT" w:hAnsi="TimesNewRomanPS-ItalicMT"/>
          <w:i/>
          <w:iCs/>
          <w:color w:val="FF0000"/>
          <w:sz w:val="20"/>
          <w:szCs w:val="20"/>
        </w:rPr>
        <w:t xml:space="preserve">correspond </w:t>
      </w:r>
      <w:r>
        <w:rPr>
          <w:rFonts w:eastAsia="Calibri" w:cs="TimesNewRomanPSMT" w:ascii="TimesNewRomanPSMT" w:hAnsi="TimesNewRomanPSMT"/>
          <w:color w:val="FF0000"/>
          <w:sz w:val="20"/>
          <w:szCs w:val="20"/>
        </w:rPr>
        <w:t>to the galaxies and their increasing</w:t>
      </w:r>
    </w:p>
    <w:p>
      <w:pPr>
        <w:pStyle w:val="Normal"/>
        <w:spacing w:before="0" w:after="0"/>
        <w:contextualSpacing/>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speed that belong to the macro-EW?” (2010, p. 292)”</w:t>
      </w:r>
    </w:p>
    <w:p>
      <w:pPr>
        <w:pStyle w:val="Normal"/>
        <w:spacing w:before="0" w:after="0"/>
        <w:contextualSpacing/>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r>
    </w:p>
    <w:p>
      <w:pPr>
        <w:pStyle w:val="Normal"/>
        <w:spacing w:before="0" w:after="0"/>
        <w:contextualSpacing/>
        <w:rPr>
          <w:color w:val="FF0000"/>
        </w:rPr>
      </w:pPr>
      <w:r>
        <w:rPr>
          <w:color w:val="FF0000"/>
        </w:rPr>
        <w:t>I emphasize, it is about GREAT ideas, not details!!! These great ideas are UNBELIEVABLE similar to my ideas published long time ago!!!]</w:t>
      </w:r>
    </w:p>
    <w:p>
      <w:pPr>
        <w:pStyle w:val="Normal"/>
        <w:spacing w:before="0" w:after="0"/>
        <w:contextualSpacing/>
        <w:rPr>
          <w:color w:val="FF0000"/>
        </w:rPr>
      </w:pPr>
      <w:r>
        <w:rPr>
          <w:color w:val="FF0000"/>
        </w:rPr>
      </w:r>
    </w:p>
    <w:p>
      <w:pPr>
        <w:pStyle w:val="Normal"/>
        <w:spacing w:before="0" w:after="0"/>
        <w:contextualSpacing/>
        <w:rPr>
          <w:color w:val="FF0000"/>
        </w:rPr>
      </w:pPr>
      <w:r>
        <w:rPr>
          <w:color w:val="FF0000"/>
        </w:rPr>
      </w:r>
    </w:p>
    <w:p>
      <w:pPr>
        <w:pStyle w:val="Normal"/>
        <w:spacing w:before="0" w:after="0"/>
        <w:ind w:left="0" w:right="0" w:hanging="360"/>
        <w:contextualSpacing/>
        <w:jc w:val="left"/>
        <w:rPr>
          <w:b/>
          <w:b/>
          <w:sz w:val="32"/>
          <w:szCs w:val="32"/>
        </w:rPr>
      </w:pPr>
      <w:r>
        <w:rPr>
          <w:b/>
          <w:sz w:val="32"/>
          <w:szCs w:val="32"/>
        </w:rPr>
        <w:t>FEBRUARY 2019</w:t>
      </w:r>
    </w:p>
    <w:p>
      <w:pPr>
        <w:pStyle w:val="Normal"/>
        <w:spacing w:before="0" w:after="0"/>
        <w:contextualSpacing/>
        <w:rPr>
          <w:b/>
          <w:b/>
        </w:rPr>
      </w:pPr>
      <w:r>
        <w:rPr>
          <w:b/>
        </w:rPr>
      </w:r>
    </w:p>
    <w:p>
      <w:pPr>
        <w:pStyle w:val="ListParagraph"/>
        <w:numPr>
          <w:ilvl w:val="0"/>
          <w:numId w:val="6"/>
        </w:numPr>
        <w:spacing w:before="0" w:after="0"/>
        <w:ind w:left="0" w:right="0" w:hanging="360"/>
        <w:contextualSpacing/>
        <w:rPr/>
      </w:pPr>
      <w:r>
        <w:rPr>
          <w:rFonts w:eastAsia="Calibri" w:ascii="Times New Roman" w:hAnsi="Times New Roman"/>
          <w:b/>
          <w:sz w:val="32"/>
          <w:szCs w:val="32"/>
        </w:rPr>
        <w:t>James Barham</w:t>
      </w:r>
      <w:r>
        <w:rPr>
          <w:rFonts w:eastAsia="Calibri" w:ascii="Times New Roman" w:hAnsi="Times New Roman"/>
          <w:sz w:val="32"/>
          <w:szCs w:val="32"/>
        </w:rPr>
        <w:t xml:space="preserve"> (2019): “The Reality of Purpose and the Reform of Naturalism”</w:t>
      </w:r>
    </w:p>
    <w:p>
      <w:pPr>
        <w:pStyle w:val="Normal"/>
        <w:spacing w:before="0" w:after="0"/>
        <w:contextualSpacing/>
        <w:rPr>
          <w:b/>
          <w:b/>
        </w:rPr>
      </w:pPr>
      <w:r>
        <w:rPr>
          <w:b/>
        </w:rPr>
      </w:r>
    </w:p>
    <w:p>
      <w:pPr>
        <w:pStyle w:val="Normal"/>
        <w:spacing w:before="0" w:after="0"/>
        <w:contextualSpacing/>
        <w:rPr/>
      </w:pPr>
      <w:r>
        <w:rPr>
          <w:b/>
        </w:rPr>
        <w:t xml:space="preserve"> </w:t>
      </w:r>
      <w:r>
        <w:rPr/>
        <w:t>[Amazing, the main idea is incredible similar to my EDWs!!!!]</w:t>
      </w:r>
    </w:p>
    <w:p>
      <w:pPr>
        <w:pStyle w:val="Normal"/>
        <w:spacing w:before="0" w:after="0"/>
        <w:contextualSpacing/>
        <w:rPr>
          <w:b/>
          <w:b/>
        </w:rPr>
      </w:pPr>
      <w:r>
        <w:rPr>
          <w:b/>
        </w:rPr>
      </w:r>
    </w:p>
    <w:p>
      <w:pPr>
        <w:pStyle w:val="Normal"/>
        <w:spacing w:before="0" w:after="0"/>
        <w:contextualSpacing/>
        <w:rPr>
          <w:b/>
          <w:b/>
        </w:rPr>
      </w:pPr>
      <w:r>
        <w:rPr>
          <w:b/>
        </w:rPr>
        <w:t>Abstract</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In order to guide our thinking</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about how this split might possibly be overcome, I propose three guiding</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principles, which I hope will be widely accepted: (1) The reality of the human</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world; (2) The cognitive excellence of empirical science; and (3) The unification</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of knowledge. All three of these principles are eminently reasonable, and</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yet they appear to form an inconsistent triad. Naturalism, as the metaphysical</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worldview extrapolated from empirical science, is distinguished from empirical</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science as such. I propose that the only way to reconcile the three guiding principles</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is to reform naturalism in such a way as to recognize the objective reality</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of biological purpose. Such a reform in the foundations of biology might then</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provide us with a foundation for reconstructing our view of the human world.</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The argument in support of this proposed reform proceeds in two stages. First,</w:t>
      </w:r>
    </w:p>
    <w:p>
      <w:pPr>
        <w:pStyle w:val="Normal"/>
        <w:spacing w:before="0" w:after="0"/>
        <w:contextualSpacing/>
        <w:jc w:val="left"/>
        <w:rPr/>
      </w:pPr>
      <w:r>
        <w:rPr>
          <w:rFonts w:eastAsia="Calibri" w:cs="StempelGaramond-Roman" w:ascii="StempelGaramond-Roman" w:hAnsi="StempelGaramond-Roman"/>
          <w:sz w:val="18"/>
          <w:szCs w:val="18"/>
        </w:rPr>
        <w:t xml:space="preserve">as </w:t>
      </w:r>
      <w:r>
        <w:rPr>
          <w:rFonts w:eastAsia="Calibri" w:cs="StempelGaramond-Italic" w:ascii="StempelGaramond-Italic" w:hAnsi="StempelGaramond-Italic"/>
          <w:i/>
          <w:iCs/>
          <w:sz w:val="18"/>
          <w:szCs w:val="18"/>
        </w:rPr>
        <w:t>pars destruens</w:t>
      </w:r>
      <w:r>
        <w:rPr>
          <w:rFonts w:eastAsia="Calibri" w:cs="StempelGaramond-Roman" w:ascii="StempelGaramond-Roman" w:hAnsi="StempelGaramond-Roman"/>
          <w:sz w:val="18"/>
          <w:szCs w:val="18"/>
        </w:rPr>
        <w:t>, I show that naturalism as usually construed is anyway untenable,</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because the two chief theories by means of which biological purpose is</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supposed to be reduced to mechanism – the theory of natural selection and the</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theory of cybernetic control – fail as reductive schemas because each theory tacitly</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presupposes purpose at a crucial point in its explanatory structure. Second,</w:t>
      </w:r>
    </w:p>
    <w:p>
      <w:pPr>
        <w:pStyle w:val="Normal"/>
        <w:spacing w:before="0" w:after="0"/>
        <w:contextualSpacing/>
        <w:jc w:val="left"/>
        <w:rPr/>
      </w:pPr>
      <w:r>
        <w:rPr>
          <w:rFonts w:eastAsia="Calibri" w:cs="StempelGaramond-Roman" w:ascii="StempelGaramond-Roman" w:hAnsi="StempelGaramond-Roman"/>
          <w:sz w:val="18"/>
          <w:szCs w:val="18"/>
        </w:rPr>
        <w:t xml:space="preserve">as </w:t>
      </w:r>
      <w:r>
        <w:rPr>
          <w:rFonts w:eastAsia="Calibri" w:cs="StempelGaramond-Italic" w:ascii="StempelGaramond-Italic" w:hAnsi="StempelGaramond-Italic"/>
          <w:i/>
          <w:iCs/>
          <w:sz w:val="18"/>
          <w:szCs w:val="18"/>
        </w:rPr>
        <w:t>pars construens</w:t>
      </w:r>
      <w:r>
        <w:rPr>
          <w:rFonts w:eastAsia="Calibri" w:cs="StempelGaramond-Roman" w:ascii="StempelGaramond-Roman" w:hAnsi="StempelGaramond-Roman"/>
          <w:sz w:val="18"/>
          <w:szCs w:val="18"/>
        </w:rPr>
        <w:t>, I discuss the possibility of using some concepts borrowed</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from nonlinear dynamics and condensed-matter physics as a way of directly</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representing biological purpose as a real, emergent phenomenon. Finally, I end</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with a brief reflection on the implications of the doctrine of ontological emergence</w:t>
      </w:r>
    </w:p>
    <w:p>
      <w:pPr>
        <w:pStyle w:val="Normal"/>
        <w:spacing w:before="0" w:after="0"/>
        <w:contextualSpacing/>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for the principle of the unification of knowledge.</w:t>
      </w:r>
    </w:p>
    <w:p>
      <w:pPr>
        <w:pStyle w:val="Normal"/>
        <w:spacing w:before="0" w:after="0"/>
        <w:contextualSpacing/>
        <w:rPr>
          <w:b/>
          <w:b/>
        </w:rPr>
      </w:pPr>
      <w:r>
        <w:rPr>
          <w:b/>
        </w:rPr>
      </w:r>
    </w:p>
    <w:p>
      <w:pPr>
        <w:pStyle w:val="Normal"/>
        <w:spacing w:before="0" w:after="0"/>
        <w:contextualSpacing/>
        <w:jc w:val="left"/>
        <w:rPr>
          <w:rFonts w:ascii="StempelGaramond-Roman" w:hAnsi="StempelGaramond-Roman" w:eastAsia="Calibri" w:cs="StempelGaramond-Roman"/>
        </w:rPr>
      </w:pPr>
      <w:r>
        <w:rPr>
          <w:rFonts w:eastAsia="Calibri" w:cs="StempelGaramond-Roman" w:ascii="StempelGaramond-Roman" w:hAnsi="StempelGaramond-Roman"/>
        </w:rPr>
        <w:t>Three Guiding Principles</w:t>
      </w:r>
    </w:p>
    <w:p>
      <w:pPr>
        <w:pStyle w:val="Normal"/>
        <w:spacing w:before="0" w:after="0"/>
        <w:contextualSpacing/>
        <w:rPr>
          <w:rFonts w:ascii="StempelGaramond-Italic" w:hAnsi="StempelGaramond-Italic" w:eastAsia="Calibri" w:cs="StempelGaramond-Italic"/>
          <w:i/>
          <w:i/>
          <w:iCs/>
          <w:sz w:val="20"/>
          <w:szCs w:val="20"/>
        </w:rPr>
      </w:pPr>
      <w:r>
        <w:rPr>
          <w:rFonts w:eastAsia="Calibri" w:cs="StempelGaramond-Italic" w:ascii="StempelGaramond-Italic" w:hAnsi="StempelGaramond-Italic"/>
          <w:i/>
          <w:iCs/>
          <w:sz w:val="20"/>
          <w:szCs w:val="20"/>
        </w:rPr>
        <w:t>Principle 1: The reality of the human world (p. 33)</w:t>
      </w:r>
    </w:p>
    <w:p>
      <w:pPr>
        <w:pStyle w:val="Normal"/>
        <w:spacing w:before="0" w:after="0"/>
        <w:contextualSpacing/>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The human world is the primary datum of our experience; it is the foundation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upon which everything else rests. To imagine that our evidence for</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the reality of molecules or atoms or quarks could ever throw into doubt</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our direct experience of the reality of purpose and value and meaning is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absurd, because science is nothing else than an elaboration of the human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faculty of reason. Naturalism, in the strong materialist and reductionist</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sense, systematically undermines its own foundations. The naturalist</w:t>
      </w:r>
    </w:p>
    <w:p>
      <w:pPr>
        <w:pStyle w:val="Normal"/>
        <w:spacing w:before="0" w:after="0"/>
        <w:contextualSpacing/>
        <w:jc w:val="left"/>
        <w:rPr/>
      </w:pPr>
      <w:r>
        <w:rPr>
          <w:rFonts w:eastAsia="Calibri" w:cs="StempelGaramond-Roman" w:ascii="StempelGaramond-Roman" w:hAnsi="StempelGaramond-Roman"/>
          <w:sz w:val="20"/>
          <w:szCs w:val="20"/>
        </w:rPr>
        <w:t xml:space="preserve">who advances propositions as </w:t>
      </w:r>
      <w:r>
        <w:rPr>
          <w:rFonts w:eastAsia="Calibri" w:cs="StempelGaramond-Italic" w:ascii="StempelGaramond-Italic" w:hAnsi="StempelGaramond-Italic"/>
          <w:i/>
          <w:iCs/>
          <w:sz w:val="20"/>
          <w:szCs w:val="20"/>
        </w:rPr>
        <w:t xml:space="preserve">rationally </w:t>
      </w:r>
      <w:r>
        <w:rPr>
          <w:rFonts w:eastAsia="Calibri" w:cs="StempelGaramond-Roman" w:ascii="StempelGaramond-Roman" w:hAnsi="StempelGaramond-Roman"/>
          <w:sz w:val="20"/>
          <w:szCs w:val="20"/>
        </w:rPr>
        <w:t>warranted becomes entangled in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 performative contradiction. Whitehead put this point nicely when he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observed that „[s]cientists animated by the purpose of proving that they</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are purposeless constitute an interesting subject for study“ (Whitehead</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1929, 16). On the other hand, the enterprise of empirical science, considered</w:t>
      </w:r>
    </w:p>
    <w:p>
      <w:pPr>
        <w:pStyle w:val="Normal"/>
        <w:spacing w:before="0" w:after="0"/>
        <w:contextualSpacing/>
        <w:jc w:val="left"/>
        <w:rPr/>
      </w:pPr>
      <w:r>
        <w:rPr>
          <w:rFonts w:eastAsia="Calibri" w:cs="StempelGaramond-Roman" w:ascii="StempelGaramond-Roman" w:hAnsi="StempelGaramond-Roman"/>
          <w:sz w:val="20"/>
          <w:szCs w:val="20"/>
        </w:rPr>
        <w:t xml:space="preserve">not as a metaphysical </w:t>
      </w:r>
      <w:r>
        <w:rPr>
          <w:rFonts w:eastAsia="Calibri" w:cs="StempelGaramond-Italic" w:ascii="StempelGaramond-Italic" w:hAnsi="StempelGaramond-Italic"/>
          <w:i/>
          <w:iCs/>
          <w:sz w:val="20"/>
          <w:szCs w:val="20"/>
        </w:rPr>
        <w:t xml:space="preserve">program </w:t>
      </w:r>
      <w:r>
        <w:rPr>
          <w:rFonts w:eastAsia="Calibri" w:cs="StempelGaramond-Roman" w:ascii="StempelGaramond-Roman" w:hAnsi="StempelGaramond-Roman"/>
          <w:sz w:val="20"/>
          <w:szCs w:val="20"/>
        </w:rPr>
        <w:t>but as a knowledge-generating</w:t>
      </w:r>
    </w:p>
    <w:p>
      <w:pPr>
        <w:pStyle w:val="Normal"/>
        <w:spacing w:before="0" w:after="0"/>
        <w:contextualSpacing/>
        <w:jc w:val="left"/>
        <w:rPr/>
      </w:pPr>
      <w:r>
        <w:rPr>
          <w:rFonts w:eastAsia="Calibri" w:cs="StempelGaramond-Italic" w:ascii="StempelGaramond-Italic" w:hAnsi="StempelGaramond-Italic"/>
          <w:i/>
          <w:iCs/>
          <w:sz w:val="20"/>
          <w:szCs w:val="20"/>
        </w:rPr>
        <w:t>practice</w:t>
      </w:r>
      <w:r>
        <w:rPr>
          <w:rFonts w:eastAsia="Calibri" w:cs="StempelGaramond-Roman" w:ascii="StempelGaramond-Roman" w:hAnsi="StempelGaramond-Roman"/>
          <w:sz w:val="20"/>
          <w:szCs w:val="20"/>
        </w:rPr>
        <w:t>, has itself grown out of the fertile soil of the human spirit, and as</w:t>
      </w:r>
    </w:p>
    <w:p>
      <w:pPr>
        <w:pStyle w:val="Normal"/>
        <w:spacing w:before="0" w:after="0"/>
        <w:contextualSpacing/>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such is deserving of our greatest respect.</w:t>
      </w:r>
    </w:p>
    <w:p>
      <w:pPr>
        <w:pStyle w:val="Normal"/>
        <w:spacing w:before="0" w:after="0"/>
        <w:contextualSpacing/>
        <w:rPr>
          <w:b/>
          <w:b/>
        </w:rPr>
      </w:pPr>
      <w:r>
        <w:rPr>
          <w:b/>
        </w:rPr>
      </w:r>
    </w:p>
    <w:p>
      <w:pPr>
        <w:pStyle w:val="Normal"/>
        <w:spacing w:before="0" w:after="0"/>
        <w:contextualSpacing/>
        <w:rPr>
          <w:b/>
          <w:b/>
        </w:rPr>
      </w:pPr>
      <w:r>
        <w:rPr>
          <w:b/>
        </w:rPr>
        <w:t>[even if Whitehead is quoted, the author pretends he introduces a NEW idea. This idea is very similar to my EDWs perspective!!! Don’t confuse Whitehead’s theory with  my EDWs. Whitehead constructed his approach within the unicorn world.]</w:t>
      </w:r>
    </w:p>
    <w:p>
      <w:pPr>
        <w:pStyle w:val="Normal"/>
        <w:spacing w:before="0" w:after="0"/>
        <w:contextualSpacing/>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In short, we ought to take the desirability of the unification of knowledge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as a guiding principle, although we must be wary lest it seduce us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into the too-easy unity of reductionism. Reductionism as a cure for the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bifurcation of nature is worse than the disease. It is a remedy that cures</w:t>
      </w:r>
    </w:p>
    <w:p>
      <w:pPr>
        <w:pStyle w:val="Normal"/>
        <w:spacing w:before="0" w:after="0"/>
        <w:contextualSpacing/>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by killing the patient. (p. 34)</w:t>
      </w:r>
    </w:p>
    <w:p>
      <w:pPr>
        <w:pStyle w:val="Normal"/>
        <w:spacing w:before="0" w:after="0"/>
        <w:contextualSpacing/>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And if we fix our minds on both the excellence of natural science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and the reality of the human world, then we may be tempted by dualism,</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pluralism, complementarity, „non-overlapping magisteria“, or other</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such unsatisfying intellectual makeshifts. The question is: How can we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respect all three principles at the same time?</w:t>
      </w:r>
    </w:p>
    <w:p>
      <w:pPr>
        <w:pStyle w:val="Normal"/>
        <w:spacing w:before="0" w:after="0"/>
        <w:contextualSpacing/>
        <w:jc w:val="left"/>
        <w:rPr/>
      </w:pPr>
      <w:r>
        <w:rPr>
          <w:rFonts w:eastAsia="Calibri" w:cs="StempelGaramond-Roman" w:ascii="StempelGaramond-Roman" w:hAnsi="StempelGaramond-Roman"/>
          <w:sz w:val="20"/>
          <w:szCs w:val="20"/>
        </w:rPr>
        <w:t xml:space="preserve">In this paper I will attempt to show that there </w:t>
      </w:r>
      <w:r>
        <w:rPr>
          <w:rFonts w:eastAsia="Calibri" w:cs="StempelGaramond-Italic" w:ascii="StempelGaramond-Italic" w:hAnsi="StempelGaramond-Italic"/>
          <w:i/>
          <w:iCs/>
          <w:sz w:val="20"/>
          <w:szCs w:val="20"/>
        </w:rPr>
        <w:t xml:space="preserve">is </w:t>
      </w:r>
      <w:r>
        <w:rPr>
          <w:rFonts w:eastAsia="Calibri" w:cs="StempelGaramond-Roman" w:ascii="StempelGaramond-Roman" w:hAnsi="StempelGaramond-Roman"/>
          <w:sz w:val="20"/>
          <w:szCs w:val="20"/>
        </w:rPr>
        <w:t>a way to respect all</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three principles, but only on one condition. Naturalism must undergo</w:t>
      </w:r>
    </w:p>
    <w:p>
      <w:pPr>
        <w:pStyle w:val="Normal"/>
        <w:spacing w:before="0" w:after="0"/>
        <w:contextualSpacing/>
        <w:rPr/>
      </w:pPr>
      <w:r>
        <w:rPr>
          <w:rFonts w:eastAsia="Calibri" w:cs="StempelGaramond-Roman" w:ascii="StempelGaramond-Roman" w:hAnsi="StempelGaramond-Roman"/>
          <w:sz w:val="20"/>
          <w:szCs w:val="20"/>
        </w:rPr>
        <w:t xml:space="preserve">a </w:t>
      </w:r>
      <w:r>
        <w:rPr>
          <w:rFonts w:eastAsia="Calibri" w:cs="StempelGaramond-Italic" w:ascii="StempelGaramond-Italic" w:hAnsi="StempelGaramond-Italic"/>
          <w:i/>
          <w:iCs/>
          <w:sz w:val="20"/>
          <w:szCs w:val="20"/>
        </w:rPr>
        <w:t>reformation</w:t>
      </w:r>
      <w:r>
        <w:rPr>
          <w:rFonts w:eastAsia="Calibri" w:cs="StempelGaramond-Roman" w:ascii="StempelGaramond-Roman" w:hAnsi="StempelGaramond-Roman"/>
          <w:sz w:val="20"/>
          <w:szCs w:val="20"/>
        </w:rPr>
        <w:t>. (35)</w:t>
      </w:r>
    </w:p>
    <w:p>
      <w:pPr>
        <w:pStyle w:val="Normal"/>
        <w:spacing w:before="0" w:after="0"/>
        <w:contextualSpacing/>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For example, everyone agrees that the purpose of the heart</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is to circulate the blood. Equivalently, we may say that the heart beats</w:t>
      </w:r>
    </w:p>
    <w:p>
      <w:pPr>
        <w:pStyle w:val="Normal"/>
        <w:spacing w:before="0" w:after="0"/>
        <w:contextualSpacing/>
        <w:jc w:val="left"/>
        <w:rPr/>
      </w:pPr>
      <w:r>
        <w:rPr>
          <w:rFonts w:eastAsia="Calibri" w:cs="StempelGaramond-Italic" w:ascii="StempelGaramond-Italic" w:hAnsi="StempelGaramond-Italic"/>
          <w:i/>
          <w:iCs/>
          <w:sz w:val="20"/>
          <w:szCs w:val="20"/>
        </w:rPr>
        <w:t xml:space="preserve">in order to </w:t>
      </w:r>
      <w:r>
        <w:rPr>
          <w:rFonts w:eastAsia="Calibri" w:cs="StempelGaramond-Roman" w:ascii="StempelGaramond-Roman" w:hAnsi="StempelGaramond-Roman"/>
          <w:sz w:val="20"/>
          <w:szCs w:val="20"/>
        </w:rPr>
        <w:t>circulate the blood, or that circulating the blood is what the</w:t>
      </w:r>
    </w:p>
    <w:p>
      <w:pPr>
        <w:pStyle w:val="Normal"/>
        <w:spacing w:before="0" w:after="0"/>
        <w:contextualSpacing/>
        <w:jc w:val="left"/>
        <w:rPr/>
      </w:pPr>
      <w:r>
        <w:rPr>
          <w:rFonts w:eastAsia="Calibri" w:cs="StempelGaramond-Roman" w:ascii="StempelGaramond-Roman" w:hAnsi="StempelGaramond-Roman"/>
          <w:sz w:val="20"/>
          <w:szCs w:val="20"/>
        </w:rPr>
        <w:t xml:space="preserve">heart </w:t>
      </w:r>
      <w:r>
        <w:rPr>
          <w:rFonts w:eastAsia="Calibri" w:cs="StempelGaramond-Italic" w:ascii="StempelGaramond-Italic" w:hAnsi="StempelGaramond-Italic"/>
          <w:i/>
          <w:iCs/>
          <w:sz w:val="20"/>
          <w:szCs w:val="20"/>
        </w:rPr>
        <w:t>is for</w:t>
      </w:r>
      <w:r>
        <w:rPr>
          <w:rFonts w:eastAsia="Calibri" w:cs="StempelGaramond-Roman" w:ascii="StempelGaramond-Roman" w:hAnsi="StempelGaramond-Roman"/>
          <w:sz w:val="20"/>
          <w:szCs w:val="20"/>
        </w:rPr>
        <w:t xml:space="preserve">, or what it is </w:t>
      </w:r>
      <w:r>
        <w:rPr>
          <w:rFonts w:eastAsia="Calibri" w:cs="StempelGaramond-Italic" w:ascii="StempelGaramond-Italic" w:hAnsi="StempelGaramond-Italic"/>
          <w:i/>
          <w:iCs/>
          <w:sz w:val="20"/>
          <w:szCs w:val="20"/>
        </w:rPr>
        <w:t>supposed to do</w:t>
      </w:r>
      <w:r>
        <w:rPr>
          <w:rFonts w:eastAsia="Calibri" w:cs="StempelGaramond-Roman" w:ascii="StempelGaramond-Roman" w:hAnsi="StempelGaramond-Roman"/>
          <w:sz w:val="20"/>
          <w:szCs w:val="20"/>
        </w:rPr>
        <w:t>. In general, we often speak of the</w:t>
      </w:r>
    </w:p>
    <w:p>
      <w:pPr>
        <w:pStyle w:val="Normal"/>
        <w:spacing w:before="0" w:after="0"/>
        <w:contextualSpacing/>
        <w:jc w:val="left"/>
        <w:rPr/>
      </w:pPr>
      <w:r>
        <w:rPr>
          <w:rFonts w:eastAsia="Calibri" w:cs="StempelGaramond-Italic" w:ascii="StempelGaramond-Italic" w:hAnsi="StempelGaramond-Italic"/>
          <w:i/>
          <w:iCs/>
          <w:sz w:val="20"/>
          <w:szCs w:val="20"/>
        </w:rPr>
        <w:t xml:space="preserve">goal </w:t>
      </w:r>
      <w:r>
        <w:rPr>
          <w:rFonts w:eastAsia="Calibri" w:cs="StempelGaramond-Roman" w:ascii="StempelGaramond-Roman" w:hAnsi="StempelGaramond-Roman"/>
          <w:sz w:val="20"/>
          <w:szCs w:val="20"/>
        </w:rPr>
        <w:t xml:space="preserve">of functional actions in living things. Let us call this the </w:t>
      </w:r>
      <w:r>
        <w:rPr>
          <w:rFonts w:eastAsia="Calibri" w:cs="StempelGaramond-Italic" w:ascii="StempelGaramond-Italic" w:hAnsi="StempelGaramond-Italic"/>
          <w:i/>
          <w:iCs/>
          <w:sz w:val="20"/>
          <w:szCs w:val="20"/>
        </w:rPr>
        <w:t>biological</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sense of the term.</w:t>
      </w:r>
    </w:p>
    <w:p>
      <w:pPr>
        <w:pStyle w:val="Normal"/>
        <w:spacing w:before="0" w:after="0"/>
        <w:contextualSpacing/>
        <w:jc w:val="left"/>
        <w:rPr/>
      </w:pPr>
      <w:r>
        <w:rPr>
          <w:rFonts w:eastAsia="Calibri" w:cs="StempelGaramond-Roman" w:ascii="StempelGaramond-Roman" w:hAnsi="StempelGaramond-Roman"/>
          <w:sz w:val="20"/>
          <w:szCs w:val="20"/>
        </w:rPr>
        <w:t xml:space="preserve">This sense is to be distinguished from the </w:t>
      </w:r>
      <w:r>
        <w:rPr>
          <w:rFonts w:eastAsia="Calibri" w:cs="StempelGaramond-Italic" w:ascii="StempelGaramond-Italic" w:hAnsi="StempelGaramond-Italic"/>
          <w:i/>
          <w:iCs/>
          <w:sz w:val="20"/>
          <w:szCs w:val="20"/>
        </w:rPr>
        <w:t xml:space="preserve">intentional </w:t>
      </w:r>
      <w:r>
        <w:rPr>
          <w:rFonts w:eastAsia="Calibri" w:cs="StempelGaramond-Roman" w:ascii="StempelGaramond-Roman" w:hAnsi="StempelGaramond-Roman"/>
          <w:sz w:val="20"/>
          <w:szCs w:val="20"/>
        </w:rPr>
        <w:t>sense, in which</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my conscious purpose in writing this essay is to express my views 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the subject of purpose. Of course, many philosophers are of the opinion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that the intentional sense of purpose is the only proper use of the term,</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and that biological purpose is mere metaphor. I have no knock-down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argument to give that would show that this view is wrong. However, it is not the ordinary-language view, which certainly sanctions the ascription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of purpose to the parts of organisms. Nor is it a view that can be warranted</w:t>
      </w:r>
    </w:p>
    <w:p>
      <w:pPr>
        <w:pStyle w:val="Normal"/>
        <w:spacing w:before="0" w:after="0"/>
        <w:contextualSpacing/>
        <w:jc w:val="left"/>
        <w:rPr/>
      </w:pPr>
      <w:r>
        <w:rPr>
          <w:rFonts w:eastAsia="Calibri" w:cs="StempelGaramond-Roman" w:ascii="StempelGaramond-Roman" w:hAnsi="StempelGaramond-Roman"/>
          <w:sz w:val="20"/>
          <w:szCs w:val="20"/>
        </w:rPr>
        <w:t xml:space="preserve">by biological </w:t>
      </w:r>
      <w:r>
        <w:rPr>
          <w:rFonts w:eastAsia="Calibri" w:cs="StempelGaramond-Italic" w:ascii="StempelGaramond-Italic" w:hAnsi="StempelGaramond-Italic"/>
          <w:i/>
          <w:iCs/>
          <w:sz w:val="20"/>
          <w:szCs w:val="20"/>
        </w:rPr>
        <w:t>practice</w:t>
      </w:r>
      <w:r>
        <w:rPr>
          <w:rFonts w:eastAsia="Calibri" w:cs="StempelGaramond-Roman" w:ascii="StempelGaramond-Roman" w:hAnsi="StempelGaramond-Roman"/>
          <w:sz w:val="20"/>
          <w:szCs w:val="20"/>
        </w:rPr>
        <w:t xml:space="preserve">. Although biologists may </w:t>
      </w:r>
      <w:r>
        <w:rPr>
          <w:rFonts w:eastAsia="Calibri" w:cs="StempelGaramond-Italic" w:ascii="StempelGaramond-Italic" w:hAnsi="StempelGaramond-Italic"/>
          <w:i/>
          <w:iCs/>
          <w:sz w:val="20"/>
          <w:szCs w:val="20"/>
        </w:rPr>
        <w:t xml:space="preserve">say </w:t>
      </w:r>
      <w:r>
        <w:rPr>
          <w:rFonts w:eastAsia="Calibri" w:cs="StempelGaramond-Roman" w:ascii="StempelGaramond-Roman" w:hAnsi="StempelGaramond-Roman"/>
          <w:sz w:val="20"/>
          <w:szCs w:val="20"/>
        </w:rPr>
        <w:t>that it is only</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 matter of convenience, the fact is that biological treatises and textbooks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are saturated with teleological, normative, and even intentional terminology</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of every sort, and it would in fact be impossible to discuss the</w:t>
      </w:r>
    </w:p>
    <w:p>
      <w:pPr>
        <w:pStyle w:val="Normal"/>
        <w:spacing w:before="0" w:after="0"/>
        <w:contextualSpacing/>
        <w:jc w:val="left"/>
        <w:rPr/>
      </w:pPr>
      <w:r>
        <w:rPr>
          <w:rFonts w:eastAsia="Calibri" w:cs="StempelGaramond-Roman" w:ascii="StempelGaramond-Roman" w:hAnsi="StempelGaramond-Roman"/>
          <w:sz w:val="20"/>
          <w:szCs w:val="20"/>
        </w:rPr>
        <w:t>phenomena of life at all without recourse to such descriptors.</w:t>
      </w:r>
      <w:r>
        <w:rPr>
          <w:rFonts w:eastAsia="Calibri" w:cs="StempelGaramond-Roman" w:ascii="StempelGaramond-Roman" w:hAnsi="StempelGaramond-Roman"/>
          <w:sz w:val="12"/>
          <w:szCs w:val="12"/>
        </w:rPr>
        <w:t xml:space="preserve">1 </w:t>
      </w:r>
      <w:r>
        <w:rPr>
          <w:rFonts w:eastAsia="Calibri" w:cs="StempelGaramond-Roman" w:ascii="StempelGaramond-Roman" w:hAnsi="StempelGaramond-Roman"/>
          <w:sz w:val="20"/>
          <w:szCs w:val="20"/>
        </w:rPr>
        <w:t>It is true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that biologists speak more often of „function“ than of „purpose“, but in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biology the word „function“ is also used in a clearly teleological and normative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sense. Thus, biological purpose is universally recognized, both in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everyday life and in life science. And one would think that the universal</w:t>
      </w:r>
    </w:p>
    <w:p>
      <w:pPr>
        <w:pStyle w:val="Normal"/>
        <w:spacing w:before="0" w:after="0"/>
        <w:contextualSpacing/>
        <w:jc w:val="left"/>
        <w:rPr/>
      </w:pPr>
      <w:r>
        <w:rPr>
          <w:rFonts w:eastAsia="Calibri" w:cs="StempelGaramond-Roman" w:ascii="StempelGaramond-Roman" w:hAnsi="StempelGaramond-Roman"/>
          <w:sz w:val="20"/>
          <w:szCs w:val="20"/>
        </w:rPr>
        <w:t xml:space="preserve">recognition of something would constitute a pretty strong </w:t>
      </w:r>
      <w:r>
        <w:rPr>
          <w:rFonts w:eastAsia="Calibri" w:cs="StempelGaramond-Italic" w:ascii="StempelGaramond-Italic" w:hAnsi="StempelGaramond-Italic"/>
          <w:i/>
          <w:iCs/>
          <w:sz w:val="20"/>
          <w:szCs w:val="20"/>
        </w:rPr>
        <w:t>prima facie</w:t>
      </w:r>
    </w:p>
    <w:p>
      <w:pPr>
        <w:pStyle w:val="Normal"/>
        <w:spacing w:before="0" w:after="0"/>
        <w:contextualSpacing/>
        <w:jc w:val="left"/>
        <w:rPr/>
      </w:pPr>
      <w:r>
        <w:rPr>
          <w:rFonts w:eastAsia="Calibri" w:cs="StempelGaramond-Roman" w:ascii="StempelGaramond-Roman" w:hAnsi="StempelGaramond-Roman"/>
          <w:sz w:val="20"/>
          <w:szCs w:val="20"/>
        </w:rPr>
        <w:t>case for the reality of that thing!</w:t>
      </w:r>
      <w:r>
        <w:rPr>
          <w:rFonts w:eastAsia="Calibri" w:cs="StempelGaramond-Roman" w:ascii="StempelGaramond-Roman" w:hAnsi="StempelGaramond-Roman"/>
          <w:sz w:val="12"/>
          <w:szCs w:val="12"/>
        </w:rPr>
        <w:t>2</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So, it seems that purpose is a property that we are compelled to ascribe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to living things by the nature of the phenomena themselves. There is little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reason to believe that it is an illusion of perspective, an anthropomorphic</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projection, or anything of that sort, since the phenomena would be the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same – the heart of a dog would still circulate its blood in just the same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way – even if there were no human beings around to describe the process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in words. From this, we may safely conclude that biological purpose is a</w:t>
      </w:r>
    </w:p>
    <w:p>
      <w:pPr>
        <w:pStyle w:val="Normal"/>
        <w:spacing w:before="0" w:after="0"/>
        <w:contextualSpacing/>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real or objective feature of the world. (pp. 35-36)</w:t>
      </w:r>
    </w:p>
    <w:p>
      <w:pPr>
        <w:pStyle w:val="Normal"/>
        <w:spacing w:before="0" w:after="0"/>
        <w:contextualSpacing/>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But the proteins are only the</w:t>
      </w:r>
    </w:p>
    <w:p>
      <w:pPr>
        <w:pStyle w:val="Normal"/>
        <w:spacing w:before="0" w:after="0"/>
        <w:contextualSpacing/>
        <w:jc w:val="left"/>
        <w:rPr/>
      </w:pPr>
      <w:r>
        <w:rPr>
          <w:rFonts w:eastAsia="Calibri" w:cs="StempelGaramond-Roman" w:ascii="StempelGaramond-Roman" w:hAnsi="StempelGaramond-Roman"/>
          <w:sz w:val="20"/>
          <w:szCs w:val="20"/>
        </w:rPr>
        <w:t xml:space="preserve">building blocks out of which phenotypes are constructed. </w:t>
      </w:r>
      <w:r>
        <w:rPr>
          <w:rFonts w:eastAsia="Calibri" w:cs="StempelGaramond-Italic" w:ascii="StempelGaramond-Italic" w:hAnsi="StempelGaramond-Italic"/>
          <w:i/>
          <w:iCs/>
          <w:sz w:val="20"/>
          <w:szCs w:val="20"/>
        </w:rPr>
        <w:t>That construction itself is controlled by the myriad other interactions among macromolecules that constitute the living cell. (p. 39-40)</w:t>
      </w:r>
    </w:p>
    <w:p>
      <w:pPr>
        <w:pStyle w:val="Normal"/>
        <w:spacing w:before="0" w:after="0"/>
        <w:contextualSpacing/>
        <w:jc w:val="left"/>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However, I am convinced that it is nothing</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of the sort, and that, on the contrary, trying to understand the sense in</w:t>
      </w:r>
    </w:p>
    <w:p>
      <w:pPr>
        <w:pStyle w:val="Normal"/>
        <w:spacing w:before="0" w:after="0"/>
        <w:contextualSpacing/>
        <w:jc w:val="left"/>
        <w:rPr/>
      </w:pPr>
      <w:r>
        <w:rPr>
          <w:rFonts w:eastAsia="Calibri" w:cs="StempelGaramond-Roman" w:ascii="StempelGaramond-Roman" w:hAnsi="StempelGaramond-Roman"/>
          <w:sz w:val="20"/>
          <w:szCs w:val="20"/>
        </w:rPr>
        <w:t xml:space="preserve">which </w:t>
      </w:r>
      <w:r>
        <w:rPr>
          <w:rFonts w:eastAsia="Calibri" w:cs="StempelGaramond-Italic" w:ascii="StempelGaramond-Italic" w:hAnsi="StempelGaramond-Italic"/>
          <w:i/>
          <w:iCs/>
          <w:sz w:val="20"/>
          <w:szCs w:val="20"/>
        </w:rPr>
        <w:t>living things are not indifferent to their own continued existence as</w:t>
      </w:r>
    </w:p>
    <w:p>
      <w:pPr>
        <w:pStyle w:val="Normal"/>
        <w:spacing w:before="0" w:after="0"/>
        <w:contextualSpacing/>
        <w:jc w:val="left"/>
        <w:rPr/>
      </w:pPr>
      <w:r>
        <w:rPr>
          <w:rFonts w:eastAsia="Calibri" w:cs="StempelGaramond-Italic" w:ascii="StempelGaramond-Italic" w:hAnsi="StempelGaramond-Italic"/>
          <w:i/>
          <w:iCs/>
          <w:sz w:val="20"/>
          <w:szCs w:val="20"/>
        </w:rPr>
        <w:t xml:space="preserve">organized beings </w:t>
      </w:r>
      <w:r>
        <w:rPr>
          <w:rFonts w:eastAsia="Calibri" w:cs="StempelGaramond-Roman" w:ascii="StempelGaramond-Roman" w:hAnsi="StempelGaramond-Roman"/>
          <w:sz w:val="20"/>
          <w:szCs w:val="20"/>
        </w:rPr>
        <w:t>is the most important foundational problem in biology. (41)</w:t>
      </w:r>
    </w:p>
    <w:p>
      <w:pPr>
        <w:pStyle w:val="Normal"/>
        <w:spacing w:before="0" w:after="0"/>
        <w:contextualSpacing/>
        <w:jc w:val="left"/>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 think that this reflection ought already to set our minds somewhat at</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ease. However, there is another consideration that I believe adds further</w:t>
      </w:r>
    </w:p>
    <w:p>
      <w:pPr>
        <w:pStyle w:val="Normal"/>
        <w:spacing w:before="0" w:after="0"/>
        <w:contextualSpacing/>
        <w:jc w:val="left"/>
        <w:rPr/>
      </w:pPr>
      <w:r>
        <w:rPr>
          <w:rFonts w:eastAsia="Calibri" w:cs="StempelGaramond-Roman" w:ascii="StempelGaramond-Roman" w:hAnsi="StempelGaramond-Roman"/>
          <w:sz w:val="20"/>
          <w:szCs w:val="20"/>
        </w:rPr>
        <w:t xml:space="preserve">support to the idea that a physical model need not </w:t>
      </w:r>
      <w:r>
        <w:rPr>
          <w:rFonts w:eastAsia="Calibri" w:cs="StempelGaramond-Italic" w:ascii="StempelGaramond-Italic" w:hAnsi="StempelGaramond-Italic"/>
          <w:i/>
          <w:iCs/>
          <w:sz w:val="20"/>
          <w:szCs w:val="20"/>
        </w:rPr>
        <w:t xml:space="preserve">ipso facto </w:t>
      </w:r>
      <w:r>
        <w:rPr>
          <w:rFonts w:eastAsia="Calibri" w:cs="StempelGaramond-Roman" w:ascii="StempelGaramond-Roman" w:hAnsi="StempelGaramond-Roman"/>
          <w:sz w:val="20"/>
          <w:szCs w:val="20"/>
        </w:rPr>
        <w:t>constitute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 reduction. Namely, it is increasingly recognized today even within the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physics community itself that reality is essentially layered, in the sense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that each of the various levels of structure in the world enjoys a large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degree of autonomy and stability. Let us call this the „emergentist“ view</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of the world. (45)</w:t>
      </w:r>
    </w:p>
    <w:p>
      <w:pPr>
        <w:pStyle w:val="Normal"/>
        <w:spacing w:before="0" w:after="0"/>
        <w:contextualSpacing/>
        <w:jc w:val="left"/>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But if contemporary physics itself is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providing us with good reasons for seeing the whole of reality as layered,</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then it seems much more natural to see life and mind as particular stages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within that more general emergentist perspective. (46)</w:t>
      </w:r>
    </w:p>
    <w:p>
      <w:pPr>
        <w:pStyle w:val="Normal"/>
        <w:spacing w:before="0" w:after="0"/>
        <w:contextualSpacing/>
        <w:jc w:val="left"/>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In other words,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while levels are not entirely cut off from each other, and some sense can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be made of the emergence of new structures with novel causal powers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out of the lower level thanks to the mathematical tools that transcend all the levels, nevertheless it seems to be an essential feature of contemporary</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physical theory that new laws emerge at each higher level that cannot,</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even in principle, be derived from the laws at the lower level. (46-47)</w:t>
      </w:r>
    </w:p>
    <w:p>
      <w:pPr>
        <w:pStyle w:val="Normal"/>
        <w:spacing w:before="0" w:after="0"/>
        <w:contextualSpacing/>
        <w:jc w:val="left"/>
        <w:rPr>
          <w:b/>
          <w:b/>
        </w:rPr>
      </w:pPr>
      <w:r>
        <w:rPr>
          <w:b/>
        </w:rPr>
      </w:r>
    </w:p>
    <w:p>
      <w:pPr>
        <w:pStyle w:val="Normal"/>
        <w:spacing w:before="0" w:after="0"/>
        <w:contextualSpacing/>
        <w:jc w:val="left"/>
        <w:rPr/>
      </w:pPr>
      <w:r>
        <w:rPr>
          <w:rFonts w:eastAsia="Calibri" w:cs="StempelGaramond-Roman" w:ascii="StempelGaramond-Roman" w:hAnsi="StempelGaramond-Roman"/>
          <w:sz w:val="20"/>
          <w:szCs w:val="20"/>
        </w:rPr>
        <w:t xml:space="preserve">In reply, I would admit that emergentism does involve a </w:t>
      </w:r>
      <w:r>
        <w:rPr>
          <w:rFonts w:eastAsia="Calibri" w:cs="StempelGaramond-Italic" w:ascii="StempelGaramond-Italic" w:hAnsi="StempelGaramond-Italic"/>
          <w:i/>
          <w:iCs/>
          <w:sz w:val="20"/>
          <w:szCs w:val="20"/>
        </w:rPr>
        <w:t>reinterpretation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of that principle. To some, this may seem like cheating. But I think</w:t>
      </w:r>
    </w:p>
    <w:p>
      <w:pPr>
        <w:pStyle w:val="Normal"/>
        <w:spacing w:before="0" w:after="0"/>
        <w:contextualSpacing/>
        <w:jc w:val="left"/>
        <w:rPr/>
      </w:pPr>
      <w:r>
        <w:rPr>
          <w:rFonts w:eastAsia="Calibri" w:cs="StempelGaramond-Roman" w:ascii="StempelGaramond-Roman" w:hAnsi="StempelGaramond-Roman"/>
          <w:sz w:val="20"/>
          <w:szCs w:val="20"/>
        </w:rPr>
        <w:t xml:space="preserve">the real point is that many of us unconsciously </w:t>
      </w:r>
      <w:r>
        <w:rPr>
          <w:rFonts w:eastAsia="Calibri" w:cs="StempelGaramond-Italic" w:ascii="StempelGaramond-Italic" w:hAnsi="StempelGaramond-Italic"/>
          <w:i/>
          <w:iCs/>
          <w:sz w:val="20"/>
          <w:szCs w:val="20"/>
        </w:rPr>
        <w:t xml:space="preserve">equate </w:t>
      </w:r>
      <w:r>
        <w:rPr>
          <w:rFonts w:eastAsia="Calibri" w:cs="StempelGaramond-Roman" w:ascii="StempelGaramond-Roman" w:hAnsi="StempelGaramond-Roman"/>
          <w:sz w:val="20"/>
          <w:szCs w:val="20"/>
        </w:rPr>
        <w:t>unification with</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reduction. Obviously, emergence must violate any unification principle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interpreted in that way. But if the world really is emergentist in its deepest</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structure – if novelty and creativity are written into the fabric of being</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itself – then we must learn to seek the intellectual satisfaction of unification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in a slightly different way. I believe there is a kind of cognitive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unification that is consonant with an emergentist ontology. Let us call it</w:t>
      </w:r>
    </w:p>
    <w:p>
      <w:pPr>
        <w:pStyle w:val="Normal"/>
        <w:spacing w:before="0" w:after="0"/>
        <w:contextualSpacing/>
        <w:jc w:val="left"/>
        <w:rPr/>
      </w:pPr>
      <w:r>
        <w:rPr>
          <w:rFonts w:eastAsia="Calibri" w:cs="StempelGaramond-Italic" w:ascii="StempelGaramond-Italic" w:hAnsi="StempelGaramond-Italic"/>
          <w:i/>
          <w:iCs/>
          <w:sz w:val="20"/>
          <w:szCs w:val="20"/>
        </w:rPr>
        <w:t>integrationism</w:t>
      </w:r>
      <w:r>
        <w:rPr>
          <w:rFonts w:eastAsia="Calibri" w:cs="StempelGaramond-Roman" w:ascii="StempelGaramond-Roman" w:hAnsi="StempelGaramond-Roman"/>
          <w:sz w:val="20"/>
          <w:szCs w:val="20"/>
        </w:rPr>
        <w:t>. To learn to see scientific progress in terms of integration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of all levels, rather than as reduction to a single level, is, then, a crucial</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 xml:space="preserve">part of the necessary reform of naturalism. (47) </w:t>
      </w:r>
    </w:p>
    <w:p>
      <w:pPr>
        <w:pStyle w:val="Normal"/>
        <w:spacing w:before="0" w:after="0"/>
        <w:contextualSpacing/>
        <w:jc w:val="left"/>
        <w:rPr>
          <w:b/>
          <w:b/>
        </w:rPr>
      </w:pPr>
      <w:r>
        <w:rPr>
          <w:b/>
        </w:rPr>
      </w:r>
    </w:p>
    <w:p>
      <w:pPr>
        <w:pStyle w:val="Normal"/>
        <w:spacing w:before="0" w:after="0"/>
        <w:contextualSpacing/>
        <w:jc w:val="left"/>
        <w:rPr>
          <w:b/>
          <w:b/>
        </w:rPr>
      </w:pPr>
      <w:r>
        <w:rPr>
          <w:b/>
        </w:rPr>
      </w:r>
    </w:p>
    <w:p>
      <w:pPr>
        <w:pStyle w:val="ListParagraph"/>
        <w:numPr>
          <w:ilvl w:val="0"/>
          <w:numId w:val="34"/>
        </w:numPr>
        <w:spacing w:before="0" w:after="0"/>
        <w:ind w:left="0" w:right="0" w:hanging="360"/>
        <w:contextualSpacing/>
        <w:rPr/>
      </w:pPr>
      <w:r>
        <w:rPr>
          <w:rFonts w:eastAsia="Calibri"/>
          <w:b/>
          <w:sz w:val="28"/>
          <w:szCs w:val="28"/>
        </w:rPr>
        <w:t xml:space="preserve">Giorgio Lando (2017) Mereology - A Philosophical Introduction, </w:t>
      </w:r>
      <w:r>
        <w:rPr>
          <w:rFonts w:eastAsia="Calibri" w:cs="MinionPro-Regular" w:ascii="MinionPro-Regular" w:hAnsi="MinionPro-Regular"/>
          <w:sz w:val="20"/>
          <w:szCs w:val="20"/>
        </w:rPr>
        <w:t>Bloomsbury Academic</w:t>
      </w:r>
      <w:bookmarkStart w:id="7" w:name="_Hlk129345"/>
      <w:bookmarkEnd w:id="7"/>
    </w:p>
    <w:p>
      <w:pPr>
        <w:pStyle w:val="ListParagraph"/>
        <w:spacing w:before="0" w:after="0"/>
        <w:ind w:left="0" w:right="0" w:hanging="0"/>
        <w:contextualSpacing/>
        <w:rPr>
          <w:rFonts w:eastAsia="Calibri"/>
          <w:b/>
          <w:b/>
          <w:sz w:val="28"/>
          <w:szCs w:val="28"/>
        </w:rPr>
      </w:pPr>
      <w:r>
        <w:rPr>
          <w:rFonts w:eastAsia="Calibri"/>
          <w:b/>
          <w:sz w:val="28"/>
          <w:szCs w:val="28"/>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Many other books discussing philosophical topics closely associated with</w:t>
      </w:r>
    </w:p>
    <w:p>
      <w:pPr>
        <w:pStyle w:val="Normal"/>
        <w:spacing w:before="0" w:after="0"/>
        <w:contextualSpacing/>
        <w:jc w:val="left"/>
        <w:rPr/>
      </w:pPr>
      <w:r>
        <w:rPr>
          <w:rFonts w:eastAsia="Calibri" w:cs="MinionPro-Regular" w:ascii="MinionPro-Regular" w:hAnsi="MinionPro-Regular"/>
          <w:sz w:val="21"/>
          <w:szCs w:val="21"/>
        </w:rPr>
        <w:t xml:space="preserve">the notions of parthood and composition (such as Koslicki’s </w:t>
      </w:r>
      <w:r>
        <w:rPr>
          <w:rFonts w:eastAsia="Calibri" w:cs="MinionPro-It" w:ascii="MinionPro-It" w:hAnsi="MinionPro-It"/>
          <w:i/>
          <w:iCs/>
          <w:sz w:val="21"/>
          <w:szCs w:val="21"/>
        </w:rPr>
        <w:t>The Structure of</w:t>
      </w:r>
    </w:p>
    <w:p>
      <w:pPr>
        <w:pStyle w:val="Normal"/>
        <w:spacing w:before="0" w:after="0"/>
        <w:contextualSpacing/>
        <w:jc w:val="left"/>
        <w:rPr/>
      </w:pPr>
      <w:r>
        <w:rPr>
          <w:rFonts w:eastAsia="Calibri" w:cs="MinionPro-It" w:ascii="MinionPro-It" w:hAnsi="MinionPro-It"/>
          <w:i/>
          <w:iCs/>
          <w:sz w:val="21"/>
          <w:szCs w:val="21"/>
        </w:rPr>
        <w:t xml:space="preserve">Objects </w:t>
      </w:r>
      <w:r>
        <w:rPr>
          <w:rFonts w:eastAsia="Calibri" w:cs="MinionPro-Regular" w:ascii="MinionPro-Regular" w:hAnsi="MinionPro-Regular"/>
          <w:sz w:val="21"/>
          <w:szCs w:val="21"/>
        </w:rPr>
        <w:t xml:space="preserve">and Sattig’s </w:t>
      </w:r>
      <w:r>
        <w:rPr>
          <w:rFonts w:eastAsia="Calibri" w:cs="MinionPro-It" w:ascii="MinionPro-It" w:hAnsi="MinionPro-It"/>
          <w:i/>
          <w:iCs/>
          <w:sz w:val="21"/>
          <w:szCs w:val="21"/>
        </w:rPr>
        <w:t>The Double Lives of Objects</w:t>
      </w:r>
      <w:r>
        <w:rPr>
          <w:rFonts w:eastAsia="Calibri" w:cs="MinionPro-Regular" w:ascii="MinionPro-Regular" w:hAnsi="MinionPro-Regular"/>
          <w:sz w:val="12"/>
          <w:szCs w:val="12"/>
        </w:rPr>
        <w:t>6</w:t>
      </w:r>
      <w:r>
        <w:rPr>
          <w:rFonts w:eastAsia="Calibri" w:cs="MinionPro-Regular" w:ascii="MinionPro-Regular" w:hAnsi="MinionPro-Regular"/>
          <w:sz w:val="21"/>
          <w:szCs w:val="21"/>
        </w:rPr>
        <w:t>) usually include a relatively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succinct exposition of Classical Extensional Mereology, and then proceed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to rapidly show why it would be too strong as a theory of parthood, or too</w:t>
      </w:r>
    </w:p>
    <w:p>
      <w:pPr>
        <w:pStyle w:val="ListParagraph"/>
        <w:spacing w:before="0" w:after="0"/>
        <w:ind w:left="0" w:right="0" w:hanging="0"/>
        <w:contextualSpacing/>
        <w:rPr>
          <w:rFonts w:ascii="MinionPro-Regular" w:hAnsi="MinionPro-Regular" w:eastAsia="Calibri" w:cs="MinionPro-Regular"/>
          <w:sz w:val="21"/>
          <w:szCs w:val="21"/>
        </w:rPr>
      </w:pPr>
      <w:r>
        <w:rPr>
          <w:rFonts w:eastAsia="Calibri" w:cs="MinionPro-Regular" w:ascii="MinionPro-Regular" w:hAnsi="MinionPro-Regular"/>
          <w:sz w:val="21"/>
          <w:szCs w:val="21"/>
        </w:rPr>
        <w:t xml:space="preserve">poor as a theory of constitution. (p. 7) </w:t>
      </w:r>
    </w:p>
    <w:p>
      <w:pPr>
        <w:pStyle w:val="ListParagraph"/>
        <w:spacing w:before="0" w:after="0"/>
        <w:ind w:left="0" w:right="0" w:hanging="0"/>
        <w:contextualSpacing/>
        <w:rPr>
          <w:rFonts w:eastAsia="Calibri"/>
          <w:b/>
          <w:b/>
          <w:sz w:val="28"/>
          <w:szCs w:val="28"/>
        </w:rPr>
      </w:pPr>
      <w:r>
        <w:rPr>
          <w:rFonts w:eastAsia="Calibri"/>
          <w:b/>
          <w:sz w:val="28"/>
          <w:szCs w:val="28"/>
        </w:rPr>
      </w:r>
    </w:p>
    <w:p>
      <w:pPr>
        <w:pStyle w:val="ListParagraph"/>
        <w:spacing w:before="0" w:after="0"/>
        <w:ind w:left="0" w:right="0" w:hanging="0"/>
        <w:contextualSpacing/>
        <w:rPr>
          <w:rFonts w:eastAsia="Calibri"/>
          <w:sz w:val="28"/>
          <w:szCs w:val="28"/>
        </w:rPr>
      </w:pPr>
      <w:r>
        <w:rPr>
          <w:rFonts w:eastAsia="Calibri"/>
          <w:sz w:val="28"/>
          <w:szCs w:val="28"/>
        </w:rPr>
        <w:t>[I mentioned Koslicki’s book is included in this manuscript!!!]</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Thus, the main role of Composition as Identity in the core of this book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to be absent: mereological monism is best defended without any reference to</w:t>
      </w:r>
    </w:p>
    <w:p>
      <w:pPr>
        <w:pStyle w:val="Normal"/>
        <w:spacing w:before="0" w:after="0"/>
        <w:contextualSpacing/>
        <w:jc w:val="left"/>
        <w:rPr/>
      </w:pPr>
      <w:r>
        <w:rPr>
          <w:rFonts w:eastAsia="Calibri" w:cs="MinionPro-Regular" w:ascii="MinionPro-Regular" w:hAnsi="MinionPro-Regular"/>
          <w:sz w:val="21"/>
          <w:szCs w:val="21"/>
        </w:rPr>
        <w:t>Composition as Identity.</w:t>
      </w:r>
      <w:r>
        <w:rPr>
          <w:b/>
        </w:rPr>
        <w:t xml:space="preserve">  (12)</w:t>
      </w:r>
    </w:p>
    <w:p>
      <w:pPr>
        <w:pStyle w:val="Normal"/>
        <w:spacing w:before="0" w:after="0"/>
        <w:contextualSpacing/>
        <w:jc w:val="left"/>
        <w:rPr>
          <w:b/>
          <w:b/>
        </w:rPr>
      </w:pPr>
      <w:r>
        <w:rPr>
          <w:b/>
        </w:rPr>
      </w:r>
    </w:p>
    <w:p>
      <w:pPr>
        <w:pStyle w:val="Normal"/>
        <w:spacing w:before="0" w:after="0"/>
        <w:contextualSpacing/>
        <w:jc w:val="left"/>
        <w:rPr/>
      </w:pPr>
      <w:r>
        <w:rPr>
          <w:rFonts w:eastAsia="Calibri" w:cs="MinionPro-Regular" w:ascii="MinionPro-Regular" w:hAnsi="MinionPro-Regular"/>
          <w:sz w:val="21"/>
          <w:szCs w:val="21"/>
        </w:rPr>
        <w:t xml:space="preserve">Moreover, in the course of the analysis, I will discuss alternative, </w:t>
      </w:r>
      <w:r>
        <w:rPr>
          <w:rFonts w:eastAsia="Calibri" w:cs="MinionPro-It" w:ascii="MinionPro-It" w:hAnsi="MinionPro-It"/>
          <w:i/>
          <w:iCs/>
          <w:sz w:val="21"/>
          <w:szCs w:val="21"/>
        </w:rPr>
        <w:t>pluralist</w:t>
      </w:r>
    </w:p>
    <w:p>
      <w:pPr>
        <w:pStyle w:val="Normal"/>
        <w:spacing w:before="0" w:after="0"/>
        <w:contextualSpacing/>
        <w:jc w:val="left"/>
        <w:rPr/>
      </w:pPr>
      <w:r>
        <w:rPr>
          <w:rFonts w:eastAsia="Calibri" w:cs="MinionPro-Regular" w:ascii="MinionPro-Regular" w:hAnsi="MinionPro-Regular"/>
          <w:sz w:val="21"/>
          <w:szCs w:val="21"/>
        </w:rPr>
        <w:t xml:space="preserve">approaches, according to which there is </w:t>
      </w:r>
      <w:r>
        <w:rPr>
          <w:rFonts w:eastAsia="Calibri" w:cs="MinionPro-It" w:ascii="MinionPro-It" w:hAnsi="MinionPro-It"/>
          <w:i/>
          <w:iCs/>
          <w:sz w:val="21"/>
          <w:szCs w:val="21"/>
        </w:rPr>
        <w:t xml:space="preserve">not </w:t>
      </w:r>
      <w:r>
        <w:rPr>
          <w:rFonts w:eastAsia="Calibri" w:cs="MinionPro-Regular" w:ascii="MinionPro-Regular" w:hAnsi="MinionPro-Regular"/>
          <w:sz w:val="21"/>
          <w:szCs w:val="21"/>
        </w:rPr>
        <w:t>a single, exhaustive theory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parthood, but there are many. However, in most cases, these pluralist approaches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to parthood are not motivated by the need for the philosophical analysis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provide a perfect and exhaustive account of the lexical meaning of “part” (or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the equivalent terms in other languages). In other words—no matter if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you are a mereological monist or not—the immediate negative answer to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question about the univocity or non-univocity of “part” in English is of limited</w:t>
      </w:r>
    </w:p>
    <w:p>
      <w:pPr>
        <w:pStyle w:val="Normal"/>
        <w:spacing w:before="0" w:after="0"/>
        <w:contextualSpacing/>
        <w:jc w:val="left"/>
        <w:rPr/>
      </w:pPr>
      <w:r>
        <w:rPr>
          <w:rFonts w:eastAsia="Calibri" w:cs="MinionPro-Regular" w:ascii="MinionPro-Regular" w:hAnsi="MinionPro-Regular"/>
          <w:sz w:val="21"/>
          <w:szCs w:val="21"/>
        </w:rPr>
        <w:t>importance for mereology</w:t>
      </w:r>
      <w:r>
        <w:rPr>
          <w:rFonts w:eastAsia="Calibri" w:cs="MinionPro-Regular" w:ascii="MinionPro-Regular" w:hAnsi="MinionPro-Regular"/>
          <w:sz w:val="12"/>
          <w:szCs w:val="12"/>
        </w:rPr>
        <w:t>dis</w:t>
      </w:r>
      <w:r>
        <w:rPr>
          <w:rFonts w:eastAsia="Calibri" w:cs="MinionPro-Regular" w:ascii="MinionPro-Regular" w:hAnsi="MinionPro-Regular"/>
          <w:sz w:val="21"/>
          <w:szCs w:val="21"/>
        </w:rPr>
        <w:t>.</w:t>
      </w:r>
      <w:r>
        <w:rPr>
          <w:b/>
        </w:rPr>
        <w:t xml:space="preserve">  (17)</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 have claimed 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Chapter 1, Section 1.4 that this approach does not make mereological monism</w:t>
      </w:r>
    </w:p>
    <w:p>
      <w:pPr>
        <w:pStyle w:val="Normal"/>
        <w:spacing w:before="0" w:after="0"/>
        <w:contextualSpacing/>
        <w:jc w:val="left"/>
        <w:rPr/>
      </w:pPr>
      <w:r>
        <w:rPr>
          <w:rFonts w:eastAsia="Calibri" w:cs="MinionPro-Regular" w:ascii="MinionPro-Regular" w:hAnsi="MinionPro-Regular"/>
          <w:sz w:val="21"/>
          <w:szCs w:val="21"/>
        </w:rPr>
        <w:t>trivial: the result of the selection and systematization might be that—</w:t>
      </w:r>
      <w:r>
        <w:rPr>
          <w:rFonts w:eastAsia="Calibri" w:cs="MinionPro-It" w:ascii="MinionPro-It" w:hAnsi="MinionPro-It"/>
          <w:i/>
          <w:iCs/>
          <w:sz w:val="21"/>
          <w:szCs w:val="21"/>
        </w:rPr>
        <w:t>contra</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mereological monism—there are several kinds of parthood relations, each with</w:t>
      </w:r>
    </w:p>
    <w:p>
      <w:pPr>
        <w:pStyle w:val="Normal"/>
        <w:spacing w:before="0" w:after="0"/>
        <w:contextualSpacing/>
        <w:jc w:val="left"/>
        <w:rPr/>
      </w:pPr>
      <w:r>
        <w:rPr>
          <w:rFonts w:eastAsia="Calibri" w:cs="MinionPro-Regular" w:ascii="MinionPro-Regular" w:hAnsi="MinionPro-Regular"/>
          <w:sz w:val="21"/>
          <w:szCs w:val="21"/>
        </w:rPr>
        <w:t>different formal features.</w:t>
      </w:r>
      <w:r>
        <w:rPr>
          <w:b/>
        </w:rPr>
        <w:t xml:space="preserve">  (31)</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At this point, it is interesting to see how a mereological pluralist could react.</w:t>
      </w:r>
    </w:p>
    <w:p>
      <w:pPr>
        <w:pStyle w:val="Normal"/>
        <w:spacing w:before="0" w:after="0"/>
        <w:contextualSpacing/>
        <w:jc w:val="left"/>
        <w:rPr/>
      </w:pPr>
      <w:r>
        <w:rPr>
          <w:rFonts w:eastAsia="Calibri" w:cs="MinionPro-Regular" w:ascii="MinionPro-Regular" w:hAnsi="MinionPro-Regular"/>
          <w:sz w:val="21"/>
          <w:szCs w:val="21"/>
        </w:rPr>
        <w:t xml:space="preserve">In his 2010 paper </w:t>
      </w:r>
      <w:r>
        <w:rPr>
          <w:rFonts w:eastAsia="Calibri" w:cs="MinionPro-It" w:ascii="MinionPro-It" w:hAnsi="MinionPro-It"/>
          <w:i/>
          <w:iCs/>
          <w:sz w:val="21"/>
          <w:szCs w:val="21"/>
        </w:rPr>
        <w:t xml:space="preserve">Towards a Theory of Part, </w:t>
      </w:r>
      <w:r>
        <w:rPr>
          <w:rFonts w:eastAsia="Calibri" w:cs="MinionPro-Regular" w:ascii="MinionPro-Regular" w:hAnsi="MinionPro-Regular"/>
          <w:sz w:val="21"/>
          <w:szCs w:val="21"/>
        </w:rPr>
        <w:t>Kit Fine presents a very refined form</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mereological pluralism. According to him, there are many different relations</w:t>
      </w:r>
    </w:p>
    <w:p>
      <w:pPr>
        <w:pStyle w:val="Normal"/>
        <w:spacing w:before="0" w:after="0"/>
        <w:contextualSpacing/>
        <w:jc w:val="left"/>
        <w:rPr/>
      </w:pPr>
      <w:r>
        <w:rPr>
          <w:rFonts w:eastAsia="Calibri" w:cs="MinionPro-Regular" w:ascii="MinionPro-Regular" w:hAnsi="MinionPro-Regular"/>
          <w:sz w:val="21"/>
          <w:szCs w:val="21"/>
        </w:rPr>
        <w:t xml:space="preserve">of parthood, which works in different ways. (51) </w:t>
      </w:r>
      <w:r>
        <w:rPr>
          <w:rFonts w:eastAsia="Calibri" w:cs="MinionPro-Regular" w:ascii="MinionPro-Regular" w:hAnsi="MinionPro-Regular"/>
          <w:color w:val="FF0000"/>
          <w:sz w:val="21"/>
          <w:szCs w:val="21"/>
        </w:rPr>
        <w:t xml:space="preserve">[Amazing, Kit Fine has UNBELIEVABLE similar idea to my idea from my article 2005, at </w:t>
      </w:r>
      <w:r>
        <w:rPr>
          <w:rFonts w:eastAsia="Calibri" w:cs="MinionPro-Regular" w:ascii="MinionPro-Regular" w:hAnsi="MinionPro-Regular"/>
          <w:i/>
          <w:color w:val="FF0000"/>
          <w:sz w:val="21"/>
          <w:szCs w:val="21"/>
        </w:rPr>
        <w:t>Synthese Journal</w:t>
      </w:r>
      <w:r>
        <w:rPr>
          <w:rFonts w:eastAsia="Calibri" w:cs="MinionPro-Regular" w:ascii="MinionPro-Regular" w:hAnsi="MinionPro-Regular"/>
          <w:color w:val="FF0000"/>
          <w:sz w:val="21"/>
          <w:szCs w:val="21"/>
        </w:rPr>
        <w:t xml:space="preserve"> (USA)!!!]</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Sets and mereological wholes are far from exhausting the variety of Fine’s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pluralism. Actually, sets are less blind to structure than mereological wholes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only from some points of view. Sets are stratified entities in which it matters how many times an entity is encapsulated in a set (as a member of it, or as a member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a member of it), and how elements at a certain level are grouped together. By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contrast, the order and the repetition of elements do not matter for the identity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a set.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Other wholes could instead be such that these kinds of arrangements bear</w:t>
      </w:r>
    </w:p>
    <w:p>
      <w:pPr>
        <w:pStyle w:val="Normal"/>
        <w:spacing w:before="0" w:after="0"/>
        <w:contextualSpacing/>
        <w:jc w:val="left"/>
        <w:rPr/>
      </w:pPr>
      <w:r>
        <w:rPr>
          <w:rFonts w:eastAsia="Calibri" w:cs="MinionPro-Regular" w:ascii="MinionPro-Regular" w:hAnsi="MinionPro-Regular"/>
          <w:sz w:val="21"/>
          <w:szCs w:val="21"/>
        </w:rPr>
        <w:t xml:space="preserve">on their identity conditions. For example, </w:t>
      </w:r>
      <w:r>
        <w:rPr>
          <w:rFonts w:eastAsia="Calibri" w:cs="MinionPro-It" w:ascii="MinionPro-It" w:hAnsi="MinionPro-It"/>
          <w:i/>
          <w:iCs/>
          <w:sz w:val="21"/>
          <w:szCs w:val="21"/>
        </w:rPr>
        <w:t xml:space="preserve">multisets </w:t>
      </w:r>
      <w:r>
        <w:rPr>
          <w:rFonts w:eastAsia="Calibri" w:cs="MinionPro-Regular" w:ascii="MinionPro-Regular" w:hAnsi="MinionPro-Regular"/>
          <w:sz w:val="21"/>
          <w:szCs w:val="21"/>
        </w:rPr>
        <w:t>are entities analogous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sets in which the multiple occurrences of members make a difference (but their</w:t>
      </w:r>
    </w:p>
    <w:p>
      <w:pPr>
        <w:pStyle w:val="Normal"/>
        <w:spacing w:before="0" w:after="0"/>
        <w:contextualSpacing/>
        <w:jc w:val="left"/>
        <w:rPr/>
      </w:pPr>
      <w:r>
        <w:rPr>
          <w:rFonts w:eastAsia="Calibri" w:cs="MinionPro-Regular" w:ascii="MinionPro-Regular" w:hAnsi="MinionPro-Regular"/>
          <w:sz w:val="21"/>
          <w:szCs w:val="21"/>
        </w:rPr>
        <w:t xml:space="preserve">order does not matter). </w:t>
      </w:r>
      <w:r>
        <w:rPr>
          <w:rFonts w:eastAsia="Calibri" w:cs="MinionPro-It" w:ascii="MinionPro-It" w:hAnsi="MinionPro-It"/>
          <w:i/>
          <w:iCs/>
          <w:sz w:val="21"/>
          <w:szCs w:val="21"/>
        </w:rPr>
        <w:t xml:space="preserve">Sequences </w:t>
      </w:r>
      <w:r>
        <w:rPr>
          <w:rFonts w:eastAsia="Calibri" w:cs="MinionPro-Regular" w:ascii="MinionPro-Regular" w:hAnsi="MinionPro-Regular"/>
          <w:sz w:val="21"/>
          <w:szCs w:val="21"/>
        </w:rPr>
        <w:t>could be seen as entities in which the order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entities in the sequences matters.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four principles of obliteration allow us to distinguish various kinds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wholes in terms of their attitude toward various aspects of structure.  (79-80)</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6"/>
          <w:szCs w:val="26"/>
        </w:rPr>
      </w:pPr>
      <w:r>
        <w:rPr>
          <w:rFonts w:eastAsia="Calibri" w:cs="MinionPro-Regular" w:ascii="MinionPro-Regular" w:hAnsi="MinionPro-Regular"/>
          <w:sz w:val="26"/>
          <w:szCs w:val="26"/>
        </w:rPr>
        <w:t>7.2 A kind of duality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most serious problems for Extensionalism do not stem from the intrinsically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controversial hypothesis of fuzzy mountains, but from a kind of duality. What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in the spatial region which the maps label as “Monte Grappa” could be seen 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two ways, quite independently of the way in which its boundaries are assessed.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One of the ways to see what is there is to consider the mountain. Another is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look at it as a portion of matter. The matter in that spatial region is far from</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homogeneous: it includes rocks, soil, some vegetables, and occasionally some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snow. At a more microscopic level a wide variety of chemical elements are to be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found.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kind of duality that is at stake here is between the mountain—Monte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Grappa—and the total portion of heterogeneous matter colocated with the</w:t>
      </w:r>
    </w:p>
    <w:p>
      <w:pPr>
        <w:pStyle w:val="Normal"/>
        <w:spacing w:before="0" w:after="0"/>
        <w:contextualSpacing/>
        <w:jc w:val="left"/>
        <w:rPr/>
      </w:pPr>
      <w:r>
        <w:rPr>
          <w:rFonts w:eastAsia="Calibri" w:cs="MinionPro-Regular" w:ascii="MinionPro-Regular" w:hAnsi="MinionPro-Regular"/>
          <w:sz w:val="21"/>
          <w:szCs w:val="21"/>
        </w:rPr>
        <w:t xml:space="preserve">mountain. Let us call this portion of heterogeneous matter </w:t>
      </w:r>
      <w:r>
        <w:rPr>
          <w:rFonts w:eastAsia="Calibri" w:cs="MinionPro-It" w:ascii="MinionPro-It" w:hAnsi="MinionPro-It"/>
          <w:i/>
          <w:iCs/>
          <w:sz w:val="21"/>
          <w:szCs w:val="21"/>
        </w:rPr>
        <w:t>Mountmatter</w:t>
      </w:r>
      <w:r>
        <w:rPr>
          <w:rFonts w:eastAsia="Calibri" w:cs="MinionPro-Regular" w:ascii="MinionPro-Regular" w:hAnsi="MinionPro-Regular"/>
          <w:sz w:val="21"/>
          <w:szCs w:val="21"/>
        </w:rPr>
        <w:t>. Some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philosophers think that Monte Grappa and Mountmatter violate Extensionalism;</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that they are two different complex entities, with the same proper parts. Both</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them would be made of the same proper parts at any level of complexity: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same fields, rocks, and snowy expanses; same molecules, and same physical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 xml:space="preserve">microparticles. Still, they would be different. </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Their difference would be proved by the fact that they instantiate different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properties. If they instantiate different properties, then a quite uncontroversial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principle about identity, namely the Indiscernibility of Identicals, leads to the</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conclusion that they are different. (96-97)</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Thus—the extensionalist could say—there is actually a single thing (Monte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Grappa is identical to Mountmatter), but we can look at it from different</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perspectives, and these different perspectives select different counterparts. (99)</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pPr>
      <w:r>
        <w:rPr>
          <w:rFonts w:eastAsia="Calibri" w:cs="MinionPro-Regular" w:ascii="MinionPro-Regular" w:hAnsi="MinionPro-Regular"/>
          <w:sz w:val="21"/>
          <w:szCs w:val="21"/>
        </w:rPr>
        <w:t xml:space="preserve">But what </w:t>
      </w:r>
      <w:r>
        <w:rPr>
          <w:rFonts w:eastAsia="Calibri" w:cs="MinionPro-It" w:ascii="MinionPro-It" w:hAnsi="MinionPro-It"/>
          <w:i/>
          <w:iCs/>
          <w:sz w:val="21"/>
          <w:szCs w:val="21"/>
        </w:rPr>
        <w:t xml:space="preserve">consistent dualism </w:t>
      </w:r>
      <w:r>
        <w:rPr>
          <w:rFonts w:eastAsia="Calibri" w:cs="MinionPro-Regular" w:ascii="MinionPro-Regular" w:hAnsi="MinionPro-Regular"/>
          <w:sz w:val="21"/>
          <w:szCs w:val="21"/>
        </w:rPr>
        <w:t>points to is the idea that reality has two overall layers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layer of structured entities and the layer of the portions of matter), and this</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is not a problem for Extensionalism at all. (111)</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dualist approach of stuff ontology seems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make it clear from the start that there are two globally separate layers of reality…. Finally, there is another sense in which dualism could be a problem for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Extensionalism. When dualism is endorsed—and even if dualism is consistently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developed and concerns any level of complexity—one needs to characterize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relation between the structured entity and the colocated matter or portion</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matter in some way. (111)</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Before assessing the details of Cotnoir’s proposal, it is worth remarking that it</w:t>
      </w:r>
    </w:p>
    <w:p>
      <w:pPr>
        <w:pStyle w:val="Normal"/>
        <w:spacing w:before="0" w:after="0"/>
        <w:contextualSpacing/>
        <w:jc w:val="left"/>
        <w:rPr/>
      </w:pPr>
      <w:r>
        <w:rPr>
          <w:rFonts w:eastAsia="Calibri" w:cs="MinionPro-Regular" w:ascii="MinionPro-Regular" w:hAnsi="MinionPro-Regular"/>
          <w:sz w:val="21"/>
          <w:szCs w:val="21"/>
        </w:rPr>
        <w:t xml:space="preserve">coheres with the </w:t>
      </w:r>
      <w:r>
        <w:rPr>
          <w:rFonts w:eastAsia="Calibri" w:cs="MinionPro-It" w:ascii="MinionPro-It" w:hAnsi="MinionPro-It"/>
          <w:i/>
          <w:iCs/>
          <w:sz w:val="21"/>
          <w:szCs w:val="21"/>
        </w:rPr>
        <w:t xml:space="preserve">spirit of dualism </w:t>
      </w:r>
      <w:r>
        <w:rPr>
          <w:rFonts w:eastAsia="Calibri" w:cs="MinionPro-Regular" w:ascii="MinionPro-Regular" w:hAnsi="MinionPro-Regular"/>
          <w:sz w:val="21"/>
          <w:szCs w:val="21"/>
        </w:rPr>
        <w:t>about objects and portions of matter. According</w:t>
      </w:r>
    </w:p>
    <w:p>
      <w:pPr>
        <w:pStyle w:val="Normal"/>
        <w:spacing w:before="0" w:after="0"/>
        <w:contextualSpacing/>
        <w:jc w:val="left"/>
        <w:rPr/>
      </w:pPr>
      <w:r>
        <w:rPr>
          <w:rFonts w:eastAsia="Calibri" w:cs="MinionPro-Regular" w:ascii="MinionPro-Regular" w:hAnsi="MinionPro-Regular"/>
          <w:sz w:val="21"/>
          <w:szCs w:val="21"/>
        </w:rPr>
        <w:t xml:space="preserve">to the spirit of dualism, </w:t>
      </w:r>
      <w:r>
        <w:rPr>
          <w:rFonts w:eastAsia="Calibri" w:cs="MinionPro-It" w:ascii="MinionPro-It" w:hAnsi="MinionPro-It"/>
          <w:i/>
          <w:iCs/>
          <w:sz w:val="21"/>
          <w:szCs w:val="21"/>
        </w:rPr>
        <w:t xml:space="preserve">at a single level </w:t>
      </w:r>
      <w:r>
        <w:rPr>
          <w:rFonts w:eastAsia="Calibri" w:cs="MinionPro-Regular" w:ascii="MinionPro-Regular" w:hAnsi="MinionPro-Regular"/>
          <w:sz w:val="21"/>
          <w:szCs w:val="21"/>
        </w:rPr>
        <w:t>of mereological complexity there are</w:t>
      </w:r>
    </w:p>
    <w:p>
      <w:pPr>
        <w:pStyle w:val="Normal"/>
        <w:spacing w:before="0" w:after="0"/>
        <w:contextualSpacing/>
        <w:jc w:val="left"/>
        <w:rPr/>
      </w:pPr>
      <w:r>
        <w:rPr>
          <w:rFonts w:eastAsia="Calibri" w:cs="MinionPro-It" w:ascii="MinionPro-It" w:hAnsi="MinionPro-It"/>
          <w:i/>
          <w:iCs/>
          <w:sz w:val="21"/>
          <w:szCs w:val="21"/>
        </w:rPr>
        <w:t xml:space="preserve">two </w:t>
      </w:r>
      <w:r>
        <w:rPr>
          <w:rFonts w:eastAsia="Calibri" w:cs="MinionPro-Regular" w:ascii="MinionPro-Regular" w:hAnsi="MinionPro-Regular"/>
          <w:sz w:val="21"/>
          <w:szCs w:val="21"/>
        </w:rPr>
        <w:t>things. Thus, dualism finds its most appropriate expression in a theory of</w:t>
      </w:r>
    </w:p>
    <w:p>
      <w:pPr>
        <w:pStyle w:val="Normal"/>
        <w:spacing w:before="0" w:after="0"/>
        <w:contextualSpacing/>
        <w:jc w:val="left"/>
        <w:rPr/>
      </w:pPr>
      <w:r>
        <w:rPr>
          <w:rFonts w:eastAsia="Calibri" w:cs="MinionPro-Regular" w:ascii="MinionPro-Regular" w:hAnsi="MinionPro-Regular"/>
          <w:sz w:val="21"/>
          <w:szCs w:val="21"/>
        </w:rPr>
        <w:t>parthood only if this theory allows—as Cotnoir’s non-extensional mereology</w:t>
      </w:r>
      <w:r>
        <w:rPr>
          <w:rFonts w:eastAsia="Calibri" w:cs="MinionPro-Regular" w:ascii="MinionPro-Regular" w:hAnsi="MinionPro-Regular"/>
          <w:sz w:val="12"/>
          <w:szCs w:val="12"/>
        </w:rPr>
        <w:t>theo</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 xml:space="preserve">does—two different things to be in a reciprocal relation of parthood. </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tabs>
          <w:tab w:val="clear" w:pos="720"/>
          <w:tab w:val="left" w:pos="4032" w:leader="none"/>
        </w:tabs>
        <w:spacing w:before="0" w:after="0"/>
        <w:contextualSpacing/>
        <w:jc w:val="left"/>
        <w:rPr/>
      </w:pPr>
      <w:r>
        <w:rPr>
          <w:rFonts w:eastAsia="Calibri" w:cs="MinionPro-Regular" w:ascii="MinionPro-Regular" w:hAnsi="MinionPro-Regular"/>
          <w:color w:val="FF0000"/>
          <w:sz w:val="21"/>
          <w:szCs w:val="21"/>
        </w:rPr>
        <w:t>[Cotnoir’s works are from 2010-2015!!!!!! It seeme, Cotnoir is another one who published UNBEELIEVABLE similar ideas to my ideas!!!!]</w:t>
      </w:r>
      <w:r>
        <w:rPr>
          <w:rFonts w:eastAsia="Calibri" w:cs="MinionPro-Regular" w:ascii="MinionPro-Regular" w:hAnsi="MinionPro-Regular"/>
          <w:sz w:val="21"/>
          <w:szCs w:val="21"/>
        </w:rPr>
        <w:tab/>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0"/>
          <w:szCs w:val="20"/>
        </w:rPr>
      </w:pPr>
      <w:r>
        <w:rPr>
          <w:rFonts w:eastAsia="Calibri" w:cs="MinionPro-Regular" w:ascii="MinionPro-Regular" w:hAnsi="MinionPro-Regular"/>
          <w:sz w:val="20"/>
          <w:szCs w:val="20"/>
        </w:rPr>
        <w:t>Part Three</w:t>
      </w:r>
    </w:p>
    <w:p>
      <w:pPr>
        <w:pStyle w:val="Normal"/>
        <w:spacing w:before="0" w:after="0"/>
        <w:contextualSpacing/>
        <w:jc w:val="left"/>
        <w:rPr>
          <w:rFonts w:ascii="MinionPro-Regular" w:hAnsi="MinionPro-Regular" w:eastAsia="Calibri" w:cs="MinionPro-Regular"/>
          <w:b/>
          <w:b/>
          <w:sz w:val="20"/>
          <w:szCs w:val="20"/>
        </w:rPr>
      </w:pPr>
      <w:r>
        <w:rPr>
          <w:rFonts w:eastAsia="Calibri" w:cs="MinionPro-Regular" w:ascii="MinionPro-Regular" w:hAnsi="MinionPro-Regular"/>
          <w:b/>
          <w:sz w:val="20"/>
          <w:szCs w:val="20"/>
        </w:rPr>
        <w:t>Unrestricted Composition</w:t>
      </w:r>
    </w:p>
    <w:p>
      <w:pPr>
        <w:pStyle w:val="Normal"/>
        <w:spacing w:before="0" w:after="0"/>
        <w:contextualSpacing/>
        <w:jc w:val="left"/>
        <w:rPr>
          <w:rFonts w:ascii="MinionPro-Regular" w:hAnsi="MinionPro-Regular" w:eastAsia="Calibri" w:cs="MinionPro-Regular"/>
          <w:sz w:val="20"/>
          <w:szCs w:val="20"/>
        </w:rPr>
      </w:pPr>
      <w:r>
        <w:rPr>
          <w:rFonts w:eastAsia="Calibri" w:cs="MinionPro-Regular" w:ascii="MinionPro-Regular" w:hAnsi="MinionPro-Regular"/>
          <w:sz w:val="20"/>
          <w:szCs w:val="20"/>
        </w:rPr>
        <w:t>Abstract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This part of the book analyzes and defends the principle of Unrestricted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Composition, according to which given some things—no matter how many and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how disparate they are—their fusion exists. In order to formulate this principle,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we need a way of speaking collectively of a plurality of entities whose number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can vary indefinitely. (147)</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Extensionalism is actually compatible both with monism and with dualism</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about material constitution: the consistent dualist will be committed both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objects and to colocated portions of reality, at each level of reality. The resulting</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kind of extensionalist dualism seems to be rather deficient from the viewpoint</w:t>
      </w:r>
    </w:p>
    <w:p>
      <w:pPr>
        <w:pStyle w:val="Normal"/>
        <w:spacing w:before="0" w:after="0"/>
        <w:contextualSpacing/>
        <w:jc w:val="left"/>
        <w:rPr/>
      </w:pPr>
      <w:r>
        <w:rPr>
          <w:rFonts w:eastAsia="Calibri" w:cs="MinionPro-Regular" w:ascii="MinionPro-Regular" w:hAnsi="MinionPro-Regular"/>
          <w:sz w:val="21"/>
          <w:szCs w:val="21"/>
        </w:rPr>
        <w:t xml:space="preserve">of </w:t>
      </w:r>
      <w:r>
        <w:rPr>
          <w:rFonts w:eastAsia="Calibri" w:cs="MinionPro-It" w:ascii="MinionPro-It" w:hAnsi="MinionPro-It"/>
          <w:i/>
          <w:iCs/>
          <w:sz w:val="21"/>
          <w:szCs w:val="21"/>
        </w:rPr>
        <w:t xml:space="preserve">absolute </w:t>
      </w:r>
      <w:r>
        <w:rPr>
          <w:rFonts w:eastAsia="Calibri" w:cs="MinionPro-Regular" w:ascii="MinionPro-Regular" w:hAnsi="MinionPro-Regular"/>
          <w:sz w:val="21"/>
          <w:szCs w:val="21"/>
        </w:rPr>
        <w:t>ontological economy. (149)</w:t>
      </w:r>
    </w:p>
    <w:p>
      <w:pPr>
        <w:pStyle w:val="Normal"/>
        <w:spacing w:before="0" w:after="0"/>
        <w:contextualSpacing/>
        <w:jc w:val="left"/>
        <w:rPr>
          <w:b/>
          <w:b/>
        </w:rPr>
      </w:pPr>
      <w:r>
        <w:rPr>
          <w:b/>
        </w:rPr>
      </w:r>
    </w:p>
    <w:p>
      <w:pPr>
        <w:pStyle w:val="Normal"/>
        <w:spacing w:before="0" w:after="0"/>
        <w:contextualSpacing/>
        <w:jc w:val="left"/>
        <w:rPr/>
      </w:pPr>
      <w:r>
        <w:rPr>
          <w:rFonts w:eastAsia="Calibri" w:cs="MinionPro-Regular" w:ascii="MinionPro-Regular" w:hAnsi="MinionPro-Regular"/>
          <w:sz w:val="21"/>
          <w:szCs w:val="21"/>
        </w:rPr>
        <w:t xml:space="preserve">The values of a plural variable are </w:t>
      </w:r>
      <w:r>
        <w:rPr>
          <w:rFonts w:eastAsia="Calibri" w:cs="MinionPro-It" w:ascii="MinionPro-It" w:hAnsi="MinionPro-It"/>
          <w:i/>
          <w:iCs/>
          <w:sz w:val="21"/>
          <w:szCs w:val="21"/>
        </w:rPr>
        <w:t xml:space="preserve">some </w:t>
      </w:r>
      <w:r>
        <w:rPr>
          <w:rFonts w:eastAsia="Calibri" w:cs="MinionPro-Regular" w:ascii="MinionPro-Regular" w:hAnsi="MinionPro-Regular"/>
          <w:sz w:val="21"/>
          <w:szCs w:val="21"/>
        </w:rPr>
        <w:t>objects in the domain of quantification, from one to infinity. Thus, plural quantification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seems to be the perfect tool for expressing mereological Fusion, and it is used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not only in Uniqueness of Composition and Unrestricted Composition, but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already in the definition of Fusion/Composition.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definition, which we will analyze and justify in Chapter 11, says—in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accordance with the provisional characterization of Fusion set forth in Chapter 4,</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Section 4.4—that something is a fusion of some things if and only if each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those things is part of the fusion and each part of the fusion overlaps with at least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one of those things. (150-151)</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We cannot replace the plural variable with a plurality of variables in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definition of Fusion (as well as in Uniqueness of Composition and Unrestricted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Composition) and make Fusion a more than binary predicate, because there</w:t>
      </w:r>
    </w:p>
    <w:p>
      <w:pPr>
        <w:pStyle w:val="Normal"/>
        <w:spacing w:before="0" w:after="0"/>
        <w:contextualSpacing/>
        <w:jc w:val="left"/>
        <w:rPr/>
      </w:pPr>
      <w:r>
        <w:rPr>
          <w:rFonts w:eastAsia="Calibri" w:cs="MinionPro-Regular" w:ascii="MinionPro-Regular" w:hAnsi="MinionPro-Regular"/>
          <w:sz w:val="21"/>
          <w:szCs w:val="21"/>
        </w:rPr>
        <w:t xml:space="preserve">would not be any </w:t>
      </w:r>
      <w:r>
        <w:rPr>
          <w:rFonts w:eastAsia="Calibri" w:cs="MinionPro-It" w:ascii="MinionPro-It" w:hAnsi="MinionPro-It"/>
          <w:i/>
          <w:iCs/>
          <w:sz w:val="21"/>
          <w:szCs w:val="21"/>
        </w:rPr>
        <w:t xml:space="preserve">right </w:t>
      </w:r>
      <w:r>
        <w:rPr>
          <w:rFonts w:eastAsia="Calibri" w:cs="MinionPro-Regular" w:ascii="MinionPro-Regular" w:hAnsi="MinionPro-Regular"/>
          <w:sz w:val="21"/>
          <w:szCs w:val="21"/>
        </w:rPr>
        <w:t>number of argument places for it. This is not a merely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technical problem: it is a symptom of the fact that, when in an operation the</w:t>
      </w:r>
    </w:p>
    <w:p>
      <w:pPr>
        <w:pStyle w:val="Normal"/>
        <w:spacing w:before="0" w:after="0"/>
        <w:contextualSpacing/>
        <w:jc w:val="left"/>
        <w:rPr/>
      </w:pPr>
      <w:r>
        <w:rPr>
          <w:rFonts w:eastAsia="Calibri" w:cs="MinionPro-Regular" w:ascii="MinionPro-Regular" w:hAnsi="MinionPro-Regular"/>
          <w:sz w:val="21"/>
          <w:szCs w:val="21"/>
        </w:rPr>
        <w:t xml:space="preserve">number of inputs is variable, we </w:t>
      </w:r>
      <w:r>
        <w:rPr>
          <w:rFonts w:eastAsia="Calibri" w:cs="MinionPro-It" w:ascii="MinionPro-It" w:hAnsi="MinionPro-It"/>
          <w:i/>
          <w:iCs/>
          <w:sz w:val="21"/>
          <w:szCs w:val="21"/>
        </w:rPr>
        <w:t xml:space="preserve">need </w:t>
      </w:r>
      <w:r>
        <w:rPr>
          <w:rFonts w:eastAsia="Calibri" w:cs="MinionPro-Regular" w:ascii="MinionPro-Regular" w:hAnsi="MinionPro-Regular"/>
          <w:sz w:val="21"/>
          <w:szCs w:val="21"/>
        </w:rPr>
        <w:t>a symbol for these variably numerous</w:t>
      </w:r>
    </w:p>
    <w:p>
      <w:pPr>
        <w:pStyle w:val="Normal"/>
        <w:spacing w:before="0" w:after="0"/>
        <w:contextualSpacing/>
        <w:jc w:val="left"/>
        <w:rPr/>
      </w:pPr>
      <w:r>
        <w:rPr>
          <w:rFonts w:eastAsia="Calibri" w:cs="MinionPro-Regular" w:ascii="MinionPro-Regular" w:hAnsi="MinionPro-Regular"/>
          <w:sz w:val="21"/>
          <w:szCs w:val="21"/>
        </w:rPr>
        <w:t xml:space="preserve">entities. We are talking about them </w:t>
      </w:r>
      <w:r>
        <w:rPr>
          <w:rFonts w:eastAsia="Calibri" w:cs="MinionPro-It" w:ascii="MinionPro-It" w:hAnsi="MinionPro-It"/>
          <w:i/>
          <w:iCs/>
          <w:sz w:val="21"/>
          <w:szCs w:val="21"/>
        </w:rPr>
        <w:t>collectively</w:t>
      </w:r>
      <w:r>
        <w:rPr>
          <w:rFonts w:eastAsia="Calibri" w:cs="MinionPro-Regular" w:ascii="MinionPro-Regular" w:hAnsi="MinionPro-Regular"/>
          <w:sz w:val="21"/>
          <w:szCs w:val="21"/>
        </w:rPr>
        <w:t>, and not distributively: when we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say that a chair is the fusion of four legs, a back, and a seat, this does not imply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that the chair is also the fusion of the seat only, or of only three or four legs.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kind of predication we make about the fused entities concerns them all as a</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totality, and not each of them separately.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Plural quantification fits the bill perfectly. A quick look at the growing</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literature about plural quantification shows that its introduction is often</w:t>
      </w:r>
    </w:p>
    <w:p>
      <w:pPr>
        <w:pStyle w:val="Normal"/>
        <w:spacing w:before="0" w:after="0"/>
        <w:contextualSpacing/>
        <w:jc w:val="left"/>
        <w:rPr/>
      </w:pPr>
      <w:r>
        <w:rPr>
          <w:rFonts w:eastAsia="Calibri" w:cs="MinionPro-Regular" w:ascii="MinionPro-Regular" w:hAnsi="MinionPro-Regular"/>
          <w:sz w:val="21"/>
          <w:szCs w:val="21"/>
        </w:rPr>
        <w:t xml:space="preserve">motivated by the need to express </w:t>
      </w:r>
      <w:r>
        <w:rPr>
          <w:rFonts w:eastAsia="Calibri" w:cs="MinionPro-It" w:ascii="MinionPro-It" w:hAnsi="MinionPro-It"/>
          <w:i/>
          <w:iCs/>
          <w:sz w:val="21"/>
          <w:szCs w:val="21"/>
        </w:rPr>
        <w:t xml:space="preserve">collective </w:t>
      </w:r>
      <w:r>
        <w:rPr>
          <w:rFonts w:eastAsia="Calibri" w:cs="MinionPro-Regular" w:ascii="MinionPro-Regular" w:hAnsi="MinionPro-Regular"/>
          <w:sz w:val="21"/>
          <w:szCs w:val="21"/>
        </w:rPr>
        <w:t>predication (in cases such as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besiegers surrounded the building,” in which none of the besiegers individually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surrounded the building). (151)</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 good reason to prefer plural quantification over sets is that it would be a</w:t>
      </w:r>
    </w:p>
    <w:p>
      <w:pPr>
        <w:pStyle w:val="Normal"/>
        <w:spacing w:before="0" w:after="0"/>
        <w:contextualSpacing/>
        <w:jc w:val="left"/>
        <w:rPr/>
      </w:pPr>
      <w:r>
        <w:rPr>
          <w:rFonts w:eastAsia="Calibri" w:cs="MinionPro-It" w:ascii="MinionPro-It" w:hAnsi="MinionPro-It"/>
          <w:i/>
          <w:iCs/>
          <w:sz w:val="21"/>
          <w:szCs w:val="21"/>
        </w:rPr>
        <w:t xml:space="preserve">categorical mistake </w:t>
      </w:r>
      <w:r>
        <w:rPr>
          <w:rFonts w:eastAsia="Calibri" w:cs="MinionPro-Regular" w:ascii="MinionPro-Regular" w:hAnsi="MinionPro-Regular"/>
          <w:sz w:val="21"/>
          <w:szCs w:val="21"/>
        </w:rPr>
        <w:t>to involve sets. In the above set-theoretic definition of Fusion,</w:t>
      </w:r>
    </w:p>
    <w:p>
      <w:pPr>
        <w:pStyle w:val="Normal"/>
        <w:spacing w:before="0" w:after="0"/>
        <w:contextualSpacing/>
        <w:jc w:val="left"/>
        <w:rPr/>
      </w:pPr>
      <w:r>
        <w:rPr>
          <w:rFonts w:eastAsia="Calibri" w:cs="MinionPro-Regular" w:ascii="MinionPro-Regular" w:hAnsi="MinionPro-Regular"/>
          <w:sz w:val="21"/>
          <w:szCs w:val="21"/>
        </w:rPr>
        <w:t xml:space="preserve">we end up </w:t>
      </w:r>
      <w:r>
        <w:rPr>
          <w:rFonts w:eastAsia="Calibri" w:cs="MinionPro-It" w:ascii="MinionPro-It" w:hAnsi="MinionPro-It"/>
          <w:i/>
          <w:iCs/>
          <w:sz w:val="21"/>
          <w:szCs w:val="21"/>
        </w:rPr>
        <w:t xml:space="preserve">literally </w:t>
      </w:r>
      <w:r>
        <w:rPr>
          <w:rFonts w:eastAsia="Calibri" w:cs="MinionPro-Regular" w:ascii="MinionPro-Regular" w:hAnsi="MinionPro-Regular"/>
          <w:sz w:val="21"/>
          <w:szCs w:val="21"/>
        </w:rPr>
        <w:t>fusing a set: the relational predicate of Fusion is flanked by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two singular referential expressions, which refer respectively to a set and a</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whole. Thus, the relation/operation expressed by the predicate would connect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these referents. But the relation/operation that mereology aims to study is one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that goes from the parts to the whole. The set of the parts is simply foreign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this context.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Categorical mistakes play an important role in the motivations for plural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reference and quantification in general. Already Boolos remarked that “it is</w:t>
      </w:r>
    </w:p>
    <w:p>
      <w:pPr>
        <w:pStyle w:val="Normal"/>
        <w:spacing w:before="0" w:after="0"/>
        <w:contextualSpacing/>
        <w:jc w:val="left"/>
        <w:rPr/>
      </w:pPr>
      <w:r>
        <w:rPr>
          <w:rFonts w:eastAsia="Calibri" w:cs="MinionPro-Regular" w:ascii="MinionPro-Regular" w:hAnsi="MinionPro-Regular"/>
          <w:sz w:val="21"/>
          <w:szCs w:val="21"/>
        </w:rPr>
        <w:t xml:space="preserve">haywire to think that when you have some Cheerios, you are eating a </w:t>
      </w:r>
      <w:r>
        <w:rPr>
          <w:rFonts w:eastAsia="Calibri" w:cs="MinionPro-It" w:ascii="MinionPro-It" w:hAnsi="MinionPro-It"/>
          <w:i/>
          <w:iCs/>
          <w:sz w:val="21"/>
          <w:szCs w:val="21"/>
        </w:rPr>
        <w:t>set.</w:t>
      </w:r>
      <w:r>
        <w:rPr>
          <w:rFonts w:eastAsia="Calibri" w:cs="MinionPro-Regular" w:ascii="MinionPro-Regular" w:hAnsi="MinionPro-Regular"/>
          <w:sz w:val="21"/>
          <w:szCs w:val="21"/>
        </w:rPr>
        <w:t>”</w:t>
      </w:r>
      <w:r>
        <w:rPr>
          <w:rFonts w:eastAsia="Calibri" w:cs="MinionPro-Regular" w:ascii="MinionPro-Regular" w:hAnsi="MinionPro-Regular"/>
          <w:sz w:val="12"/>
          <w:szCs w:val="12"/>
        </w:rPr>
        <w:t xml:space="preserve">6 </w:t>
      </w:r>
      <w:r>
        <w:rPr>
          <w:rFonts w:eastAsia="Calibri" w:cs="MinionPro-Regular" w:ascii="MinionPro-Regular" w:hAnsi="MinionPro-Regular"/>
          <w:sz w:val="21"/>
          <w:szCs w:val="21"/>
        </w:rPr>
        <w:t>Plural</w:t>
      </w:r>
    </w:p>
    <w:p>
      <w:pPr>
        <w:pStyle w:val="Normal"/>
        <w:spacing w:before="0" w:after="0"/>
        <w:contextualSpacing/>
        <w:jc w:val="left"/>
        <w:rPr/>
      </w:pPr>
      <w:r>
        <w:rPr>
          <w:rFonts w:eastAsia="Calibri" w:cs="MinionPro-Regular" w:ascii="MinionPro-Regular" w:hAnsi="MinionPro-Regular"/>
          <w:sz w:val="21"/>
          <w:szCs w:val="21"/>
        </w:rPr>
        <w:t xml:space="preserve">expressions in natural language refer to </w:t>
      </w:r>
      <w:r>
        <w:rPr>
          <w:rFonts w:eastAsia="Calibri" w:cs="MinionPro-It" w:ascii="MinionPro-It" w:hAnsi="MinionPro-It"/>
          <w:i/>
          <w:iCs/>
          <w:sz w:val="21"/>
          <w:szCs w:val="21"/>
        </w:rPr>
        <w:t>entities</w:t>
      </w:r>
      <w:r>
        <w:rPr>
          <w:rFonts w:eastAsia="Calibri" w:cs="MinionPro-Regular" w:ascii="MinionPro-Regular" w:hAnsi="MinionPro-Regular"/>
          <w:sz w:val="21"/>
          <w:szCs w:val="21"/>
        </w:rPr>
        <w:t>, without any apparent mediation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abstract entities such as sets. The plural expressions, by themselves, do not</w:t>
      </w:r>
    </w:p>
    <w:p>
      <w:pPr>
        <w:pStyle w:val="Normal"/>
        <w:spacing w:before="0" w:after="0"/>
        <w:contextualSpacing/>
        <w:jc w:val="left"/>
        <w:rPr/>
      </w:pPr>
      <w:r>
        <w:rPr>
          <w:rFonts w:eastAsia="Calibri" w:cs="MinionPro-Regular" w:ascii="MinionPro-Regular" w:hAnsi="MinionPro-Regular"/>
          <w:sz w:val="21"/>
          <w:szCs w:val="21"/>
        </w:rPr>
        <w:t>“</w:t>
      </w:r>
      <w:r>
        <w:rPr>
          <w:rFonts w:eastAsia="Calibri" w:cs="MinionPro-Regular" w:ascii="MinionPro-Regular" w:hAnsi="MinionPro-Regular"/>
          <w:sz w:val="21"/>
          <w:szCs w:val="21"/>
        </w:rPr>
        <w:t>unify” these things into a further thing (a set) “representing” them.</w:t>
      </w:r>
      <w:r>
        <w:rPr>
          <w:rFonts w:eastAsia="Calibri" w:cs="MinionPro-Regular" w:ascii="MinionPro-Regular" w:hAnsi="MinionPro-Regular"/>
          <w:sz w:val="12"/>
          <w:szCs w:val="12"/>
        </w:rPr>
        <w:t xml:space="preserve">7 </w:t>
      </w:r>
      <w:r>
        <w:rPr>
          <w:rFonts w:eastAsia="Calibri" w:cs="MinionPro-Regular" w:ascii="MinionPro-Regular" w:hAnsi="MinionPro-Regular"/>
          <w:sz w:val="21"/>
          <w:szCs w:val="21"/>
        </w:rPr>
        <w:t>What is</w:t>
      </w:r>
    </w:p>
    <w:p>
      <w:pPr>
        <w:pStyle w:val="Normal"/>
        <w:spacing w:before="0" w:after="0"/>
        <w:contextualSpacing/>
        <w:jc w:val="left"/>
        <w:rPr/>
      </w:pPr>
      <w:r>
        <w:rPr>
          <w:rFonts w:eastAsia="Calibri" w:cs="MinionPro-Regular" w:ascii="MinionPro-Regular" w:hAnsi="MinionPro-Regular"/>
          <w:sz w:val="21"/>
          <w:szCs w:val="21"/>
        </w:rPr>
        <w:t>“</w:t>
      </w:r>
      <w:r>
        <w:rPr>
          <w:rFonts w:eastAsia="Calibri" w:cs="MinionPro-Regular" w:ascii="MinionPro-Regular" w:hAnsi="MinionPro-Regular"/>
          <w:sz w:val="21"/>
          <w:szCs w:val="21"/>
        </w:rPr>
        <w:t>unifying” in a sentence like “I eat Cheerios” is that Cheerios (</w:t>
      </w:r>
      <w:r>
        <w:rPr>
          <w:rFonts w:eastAsia="Calibri" w:cs="MinionPro-It" w:ascii="MinionPro-It" w:hAnsi="MinionPro-It"/>
          <w:i/>
          <w:iCs/>
          <w:sz w:val="21"/>
          <w:szCs w:val="21"/>
        </w:rPr>
        <w:t xml:space="preserve">many </w:t>
      </w:r>
      <w:r>
        <w:rPr>
          <w:rFonts w:eastAsia="Calibri" w:cs="MinionPro-Regular" w:ascii="MinionPro-Regular" w:hAnsi="MinionPro-Regular"/>
          <w:sz w:val="21"/>
          <w:szCs w:val="21"/>
        </w:rPr>
        <w:t>Cheerios)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occupy a single argument place of a predicate, in this case “eat.” (156)</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In order to illustrate these expectations, it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is useful to consider a prototypical, spatial scenario. Let us take the example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a chair again. Insofar as it is extended, the chair is partially located in many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places: it is a bit where its back is, a bit where its seat is, and a bit where each</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leg is. The chair on the one hand and its parts collectively, on the other, have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something in common: the parts are collectively located where the chair is. It</w:t>
      </w:r>
    </w:p>
    <w:p>
      <w:pPr>
        <w:pStyle w:val="Normal"/>
        <w:spacing w:before="0" w:after="0"/>
        <w:contextualSpacing/>
        <w:jc w:val="left"/>
        <w:rPr/>
      </w:pPr>
      <w:r>
        <w:rPr>
          <w:rFonts w:eastAsia="Calibri" w:cs="MinionPro-Regular" w:ascii="MinionPro-Regular" w:hAnsi="MinionPro-Regular"/>
          <w:sz w:val="21"/>
          <w:szCs w:val="21"/>
        </w:rPr>
        <w:t xml:space="preserve">does not matter whether I am considering </w:t>
      </w:r>
      <w:r>
        <w:rPr>
          <w:rFonts w:eastAsia="Calibri" w:cs="MinionPro-It" w:ascii="MinionPro-It" w:hAnsi="MinionPro-It"/>
          <w:i/>
          <w:iCs/>
          <w:sz w:val="21"/>
          <w:szCs w:val="21"/>
        </w:rPr>
        <w:t xml:space="preserve">disjoint </w:t>
      </w:r>
      <w:r>
        <w:rPr>
          <w:rFonts w:eastAsia="Calibri" w:cs="MinionPro-Regular" w:ascii="MinionPro-Regular" w:hAnsi="MinionPro-Regular"/>
          <w:sz w:val="21"/>
          <w:szCs w:val="21"/>
        </w:rPr>
        <w:t xml:space="preserve">parts or not. I can also </w:t>
      </w:r>
      <w:r>
        <w:rPr>
          <w:rFonts w:eastAsia="Calibri" w:cs="MinionPro-It" w:ascii="MinionPro-It" w:hAnsi="MinionPro-It"/>
          <w:i/>
          <w:iCs/>
          <w:sz w:val="21"/>
          <w:szCs w:val="21"/>
        </w:rPr>
        <w:t>cover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chair with overlapping parts: the body of the chair (composed of the back</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and of the seat), the back, the seat, and the legs; or even the chair itself, and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four legs. The parts in each of these lists are collectively located where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chair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There are many different lists of things that are collectively located where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chair is. There is no spatial region such that the chair is partially in that region,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and in one of these lists nothing is partially there. Nor is there any spatial region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such that something in one of the lists is partially in that spatial region, while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chair is not partially in that spatial region.</w:t>
      </w:r>
    </w:p>
    <w:p>
      <w:pPr>
        <w:pStyle w:val="Normal"/>
        <w:spacing w:before="0" w:after="0"/>
        <w:contextualSpacing/>
        <w:jc w:val="left"/>
        <w:rPr/>
      </w:pPr>
      <w:r>
        <w:rPr>
          <w:rFonts w:eastAsia="Calibri" w:cs="MinionPro-Regular" w:ascii="MinionPro-Regular" w:hAnsi="MinionPro-Regular"/>
          <w:sz w:val="21"/>
          <w:szCs w:val="21"/>
        </w:rPr>
        <w:t xml:space="preserve">Now, forget about space: mereology </w:t>
      </w:r>
      <w:r>
        <w:rPr>
          <w:rFonts w:eastAsia="Calibri" w:cs="MinionPro-It" w:ascii="MinionPro-It" w:hAnsi="MinionPro-It"/>
          <w:i/>
          <w:iCs/>
          <w:sz w:val="21"/>
          <w:szCs w:val="21"/>
        </w:rPr>
        <w:t xml:space="preserve">is not </w:t>
      </w:r>
      <w:r>
        <w:rPr>
          <w:rFonts w:eastAsia="Calibri" w:cs="MinionPro-Regular" w:ascii="MinionPro-Regular" w:hAnsi="MinionPro-Regular"/>
          <w:sz w:val="21"/>
          <w:szCs w:val="21"/>
        </w:rPr>
        <w:t>the theory of spatial parthood,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both because it is meant to be applied also to other instances of parthood and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because a proper treatment of space requires subtleties that mereology does not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offer. Still, the same idea seems to be at work. (164)</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first conjunct of (Fusion—Definition) ensures that every fused entity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part of the fusion. It is clear why this is a necessary condition for something to be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 fusion: if a fused entity were not part of the fusion, then it would somehow be</w:t>
      </w:r>
    </w:p>
    <w:p>
      <w:pPr>
        <w:pStyle w:val="Normal"/>
        <w:spacing w:before="0" w:after="0"/>
        <w:contextualSpacing/>
        <w:jc w:val="left"/>
        <w:rPr/>
      </w:pPr>
      <w:r>
        <w:rPr>
          <w:rFonts w:eastAsia="Calibri" w:cs="MinionPro-Regular" w:ascii="MinionPro-Regular" w:hAnsi="MinionPro-Regular"/>
          <w:sz w:val="21"/>
          <w:szCs w:val="21"/>
        </w:rPr>
        <w:t xml:space="preserve">outside it. But it is not a sufficient condition, and this is why the </w:t>
      </w:r>
      <w:r>
        <w:rPr>
          <w:rFonts w:eastAsia="Calibri" w:cs="MinionPro-It" w:ascii="MinionPro-It" w:hAnsi="MinionPro-It"/>
          <w:i/>
          <w:iCs/>
          <w:sz w:val="21"/>
          <w:szCs w:val="21"/>
        </w:rPr>
        <w:t xml:space="preserve">definiens </w:t>
      </w:r>
      <w:r>
        <w:rPr>
          <w:rFonts w:eastAsia="Calibri" w:cs="MinionPro-Regular" w:ascii="MinionPro-Regular" w:hAnsi="MinionPro-Regular"/>
          <w:sz w:val="21"/>
          <w:szCs w:val="21"/>
        </w:rPr>
        <w:t>must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include a second conjunct. It is not sufficient because many other things “bigger”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than the chair have its back, seat, and legs as parts. Given Transitivity (an axiom</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CEM), whatever has the entire chair as part, has the parts of the chair as its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parts as well. And the chair is part of the furniture of the room in which it is,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furniture of the building, and of many other very inclusive objects. (165)</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plausibility of this attitude varies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from case to case. Some of the entities involved are object of hoary ontological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controversies. In particular, in (c), the existence of counterparts of Cameron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depends on the existence of counterparts, and in general on the existence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entities in other possible worlds, and indirectly on the existence of possible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worlds themselves. In (d), the existence of the number 2 seems to depend on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general existence of natural numbers. (170)</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fused entities would inhabit different possible worlds. Suppose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that counterpart theory is integrated with Lewis’s modal realism, according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which possible worlds and the individuals inhabiting them (construed as parts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possible worlds) exist in the same exact sense in which our world and their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parts exist. Then, the fusion in (c) would still be categorically homogeneous (it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would be the fusion of two people, if we assume that the involved counterpart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Cameron is a person), but would raise further concerns: it would not be simply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spatially sparse, but such that its parts are mutually not at any distance in space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and time—indeed, according to modal realism, possible worlds are closed under relations of spatiotemporal distance, and this means that if two things are in</w:t>
      </w:r>
    </w:p>
    <w:p>
      <w:pPr>
        <w:pStyle w:val="Normal"/>
        <w:spacing w:before="0" w:after="0"/>
        <w:contextualSpacing/>
        <w:jc w:val="left"/>
        <w:rPr/>
      </w:pPr>
      <w:r>
        <w:rPr>
          <w:rFonts w:eastAsia="Calibri" w:cs="MinionPro-Regular" w:ascii="MinionPro-Regular" w:hAnsi="MinionPro-Regular"/>
          <w:sz w:val="21"/>
          <w:szCs w:val="21"/>
        </w:rPr>
        <w:t xml:space="preserve">different worlds, then they </w:t>
      </w:r>
      <w:r>
        <w:rPr>
          <w:rFonts w:eastAsia="Calibri" w:cs="MinionPro-It" w:ascii="MinionPro-It" w:hAnsi="MinionPro-It"/>
          <w:i/>
          <w:iCs/>
          <w:sz w:val="21"/>
          <w:szCs w:val="21"/>
        </w:rPr>
        <w:t xml:space="preserve">are not </w:t>
      </w:r>
      <w:r>
        <w:rPr>
          <w:rFonts w:eastAsia="Calibri" w:cs="MinionPro-Regular" w:ascii="MinionPro-Regular" w:hAnsi="MinionPro-Regular"/>
          <w:sz w:val="21"/>
          <w:szCs w:val="21"/>
        </w:rPr>
        <w:t>reciprocally very far in space-time, but lack</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reciprocal spatiotemporal relations on the whole. Moreover, also their lack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causal efficiency would be more radical, and—so to say—a matter of principle,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since it would be grounded on the general fact that possible worlds are also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closed under causal relations, so that inter-world causality is foreclosed.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Finally, in modal realism, possible individuals are parts of possible worlds.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But the fusion at stake would not be part of any single possible world. Some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its parts would be part of the possible world of which Cameron is part (that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is, of the actual world). Some others would be part of the different possible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world of which Cameron’s involved counterpart is part. Some others (such as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fusion of Cameron’s left arm and the nose of his counterpart) would not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be part of any world. (171-172)</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rFonts w:ascii="MinionPro-Regular" w:hAnsi="MinionPro-Regular" w:eastAsia="Calibri" w:cs="MinionPro-Regular"/>
          <w:color w:val="FF0000"/>
          <w:sz w:val="21"/>
          <w:szCs w:val="21"/>
        </w:rPr>
      </w:pPr>
      <w:r>
        <w:rPr>
          <w:rFonts w:eastAsia="Calibri" w:cs="MinionPro-Regular" w:ascii="MinionPro-Regular" w:hAnsi="MinionPro-Regular"/>
          <w:color w:val="FF0000"/>
          <w:sz w:val="21"/>
          <w:szCs w:val="21"/>
        </w:rPr>
        <w:t>[“possible worlds” here are UNBELIEVABLE similar to my EDWs!!!!]</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Unrestricted Composition is about existence. It warrants that Fusion is an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always defined operation: if the entities to be fused exist, then their fusion</w:t>
      </w:r>
    </w:p>
    <w:p>
      <w:pPr>
        <w:pStyle w:val="Normal"/>
        <w:spacing w:before="0" w:after="0"/>
        <w:contextualSpacing/>
        <w:jc w:val="left"/>
        <w:rPr/>
      </w:pPr>
      <w:r>
        <w:rPr>
          <w:rFonts w:eastAsia="Calibri" w:cs="MinionPro-Regular" w:ascii="MinionPro-Regular" w:hAnsi="MinionPro-Regular"/>
          <w:sz w:val="21"/>
          <w:szCs w:val="21"/>
        </w:rPr>
        <w:t xml:space="preserve">exists. What does this say </w:t>
      </w:r>
      <w:r>
        <w:rPr>
          <w:rFonts w:eastAsia="Calibri" w:cs="MinionPro-It" w:ascii="MinionPro-It" w:hAnsi="MinionPro-It"/>
          <w:i/>
          <w:iCs/>
          <w:sz w:val="21"/>
          <w:szCs w:val="21"/>
        </w:rPr>
        <w:t>about fusions</w:t>
      </w:r>
      <w:r>
        <w:rPr>
          <w:rFonts w:eastAsia="Calibri" w:cs="MinionPro-Regular" w:ascii="MinionPro-Regular" w:hAnsi="MinionPro-Regular"/>
          <w:sz w:val="21"/>
          <w:szCs w:val="21"/>
        </w:rPr>
        <w:t>? Nothing, except that they exist. It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does not require them to play any explanatory role, participate in causal links,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or play any role in an exhaustive description of the world. We have seen that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inter-world fusions—in reference to which Lewis formulates the first mature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version of the argument, after Quine’s and Williams’s early sketches—are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more of a problem than an asset for modal realism. This seems to hold also 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other cases. Unrestricted Composition delivers heterogeneous and redundant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entities that are never to be mentioned outside of philosophy: within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concrete domain (in cases such as (a) and (b), Chapter 12, Section 12.1),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heterogeneity, redundancy, irrelevance come in degrees, and can generate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soritic series. Nonetheless, in the high ranks of the soritic series, we get</w:t>
      </w:r>
    </w:p>
    <w:p>
      <w:pPr>
        <w:pStyle w:val="Normal"/>
        <w:spacing w:before="0" w:after="0"/>
        <w:contextualSpacing/>
        <w:jc w:val="left"/>
        <w:rPr/>
      </w:pPr>
      <w:r>
        <w:rPr>
          <w:rFonts w:eastAsia="Calibri" w:cs="MinionPro-Regular" w:ascii="MinionPro-Regular" w:hAnsi="MinionPro-Regular"/>
          <w:sz w:val="21"/>
          <w:szCs w:val="21"/>
        </w:rPr>
        <w:t xml:space="preserve">entities that are definitely </w:t>
      </w:r>
      <w:r>
        <w:rPr>
          <w:rFonts w:eastAsia="Calibri" w:cs="MinionPro-It" w:ascii="MinionPro-It" w:hAnsi="MinionPro-It"/>
          <w:i/>
          <w:iCs/>
          <w:sz w:val="21"/>
          <w:szCs w:val="21"/>
        </w:rPr>
        <w:t>useless</w:t>
      </w:r>
      <w:r>
        <w:rPr>
          <w:rFonts w:eastAsia="Calibri" w:cs="MinionPro-Regular" w:ascii="MinionPro-Regular" w:hAnsi="MinionPro-Regular"/>
          <w:sz w:val="21"/>
          <w:szCs w:val="21"/>
        </w:rPr>
        <w: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These useless entities would exist, but fail to instantiate any interesting,</w:t>
      </w:r>
    </w:p>
    <w:p>
      <w:pPr>
        <w:pStyle w:val="Normal"/>
        <w:spacing w:before="0" w:after="0"/>
        <w:contextualSpacing/>
        <w:jc w:val="left"/>
        <w:rPr/>
      </w:pPr>
      <w:r>
        <w:rPr>
          <w:rFonts w:eastAsia="Calibri" w:cs="MinionPro-It" w:ascii="MinionPro-It" w:hAnsi="MinionPro-It"/>
          <w:i/>
          <w:iCs/>
          <w:sz w:val="21"/>
          <w:szCs w:val="21"/>
        </w:rPr>
        <w:t xml:space="preserve">autonomous </w:t>
      </w:r>
      <w:r>
        <w:rPr>
          <w:rFonts w:eastAsia="Calibri" w:cs="MinionPro-Regular" w:ascii="MinionPro-Regular" w:hAnsi="MinionPro-Regular"/>
          <w:sz w:val="21"/>
          <w:szCs w:val="21"/>
        </w:rPr>
        <w:t>properties. (193)</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Timothy Williamson thinks that existence is an abused notion, and that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it is better to get rid of the label “existence” in philosophy, and to replace it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with two notions. One is the notion of “being something,” or “being identical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to something,” and is adequately expressed by the existential quantifier (it</w:t>
      </w:r>
    </w:p>
    <w:p>
      <w:pPr>
        <w:pStyle w:val="Normal"/>
        <w:spacing w:before="0" w:after="0"/>
        <w:contextualSpacing/>
        <w:jc w:val="left"/>
        <w:rPr/>
      </w:pPr>
      <w:r>
        <w:rPr>
          <w:rFonts w:eastAsia="Calibri" w:cs="MinionPro-Regular" w:ascii="MinionPro-Regular" w:hAnsi="MinionPro-Regular"/>
          <w:sz w:val="21"/>
          <w:szCs w:val="21"/>
        </w:rPr>
        <w:t xml:space="preserve">corresponds to </w:t>
      </w:r>
      <w:r>
        <w:rPr>
          <w:rFonts w:eastAsia="Calibri" w:cs="MinionPro-It" w:ascii="MinionPro-It" w:hAnsi="MinionPro-It"/>
          <w:i/>
          <w:iCs/>
          <w:sz w:val="21"/>
          <w:szCs w:val="21"/>
        </w:rPr>
        <w:t xml:space="preserve">Quinean </w:t>
      </w:r>
      <w:r>
        <w:rPr>
          <w:rFonts w:eastAsia="Calibri" w:cs="MinionPro-Regular" w:ascii="MinionPro-Regular" w:hAnsi="MinionPro-Regular"/>
          <w:sz w:val="21"/>
          <w:szCs w:val="21"/>
        </w:rPr>
        <w:t>existence). The other notion is concreteness.</w:t>
      </w:r>
      <w:r>
        <w:rPr>
          <w:rFonts w:eastAsia="Calibri" w:cs="MinionPro-Regular" w:ascii="MinionPro-Regular" w:hAnsi="MinionPro-Regular"/>
          <w:sz w:val="12"/>
          <w:szCs w:val="12"/>
        </w:rPr>
        <w:t>3</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Kit Fine, and other philosophers who assign prominence to the notion of</w:t>
      </w:r>
    </w:p>
    <w:p>
      <w:pPr>
        <w:pStyle w:val="Normal"/>
        <w:spacing w:before="0" w:after="0"/>
        <w:contextualSpacing/>
        <w:jc w:val="left"/>
        <w:rPr/>
      </w:pPr>
      <w:r>
        <w:rPr>
          <w:rFonts w:eastAsia="Calibri" w:cs="MinionPro-Regular" w:ascii="MinionPro-Regular" w:hAnsi="MinionPro-Regular"/>
          <w:sz w:val="21"/>
          <w:szCs w:val="21"/>
        </w:rPr>
        <w:t>grounding,</w:t>
      </w:r>
      <w:r>
        <w:rPr>
          <w:rFonts w:eastAsia="Calibri" w:cs="MinionPro-Regular" w:ascii="MinionPro-Regular" w:hAnsi="MinionPro-Regular"/>
          <w:sz w:val="12"/>
          <w:szCs w:val="12"/>
        </w:rPr>
        <w:t xml:space="preserve">4 </w:t>
      </w:r>
      <w:r>
        <w:rPr>
          <w:rFonts w:eastAsia="Calibri" w:cs="MinionPro-Regular" w:ascii="MinionPro-Regular" w:hAnsi="MinionPro-Regular"/>
          <w:sz w:val="21"/>
          <w:szCs w:val="21"/>
        </w:rPr>
        <w:t>are ready to concede that existence is expressed by the existential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quantifier, but thinks that existence should not be the central concern of</w:t>
      </w:r>
    </w:p>
    <w:p>
      <w:pPr>
        <w:pStyle w:val="Normal"/>
        <w:spacing w:before="0" w:after="0"/>
        <w:contextualSpacing/>
        <w:jc w:val="left"/>
        <w:rPr/>
      </w:pPr>
      <w:r>
        <w:rPr>
          <w:rFonts w:eastAsia="Calibri" w:cs="MinionPro-Regular" w:ascii="MinionPro-Regular" w:hAnsi="MinionPro-Regular"/>
          <w:sz w:val="21"/>
          <w:szCs w:val="21"/>
        </w:rPr>
        <w:t xml:space="preserve">ontology: ontology should instead focus on what is </w:t>
      </w:r>
      <w:r>
        <w:rPr>
          <w:rFonts w:eastAsia="Calibri" w:cs="MinionPro-It" w:ascii="MinionPro-It" w:hAnsi="MinionPro-It"/>
          <w:i/>
          <w:iCs/>
          <w:sz w:val="21"/>
          <w:szCs w:val="21"/>
        </w:rPr>
        <w:t xml:space="preserve">real </w:t>
      </w:r>
      <w:r>
        <w:rPr>
          <w:rFonts w:eastAsia="Calibri" w:cs="MinionPro-Regular" w:ascii="MinionPro-Regular" w:hAnsi="MinionPro-Regular"/>
          <w:sz w:val="21"/>
          <w:szCs w:val="21"/>
        </w:rPr>
        <w:t xml:space="preserve">or </w:t>
      </w:r>
      <w:r>
        <w:rPr>
          <w:rFonts w:eastAsia="Calibri" w:cs="MinionPro-It" w:ascii="MinionPro-It" w:hAnsi="MinionPro-It"/>
          <w:i/>
          <w:iCs/>
          <w:sz w:val="21"/>
          <w:szCs w:val="21"/>
        </w:rPr>
        <w:t>fundamental</w:t>
      </w:r>
      <w:r>
        <w:rPr>
          <w:rFonts w:eastAsia="Calibri" w:cs="MinionPro-Regular" w:ascii="MinionPro-Regular" w:hAnsi="MinionPro-Regular"/>
          <w:sz w:val="21"/>
          <w:szCs w:val="21"/>
        </w:rPr>
        <w: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Reality comes in degrees, defined by the grounding relation: what grounds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more real than what it grounds. Fundamentality is the attribute of what is at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beginning of the chains of grounding: what grounds other things, but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in turn ungrounded.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What impact could these alternative metaontologies have on Unrestricted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Composition? Unrestricted Composition is usually formulated and has been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defended by Lewis in the context of Quinean metaontology. Metaontology</w:t>
      </w:r>
    </w:p>
    <w:p>
      <w:pPr>
        <w:pStyle w:val="Normal"/>
        <w:spacing w:before="0" w:after="0"/>
        <w:contextualSpacing/>
        <w:jc w:val="left"/>
        <w:rPr/>
      </w:pPr>
      <w:r>
        <w:rPr>
          <w:rFonts w:eastAsia="Calibri" w:cs="MinionPro-It" w:ascii="MinionPro-It" w:hAnsi="MinionPro-It"/>
          <w:i/>
          <w:iCs/>
          <w:sz w:val="21"/>
          <w:szCs w:val="21"/>
        </w:rPr>
        <w:t>matters</w:t>
      </w:r>
      <w:r>
        <w:rPr>
          <w:rFonts w:eastAsia="Calibri" w:cs="MinionPro-Regular" w:ascii="MinionPro-Regular" w:hAnsi="MinionPro-Regular"/>
          <w:sz w:val="21"/>
          <w:szCs w:val="21"/>
        </w:rPr>
        <w:t>: given a certain metaontology, the significance of Unrestricted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Composition could change, and we could have at our disposal a richer or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poorer stock of notions to express distinctions among the domain of admitted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fusions.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What surely does not change from one metaontology to another is the literal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content of Unrestricted Composition: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(Unrestricted Composition)</w:t>
      </w:r>
    </w:p>
    <w:p>
      <w:pPr>
        <w:pStyle w:val="Normal"/>
        <w:spacing w:before="0" w:after="0"/>
        <w:contextualSpacing/>
        <w:jc w:val="left"/>
        <w:rPr/>
      </w:pPr>
      <w:r>
        <w:rPr>
          <w:rFonts w:eastAsia="Calibri" w:cs="MinionPro-Regular" w:ascii="MinionPro-Regular" w:hAnsi="MinionPro-Regular"/>
          <w:sz w:val="21"/>
          <w:szCs w:val="21"/>
        </w:rPr>
        <w:t xml:space="preserve">Unrestricted Composition states that, for every things, </w:t>
      </w:r>
      <w:r>
        <w:rPr>
          <w:rFonts w:eastAsia="Calibri" w:cs="MinionPro-It" w:ascii="MinionPro-It" w:hAnsi="MinionPro-It"/>
          <w:i/>
          <w:iCs/>
          <w:sz w:val="21"/>
          <w:szCs w:val="21"/>
        </w:rPr>
        <w:t xml:space="preserve">something </w:t>
      </w:r>
      <w:r>
        <w:rPr>
          <w:rFonts w:eastAsia="Calibri" w:cs="MinionPro-Regular" w:ascii="MinionPro-Regular" w:hAnsi="MinionPro-Regular"/>
          <w:sz w:val="21"/>
          <w:szCs w:val="21"/>
        </w:rPr>
        <w:t>in the domain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the existential quantifier is their fusion. (194)</w:t>
      </w:r>
    </w:p>
    <w:p>
      <w:pPr>
        <w:pStyle w:val="Normal"/>
        <w:spacing w:before="0" w:after="0"/>
        <w:contextualSpacing/>
        <w:jc w:val="left"/>
        <w:rPr>
          <w:b/>
          <w:b/>
        </w:rPr>
      </w:pPr>
      <w:r>
        <w:rPr>
          <w:b/>
        </w:rPr>
      </w:r>
    </w:p>
    <w:p>
      <w:pPr>
        <w:pStyle w:val="Normal"/>
        <w:spacing w:before="0" w:after="0"/>
        <w:contextualSpacing/>
        <w:jc w:val="left"/>
        <w:rPr/>
      </w:pPr>
      <w:r>
        <w:rPr>
          <w:rFonts w:eastAsia="Calibri" w:cs="MinionPro-Regular" w:ascii="MinionPro-Regular" w:hAnsi="MinionPro-Regular"/>
          <w:sz w:val="21"/>
          <w:szCs w:val="21"/>
        </w:rPr>
        <w:t xml:space="preserve">Similar considerations concern Williamson’s repudiation of </w:t>
      </w:r>
      <w:r>
        <w:rPr>
          <w:rFonts w:eastAsia="Calibri" w:cs="MinionPro-It" w:ascii="MinionPro-It" w:hAnsi="MinionPro-It"/>
          <w:i/>
          <w:iCs/>
          <w:sz w:val="21"/>
          <w:szCs w:val="21"/>
        </w:rPr>
        <w:t xml:space="preserve">existence </w:t>
      </w:r>
      <w:r>
        <w:rPr>
          <w:rFonts w:eastAsia="Calibri" w:cs="MinionPro-Regular" w:ascii="MinionPro-Regular" w:hAnsi="MinionPro-Regular"/>
          <w:sz w:val="21"/>
          <w:szCs w:val="21"/>
        </w:rPr>
        <w:t>in</w:t>
      </w:r>
    </w:p>
    <w:p>
      <w:pPr>
        <w:pStyle w:val="Normal"/>
        <w:spacing w:before="0" w:after="0"/>
        <w:contextualSpacing/>
        <w:jc w:val="left"/>
        <w:rPr/>
      </w:pPr>
      <w:r>
        <w:rPr>
          <w:rFonts w:eastAsia="Calibri" w:cs="MinionPro-Regular" w:ascii="MinionPro-Regular" w:hAnsi="MinionPro-Regular"/>
          <w:sz w:val="21"/>
          <w:szCs w:val="21"/>
        </w:rPr>
        <w:t xml:space="preserve">favor of </w:t>
      </w:r>
      <w:r>
        <w:rPr>
          <w:rFonts w:eastAsia="Calibri" w:cs="MinionPro-It" w:ascii="MinionPro-It" w:hAnsi="MinionPro-It"/>
          <w:i/>
          <w:iCs/>
          <w:sz w:val="21"/>
          <w:szCs w:val="21"/>
        </w:rPr>
        <w:t xml:space="preserve">being something </w:t>
      </w:r>
      <w:r>
        <w:rPr>
          <w:rFonts w:eastAsia="Calibri" w:cs="MinionPro-Regular" w:ascii="MinionPro-Regular" w:hAnsi="MinionPro-Regular"/>
          <w:sz w:val="21"/>
          <w:szCs w:val="21"/>
        </w:rPr>
        <w:t xml:space="preserve">and </w:t>
      </w:r>
      <w:r>
        <w:rPr>
          <w:rFonts w:eastAsia="Calibri" w:cs="MinionPro-It" w:ascii="MinionPro-It" w:hAnsi="MinionPro-It"/>
          <w:i/>
          <w:iCs/>
          <w:sz w:val="21"/>
          <w:szCs w:val="21"/>
        </w:rPr>
        <w:t>concreteness</w:t>
      </w:r>
      <w:r>
        <w:rPr>
          <w:rFonts w:eastAsia="Calibri" w:cs="MinionPro-Regular" w:ascii="MinionPro-Regular" w:hAnsi="MinionPro-Regular"/>
          <w:sz w:val="21"/>
          <w:szCs w:val="21"/>
        </w:rPr>
        <w:t>. Clearly, Unrestricted Composition,</w:t>
      </w:r>
    </w:p>
    <w:p>
      <w:pPr>
        <w:pStyle w:val="Normal"/>
        <w:spacing w:before="0" w:after="0"/>
        <w:contextualSpacing/>
        <w:jc w:val="left"/>
        <w:rPr/>
      </w:pPr>
      <w:r>
        <w:rPr>
          <w:rFonts w:eastAsia="Calibri" w:cs="MinionPro-Regular" w:ascii="MinionPro-Regular" w:hAnsi="MinionPro-Regular"/>
          <w:sz w:val="21"/>
          <w:szCs w:val="21"/>
        </w:rPr>
        <w:t xml:space="preserve">if conjoined with Williamson’s metaontology, concerns </w:t>
      </w:r>
      <w:r>
        <w:rPr>
          <w:rFonts w:eastAsia="Calibri" w:cs="MinionPro-It" w:ascii="MinionPro-It" w:hAnsi="MinionPro-It"/>
          <w:i/>
          <w:iCs/>
          <w:sz w:val="21"/>
          <w:szCs w:val="21"/>
        </w:rPr>
        <w:t>being something</w:t>
      </w:r>
      <w:r>
        <w:rPr>
          <w:rFonts w:eastAsia="Calibri" w:cs="MinionPro-Regular" w:ascii="MinionPro-Regular" w:hAnsi="MinionPro-Regular"/>
          <w:sz w:val="21"/>
          <w:szCs w:val="21"/>
        </w:rPr>
        <w:t>: it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affirms that, given any entities whatsoever, their fusion is something—that it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is identical to something. As in the Meinongian case, the intuitions underlying</w:t>
      </w:r>
    </w:p>
    <w:p>
      <w:pPr>
        <w:pStyle w:val="Normal"/>
        <w:spacing w:before="0" w:after="0"/>
        <w:contextualSpacing/>
        <w:jc w:val="left"/>
        <w:rPr/>
      </w:pPr>
      <w:r>
        <w:rPr>
          <w:rFonts w:eastAsia="Calibri" w:cs="MinionPro-Regular" w:ascii="MinionPro-Regular" w:hAnsi="MinionPro-Regular"/>
          <w:sz w:val="21"/>
          <w:szCs w:val="21"/>
        </w:rPr>
        <w:t xml:space="preserve">(a)–(d) could be instead referred to the </w:t>
      </w:r>
      <w:r>
        <w:rPr>
          <w:rFonts w:eastAsia="Calibri" w:cs="MinionPro-It" w:ascii="MinionPro-It" w:hAnsi="MinionPro-It"/>
          <w:i/>
          <w:iCs/>
          <w:sz w:val="21"/>
          <w:szCs w:val="21"/>
        </w:rPr>
        <w:t xml:space="preserve">other </w:t>
      </w:r>
      <w:r>
        <w:rPr>
          <w:rFonts w:eastAsia="Calibri" w:cs="MinionPro-Regular" w:ascii="MinionPro-Regular" w:hAnsi="MinionPro-Regular"/>
          <w:sz w:val="21"/>
          <w:szCs w:val="21"/>
        </w:rPr>
        <w:t>notion, concreteness. Concreteness</w:t>
      </w:r>
    </w:p>
    <w:p>
      <w:pPr>
        <w:pStyle w:val="Normal"/>
        <w:spacing w:before="0" w:after="0"/>
        <w:contextualSpacing/>
        <w:jc w:val="left"/>
        <w:rPr/>
      </w:pPr>
      <w:r>
        <w:rPr>
          <w:rFonts w:eastAsia="Calibri" w:cs="MinionPro-Regular" w:ascii="MinionPro-Regular" w:hAnsi="MinionPro-Regular"/>
          <w:sz w:val="21"/>
          <w:szCs w:val="21"/>
        </w:rPr>
        <w:t>can be meant as being in space-time, or as having causal efficacy.</w:t>
      </w:r>
      <w:r>
        <w:rPr>
          <w:rFonts w:eastAsia="Calibri" w:cs="MinionPro-Regular" w:ascii="MinionPro-Regular" w:hAnsi="MinionPro-Regular"/>
          <w:sz w:val="12"/>
          <w:szCs w:val="12"/>
        </w:rPr>
        <w:t xml:space="preserve">8 </w:t>
      </w:r>
      <w:r>
        <w:rPr>
          <w:rFonts w:eastAsia="Calibri" w:cs="MinionPro-Regular" w:ascii="MinionPro-Regular" w:hAnsi="MinionPro-Regular"/>
          <w:sz w:val="21"/>
          <w:szCs w:val="21"/>
        </w:rPr>
        <w:t>Also in these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cases, the variety of motivations supporting (a)–(d) do not seem to identify any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unitary notion of existence as concreteness. (195)</w:t>
      </w:r>
    </w:p>
    <w:p>
      <w:pPr>
        <w:pStyle w:val="Normal"/>
        <w:spacing w:before="0" w:after="0"/>
        <w:contextualSpacing/>
        <w:jc w:val="left"/>
        <w:rPr>
          <w:b/>
          <w:b/>
        </w:rPr>
      </w:pPr>
      <w:r>
        <w:rPr>
          <w:b/>
        </w:rPr>
      </w:r>
    </w:p>
    <w:p>
      <w:pPr>
        <w:pStyle w:val="Normal"/>
        <w:spacing w:before="0" w:after="0"/>
        <w:contextualSpacing/>
        <w:jc w:val="left"/>
        <w:rPr>
          <w:b/>
          <w:b/>
          <w:color w:val="FF0000"/>
        </w:rPr>
      </w:pPr>
      <w:r>
        <w:rPr>
          <w:b/>
          <w:color w:val="FF0000"/>
        </w:rPr>
        <w:t>[Williamson published his works (for instance 2013) after I published my first four books and many articles!!!]</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To exist or to be in the domain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an unrestricted quantifier is not to be important, to instantiate some kind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distinguished feature, or to instantiate a predicate; it is to be in the domain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what can instantiate predicates. (199)</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Fusion in CEM is an operation that connects—in its most interesting</w:t>
      </w:r>
    </w:p>
    <w:p>
      <w:pPr>
        <w:pStyle w:val="Normal"/>
        <w:spacing w:before="0" w:after="0"/>
        <w:contextualSpacing/>
        <w:jc w:val="left"/>
        <w:rPr/>
      </w:pPr>
      <w:r>
        <w:rPr>
          <w:rFonts w:eastAsia="Calibri" w:cs="MinionPro-Regular" w:ascii="MinionPro-Regular" w:hAnsi="MinionPro-Regular"/>
          <w:sz w:val="21"/>
          <w:szCs w:val="21"/>
        </w:rPr>
        <w:t xml:space="preserve">instances—many things to one thing. Fusion </w:t>
      </w:r>
      <w:r>
        <w:rPr>
          <w:rFonts w:eastAsia="Calibri" w:cs="MinionPro-It" w:ascii="MinionPro-It" w:hAnsi="MinionPro-It"/>
          <w:i/>
          <w:iCs/>
          <w:sz w:val="21"/>
          <w:szCs w:val="21"/>
        </w:rPr>
        <w:t xml:space="preserve">presupposes and determines </w:t>
      </w:r>
      <w:r>
        <w:rPr>
          <w:rFonts w:eastAsia="Calibri" w:cs="MinionPro-Regular" w:ascii="MinionPro-Regular" w:hAnsi="MinionPro-Regular"/>
          <w:sz w:val="21"/>
          <w:szCs w:val="21"/>
        </w:rPr>
        <w:t>several</w:t>
      </w:r>
    </w:p>
    <w:p>
      <w:pPr>
        <w:pStyle w:val="Normal"/>
        <w:spacing w:before="0" w:after="0"/>
        <w:contextualSpacing/>
        <w:jc w:val="left"/>
        <w:rPr/>
      </w:pPr>
      <w:r>
        <w:rPr>
          <w:rFonts w:eastAsia="Calibri" w:cs="MinionPro-It" w:ascii="MinionPro-It" w:hAnsi="MinionPro-It"/>
          <w:i/>
          <w:iCs/>
          <w:sz w:val="21"/>
          <w:szCs w:val="21"/>
        </w:rPr>
        <w:t xml:space="preserve">differences </w:t>
      </w:r>
      <w:r>
        <w:rPr>
          <w:rFonts w:eastAsia="Calibri" w:cs="MinionPro-Regular" w:ascii="MinionPro-Regular" w:hAnsi="MinionPro-Regular"/>
          <w:sz w:val="21"/>
          <w:szCs w:val="21"/>
        </w:rPr>
        <w:t>between its inputs and its output: the inputs are many, the output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one; the output is a fusion of the inputs, while the inputs are not the fusion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themselves; in many cases the output has all the inputs as proper parts, and 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many of these cases the inputs do not have all of themselves as proper parts.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However, the difference between the fusion and the fused entities could also</w:t>
      </w:r>
    </w:p>
    <w:p>
      <w:pPr>
        <w:pStyle w:val="Normal"/>
        <w:spacing w:before="0" w:after="0"/>
        <w:contextualSpacing/>
        <w:jc w:val="left"/>
        <w:rPr/>
      </w:pPr>
      <w:r>
        <w:rPr>
          <w:rFonts w:eastAsia="Calibri" w:cs="MinionPro-Regular" w:ascii="MinionPro-Regular" w:hAnsi="MinionPro-Regular"/>
          <w:sz w:val="21"/>
          <w:szCs w:val="21"/>
        </w:rPr>
        <w:t xml:space="preserve">consist in something else. There could be many other </w:t>
      </w:r>
      <w:r>
        <w:rPr>
          <w:rFonts w:eastAsia="Calibri" w:cs="MinionPro-It" w:ascii="MinionPro-It" w:hAnsi="MinionPro-It"/>
          <w:i/>
          <w:iCs/>
          <w:sz w:val="21"/>
          <w:szCs w:val="21"/>
        </w:rPr>
        <w:t xml:space="preserve">differences </w:t>
      </w:r>
      <w:r>
        <w:rPr>
          <w:rFonts w:eastAsia="Calibri" w:cs="MinionPro-Regular" w:ascii="MinionPro-Regular" w:hAnsi="MinionPro-Regular"/>
          <w:sz w:val="21"/>
          <w:szCs w:val="21"/>
        </w:rPr>
        <w:t>between fused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entities and fusion, about which CEM is completely silent. (208)</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b/>
          <w:b/>
        </w:rPr>
      </w:pPr>
      <w:r>
        <w:rPr>
          <w:b/>
        </w:rPr>
      </w:r>
    </w:p>
    <w:p>
      <w:pPr>
        <w:pStyle w:val="Normal"/>
        <w:spacing w:before="0" w:after="0"/>
        <w:contextualSpacing/>
        <w:jc w:val="left"/>
        <w:rPr>
          <w:b/>
          <w:b/>
        </w:rPr>
      </w:pPr>
      <w:r>
        <w:rPr>
          <w:b/>
        </w:rPr>
      </w:r>
    </w:p>
    <w:p>
      <w:pPr>
        <w:pStyle w:val="ListParagraph"/>
        <w:numPr>
          <w:ilvl w:val="0"/>
          <w:numId w:val="6"/>
        </w:numPr>
        <w:spacing w:before="0" w:after="0"/>
        <w:ind w:left="0" w:right="0" w:hanging="360"/>
        <w:contextualSpacing/>
        <w:rPr/>
      </w:pPr>
      <w:r>
        <w:rPr>
          <w:rFonts w:eastAsia="Calibri" w:ascii="Times New Roman" w:hAnsi="Times New Roman"/>
          <w:sz w:val="28"/>
          <w:szCs w:val="28"/>
        </w:rPr>
        <w:t xml:space="preserve">(2018) </w:t>
      </w:r>
      <w:r>
        <w:rPr>
          <w:rFonts w:eastAsia="Calibri" w:ascii="Times New Roman" w:hAnsi="Times New Roman"/>
          <w:b/>
          <w:sz w:val="28"/>
          <w:szCs w:val="28"/>
        </w:rPr>
        <w:t>Albrecht von M</w:t>
      </w:r>
      <w:r>
        <w:rPr>
          <w:rFonts w:eastAsia="HlshrbCnhnhfMTSYN" w:ascii="Times New Roman" w:hAnsi="Times New Roman"/>
          <w:b/>
          <w:sz w:val="28"/>
          <w:szCs w:val="28"/>
        </w:rPr>
        <w:t>¨</w:t>
      </w:r>
      <w:r>
        <w:rPr>
          <w:rFonts w:eastAsia="Calibri" w:ascii="Times New Roman" w:hAnsi="Times New Roman"/>
          <w:b/>
          <w:sz w:val="28"/>
          <w:szCs w:val="28"/>
        </w:rPr>
        <w:t>uller • Elias Zafiris</w:t>
      </w:r>
      <w:r>
        <w:rPr>
          <w:rFonts w:eastAsia="Calibri" w:ascii="Times New Roman" w:hAnsi="Times New Roman"/>
          <w:sz w:val="28"/>
          <w:szCs w:val="28"/>
        </w:rPr>
        <w:t xml:space="preserve">, </w:t>
      </w:r>
      <w:r>
        <w:rPr>
          <w:rFonts w:eastAsia="Calibri" w:ascii="Times New Roman" w:hAnsi="Times New Roman"/>
          <w:i/>
          <w:sz w:val="28"/>
          <w:szCs w:val="28"/>
        </w:rPr>
        <w:t>Concept and Formalization of Constellatory Self-Unfolding - A Novel Perspective on the Relation between Quantum and Relativistic Physics</w:t>
      </w:r>
    </w:p>
    <w:p>
      <w:pPr>
        <w:pStyle w:val="Normal"/>
        <w:spacing w:before="0" w:after="0"/>
        <w:contextualSpacing/>
        <w:jc w:val="left"/>
        <w:rPr/>
      </w:pPr>
      <w:r>
        <w:rPr/>
      </w:r>
      <w:bookmarkStart w:id="8" w:name="_Hlk129329"/>
      <w:bookmarkStart w:id="9" w:name="_Hlk129329"/>
      <w:bookmarkEnd w:id="9"/>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Metaphorically speaking this deprivation could be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characterized as a “facticity imprisonment” of our thinking. By this we inadvertently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reduce reality to its factual footprints and time to its sequential structure. Both are correct and important, but only partial aspects of time and reality. In order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overcome the rift between the two foundational theories of modern physics we need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unearth their different, hitherto overlooked categorial underpinnings and develop</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richer, overarching categorial framework. In the novel account, facts turn out to be just the traces of the actual taking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place of reality, left behind on the co-emerging canvas of local spacetime.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actual taking place of reality, instead, occurs still in a primordial form of time,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nonlocal “time-space of the present” (TSP).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Interestingly enough, already Albert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Einstein complained vis-à-vis Rudolf Carnap, in their discussions in Princeton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between 1952 and 1954, about the “painful, but inevitable abandonment”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present in physics. The necessity of this abandonment, however, exists only as long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time is reduced to its linear-sequential aspect, and, directly related, the notion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present being reduced to a point-like now. A nonlocal TSP as an aspect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time in its own right and even as its primordial form (from which the sequential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structure of time emerges as a derivative feature) is, instead, fully compatible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GRT. One can even argue that GRT implicitly contains such a richer notion of 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reality, e.g., for what there remains once the local space-time fabric unravels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singularities. The TSP provides the primordial “stage” or “platform” on which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reality can occur in the first place. Only by “taking place” (!) there, reality gains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chrono-ontological format of facticity. In the novel account, our human experience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 present needs no longer to be derogated as just a subjective confabulation.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new framework our experience of a present turns out to be the hitherto most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advanced adaptation of cognitive evolution to the actual taking place of reality, 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 occurs in this primordial form of time, the TSP. Obviously, this richer notion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time changes also our notion of reality. Without the sequential structure of 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there is no causality. In the TSP, reality occurs as a constellatory self-unfolding: Out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itself, within itself, and towards itself. Based on this richer notion of time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reality, QP can now be understood as addressing the “reduction” of reality to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format of facticity, respectively the “crystallization” of time to its linear-sequential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format. Classical and relativistic physics, instead, turn out to be focused on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resulting factual portrait. But, the singularities of GRT, an integral part of the factual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portrait, indicate the possibility of an inverse transition: They are the instance where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fabric of local spacetime, and with it the chrono-ontological format of facticity,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dissolves again. Quantum physical reduction and the singularities of GRT, thus, turn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out to describe inverse transitions: Into and out of the chrono-ontological format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facticity, respectively spacetime locality. (x)</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Fundamental for the new theory is to overcome our implicit fixation on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monolithic ontology.” In the novel framework, three chrono-ontological portraits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are united like Borromean rings, i.e., every two of them are linked only via the third.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There is (a) the—today erroneously generalized—factual portrait, painted on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canvas of local space-time, (b) the statu nascendi portrait, covering the actual taking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place of reality, as it occurs in the TSP, and (c) an aspect of inseparable, eventually impredicable unity—with reference to Anaximander, called the “apeiron portrait.”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this new, three-faceted chrono-ontological framework, it becomes possible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unite QP and GRT as they stand, i.e., without subduing one to the other—just by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recognizing that they address different, but complementary aspects of time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reality. Convergence is achieved by adding a “third step” to both, QP and GRT,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which spacetime locality itself is put into perspective.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two perennial problems in this context, namely the quantum state reduction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quantum measurement problem in quantum physics, and the problem of singularities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general relativity, may be considered as targeting precisely the issue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transition into and out of a local space-time event structure respectively, pertaining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the factual layer of reality. This naturally generates the question, if there exists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universal mechanism of a topological or logical nature, which would manifest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appropriately these two inverse types of transition, and concurrently provide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concrete mathematical modeling of the categorial apparatus characteristic of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statu-nascendi” layer, according to the autogenetic theory. If such a universal mechanism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is actually functioning, then the autogenetic theory, beyond its philosophical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impact, acquires significant interpretative power in relation to the resolution of these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pestilential problems of physics. Here, we propose to explore the viable possibility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this universal mechanism is based on the logical and topological characteristics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“Borromean link,” displayed below:</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“Borromean link” consists of an interlocking family of three rings, thought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as topological circles, such that if any one of them is cut at a point and removed,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then the remaining two become completely unlinked. The “Borromean link” can be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encoded algebraically in terms of the structure of the noncommutative free group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two generators. Its unique ubiquity lies on seven distinctive roles that constitute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main focus of this treatise: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1. The “Borromean link” is threefold symmetric and can be iterated selfreferentially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ad infinitum by replacing simultaneously each one of the rings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a “Borromean triad” of rings. All other topological links can be constructed and expressed algebraically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terms of two simple algebraic operations within the same noncommutative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group-theoretic model, namely the operations of forming “Borromean stacks”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“Borromean chains” out of “Borromean stacks.”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3. It serves as a universal singular locus in the algebraic-topological theory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branched covering spaces.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4. The “Borromean link” can be characterized topologically by means of a higherorder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homological invariant pertaining to the complement of the rings.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5. It provides the simplest model of nonlocal linkage in 3-d space independently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metrical distance.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6. This nonlocal topological linkage can be extended to 4-d spacetime by adjoining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temporal symmetry axis of rotation perpendicular to the rings, which is linked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once with each of them.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7. The noncommutative group-theoretic model of the “Borromean link” admits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irreducible representations in both the Lorentz group (local symmetry group</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general relativity) and the unitary group (local symmetry group in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mechanics).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connection between the “Borromean link” and the dynamics of autogenesis,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i.e., the dynamics of constellatory, self-referential unfolding, emanates from the adjunction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an observer, as referent of the “time-space of the present,” located inside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3-d sphere (compactification of 3-d Euclidean space), where the “Borromean link”</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may be realized. We consider that each one of the three rings surrounds a puncture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the 3-d sphere, assuming a well-defined physical semantics, and thus it gives rise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a nonbounding cycle. The existence of each single puncture is associated with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topological property of multiple connectivity.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First, it is instructive to consider the case of a single puncture together with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corresponding ring. The internal observer perceives multiple connectivity by means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universal covering space of this ring. The concept of a universal covering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space is rooted in algebraic topology and is formulated to depict precisely the process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dynamic unfolding of a multiply connected space. The term universal refers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the property that the unfolding space becomes eventually simply connected.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other words, the perception of the internal observer is dynamically completed when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unfolding space becomes simply connected. The semantics of the universal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covering space, in the considered case, is that the multiple connectivity induced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a ring is being dynamically unfolded as a helix, which is spiraling around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surface of a cone based on this ring and extended to infinity. With reference to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single ring, we may easily visualize the first steps of this spiral unfolding, where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emerging levels are indexed in terms of the integers. (x-xii)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 two fundamental</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and still imperishable issues in the interface between quantum theory and general</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relativity, namely the quantum state reduction and the problem of singularities, can</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be thought of as targeting the issue of transition into and out of a space-time event</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domain respectively. Given that the quantum state reduction is necessitated in virtue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of entanglement between the quantum system and the measurementmeans, the latter</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being in this way the conceptual inverse of the former, the “ER = EPR” conjecture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may be refined by thinking of it in the categorial context of a universal topological</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mechanism by means of which the folding out of a local space-time event domain</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takes place. It is proposed and demonstrated that the Borromean topological link</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provides the sought for universal mechanism to qualify and understand the relation</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between entanglement and wormholes, and thus addresses effectively the validity of</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 “ER = EPR” conjecture.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In a nutshell, the present treatise argues in favor of a fundamentally different</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way of conceptualizing time and reality. In the new conceptual framework, both the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sequentially ordered aspect of time and the factual aspect of reality are emergent</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phenomena that come into being only when the actual taking place of reality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is over. In the new view, facts are just the “traces” that the actual taking place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of reality leaves behind on the co-emergent “canvas” of local spacetime. Local</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spacetime itself emerges only as facts come into being—and only facts can be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adequately localized in it. But, how does reality then actually occur in the first place?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This “taking place” (in a most literal sense) is conceived as a “constellatory selfunfolding.”</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This self-unfolding is characterized by strong self-referentiality, and it</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occurs still in the primordial form of time, i.e., in the not yet sequentially structured</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t>
      </w:r>
      <w:r>
        <w:rPr>
          <w:rFonts w:eastAsia="Calibri" w:cs="BgnmpwWptfcpTimes-Roman" w:ascii="BgnmpwWptfcpTimes-Roman" w:hAnsi="BgnmpwWptfcpTimes-Roman"/>
          <w:color w:val="000000"/>
          <w:sz w:val="20"/>
          <w:szCs w:val="20"/>
        </w:rPr>
        <w:t>time-space of the present.” In its primordial form, time is the “ontophainetic</w:t>
      </w:r>
    </w:p>
    <w:p>
      <w:pPr>
        <w:pStyle w:val="Normal"/>
        <w:spacing w:before="0" w:after="0"/>
        <w:contextualSpacing/>
        <w:jc w:val="left"/>
        <w:rPr/>
      </w:pPr>
      <w:r>
        <w:rPr>
          <w:rFonts w:eastAsia="Calibri" w:cs="BgnmpwWptfcpTimes-Roman" w:ascii="BgnmpwWptfcpTimes-Roman" w:hAnsi="BgnmpwWptfcpTimes-Roman"/>
          <w:color w:val="000000"/>
          <w:sz w:val="20"/>
          <w:szCs w:val="20"/>
        </w:rPr>
        <w:t>platform”,</w:t>
      </w:r>
      <w:r>
        <w:rPr>
          <w:rFonts w:eastAsia="Calibri" w:cs="BgnmpwWptfcpTimes-Roman" w:ascii="BgnmpwWptfcpTimes-Roman" w:hAnsi="BgnmpwWptfcpTimes-Roman"/>
          <w:color w:val="0000FF"/>
          <w:sz w:val="15"/>
          <w:szCs w:val="15"/>
        </w:rPr>
        <w:t xml:space="preserve">2 </w:t>
      </w:r>
      <w:r>
        <w:rPr>
          <w:rFonts w:eastAsia="Calibri" w:cs="BgnmpwWptfcpTimes-Roman" w:ascii="BgnmpwWptfcpTimes-Roman" w:hAnsi="BgnmpwWptfcpTimes-Roman"/>
          <w:color w:val="000000"/>
          <w:sz w:val="20"/>
          <w:szCs w:val="20"/>
        </w:rPr>
        <w:t>i.e., the “stage,” on which reality can occur in the first place. (xv)</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Reality losses its local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spacetime formation and gets back into its primordial, pre-local shape—making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also the use of causality relations, Boolean logic, and the dichotomization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subject and object obsolete. For our understanding of the relation between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relativistic physics this new view opens up fundamentally new perspectives: Both the quantum physical and general relativistic picture are internally consistent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legitimate views of time and reality—they just address very different chronoontological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portraits. Thismeans that all trials to subjugate one view under the other,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i.e., trying to find hidden variables “beneath” quantum physics, or trying to quantize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gravity, are profoundly erroneous and lead nowhere.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task of the book is to provide a formal framework in which this categorially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richer view of time and reality can be addressed properly. The mathematical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approach is based on the logical and topological features of the Borromean rings. It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draws upon concepts and methods of algebraic and geometric topology—especially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theory of sheaves and links, group theory, logic and information theory,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relation to the standard constructions employed in quantum mechanics and general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relativity, shedding new light on the pestilential problems of their compatibility. (xv-xvi)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Around the conjecture “ER = ERP” there emerged a very interesting and productive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debate about the pivotal challenge of modern physics, the relation of general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relativity theory (GRT) and quantum physics. In the followingwe introduce a new—</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not so new—conceptual framework that has been developed quietly over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last three decades. It allows to substantiate the “ER = ERP” conjecture in the refined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version of arguing that the singularities of GRT and quantum reduction can be seen</w:t>
      </w:r>
    </w:p>
    <w:p>
      <w:pPr>
        <w:pStyle w:val="Normal"/>
        <w:spacing w:before="0" w:after="0"/>
        <w:contextualSpacing/>
        <w:jc w:val="left"/>
        <w:rPr/>
      </w:pPr>
      <w:r>
        <w:rPr>
          <w:rFonts w:eastAsia="Calibri" w:cs="BgnmpwWptfcpTimes-Roman" w:ascii="BgnmpwWptfcpTimes-Roman" w:hAnsi="BgnmpwWptfcpTimes-Roman"/>
          <w:sz w:val="20"/>
          <w:szCs w:val="20"/>
        </w:rPr>
        <w:t xml:space="preserve">as </w:t>
      </w:r>
      <w:r>
        <w:rPr>
          <w:rFonts w:eastAsia="Calibri" w:cs="KfjnvmNjhlcnTimes-Italic" w:ascii="KfjnvmNjhlcnTimes-Italic" w:hAnsi="KfjnvmNjhlcnTimes-Italic"/>
          <w:i/>
          <w:iCs/>
          <w:sz w:val="20"/>
          <w:szCs w:val="20"/>
        </w:rPr>
        <w:t xml:space="preserve">inverse transitions </w:t>
      </w:r>
      <w:r>
        <w:rPr>
          <w:rFonts w:eastAsia="Calibri" w:cs="BgnmpwWptfcpTimes-Roman" w:ascii="BgnmpwWptfcpTimes-Roman" w:hAnsi="BgnmpwWptfcpTimes-Roman"/>
          <w:sz w:val="20"/>
          <w:szCs w:val="20"/>
        </w:rPr>
        <w:t xml:space="preserve">into and out of the chrono-ontological format of </w:t>
      </w:r>
      <w:r>
        <w:rPr>
          <w:rFonts w:eastAsia="Calibri" w:cs="KfjnvmNjhlcnTimes-Italic" w:ascii="KfjnvmNjhlcnTimes-Italic" w:hAnsi="KfjnvmNjhlcnTimes-Italic"/>
          <w:i/>
          <w:iCs/>
          <w:sz w:val="20"/>
          <w:szCs w:val="20"/>
        </w:rPr>
        <w:t>facticity</w:t>
      </w:r>
      <w:r>
        <w:rPr>
          <w:rFonts w:eastAsia="Calibri" w:cs="BgnmpwWptfcpTimes-Roman" w:ascii="BgnmpwWptfcpTimes-Roman" w:hAnsi="BgnmpwWptfcpTimes-Roman"/>
          <w:sz w:val="20"/>
          <w:szCs w:val="20"/>
        </w:rPr>
        <w:t>,</w:t>
      </w:r>
    </w:p>
    <w:p>
      <w:pPr>
        <w:pStyle w:val="Normal"/>
        <w:spacing w:before="0" w:after="0"/>
        <w:contextualSpacing/>
        <w:jc w:val="left"/>
        <w:rPr/>
      </w:pPr>
      <w:r>
        <w:rPr>
          <w:rFonts w:eastAsia="Calibri" w:cs="BgnmpwWptfcpTimes-Roman" w:ascii="BgnmpwWptfcpTimes-Roman" w:hAnsi="BgnmpwWptfcpTimes-Roman"/>
          <w:sz w:val="20"/>
          <w:szCs w:val="20"/>
        </w:rPr>
        <w:t xml:space="preserve">respectively the applicability of </w:t>
      </w:r>
      <w:r>
        <w:rPr>
          <w:rFonts w:eastAsia="Calibri" w:cs="KfjnvmNjhlcnTimes-Italic" w:ascii="KfjnvmNjhlcnTimes-Italic" w:hAnsi="KfjnvmNjhlcnTimes-Italic"/>
          <w:i/>
          <w:iCs/>
          <w:sz w:val="20"/>
          <w:szCs w:val="20"/>
        </w:rPr>
        <w:t xml:space="preserve">local spacetime </w:t>
      </w:r>
      <w:r>
        <w:rPr>
          <w:rFonts w:eastAsia="Calibri" w:cs="BgnmpwWptfcpTimes-Roman" w:ascii="BgnmpwWptfcpTimes-Roman" w:hAnsi="BgnmpwWptfcpTimes-Roman"/>
          <w:sz w:val="20"/>
          <w:szCs w:val="20"/>
        </w:rPr>
        <w:t xml:space="preserve">and </w:t>
      </w:r>
      <w:r>
        <w:rPr>
          <w:rFonts w:eastAsia="Calibri" w:cs="KfjnvmNjhlcnTimes-Italic" w:ascii="KfjnvmNjhlcnTimes-Italic" w:hAnsi="KfjnvmNjhlcnTimes-Italic"/>
          <w:i/>
          <w:iCs/>
          <w:sz w:val="20"/>
          <w:szCs w:val="20"/>
        </w:rPr>
        <w:t>causal accounts</w:t>
      </w:r>
      <w:r>
        <w:rPr>
          <w:rFonts w:eastAsia="Calibri" w:cs="BgnmpwWptfcpTimes-Roman" w:ascii="BgnmpwWptfcpTimes-Roman" w:hAnsi="BgnmpwWptfcpTimes-Roman"/>
          <w:sz w:val="20"/>
          <w:szCs w:val="20"/>
        </w:rPr>
        <w:t>. In addition,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algebraization of Borromean topologies will be introduced as a new mathematical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tool for elaborating this approach.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novel approach is rooted in a philosophical analysis of the incompleteness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 purely sequential notion of time and in the development of a richer notion of</w:t>
      </w:r>
    </w:p>
    <w:p>
      <w:pPr>
        <w:pStyle w:val="Normal"/>
        <w:spacing w:before="0" w:after="0"/>
        <w:contextualSpacing/>
        <w:jc w:val="left"/>
        <w:rPr/>
      </w:pPr>
      <w:r>
        <w:rPr>
          <w:rFonts w:eastAsia="Calibri" w:cs="BgnmpwWptfcpTimes-Roman" w:ascii="BgnmpwWptfcpTimes-Roman" w:hAnsi="BgnmpwWptfcpTimes-Roman"/>
          <w:sz w:val="20"/>
          <w:szCs w:val="20"/>
        </w:rPr>
        <w:t xml:space="preserve">time in which a </w:t>
      </w:r>
      <w:r>
        <w:rPr>
          <w:rFonts w:eastAsia="Calibri" w:cs="KfjnvmNjhlcnTimes-Italic" w:ascii="KfjnvmNjhlcnTimes-Italic" w:hAnsi="KfjnvmNjhlcnTimes-Italic"/>
          <w:i/>
          <w:iCs/>
          <w:sz w:val="20"/>
          <w:szCs w:val="20"/>
        </w:rPr>
        <w:t xml:space="preserve">nonlocal time-space of the present </w:t>
      </w:r>
      <w:r>
        <w:rPr>
          <w:rFonts w:eastAsia="Calibri" w:cs="BgnmpwWptfcpTimes-Roman" w:ascii="BgnmpwWptfcpTimes-Roman" w:hAnsi="BgnmpwWptfcpTimes-Roman"/>
          <w:sz w:val="20"/>
          <w:szCs w:val="20"/>
        </w:rPr>
        <w:t>moves to the center. The linearsequential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structure turns out to be an important, but derivative aspect of time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is applicable only for the “traces” of the actual self-unfolding of reality, the facts it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leaves behind on the co-emergent canvas of local spacetime. It follows directly from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this modified conceptual framework that quantum reduction describes the transition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reality into the state of facticity. Causal account become available only there,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i.e. they are not yet available for the transition itself. Pari passu, it allows to see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singularities of GRT, i.e. the meltdown of the local spacetime, as the inverse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transition by which reality returns into its primordial, pre-factual and pre-causal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state. (1)</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ImmanuelKant drew our attention to the fact that all further thinking about reality 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based on initial “symmetry breakings” in our appreciation of time and reality. Based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the physics of his times, Kant saw Newtonian space and Newtonian time as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inevitable prerequisites of any consistent account of reality. Today, we enjoy a much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richer notion of space—but, in general we work with a still rather narrow notion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time that limits it—even in GRT—essentially to its linear-sequential structure.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This deprived notion of time prevents us from understanding (a) the crucial role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singularities, (b) what happens in quantum reduction, and (c) that and how GRT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quantum theory describe complementary aspects of the taking place of reality.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order to overcome this pitfall and develop a richer notion of time, it 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however, necessary to go a philosophical extra mile—so to say “with Kant beyond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Kant”—and to recognize the existence and role of underlying categorial apparatus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(pl.) which enable but also constrain all subsequent thinking.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categorial apparatus consists of four interrelated components: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a basic form of connecting predications,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a basic aspect of 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a basic relation between events,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a basic epistemological setting.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four constituents of the “classical” categorial apparatus are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Boolean logic (implementing the principle of “tertium non datur”),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the linear-sequential aspect of time (i.e., as the ability to order events),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the principle of causal closure (historically called “causa sufficiens”),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full separability of subject and object (resp. observer and observandum).</w:t>
      </w:r>
    </w:p>
    <w:p>
      <w:pPr>
        <w:pStyle w:val="Normal"/>
        <w:spacing w:before="0" w:after="0"/>
        <w:contextualSpacing/>
        <w:jc w:val="left"/>
        <w:rPr/>
      </w:pPr>
      <w:r>
        <w:rPr>
          <w:rFonts w:eastAsia="Calibri" w:cs="BgnmpwWptfcpTimes-Roman" w:ascii="BgnmpwWptfcpTimes-Roman" w:hAnsi="BgnmpwWptfcpTimes-Roman"/>
          <w:sz w:val="20"/>
          <w:szCs w:val="20"/>
        </w:rPr>
        <w:t xml:space="preserve">This set of underlying pre-configurations constitutes the </w:t>
      </w:r>
      <w:r>
        <w:rPr>
          <w:rFonts w:eastAsia="Calibri" w:cs="KfjnvmNjhlcnTimes-Italic" w:ascii="KfjnvmNjhlcnTimes-Italic" w:hAnsi="KfjnvmNjhlcnTimes-Italic"/>
          <w:i/>
          <w:iCs/>
          <w:sz w:val="20"/>
          <w:szCs w:val="20"/>
        </w:rPr>
        <w:t>factual aspect of reality</w:t>
      </w:r>
      <w:r>
        <w:rPr>
          <w:rFonts w:eastAsia="Calibri" w:cs="BgnmpwWptfcpTimes-Roman" w:ascii="BgnmpwWptfcpTimes-Roman" w:hAnsi="BgnmpwWptfcpTimes-Roman"/>
          <w:sz w:val="20"/>
          <w:szCs w:val="20"/>
        </w:rPr>
        <w:t>.</w:t>
      </w:r>
    </w:p>
    <w:p>
      <w:pPr>
        <w:pStyle w:val="Normal"/>
        <w:spacing w:before="0" w:after="0"/>
        <w:contextualSpacing/>
        <w:jc w:val="left"/>
        <w:rPr/>
      </w:pPr>
      <w:r>
        <w:rPr>
          <w:rFonts w:eastAsia="Calibri" w:cs="BgnmpwWptfcpTimes-Roman" w:ascii="BgnmpwWptfcpTimes-Roman" w:hAnsi="BgnmpwWptfcpTimes-Roman"/>
          <w:sz w:val="20"/>
          <w:szCs w:val="20"/>
        </w:rPr>
        <w:t xml:space="preserve">It is a very important and powerful </w:t>
      </w:r>
      <w:r>
        <w:rPr>
          <w:rFonts w:eastAsia="Calibri" w:cs="KfjnvmNjhlcnTimes-Italic" w:ascii="KfjnvmNjhlcnTimes-Italic" w:hAnsi="KfjnvmNjhlcnTimes-Italic"/>
          <w:i/>
          <w:iCs/>
          <w:sz w:val="20"/>
          <w:szCs w:val="20"/>
        </w:rPr>
        <w:t>portrait of reality</w:t>
      </w:r>
      <w:r>
        <w:rPr>
          <w:rFonts w:eastAsia="Calibri" w:cs="BgnmpwWptfcpTimes-Roman" w:ascii="BgnmpwWptfcpTimes-Roman" w:hAnsi="BgnmpwWptfcpTimes-Roman"/>
          <w:sz w:val="20"/>
          <w:szCs w:val="20"/>
        </w:rPr>
        <w:t>. But this portrait alone does</w:t>
      </w:r>
    </w:p>
    <w:p>
      <w:pPr>
        <w:pStyle w:val="Normal"/>
        <w:spacing w:before="0" w:after="0"/>
        <w:contextualSpacing/>
        <w:jc w:val="left"/>
        <w:rPr/>
      </w:pPr>
      <w:r>
        <w:rPr>
          <w:rFonts w:eastAsia="Calibri" w:cs="BgnmpwWptfcpTimes-Roman" w:ascii="BgnmpwWptfcpTimes-Roman" w:hAnsi="BgnmpwWptfcpTimes-Roman"/>
          <w:sz w:val="20"/>
          <w:szCs w:val="20"/>
        </w:rPr>
        <w:t xml:space="preserve">not yet give us a comprehensive </w:t>
      </w:r>
      <w:r>
        <w:rPr>
          <w:rFonts w:eastAsia="Calibri" w:cs="KfjnvmNjhlcnTimes-Italic" w:ascii="KfjnvmNjhlcnTimes-Italic" w:hAnsi="KfjnvmNjhlcnTimes-Italic"/>
          <w:i/>
          <w:iCs/>
          <w:sz w:val="20"/>
          <w:szCs w:val="20"/>
        </w:rPr>
        <w:t>picture of reality</w:t>
      </w:r>
      <w:r>
        <w:rPr>
          <w:rFonts w:eastAsia="Calibri" w:cs="BgnmpwWptfcpTimes-Roman" w:ascii="BgnmpwWptfcpTimes-Roman" w:hAnsi="BgnmpwWptfcpTimes-Roman"/>
          <w:sz w:val="20"/>
          <w:szCs w:val="20"/>
        </w:rPr>
        <w:t>—as we know, e.g. from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physics or Gödel’s incompleteness theorem of 1931.</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main structural deficit of the classical apparatus, respectively the factual</w:t>
      </w:r>
    </w:p>
    <w:p>
      <w:pPr>
        <w:pStyle w:val="Normal"/>
        <w:spacing w:before="0" w:after="0"/>
        <w:contextualSpacing/>
        <w:jc w:val="left"/>
        <w:rPr/>
      </w:pPr>
      <w:r>
        <w:rPr>
          <w:rFonts w:eastAsia="Calibri" w:cs="BgnmpwWptfcpTimes-Roman" w:ascii="BgnmpwWptfcpTimes-Roman" w:hAnsi="BgnmpwWptfcpTimes-Roman"/>
          <w:sz w:val="20"/>
          <w:szCs w:val="20"/>
        </w:rPr>
        <w:t xml:space="preserve">portrait of reality, is that it is incompatible with the twin phenomena of </w:t>
      </w:r>
      <w:r>
        <w:rPr>
          <w:rFonts w:eastAsia="Calibri" w:cs="KfjnvmNjhlcnTimes-Italic" w:ascii="KfjnvmNjhlcnTimes-Italic" w:hAnsi="KfjnvmNjhlcnTimes-Italic"/>
          <w:i/>
          <w:iCs/>
          <w:sz w:val="20"/>
          <w:szCs w:val="20"/>
        </w:rPr>
        <w:t>strong selfreferentiality</w:t>
      </w:r>
    </w:p>
    <w:p>
      <w:pPr>
        <w:pStyle w:val="Normal"/>
        <w:spacing w:before="0" w:after="0"/>
        <w:contextualSpacing/>
        <w:jc w:val="left"/>
        <w:rPr/>
      </w:pPr>
      <w:r>
        <w:rPr>
          <w:rFonts w:eastAsia="Calibri" w:cs="BgnmpwWptfcpTimes-Roman" w:ascii="BgnmpwWptfcpTimes-Roman" w:hAnsi="BgnmpwWptfcpTimes-Roman"/>
          <w:sz w:val="20"/>
          <w:szCs w:val="20"/>
        </w:rPr>
        <w:t xml:space="preserve">and </w:t>
      </w:r>
      <w:r>
        <w:rPr>
          <w:rFonts w:eastAsia="Calibri" w:cs="KfjnvmNjhlcnTimes-Italic" w:ascii="KfjnvmNjhlcnTimes-Italic" w:hAnsi="KfjnvmNjhlcnTimes-Italic"/>
          <w:i/>
          <w:iCs/>
          <w:sz w:val="20"/>
          <w:szCs w:val="20"/>
        </w:rPr>
        <w:t xml:space="preserve">autogenetic unfolding </w:t>
      </w:r>
      <w:r>
        <w:rPr>
          <w:rFonts w:eastAsia="Calibri" w:cs="BgnmpwWptfcpTimes-Roman" w:ascii="BgnmpwWptfcpTimes-Roman" w:hAnsi="BgnmpwWptfcpTimes-Roman"/>
          <w:sz w:val="20"/>
          <w:szCs w:val="20"/>
        </w:rPr>
        <w:t>(in which something unfolds in and out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itself, i.e. in the absence of external causal drivers). (2)</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sz w:val="20"/>
          <w:szCs w:val="20"/>
        </w:rPr>
        <w:t xml:space="preserve">In order to </w:t>
      </w:r>
      <w:r>
        <w:rPr>
          <w:rFonts w:eastAsia="Calibri" w:cs="KfjnvmNjhlcnTimes-Italic" w:ascii="KfjnvmNjhlcnTimes-Italic" w:hAnsi="KfjnvmNjhlcnTimes-Italic"/>
          <w:i/>
          <w:iCs/>
          <w:sz w:val="20"/>
          <w:szCs w:val="20"/>
        </w:rPr>
        <w:t xml:space="preserve">think </w:t>
      </w:r>
      <w:r>
        <w:rPr>
          <w:rFonts w:eastAsia="Calibri" w:cs="BgnmpwWptfcpTimes-Roman" w:ascii="BgnmpwWptfcpTimes-Roman" w:hAnsi="BgnmpwWptfcpTimes-Roman"/>
          <w:sz w:val="20"/>
          <w:szCs w:val="20"/>
        </w:rPr>
        <w:t>what happens in quantum reduction and for better understanding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relation between GRT and quantum physics, we need to dig still one layer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deeper in our analysis and to unearth the different categorial underpinnings, situated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beneath” the two foundational theories of physics. Only “down there” we can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recognize the fundamental differences in their portrait of reality, and develop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richer, overarching conceptual framework.</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Having discovered the apparatus character of the underlying categorial setup, one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can formulate a second (and eventually even a third, but for scientific concerns less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important) apparatus. It consists again of four interdependent constituents which, so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say, “fill the four slots” of a categorial apparatus:</w:t>
      </w:r>
    </w:p>
    <w:p>
      <w:pPr>
        <w:pStyle w:val="Normal"/>
        <w:spacing w:before="0" w:after="0"/>
        <w:contextualSpacing/>
        <w:jc w:val="left"/>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 xml:space="preserve">a </w:t>
      </w:r>
      <w:r>
        <w:rPr>
          <w:rFonts w:eastAsia="Calibri" w:cs="KfjnvmNjhlcnTimes-Italic" w:ascii="KfjnvmNjhlcnTimes-Italic" w:hAnsi="KfjnvmNjhlcnTimes-Italic"/>
          <w:i/>
          <w:iCs/>
          <w:sz w:val="20"/>
          <w:szCs w:val="20"/>
        </w:rPr>
        <w:t xml:space="preserve">constellatory logic </w:t>
      </w:r>
      <w:r>
        <w:rPr>
          <w:rFonts w:eastAsia="Calibri" w:cs="BgnmpwWptfcpTimes-Roman" w:ascii="BgnmpwWptfcpTimes-Roman" w:hAnsi="BgnmpwWptfcpTimes-Roman"/>
          <w:sz w:val="20"/>
          <w:szCs w:val="20"/>
        </w:rPr>
        <w:t>(i.e., a predication space in which different, and even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contradicting, propositions unfold their full meaning only mutually, and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overall significance emerges only in the constellation of all of them),</w:t>
      </w:r>
    </w:p>
    <w:p>
      <w:pPr>
        <w:pStyle w:val="Normal"/>
        <w:spacing w:before="0" w:after="0"/>
        <w:contextualSpacing/>
        <w:jc w:val="left"/>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 xml:space="preserve">a </w:t>
      </w:r>
      <w:r>
        <w:rPr>
          <w:rFonts w:eastAsia="Calibri" w:cs="KfjnvmNjhlcnTimes-Italic" w:ascii="KfjnvmNjhlcnTimes-Italic" w:hAnsi="KfjnvmNjhlcnTimes-Italic"/>
          <w:i/>
          <w:iCs/>
          <w:sz w:val="20"/>
          <w:szCs w:val="20"/>
        </w:rPr>
        <w:t xml:space="preserve">nonlocal time-space of the present </w:t>
      </w:r>
      <w:r>
        <w:rPr>
          <w:rFonts w:eastAsia="Calibri" w:cs="BgnmpwWptfcpTimes-Roman" w:ascii="BgnmpwWptfcpTimes-Roman" w:hAnsi="BgnmpwWptfcpTimes-Roman"/>
          <w:sz w:val="20"/>
          <w:szCs w:val="20"/>
        </w:rPr>
        <w:t>(as the temporal platform on which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primordial self-unfolding of reality actually occurs; only once this “taking place”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has occurred, spatiotemporal locality is available),</w:t>
      </w:r>
    </w:p>
    <w:p>
      <w:pPr>
        <w:pStyle w:val="Normal"/>
        <w:spacing w:before="0" w:after="0"/>
        <w:contextualSpacing/>
        <w:jc w:val="left"/>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 xml:space="preserve">the phenomenon of </w:t>
      </w:r>
      <w:r>
        <w:rPr>
          <w:rFonts w:eastAsia="Calibri" w:cs="KfjnvmNjhlcnTimes-Italic" w:ascii="KfjnvmNjhlcnTimes-Italic" w:hAnsi="KfjnvmNjhlcnTimes-Italic"/>
          <w:i/>
          <w:iCs/>
          <w:sz w:val="20"/>
          <w:szCs w:val="20"/>
        </w:rPr>
        <w:t xml:space="preserve">autogenesis </w:t>
      </w:r>
      <w:r>
        <w:rPr>
          <w:rFonts w:eastAsia="Calibri" w:cs="BgnmpwWptfcpTimes-Roman" w:ascii="BgnmpwWptfcpTimes-Roman" w:hAnsi="BgnmpwWptfcpTimes-Roman"/>
          <w:sz w:val="20"/>
          <w:szCs w:val="20"/>
        </w:rPr>
        <w:t>(resp. the principle of constellatory selfunfolding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which something unfolds out of, within, and toward itself, i.e.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the absence of external causal drivers),</w:t>
      </w:r>
    </w:p>
    <w:p>
      <w:pPr>
        <w:pStyle w:val="Normal"/>
        <w:spacing w:before="0" w:after="0"/>
        <w:contextualSpacing/>
        <w:jc w:val="left"/>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 xml:space="preserve">the structure of </w:t>
      </w:r>
      <w:r>
        <w:rPr>
          <w:rFonts w:eastAsia="Calibri" w:cs="KfjnvmNjhlcnTimes-Italic" w:ascii="KfjnvmNjhlcnTimes-Italic" w:hAnsi="KfjnvmNjhlcnTimes-Italic"/>
          <w:i/>
          <w:iCs/>
          <w:sz w:val="20"/>
          <w:szCs w:val="20"/>
        </w:rPr>
        <w:t xml:space="preserve">strong self-referentiality </w:t>
      </w:r>
      <w:r>
        <w:rPr>
          <w:rFonts w:eastAsia="Calibri" w:cs="BgnmpwWptfcpTimes-Roman" w:ascii="BgnmpwWptfcpTimes-Roman" w:hAnsi="BgnmpwWptfcpTimes-Roman"/>
          <w:sz w:val="20"/>
          <w:szCs w:val="20"/>
        </w:rPr>
        <w:t>(respectively the phenomenon of a rich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identity, like a person, in which something refers to itself in its entirety, thus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further unfolding what existed before this self-reference). Each of these four constituents may initially seem quite strange, especially if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we project them—as we almost automatically do—into the rest of the classical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categorial framework.But, taken together, they form a full-fledged second categorial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apparatus in its own right. This apparatus does not give us a comparably precise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portrait of reality like the first one, nor does it allow for formal conclusions or farreaching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predictions. But, it allows us to appreciate and address the actual taking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place of reality, i.e. its ongoing self-unfolding.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(a) recognizing the existence and role of categorial apparatus, (b) understanding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inherent limitations of the classical apparatus, and (c) complementing it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second one, capable to address “reality in the making” respectively the “statunascendi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aspect” of reality, we have fundamentally expanded the space of possible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theories. (3)</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The qualification of the unfolding as ‘out of itself’ refers to the absence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external drivers. ‘Within itself’ refers to the fact that an autogenetic universe does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 unfold within local spacetime, but the emergence of the latter is part of its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unfolding. The qualification as ‘towards itself’, finally, refers to the phenomenon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at a certain stage there have emerged entities which became aware of themselves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an explicit (i.e., language-based)manner.As they are part and parcel of the overall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unfolding of reality, this very process starts—in them, i.e. in every single human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being—to become aware of itself.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autogenetic universe has three complementary portraits that are related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each other in the topology of Borromean rings, i.e. taking one of them away leaves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other two in unmitigated duality. (4)</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Only all three portraits together allow for an adequate appreciation of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autogenetic universe in its essential self-unfolding. By reducing our notion of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facts, and our notion of time to its linear-sequential structure, we deprive our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appreciation of both, the world in which we live and ourselves in a most dramatic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way.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overcome this “facticity imprisonment” of our thinking is the prerequisite for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overcoming the present obstacles in understanding matter, life, Consciousness,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mind. But before discussing at least the implications of the new approach for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foundations of physics in some more detail, I would like to make still a few remarks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the idea of an autogenetic universe.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notion ‘autopoietic’ refers to processes in which an entity uses existing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material and configures it in a way that the system reproduces itself. In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autogenetic’ process also the material—and even the framework in which all takes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place—emerges as part of the overall self-unfolding.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universe that starts to become aware of itself is completely different from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one which just “drags on blindly”. By starting to become aware of itself,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whole universe gains a fundamentally novel quality—in every single instance where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this happens. This new quality of the whole is the reason for the infinite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nonnegotiable dignity of every single human being.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constellatory self-unfolding as themost fundamental andmost cross-cutting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principle a radically novel way to appreciate our universe becomes feasible.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self-constitution of physical matter/energy can be seen as “first order autogenesis,”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which is addressed in quantum physics. Out of this emerges life as a kind of “second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order autogenesis,” characterized already by a higher degree of self-referentiality,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i.e. of self-constitution and self-unfolding. The emergence of consciousness,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eventually even mind, can again be interpreted as still higher orders of autogenesis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respectively self-unfolding. (6)</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the new way of appreciating reality we draw on three instead of only one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categorial framework, respectively “apparatus”. These three apparatus constitute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three different but complementary chrono-ontological portraits of reality. Their Borromean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interrelatedness is a self-confirming aspect of the novel, above described,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dynamic combination, Integration, and mutual deepening of unity and diversity.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thought pattern of an autogenetic universe, thus, offers a new way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describing our world that combines openness for genuine novelty with conceptual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coherence, i.e. it constitutes what has been characterized as a “modest ToE”.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autogenetically unfolding universe also, explainability and wonderfulness are no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longer at the detriment of each other—they, too, deepen mutually. (7)</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1.5 Step IV:What All This Means for the Understanding</w:t>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of Quantum Physics, General Relativity, and the Relation</w:t>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Between the Two Theories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quantum physics the actual taking place of physical reality, i.e. its ongoing selfconstitution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is addressed. Relativistic physics, instead, focus mainly on the factual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portrait of reality—with the important exemption of singularities which can now be</w:t>
      </w:r>
    </w:p>
    <w:p>
      <w:pPr>
        <w:pStyle w:val="Normal"/>
        <w:spacing w:before="0" w:after="0"/>
        <w:contextualSpacing/>
        <w:jc w:val="left"/>
        <w:rPr/>
      </w:pPr>
      <w:r>
        <w:rPr>
          <w:rFonts w:eastAsia="Calibri" w:cs="BgnmpwWptfcpTimes-Roman" w:ascii="BgnmpwWptfcpTimes-Roman" w:hAnsi="BgnmpwWptfcpTimes-Roman"/>
          <w:sz w:val="20"/>
          <w:szCs w:val="20"/>
        </w:rPr>
        <w:t xml:space="preserve">seen as the fascinating instance of </w:t>
      </w:r>
      <w:r>
        <w:rPr>
          <w:rFonts w:eastAsia="Calibri" w:cs="KfjnvmNjhlcnTimes-Italic" w:ascii="KfjnvmNjhlcnTimes-Italic" w:hAnsi="KfjnvmNjhlcnTimes-Italic"/>
          <w:i/>
          <w:iCs/>
          <w:sz w:val="20"/>
          <w:szCs w:val="20"/>
        </w:rPr>
        <w:t>de-factization</w:t>
      </w:r>
      <w:r>
        <w:rPr>
          <w:rFonts w:eastAsia="Calibri" w:cs="BgnmpwWptfcpTimes-Roman" w:ascii="BgnmpwWptfcpTimes-Roman" w:hAnsi="BgnmpwWptfcpTimes-Roman"/>
          <w:sz w:val="20"/>
          <w:szCs w:val="20"/>
        </w:rPr>
        <w:t>, respectively the meltdown of local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spacetime.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already mentioned, trying to subjugate one approach under the other, i.e.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trying to quantize gravity or to find hidden causal mechanisms beneath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physics is neither needed nor adequate. The two theories address different portraits</w:t>
      </w:r>
    </w:p>
    <w:p>
      <w:pPr>
        <w:pStyle w:val="Normal"/>
        <w:spacing w:before="0" w:after="0"/>
        <w:contextualSpacing/>
        <w:jc w:val="left"/>
        <w:rPr/>
      </w:pPr>
      <w:r>
        <w:rPr>
          <w:rFonts w:eastAsia="Calibri" w:cs="BgnmpwWptfcpTimes-Roman" w:ascii="BgnmpwWptfcpTimes-Roman" w:hAnsi="BgnmpwWptfcpTimes-Roman"/>
          <w:sz w:val="20"/>
          <w:szCs w:val="20"/>
        </w:rPr>
        <w:t xml:space="preserve">of reality, complementing each other </w:t>
      </w:r>
      <w:r>
        <w:rPr>
          <w:rFonts w:eastAsia="Calibri" w:cs="KfjnvmNjhlcnTimes-Italic" w:ascii="KfjnvmNjhlcnTimes-Italic" w:hAnsi="KfjnvmNjhlcnTimes-Italic"/>
          <w:i/>
          <w:iCs/>
          <w:sz w:val="20"/>
          <w:szCs w:val="20"/>
        </w:rPr>
        <w:t xml:space="preserve">because </w:t>
      </w:r>
      <w:r>
        <w:rPr>
          <w:rFonts w:eastAsia="Calibri" w:cs="BgnmpwWptfcpTimes-Roman" w:ascii="BgnmpwWptfcpTimes-Roman" w:hAnsi="BgnmpwWptfcpTimes-Roman"/>
          <w:sz w:val="20"/>
          <w:szCs w:val="20"/>
        </w:rPr>
        <w:t>of their fundamental difference. (7)</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two theories can and should remain as they are—understanding their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relation, however, requires (a) to go the extra mile and unearth the different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categorial foundations of the two theories and (b) to make the transition from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monolithic to multiple chrono-ontology that comprises all three, the factual,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statu-nascendi, and the apeiron portrait of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All the essential features of quantum physics fit exactly with the statu-nascendi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portrait of reality: non-locality, superposition, entanglement, genuine indeterminacy,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the a-causal, inherently constellatory nature of the reduction. All of them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require the second categorial apparatus for thinking of them in a consistent way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a complementary aspect of reality in its own right.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long as we have only the factual portrait at our disposal, quantum physics will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inevitably remain mysterious. The situation is a bit similar to trying to cover oneself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a blanket that is inherently too small. One can cover feet and upper body, but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not both at the same time. By covering one, one bares the other. (8)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appearance of singularities has often been considered a fundamental weakness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GRT. In the here offered conceptual framework of an autogenetic universe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they turn out to be one of the deepest insights of GRT and the crucial bridge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between quantum physics and relativity theory: Singularities are the instances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de-factization, i.e. the points where reality (driven by the strong self-referentiality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gravity) leaves again the factual portrait, bringing itself back into the primordial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statu-nascendi format of time and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But, in order to see this, one must have a richer categorial framework, and based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this, the notion of a self-unfolding universe with three complementary chronoontological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portraits.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phenomenon of reduction in quantum physics and the singularities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GRT can now be understood as inverse transitions of reality: into and out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chrono-ontological format of facticity, respectively, the realm in which the classical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categorial apparatus can be applied properly and legitimately. (9)</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closing the first part of this very brief and sketchy introduction of the theory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an autogenetic universe, I would like to stress again that both, quantum physics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GRT, confirm and require the novel conceptual framework and how they both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articulate some of its crucial points in the most elegant way: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the coincidence of unity and diversity,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the mutual deepening of explainability and wonderfulness,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the key role of constellatory self-unfolding as the underlying principle of our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autogenetic universe that unfolds out of, within, and toward itself. (10)</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The philosophical theory of an “autogenetic universe” (von Müller </w:t>
      </w:r>
      <w:r>
        <w:rPr>
          <w:rFonts w:eastAsia="Calibri" w:cs="BgnmpwWptfcpTimes-Roman" w:ascii="BgnmpwWptfcpTimes-Roman" w:hAnsi="BgnmpwWptfcpTimes-Roman"/>
          <w:color w:val="0000FF"/>
          <w:sz w:val="20"/>
          <w:szCs w:val="20"/>
        </w:rPr>
        <w:t>2011</w:t>
      </w:r>
      <w:r>
        <w:rPr>
          <w:rFonts w:eastAsia="Calibri" w:cs="BgnmpwWptfcpTimes-Roman" w:ascii="BgnmpwWptfcpTimes-Roman" w:hAnsi="BgnmpwWptfcpTimes-Roman"/>
          <w:color w:val="000000"/>
          <w:sz w:val="20"/>
          <w:szCs w:val="20"/>
        </w:rPr>
        <w:t xml:space="preserve">, </w:t>
      </w:r>
      <w:r>
        <w:rPr>
          <w:rFonts w:eastAsia="Calibri" w:cs="BgnmpwWptfcpTimes-Roman" w:ascii="BgnmpwWptfcpTimes-Roman" w:hAnsi="BgnmpwWptfcpTimes-Roman"/>
          <w:color w:val="0000FF"/>
          <w:sz w:val="20"/>
          <w:szCs w:val="20"/>
        </w:rPr>
        <w:t>2012</w:t>
      </w:r>
      <w:r>
        <w:rPr>
          <w:rFonts w:eastAsia="Calibri" w:cs="BgnmpwWptfcpTimes-Roman" w:ascii="BgnmpwWptfcpTimes-Roman" w:hAnsi="BgnmpwWptfcpTimes-Roman"/>
          <w:color w:val="000000"/>
          <w:sz w:val="20"/>
          <w:szCs w:val="20"/>
        </w:rPr>
        <w:t>,</w:t>
      </w:r>
    </w:p>
    <w:p>
      <w:pPr>
        <w:pStyle w:val="Normal"/>
        <w:spacing w:before="0" w:after="0"/>
        <w:contextualSpacing/>
        <w:jc w:val="left"/>
        <w:rPr/>
      </w:pPr>
      <w:r>
        <w:rPr>
          <w:rFonts w:eastAsia="Calibri" w:cs="BgnmpwWptfcpTimes-Roman" w:ascii="BgnmpwWptfcpTimes-Roman" w:hAnsi="BgnmpwWptfcpTimes-Roman"/>
          <w:color w:val="0000FF"/>
          <w:sz w:val="20"/>
          <w:szCs w:val="20"/>
        </w:rPr>
        <w:t>2015</w:t>
      </w:r>
      <w:r>
        <w:rPr>
          <w:rFonts w:eastAsia="Calibri" w:cs="BgnmpwWptfcpTimes-Roman" w:ascii="BgnmpwWptfcpTimes-Roman" w:hAnsi="BgnmpwWptfcpTimes-Roman"/>
          <w:color w:val="000000"/>
          <w:sz w:val="20"/>
          <w:szCs w:val="20"/>
        </w:rPr>
        <w:t>) proposes new “categorial foundations” for science aiming to overcome the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inherent limitations, incompatibilities and structural pitfalls of the current scientific</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paradigm. </w:t>
      </w:r>
      <w:r>
        <w:rPr>
          <w:rFonts w:eastAsia="Calibri" w:cs="BgnmpwWptfcpTimes-Roman" w:ascii="BgnmpwWptfcpTimes-Roman" w:hAnsi="BgnmpwWptfcpTimes-Roman"/>
          <w:sz w:val="20"/>
          <w:szCs w:val="20"/>
        </w:rPr>
        <w:t>The basic premise of the proposed new theory is that we live in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autogenetic universe, meaning that we live in a self-unfolding and strongly selfreferential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universe. In relation to this hypothesis, the theory of an “autogenetic</w:t>
      </w:r>
    </w:p>
    <w:p>
      <w:pPr>
        <w:pStyle w:val="Normal"/>
        <w:spacing w:before="0" w:after="0"/>
        <w:contextualSpacing/>
        <w:jc w:val="left"/>
        <w:rPr/>
      </w:pPr>
      <w:r>
        <w:rPr>
          <w:rFonts w:eastAsia="Calibri" w:cs="BgnmpwWptfcpTimes-Roman" w:ascii="BgnmpwWptfcpTimes-Roman" w:hAnsi="BgnmpwWptfcpTimes-Roman"/>
          <w:sz w:val="20"/>
          <w:szCs w:val="20"/>
        </w:rPr>
        <w:t xml:space="preserve">universe” proposes a novel account of </w:t>
      </w:r>
      <w:r>
        <w:rPr>
          <w:rFonts w:eastAsia="Calibri" w:cs="KfjnvmNjhlcnTimes-Italic" w:ascii="KfjnvmNjhlcnTimes-Italic" w:hAnsi="KfjnvmNjhlcnTimes-Italic"/>
          <w:i/>
          <w:iCs/>
          <w:sz w:val="20"/>
          <w:szCs w:val="20"/>
        </w:rPr>
        <w:t xml:space="preserve">time </w:t>
      </w:r>
      <w:r>
        <w:rPr>
          <w:rFonts w:eastAsia="Calibri" w:cs="BgnmpwWptfcpTimes-Roman" w:ascii="BgnmpwWptfcpTimes-Roman" w:hAnsi="BgnmpwWptfcpTimes-Roman"/>
          <w:sz w:val="20"/>
          <w:szCs w:val="20"/>
        </w:rPr>
        <w:t xml:space="preserve">and </w:t>
      </w:r>
      <w:r>
        <w:rPr>
          <w:rFonts w:eastAsia="Calibri" w:cs="KfjnvmNjhlcnTimes-Italic" w:ascii="KfjnvmNjhlcnTimes-Italic" w:hAnsi="KfjnvmNjhlcnTimes-Italic"/>
          <w:i/>
          <w:iCs/>
          <w:sz w:val="20"/>
          <w:szCs w:val="20"/>
        </w:rPr>
        <w:t>reality</w:t>
      </w:r>
      <w:r>
        <w:rPr>
          <w:rFonts w:eastAsia="Calibri" w:cs="BgnmpwWptfcpTimes-Roman" w:ascii="BgnmpwWptfcpTimes-Roman" w:hAnsi="BgnmpwWptfcpTimes-Roman"/>
          <w:sz w:val="20"/>
          <w:szCs w:val="20"/>
        </w:rPr>
        <w:t>, which aims at a deeper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re-conceptualization of these fundamental notions going beyond or underneath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structural reduction of the former to its linear-sequential aspect and the concurrent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related reduction of the latter to its factual or event-like aspect. This is of particular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significance in relation to the frontier area of theoretical physics aiming at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unification of quantum mechanics and general relativity, where it is argued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key conceptual element for this purpose requires the relativization of facticity,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namely of the event structures pertaining to a local space-time description capturing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exclusively the factual portrait of reality. (11)</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r>
    </w:p>
    <w:p>
      <w:pPr>
        <w:pStyle w:val="Normal"/>
        <w:spacing w:before="0" w:after="0"/>
        <w:contextualSpacing/>
        <w:jc w:val="left"/>
        <w:rPr>
          <w:rFonts w:ascii="BgnmpwWptfcpTimes-Roman" w:hAnsi="BgnmpwWptfcpTimes-Roman" w:eastAsia="Calibri" w:cs="BgnmpwWptfcpTimes-Roman"/>
          <w:b/>
          <w:b/>
          <w:color w:val="FF0000"/>
          <w:sz w:val="20"/>
          <w:szCs w:val="20"/>
        </w:rPr>
      </w:pPr>
      <w:r>
        <w:rPr>
          <w:rFonts w:eastAsia="Calibri" w:cs="BgnmpwWptfcpTimes-Roman" w:ascii="BgnmpwWptfcpTimes-Roman" w:hAnsi="BgnmpwWptfcpTimes-Roman"/>
          <w:b/>
          <w:color w:val="FF0000"/>
          <w:sz w:val="20"/>
          <w:szCs w:val="20"/>
        </w:rPr>
        <w:t>[In my main book 2008, I investigated Quantum mechanics and Einstein’s relativity. Later, in 2014 I ontologized both relativities…]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sz w:val="20"/>
          <w:szCs w:val="20"/>
        </w:rPr>
        <w:t xml:space="preserve">The “autogenetic universe” theory proposes a </w:t>
      </w:r>
      <w:r>
        <w:rPr>
          <w:rFonts w:eastAsia="Calibri" w:cs="KfjnvmNjhlcnTimes-Italic" w:ascii="KfjnvmNjhlcnTimes-Italic" w:hAnsi="KfjnvmNjhlcnTimes-Italic"/>
          <w:i/>
          <w:iCs/>
          <w:sz w:val="20"/>
          <w:szCs w:val="20"/>
        </w:rPr>
        <w:t xml:space="preserve">triality account </w:t>
      </w:r>
      <w:r>
        <w:rPr>
          <w:rFonts w:eastAsia="Calibri" w:cs="BgnmpwWptfcpTimes-Roman" w:ascii="BgnmpwWptfcpTimes-Roman" w:hAnsi="BgnmpwWptfcpTimes-Roman"/>
          <w:sz w:val="20"/>
          <w:szCs w:val="20"/>
        </w:rPr>
        <w:t>constituted in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form of three interdependent layers, which are connected together in the form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“Borromean rings” topology, that is if any one of the layers is removed, then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there remain two unlinked layers. Each layer captures a different aspect of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namely the “apeiron aspect,” the “statu-nascendi,” and the “factual aspect” correspondingly.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“apeiron aspect” is inherently without any structure and expresses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irreducible global unity or non-separability of reality at this layer, which acts 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source for “the actual taking place,” to be thought of as a kind of logical disclosure topos pertaining to the time-space of the present. The observed traces of this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process, viz. the events embedded within a local space-time background constitute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“factual aspect” of reality. Whereas the “apeiron aspect” is not amenable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any direct structural predicative determination, both the “statu-nascendi” and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factual aspect” constitute layers whose respective characteristic function can be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depicted in the terms of distinctive underlying “categorial frameworks.”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Each “categorial framework” stands for an integral apparatus consisting of four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interrelated and bidirectionally interdependent components:</w:t>
      </w:r>
    </w:p>
    <w:p>
      <w:pPr>
        <w:pStyle w:val="Normal"/>
        <w:spacing w:before="0" w:after="0"/>
        <w:contextualSpacing/>
        <w:jc w:val="left"/>
        <w:rPr/>
      </w:pPr>
      <w:r>
        <w:rPr>
          <w:rFonts w:eastAsia="Calibri" w:cs="BgnmpwWptfcpTimes-Roman" w:ascii="BgnmpwWptfcpTimes-Roman" w:hAnsi="BgnmpwWptfcpTimes-Roman"/>
          <w:sz w:val="20"/>
          <w:szCs w:val="20"/>
        </w:rPr>
        <w:t xml:space="preserve">(a) a </w:t>
      </w:r>
      <w:r>
        <w:rPr>
          <w:rFonts w:eastAsia="Calibri" w:cs="KfjnvmNjhlcnTimes-Italic" w:ascii="KfjnvmNjhlcnTimes-Italic" w:hAnsi="KfjnvmNjhlcnTimes-Italic"/>
          <w:i/>
          <w:iCs/>
          <w:sz w:val="20"/>
          <w:szCs w:val="20"/>
        </w:rPr>
        <w:t xml:space="preserve">logical structure </w:t>
      </w:r>
      <w:r>
        <w:rPr>
          <w:rFonts w:eastAsia="Calibri" w:cs="BgnmpwWptfcpTimes-Roman" w:ascii="BgnmpwWptfcpTimes-Roman" w:hAnsi="BgnmpwWptfcpTimes-Roman"/>
          <w:sz w:val="20"/>
          <w:szCs w:val="20"/>
        </w:rPr>
        <w:t>of a predication space,</w:t>
      </w:r>
    </w:p>
    <w:p>
      <w:pPr>
        <w:pStyle w:val="Normal"/>
        <w:spacing w:before="0" w:after="0"/>
        <w:contextualSpacing/>
        <w:jc w:val="left"/>
        <w:rPr/>
      </w:pPr>
      <w:r>
        <w:rPr>
          <w:rFonts w:eastAsia="Calibri" w:cs="BgnmpwWptfcpTimes-Roman" w:ascii="BgnmpwWptfcpTimes-Roman" w:hAnsi="BgnmpwWptfcpTimes-Roman"/>
          <w:sz w:val="20"/>
          <w:szCs w:val="20"/>
        </w:rPr>
        <w:t xml:space="preserve">(b) a related notion of a </w:t>
      </w:r>
      <w:r>
        <w:rPr>
          <w:rFonts w:eastAsia="Calibri" w:cs="KfjnvmNjhlcnTimes-Italic" w:ascii="KfjnvmNjhlcnTimes-Italic" w:hAnsi="KfjnvmNjhlcnTimes-Italic"/>
          <w:i/>
          <w:iCs/>
          <w:sz w:val="20"/>
          <w:szCs w:val="20"/>
        </w:rPr>
        <w:t>spatio-temporal background</w:t>
      </w:r>
      <w:r>
        <w:rPr>
          <w:rFonts w:eastAsia="Calibri" w:cs="BgnmpwWptfcpTimes-Roman" w:ascii="BgnmpwWptfcpTimes-Roman" w:hAnsi="BgnmpwWptfcpTimes-Roman"/>
          <w:sz w:val="20"/>
          <w:szCs w:val="20"/>
        </w:rPr>
        <w:t>,</w:t>
      </w:r>
    </w:p>
    <w:p>
      <w:pPr>
        <w:pStyle w:val="Normal"/>
        <w:spacing w:before="0" w:after="0"/>
        <w:contextualSpacing/>
        <w:jc w:val="left"/>
        <w:rPr/>
      </w:pPr>
      <w:r>
        <w:rPr>
          <w:rFonts w:eastAsia="Calibri" w:cs="BgnmpwWptfcpTimes-Roman" w:ascii="BgnmpwWptfcpTimes-Roman" w:hAnsi="BgnmpwWptfcpTimes-Roman"/>
          <w:sz w:val="20"/>
          <w:szCs w:val="20"/>
        </w:rPr>
        <w:t xml:space="preserve">(c) a </w:t>
      </w:r>
      <w:r>
        <w:rPr>
          <w:rFonts w:eastAsia="Calibri" w:cs="KfjnvmNjhlcnTimes-Italic" w:ascii="KfjnvmNjhlcnTimes-Italic" w:hAnsi="KfjnvmNjhlcnTimes-Italic"/>
          <w:i/>
          <w:iCs/>
          <w:sz w:val="20"/>
          <w:szCs w:val="20"/>
        </w:rPr>
        <w:t xml:space="preserve">causal scheme </w:t>
      </w:r>
      <w:r>
        <w:rPr>
          <w:rFonts w:eastAsia="Calibri" w:cs="BgnmpwWptfcpTimes-Roman" w:ascii="BgnmpwWptfcpTimes-Roman" w:hAnsi="BgnmpwWptfcpTimes-Roman"/>
          <w:sz w:val="20"/>
          <w:szCs w:val="20"/>
        </w:rPr>
        <w:t>accounting for linkages, and</w:t>
      </w:r>
    </w:p>
    <w:p>
      <w:pPr>
        <w:pStyle w:val="Normal"/>
        <w:spacing w:before="0" w:after="0"/>
        <w:contextualSpacing/>
        <w:jc w:val="left"/>
        <w:rPr/>
      </w:pPr>
      <w:r>
        <w:rPr>
          <w:rFonts w:eastAsia="Calibri" w:cs="BgnmpwWptfcpTimes-Roman" w:ascii="BgnmpwWptfcpTimes-Roman" w:hAnsi="BgnmpwWptfcpTimes-Roman"/>
          <w:sz w:val="20"/>
          <w:szCs w:val="20"/>
        </w:rPr>
        <w:t xml:space="preserve">(d) a corresponding </w:t>
      </w:r>
      <w:r>
        <w:rPr>
          <w:rFonts w:eastAsia="Calibri" w:cs="KfjnvmNjhlcnTimes-Italic" w:ascii="KfjnvmNjhlcnTimes-Italic" w:hAnsi="KfjnvmNjhlcnTimes-Italic"/>
          <w:i/>
          <w:iCs/>
          <w:sz w:val="20"/>
          <w:szCs w:val="20"/>
        </w:rPr>
        <w:t>epistemological setting</w:t>
      </w:r>
      <w:r>
        <w:rPr>
          <w:rFonts w:eastAsia="Calibri" w:cs="BgnmpwWptfcpTimes-Roman" w:ascii="BgnmpwWptfcpTimes-Roman" w:hAnsi="BgnmpwWptfcpTimes-Roman"/>
          <w:sz w:val="20"/>
          <w:szCs w:val="20"/>
        </w:rPr>
        <w: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this way, the “factual aspect” of reality is captured by means of a categorial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apparatus, which consists of the following components respectively: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a Boolean logical predication space,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 a local metrical space-time continuum,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 a classical scheme of efficient causality,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 an epistemological setting based on the notion of absolute separability between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observer and observandum.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intrinsic necessity of introducing another categorial apparatus constituting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“statu-nascendi” layer of reality is based on the inability of the former one to</w:t>
      </w:r>
    </w:p>
    <w:p>
      <w:pPr>
        <w:pStyle w:val="Normal"/>
        <w:spacing w:before="0" w:after="0"/>
        <w:contextualSpacing/>
        <w:jc w:val="left"/>
        <w:rPr/>
      </w:pPr>
      <w:r>
        <w:rPr>
          <w:rFonts w:eastAsia="Calibri" w:cs="BgnmpwWptfcpTimes-Roman" w:ascii="BgnmpwWptfcpTimes-Roman" w:hAnsi="BgnmpwWptfcpTimes-Roman"/>
          <w:sz w:val="20"/>
          <w:szCs w:val="20"/>
        </w:rPr>
        <w:t xml:space="preserve">account for the logical structural phenomenon of </w:t>
      </w:r>
      <w:r>
        <w:rPr>
          <w:rFonts w:eastAsia="Calibri" w:cs="KfjnvmNjhlcnTimes-Italic" w:ascii="KfjnvmNjhlcnTimes-Italic" w:hAnsi="KfjnvmNjhlcnTimes-Italic"/>
          <w:i/>
          <w:iCs/>
          <w:sz w:val="20"/>
          <w:szCs w:val="20"/>
        </w:rPr>
        <w:t xml:space="preserve">strong self-referentiality </w:t>
      </w:r>
      <w:r>
        <w:rPr>
          <w:rFonts w:eastAsia="Calibri" w:cs="BgnmpwWptfcpTimes-Roman" w:ascii="BgnmpwWptfcpTimes-Roman" w:hAnsi="BgnmpwWptfcpTimes-Roman"/>
          <w:sz w:val="20"/>
          <w:szCs w:val="20"/>
        </w:rPr>
        <w:t>and its</w:t>
      </w:r>
    </w:p>
    <w:p>
      <w:pPr>
        <w:pStyle w:val="Normal"/>
        <w:spacing w:before="0" w:after="0"/>
        <w:contextualSpacing/>
        <w:jc w:val="left"/>
        <w:rPr/>
      </w:pPr>
      <w:r>
        <w:rPr>
          <w:rFonts w:eastAsia="Calibri" w:cs="BgnmpwWptfcpTimes-Roman" w:ascii="BgnmpwWptfcpTimes-Roman" w:hAnsi="BgnmpwWptfcpTimes-Roman"/>
          <w:sz w:val="20"/>
          <w:szCs w:val="20"/>
        </w:rPr>
        <w:t xml:space="preserve">concomitant operational manifestation as </w:t>
      </w:r>
      <w:r>
        <w:rPr>
          <w:rFonts w:eastAsia="Calibri" w:cs="KfjnvmNjhlcnTimes-Italic" w:ascii="KfjnvmNjhlcnTimes-Italic" w:hAnsi="KfjnvmNjhlcnTimes-Italic"/>
          <w:i/>
          <w:iCs/>
          <w:sz w:val="20"/>
          <w:szCs w:val="20"/>
        </w:rPr>
        <w:t>autogenesis</w:t>
      </w:r>
      <w:r>
        <w:rPr>
          <w:rFonts w:eastAsia="Calibri" w:cs="BgnmpwWptfcpTimes-Roman" w:ascii="BgnmpwWptfcpTimes-Roman" w:hAnsi="BgnmpwWptfcpTimes-Roman"/>
          <w:sz w:val="20"/>
          <w:szCs w:val="20"/>
        </w:rPr>
        <w:t>, meaning a process of selfreferential</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folding/unfolding </w:t>
      </w:r>
      <w:r>
        <w:rPr>
          <w:rFonts w:eastAsia="Calibri" w:cs="BgnmpwWptfcpTimes-Roman" w:ascii="BgnmpwWptfcpTimes-Roman" w:hAnsi="BgnmpwWptfcpTimes-Roman"/>
          <w:sz w:val="20"/>
          <w:szCs w:val="20"/>
        </w:rPr>
        <w:t xml:space="preserve">without any separable external cause.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this perspective, the issue of quantum state reduction or quantum measurement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problem in quantum physics and the problem of singularities in general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relativity are considered as artifacts caused by focusing exclusively on the categorial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apparatus attached to the factual aspect of reality, while ignoring completely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categorial apparatus fitting into the “statu-nascendi” layer. In particular, the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reduction problem targets the emergence of a local space-time event continuum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fundamental non-spatio-temporal quantum theoretic description of nature,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whereas the singularities problem targets the global breakdown of the metrical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smooth space-time point-event-manifold model of the general theory of relativity.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Thus, both problems viewed from an extended perspective as targeting the issue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transition into and out of the local space-time event continuum pertaining to the factual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layer of reality point to the conclusion that their resolution requires the explicit</w:t>
      </w:r>
    </w:p>
    <w:p>
      <w:pPr>
        <w:pStyle w:val="Normal"/>
        <w:spacing w:before="0" w:after="0"/>
        <w:contextualSpacing/>
        <w:jc w:val="left"/>
        <w:rPr/>
      </w:pPr>
      <w:r>
        <w:rPr>
          <w:rFonts w:eastAsia="Calibri" w:cs="BgnmpwWptfcpTimes-Roman" w:ascii="BgnmpwWptfcpTimes-Roman" w:hAnsi="BgnmpwWptfcpTimes-Roman"/>
          <w:sz w:val="20"/>
          <w:szCs w:val="20"/>
        </w:rPr>
        <w:t xml:space="preserve">consideration of the </w:t>
      </w:r>
      <w:r>
        <w:rPr>
          <w:rFonts w:eastAsia="Calibri" w:cs="KfjnvmNjhlcnTimes-Italic" w:ascii="KfjnvmNjhlcnTimes-Italic" w:hAnsi="KfjnvmNjhlcnTimes-Italic"/>
          <w:i/>
          <w:iCs/>
          <w:sz w:val="20"/>
          <w:szCs w:val="20"/>
        </w:rPr>
        <w:t>categorial apparatus characteristic of the “statu-nascendi”</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layer together with the “Borromean rings”-type of topology </w:t>
      </w:r>
      <w:r>
        <w:rPr>
          <w:rFonts w:eastAsia="Calibri" w:cs="BgnmpwWptfcpTimes-Roman" w:ascii="BgnmpwWptfcpTimes-Roman" w:hAnsi="BgnmpwWptfcpTimes-Roman"/>
          <w:sz w:val="20"/>
          <w:szCs w:val="20"/>
        </w:rPr>
        <w:t>interconnecting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three reality layers. Consequently, the resolution of these problems, which may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 both considered as different types of self-referentiality, the first as a selfreferential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folding into a local space-time point-event stratum and the second 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self-referential folding out of this point-event stratum, poses the necessity of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higher-order relativization of facticity targeting the very notion of a local perspective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reality. (11-12)</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b/>
          <w:b/>
          <w:color w:val="FF0000"/>
          <w:sz w:val="20"/>
          <w:szCs w:val="20"/>
        </w:rPr>
      </w:pPr>
      <w:r>
        <w:rPr>
          <w:rFonts w:eastAsia="Calibri" w:cs="BgnmpwWptfcpTimes-Roman" w:ascii="BgnmpwWptfcpTimes-Roman" w:hAnsi="BgnmpwWptfcpTimes-Roman"/>
          <w:b/>
          <w:color w:val="FF0000"/>
          <w:sz w:val="20"/>
          <w:szCs w:val="20"/>
        </w:rPr>
        <w:t>[ALL THESE IDEAS CAN BE FOUND IN MY BOOK 2008!!!!!!!!!! Almost word by word…]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We claim that the nature of this notion, that is of a “local perspective on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should not refer to the concept of metrical/geometrical locality in a point-event settheoretic</w:t>
      </w:r>
    </w:p>
    <w:p>
      <w:pPr>
        <w:pStyle w:val="Normal"/>
        <w:spacing w:before="0" w:after="0"/>
        <w:contextualSpacing/>
        <w:jc w:val="left"/>
        <w:rPr/>
      </w:pPr>
      <w:r>
        <w:rPr>
          <w:rFonts w:eastAsia="Calibri" w:cs="BgnmpwWptfcpTimes-Roman" w:ascii="BgnmpwWptfcpTimes-Roman" w:hAnsi="BgnmpwWptfcpTimes-Roman"/>
          <w:sz w:val="20"/>
          <w:szCs w:val="20"/>
        </w:rPr>
        <w:t xml:space="preserve">space-time manifold but should be of a </w:t>
      </w:r>
      <w:r>
        <w:rPr>
          <w:rFonts w:eastAsia="Calibri" w:cs="KfjnvmNjhlcnTimes-Italic" w:ascii="KfjnvmNjhlcnTimes-Italic" w:hAnsi="KfjnvmNjhlcnTimes-Italic"/>
          <w:i/>
          <w:iCs/>
          <w:sz w:val="20"/>
          <w:szCs w:val="20"/>
        </w:rPr>
        <w:t xml:space="preserve">logical/topological origin </w:t>
      </w:r>
      <w:r>
        <w:rPr>
          <w:rFonts w:eastAsia="Calibri" w:cs="BgnmpwWptfcpTimes-Roman" w:ascii="BgnmpwWptfcpTimes-Roman" w:hAnsi="BgnmpwWptfcpTimes-Roman"/>
          <w:sz w:val="20"/>
          <w:szCs w:val="20"/>
        </w:rPr>
        <w:t>to be</w:t>
      </w:r>
    </w:p>
    <w:p>
      <w:pPr>
        <w:pStyle w:val="Normal"/>
        <w:spacing w:before="0" w:after="0"/>
        <w:contextualSpacing/>
        <w:jc w:val="left"/>
        <w:rPr/>
      </w:pPr>
      <w:r>
        <w:rPr>
          <w:rFonts w:eastAsia="Calibri" w:cs="BgnmpwWptfcpTimes-Roman" w:ascii="BgnmpwWptfcpTimes-Roman" w:hAnsi="BgnmpwWptfcpTimes-Roman"/>
          <w:sz w:val="20"/>
          <w:szCs w:val="20"/>
        </w:rPr>
        <w:t xml:space="preserve">thought of as a </w:t>
      </w:r>
      <w:r>
        <w:rPr>
          <w:rFonts w:eastAsia="Calibri" w:cs="KfjnvmNjhlcnTimes-Italic" w:ascii="KfjnvmNjhlcnTimes-Italic" w:hAnsi="KfjnvmNjhlcnTimes-Italic"/>
          <w:i/>
          <w:iCs/>
          <w:sz w:val="20"/>
          <w:szCs w:val="20"/>
        </w:rPr>
        <w:t xml:space="preserve">local logical disclosure topos </w:t>
      </w:r>
      <w:r>
        <w:rPr>
          <w:rFonts w:eastAsia="Calibri" w:cs="BgnmpwWptfcpTimes-Roman" w:ascii="BgnmpwWptfcpTimes-Roman" w:hAnsi="BgnmpwWptfcpTimes-Roman"/>
          <w:sz w:val="20"/>
          <w:szCs w:val="20"/>
        </w:rPr>
        <w:t>demarcating the logical structural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pre-conditions of reduction from the global to the local and inversely extension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local to the global. This higher-order logical/topological relativization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facticity, called “categorial relativity,” requires a careful qualification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categorial apparatus characteristic of the “statu-nascendi” layer of reality.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constituent interrelated components of this layer are the following:</w:t>
      </w:r>
    </w:p>
    <w:p>
      <w:pPr>
        <w:pStyle w:val="Normal"/>
        <w:spacing w:before="0" w:after="0"/>
        <w:contextualSpacing/>
        <w:jc w:val="left"/>
        <w:rPr/>
      </w:pPr>
      <w:r>
        <w:rPr>
          <w:rFonts w:eastAsia="Calibri" w:cs="BgnmpwWptfcpTimes-Roman" w:ascii="BgnmpwWptfcpTimes-Roman" w:hAnsi="BgnmpwWptfcpTimes-Roman"/>
          <w:sz w:val="20"/>
          <w:szCs w:val="20"/>
        </w:rPr>
        <w:t xml:space="preserve">(a) a </w:t>
      </w:r>
      <w:r>
        <w:rPr>
          <w:rFonts w:eastAsia="Calibri" w:cs="KfjnvmNjhlcnTimes-Italic" w:ascii="KfjnvmNjhlcnTimes-Italic" w:hAnsi="KfjnvmNjhlcnTimes-Italic"/>
          <w:i/>
          <w:iCs/>
          <w:sz w:val="20"/>
          <w:szCs w:val="20"/>
        </w:rPr>
        <w:t xml:space="preserve">paratactical predication space </w:t>
      </w:r>
      <w:r>
        <w:rPr>
          <w:rFonts w:eastAsia="Calibri" w:cs="BgnmpwWptfcpTimes-Roman" w:ascii="BgnmpwWptfcpTimes-Roman" w:hAnsi="BgnmpwWptfcpTimes-Roman"/>
          <w:sz w:val="20"/>
          <w:szCs w:val="20"/>
        </w:rPr>
        <w:t>on which some form of “constellatory logic”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becomes applicable,</w:t>
      </w:r>
    </w:p>
    <w:p>
      <w:pPr>
        <w:pStyle w:val="Normal"/>
        <w:spacing w:before="0" w:after="0"/>
        <w:contextualSpacing/>
        <w:jc w:val="left"/>
        <w:rPr/>
      </w:pPr>
      <w:r>
        <w:rPr>
          <w:rFonts w:eastAsia="Calibri" w:cs="BgnmpwWptfcpTimes-Roman" w:ascii="BgnmpwWptfcpTimes-Roman" w:hAnsi="BgnmpwWptfcpTimes-Roman"/>
          <w:sz w:val="20"/>
          <w:szCs w:val="20"/>
        </w:rPr>
        <w:t xml:space="preserve">(b) a </w:t>
      </w:r>
      <w:r>
        <w:rPr>
          <w:rFonts w:eastAsia="Calibri" w:cs="KfjnvmNjhlcnTimes-Italic" w:ascii="KfjnvmNjhlcnTimes-Italic" w:hAnsi="KfjnvmNjhlcnTimes-Italic"/>
          <w:i/>
          <w:iCs/>
          <w:sz w:val="20"/>
          <w:szCs w:val="20"/>
        </w:rPr>
        <w:t xml:space="preserve">local logical disclosure topos </w:t>
      </w:r>
      <w:r>
        <w:rPr>
          <w:rFonts w:eastAsia="Calibri" w:cs="BgnmpwWptfcpTimes-Roman" w:ascii="BgnmpwWptfcpTimes-Roman" w:hAnsi="BgnmpwWptfcpTimes-Roman"/>
          <w:sz w:val="20"/>
          <w:szCs w:val="20"/>
        </w:rPr>
        <w:t>pertaining to the time-space of the present,</w:t>
      </w:r>
    </w:p>
    <w:p>
      <w:pPr>
        <w:pStyle w:val="Normal"/>
        <w:spacing w:before="0" w:after="0"/>
        <w:contextualSpacing/>
        <w:jc w:val="left"/>
        <w:rPr/>
      </w:pPr>
      <w:r>
        <w:rPr>
          <w:rFonts w:eastAsia="Calibri" w:cs="BgnmpwWptfcpTimes-Roman" w:ascii="BgnmpwWptfcpTimes-Roman" w:hAnsi="BgnmpwWptfcpTimes-Roman"/>
          <w:sz w:val="20"/>
          <w:szCs w:val="20"/>
        </w:rPr>
        <w:t xml:space="preserve">(c) a causal scheme of </w:t>
      </w:r>
      <w:r>
        <w:rPr>
          <w:rFonts w:eastAsia="Calibri" w:cs="KfjnvmNjhlcnTimes-Italic" w:ascii="KfjnvmNjhlcnTimes-Italic" w:hAnsi="KfjnvmNjhlcnTimes-Italic"/>
          <w:i/>
          <w:iCs/>
          <w:sz w:val="20"/>
          <w:szCs w:val="20"/>
        </w:rPr>
        <w:t>autogenetic folding/unfolding</w:t>
      </w:r>
      <w:r>
        <w:rPr>
          <w:rFonts w:eastAsia="Calibri" w:cs="BgnmpwWptfcpTimes-Roman" w:ascii="BgnmpwWptfcpTimes-Roman" w:hAnsi="BgnmpwWptfcpTimes-Roman"/>
          <w:sz w:val="20"/>
          <w:szCs w:val="20"/>
        </w:rPr>
        <w:t>, and</w:t>
      </w:r>
    </w:p>
    <w:p>
      <w:pPr>
        <w:pStyle w:val="Normal"/>
        <w:spacing w:before="0" w:after="0"/>
        <w:contextualSpacing/>
        <w:jc w:val="left"/>
        <w:rPr/>
      </w:pPr>
      <w:r>
        <w:rPr>
          <w:rFonts w:eastAsia="Calibri" w:cs="BgnmpwWptfcpTimes-Roman" w:ascii="BgnmpwWptfcpTimes-Roman" w:hAnsi="BgnmpwWptfcpTimes-Roman"/>
          <w:sz w:val="20"/>
          <w:szCs w:val="20"/>
        </w:rPr>
        <w:t xml:space="preserve">(d) an epistemological setting of </w:t>
      </w:r>
      <w:r>
        <w:rPr>
          <w:rFonts w:eastAsia="Calibri" w:cs="KfjnvmNjhlcnTimes-Italic" w:ascii="KfjnvmNjhlcnTimes-Italic" w:hAnsi="KfjnvmNjhlcnTimes-Italic"/>
          <w:i/>
          <w:iCs/>
          <w:sz w:val="20"/>
          <w:szCs w:val="20"/>
        </w:rPr>
        <w:t>strong self-referentiality</w:t>
      </w:r>
      <w:r>
        <w:rPr>
          <w:rFonts w:eastAsia="Calibri" w:cs="BgnmpwWptfcpTimes-Roman" w:ascii="BgnmpwWptfcpTimes-Roman" w:hAnsi="BgnmpwWptfcpTimes-Roman"/>
          <w:sz w:val="20"/>
          <w:szCs w:val="20"/>
        </w:rPr>
        <w: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notion of parataxis refers to a mode of logical coherence of a multiplicity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which is independent of linear sequential organization. This is captured by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functional role of a “constellatory logic,” where an individuated component of such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multiplicity can be evaluated only in the context of all other components being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compatible with it in an appropriate manner. (13)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“autogenetic universe” theory based on the triality account constituted by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Borromean-type of interconnections of the three layers capturing the “apeiron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aspect,” the “statu-nascendi,” and the “factual aspect” of reality correspondingly,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sheds new light on the old problem of time, together with the concurrent problem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unfixing the conception of reality from its exclusive reference to the facticity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stratum, which disregards completely even the necessary logical pre-conditions for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manifestation of events. In this way, it becomes important for the autogenetic theory to specify more concretely the appropriate conceptual and technical bridges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which bind together the three layers forming the triality account, as well as to refine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modeling of this triadic inter-relational scheme to a Borromean structural type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topological linking. This would be particularly significant for the elucidation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technical formulation of the principle of “categorial relativity” as a higher-order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relativization of facticity, which would create a common ground for the resolution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both the problem of quantum reduction and the problem of singularities as inversetype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transitions into and out of a local space-time event stratum. The specification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these bridges would be ultimately necessary for the consistent formulation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strong self-referentiality scheme, which would involve the triality account as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whole, and would give rise to a form of “constellatory logic” functioning at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statu-nascendi” with respect to the factual layer.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 this purpose, we propose and develop a precise mathematical model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autogenetic universe” theory, targeting in particular the following: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The notion of autogenetic constellatory unfolding together with the associated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notion of strong self-referentiality;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 The notion of the “time-space of the present” and the precise formof the relation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the standard notion of spacetime.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 The connectivity among the three chrono-ontological formats of reality and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role of the Borromean topological link in this respect. (13-14)</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2.2 Chrono-Topological Binding in the Time-Space</w:t>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of 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According to the major premise of the “autogenetic universe” theory, reality exists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three different chrono-ontological formats, facticity, statu nascendi, and apeiron.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Because of this, all parts of one, coherent reality must somehow be mutually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interrelated, otherwise there would be no point in speaking of one reality.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respect, the autogenetic conception of reality requires that a precise meaning has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be given to the crucial notion of the “time-space of the present,” which has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 distinguished from the standard spacetime of events-facts. Given that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is characterized by the three different chrono-ontological formats the “time-space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present” has to be understood in its potential to bind “the past” with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future” in relation to “the present,” not in the sequential event temporal order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“continuum of the real line” that models only the factual aspect of reality, but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another chrono-topological form. The principal argument that is put forward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this regard is that the sought-after chrono-topological binding form is characterized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the Borromeanicity property, i.e. it is not chain-like, such that there exists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possibility that “the very far past” can be glued together with the “very near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future” through the “time-space of the present” if they form a “Borromean temporal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bond.” As a consequence, the Borromean bond pertains to the chrono-ontological</w:t>
      </w:r>
    </w:p>
    <w:p>
      <w:pPr>
        <w:pStyle w:val="Normal"/>
        <w:spacing w:before="0" w:after="0"/>
        <w:contextualSpacing/>
        <w:jc w:val="left"/>
        <w:rPr/>
      </w:pPr>
      <w:r>
        <w:rPr>
          <w:rFonts w:eastAsia="Calibri" w:cs="BgnmpwWptfcpTimes-Roman" w:ascii="BgnmpwWptfcpTimes-Roman" w:hAnsi="BgnmpwWptfcpTimes-Roman"/>
          <w:sz w:val="20"/>
          <w:szCs w:val="20"/>
        </w:rPr>
        <w:t xml:space="preserve">domain, i.e. the “time-space of the present” becomes the temporal topos of the </w:t>
      </w:r>
      <w:r>
        <w:rPr>
          <w:rFonts w:eastAsia="Calibri" w:cs="BgnmpwWptfcpTimes-Roman" w:ascii="BgnmpwWptfcpTimes-Roman" w:hAnsi="BgnmpwWptfcpTimes-Roman"/>
          <w:color w:val="000000"/>
          <w:sz w:val="20"/>
          <w:szCs w:val="20"/>
        </w:rPr>
        <w:t>process of topological historic unfolding. In this way, and interestingly enough,</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t>
      </w:r>
      <w:r>
        <w:rPr>
          <w:rFonts w:eastAsia="Calibri" w:cs="BgnmpwWptfcpTimes-Roman" w:ascii="BgnmpwWptfcpTimes-Roman" w:hAnsi="BgnmpwWptfcpTimes-Roman"/>
          <w:color w:val="000000"/>
          <w:sz w:val="20"/>
          <w:szCs w:val="20"/>
        </w:rPr>
        <w:t>the past” and “the future” exist paratactically in their potential to convey meaning</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with respect to the “time-space of the present,” and not hypotactically as in the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sequential-chain model. In turn, this justifies the need for characterizing reality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in “statu-nascendi” via a different categorial framework. From this conceptual</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perspective, the interpretation of the “Borromean link” (Zafiris </w:t>
      </w:r>
      <w:r>
        <w:rPr>
          <w:rFonts w:eastAsia="Calibri" w:cs="BgnmpwWptfcpTimes-Roman" w:ascii="BgnmpwWptfcpTimes-Roman" w:hAnsi="BgnmpwWptfcpTimes-Roman"/>
          <w:color w:val="0000FF"/>
          <w:sz w:val="20"/>
          <w:szCs w:val="20"/>
        </w:rPr>
        <w:t>2016a</w:t>
      </w:r>
      <w:r>
        <w:rPr>
          <w:rFonts w:eastAsia="Calibri" w:cs="BgnmpwWptfcpTimes-Roman" w:ascii="BgnmpwWptfcpTimes-Roman" w:hAnsi="BgnmpwWptfcpTimes-Roman"/>
          <w:color w:val="000000"/>
          <w:sz w:val="20"/>
          <w:szCs w:val="20"/>
        </w:rPr>
        <w:t>,</w:t>
      </w:r>
      <w:r>
        <w:rPr>
          <w:rFonts w:eastAsia="Calibri" w:cs="BgnmpwWptfcpTimes-Roman" w:ascii="BgnmpwWptfcpTimes-Roman" w:hAnsi="BgnmpwWptfcpTimes-Roman"/>
          <w:color w:val="0000FF"/>
          <w:sz w:val="20"/>
          <w:szCs w:val="20"/>
        </w:rPr>
        <w:t>b</w:t>
      </w:r>
      <w:r>
        <w:rPr>
          <w:rFonts w:eastAsia="Calibri" w:cs="BgnmpwWptfcpTimes-Roman" w:ascii="BgnmpwWptfcpTimes-Roman" w:hAnsi="BgnmpwWptfcpTimes-Roman"/>
          <w:color w:val="000000"/>
          <w:sz w:val="20"/>
          <w:szCs w:val="20"/>
        </w:rPr>
        <w:t>) as a</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t>
      </w:r>
      <w:r>
        <w:rPr>
          <w:rFonts w:eastAsia="Calibri" w:cs="BgnmpwWptfcpTimes-Roman" w:ascii="BgnmpwWptfcpTimes-Roman" w:hAnsi="BgnmpwWptfcpTimes-Roman"/>
          <w:color w:val="000000"/>
          <w:sz w:val="20"/>
          <w:szCs w:val="20"/>
        </w:rPr>
        <w:t>temporal-historic bond” requires the following:</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1. Reconciliation of the static three-dimensional spatial representation of the “Borromean</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link” with the dynamic constellatory unfolding and self-referentiality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characteristics of reality in “statu-nascendi.” This issue can be resolved by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realizing that the static representation of Borromeanicity is just the spatial</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image, or more precisely, the “epiphany” of the temporal bond. Equivalently,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we consider a cross-section of the bond projected spatially and giving rise to the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standard spatial non-local Borromean-rings-type of linkage in 3-d space. This</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admits a concrete mathematical formulation via the algebraic-topological notion</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of a “covering space” (Hatcher </w:t>
      </w:r>
      <w:r>
        <w:rPr>
          <w:rFonts w:eastAsia="Calibri" w:cs="BgnmpwWptfcpTimes-Roman" w:ascii="BgnmpwWptfcpTimes-Roman" w:hAnsi="BgnmpwWptfcpTimes-Roman"/>
          <w:color w:val="0000FF"/>
          <w:sz w:val="20"/>
          <w:szCs w:val="20"/>
        </w:rPr>
        <w:t>2002</w:t>
      </w:r>
      <w:r>
        <w:rPr>
          <w:rFonts w:eastAsia="Calibri" w:cs="BgnmpwWptfcpTimes-Roman" w:ascii="BgnmpwWptfcpTimes-Roman" w:hAnsi="BgnmpwWptfcpTimes-Roman"/>
          <w:color w:val="000000"/>
          <w:sz w:val="20"/>
          <w:szCs w:val="20"/>
        </w:rPr>
        <w:t>), which is literally the concept of a “selfreferentially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unfolding temporal dimensionality”;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2. Interpretation of the algebraic model of the “Borromean rings” as a “Borromean</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temporal bond” among “past,” “present,” and “future,” from the standpoint of</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 “time-space of the present,” taking place in “statu-nascendi” with respect to</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 connectivity potential of the apeiron. Here, it is proposed that the concepts</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of “memory” and “anticipation” play a key role in order to give meaning to the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algebraic model of “strongly self-referential Borromean gluing,” developed in</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detail in Chap. </w:t>
      </w:r>
      <w:r>
        <w:rPr>
          <w:rFonts w:eastAsia="Calibri" w:cs="BgnmpwWptfcpTimes-Roman" w:ascii="BgnmpwWptfcpTimes-Roman" w:hAnsi="BgnmpwWptfcpTimes-Roman"/>
          <w:color w:val="0000FF"/>
          <w:sz w:val="20"/>
          <w:szCs w:val="20"/>
        </w:rPr>
        <w:t>3</w:t>
      </w:r>
      <w:r>
        <w:rPr>
          <w:rFonts w:eastAsia="Calibri" w:cs="BgnmpwWptfcpTimes-Roman" w:ascii="BgnmpwWptfcpTimes-Roman" w:hAnsi="BgnmpwWptfcpTimes-Roman"/>
          <w:color w:val="000000"/>
          <w:sz w:val="20"/>
          <w:szCs w:val="20"/>
        </w:rPr>
        <w:t>.</w:t>
      </w:r>
      <w:r>
        <w:rPr>
          <w:rFonts w:eastAsia="Calibri" w:cs="BgnmpwWptfcpTimes-Roman" w:ascii="BgnmpwWptfcpTimes-Roman" w:hAnsi="BgnmpwWptfcpTimes-Roman"/>
          <w:sz w:val="20"/>
          <w:szCs w:val="20"/>
        </w:rPr>
        <w:t xml:space="preserve">  (14-15)</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color w:val="000000"/>
          <w:sz w:val="20"/>
          <w:szCs w:val="20"/>
        </w:rPr>
        <w:t>This higher-level abstraction (capturing the essence of the “ER</w:t>
      </w:r>
      <w:r>
        <w:rPr>
          <w:rFonts w:eastAsia="HlshrbCnhnhfMTSYN" w:cs="HlshrbCnhnhfMTSYN" w:ascii="HlshrbCnhnhfMTSYN" w:hAnsi="HlshrbCnhnhfMTSYN"/>
          <w:color w:val="000000"/>
          <w:sz w:val="20"/>
          <w:szCs w:val="20"/>
        </w:rPr>
        <w:t>=</w:t>
      </w:r>
      <w:r>
        <w:rPr>
          <w:rFonts w:eastAsia="Calibri" w:cs="BgnmpwWptfcpTimes-Roman" w:ascii="BgnmpwWptfcpTimes-Roman" w:hAnsi="BgnmpwWptfcpTimes-Roman"/>
          <w:color w:val="000000"/>
          <w:sz w:val="20"/>
          <w:szCs w:val="20"/>
        </w:rPr>
        <w:t>EPR” correspondence)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necessitates a re-thinking of the notion of “time” in Special Relativity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(SR) and General Relativity (GR) as the 4-th dimension of a “spatiotemporal</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continuum (Einstein </w:t>
      </w:r>
      <w:r>
        <w:rPr>
          <w:rFonts w:eastAsia="Calibri" w:cs="BgnmpwWptfcpTimes-Roman" w:ascii="BgnmpwWptfcpTimes-Roman" w:hAnsi="BgnmpwWptfcpTimes-Roman"/>
          <w:color w:val="0000FF"/>
          <w:sz w:val="20"/>
          <w:szCs w:val="20"/>
        </w:rPr>
        <w:t>1956</w:t>
      </w:r>
      <w:r>
        <w:rPr>
          <w:rFonts w:eastAsia="Calibri" w:cs="BgnmpwWptfcpTimes-Roman" w:ascii="BgnmpwWptfcpTimes-Roman" w:hAnsi="BgnmpwWptfcpTimes-Roman"/>
          <w:color w:val="000000"/>
          <w:sz w:val="20"/>
          <w:szCs w:val="20"/>
        </w:rPr>
        <w:t xml:space="preserve">, Hawking and Ellis </w:t>
      </w:r>
      <w:r>
        <w:rPr>
          <w:rFonts w:eastAsia="Calibri" w:cs="BgnmpwWptfcpTimes-Roman" w:ascii="BgnmpwWptfcpTimes-Roman" w:hAnsi="BgnmpwWptfcpTimes-Roman"/>
          <w:color w:val="0000FF"/>
          <w:sz w:val="20"/>
          <w:szCs w:val="20"/>
        </w:rPr>
        <w:t>1973</w:t>
      </w:r>
      <w:r>
        <w:rPr>
          <w:rFonts w:eastAsia="Calibri" w:cs="BgnmpwWptfcpTimes-Roman" w:ascii="BgnmpwWptfcpTimes-Roman" w:hAnsi="BgnmpwWptfcpTimes-Roman"/>
          <w:color w:val="000000"/>
          <w:sz w:val="20"/>
          <w:szCs w:val="20"/>
        </w:rPr>
        <w:t xml:space="preserve">, Misner et al. </w:t>
      </w:r>
      <w:r>
        <w:rPr>
          <w:rFonts w:eastAsia="Calibri" w:cs="BgnmpwWptfcpTimes-Roman" w:ascii="BgnmpwWptfcpTimes-Roman" w:hAnsi="BgnmpwWptfcpTimes-Roman"/>
          <w:color w:val="0000FF"/>
          <w:sz w:val="20"/>
          <w:szCs w:val="20"/>
        </w:rPr>
        <w:t>1970</w:t>
      </w:r>
      <w:r>
        <w:rPr>
          <w:rFonts w:eastAsia="Calibri" w:cs="BgnmpwWptfcpTimes-Roman" w:ascii="BgnmpwWptfcpTimes-Roman" w:hAnsi="BgnmpwWptfcpTimes-Roman"/>
          <w:color w:val="000000"/>
          <w:sz w:val="20"/>
          <w:szCs w:val="20"/>
        </w:rPr>
        <w:t>).” Not only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this, but the “3-d spatial epiphany” in the form of entanglement is meaningful only if</w:t>
      </w:r>
    </w:p>
    <w:p>
      <w:pPr>
        <w:pStyle w:val="Normal"/>
        <w:spacing w:before="0" w:after="0"/>
        <w:contextualSpacing/>
        <w:jc w:val="left"/>
        <w:rPr/>
      </w:pPr>
      <w:r>
        <w:rPr>
          <w:rFonts w:eastAsia="Calibri" w:cs="BgnmpwWptfcpTimes-Roman" w:ascii="BgnmpwWptfcpTimes-Roman" w:hAnsi="BgnmpwWptfcpTimes-Roman"/>
          <w:color w:val="000000"/>
          <w:sz w:val="20"/>
          <w:szCs w:val="20"/>
        </w:rPr>
        <w:t>the “epiphany</w:t>
      </w:r>
      <w:r>
        <w:rPr>
          <w:rFonts w:eastAsia="HlshrbCnhnhfMTSYN" w:cs="HlshrbCnhnhfMTSYN" w:ascii="HlshrbCnhnhfMTSYN" w:hAnsi="HlshrbCnhnhfMTSYN"/>
          <w:color w:val="000000"/>
          <w:sz w:val="20"/>
          <w:szCs w:val="20"/>
        </w:rPr>
        <w:t>=</w:t>
      </w:r>
      <w:r>
        <w:rPr>
          <w:rFonts w:eastAsia="Calibri" w:cs="BgnmpwWptfcpTimes-Roman" w:ascii="BgnmpwWptfcpTimes-Roman" w:hAnsi="BgnmpwWptfcpTimes-Roman"/>
          <w:color w:val="000000"/>
          <w:sz w:val="20"/>
          <w:szCs w:val="20"/>
        </w:rPr>
        <w:t>3-d cross-sectional spatial hypersurface” is actually a “holographic</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boundary” of 4-d, since the “gravity effect” of the “Borromean temporal bond”</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is global (i.e., not localizable anywhere). This necessitates the conceptual and</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technical differentiation between the notions of “dimension” and “dimensionality.”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Given that the notion of dimension pertains to the standard notion of spatial</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dimension, the treatment of time as a kind of 4-th dimension comes only after the </w:t>
      </w:r>
      <w:r>
        <w:rPr>
          <w:rFonts w:eastAsia="Calibri" w:cs="BgnmpwWptfcpTimes-Roman" w:ascii="BgnmpwWptfcpTimes-Roman" w:hAnsi="BgnmpwWptfcpTimes-Roman"/>
          <w:sz w:val="20"/>
          <w:szCs w:val="20"/>
        </w:rPr>
        <w:t>imposition of metrical chrono-geometric relations. The “pre-metrical topological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notion of time” (from the standpoint of the “time-space of the present”) should be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thought of in terms of physical dimensionality, meaning an “unfolding dimension”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coming about via a process of temporal division (i.e., in the form of the ancient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Greek notion of dia-stasis). The notion of an “unfolding dimension” is captured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precisely by the algebraic-topological concept of a “covering space” or a “covering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scheme,” which is considered indispensable for the explication of the process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self-referential autogenetic unfolding.” (16-17)</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2.3 Multiple-Connectivity in the Time-Space of 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existence of the three different chrono-ontological formats constituting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i.e. facticity, statu nascendi, and apeiron, from the standpoint of the “time-space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present” bears a distinguishing quality as a whole, only if “the past” can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 connected to “the future” in a multiplicity of possible ways according to some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scheme of “temporal division” or “temporal partition.” This should be thought of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contradistinction to the sequential simply-connected ab initio connectivity pattern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“standard real-line event continuum,” which is based on the totally ordered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sequential structure of the real numbers. (17)</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2.4 The Notion of “Unfolding Temporal Dimension”</w:t>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and “Covering Schemes”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notion of an “unfolding temporal dimension” (“dia-stasis”) pertains to all situations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the “past” can be connected to the “future” in a multiplicity of possible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ways according to some scheme of “temporal division” or “temporal partition”</w:t>
      </w:r>
    </w:p>
    <w:p>
      <w:pPr>
        <w:pStyle w:val="Normal"/>
        <w:spacing w:before="0" w:after="0"/>
        <w:contextualSpacing/>
        <w:jc w:val="left"/>
        <w:rPr/>
      </w:pPr>
      <w:r>
        <w:rPr>
          <w:rFonts w:eastAsia="Calibri" w:cs="BgnmpwWptfcpTimes-Roman" w:ascii="BgnmpwWptfcpTimes-Roman" w:hAnsi="BgnmpwWptfcpTimes-Roman"/>
          <w:sz w:val="20"/>
          <w:szCs w:val="20"/>
        </w:rPr>
        <w:t xml:space="preserve">with respect to the “time-space of the present.” </w:t>
      </w:r>
      <w:r>
        <w:rPr>
          <w:rFonts w:eastAsia="Calibri" w:cs="KfjnvmNjhlcnTimes-Italic" w:ascii="KfjnvmNjhlcnTimes-Italic" w:hAnsi="KfjnvmNjhlcnTimes-Italic"/>
          <w:i/>
          <w:iCs/>
          <w:sz w:val="20"/>
          <w:szCs w:val="20"/>
        </w:rPr>
        <w:t>The fundamental example of an</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w:t>
      </w:r>
      <w:r>
        <w:rPr>
          <w:rFonts w:eastAsia="Calibri" w:cs="KfjnvmNjhlcnTimes-Italic" w:ascii="KfjnvmNjhlcnTimes-Italic" w:hAnsi="KfjnvmNjhlcnTimes-Italic"/>
          <w:i/>
          <w:iCs/>
          <w:sz w:val="20"/>
          <w:szCs w:val="20"/>
        </w:rPr>
        <w:t>unfolding temporal dimension” is provided by a spiral or helix that is unfolding</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in a “snake-like manner.” </w:t>
      </w:r>
      <w:r>
        <w:rPr>
          <w:rFonts w:eastAsia="Calibri" w:cs="BgnmpwWptfcpTimes-Roman" w:ascii="BgnmpwWptfcpTimes-Roman" w:hAnsi="BgnmpwWptfcpTimes-Roman"/>
          <w:sz w:val="20"/>
          <w:szCs w:val="20"/>
        </w:rPr>
        <w:t>This can be visualized either as an “Archimedean screwtype”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unfolding or as a “logarithmic screw-type” of unfolding, depending on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periodic rule of temporal division, with two possible orientations. Alternatively, we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may simply think of a “topological chord” wrapped around a cone that is extended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infinity, such that the particular type of wrapping is subordinate to a specific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rule of temporal division. In this case, the cone represents the time-space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present in “statu-nascendi” where the “temporal chords” are unfolding with respect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the multiple potential connectivities appearing at the spatial epiphany of the</w:t>
      </w:r>
    </w:p>
    <w:p>
      <w:pPr>
        <w:pStyle w:val="Normal"/>
        <w:spacing w:before="0" w:after="0"/>
        <w:contextualSpacing/>
        <w:jc w:val="left"/>
        <w:rPr/>
      </w:pPr>
      <w:r>
        <w:rPr>
          <w:rFonts w:eastAsia="Calibri" w:cs="BgnmpwWptfcpTimes-Roman" w:ascii="BgnmpwWptfcpTimes-Roman" w:hAnsi="BgnmpwWptfcpTimes-Roman"/>
          <w:sz w:val="20"/>
          <w:szCs w:val="20"/>
        </w:rPr>
        <w:t xml:space="preserve">present. The latter is a </w:t>
      </w:r>
      <w:r>
        <w:rPr>
          <w:rFonts w:eastAsia="Calibri" w:cs="KfjnvmNjhlcnTimes-Italic" w:ascii="KfjnvmNjhlcnTimes-Italic" w:hAnsi="KfjnvmNjhlcnTimes-Italic"/>
          <w:i/>
          <w:iCs/>
          <w:sz w:val="20"/>
          <w:szCs w:val="20"/>
        </w:rPr>
        <w:t>spatial cross-sectional projection of the spirally unfolding</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dia-stasis, and clearly bears the topology of a circle. In this manner, an unfolding</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spiral constitutes a “covering space” or a “covering scheme” of the epiphenomenal</w:t>
      </w:r>
    </w:p>
    <w:p>
      <w:pPr>
        <w:pStyle w:val="Normal"/>
        <w:spacing w:before="0" w:after="0"/>
        <w:contextualSpacing/>
        <w:jc w:val="left"/>
        <w:rPr/>
      </w:pPr>
      <w:r>
        <w:rPr>
          <w:rFonts w:eastAsia="Calibri" w:cs="KfjnvmNjhlcnTimes-Italic" w:ascii="KfjnvmNjhlcnTimes-Italic" w:hAnsi="KfjnvmNjhlcnTimes-Italic"/>
          <w:i/>
          <w:iCs/>
          <w:sz w:val="20"/>
          <w:szCs w:val="20"/>
        </w:rPr>
        <w:t>spatial circle</w:t>
      </w:r>
      <w:r>
        <w:rPr>
          <w:rFonts w:eastAsia="Calibri" w:cs="BgnmpwWptfcpTimes-Roman" w:ascii="BgnmpwWptfcpTimes-Roman" w:hAnsi="BgnmpwWptfcpTimes-Roman"/>
          <w:sz w:val="20"/>
          <w:szCs w:val="20"/>
        </w:rPr>
        <w:t>. The simplest example is demonstrated below, where a spiral in “statunascendi,”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unfolding according to a constant periodic rule of temporal division from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perspective of the “time-space of the present,” covers evenly the epiphenomenal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spatial circle. (18)</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b/>
          <w:b/>
          <w:color w:val="FF0000"/>
          <w:sz w:val="20"/>
          <w:szCs w:val="20"/>
        </w:rPr>
      </w:pPr>
      <w:r>
        <w:rPr>
          <w:rFonts w:eastAsia="Calibri" w:cs="BgnmpwWptfcpTimes-Roman" w:ascii="BgnmpwWptfcpTimes-Roman" w:hAnsi="BgnmpwWptfcpTimes-Roman"/>
          <w:b/>
          <w:color w:val="FF0000"/>
          <w:sz w:val="20"/>
          <w:szCs w:val="20"/>
        </w:rPr>
        <w:t>[see my book 2017, in which we re-wrote Einstein’s both relativities without spacetime!!!! The same ideas in other words!!!!]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crucial idea is that “an imaginary dimension” constitutes the epiphenomenal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spatialized cross-sectional form of a genuine “temporal unfolding dimension” according</w:t>
      </w:r>
    </w:p>
    <w:p>
      <w:pPr>
        <w:pStyle w:val="Normal"/>
        <w:spacing w:before="0" w:after="0"/>
        <w:contextualSpacing/>
        <w:jc w:val="left"/>
        <w:rPr/>
      </w:pPr>
      <w:r>
        <w:rPr>
          <w:rFonts w:eastAsia="Calibri" w:cs="BgnmpwWptfcpTimes-Roman" w:ascii="BgnmpwWptfcpTimes-Roman" w:hAnsi="BgnmpwWptfcpTimes-Roman"/>
          <w:sz w:val="20"/>
          <w:szCs w:val="20"/>
        </w:rPr>
        <w:t xml:space="preserve">to the above, and this is precisely the </w:t>
      </w:r>
      <w:r>
        <w:rPr>
          <w:rFonts w:eastAsia="Calibri" w:cs="KfjnvmNjhlcnTimes-Italic" w:ascii="KfjnvmNjhlcnTimes-Italic" w:hAnsi="KfjnvmNjhlcnTimes-Italic"/>
          <w:i/>
          <w:iCs/>
          <w:sz w:val="20"/>
          <w:szCs w:val="20"/>
        </w:rPr>
        <w:t>major characteristic that distinguishes</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the notion of the “time-space of the present” from the notion of “spacetime.” </w:t>
      </w:r>
      <w:r>
        <w:rPr>
          <w:rFonts w:eastAsia="Calibri" w:cs="BgnmpwWptfcpTimes-Roman" w:ascii="BgnmpwWptfcpTimes-Roman" w:hAnsi="BgnmpwWptfcpTimes-Roman"/>
          <w:sz w:val="20"/>
          <w:szCs w:val="20"/>
        </w:rPr>
        <w:t>It 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category mistake to treat an “imaginary dimension” as a “temporal dimension”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same footing like the spatial ones. An “epiphenomenal spatialized imaginary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dimension” bears an “imaginary unit” inducing “circular action by rotation”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contradistinction to a “real spatial dimension” which bears a unit inducing “linear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extension in a specified direction.” (19)</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Hence, we are in the case of an “imaginary dimension” conceived as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epiphenomenal spatialized cross-sectional form of a genuine “temporal unfolding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dimension” projected at the factual level. This “temporal unfolding dimension”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respect to the “time-space of the present” in “statu-nascendi” is brought about by</w:t>
      </w:r>
    </w:p>
    <w:p>
      <w:pPr>
        <w:pStyle w:val="Normal"/>
        <w:spacing w:before="0" w:after="0"/>
        <w:contextualSpacing/>
        <w:jc w:val="left"/>
        <w:rPr/>
      </w:pPr>
      <w:r>
        <w:rPr>
          <w:rFonts w:eastAsia="Calibri" w:cs="BgnmpwWptfcpTimes-Roman" w:ascii="BgnmpwWptfcpTimes-Roman" w:hAnsi="BgnmpwWptfcpTimes-Roman"/>
          <w:sz w:val="20"/>
          <w:szCs w:val="20"/>
        </w:rPr>
        <w:t xml:space="preserve">the upper bound in information signaling defined by the speed of light </w:t>
      </w:r>
      <w:r>
        <w:rPr>
          <w:rFonts w:eastAsia="StcqctClkprsMTMI" w:cs="StcqctClkprsMTMI" w:ascii="StcqctClkprsMTMI" w:hAnsi="StcqctClkprsMTMI"/>
          <w:i/>
          <w:iCs/>
          <w:sz w:val="20"/>
          <w:szCs w:val="20"/>
        </w:rPr>
        <w:t>c</w:t>
      </w:r>
      <w:r>
        <w:rPr>
          <w:rFonts w:eastAsia="Calibri" w:cs="BgnmpwWptfcpTimes-Roman" w:ascii="BgnmpwWptfcpTimes-Roman" w:hAnsi="BgnmpwWptfcpTimes-Roman"/>
          <w:sz w:val="20"/>
          <w:szCs w:val="20"/>
        </w:rPr>
        <w:t>, and thus,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 pertains to phenomena approximating that speed. Since the finitude of the speed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light affects the metrical chrono-geometric relations at very high speeds,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 the chrono-topological ones, the cone of unfolding of the “temporal chords” 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actually a “metrical light-cone.” In effect, this means that the “spirally unfolding</w:t>
      </w:r>
    </w:p>
    <w:p>
      <w:pPr>
        <w:pStyle w:val="Normal"/>
        <w:spacing w:before="0" w:after="0"/>
        <w:contextualSpacing/>
        <w:jc w:val="left"/>
        <w:rPr/>
      </w:pPr>
      <w:r>
        <w:rPr>
          <w:rFonts w:eastAsia="Calibri" w:cs="BgnmpwWptfcpTimes-Roman" w:ascii="BgnmpwWptfcpTimes-Roman" w:hAnsi="BgnmpwWptfcpTimes-Roman"/>
          <w:sz w:val="20"/>
          <w:szCs w:val="20"/>
        </w:rPr>
        <w:t xml:space="preserve">temporal dimension” is </w:t>
      </w:r>
      <w:r>
        <w:rPr>
          <w:rFonts w:eastAsia="Calibri" w:cs="KfjnvmNjhlcnTimes-Italic" w:ascii="KfjnvmNjhlcnTimes-Italic" w:hAnsi="KfjnvmNjhlcnTimes-Italic"/>
          <w:i/>
          <w:iCs/>
          <w:sz w:val="20"/>
          <w:szCs w:val="20"/>
        </w:rPr>
        <w:t>degenerate topologically</w:t>
      </w:r>
      <w:r>
        <w:rPr>
          <w:rFonts w:eastAsia="Calibri" w:cs="BgnmpwWptfcpTimes-Roman" w:ascii="BgnmpwWptfcpTimes-Roman" w:hAnsi="BgnmpwWptfcpTimes-Roman"/>
          <w:sz w:val="20"/>
          <w:szCs w:val="20"/>
        </w:rPr>
        <w:t>, in the sense that the “winding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stairs of the spiral” are not distinguishable metrically, and thus, the potential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multiple-connectivity between the “past” and the “future” is reduced only to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possibility of branching with respect to the “time-space of the present.” (20)</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ListParagraph"/>
        <w:numPr>
          <w:ilvl w:val="1"/>
          <w:numId w:val="26"/>
        </w:numPr>
        <w:spacing w:before="0" w:after="0"/>
        <w:ind w:left="0" w:right="0" w:hanging="396"/>
        <w:contextualSpacing/>
        <w:rPr>
          <w:rFonts w:ascii="LknmqmBlpvqvTimes-Bold" w:hAnsi="LknmqmBlpvqvTimes-Bold" w:eastAsia="Calibri" w:cs="LknmqmBlpvqvTimes-Bold"/>
          <w:b/>
          <w:b/>
          <w:bCs/>
        </w:rPr>
      </w:pPr>
      <w:r>
        <w:rPr>
          <w:rFonts w:eastAsia="Calibri" w:cs="LknmqmBlpvqvTimes-Bold" w:ascii="LknmqmBlpvqvTimes-Bold" w:hAnsi="LknmqmBlpvqvTimes-Bold"/>
          <w:b/>
          <w:bCs/>
        </w:rPr>
        <w:t>Autogenetic Perspective on General Relativity</w:t>
      </w:r>
    </w:p>
    <w:p>
      <w:pPr>
        <w:pStyle w:val="Normal"/>
        <w:spacing w:before="0" w:after="0"/>
        <w:contextualSpacing/>
        <w:rPr/>
      </w:pPr>
      <w:r>
        <w:rPr>
          <w:rFonts w:eastAsia="Calibri" w:cs="BgnmpwWptfcpTimes-Roman" w:ascii="BgnmpwWptfcpTimes-Roman" w:hAnsi="BgnmpwWptfcpTimes-Roman"/>
          <w:b/>
          <w:color w:val="FF0000"/>
          <w:sz w:val="20"/>
          <w:szCs w:val="20"/>
        </w:rPr>
        <w:t>[again see my book 2017 about rre-written Einstein both relativities!!!!</w:t>
      </w:r>
      <w:r>
        <w:rPr>
          <w:rFonts w:eastAsia="Calibri" w:cs="BgnmpwWptfcpTimes-Roman" w:ascii="BgnmpwWptfcpTimes-Roman" w:hAnsi="BgnmpwWptfcpTimes-Roman"/>
          <w:sz w:val="20"/>
          <w:szCs w:val="20"/>
        </w:rPr>
        <w:t>]</w:t>
      </w:r>
    </w:p>
    <w:p>
      <w:pPr>
        <w:pStyle w:val="Normal"/>
        <w:spacing w:before="0" w:after="0"/>
        <w:contextualSpacing/>
        <w:rPr>
          <w:rFonts w:ascii="BgnmpwWptfcpTimes-Roman" w:hAnsi="BgnmpwWptfcpTimes-Roman" w:eastAsia="Calibri" w:cs="BgnmpwWptfcpTimes-Roman"/>
          <w:b/>
          <w:b/>
          <w:color w:val="FF0000"/>
          <w:sz w:val="20"/>
          <w:szCs w:val="20"/>
        </w:rPr>
      </w:pPr>
      <w:r>
        <w:rPr>
          <w:rFonts w:eastAsia="Calibri" w:cs="BgnmpwWptfcpTimes-Roman" w:ascii="BgnmpwWptfcpTimes-Roman" w:hAnsi="BgnmpwWptfcpTimes-Roman"/>
          <w:b/>
          <w:color w:val="FF0000"/>
          <w:sz w:val="20"/>
          <w:szCs w:val="20"/>
        </w:rPr>
      </w:r>
    </w:p>
    <w:p>
      <w:pPr>
        <w:pStyle w:val="Normal"/>
        <w:spacing w:before="0" w:after="0"/>
        <w:contextualSpacing/>
        <w:jc w:val="left"/>
        <w:rPr/>
      </w:pPr>
      <w:r>
        <w:rPr>
          <w:rFonts w:eastAsia="Calibri" w:cs="BgnmpwWptfcpTimes-Roman" w:ascii="BgnmpwWptfcpTimes-Roman" w:hAnsi="BgnmpwWptfcpTimes-Roman"/>
          <w:sz w:val="20"/>
          <w:szCs w:val="20"/>
        </w:rPr>
        <w:t xml:space="preserve">Thus, the spacetime metric, and therefore, </w:t>
      </w:r>
      <w:r>
        <w:rPr>
          <w:rFonts w:eastAsia="Calibri" w:cs="KfjnvmNjhlcnTimes-Italic" w:ascii="KfjnvmNjhlcnTimes-Italic" w:hAnsi="KfjnvmNjhlcnTimes-Italic"/>
          <w:i/>
          <w:iCs/>
          <w:sz w:val="20"/>
          <w:szCs w:val="20"/>
        </w:rPr>
        <w:t>the chronogeometric</w:t>
      </w:r>
    </w:p>
    <w:p>
      <w:pPr>
        <w:pStyle w:val="Normal"/>
        <w:spacing w:before="0" w:after="0"/>
        <w:contextualSpacing/>
        <w:jc w:val="left"/>
        <w:rPr/>
      </w:pPr>
      <w:r>
        <w:rPr>
          <w:rFonts w:eastAsia="Calibri" w:cs="KfjnvmNjhlcnTimes-Italic" w:ascii="KfjnvmNjhlcnTimes-Italic" w:hAnsi="KfjnvmNjhlcnTimes-Italic"/>
          <w:i/>
          <w:iCs/>
          <w:sz w:val="20"/>
          <w:szCs w:val="20"/>
        </w:rPr>
        <w:t>relations are not constant as the case of SR but become variable</w:t>
      </w:r>
      <w:r>
        <w:rPr>
          <w:rFonts w:eastAsia="Calibri" w:cs="BgnmpwWptfcpTimes-Roman" w:ascii="BgnmpwWptfcpTimes-Roman" w:hAnsi="BgnmpwWptfcpTimes-Roman"/>
          <w:sz w:val="20"/>
          <w:szCs w:val="20"/>
        </w:rPr>
        <w:t>. In</w:t>
      </w:r>
    </w:p>
    <w:p>
      <w:pPr>
        <w:pStyle w:val="Normal"/>
        <w:spacing w:before="0" w:after="0"/>
        <w:contextualSpacing/>
        <w:jc w:val="left"/>
        <w:rPr/>
      </w:pPr>
      <w:r>
        <w:rPr>
          <w:rFonts w:eastAsia="Calibri" w:cs="BgnmpwWptfcpTimes-Roman" w:ascii="BgnmpwWptfcpTimes-Roman" w:hAnsi="BgnmpwWptfcpTimes-Roman"/>
          <w:sz w:val="20"/>
          <w:szCs w:val="20"/>
        </w:rPr>
        <w:t xml:space="preserve">turn, the variability of the spacetime metric gives rise to the </w:t>
      </w:r>
      <w:r>
        <w:rPr>
          <w:rFonts w:eastAsia="Calibri" w:cs="KfjnvmNjhlcnTimes-Italic" w:ascii="KfjnvmNjhlcnTimes-Italic" w:hAnsi="KfjnvmNjhlcnTimes-Italic"/>
          <w:i/>
          <w:iCs/>
          <w:sz w:val="20"/>
          <w:szCs w:val="20"/>
        </w:rPr>
        <w:t>observable spacetime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curvature </w:t>
      </w:r>
      <w:r>
        <w:rPr>
          <w:rFonts w:eastAsia="Calibri" w:cs="BgnmpwWptfcpTimes-Roman" w:ascii="BgnmpwWptfcpTimes-Roman" w:hAnsi="BgnmpwWptfcpTimes-Roman"/>
          <w:sz w:val="20"/>
          <w:szCs w:val="20"/>
        </w:rPr>
        <w:t>through which Einstein’s field equations are formulated. The important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thing is that due to the variability of the metric a standard of comparison is required</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at each spacetime point. (23)</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Consequently, as in the case of SR the “spirally unfolding</w:t>
      </w:r>
    </w:p>
    <w:p>
      <w:pPr>
        <w:pStyle w:val="Normal"/>
        <w:spacing w:before="0" w:after="0"/>
        <w:contextualSpacing/>
        <w:jc w:val="left"/>
        <w:rPr/>
      </w:pPr>
      <w:r>
        <w:rPr>
          <w:rFonts w:eastAsia="Calibri" w:cs="BgnmpwWptfcpTimes-Roman" w:ascii="BgnmpwWptfcpTimes-Roman" w:hAnsi="BgnmpwWptfcpTimes-Roman"/>
          <w:sz w:val="20"/>
          <w:szCs w:val="20"/>
        </w:rPr>
        <w:t xml:space="preserve">temporal dimension” is </w:t>
      </w:r>
      <w:r>
        <w:rPr>
          <w:rFonts w:eastAsia="Calibri" w:cs="KfjnvmNjhlcnTimes-Italic" w:ascii="KfjnvmNjhlcnTimes-Italic" w:hAnsi="KfjnvmNjhlcnTimes-Italic"/>
          <w:i/>
          <w:iCs/>
          <w:sz w:val="20"/>
          <w:szCs w:val="20"/>
        </w:rPr>
        <w:t>degenerate topologically</w:t>
      </w:r>
      <w:r>
        <w:rPr>
          <w:rFonts w:eastAsia="Calibri" w:cs="BgnmpwWptfcpTimes-Roman" w:ascii="BgnmpwWptfcpTimes-Roman" w:hAnsi="BgnmpwWptfcpTimes-Roman"/>
          <w:sz w:val="20"/>
          <w:szCs w:val="20"/>
        </w:rPr>
        <w:t>, in the sense that the “winding multiple-connectivity between the “past” and the “future” is reduced only to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possibility of branching with respect to the “time-space of the present.” The</w:t>
      </w:r>
    </w:p>
    <w:p>
      <w:pPr>
        <w:pStyle w:val="Normal"/>
        <w:spacing w:before="0" w:after="0"/>
        <w:contextualSpacing/>
        <w:jc w:val="left"/>
        <w:rPr/>
      </w:pPr>
      <w:r>
        <w:rPr>
          <w:rFonts w:eastAsia="Calibri" w:cs="BgnmpwWptfcpTimes-Roman" w:ascii="BgnmpwWptfcpTimes-Roman" w:hAnsi="BgnmpwWptfcpTimes-Roman"/>
          <w:sz w:val="20"/>
          <w:szCs w:val="20"/>
        </w:rPr>
        <w:t xml:space="preserve">important subtlety in comparison to the SR case is that </w:t>
      </w:r>
      <w:r>
        <w:rPr>
          <w:rFonts w:eastAsia="Calibri" w:cs="KfjnvmNjhlcnTimes-Italic" w:ascii="KfjnvmNjhlcnTimes-Italic" w:hAnsi="KfjnvmNjhlcnTimes-Italic"/>
          <w:i/>
          <w:iCs/>
          <w:sz w:val="20"/>
          <w:szCs w:val="20"/>
        </w:rPr>
        <w:t>the rate of unfolding is</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not constant between the “past” and the “future” with respect to the “time-space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of the present.” </w:t>
      </w:r>
      <w:r>
        <w:rPr>
          <w:rFonts w:eastAsia="Calibri" w:cs="BgnmpwWptfcpTimes-Roman" w:ascii="BgnmpwWptfcpTimes-Roman" w:hAnsi="BgnmpwWptfcpTimes-Roman"/>
          <w:sz w:val="20"/>
          <w:szCs w:val="20"/>
        </w:rPr>
        <w:t>As a consequence, if we consider the rooting at the same pointevent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the “time-space of the present” of both the “past” and the “future” differing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orientation, due to the differing rates of unfolding, the light-cone structure may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twist or tilt. At the “epiphenomenal spatialized imaginary dimensional level,” which</w:t>
      </w:r>
    </w:p>
    <w:p>
      <w:pPr>
        <w:pStyle w:val="Normal"/>
        <w:spacing w:before="0" w:after="0"/>
        <w:contextualSpacing/>
        <w:jc w:val="left"/>
        <w:rPr/>
      </w:pPr>
      <w:r>
        <w:rPr>
          <w:rFonts w:eastAsia="Calibri" w:cs="BgnmpwWptfcpTimes-Roman" w:ascii="BgnmpwWptfcpTimes-Roman" w:hAnsi="BgnmpwWptfcpTimes-Roman"/>
          <w:sz w:val="20"/>
          <w:szCs w:val="20"/>
        </w:rPr>
        <w:t>can be thought of as the “</w:t>
      </w:r>
      <w:r>
        <w:rPr>
          <w:rFonts w:eastAsia="HlshrbCnhnhfMTSYN" w:cs="HlshrbCnhnhfMTSYN" w:ascii="HlshrbCnhnhfMTSYN" w:hAnsi="HlshrbCnhnhfMTSYN"/>
          <w:sz w:val="20"/>
          <w:szCs w:val="20"/>
        </w:rPr>
        <w:t>{</w:t>
      </w:r>
      <w:r>
        <w:rPr>
          <w:rFonts w:eastAsia="Calibri" w:cs="KfjnvmNjhlcnTimes-Italic" w:ascii="KfjnvmNjhlcnTimes-Italic" w:hAnsi="KfjnvmNjhlcnTimes-Italic"/>
          <w:i/>
          <w:iCs/>
          <w:sz w:val="20"/>
          <w:szCs w:val="20"/>
        </w:rPr>
        <w:t>imaginarily spatialized time</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w:t>
      </w:r>
      <w:r>
        <w:rPr>
          <w:rFonts w:eastAsia="HlshrbCnhnhfMTSYN" w:cs="HlshrbCnhnhfMTSYN" w:ascii="HlshrbCnhnhfMTSYN" w:hAnsi="HlshrbCnhnhfMTSYN"/>
          <w:sz w:val="20"/>
          <w:szCs w:val="20"/>
        </w:rPr>
        <w:t>{</w:t>
      </w:r>
      <w:r>
        <w:rPr>
          <w:rFonts w:eastAsia="Calibri" w:cs="KfjnvmNjhlcnTimes-Italic" w:ascii="KfjnvmNjhlcnTimes-Italic" w:hAnsi="KfjnvmNjhlcnTimes-Italic"/>
          <w:i/>
          <w:iCs/>
          <w:sz w:val="20"/>
          <w:szCs w:val="20"/>
        </w:rPr>
        <w:t>real space</w:t>
      </w:r>
      <w:r>
        <w:rPr>
          <w:rFonts w:eastAsia="HlshrbCnhnhfMTSYN" w:cs="HlshrbCnhnhfMTSYN" w:ascii="HlshrbCnhnhfMTSYN" w:hAnsi="HlshrbCnhnhfMTSYN"/>
          <w:sz w:val="20"/>
          <w:szCs w:val="20"/>
        </w:rPr>
        <w:t xml:space="preserve">} </w:t>
      </w:r>
      <w:r>
        <w:rPr>
          <w:rFonts w:eastAsia="Calibri" w:cs="KfjnvmNjhlcnTimes-Italic" w:ascii="KfjnvmNjhlcnTimes-Italic" w:hAnsi="KfjnvmNjhlcnTimes-Italic"/>
          <w:i/>
          <w:iCs/>
          <w:sz w:val="20"/>
          <w:szCs w:val="20"/>
        </w:rPr>
        <w:t>of the present</w:t>
      </w:r>
    </w:p>
    <w:p>
      <w:pPr>
        <w:pStyle w:val="Normal"/>
        <w:spacing w:before="0" w:after="0"/>
        <w:contextualSpacing/>
        <w:jc w:val="left"/>
        <w:rPr/>
      </w:pPr>
      <w:r>
        <w:rPr>
          <w:rFonts w:eastAsia="Calibri" w:cs="KfjnvmNjhlcnTimes-Italic" w:ascii="KfjnvmNjhlcnTimes-Italic" w:hAnsi="KfjnvmNjhlcnTimes-Italic"/>
          <w:i/>
          <w:iCs/>
          <w:sz w:val="20"/>
          <w:szCs w:val="20"/>
        </w:rPr>
        <w:t>rooted at the same point-event</w:t>
      </w:r>
      <w:r>
        <w:rPr>
          <w:rFonts w:eastAsia="Calibri" w:cs="BgnmpwWptfcpTimes-Roman" w:ascii="BgnmpwWptfcpTimes-Roman" w:hAnsi="BgnmpwWptfcpTimes-Roman"/>
          <w:sz w:val="20"/>
          <w:szCs w:val="20"/>
        </w:rPr>
        <w:t xml:space="preserve">, </w:t>
      </w:r>
      <w:r>
        <w:rPr>
          <w:rFonts w:eastAsia="Calibri" w:cs="KfjnvmNjhlcnTimes-Italic" w:ascii="KfjnvmNjhlcnTimes-Italic" w:hAnsi="KfjnvmNjhlcnTimes-Italic"/>
          <w:i/>
          <w:iCs/>
          <w:sz w:val="20"/>
          <w:szCs w:val="20"/>
        </w:rPr>
        <w:t>this discrepancy in the temporal rate of unfolding</w:t>
      </w:r>
    </w:p>
    <w:p>
      <w:pPr>
        <w:pStyle w:val="Normal"/>
        <w:spacing w:before="0" w:after="0"/>
        <w:contextualSpacing/>
        <w:jc w:val="left"/>
        <w:rPr/>
      </w:pPr>
      <w:r>
        <w:rPr>
          <w:rFonts w:eastAsia="Calibri" w:cs="KfjnvmNjhlcnTimes-Italic" w:ascii="KfjnvmNjhlcnTimes-Italic" w:hAnsi="KfjnvmNjhlcnTimes-Italic"/>
          <w:i/>
          <w:iCs/>
          <w:sz w:val="20"/>
          <w:szCs w:val="20"/>
        </w:rPr>
        <w:t>between the “past” and the “future” appears as spacetime curvature</w:t>
      </w:r>
      <w:r>
        <w:rPr>
          <w:rFonts w:eastAsia="Calibri" w:cs="BgnmpwWptfcpTimes-Roman" w:ascii="BgnmpwWptfcpTimes-Roman" w:hAnsi="BgnmpwWptfcpTimes-Roman"/>
          <w:sz w:val="20"/>
          <w:szCs w:val="20"/>
        </w:rPr>
        <w:t>.</w:t>
      </w:r>
    </w:p>
    <w:p>
      <w:pPr>
        <w:pStyle w:val="Normal"/>
        <w:spacing w:before="0" w:after="0"/>
        <w:contextualSpacing/>
        <w:jc w:val="left"/>
        <w:rPr/>
      </w:pPr>
      <w:r>
        <w:rPr>
          <w:rFonts w:eastAsia="Calibri" w:cs="BgnmpwWptfcpTimes-Roman" w:ascii="BgnmpwWptfcpTimes-Roman" w:hAnsi="BgnmpwWptfcpTimes-Roman"/>
          <w:sz w:val="20"/>
          <w:szCs w:val="20"/>
        </w:rPr>
        <w:t xml:space="preserve">Conclusively, in the case of GR at the epiphenomenal level, </w:t>
      </w:r>
      <w:r>
        <w:rPr>
          <w:rFonts w:eastAsia="Calibri" w:cs="KfjnvmNjhlcnTimes-Italic" w:ascii="KfjnvmNjhlcnTimes-Italic" w:hAnsi="KfjnvmNjhlcnTimes-Italic"/>
          <w:i/>
          <w:iCs/>
          <w:sz w:val="20"/>
          <w:szCs w:val="20"/>
        </w:rPr>
        <w:t>change of time</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amounts to change of phase, but the rate of change is not the same for both “past”</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and “future.” </w:t>
      </w:r>
      <w:r>
        <w:rPr>
          <w:rFonts w:eastAsia="Calibri" w:cs="BgnmpwWptfcpTimes-Roman" w:ascii="BgnmpwWptfcpTimes-Roman" w:hAnsi="BgnmpwWptfcpTimes-Roman"/>
          <w:sz w:val="20"/>
          <w:szCs w:val="20"/>
        </w:rPr>
        <w:t>Equivalently, “past” and “future” are not differing only in orientation</w:t>
      </w:r>
    </w:p>
    <w:p>
      <w:pPr>
        <w:pStyle w:val="Normal"/>
        <w:spacing w:before="0" w:after="0"/>
        <w:contextualSpacing/>
        <w:jc w:val="left"/>
        <w:rPr/>
      </w:pPr>
      <w:r>
        <w:rPr>
          <w:rFonts w:eastAsia="Calibri" w:cs="BgnmpwWptfcpTimes-Roman" w:ascii="BgnmpwWptfcpTimes-Roman" w:hAnsi="BgnmpwWptfcpTimes-Roman"/>
          <w:sz w:val="20"/>
          <w:szCs w:val="20"/>
        </w:rPr>
        <w:t xml:space="preserve">with respect to the rooting at a point-event in the present, </w:t>
      </w:r>
      <w:r>
        <w:rPr>
          <w:rFonts w:eastAsia="Calibri" w:cs="KfjnvmNjhlcnTimes-Italic" w:ascii="KfjnvmNjhlcnTimes-Italic" w:hAnsi="KfjnvmNjhlcnTimes-Italic"/>
          <w:i/>
          <w:iCs/>
          <w:sz w:val="20"/>
          <w:szCs w:val="20"/>
        </w:rPr>
        <w:t>but they also differ in</w:t>
      </w:r>
    </w:p>
    <w:p>
      <w:pPr>
        <w:pStyle w:val="Normal"/>
        <w:spacing w:before="0" w:after="0"/>
        <w:contextualSpacing/>
        <w:rPr/>
      </w:pPr>
      <w:r>
        <w:rPr>
          <w:rFonts w:eastAsia="Calibri" w:cs="KfjnvmNjhlcnTimes-Italic" w:ascii="KfjnvmNjhlcnTimes-Italic" w:hAnsi="KfjnvmNjhlcnTimes-Italic"/>
          <w:i/>
          <w:iCs/>
          <w:sz w:val="20"/>
          <w:szCs w:val="20"/>
        </w:rPr>
        <w:t>relative phase that epiphenomenally appears as local metric curvature</w:t>
      </w:r>
      <w:r>
        <w:rPr>
          <w:rFonts w:eastAsia="Calibri" w:cs="BgnmpwWptfcpTimes-Roman" w:ascii="BgnmpwWptfcpTimes-Roman" w:hAnsi="BgnmpwWptfcpTimes-Roman"/>
          <w:sz w:val="20"/>
          <w:szCs w:val="20"/>
        </w:rPr>
        <w:t>. (23-24)</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2.7 Autogenetic Perspective on Singularities, Quantization,</w:t>
      </w:r>
    </w:p>
    <w:p>
      <w:pPr>
        <w:pStyle w:val="Normal"/>
        <w:spacing w:before="0" w:after="0"/>
        <w:contextualSpacing/>
        <w:rPr/>
      </w:pPr>
      <w:r>
        <w:rPr>
          <w:rFonts w:eastAsia="Calibri" w:cs="LknmqmBlpvqvTimes-Bold" w:ascii="LknmqmBlpvqvTimes-Bold" w:hAnsi="LknmqmBlpvqvTimes-Bold"/>
          <w:b/>
          <w:bCs/>
        </w:rPr>
        <w:t>Entanglement and the “ER</w:t>
      </w:r>
      <w:r>
        <w:rPr>
          <w:rFonts w:eastAsia="Calibri" w:cs="SkcggrDvwsfhMTSYB" w:ascii="SkcggrDvwsfhMTSYB" w:hAnsi="SkcggrDvwsfhMTSYB"/>
          <w:b/>
          <w:bCs/>
        </w:rPr>
        <w:t>=</w:t>
      </w:r>
      <w:r>
        <w:rPr>
          <w:rFonts w:eastAsia="Calibri" w:cs="LknmqmBlpvqvTimes-Bold" w:ascii="LknmqmBlpvqvTimes-Bold" w:hAnsi="LknmqmBlpvqvTimes-Bold"/>
          <w:b/>
          <w:bCs/>
        </w:rPr>
        <w:t>EPR” Correspondence (24)</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First, a “spirally unfolding temporal dimension” may be characterized by a more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elaborate type of cross-sectional projection in the “time-space of the present,” in the</w:t>
      </w:r>
    </w:p>
    <w:p>
      <w:pPr>
        <w:pStyle w:val="Normal"/>
        <w:spacing w:before="0" w:after="0"/>
        <w:contextualSpacing/>
        <w:jc w:val="left"/>
        <w:rPr/>
      </w:pPr>
      <w:r>
        <w:rPr>
          <w:rFonts w:eastAsia="Calibri" w:cs="BgnmpwWptfcpTimes-Roman" w:ascii="BgnmpwWptfcpTimes-Roman" w:hAnsi="BgnmpwWptfcpTimes-Roman"/>
          <w:sz w:val="20"/>
          <w:szCs w:val="20"/>
        </w:rPr>
        <w:t xml:space="preserve">sense that </w:t>
      </w:r>
      <w:r>
        <w:rPr>
          <w:rFonts w:eastAsia="Calibri" w:cs="KfjnvmNjhlcnTimes-Italic" w:ascii="KfjnvmNjhlcnTimes-Italic" w:hAnsi="KfjnvmNjhlcnTimes-Italic"/>
          <w:i/>
          <w:iCs/>
          <w:sz w:val="20"/>
          <w:szCs w:val="20"/>
        </w:rPr>
        <w:t>change of time at the spatialized epiphenomenal level does not correspond</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to change of phase with respect to a single imaginary dimension, but corresponds</w:t>
      </w:r>
    </w:p>
    <w:p>
      <w:pPr>
        <w:pStyle w:val="Normal"/>
        <w:spacing w:before="0" w:after="0"/>
        <w:contextualSpacing/>
        <w:jc w:val="left"/>
        <w:rPr/>
      </w:pPr>
      <w:r>
        <w:rPr>
          <w:rFonts w:eastAsia="Calibri" w:cs="KfjnvmNjhlcnTimes-Italic" w:ascii="KfjnvmNjhlcnTimes-Italic" w:hAnsi="KfjnvmNjhlcnTimes-Italic"/>
          <w:i/>
          <w:iCs/>
          <w:sz w:val="20"/>
          <w:szCs w:val="20"/>
        </w:rPr>
        <w:t>to change of circle</w:t>
      </w:r>
      <w:r>
        <w:rPr>
          <w:rFonts w:eastAsia="Calibri" w:cs="BgnmpwWptfcpTimes-Roman" w:ascii="BgnmpwWptfcpTimes-Roman" w:hAnsi="BgnmpwWptfcpTimes-Roman"/>
          <w:sz w:val="20"/>
          <w:szCs w:val="20"/>
        </w:rPr>
        <w:t>. This happens when the “past” and the “future” do not differ</w:t>
      </w:r>
    </w:p>
    <w:p>
      <w:pPr>
        <w:pStyle w:val="Normal"/>
        <w:spacing w:before="0" w:after="0"/>
        <w:contextualSpacing/>
        <w:jc w:val="left"/>
        <w:rPr/>
      </w:pPr>
      <w:r>
        <w:rPr>
          <w:rFonts w:eastAsia="Calibri" w:cs="BgnmpwWptfcpTimes-Roman" w:ascii="BgnmpwWptfcpTimes-Roman" w:hAnsi="BgnmpwWptfcpTimes-Roman"/>
          <w:sz w:val="20"/>
          <w:szCs w:val="20"/>
        </w:rPr>
        <w:t xml:space="preserve">merely by a change in the rate of unfolding,which can be realized as a relative phase difference within the same “imaginary dimension,” but require </w:t>
      </w:r>
      <w:r>
        <w:rPr>
          <w:rFonts w:eastAsia="Calibri" w:cs="KfjnvmNjhlcnTimes-Italic" w:ascii="KfjnvmNjhlcnTimes-Italic" w:hAnsi="KfjnvmNjhlcnTimes-Italic"/>
          <w:i/>
          <w:iCs/>
          <w:sz w:val="20"/>
          <w:szCs w:val="20"/>
        </w:rPr>
        <w:t>complementary</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or conjugate “imaginary dimensions” in the “time-space of the present.” In this</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case, change of time at the epiphenomenal level requires an appropriate process of</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circle change, which can be interpreted as a higher-order connectivity or “temporal</w:t>
      </w:r>
    </w:p>
    <w:p>
      <w:pPr>
        <w:pStyle w:val="Normal"/>
        <w:spacing w:before="0" w:after="0"/>
        <w:contextualSpacing/>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bond.” (24-25)</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sz w:val="20"/>
          <w:szCs w:val="20"/>
        </w:rPr>
        <w:t xml:space="preserve">The subtlety is now that the </w:t>
      </w:r>
      <w:r>
        <w:rPr>
          <w:rFonts w:eastAsia="Calibri" w:cs="KfjnvmNjhlcnTimes-Italic" w:ascii="KfjnvmNjhlcnTimes-Italic" w:hAnsi="KfjnvmNjhlcnTimes-Italic"/>
          <w:i/>
          <w:iCs/>
          <w:sz w:val="20"/>
          <w:szCs w:val="20"/>
        </w:rPr>
        <w:t>inverse transition from the statu-nascendi to the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factual level </w:t>
      </w:r>
      <w:r>
        <w:rPr>
          <w:rFonts w:eastAsia="Calibri" w:cs="BgnmpwWptfcpTimes-Roman" w:ascii="BgnmpwWptfcpTimes-Roman" w:hAnsi="BgnmpwWptfcpTimes-Roman"/>
          <w:sz w:val="20"/>
          <w:szCs w:val="20"/>
        </w:rPr>
        <w:t>does not happen in an unqualified manner, but requires measurement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processes of quantum observables, not all of which are simultaneously compatible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respect to the “time-space of the present.” From the viewpoint of the previous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analysis, instead of an “imaginary spatialized time dimension” adjoined to 3-d</w:t>
      </w:r>
    </w:p>
    <w:p>
      <w:pPr>
        <w:pStyle w:val="Normal"/>
        <w:spacing w:before="0" w:after="0"/>
        <w:contextualSpacing/>
        <w:jc w:val="left"/>
        <w:rPr/>
      </w:pPr>
      <w:r>
        <w:rPr>
          <w:rFonts w:eastAsia="Calibri" w:cs="BgnmpwWptfcpTimes-Roman" w:ascii="BgnmpwWptfcpTimes-Roman" w:hAnsi="BgnmpwWptfcpTimes-Roman"/>
          <w:sz w:val="20"/>
          <w:szCs w:val="20"/>
        </w:rPr>
        <w:t xml:space="preserve">space metrically, what is required is </w:t>
      </w:r>
      <w:r>
        <w:rPr>
          <w:rFonts w:eastAsia="Calibri" w:cs="KfjnvmNjhlcnTimes-Italic" w:ascii="KfjnvmNjhlcnTimes-Italic" w:hAnsi="KfjnvmNjhlcnTimes-Italic"/>
          <w:i/>
          <w:iCs/>
          <w:sz w:val="20"/>
          <w:szCs w:val="20"/>
        </w:rPr>
        <w:t>a multiplicity of non-simultaneously applicable</w:t>
      </w:r>
    </w:p>
    <w:p>
      <w:pPr>
        <w:pStyle w:val="Normal"/>
        <w:spacing w:before="0" w:after="0"/>
        <w:contextualSpacing/>
        <w:jc w:val="left"/>
        <w:rPr/>
      </w:pPr>
      <w:r>
        <w:rPr>
          <w:rFonts w:eastAsia="Calibri" w:cs="KfjnvmNjhlcnTimes-Italic" w:ascii="KfjnvmNjhlcnTimes-Italic" w:hAnsi="KfjnvmNjhlcnTimes-Italic"/>
          <w:i/>
          <w:iCs/>
          <w:sz w:val="20"/>
          <w:szCs w:val="20"/>
        </w:rPr>
        <w:t>“</w:t>
      </w:r>
      <w:r>
        <w:rPr>
          <w:rFonts w:eastAsia="Calibri" w:cs="KfjnvmNjhlcnTimes-Italic" w:ascii="KfjnvmNjhlcnTimes-Italic" w:hAnsi="KfjnvmNjhlcnTimes-Italic"/>
          <w:i/>
          <w:iCs/>
          <w:sz w:val="20"/>
          <w:szCs w:val="20"/>
        </w:rPr>
        <w:t xml:space="preserve">contextual imaginary dimensions” adjoined non-metrically to 3-d space </w:t>
      </w:r>
      <w:r>
        <w:rPr>
          <w:rFonts w:eastAsia="Calibri" w:cs="BgnmpwWptfcpTimes-Roman" w:ascii="BgnmpwWptfcpTimes-Roman" w:hAnsi="BgnmpwWptfcpTimes-Roman"/>
          <w:sz w:val="20"/>
          <w:szCs w:val="20"/>
        </w:rPr>
        <w:t>(i.e.,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 as additional spatialized time dimensions) via spectral orthonormal bases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equivalently, spectral frames of projection operators) for the measurement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observables. These “contextual imaginary dimensions” are in the relation of</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parataxis </w:t>
      </w:r>
      <w:r>
        <w:rPr>
          <w:rFonts w:eastAsia="Calibri" w:cs="BgnmpwWptfcpTimes-Roman" w:ascii="BgnmpwWptfcpTimes-Roman" w:hAnsi="BgnmpwWptfcpTimes-Roman"/>
          <w:sz w:val="20"/>
          <w:szCs w:val="20"/>
        </w:rPr>
        <w:t>with respect to each other. Each one of them instantiates the demarcation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 non-metrical locality (i.e., a locality not based on the notion of distance)</w:t>
      </w:r>
    </w:p>
    <w:p>
      <w:pPr>
        <w:pStyle w:val="Normal"/>
        <w:spacing w:before="0" w:after="0"/>
        <w:contextualSpacing/>
        <w:jc w:val="left"/>
        <w:rPr/>
      </w:pPr>
      <w:r>
        <w:rPr>
          <w:rFonts w:eastAsia="Calibri" w:cs="BgnmpwWptfcpTimes-Roman" w:ascii="BgnmpwWptfcpTimes-Roman" w:hAnsi="BgnmpwWptfcpTimes-Roman"/>
          <w:sz w:val="20"/>
          <w:szCs w:val="20"/>
        </w:rPr>
        <w:t xml:space="preserve">in the “time-space of the present.” </w:t>
      </w:r>
      <w:r>
        <w:rPr>
          <w:rFonts w:eastAsia="Calibri" w:cs="KfjnvmNjhlcnTimes-Italic" w:ascii="KfjnvmNjhlcnTimes-Italic" w:hAnsi="KfjnvmNjhlcnTimes-Italic"/>
          <w:i/>
          <w:iCs/>
          <w:sz w:val="20"/>
          <w:szCs w:val="20"/>
        </w:rPr>
        <w:t>It is precisely this independence from spatial</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proximity and distance that allows the emergence of syntaxis and cohesion at a</w:t>
      </w:r>
    </w:p>
    <w:p>
      <w:pPr>
        <w:pStyle w:val="Normal"/>
        <w:spacing w:before="0" w:after="0"/>
        <w:contextualSpacing/>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 xml:space="preserve">higher connectivity level, i.e. the formation of “temporal bonds.”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Thus, upon entering the quantum domain of discourse for dealing with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chrono-topological relations pertaining to the singularities of GR in the transition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metricized event spacetime to the statu-nascendi, the inverse transition</w:t>
      </w:r>
    </w:p>
    <w:p>
      <w:pPr>
        <w:pStyle w:val="Normal"/>
        <w:spacing w:before="0" w:after="0"/>
        <w:contextualSpacing/>
        <w:jc w:val="left"/>
        <w:rPr/>
      </w:pPr>
      <w:r>
        <w:rPr>
          <w:rFonts w:eastAsia="Calibri" w:cs="BgnmpwWptfcpTimes-Roman" w:ascii="BgnmpwWptfcpTimes-Roman" w:hAnsi="BgnmpwWptfcpTimes-Roman"/>
          <w:sz w:val="20"/>
          <w:szCs w:val="20"/>
        </w:rPr>
        <w:t xml:space="preserve">can only take place </w:t>
      </w:r>
      <w:r>
        <w:rPr>
          <w:rFonts w:eastAsia="Calibri" w:cs="KfjnvmNjhlcnTimes-Italic" w:ascii="KfjnvmNjhlcnTimes-Italic" w:hAnsi="KfjnvmNjhlcnTimes-Italic"/>
          <w:i/>
          <w:iCs/>
          <w:sz w:val="20"/>
          <w:szCs w:val="20"/>
        </w:rPr>
        <w:t xml:space="preserve">locally </w:t>
      </w:r>
      <w:r>
        <w:rPr>
          <w:rFonts w:eastAsia="Calibri" w:cs="BgnmpwWptfcpTimes-Roman" w:ascii="BgnmpwWptfcpTimes-Roman" w:hAnsi="BgnmpwWptfcpTimes-Roman"/>
          <w:sz w:val="20"/>
          <w:szCs w:val="20"/>
        </w:rPr>
        <w:t xml:space="preserve">or </w:t>
      </w:r>
      <w:r>
        <w:rPr>
          <w:rFonts w:eastAsia="Calibri" w:cs="KfjnvmNjhlcnTimes-Italic" w:ascii="KfjnvmNjhlcnTimes-Italic" w:hAnsi="KfjnvmNjhlcnTimes-Italic"/>
          <w:i/>
          <w:iCs/>
          <w:sz w:val="20"/>
          <w:szCs w:val="20"/>
        </w:rPr>
        <w:t xml:space="preserve">contextually </w:t>
      </w:r>
      <w:r>
        <w:rPr>
          <w:rFonts w:eastAsia="Calibri" w:cs="BgnmpwWptfcpTimes-Roman" w:ascii="BgnmpwWptfcpTimes-Roman" w:hAnsi="BgnmpwWptfcpTimes-Roman"/>
          <w:sz w:val="20"/>
          <w:szCs w:val="20"/>
        </w:rPr>
        <w:t>by means of an arsenal of nonsimultaneously</w:t>
      </w:r>
    </w:p>
    <w:p>
      <w:pPr>
        <w:pStyle w:val="Normal"/>
        <w:spacing w:before="0" w:after="0"/>
        <w:contextualSpacing/>
        <w:rPr/>
      </w:pPr>
      <w:r>
        <w:rPr>
          <w:rFonts w:eastAsia="Calibri" w:cs="BgnmpwWptfcpTimes-Roman" w:ascii="BgnmpwWptfcpTimes-Roman" w:hAnsi="BgnmpwWptfcpTimes-Roman"/>
          <w:sz w:val="20"/>
          <w:szCs w:val="20"/>
        </w:rPr>
        <w:t>applicable spectral frames for measurement.</w:t>
      </w:r>
      <w:r>
        <w:rPr>
          <w:rFonts w:eastAsia="Calibri" w:cs="KfjnvmNjhlcnTimes-Italic" w:ascii="KfjnvmNjhlcnTimes-Italic" w:hAnsi="KfjnvmNjhlcnTimes-Italic"/>
          <w:i/>
          <w:iCs/>
          <w:sz w:val="20"/>
          <w:szCs w:val="20"/>
        </w:rPr>
        <w:t xml:space="preserv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main claim in this interpretational framework of the autogenetic theory</w:t>
      </w:r>
    </w:p>
    <w:p>
      <w:pPr>
        <w:pStyle w:val="Normal"/>
        <w:spacing w:before="0" w:after="0"/>
        <w:contextualSpacing/>
        <w:jc w:val="left"/>
        <w:rPr/>
      </w:pPr>
      <w:r>
        <w:rPr>
          <w:rFonts w:eastAsia="Calibri" w:cs="BgnmpwWptfcpTimes-Roman" w:ascii="BgnmpwWptfcpTimes-Roman" w:hAnsi="BgnmpwWptfcpTimes-Roman"/>
          <w:sz w:val="20"/>
          <w:szCs w:val="20"/>
        </w:rPr>
        <w:t xml:space="preserve">is that </w:t>
      </w:r>
      <w:r>
        <w:rPr>
          <w:rFonts w:eastAsia="Calibri" w:cs="KfjnvmNjhlcnTimes-Italic" w:ascii="KfjnvmNjhlcnTimes-Italic" w:hAnsi="KfjnvmNjhlcnTimes-Italic"/>
          <w:i/>
          <w:iCs/>
          <w:sz w:val="20"/>
          <w:szCs w:val="20"/>
        </w:rPr>
        <w:t>singularities open up multiple connectivity interfaces between the “past”</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and the “future” at the “time-space of the present” in “statu-nascendi.” </w:t>
      </w:r>
      <w:r>
        <w:rPr>
          <w:rFonts w:eastAsia="Calibri" w:cs="BgnmpwWptfcpTimes-Roman" w:ascii="BgnmpwWptfcpTimes-Roman" w:hAnsi="BgnmpwWptfcpTimes-Roman"/>
          <w:sz w:val="20"/>
          <w:szCs w:val="20"/>
        </w:rPr>
        <w:t>Since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realization of such a temporal connectivity interface becomes effective only on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condition of topological non-degeneracy of the genuine temporal unfolding, and</w:t>
      </w:r>
    </w:p>
    <w:p>
      <w:pPr>
        <w:pStyle w:val="Normal"/>
        <w:spacing w:before="0" w:after="0"/>
        <w:contextualSpacing/>
        <w:rPr/>
      </w:pPr>
      <w:r>
        <w:rPr>
          <w:rFonts w:eastAsia="Calibri" w:cs="BgnmpwWptfcpTimes-Roman" w:ascii="BgnmpwWptfcpTimes-Roman" w:hAnsi="BgnmpwWptfcpTimes-Roman"/>
          <w:sz w:val="20"/>
          <w:szCs w:val="20"/>
        </w:rPr>
        <w:t>therefore upon quantization according to the preceding, it can take place by the</w:t>
      </w:r>
      <w:r>
        <w:rPr>
          <w:rFonts w:eastAsia="Calibri" w:cs="KfjnvmNjhlcnTimes-Italic" w:ascii="KfjnvmNjhlcnTimes-Italic" w:hAnsi="KfjnvmNjhlcnTimes-Italic"/>
          <w:i/>
          <w:iCs/>
          <w:sz w:val="20"/>
          <w:szCs w:val="20"/>
        </w:rPr>
        <w:t xml:space="preserve"> </w:t>
      </w:r>
      <w:r>
        <w:rPr>
          <w:rFonts w:eastAsia="Calibri" w:cs="BgnmpwWptfcpTimes-Roman" w:ascii="BgnmpwWptfcpTimes-Roman" w:hAnsi="BgnmpwWptfcpTimes-Roman"/>
          <w:sz w:val="20"/>
          <w:szCs w:val="20"/>
        </w:rPr>
        <w:t>non-metrical adjunction of “contextual imaginary dimensions” to 3-d s</w:t>
      </w:r>
      <w:r>
        <w:rPr>
          <w:rFonts w:eastAsia="Calibri" w:cs="KfjnvmNjhlcnTimes-Italic" w:ascii="KfjnvmNjhlcnTimes-Italic" w:hAnsi="KfjnvmNjhlcnTimes-Italic"/>
          <w:i/>
          <w:iCs/>
          <w:sz w:val="20"/>
          <w:szCs w:val="20"/>
        </w:rPr>
        <w:t xml:space="preserve"> (25-26)</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Note that the notion of a “contextual imaginary dimension” now is not playing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role of an “imaginary spatialized time dimension,” but plays the role of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event horizon,” since the transition from “statu-nascendi” to the factual happens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always only via a spectral frame of measurement. In a nutshell, what appears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a singularity at the metrical level of 4-d spacetime, forcing the transition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“statu-nascendi,” where quantization is invoked to account for the pertinent</w:t>
      </w:r>
    </w:p>
    <w:p>
      <w:pPr>
        <w:pStyle w:val="Normal"/>
        <w:spacing w:before="0" w:after="0"/>
        <w:contextualSpacing/>
        <w:jc w:val="left"/>
        <w:rPr/>
      </w:pPr>
      <w:r>
        <w:rPr>
          <w:rFonts w:eastAsia="Calibri" w:cs="BgnmpwWptfcpTimes-Roman" w:ascii="BgnmpwWptfcpTimes-Roman" w:hAnsi="BgnmpwWptfcpTimes-Roman"/>
          <w:sz w:val="20"/>
          <w:szCs w:val="20"/>
        </w:rPr>
        <w:t xml:space="preserve">chrono-topological relations, requires </w:t>
      </w:r>
      <w:r>
        <w:rPr>
          <w:rFonts w:eastAsia="Calibri" w:cs="KfjnvmNjhlcnTimes-Italic" w:ascii="KfjnvmNjhlcnTimes-Italic" w:hAnsi="KfjnvmNjhlcnTimes-Italic"/>
          <w:i/>
          <w:iCs/>
          <w:sz w:val="20"/>
          <w:szCs w:val="20"/>
        </w:rPr>
        <w:t>the instantiation of an “event horizon” via the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adjunction of a “contextual imaginary dimension” </w:t>
      </w:r>
      <w:r>
        <w:rPr>
          <w:rFonts w:eastAsia="Calibri" w:cs="BgnmpwWptfcpTimes-Roman" w:ascii="BgnmpwWptfcpTimes-Roman" w:hAnsi="BgnmpwWptfcpTimes-Roman"/>
          <w:sz w:val="20"/>
          <w:szCs w:val="20"/>
        </w:rPr>
        <w:t>to facilitate the inverse transition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“statu-nascendi” to the factual level.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Following the understanding of a “contextual imaginary dimension” via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notion of an “event horizon,” it is important to examine now how two singularities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can open up a “higher connectivity interface” between the “past” and the “future”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at the “time-space of the present” in “statu-nascendi.” A necessary condition for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such a type of “connectivity interface,” non-dependent on metrical proximity, is</w:t>
      </w:r>
    </w:p>
    <w:p>
      <w:pPr>
        <w:pStyle w:val="Normal"/>
        <w:spacing w:before="0" w:after="0"/>
        <w:contextualSpacing/>
        <w:jc w:val="left"/>
        <w:rPr/>
      </w:pPr>
      <w:r>
        <w:rPr>
          <w:rFonts w:eastAsia="Calibri" w:cs="BgnmpwWptfcpTimes-Roman" w:ascii="BgnmpwWptfcpTimes-Roman" w:hAnsi="BgnmpwWptfcpTimes-Roman"/>
          <w:sz w:val="20"/>
          <w:szCs w:val="20"/>
        </w:rPr>
        <w:t xml:space="preserve">that </w:t>
      </w:r>
      <w:r>
        <w:rPr>
          <w:rFonts w:eastAsia="Calibri" w:cs="KfjnvmNjhlcnTimes-Italic" w:ascii="KfjnvmNjhlcnTimes-Italic" w:hAnsi="KfjnvmNjhlcnTimes-Italic"/>
          <w:i/>
          <w:iCs/>
          <w:sz w:val="20"/>
          <w:szCs w:val="20"/>
        </w:rPr>
        <w:t>the “two induced contextual imaginary dimensions” of the singularities are</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w:t>
      </w:r>
      <w:r>
        <w:rPr>
          <w:rFonts w:eastAsia="Calibri" w:cs="KfjnvmNjhlcnTimes-Italic" w:ascii="KfjnvmNjhlcnTimes-Italic" w:hAnsi="KfjnvmNjhlcnTimes-Italic"/>
          <w:i/>
          <w:iCs/>
          <w:sz w:val="20"/>
          <w:szCs w:val="20"/>
        </w:rPr>
        <w:t>relationally conjugate” in the “time-space of the present,” so that they can be</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cohesively glued together not in absolute pair-wise fashion, but only in modular</w:t>
      </w:r>
    </w:p>
    <w:p>
      <w:pPr>
        <w:pStyle w:val="Normal"/>
        <w:spacing w:before="0" w:after="0"/>
        <w:contextualSpacing/>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 xml:space="preserve">relation to the “present.”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event horizons” can be amalgamated homologically in relation to the “present.”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chrono-topological terms this type of “modular gluing” pertaining to 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the “time-space of the present”) can be instantiated by means of a “holographic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boundary” adjoined to 3-d space at “present,” demarcating the “imaginary oriented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surface of cohesion” of the two corresponding “contextual imaginary dimensions.”</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It must be emphasized that the compatible fusion of the pertaining “contextual</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imaginary dimensions” does not happen in spacetime, but refers to their modular</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amalgamation with and with respect to the “present” in the “time-space of the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present.” </w:t>
      </w:r>
      <w:r>
        <w:rPr>
          <w:rFonts w:eastAsia="Calibri" w:cs="BgnmpwWptfcpTimes-Roman" w:ascii="BgnmpwWptfcpTimes-Roman" w:hAnsi="BgnmpwWptfcpTimes-Roman"/>
          <w:sz w:val="20"/>
          <w:szCs w:val="20"/>
        </w:rPr>
        <w:t>Taking into account the association of the former with quantum theoretical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spectral “event horizons” at the “statu-nascendi” level, it becomes transparent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“modular gluing” of these event horizons pertaining to the “present” is precisely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process of quantum entanglement. In this manner, the “holographic cohesive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boundary” adjoined to 3-d space at “present” by this “modular gluing” constitutes</w:t>
      </w:r>
    </w:p>
    <w:p>
      <w:pPr>
        <w:pStyle w:val="Normal"/>
        <w:spacing w:before="0" w:after="0"/>
        <w:contextualSpacing/>
        <w:rPr/>
      </w:pPr>
      <w:r>
        <w:rPr>
          <w:rFonts w:eastAsia="Calibri" w:cs="BgnmpwWptfcpTimes-Roman" w:ascii="BgnmpwWptfcpTimes-Roman" w:hAnsi="BgnmpwWptfcpTimes-Roman"/>
          <w:sz w:val="20"/>
          <w:szCs w:val="20"/>
        </w:rPr>
        <w:t xml:space="preserve">the </w:t>
      </w:r>
      <w:r>
        <w:rPr>
          <w:rFonts w:eastAsia="Calibri" w:cs="KfjnvmNjhlcnTimes-Italic" w:ascii="KfjnvmNjhlcnTimes-Italic" w:hAnsi="KfjnvmNjhlcnTimes-Italic"/>
          <w:i/>
          <w:iCs/>
          <w:sz w:val="20"/>
          <w:szCs w:val="20"/>
        </w:rPr>
        <w:t xml:space="preserve">topological manifestation </w:t>
      </w:r>
      <w:r>
        <w:rPr>
          <w:rFonts w:eastAsia="Calibri" w:cs="BgnmpwWptfcpTimes-Roman" w:ascii="BgnmpwWptfcpTimes-Roman" w:hAnsi="BgnmpwWptfcpTimes-Roman"/>
          <w:sz w:val="20"/>
          <w:szCs w:val="20"/>
        </w:rPr>
        <w:t>of quantum entanglement.</w:t>
      </w:r>
      <w:r>
        <w:rPr>
          <w:rFonts w:eastAsia="Calibri" w:cs="KfjnvmNjhlcnTimes-Italic" w:ascii="KfjnvmNjhlcnTimes-Italic" w:hAnsi="KfjnvmNjhlcnTimes-Italic"/>
          <w:i/>
          <w:iCs/>
          <w:sz w:val="20"/>
          <w:szCs w:val="20"/>
        </w:rPr>
        <w:t xml:space="preserv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Put equivalently, from an inverse viewpoint, quantum entanglement is the</w:t>
      </w:r>
    </w:p>
    <w:p>
      <w:pPr>
        <w:pStyle w:val="Normal"/>
        <w:spacing w:before="0" w:after="0"/>
        <w:contextualSpacing/>
        <w:jc w:val="left"/>
        <w:rPr/>
      </w:pPr>
      <w:r>
        <w:rPr>
          <w:rFonts w:eastAsia="Calibri" w:cs="BgnmpwWptfcpTimes-Roman" w:ascii="BgnmpwWptfcpTimes-Roman" w:hAnsi="BgnmpwWptfcpTimes-Roman"/>
          <w:sz w:val="20"/>
          <w:szCs w:val="20"/>
        </w:rPr>
        <w:t xml:space="preserve">expression of </w:t>
      </w:r>
      <w:r>
        <w:rPr>
          <w:rFonts w:eastAsia="Calibri" w:cs="KfjnvmNjhlcnTimes-Italic" w:ascii="KfjnvmNjhlcnTimes-Italic" w:hAnsi="KfjnvmNjhlcnTimes-Italic"/>
          <w:i/>
          <w:iCs/>
          <w:sz w:val="20"/>
          <w:szCs w:val="20"/>
        </w:rPr>
        <w:t xml:space="preserve">modular amalgamation with and with respect to the “present” </w:t>
      </w:r>
      <w:r>
        <w:rPr>
          <w:rFonts w:eastAsia="Calibri" w:cs="BgnmpwWptfcpTimes-Roman" w:ascii="BgnmpwWptfcpTimes-Roman" w:hAnsi="BgnmpwWptfcpTimes-Roman"/>
          <w:sz w:val="20"/>
          <w:szCs w:val="20"/>
        </w:rPr>
        <w:t>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two “relationally conjugate event horizons” (in the “time-space of the present”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independently of any metrical proximity) in the form of a “holographic boundary”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adjoined to 3-d space at “present.” The crucial point here is that this “holographic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boundary” can function as a “higher connectivity interface” between the “past”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“future” with respect to their modular relation to the “present,” if and only</w:t>
      </w:r>
    </w:p>
    <w:p>
      <w:pPr>
        <w:pStyle w:val="Normal"/>
        <w:spacing w:before="0" w:after="0"/>
        <w:contextualSpacing/>
        <w:jc w:val="left"/>
        <w:rPr/>
      </w:pPr>
      <w:r>
        <w:rPr>
          <w:rFonts w:eastAsia="Calibri" w:cs="BgnmpwWptfcpTimes-Roman" w:ascii="BgnmpwWptfcpTimes-Roman" w:hAnsi="BgnmpwWptfcpTimes-Roman"/>
          <w:sz w:val="20"/>
          <w:szCs w:val="20"/>
        </w:rPr>
        <w:t xml:space="preserve">if it is </w:t>
      </w:r>
      <w:r>
        <w:rPr>
          <w:rFonts w:eastAsia="Calibri" w:cs="KfjnvmNjhlcnTimes-Italic" w:ascii="KfjnvmNjhlcnTimes-Italic" w:hAnsi="KfjnvmNjhlcnTimes-Italic"/>
          <w:i/>
          <w:iCs/>
          <w:sz w:val="20"/>
          <w:szCs w:val="20"/>
        </w:rPr>
        <w:t>oriented</w:t>
      </w:r>
      <w:r>
        <w:rPr>
          <w:rFonts w:eastAsia="Calibri" w:cs="BgnmpwWptfcpTimes-Roman" w:ascii="BgnmpwWptfcpTimes-Roman" w:hAnsi="BgnmpwWptfcpTimes-Roman"/>
          <w:sz w:val="20"/>
          <w:szCs w:val="20"/>
        </w:rPr>
        <w:t>. It is precisely the orientation on the so demarcated “imaginary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boundary surface at present,” adjoined to 3-d space, that makes it a “temporally</w:t>
      </w:r>
    </w:p>
    <w:p>
      <w:pPr>
        <w:pStyle w:val="Normal"/>
        <w:spacing w:before="0" w:after="0"/>
        <w:contextualSpacing/>
        <w:rPr/>
      </w:pPr>
      <w:r>
        <w:rPr>
          <w:rFonts w:eastAsia="Calibri" w:cs="BgnmpwWptfcpTimes-Roman" w:ascii="BgnmpwWptfcpTimes-Roman" w:hAnsi="BgnmpwWptfcpTimes-Roman"/>
          <w:sz w:val="20"/>
          <w:szCs w:val="20"/>
        </w:rPr>
        <w:t>synectic boundary” or a “holographic boundary of cohesion” between the “past” and the “future” in their “modular gluing” capacity to the “present.”</w:t>
      </w:r>
      <w:r>
        <w:rPr>
          <w:rFonts w:eastAsia="Calibri" w:cs="KfjnvmNjhlcnTimes-Italic" w:ascii="KfjnvmNjhlcnTimes-Italic" w:hAnsi="KfjnvmNjhlcnTimes-Italic"/>
          <w:i/>
          <w:iCs/>
          <w:sz w:val="20"/>
          <w:szCs w:val="20"/>
        </w:rPr>
        <w:t xml:space="preserve"> (26-27)</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major objective of grasping conceptually this correspondence is not only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demonstrate the potency of the implications associated with the notion of a “genuine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unfolding temporal dimension” understood autogenetically, but also to pave the way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 applying this framework to a novel theory of thinking, in particular, to a novel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approach to “decision making.” For this reason, it is worth attempting to transfer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these notions metaphorically in the field of “decision making” taking place at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time-space of 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conceptual grasp of the autogenetic notion of a “genuine temporal unfolding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dimension” via the algebraic-topological theory of “covering schemes,” together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the crystallization of the idea that a “spirally or helically unfolding temporal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dimension” in the “time-space of the present” always gives rise, either, to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epiphenomenal spatialized-time imaginary dimension at the metrical level, or,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arsenal of non-simultaneously applicable contextual imaginary dimensions at</w:t>
      </w:r>
    </w:p>
    <w:p>
      <w:pPr>
        <w:pStyle w:val="Normal"/>
        <w:spacing w:before="0" w:after="0"/>
        <w:contextualSpacing/>
        <w:jc w:val="left"/>
        <w:rPr/>
      </w:pPr>
      <w:r>
        <w:rPr>
          <w:rFonts w:eastAsia="Calibri" w:cs="BgnmpwWptfcpTimes-Roman" w:ascii="BgnmpwWptfcpTimes-Roman" w:hAnsi="BgnmpwWptfcpTimes-Roman"/>
          <w:sz w:val="20"/>
          <w:szCs w:val="20"/>
        </w:rPr>
        <w:t xml:space="preserve">the non-metrical level, provides an </w:t>
      </w:r>
      <w:r>
        <w:rPr>
          <w:rFonts w:eastAsia="Calibri" w:cs="KfjnvmNjhlcnTimes-Italic" w:ascii="KfjnvmNjhlcnTimes-Italic" w:hAnsi="KfjnvmNjhlcnTimes-Italic"/>
          <w:i/>
          <w:iCs/>
          <w:sz w:val="20"/>
          <w:szCs w:val="20"/>
        </w:rPr>
        <w:t xml:space="preserve">optimal starting point </w:t>
      </w:r>
      <w:r>
        <w:rPr>
          <w:rFonts w:eastAsia="Calibri" w:cs="BgnmpwWptfcpTimes-Roman" w:ascii="BgnmpwWptfcpTimes-Roman" w:hAnsi="BgnmpwWptfcpTimes-Roman"/>
          <w:sz w:val="20"/>
          <w:szCs w:val="20"/>
        </w:rPr>
        <w:t>for this application.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abstraction required to perform the metaphor properly is based, on the one hand,</w:t>
      </w:r>
    </w:p>
    <w:p>
      <w:pPr>
        <w:pStyle w:val="Normal"/>
        <w:spacing w:before="0" w:after="0"/>
        <w:contextualSpacing/>
        <w:jc w:val="left"/>
        <w:rPr/>
      </w:pPr>
      <w:r>
        <w:rPr>
          <w:rFonts w:eastAsia="Calibri" w:cs="BgnmpwWptfcpTimes-Roman" w:ascii="BgnmpwWptfcpTimes-Roman" w:hAnsi="BgnmpwWptfcpTimes-Roman"/>
          <w:sz w:val="20"/>
          <w:szCs w:val="20"/>
        </w:rPr>
        <w:t xml:space="preserve">in the preservation of the distinction among the </w:t>
      </w:r>
      <w:r>
        <w:rPr>
          <w:rFonts w:eastAsia="Calibri" w:cs="KfjnvmNjhlcnTimes-Italic" w:ascii="KfjnvmNjhlcnTimes-Italic" w:hAnsi="KfjnvmNjhlcnTimes-Italic"/>
          <w:i/>
          <w:iCs/>
          <w:sz w:val="20"/>
          <w:szCs w:val="20"/>
        </w:rPr>
        <w:t>three chrono-ontological formats</w:t>
      </w:r>
    </w:p>
    <w:p>
      <w:pPr>
        <w:pStyle w:val="Normal"/>
        <w:spacing w:before="0" w:after="0"/>
        <w:contextualSpacing/>
        <w:jc w:val="left"/>
        <w:rPr/>
      </w:pPr>
      <w:r>
        <w:rPr>
          <w:rFonts w:eastAsia="Calibri" w:cs="KfjnvmNjhlcnTimes-Italic" w:ascii="KfjnvmNjhlcnTimes-Italic" w:hAnsi="KfjnvmNjhlcnTimes-Italic"/>
          <w:i/>
          <w:iCs/>
          <w:sz w:val="20"/>
          <w:szCs w:val="20"/>
        </w:rPr>
        <w:t>of reality</w:t>
      </w:r>
      <w:r>
        <w:rPr>
          <w:rFonts w:eastAsia="Calibri" w:cs="BgnmpwWptfcpTimes-Roman" w:ascii="BgnmpwWptfcpTimes-Roman" w:hAnsi="BgnmpwWptfcpTimes-Roman"/>
          <w:sz w:val="20"/>
          <w:szCs w:val="20"/>
        </w:rPr>
        <w:t>, and on the other hand, in the appropriate utilization of the notion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“imaginary dimension” metrically or non-metrically, i.e. as a means of getting</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adjoined to 3-d space and induce observable effects at the epiphenomenal level.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the course of this problematics, we realize that the “backbones”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crucial ideas pertaining to SR, GR, and QG (quantum gravity), from the unifying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autogenetic perspective of a “genuine temporal unfolding dimension,” refer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particular constraints imposed on “imaginary dimensions” at the “time-space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present.” In the first two cases, the constraints are of a metrical kind, whereas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latter case, the constraint is of a topological kind that forces the necessity of</w:t>
      </w:r>
    </w:p>
    <w:p>
      <w:pPr>
        <w:pStyle w:val="Normal"/>
        <w:spacing w:before="0" w:after="0"/>
        <w:contextualSpacing/>
        <w:jc w:val="left"/>
        <w:rPr/>
      </w:pPr>
      <w:r>
        <w:rPr>
          <w:rFonts w:eastAsia="Calibri" w:cs="BgnmpwWptfcpTimes-Roman" w:ascii="BgnmpwWptfcpTimes-Roman" w:hAnsi="BgnmpwWptfcpTimes-Roman"/>
          <w:sz w:val="20"/>
          <w:szCs w:val="20"/>
        </w:rPr>
        <w:t xml:space="preserve">quantization. To be more precise, the important idea is always to consider </w:t>
      </w:r>
      <w:r>
        <w:rPr>
          <w:rFonts w:eastAsia="Calibri" w:cs="KfjnvmNjhlcnTimes-Italic" w:ascii="KfjnvmNjhlcnTimes-Italic" w:hAnsi="KfjnvmNjhlcnTimes-Italic"/>
          <w:i/>
          <w:iCs/>
          <w:sz w:val="20"/>
          <w:szCs w:val="20"/>
        </w:rPr>
        <w:t>a crosssectional</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projection of a “spirally or helically unfolding temporal dimension” in the</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w:t>
      </w:r>
      <w:r>
        <w:rPr>
          <w:rFonts w:eastAsia="Calibri" w:cs="KfjnvmNjhlcnTimes-Italic" w:ascii="KfjnvmNjhlcnTimes-Italic" w:hAnsi="KfjnvmNjhlcnTimes-Italic"/>
          <w:i/>
          <w:iCs/>
          <w:sz w:val="20"/>
          <w:szCs w:val="20"/>
        </w:rPr>
        <w:t>time-space of the present,” according to a metrical constraint (being constant as in</w:t>
      </w:r>
    </w:p>
    <w:p>
      <w:pPr>
        <w:pStyle w:val="Normal"/>
        <w:spacing w:before="0" w:after="0"/>
        <w:contextualSpacing/>
        <w:jc w:val="left"/>
        <w:rPr/>
      </w:pPr>
      <w:r>
        <w:rPr>
          <w:rFonts w:eastAsia="Calibri" w:cs="KfjnvmNjhlcnTimes-Italic" w:ascii="KfjnvmNjhlcnTimes-Italic" w:hAnsi="KfjnvmNjhlcnTimes-Italic"/>
          <w:i/>
          <w:iCs/>
          <w:sz w:val="20"/>
          <w:szCs w:val="20"/>
        </w:rPr>
        <w:t>SR or variable as in GR) or a topological constraint</w:t>
      </w:r>
      <w:r>
        <w:rPr>
          <w:rFonts w:eastAsia="Calibri" w:cs="BgnmpwWptfcpTimes-Roman" w:ascii="BgnmpwWptfcpTimes-Roman" w:hAnsi="BgnmpwWptfcpTimes-Roman"/>
          <w:sz w:val="20"/>
          <w:szCs w:val="20"/>
        </w:rPr>
        <w:t xml:space="preserve">. Then, </w:t>
      </w:r>
      <w:r>
        <w:rPr>
          <w:rFonts w:eastAsia="Calibri" w:cs="KfjnvmNjhlcnTimes-Italic" w:ascii="KfjnvmNjhlcnTimes-Italic" w:hAnsi="KfjnvmNjhlcnTimes-Italic"/>
          <w:i/>
          <w:iCs/>
          <w:sz w:val="20"/>
          <w:szCs w:val="20"/>
        </w:rPr>
        <w:t>this constraint induces</w:t>
      </w:r>
      <w:r>
        <w:rPr>
          <w:rFonts w:eastAsia="Calibri" w:cs="BgnmpwWptfcpTimes-Roman" w:ascii="BgnmpwWptfcpTimes-Roman" w:hAnsi="BgnmpwWptfcpTimes-Roman"/>
          <w:sz w:val="20"/>
          <w:szCs w:val="20"/>
        </w:rPr>
        <w:t xml:space="preserve"> meaning is conveyed to the notion of “change of time” with respect to the “timespace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present.” This notion of “change of time” is fundamental, because it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pertains to the connectivity between the “past” and the “future” from the standpoint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“present.” What has been shown using the notion of applicable “imaginary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dimensions” arising through the pertinent constraints are the following:</w:t>
      </w:r>
    </w:p>
    <w:p>
      <w:pPr>
        <w:pStyle w:val="Normal"/>
        <w:spacing w:before="0" w:after="0"/>
        <w:contextualSpacing/>
        <w:jc w:val="left"/>
        <w:rPr/>
      </w:pPr>
      <w:r>
        <w:rPr>
          <w:rFonts w:eastAsia="Calibri" w:cs="BgnmpwWptfcpTimes-Roman" w:ascii="BgnmpwWptfcpTimes-Roman" w:hAnsi="BgnmpwWptfcpTimes-Roman"/>
          <w:sz w:val="20"/>
          <w:szCs w:val="20"/>
        </w:rPr>
        <w:t>(</w:t>
      </w:r>
      <w:r>
        <w:rPr>
          <w:rFonts w:eastAsia="StcqctClkprsMTMI" w:cs="StcqctClkprsMTMI" w:ascii="StcqctClkprsMTMI" w:hAnsi="StcqctClkprsMTMI"/>
          <w:i/>
          <w:iCs/>
          <w:sz w:val="20"/>
          <w:szCs w:val="20"/>
        </w:rPr>
        <w:t>α</w:t>
      </w:r>
      <w:r>
        <w:rPr>
          <w:rFonts w:eastAsia="Calibri" w:cs="BgnmpwWptfcpTimes-Roman" w:ascii="BgnmpwWptfcpTimes-Roman" w:hAnsi="BgnmpwWptfcpTimes-Roman"/>
          <w:sz w:val="20"/>
          <w:szCs w:val="20"/>
        </w:rPr>
        <w:t>) “Change of time” in SR amounts to “change of phase,” and this is the same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 both the “past” and the “future” differing only in orientation with respect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the rooting at a point-event in the present. At the epiphenomenal spatialized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level this induces the non-trivial observable effect of “length contraction” in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direction of motion;</w:t>
      </w:r>
    </w:p>
    <w:p>
      <w:pPr>
        <w:pStyle w:val="Normal"/>
        <w:spacing w:before="0" w:after="0"/>
        <w:contextualSpacing/>
        <w:jc w:val="left"/>
        <w:rPr/>
      </w:pPr>
      <w:r>
        <w:rPr>
          <w:rFonts w:eastAsia="Calibri" w:cs="BgnmpwWptfcpTimes-Roman" w:ascii="BgnmpwWptfcpTimes-Roman" w:hAnsi="BgnmpwWptfcpTimes-Roman"/>
          <w:sz w:val="20"/>
          <w:szCs w:val="20"/>
        </w:rPr>
        <w:t>(</w:t>
      </w:r>
      <w:r>
        <w:rPr>
          <w:rFonts w:eastAsia="StcqctClkprsMTMI" w:cs="StcqctClkprsMTMI" w:ascii="StcqctClkprsMTMI" w:hAnsi="StcqctClkprsMTMI"/>
          <w:i/>
          <w:iCs/>
          <w:sz w:val="20"/>
          <w:szCs w:val="20"/>
        </w:rPr>
        <w:t>β</w:t>
      </w:r>
      <w:r>
        <w:rPr>
          <w:rFonts w:eastAsia="Calibri" w:cs="BgnmpwWptfcpTimes-Roman" w:ascii="BgnmpwWptfcpTimes-Roman" w:hAnsi="BgnmpwWptfcpTimes-Roman"/>
          <w:sz w:val="20"/>
          <w:szCs w:val="20"/>
        </w:rPr>
        <w:t>) “Change of time” in GR amounts to “change of phase,” but the rate of change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is not the same for both the “past” and the “future.” Equivalently, “past”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future” are not differing only in orientation with respect to the rooting 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point-event in the present, but they also differ in “relative phase.” At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epiphenomenal spatialized level this induces the non-trivial observable effect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“local metric curvature” associated with some “matter source,” and thus,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geometrizes the effect of gravity;</w:t>
      </w:r>
    </w:p>
    <w:p>
      <w:pPr>
        <w:pStyle w:val="Normal"/>
        <w:spacing w:before="0" w:after="0"/>
        <w:contextualSpacing/>
        <w:jc w:val="left"/>
        <w:rPr/>
      </w:pPr>
      <w:r>
        <w:rPr>
          <w:rFonts w:eastAsia="Calibri" w:cs="BgnmpwWptfcpTimes-Roman" w:ascii="BgnmpwWptfcpTimes-Roman" w:hAnsi="BgnmpwWptfcpTimes-Roman"/>
          <w:sz w:val="20"/>
          <w:szCs w:val="20"/>
        </w:rPr>
        <w:t>(</w:t>
      </w:r>
      <w:r>
        <w:rPr>
          <w:rFonts w:eastAsia="StcqctClkprsMTMI" w:cs="StcqctClkprsMTMI" w:ascii="StcqctClkprsMTMI" w:hAnsi="StcqctClkprsMTMI"/>
          <w:i/>
          <w:iCs/>
          <w:sz w:val="20"/>
          <w:szCs w:val="20"/>
        </w:rPr>
        <w:t xml:space="preserve">γ </w:t>
      </w:r>
      <w:r>
        <w:rPr>
          <w:rFonts w:eastAsia="Calibri" w:cs="BgnmpwWptfcpTimes-Roman" w:ascii="BgnmpwWptfcpTimes-Roman" w:hAnsi="BgnmpwWptfcpTimes-Roman"/>
          <w:sz w:val="20"/>
          <w:szCs w:val="20"/>
        </w:rPr>
        <w:t>) “Change of time” in QG does not amount to “change of phase” with respect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single imaginary dimension, but amounts to “change of circle” with respect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two complementary imaginary dimensions in connection with 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This is the case because the “past” and the “future” do not differ merely by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change in the rate of unfolding, which can be realized as a relative phase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difference within the same “imaginary dimension,” but require “relationally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conjugate contextual imaginary dimensions” in the “time-space of 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this case, due to the capacity of “multiple-connectivity” between the “past”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the “future” with respect to the “present,” “change of time” amounts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“synectic circle change” instantiated by the novel conceptualized process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modular gluing” with and with respect to the “present.” At the epiphenomenal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spatialized level, this induces the non-trivial observable effect of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entanglement” taking place at a “holographic boundary of cohesion” adjoined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3-d space at “present.” From then on, in order to distinguish the metrical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topological semantics of an “imaginary dimension” we will refer to</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the QG-type of “change of time” as a “synectic cycle change.”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aim of recapitulating the above differences among SR, GR, and QG, from</w:t>
      </w:r>
    </w:p>
    <w:p>
      <w:pPr>
        <w:pStyle w:val="Normal"/>
        <w:spacing w:before="0" w:after="0"/>
        <w:contextualSpacing/>
        <w:jc w:val="left"/>
        <w:rPr/>
      </w:pPr>
      <w:r>
        <w:rPr>
          <w:rFonts w:eastAsia="Calibri" w:cs="BgnmpwWptfcpTimes-Roman" w:ascii="BgnmpwWptfcpTimes-Roman" w:hAnsi="BgnmpwWptfcpTimes-Roman"/>
          <w:sz w:val="20"/>
          <w:szCs w:val="20"/>
        </w:rPr>
        <w:t xml:space="preserve">the unifying perspective pertaining to the </w:t>
      </w:r>
      <w:r>
        <w:rPr>
          <w:rFonts w:eastAsia="Calibri" w:cs="KfjnvmNjhlcnTimes-Italic" w:ascii="KfjnvmNjhlcnTimes-Italic" w:hAnsi="KfjnvmNjhlcnTimes-Italic"/>
          <w:i/>
          <w:iCs/>
          <w:sz w:val="20"/>
          <w:szCs w:val="20"/>
        </w:rPr>
        <w:t>distinctive applied notions of “change of</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time” via the adjunction of “imaginary dimensions” to 3-d space at the “time-space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of the present” </w:t>
      </w:r>
      <w:r>
        <w:rPr>
          <w:rFonts w:eastAsia="Calibri" w:cs="BgnmpwWptfcpTimes-Roman" w:ascii="BgnmpwWptfcpTimes-Roman" w:hAnsi="BgnmpwWptfcpTimes-Roman"/>
          <w:sz w:val="20"/>
          <w:szCs w:val="20"/>
        </w:rPr>
        <w:t>is the underlying realization that these notions can be transferred</w:t>
      </w:r>
    </w:p>
    <w:p>
      <w:pPr>
        <w:pStyle w:val="Normal"/>
        <w:spacing w:before="0" w:after="0"/>
        <w:contextualSpacing/>
        <w:jc w:val="left"/>
        <w:rPr/>
      </w:pPr>
      <w:r>
        <w:rPr>
          <w:rFonts w:eastAsia="Calibri" w:cs="BgnmpwWptfcpTimes-Roman" w:ascii="BgnmpwWptfcpTimes-Roman" w:hAnsi="BgnmpwWptfcpTimes-Roman"/>
          <w:sz w:val="20"/>
          <w:szCs w:val="20"/>
        </w:rPr>
        <w:t xml:space="preserve">outside the strict technical contexts of these theories by </w:t>
      </w:r>
      <w:r>
        <w:rPr>
          <w:rFonts w:eastAsia="Calibri" w:cs="KfjnvmNjhlcnTimes-Italic" w:ascii="KfjnvmNjhlcnTimes-Italic" w:hAnsi="KfjnvmNjhlcnTimes-Italic"/>
          <w:i/>
          <w:iCs/>
          <w:sz w:val="20"/>
          <w:szCs w:val="20"/>
        </w:rPr>
        <w:t>abstracting the content of</w:t>
      </w:r>
    </w:p>
    <w:p>
      <w:pPr>
        <w:pStyle w:val="Normal"/>
        <w:spacing w:before="0" w:after="0"/>
        <w:contextualSpacing/>
        <w:rPr/>
      </w:pPr>
      <w:r>
        <w:rPr>
          <w:rFonts w:eastAsia="Calibri" w:cs="KfjnvmNjhlcnTimes-Italic" w:ascii="KfjnvmNjhlcnTimes-Italic" w:hAnsi="KfjnvmNjhlcnTimes-Italic"/>
          <w:i/>
          <w:iCs/>
          <w:sz w:val="20"/>
          <w:szCs w:val="20"/>
        </w:rPr>
        <w:t>the relevant constraints</w:t>
      </w:r>
      <w:r>
        <w:rPr>
          <w:rFonts w:eastAsia="Calibri" w:cs="BgnmpwWptfcpTimes-Roman" w:ascii="BgnmpwWptfcpTimes-Roman" w:hAnsi="BgnmpwWptfcpTimes-Roman"/>
          <w:sz w:val="20"/>
          <w:szCs w:val="20"/>
        </w:rPr>
        <w:t>. (27-28)</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autogenetic perspective,</w:t>
      </w:r>
    </w:p>
    <w:p>
      <w:pPr>
        <w:pStyle w:val="Normal"/>
        <w:spacing w:before="0" w:after="0"/>
        <w:contextualSpacing/>
        <w:jc w:val="left"/>
        <w:rPr/>
      </w:pPr>
      <w:r>
        <w:rPr>
          <w:rFonts w:eastAsia="Calibri" w:cs="BgnmpwWptfcpTimes-Roman" w:ascii="BgnmpwWptfcpTimes-Roman" w:hAnsi="BgnmpwWptfcpTimes-Roman"/>
          <w:sz w:val="20"/>
          <w:szCs w:val="20"/>
        </w:rPr>
        <w:t xml:space="preserve">a “spirally unfolding temporal dimension” may unfold </w:t>
      </w:r>
      <w:r>
        <w:rPr>
          <w:rFonts w:eastAsia="Calibri" w:cs="KfjnvmNjhlcnTimes-Italic" w:ascii="KfjnvmNjhlcnTimes-Italic" w:hAnsi="KfjnvmNjhlcnTimes-Italic"/>
          <w:i/>
          <w:iCs/>
          <w:sz w:val="20"/>
          <w:szCs w:val="20"/>
        </w:rPr>
        <w:t>outwards, inwards, and</w:t>
      </w:r>
    </w:p>
    <w:p>
      <w:pPr>
        <w:pStyle w:val="Normal"/>
        <w:spacing w:before="0" w:after="0"/>
        <w:contextualSpacing/>
        <w:jc w:val="left"/>
        <w:rPr/>
      </w:pPr>
      <w:r>
        <w:rPr>
          <w:rFonts w:eastAsia="Calibri" w:cs="KfjnvmNjhlcnTimes-Italic" w:ascii="KfjnvmNjhlcnTimes-Italic" w:hAnsi="KfjnvmNjhlcnTimes-Italic"/>
          <w:i/>
          <w:iCs/>
          <w:sz w:val="20"/>
          <w:szCs w:val="20"/>
        </w:rPr>
        <w:t>multi-directionally</w:t>
      </w:r>
      <w:r>
        <w:rPr>
          <w:rFonts w:eastAsia="Calibri" w:cs="BgnmpwWptfcpTimes-Roman" w:ascii="BgnmpwWptfcpTimes-Roman" w:hAnsi="BgnmpwWptfcpTimes-Roman"/>
          <w:sz w:val="20"/>
          <w:szCs w:val="20"/>
        </w:rPr>
        <w:t xml:space="preserve">.Most important, it can be </w:t>
      </w:r>
      <w:r>
        <w:rPr>
          <w:rFonts w:eastAsia="Calibri" w:cs="KfjnvmNjhlcnTimes-Italic" w:ascii="KfjnvmNjhlcnTimes-Italic" w:hAnsi="KfjnvmNjhlcnTimes-Italic"/>
          <w:i/>
          <w:iCs/>
          <w:sz w:val="20"/>
          <w:szCs w:val="20"/>
        </w:rPr>
        <w:t xml:space="preserve">subdivided </w:t>
      </w:r>
      <w:r>
        <w:rPr>
          <w:rFonts w:eastAsia="Calibri" w:cs="BgnmpwWptfcpTimes-Roman" w:ascii="BgnmpwWptfcpTimes-Roman" w:hAnsi="BgnmpwWptfcpTimes-Roman"/>
          <w:sz w:val="20"/>
          <w:szCs w:val="20"/>
        </w:rPr>
        <w:t>according to the “synthetic</w:t>
      </w:r>
    </w:p>
    <w:p>
      <w:pPr>
        <w:pStyle w:val="Normal"/>
        <w:spacing w:before="0" w:after="0"/>
        <w:contextualSpacing/>
        <w:jc w:val="left"/>
        <w:rPr/>
      </w:pPr>
      <w:r>
        <w:rPr>
          <w:rFonts w:eastAsia="Calibri" w:cs="BgnmpwWptfcpTimes-Roman" w:ascii="BgnmpwWptfcpTimes-Roman" w:hAnsi="BgnmpwWptfcpTimes-Roman"/>
          <w:sz w:val="20"/>
          <w:szCs w:val="20"/>
        </w:rPr>
        <w:t xml:space="preserve">unit” established by the formation of a “temporal bond” </w:t>
      </w:r>
      <w:r>
        <w:rPr>
          <w:rFonts w:eastAsia="Calibri" w:cs="KfjnvmNjhlcnTimes-Italic" w:ascii="KfjnvmNjhlcnTimes-Italic" w:hAnsi="KfjnvmNjhlcnTimes-Italic"/>
          <w:i/>
          <w:iCs/>
          <w:sz w:val="20"/>
          <w:szCs w:val="20"/>
        </w:rPr>
        <w:t xml:space="preserve">modulo </w:t>
      </w:r>
      <w:r>
        <w:rPr>
          <w:rFonts w:eastAsia="Calibri" w:cs="BgnmpwWptfcpTimes-Roman" w:ascii="BgnmpwWptfcpTimes-Roman" w:hAnsi="BgnmpwWptfcpTimes-Roman"/>
          <w:sz w:val="20"/>
          <w:szCs w:val="20"/>
        </w:rPr>
        <w:t>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Thus, the subdivision property, considered together with the quality of “relative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primeness” with respect to the “present,” characterizing seeds from the “past”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“the future” entering into a “temporal bond,” leads to the conclusion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spectral distinguishability relativized with respect to the pertinent “present” takes</w:t>
      </w:r>
    </w:p>
    <w:p>
      <w:pPr>
        <w:pStyle w:val="Normal"/>
        <w:spacing w:before="0" w:after="0"/>
        <w:contextualSpacing/>
        <w:jc w:val="left"/>
        <w:rPr/>
      </w:pPr>
      <w:r>
        <w:rPr>
          <w:rFonts w:eastAsia="Calibri" w:cs="BgnmpwWptfcpTimes-Roman" w:ascii="BgnmpwWptfcpTimes-Roman" w:hAnsi="BgnmpwWptfcpTimes-Roman"/>
          <w:sz w:val="20"/>
          <w:szCs w:val="20"/>
        </w:rPr>
        <w:t xml:space="preserve">place in the fashion of modular integer algebra, i.e. by the </w:t>
      </w:r>
      <w:r>
        <w:rPr>
          <w:rFonts w:eastAsia="Calibri" w:cs="KfjnvmNjhlcnTimes-Italic" w:ascii="KfjnvmNjhlcnTimes-Italic" w:hAnsi="KfjnvmNjhlcnTimes-Italic"/>
          <w:i/>
          <w:iCs/>
          <w:sz w:val="20"/>
          <w:szCs w:val="20"/>
        </w:rPr>
        <w:t>residue modular system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determined by “relative primeness” with respect to the “present” playing the role of</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“modulus.” (31)</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Is there any way to visualize these relations at the epiphenomenal spatial level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referring to the “present”? For this purpose, we remind that we have to utilize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device of “imaginary dimensions.” More precisely, we have to consider some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seed from the “past” and some seed in the “future” (in their capacity to enter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into a “temporal bond” at “present”) in their respective contexts of two nonsimultaneously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applicable “imaginary dimensions” adjoined non-metrically to 3-d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space. In this manner, a seed from the “past” with a seed in the “future” entering into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“temporal bond” at present, and thus being “relationally conjugate with respect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each other” due to “relative primeness” at “present,” can be visualized in terms</w:t>
      </w:r>
    </w:p>
    <w:p>
      <w:pPr>
        <w:pStyle w:val="Normal"/>
        <w:spacing w:before="0" w:after="0"/>
        <w:contextualSpacing/>
        <w:jc w:val="left"/>
        <w:rPr/>
      </w:pPr>
      <w:r>
        <w:rPr>
          <w:rFonts w:eastAsia="Calibri" w:cs="BgnmpwWptfcpTimes-Roman" w:ascii="BgnmpwWptfcpTimes-Roman" w:hAnsi="BgnmpwWptfcpTimes-Roman"/>
          <w:sz w:val="20"/>
          <w:szCs w:val="20"/>
        </w:rPr>
        <w:t xml:space="preserve">of the corresponding “contextual imaginary dimensions” being </w:t>
      </w:r>
      <w:r>
        <w:rPr>
          <w:rFonts w:eastAsia="Calibri" w:cs="KfjnvmNjhlcnTimes-Italic" w:ascii="KfjnvmNjhlcnTimes-Italic" w:hAnsi="KfjnvmNjhlcnTimes-Italic"/>
          <w:i/>
          <w:iCs/>
          <w:sz w:val="20"/>
          <w:szCs w:val="20"/>
        </w:rPr>
        <w:t>transverse</w:t>
      </w:r>
      <w:r>
        <w:rPr>
          <w:rFonts w:eastAsia="Calibri" w:cs="BgnmpwWptfcpTimes-Roman" w:ascii="BgnmpwWptfcpTimes-Roman" w:hAnsi="BgnmpwWptfcpTimes-Roman"/>
          <w:sz w:val="20"/>
          <w:szCs w:val="20"/>
        </w:rPr>
        <w:t>, and</w:t>
      </w:r>
    </w:p>
    <w:p>
      <w:pPr>
        <w:pStyle w:val="Normal"/>
        <w:spacing w:before="0" w:after="0"/>
        <w:contextualSpacing/>
        <w:jc w:val="left"/>
        <w:rPr/>
      </w:pPr>
      <w:r>
        <w:rPr>
          <w:rFonts w:eastAsia="Calibri" w:cs="BgnmpwWptfcpTimes-Roman" w:ascii="BgnmpwWptfcpTimes-Roman" w:hAnsi="BgnmpwWptfcpTimes-Roman"/>
          <w:sz w:val="20"/>
          <w:szCs w:val="20"/>
        </w:rPr>
        <w:t xml:space="preserve">thus </w:t>
      </w:r>
      <w:r>
        <w:rPr>
          <w:rFonts w:eastAsia="Calibri" w:cs="KfjnvmNjhlcnTimes-Italic" w:ascii="KfjnvmNjhlcnTimes-Italic" w:hAnsi="KfjnvmNjhlcnTimes-Italic"/>
          <w:i/>
          <w:iCs/>
          <w:sz w:val="20"/>
          <w:szCs w:val="20"/>
        </w:rPr>
        <w:t xml:space="preserve">complementary </w:t>
      </w:r>
      <w:r>
        <w:rPr>
          <w:rFonts w:eastAsia="Calibri" w:cs="BgnmpwWptfcpTimes-Roman" w:ascii="BgnmpwWptfcpTimes-Roman" w:hAnsi="BgnmpwWptfcpTimes-Roman"/>
          <w:sz w:val="20"/>
          <w:szCs w:val="20"/>
        </w:rPr>
        <w:t>at “present.” Then, their “modular gluing” with respect to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present,” upon establishment of the “temporal bond,” gives rise to a “holographic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boundary” adjoined to 3-d space at “present.” This “temporal synectic boundary”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cohesion of the “past” with the “future” at “present” demarcates the “imaginary</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oriented surface of cohesion” of those “contextual imaginary dimensions.” (32)</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What is required for understanding more deeply this “holographic boundary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cohesion” is to describe and visualize the action of “eliciting seeds” from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past” and the “future” at “present” in view of their power or capacity to enter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into a “temporal bond” in the “time-space of the present.” Since a “temporal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bond” is tantamount to gluing the pertinent “eliciting seeds” from the “past”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“future” in a “modular manner” with and with respect to the “present,”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present” should be thought of as an “Archimedean fulcrum” relative to these seeds,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more precisely, relative to their respective “contextual imaginary dimensions”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“time-space of the present.” It is important to keep in mind that these “contextual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imaginary dimensions” of the “eliciting seeds” from the “past” and the “future”</w:t>
      </w:r>
    </w:p>
    <w:p>
      <w:pPr>
        <w:pStyle w:val="Normal"/>
        <w:spacing w:before="0" w:after="0"/>
        <w:contextualSpacing/>
        <w:rPr/>
      </w:pPr>
      <w:r>
        <w:rPr>
          <w:rFonts w:eastAsia="Calibri" w:cs="BgnmpwWptfcpTimes-Roman" w:ascii="BgnmpwWptfcpTimes-Roman" w:hAnsi="BgnmpwWptfcpTimes-Roman"/>
          <w:sz w:val="20"/>
          <w:szCs w:val="20"/>
        </w:rPr>
        <w:t xml:space="preserve">should be thought </w:t>
      </w:r>
      <w:r>
        <w:rPr>
          <w:rFonts w:eastAsia="Calibri" w:cs="KfjnvmNjhlcnTimes-Italic" w:ascii="KfjnvmNjhlcnTimes-Italic" w:hAnsi="KfjnvmNjhlcnTimes-Italic"/>
          <w:i/>
          <w:iCs/>
          <w:sz w:val="20"/>
          <w:szCs w:val="20"/>
        </w:rPr>
        <w:t xml:space="preserve">topologically </w:t>
      </w:r>
      <w:r>
        <w:rPr>
          <w:rFonts w:eastAsia="Calibri" w:cs="BgnmpwWptfcpTimes-Roman" w:ascii="BgnmpwWptfcpTimes-Roman" w:hAnsi="BgnmpwWptfcpTimes-Roman"/>
          <w:sz w:val="20"/>
          <w:szCs w:val="20"/>
        </w:rPr>
        <w:t xml:space="preserve">as </w:t>
      </w:r>
      <w:r>
        <w:rPr>
          <w:rFonts w:eastAsia="Calibri" w:cs="KfjnvmNjhlcnTimes-Italic" w:ascii="KfjnvmNjhlcnTimes-Italic" w:hAnsi="KfjnvmNjhlcnTimes-Italic"/>
          <w:i/>
          <w:iCs/>
          <w:sz w:val="20"/>
          <w:szCs w:val="20"/>
        </w:rPr>
        <w:t>cycles</w:t>
      </w:r>
      <w:r>
        <w:rPr>
          <w:rFonts w:eastAsia="Calibri" w:cs="BgnmpwWptfcpTimes-Roman" w:ascii="BgnmpwWptfcpTimes-Roman" w:hAnsi="BgnmpwWptfcpTimes-Roman"/>
          <w:sz w:val="20"/>
          <w:szCs w:val="20"/>
        </w:rPr>
        <w:t>. (32)</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rPr/>
      </w:pPr>
      <w:r>
        <w:rPr/>
        <w:drawing>
          <wp:inline distT="0" distB="0" distL="0" distR="0">
            <wp:extent cx="3253740" cy="3215640"/>
            <wp:effectExtent l="0" t="0" r="0" b="0"/>
            <wp:docPr id="34"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descr=""/>
                    <pic:cNvPicPr>
                      <a:picLocks noChangeAspect="1" noChangeArrowheads="1"/>
                    </pic:cNvPicPr>
                  </pic:nvPicPr>
                  <pic:blipFill>
                    <a:blip r:embed="rId442"/>
                    <a:stretch>
                      <a:fillRect/>
                    </a:stretch>
                  </pic:blipFill>
                  <pic:spPr bwMode="auto">
                    <a:xfrm>
                      <a:off x="0" y="0"/>
                      <a:ext cx="3253740" cy="3215640"/>
                    </a:xfrm>
                    <a:prstGeom prst="rect">
                      <a:avLst/>
                    </a:prstGeom>
                  </pic:spPr>
                </pic:pic>
              </a:graphicData>
            </a:graphic>
          </wp:inline>
        </w:drawing>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b/>
          <w:b/>
          <w:color w:val="FF0000"/>
        </w:rPr>
      </w:pPr>
      <w:r>
        <w:rPr>
          <w:rFonts w:eastAsia="Calibri" w:cs="BgnmpwWptfcpTimes-Roman" w:ascii="BgnmpwWptfcpTimes-Roman" w:hAnsi="BgnmpwWptfcpTimes-Roman"/>
          <w:b/>
          <w:color w:val="FF0000"/>
        </w:rPr>
        <w:t>[Some of my EDWs viewed at the same 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Thus, the “imaginary surface of cohesion” at the epiphenomenal spatial level 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equivalent to a torus bearing three punctures (corresponding to the aphaeresis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three disks). This is a surface of genus one playing the role of the “holographic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boundary of cohesion” adjoined to 3-d space in the complement of the three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topologically linked cycles instantiating the “Borromean rings” at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significance of this “imaginary surface of cohesion” caused by a “temporal</w:t>
      </w:r>
    </w:p>
    <w:p>
      <w:pPr>
        <w:pStyle w:val="Normal"/>
        <w:spacing w:before="0" w:after="0"/>
        <w:contextualSpacing/>
        <w:jc w:val="left"/>
        <w:rPr/>
      </w:pPr>
      <w:r>
        <w:rPr>
          <w:rFonts w:eastAsia="Calibri" w:cs="BgnmpwWptfcpTimes-Roman" w:ascii="BgnmpwWptfcpTimes-Roman" w:hAnsi="BgnmpwWptfcpTimes-Roman"/>
          <w:sz w:val="20"/>
          <w:szCs w:val="20"/>
        </w:rPr>
        <w:t xml:space="preserve">bond” is that physically it can be interpreted as a </w:t>
      </w:r>
      <w:r>
        <w:rPr>
          <w:rFonts w:eastAsia="Calibri" w:cs="KfjnvmNjhlcnTimes-Italic" w:ascii="KfjnvmNjhlcnTimes-Italic" w:hAnsi="KfjnvmNjhlcnTimes-Italic"/>
          <w:i/>
          <w:iCs/>
          <w:sz w:val="20"/>
          <w:szCs w:val="20"/>
        </w:rPr>
        <w:t>“global curvature topological</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effect” in analogy to the “local curvature metrical effect” associated with gravity</w:t>
      </w:r>
    </w:p>
    <w:p>
      <w:pPr>
        <w:pStyle w:val="Normal"/>
        <w:spacing w:before="0" w:after="0"/>
        <w:contextualSpacing/>
        <w:jc w:val="left"/>
        <w:rPr/>
      </w:pPr>
      <w:r>
        <w:rPr>
          <w:rFonts w:eastAsia="Calibri" w:cs="KfjnvmNjhlcnTimes-Italic" w:ascii="KfjnvmNjhlcnTimes-Italic" w:hAnsi="KfjnvmNjhlcnTimes-Italic"/>
          <w:i/>
          <w:iCs/>
          <w:sz w:val="20"/>
          <w:szCs w:val="20"/>
        </w:rPr>
        <w:t>due to matter sources in the case of GR</w:t>
      </w:r>
      <w:r>
        <w:rPr>
          <w:rFonts w:eastAsia="Calibri" w:cs="BgnmpwWptfcpTimes-Roman" w:ascii="BgnmpwWptfcpTimes-Roman" w:hAnsi="BgnmpwWptfcpTimes-Roman"/>
          <w:sz w:val="20"/>
          <w:szCs w:val="20"/>
        </w:rPr>
        <w:t>. Not only this, but additionally, this “global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curvature effect” is the “least-action solution” to any physical or strategic problem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requires a “higher connectivity interface” to glue modularly the “past”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“future” at “present.” How can we think of a simple way to visualize at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epiphenomenal spatial level the instantiation of a “temporal bond,” implemented 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“least-action solution,” and giving rise to such a “global curvature effect”? (38)</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4.1 On the Notion of Analogical Relations and Metaphors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notion of analogy will be considered in its broadest possible sense, namely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a mode of reasoning or problem-solving in which a phenomenon, or a quantity,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an object, or a class of objects, or even a category of objects, is intentionally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compared to another in order to establish similarity of relationship. Moreover,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two particular instances between which a resemblance (similarity of relationship) 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established, one is generally not directly comprehensible,while the other is assumed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be better or more easily tractable. It is important to clarify that according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above, an analogical relation bears the semantics of a resemblance not between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instances, but between the relations of instances. Thus, an analogy is a resemblance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relation, involving (at least) two terms, each of which is itself a relation.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Hence, if assumed temporarily that the latter are binary relations between objects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(conceived set-theoretically), then, we obtain four terms constituting an analogical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relation. The four terms are being distributed in two distinct levels, two of the four 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each level. Furthermore, three of the four terms are assumed to be known or directly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measurable, or accessible, or more generally, determinable by some method, and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purpose is to determine the fourth. (61)</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Thus, an analogy, formulated as a relation among four terms distributed at two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distinguished levels, expresses a resemblance between two instances at the same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level, only within the context of totalities, or reference frames, or networks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relations, conceived as corresponding individual instances at the other level. Note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the unifying conceptual thread on all different manifestations of analogical relations is the following: Starting from a term at some level the determination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inaccessible term with respect to the first, at the same level, via a cyclical global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round-trip process through another level, involving three stages: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First, setting up an encoding multiplicative adjunctive bridge of correspondence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initial term with a reference domain, or gnomon, conceived individually 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another level. Second, processing or resolving the task at this other level. Finally,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devising a decoding bridge of correspondence, inverse to the multiplicative one,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facilitates the return at the initial level and simultaneously resolves indirectly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problem of direct inaccessibility.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Subject to the above observations characterizing the essence of an analogical relation,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resembling the algebraic transcription of the Thalesian theory of proportions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magnitudes in a generalized conceptual setting, we may attempt to formulate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analogy in the form of the following symbolic relation: (63-64)</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more general terms, the above algebraic localization structural metaphor is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particular application of the logical conjugation strategy designed for the resolution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 specific problem involving (at least) two delineated structural levels, and based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the existence of a pair of inversely pointing bridges connecting these two levels,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follows: First, by means of an extension bridge, encoding the information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structural domain into a new extended one assuming existence at a different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level. Second, performing the required task at that level by realizing an appropriate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equivalence relation, and subsequently forming the associated quotient structure.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Finally, by means of a reciprocal bridge, decoding the acquired information in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structural form congruent to the form of the structural domain we started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according to the specification of the initial level. (70)</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Initially, we assume that a set of elements, considered as an individual object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within the genus of sets (characterized by the membership relation), can relate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itself by separation of a well-defined part of it, viz. a subset bearing the functional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role subsumed by a particular resemblance perspective. In turn, this resemblance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perspective can be applied to the extended object obtained from the initial object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adjoining the distinguished part. Finally, using the quotient construction, we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collapse the extended object into a new partitioned object belonging to the same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genus. Of course, this is only possible if all of the following conditions can be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fulfilled: First, if the initial object can split its substance between two internal levels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hypostases within the same genus, such that the latter, formed by extension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respect to a part, is also an object of the same genus encoding the former.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Second, if the application of the resemblance perspective on the extended object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partitions it into equivalence classes, forcing in this way a homological criterion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identity, or equivalently an indiscernibility relation with respect to this resemblance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perspective, at the same level. Thirdly, if the equivalence classes of the quotient can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 re-interpreted as elements of a new object of the same genus, being formed 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initial level by identifying equivalent elements with respect to the resemblance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perspective.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 is significant to realize that an indirect self-referential relation, implicated by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logical conjugation within the same genus, accomplishes precisely the satisfaction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above conditions. This is possible by means of two inverse internal bridges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connecting these two separate levels of hypostasis into a non-contradictory circular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pattern as follows: the first bridge carries out the extension process of an object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another level of hypostasis, being formed by adjoining to it a distinguished part,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delineated by the functional role subsumed under a resemblance perspective. At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new level, an appropriate equivalence relation on the extended object implements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functional role of the resemblance perspective, viz. implements a homological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criterion of identity. As a result, we end up with a partitioning of the extended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object into a set of equivalence classes constituted by indiscernible elements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respect to the imposed criterion. Finally, an inverse bridge performs the transition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back to the initial level, by collapsing the extended object with respect to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resemblance perspective, and thus, transforming the resemblance relation into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equality (identity) of elements in the quotient set, formed back at the initial level. (71)</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First, the ability to induce a meaningful stratification into different levels which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can be connected by means of encoding and decoding bridges. In the general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case, we may think of these levels as structural ones. The stratification may even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involve substructures of an initially given structure, delineated according to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specific characteristic and adjoined to the initial structure, as separate levels.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latter is particularly suited to the resolution of self-referential problems through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cyclical conjugation process by means of the reciprocal and reflexive techniques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descending and ascending.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Second, the ability to establish a relation of homology among the stratified levels.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 is precisely the ingenuity of a homological criterion that provides the seed for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successful implementation of the logical conjugation strategy. Put differently,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effective analogical relation or metaphor subsumed by logical conjugation requires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appropriate criterion of homology among stratified levels in order to operate.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We point out that the notion of metaphor literally means transport. (75)</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above, we deduce that what is crucial for the logical conjugation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method is the establishment of some appropriate homological criterion operating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among the stratified levels. Then, based on this homological criterion it becomes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more tractable to devise appropriate encoding and decoding bridges connecting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reciprocally all different levels and effectuating a metaphor process. It is interesting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note that from the present viewpoint the notion of homology bears a 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function although it is usually introduced and implemented via topological means.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At least, it is important to stress that a homological criterion is independent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local metrical spatiotemporal distance notions. For this reason, it can operate nonlocally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among different scales. The ubiquity of a homological criterion is that it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establishes some particular measure of invariance among the stratified levels. This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measure can be expressed as an arithmetic invariant, like a ratio or a fraction, 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 in structural terms like a group or groupoid. The essential thing is that interlevel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connectivity, or simply a process of metaphor, requires a homological criterion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in order to be expressed via the logical conjugation strategy and conversely.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standard mathematical terminology, what we call a homological criterion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appears in a variety of different formulations, which are unified conceptually from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our perspective. This unification is facilitated by means of logical conjugation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its net effect, which is metaphor according to some qualification, and ultimately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an effective means of copying with complexity and self-reference. (76)</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What is required is a relativization of facticity, which leads inevitably to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novel account of time and reality.More precisely, the structural reduction of time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its linear-sequential aspect and the concurrent reduction of reality to its factual 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event-like aspect is inadequate to account for critical processes related with folding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into or folding out of the factual portrait of reality. Thus, the problem of singularities in General Relativity may be accessed effectively from this conceptual angle under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proviso that these enfolding/unfolding processes can be qualified by suitable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means, enforcing a relativization of the factual level with respect to a statu-nascendi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level. These means give rise to distinctive categorial frameworks distinguishing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statu-nascendi level from the factual level. (129-130)</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In more detail, the theory of autogenesis introduces a threefold scheme constituted</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in the form of three interdependent layers, which are connected together in</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the form of the linking properties of the Borromean rings, that is if any one of</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the layers is removed, then there remain two unlinked layers. Each layer captures</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a different aspect of reality, namely the apeiron aspect, the statu-nascendi and</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the factual aspect correspondingly. The apeiron aspect is inherently without any</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structure and expresses the irreducible global unity or non-separability of reality at</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this layer, which acts as a potential source for the actual taking place. The latter</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should involve both the statu-nascendi and the factual layers. The statu-nascendi</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should be better considered as a kind of a non-Boolean logical disclosure topos</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pertaining to the time-space of the present. As such it incorporates the logical or</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topological pre-conditions for relativizing the semantics of events at the factual</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level. It becomes visually informative to think of this relativization of facticity in</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terms of some self-referential process which either folds into or inversely folds out</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of the factual layer. In this manner, the factual aspect of reality is constituted by</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the observed traces of this process, viz. the events embedded within a local spacetime</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context. Whereas the apeiron aspect is not amenable to any direct structural</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predicative determination, both the statu-nascendi and the factual aspect constitute</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layers whose respective characteristic function can be depicted in the terms of</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 xml:space="preserve">distinctive underlying categorial frameworks.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Each categorial framework stands for an integral apparatus consisting of four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interrelated and bidirectionally interdependent components: (a) a logical structure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 predication space, (b) a related notion of a spatiotemporal context, (c) a causal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scheme accounting for linkages, and (d) a corresponding epistemological setting.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this way, the factual aspect of reality is captured by means of a categorial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apparatus, which consists of the following components respectively: (a) a Boolean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logical predication space, (b) a local metrical space-time continuum, (c) a classical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scheme of efficient causality, and (d) an epistemological setting based on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notion of absolute separability between observer and observandum. The intrinsic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necessity of introducing another categorial apparatus constituting the statu-nascendi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layer of reality is based on the inability of the former one to account for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logical structural phenomenon of strong self-referentiality and its concomitant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operational manifestation as autogenesis, meaning a process of self-referential</w:t>
      </w:r>
    </w:p>
    <w:p>
      <w:pPr>
        <w:pStyle w:val="Normal"/>
        <w:spacing w:before="0" w:after="0"/>
        <w:contextualSpacing/>
        <w:jc w:val="left"/>
        <w:rPr/>
      </w:pPr>
      <w:r>
        <w:rPr>
          <w:rFonts w:eastAsia="Calibri" w:cs="BgnmpwWptfcpTimes-Roman" w:ascii="BgnmpwWptfcpTimes-Roman" w:hAnsi="BgnmpwWptfcpTimes-Roman"/>
          <w:sz w:val="20"/>
          <w:szCs w:val="20"/>
        </w:rPr>
        <w:t>folding/unfolding without any separable external cause.</w:t>
      </w:r>
      <w:r>
        <w:rPr>
          <w:rFonts w:eastAsia="Calibri" w:cs="BgnmpwWptfcpTimes-Roman" w:ascii="BgnmpwWptfcpTimes-Roman" w:hAnsi="BgnmpwWptfcpTimes-Roman"/>
          <w:b/>
          <w:sz w:val="20"/>
          <w:szCs w:val="20"/>
        </w:rPr>
        <w:t xml:space="preserv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constituent bidirectionally interrelated components of the statu-nascendi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layer are the following: (a) a paratactical predication space on which some appropriate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form of constellatory logic becomes applicable, (b) a local logical disclosure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topos pertaining to the time-space of the present, (c) a causal scheme of autogenetic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folding/unfolding, and (d) an epistemological setting of strong self-referentiality.</w:t>
      </w:r>
    </w:p>
    <w:p>
      <w:pPr>
        <w:pStyle w:val="Normal"/>
        <w:spacing w:before="0" w:after="0"/>
        <w:contextualSpacing/>
        <w:jc w:val="left"/>
        <w:rPr/>
      </w:pPr>
      <w:r>
        <w:rPr>
          <w:rFonts w:eastAsia="Calibri" w:cs="BgnmpwWptfcpTimes-Roman" w:ascii="BgnmpwWptfcpTimes-Roman" w:hAnsi="BgnmpwWptfcpTimes-Roman"/>
          <w:sz w:val="20"/>
          <w:szCs w:val="20"/>
        </w:rPr>
        <w:t>The notion of parataxis refers to a mode of logical coherence of a multiplicity which</w:t>
      </w:r>
      <w:r>
        <w:rPr>
          <w:rFonts w:eastAsia="Calibri" w:cs="BgnmpwWptfcpTimes-Roman" w:ascii="BgnmpwWptfcpTimes-Roman" w:hAnsi="BgnmpwWptfcpTimes-Roman"/>
          <w:b/>
          <w:sz w:val="20"/>
          <w:szCs w:val="20"/>
        </w:rPr>
        <w:t xml:space="preserve"> </w:t>
      </w:r>
      <w:r>
        <w:rPr>
          <w:rFonts w:eastAsia="Calibri" w:cs="BgnmpwWptfcpTimes-Roman" w:ascii="BgnmpwWptfcpTimes-Roman" w:hAnsi="BgnmpwWptfcpTimes-Roman"/>
          <w:sz w:val="20"/>
          <w:szCs w:val="20"/>
        </w:rPr>
        <w:t>is independent of linear sequential organization. This is captured by the functional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role of a constellatory logic, where an individuated component of such a multiplicity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can be evaluated only in the context of all other components being compatible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 in a suitable manner.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Therefore, from the perspective of the theory of autogenesis, the problem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singularities in General Relativity targets exactly the global breakdown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metrical smooth space-time point-event-manifold model of this physical theory.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Thus, it proposes to understand the means of folding out of the local space-time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event continuum pertaining to the factual layer of reality via consideration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categorial apparatus pertaining to the statu nascendi level. We stress again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categorial apparatus of this level is indispensable for enforcing a higher-order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relativization of facticity, which addresses the very notion of a local perspective 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 is clear from the preceding that the nature of this notion, that is of a local perspective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reality, should not refer to the concept of geometrical locality in a global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point-event manifold. In contradistinction, it should be of a logical/topological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origin demarcating the logical structural pre-conditions that will allow us to perform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indirect self-reference via the statu-nascendi associated with the signification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folding into and out of the factual level. This higher-order logical/topological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relativization of facticity provides legitimate mathematical modeling means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exemplify the notion of categorial relativity, related to the function of the categorial</w:t>
      </w:r>
    </w:p>
    <w:p>
      <w:pPr>
        <w:pStyle w:val="Normal"/>
        <w:spacing w:before="0" w:after="0"/>
        <w:contextualSpacing/>
        <w:jc w:val="left"/>
        <w:rPr/>
      </w:pPr>
      <w:r>
        <w:rPr>
          <w:rFonts w:eastAsia="Calibri" w:cs="BgnmpwWptfcpTimes-Roman" w:ascii="BgnmpwWptfcpTimes-Roman" w:hAnsi="BgnmpwWptfcpTimes-Roman"/>
          <w:sz w:val="20"/>
          <w:szCs w:val="20"/>
        </w:rPr>
        <w:t>apparatus of the statu nascendi level in the context of the theory of autogenesis.</w:t>
      </w:r>
      <w:r>
        <w:rPr>
          <w:rFonts w:eastAsia="Calibri" w:cs="BgnmpwWptfcpTimes-Roman" w:ascii="BgnmpwWptfcpTimes-Roman" w:hAnsi="BgnmpwWptfcpTimes-Roman"/>
          <w:b/>
          <w:sz w:val="20"/>
          <w:szCs w:val="20"/>
        </w:rPr>
        <w:t xml:space="preserve"> (130-131)</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b/>
          <w:b/>
          <w:color w:val="FF0000"/>
          <w:sz w:val="20"/>
          <w:szCs w:val="20"/>
        </w:rPr>
      </w:pPr>
      <w:r>
        <w:rPr>
          <w:rFonts w:eastAsia="Calibri" w:cs="BgnmpwWptfcpTimes-Roman" w:ascii="BgnmpwWptfcpTimes-Roman" w:hAnsi="BgnmpwWptfcpTimes-Roman"/>
          <w:b/>
          <w:color w:val="FF0000"/>
          <w:sz w:val="20"/>
          <w:szCs w:val="20"/>
        </w:rPr>
        <w:t>[UNBELIEVABLE similar ideas to my ideas!!!!!!!!!!!!!!!!!!!!!!!!!!!!!!!!!!!!!!!!!!!!!!! it is about EDWs, no more or less!!!!]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existence of topological links, like the Borromean link, may be thought of as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form of topological entanglement. From the other side, one of the basic distinguishing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features between classical and quantum systems is the phenomenon of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entanglement. Thus, there arises the natural question if there exists any type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correspondence between the forms of topological and quantum entanglement. (143)</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Therefore, in the case of the double slit experiment, what distinguishes different</w:t>
      </w:r>
    </w:p>
    <w:p>
      <w:pPr>
        <w:pStyle w:val="Normal"/>
        <w:spacing w:before="0" w:after="0"/>
        <w:contextualSpacing/>
        <w:jc w:val="left"/>
        <w:rPr/>
      </w:pPr>
      <w:r>
        <w:rPr>
          <w:rFonts w:eastAsia="Calibri" w:cs="BgnmpwWptfcpTimes-Roman" w:ascii="BgnmpwWptfcpTimes-Roman" w:hAnsi="BgnmpwWptfcpTimes-Roman"/>
          <w:sz w:val="20"/>
          <w:szCs w:val="20"/>
        </w:rPr>
        <w:t xml:space="preserve">pairs of oppositely oriented based loops at the specified reference vertex </w:t>
      </w:r>
      <w:r>
        <w:rPr>
          <w:rFonts w:eastAsia="StcqctClkprsMTMI" w:cs="StcqctClkprsMTMI" w:ascii="StcqctClkprsMTMI" w:hAnsi="StcqctClkprsMTMI"/>
          <w:i/>
          <w:iCs/>
          <w:sz w:val="20"/>
          <w:szCs w:val="20"/>
        </w:rPr>
        <w:t>_</w:t>
      </w:r>
      <w:r>
        <w:rPr>
          <w:rFonts w:eastAsia="StcqctClkprsMTMI" w:cs="StcqctClkprsMTMI" w:ascii="StcqctClkprsMTMI" w:hAnsi="StcqctClkprsMTMI"/>
          <w:i/>
          <w:iCs/>
          <w:sz w:val="15"/>
          <w:szCs w:val="15"/>
        </w:rPr>
        <w:t xml:space="preserve">a </w:t>
      </w:r>
      <w:r>
        <w:rPr>
          <w:rFonts w:eastAsia="Calibri" w:cs="BgnmpwWptfcpTimes-Roman" w:ascii="BgnmpwWptfcpTimes-Roman" w:hAnsi="BgnmpwWptfcpTimes-Roman"/>
          <w:sz w:val="20"/>
          <w:szCs w:val="20"/>
        </w:rPr>
        <w:t>is the</w:t>
      </w:r>
    </w:p>
    <w:p>
      <w:pPr>
        <w:pStyle w:val="Normal"/>
        <w:spacing w:before="0" w:after="0"/>
        <w:contextualSpacing/>
        <w:jc w:val="left"/>
        <w:rPr/>
      </w:pPr>
      <w:r>
        <w:rPr>
          <w:rFonts w:eastAsia="Calibri" w:cs="BgnmpwWptfcpTimes-Roman" w:ascii="BgnmpwWptfcpTimes-Roman" w:hAnsi="BgnmpwWptfcpTimes-Roman"/>
          <w:sz w:val="20"/>
          <w:szCs w:val="20"/>
        </w:rPr>
        <w:t xml:space="preserve">existence of two potential filters </w:t>
      </w:r>
      <w:r>
        <w:rPr>
          <w:rFonts w:eastAsia="StcqctClkprsMTMI" w:cs="StcqctClkprsMTMI" w:ascii="StcqctClkprsMTMI" w:hAnsi="StcqctClkprsMTMI"/>
          <w:i/>
          <w:iCs/>
          <w:sz w:val="20"/>
          <w:szCs w:val="20"/>
        </w:rPr>
        <w:t>P</w:t>
      </w:r>
      <w:r>
        <w:rPr>
          <w:rFonts w:eastAsia="StcqctClkprsMTMI" w:cs="StcqctClkprsMTMI" w:ascii="StcqctClkprsMTMI" w:hAnsi="StcqctClkprsMTMI"/>
          <w:i/>
          <w:iCs/>
          <w:sz w:val="15"/>
          <w:szCs w:val="15"/>
        </w:rPr>
        <w:t>ψ</w:t>
      </w:r>
      <w:r>
        <w:rPr>
          <w:rFonts w:eastAsia="Calibri" w:cs="BgnmpwWptfcpTimes-Roman" w:ascii="BgnmpwWptfcpTimes-Roman" w:hAnsi="BgnmpwWptfcpTimes-Roman"/>
          <w:sz w:val="12"/>
          <w:szCs w:val="12"/>
        </w:rPr>
        <w:t xml:space="preserve">1 </w:t>
      </w:r>
      <w:r>
        <w:rPr>
          <w:rFonts w:eastAsia="Calibri" w:cs="BgnmpwWptfcpTimes-Roman" w:ascii="BgnmpwWptfcpTimes-Roman" w:hAnsi="BgnmpwWptfcpTimes-Roman"/>
          <w:sz w:val="20"/>
          <w:szCs w:val="20"/>
        </w:rPr>
        <w:t xml:space="preserve">and </w:t>
      </w:r>
      <w:r>
        <w:rPr>
          <w:rFonts w:eastAsia="StcqctClkprsMTMI" w:cs="StcqctClkprsMTMI" w:ascii="StcqctClkprsMTMI" w:hAnsi="StcqctClkprsMTMI"/>
          <w:i/>
          <w:iCs/>
          <w:sz w:val="20"/>
          <w:szCs w:val="20"/>
        </w:rPr>
        <w:t>P</w:t>
      </w:r>
      <w:r>
        <w:rPr>
          <w:rFonts w:eastAsia="StcqctClkprsMTMI" w:cs="StcqctClkprsMTMI" w:ascii="StcqctClkprsMTMI" w:hAnsi="StcqctClkprsMTMI"/>
          <w:i/>
          <w:iCs/>
          <w:sz w:val="15"/>
          <w:szCs w:val="15"/>
        </w:rPr>
        <w:t>ψ</w:t>
      </w:r>
      <w:r>
        <w:rPr>
          <w:rFonts w:eastAsia="Calibri" w:cs="BgnmpwWptfcpTimes-Roman" w:ascii="BgnmpwWptfcpTimes-Roman" w:hAnsi="BgnmpwWptfcpTimes-Roman"/>
          <w:sz w:val="12"/>
          <w:szCs w:val="12"/>
        </w:rPr>
        <w:t xml:space="preserve">2 </w:t>
      </w:r>
      <w:r>
        <w:rPr>
          <w:rFonts w:eastAsia="Calibri" w:cs="BgnmpwWptfcpTimes-Roman" w:ascii="BgnmpwWptfcpTimes-Roman" w:hAnsi="BgnmpwWptfcpTimes-Roman"/>
          <w:sz w:val="20"/>
          <w:szCs w:val="20"/>
        </w:rPr>
        <w:t>, which cannot be simultaneously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realizable. Equivalently, the differentiation may be considered by means of their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respective two-valued local Boolean frames of potential position measurement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according to the above. Thus, if we take into account the bijection between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observable (or its associated Boolean frame) and its corresponding continuous oneparameter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unitary group of transformations, we reach the following conclusion: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pair of oppositely oriented based loops at a specified reference vertex should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represent the action of a continuous one parameter unitary group at this vertex.</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Moreover, since Boolean frames are solely used for localization, the representation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an observable as a self-adjoint operator should be considered locally,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is with respect to the local Boolean frame it refers to. In particular,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position observable is resolved differently with respect to the local two-valued</w:t>
      </w:r>
    </w:p>
    <w:p>
      <w:pPr>
        <w:pStyle w:val="Normal"/>
        <w:spacing w:before="0" w:after="0"/>
        <w:contextualSpacing/>
        <w:jc w:val="left"/>
        <w:rPr/>
      </w:pPr>
      <w:r>
        <w:rPr>
          <w:rFonts w:eastAsia="Calibri" w:cs="BgnmpwWptfcpTimes-Roman" w:ascii="BgnmpwWptfcpTimes-Roman" w:hAnsi="BgnmpwWptfcpTimes-Roman"/>
          <w:sz w:val="20"/>
          <w:szCs w:val="20"/>
        </w:rPr>
        <w:t xml:space="preserve">Boolean frames generated by the filters </w:t>
      </w:r>
      <w:r>
        <w:rPr>
          <w:rFonts w:eastAsia="StcqctClkprsMTMI" w:cs="StcqctClkprsMTMI" w:ascii="StcqctClkprsMTMI" w:hAnsi="StcqctClkprsMTMI"/>
          <w:i/>
          <w:iCs/>
          <w:sz w:val="20"/>
          <w:szCs w:val="20"/>
        </w:rPr>
        <w:t>P</w:t>
      </w:r>
      <w:r>
        <w:rPr>
          <w:rFonts w:eastAsia="StcqctClkprsMTMI" w:cs="StcqctClkprsMTMI" w:ascii="StcqctClkprsMTMI" w:hAnsi="StcqctClkprsMTMI"/>
          <w:i/>
          <w:iCs/>
          <w:sz w:val="15"/>
          <w:szCs w:val="15"/>
        </w:rPr>
        <w:t>ψ</w:t>
      </w:r>
      <w:r>
        <w:rPr>
          <w:rFonts w:eastAsia="Calibri" w:cs="BgnmpwWptfcpTimes-Roman" w:ascii="BgnmpwWptfcpTimes-Roman" w:hAnsi="BgnmpwWptfcpTimes-Roman"/>
          <w:sz w:val="12"/>
          <w:szCs w:val="12"/>
        </w:rPr>
        <w:t xml:space="preserve">1 </w:t>
      </w:r>
      <w:r>
        <w:rPr>
          <w:rFonts w:eastAsia="Calibri" w:cs="BgnmpwWptfcpTimes-Roman" w:ascii="BgnmpwWptfcpTimes-Roman" w:hAnsi="BgnmpwWptfcpTimes-Roman"/>
          <w:sz w:val="20"/>
          <w:szCs w:val="20"/>
        </w:rPr>
        <w:t xml:space="preserve">and </w:t>
      </w:r>
      <w:r>
        <w:rPr>
          <w:rFonts w:eastAsia="StcqctClkprsMTMI" w:cs="StcqctClkprsMTMI" w:ascii="StcqctClkprsMTMI" w:hAnsi="StcqctClkprsMTMI"/>
          <w:i/>
          <w:iCs/>
          <w:sz w:val="20"/>
          <w:szCs w:val="20"/>
        </w:rPr>
        <w:t>P</w:t>
      </w:r>
      <w:r>
        <w:rPr>
          <w:rFonts w:eastAsia="StcqctClkprsMTMI" w:cs="StcqctClkprsMTMI" w:ascii="StcqctClkprsMTMI" w:hAnsi="StcqctClkprsMTMI"/>
          <w:i/>
          <w:iCs/>
          <w:sz w:val="15"/>
          <w:szCs w:val="15"/>
        </w:rPr>
        <w:t>ψ</w:t>
      </w:r>
      <w:r>
        <w:rPr>
          <w:rFonts w:eastAsia="Calibri" w:cs="BgnmpwWptfcpTimes-Roman" w:ascii="BgnmpwWptfcpTimes-Roman" w:hAnsi="BgnmpwWptfcpTimes-Roman"/>
          <w:sz w:val="12"/>
          <w:szCs w:val="12"/>
        </w:rPr>
        <w:t xml:space="preserve">2 </w:t>
      </w:r>
      <w:r>
        <w:rPr>
          <w:rFonts w:eastAsia="Calibri" w:cs="BgnmpwWptfcpTimes-Roman" w:ascii="BgnmpwWptfcpTimes-Roman" w:hAnsi="BgnmpwWptfcpTimes-Roman"/>
          <w:sz w:val="20"/>
          <w:szCs w:val="20"/>
        </w:rPr>
        <w:t>correspondingly, such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these resolutions cannot be simultaneously realizable. Hence, the action of the</w:t>
      </w:r>
    </w:p>
    <w:p>
      <w:pPr>
        <w:pStyle w:val="Normal"/>
        <w:spacing w:before="0" w:after="0"/>
        <w:contextualSpacing/>
        <w:jc w:val="left"/>
        <w:rPr/>
      </w:pPr>
      <w:r>
        <w:rPr>
          <w:rFonts w:eastAsia="Calibri" w:cs="BgnmpwWptfcpTimes-Roman" w:ascii="BgnmpwWptfcpTimes-Roman" w:hAnsi="BgnmpwWptfcpTimes-Roman"/>
          <w:sz w:val="20"/>
          <w:szCs w:val="20"/>
        </w:rPr>
        <w:t xml:space="preserve">position observable in relation to the potential filters </w:t>
      </w:r>
      <w:r>
        <w:rPr>
          <w:rFonts w:eastAsia="StcqctClkprsMTMI" w:cs="StcqctClkprsMTMI" w:ascii="StcqctClkprsMTMI" w:hAnsi="StcqctClkprsMTMI"/>
          <w:i/>
          <w:iCs/>
          <w:sz w:val="20"/>
          <w:szCs w:val="20"/>
        </w:rPr>
        <w:t>P</w:t>
      </w:r>
      <w:r>
        <w:rPr>
          <w:rFonts w:eastAsia="StcqctClkprsMTMI" w:cs="StcqctClkprsMTMI" w:ascii="StcqctClkprsMTMI" w:hAnsi="StcqctClkprsMTMI"/>
          <w:i/>
          <w:iCs/>
          <w:sz w:val="15"/>
          <w:szCs w:val="15"/>
        </w:rPr>
        <w:t>ψ</w:t>
      </w:r>
      <w:r>
        <w:rPr>
          <w:rFonts w:eastAsia="Calibri" w:cs="BgnmpwWptfcpTimes-Roman" w:ascii="BgnmpwWptfcpTimes-Roman" w:hAnsi="BgnmpwWptfcpTimes-Roman"/>
          <w:sz w:val="12"/>
          <w:szCs w:val="12"/>
        </w:rPr>
        <w:t xml:space="preserve">1 </w:t>
      </w:r>
      <w:r>
        <w:rPr>
          <w:rFonts w:eastAsia="Calibri" w:cs="BgnmpwWptfcpTimes-Roman" w:ascii="BgnmpwWptfcpTimes-Roman" w:hAnsi="BgnmpwWptfcpTimes-Roman"/>
          <w:sz w:val="20"/>
          <w:szCs w:val="20"/>
        </w:rPr>
        <w:t xml:space="preserve">and </w:t>
      </w:r>
      <w:r>
        <w:rPr>
          <w:rFonts w:eastAsia="StcqctClkprsMTMI" w:cs="StcqctClkprsMTMI" w:ascii="StcqctClkprsMTMI" w:hAnsi="StcqctClkprsMTMI"/>
          <w:i/>
          <w:iCs/>
          <w:sz w:val="20"/>
          <w:szCs w:val="20"/>
        </w:rPr>
        <w:t>P</w:t>
      </w:r>
      <w:r>
        <w:rPr>
          <w:rFonts w:eastAsia="StcqctClkprsMTMI" w:cs="StcqctClkprsMTMI" w:ascii="StcqctClkprsMTMI" w:hAnsi="StcqctClkprsMTMI"/>
          <w:i/>
          <w:iCs/>
          <w:sz w:val="15"/>
          <w:szCs w:val="15"/>
        </w:rPr>
        <w:t>ψ</w:t>
      </w:r>
      <w:r>
        <w:rPr>
          <w:rFonts w:eastAsia="Calibri" w:cs="BgnmpwWptfcpTimes-Roman" w:ascii="BgnmpwWptfcpTimes-Roman" w:hAnsi="BgnmpwWptfcpTimes-Roman"/>
          <w:sz w:val="12"/>
          <w:szCs w:val="12"/>
        </w:rPr>
        <w:t xml:space="preserve">2 </w:t>
      </w:r>
      <w:r>
        <w:rPr>
          <w:rFonts w:eastAsia="Calibri" w:cs="BgnmpwWptfcpTimes-Roman" w:ascii="BgnmpwWptfcpTimes-Roman" w:hAnsi="BgnmpwWptfcpTimes-Roman"/>
          <w:sz w:val="20"/>
          <w:szCs w:val="20"/>
        </w:rPr>
        <w:t>at the specified</w:t>
      </w:r>
    </w:p>
    <w:p>
      <w:pPr>
        <w:pStyle w:val="Normal"/>
        <w:spacing w:before="0" w:after="0"/>
        <w:contextualSpacing/>
        <w:jc w:val="left"/>
        <w:rPr/>
      </w:pPr>
      <w:r>
        <w:rPr>
          <w:rFonts w:eastAsia="Calibri" w:cs="BgnmpwWptfcpTimes-Roman" w:ascii="BgnmpwWptfcpTimes-Roman" w:hAnsi="BgnmpwWptfcpTimes-Roman"/>
          <w:sz w:val="20"/>
          <w:szCs w:val="20"/>
        </w:rPr>
        <w:t xml:space="preserve">reference vertex </w:t>
      </w:r>
      <w:r>
        <w:rPr>
          <w:rFonts w:eastAsia="StcqctClkprsMTMI" w:cs="StcqctClkprsMTMI" w:ascii="StcqctClkprsMTMI" w:hAnsi="StcqctClkprsMTMI"/>
          <w:i/>
          <w:iCs/>
          <w:sz w:val="20"/>
          <w:szCs w:val="20"/>
        </w:rPr>
        <w:t>_</w:t>
      </w:r>
      <w:r>
        <w:rPr>
          <w:rFonts w:eastAsia="StcqctClkprsMTMI" w:cs="StcqctClkprsMTMI" w:ascii="StcqctClkprsMTMI" w:hAnsi="StcqctClkprsMTMI"/>
          <w:i/>
          <w:iCs/>
          <w:sz w:val="15"/>
          <w:szCs w:val="15"/>
        </w:rPr>
        <w:t xml:space="preserve">a </w:t>
      </w:r>
      <w:r>
        <w:rPr>
          <w:rFonts w:eastAsia="Calibri" w:cs="BgnmpwWptfcpTimes-Roman" w:ascii="BgnmpwWptfcpTimes-Roman" w:hAnsi="BgnmpwWptfcpTimes-Roman"/>
          <w:sz w:val="20"/>
          <w:szCs w:val="20"/>
        </w:rPr>
        <w:t>gives rise to two different pairs of oppositely oriented based</w:t>
      </w:r>
    </w:p>
    <w:p>
      <w:pPr>
        <w:pStyle w:val="Normal"/>
        <w:spacing w:before="0" w:after="0"/>
        <w:contextualSpacing/>
        <w:jc w:val="left"/>
        <w:rPr/>
      </w:pPr>
      <w:r>
        <w:rPr>
          <w:rFonts w:eastAsia="Calibri" w:cs="BgnmpwWptfcpTimes-Roman" w:ascii="BgnmpwWptfcpTimes-Roman" w:hAnsi="BgnmpwWptfcpTimes-Roman"/>
          <w:sz w:val="20"/>
          <w:szCs w:val="20"/>
        </w:rPr>
        <w:t xml:space="preserve">loops at </w:t>
      </w:r>
      <w:r>
        <w:rPr>
          <w:rFonts w:eastAsia="StcqctClkprsMTMI" w:cs="StcqctClkprsMTMI" w:ascii="StcqctClkprsMTMI" w:hAnsi="StcqctClkprsMTMI"/>
          <w:i/>
          <w:iCs/>
          <w:sz w:val="20"/>
          <w:szCs w:val="20"/>
        </w:rPr>
        <w:t>_</w:t>
      </w:r>
      <w:r>
        <w:rPr>
          <w:rFonts w:eastAsia="StcqctClkprsMTMI" w:cs="StcqctClkprsMTMI" w:ascii="StcqctClkprsMTMI" w:hAnsi="StcqctClkprsMTMI"/>
          <w:i/>
          <w:iCs/>
          <w:sz w:val="15"/>
          <w:szCs w:val="15"/>
        </w:rPr>
        <w:t>a</w:t>
      </w:r>
      <w:r>
        <w:rPr>
          <w:rFonts w:eastAsia="Calibri" w:cs="BgnmpwWptfcpTimes-Roman" w:ascii="BgnmpwWptfcpTimes-Roman" w:hAnsi="BgnmpwWptfcpTimes-Roman"/>
          <w:sz w:val="20"/>
          <w:szCs w:val="20"/>
        </w:rPr>
        <w:t>, where each one of them represent the action of a continuous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one parameter unitary group at this vertex in relation to the distinguishability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induced by the corresponding filter or its associated local two-valued Boolean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frame.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previous discussion, in relation to the double slit experiment, has served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purpose of introducing the proposed representation of a continuous one parameter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unitary group action at a vertex by a pair of oppositely oriented loops, which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are based at this vertex, as well as the criterion of differentiation among such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pairs of based loops according to the localization properties of local Boolean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frames. What is particularly interesting by this change of perspective is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there immediately appears the possibility of composition of different oriented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loops based at the same vertex. (162)</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b/>
          <w:b/>
          <w:color w:val="FF0000"/>
          <w:sz w:val="20"/>
          <w:szCs w:val="20"/>
        </w:rPr>
      </w:pPr>
      <w:r>
        <w:rPr>
          <w:rFonts w:eastAsia="Calibri" w:cs="BgnmpwWptfcpTimes-Roman" w:ascii="BgnmpwWptfcpTimes-Roman" w:hAnsi="BgnmpwWptfcpTimes-Roman"/>
          <w:b/>
          <w:color w:val="FF0000"/>
          <w:sz w:val="20"/>
          <w:szCs w:val="20"/>
        </w:rPr>
        <w:t>[nothing more than EDWs!!!!!!!!!!!!!!!!!!!!]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In the absence of an exact quantum gravity theory, the “ER = EPR” conjecture</w:t>
      </w:r>
    </w:p>
    <w:p>
      <w:pPr>
        <w:pStyle w:val="Normal"/>
        <w:spacing w:before="0" w:after="0"/>
        <w:contextualSpacing/>
        <w:jc w:val="left"/>
        <w:rPr/>
      </w:pPr>
      <w:r>
        <w:rPr>
          <w:rFonts w:eastAsia="Calibri" w:cs="BgnmpwWptfcpTimes-Roman" w:ascii="BgnmpwWptfcpTimes-Roman" w:hAnsi="BgnmpwWptfcpTimes-Roman"/>
          <w:color w:val="000000"/>
          <w:sz w:val="20"/>
          <w:szCs w:val="20"/>
        </w:rPr>
        <w:t>constitutes a recently introduced proposal by Maldacena and Susskind (</w:t>
      </w:r>
      <w:r>
        <w:rPr>
          <w:rFonts w:eastAsia="Calibri" w:cs="BgnmpwWptfcpTimes-Roman" w:ascii="BgnmpwWptfcpTimes-Roman" w:hAnsi="BgnmpwWptfcpTimes-Roman"/>
          <w:color w:val="0000FF"/>
          <w:sz w:val="20"/>
          <w:szCs w:val="20"/>
        </w:rPr>
        <w:t>2013</w:t>
      </w:r>
      <w:r>
        <w:rPr>
          <w:rFonts w:eastAsia="Calibri" w:cs="BgnmpwWptfcpTimes-Roman" w:ascii="BgnmpwWptfcpTimes-Roman" w:hAnsi="BgnmpwWptfcpTimes-Roman"/>
          <w:color w:val="000000"/>
          <w:sz w:val="20"/>
          <w:szCs w:val="20"/>
        </w:rPr>
        <w:t>),</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aiming to shed light on the relations among spacetime geometry, quantum field</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theory and quantum information theory, which is receiving significant attention</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currently in relation to its substantiation, proof, and groundbreaking implications.</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 “ER = EPR” is a short-hand that joins two ideas proposed by Einstein in 1935.</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One involved the quantum correlations implied by what he called “spooky action</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at a distance”, referring to the phenomenon of </w:t>
      </w:r>
      <w:r>
        <w:rPr>
          <w:rFonts w:eastAsia="Calibri" w:cs="KfjnvmNjhlcnTimes-Italic" w:ascii="KfjnvmNjhlcnTimes-Italic" w:hAnsi="KfjnvmNjhlcnTimes-Italic"/>
          <w:i/>
          <w:iCs/>
          <w:color w:val="000000"/>
          <w:sz w:val="20"/>
          <w:szCs w:val="20"/>
        </w:rPr>
        <w:t xml:space="preserve">entanglement </w:t>
      </w:r>
      <w:r>
        <w:rPr>
          <w:rFonts w:eastAsia="Calibri" w:cs="BgnmpwWptfcpTimes-Roman" w:ascii="BgnmpwWptfcpTimes-Roman" w:hAnsi="BgnmpwWptfcpTimes-Roman"/>
          <w:color w:val="000000"/>
          <w:sz w:val="20"/>
          <w:szCs w:val="20"/>
        </w:rPr>
        <w:t>between quantum</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particles (EPR entanglement, named after Einstein, Podolsky, and Rosen) (Einstein</w:t>
      </w:r>
    </w:p>
    <w:p>
      <w:pPr>
        <w:pStyle w:val="Normal"/>
        <w:spacing w:before="0" w:after="0"/>
        <w:contextualSpacing/>
        <w:jc w:val="left"/>
        <w:rPr/>
      </w:pPr>
      <w:r>
        <w:rPr>
          <w:rFonts w:eastAsia="Calibri" w:cs="BgnmpwWptfcpTimes-Roman" w:ascii="BgnmpwWptfcpTimes-Roman" w:hAnsi="BgnmpwWptfcpTimes-Roman"/>
          <w:color w:val="0000FF"/>
          <w:sz w:val="20"/>
          <w:szCs w:val="20"/>
        </w:rPr>
        <w:t>1935</w:t>
      </w:r>
      <w:r>
        <w:rPr>
          <w:rFonts w:eastAsia="Calibri" w:cs="BgnmpwWptfcpTimes-Roman" w:ascii="BgnmpwWptfcpTimes-Roman" w:hAnsi="BgnmpwWptfcpTimes-Roman"/>
          <w:color w:val="000000"/>
          <w:sz w:val="20"/>
          <w:szCs w:val="20"/>
        </w:rPr>
        <w:t>). The other showed how two black holes could be connected “non-locally”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via “topological handles” in space-time, known as “wormholes” (ER, for Einstein-</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Rosen bridges) (Einstein and Rosen </w:t>
      </w:r>
      <w:r>
        <w:rPr>
          <w:rFonts w:eastAsia="Calibri" w:cs="BgnmpwWptfcpTimes-Roman" w:ascii="BgnmpwWptfcpTimes-Roman" w:hAnsi="BgnmpwWptfcpTimes-Roman"/>
          <w:color w:val="0000FF"/>
          <w:sz w:val="20"/>
          <w:szCs w:val="20"/>
        </w:rPr>
        <w:t>1935</w:t>
      </w:r>
      <w:r>
        <w:rPr>
          <w:rFonts w:eastAsia="Calibri" w:cs="BgnmpwWptfcpTimes-Roman" w:ascii="BgnmpwWptfcpTimes-Roman" w:hAnsi="BgnmpwWptfcpTimes-Roman"/>
          <w:color w:val="000000"/>
          <w:sz w:val="20"/>
          <w:szCs w:val="20"/>
        </w:rPr>
        <w:t>). If the conjecture “ER= EPR” is correct,</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then the ideas of quantum entanglement and wormholes are not disjoint, but they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are two manifestations of the same essentially topological idea. Effectively, this</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underlying </w:t>
      </w:r>
      <w:r>
        <w:rPr>
          <w:rFonts w:eastAsia="Calibri" w:cs="KfjnvmNjhlcnTimes-Italic" w:ascii="KfjnvmNjhlcnTimes-Italic" w:hAnsi="KfjnvmNjhlcnTimes-Italic"/>
          <w:i/>
          <w:iCs/>
          <w:color w:val="000000"/>
          <w:sz w:val="20"/>
          <w:szCs w:val="20"/>
        </w:rPr>
        <w:t xml:space="preserve">connectedness </w:t>
      </w:r>
      <w:r>
        <w:rPr>
          <w:rFonts w:eastAsia="Calibri" w:cs="BgnmpwWptfcpTimes-Roman" w:ascii="BgnmpwWptfcpTimes-Roman" w:hAnsi="BgnmpwWptfcpTimes-Roman"/>
          <w:color w:val="000000"/>
          <w:sz w:val="20"/>
          <w:szCs w:val="20"/>
        </w:rPr>
        <w:t>would form the foundation of quantum space-time.</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More precisely, the “ER = EPR” conjecture is grounded in the context of </w:t>
      </w:r>
      <w:r>
        <w:rPr>
          <w:rFonts w:eastAsia="Calibri" w:cs="KfjnvmNjhlcnTimes-Italic" w:ascii="KfjnvmNjhlcnTimes-Italic" w:hAnsi="KfjnvmNjhlcnTimes-Italic"/>
          <w:i/>
          <w:iCs/>
          <w:color w:val="000000"/>
          <w:sz w:val="20"/>
          <w:szCs w:val="20"/>
        </w:rPr>
        <w:t>duality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between a gravitational theory formulated in the bulk and a quantum field theory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formulated on the boundary, targeting the correspondence between ER bridges or</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wormholes and entanglement. In a sense, the “ER = EPR” conjecture implicates on a</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cosmological scale that a complex network of entangled subsystems of the universe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as a whole is also a complex network of ER bridges. In particular, since ER bridges</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refer to the connectivity between black holes, the “ER = EPR” conjecture implies</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that </w:t>
      </w:r>
      <w:r>
        <w:rPr>
          <w:rFonts w:eastAsia="Calibri" w:cs="KfjnvmNjhlcnTimes-Italic" w:ascii="KfjnvmNjhlcnTimes-Italic" w:hAnsi="KfjnvmNjhlcnTimes-Italic"/>
          <w:i/>
          <w:iCs/>
          <w:color w:val="000000"/>
          <w:sz w:val="20"/>
          <w:szCs w:val="20"/>
        </w:rPr>
        <w:t>black holes connected by ER bridges are entangled</w:t>
      </w:r>
      <w:r>
        <w:rPr>
          <w:rFonts w:eastAsia="Calibri" w:cs="BgnmpwWptfcpTimes-Roman" w:ascii="BgnmpwWptfcpTimes-Roman" w:hAnsi="BgnmpwWptfcpTimes-Roman"/>
          <w:color w:val="000000"/>
          <w:sz w:val="20"/>
          <w:szCs w:val="20"/>
        </w:rPr>
        <w:t>, and also conversely that</w:t>
      </w:r>
    </w:p>
    <w:p>
      <w:pPr>
        <w:pStyle w:val="Normal"/>
        <w:spacing w:before="0" w:after="0"/>
        <w:contextualSpacing/>
        <w:jc w:val="left"/>
        <w:rPr/>
      </w:pPr>
      <w:r>
        <w:rPr>
          <w:rFonts w:eastAsia="Calibri" w:cs="KfjnvmNjhlcnTimes-Italic" w:ascii="KfjnvmNjhlcnTimes-Italic" w:hAnsi="KfjnvmNjhlcnTimes-Italic"/>
          <w:i/>
          <w:iCs/>
          <w:color w:val="000000"/>
          <w:sz w:val="20"/>
          <w:szCs w:val="20"/>
        </w:rPr>
        <w:t>entangled black holes are connected by ER bridges</w:t>
      </w:r>
      <w:r>
        <w:rPr>
          <w:rFonts w:eastAsia="Calibri" w:cs="BgnmpwWptfcpTimes-Roman" w:ascii="BgnmpwWptfcpTimes-Roman" w:hAnsi="BgnmpwWptfcpTimes-Roman"/>
          <w:color w:val="000000"/>
          <w:sz w:val="20"/>
          <w:szCs w:val="20"/>
        </w:rPr>
        <w:t>. (171)</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sz w:val="20"/>
          <w:szCs w:val="20"/>
        </w:rPr>
        <w:t xml:space="preserve">Intuitively, the criterion of locality is associated with what can be </w:t>
      </w:r>
      <w:r>
        <w:rPr>
          <w:rFonts w:eastAsia="Calibri" w:cs="KfjnvmNjhlcnTimes-Italic" w:ascii="KfjnvmNjhlcnTimes-Italic" w:hAnsi="KfjnvmNjhlcnTimes-Italic"/>
          <w:i/>
          <w:iCs/>
          <w:sz w:val="20"/>
          <w:szCs w:val="20"/>
        </w:rPr>
        <w:t>spectrally</w:t>
      </w:r>
    </w:p>
    <w:p>
      <w:pPr>
        <w:pStyle w:val="Normal"/>
        <w:spacing w:before="0" w:after="0"/>
        <w:contextualSpacing/>
        <w:jc w:val="left"/>
        <w:rPr/>
      </w:pPr>
      <w:r>
        <w:rPr>
          <w:rFonts w:eastAsia="Calibri" w:cs="KfjnvmNjhlcnTimes-Italic" w:ascii="KfjnvmNjhlcnTimes-Italic" w:hAnsi="KfjnvmNjhlcnTimes-Italic"/>
          <w:i/>
          <w:iCs/>
          <w:sz w:val="20"/>
          <w:szCs w:val="20"/>
        </w:rPr>
        <w:t>distinguished, and thus localized</w:t>
      </w:r>
      <w:r>
        <w:rPr>
          <w:rFonts w:eastAsia="Calibri" w:cs="BgnmpwWptfcpTimes-Roman" w:ascii="BgnmpwWptfcpTimes-Roman" w:hAnsi="BgnmpwWptfcpTimes-Roman"/>
          <w:sz w:val="20"/>
          <w:szCs w:val="20"/>
        </w:rPr>
        <w:t>, by means of the orthogonal projections belonging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into the simultaneous resolution of all observables forming this commutative subalgebra.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Technically, the orthogonal idempotent elements (orthogonal projections)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this commutative subalgebra of observables constitute a local Boolean frame.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Each local Boolean frame has the structure of a complete Boolean algebra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orthogonal projection operators obtained by the simultaneous spectral resolution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complete set of compatible observables—represented as self-adjoint operators—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respect to a complete orthonormal basis of eigenstates. We stress that all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possible observables cannot be simultaneously measurable with respect to a single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universal global logical Boolean frame as is the case in all classical theories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of physics. Thus, there exists a multiplicity of potential local Boolean frames,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where each one of them stands for a context of co-measurable observables.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this way, each local Boolean frame provides spectrally the localization means for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probabilistic evaluation of all the observables belonging into the associated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commutative algebra. Thus, the evaluation of every single observed event in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quantum domain requires taking explicitly into account the specific local Boolean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frame with respect to which the corresponding observable is localized. (200)</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essential aspect of entanglement phenomena, besides the explication of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situation where the behavior of the whole is not reduced to the behavior of its parts,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else, that the whole ismore than the sumof its parts, is that the parts do not assume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individuation or localization independently of the whole. Put differently, there</w:t>
      </w:r>
    </w:p>
    <w:p>
      <w:pPr>
        <w:pStyle w:val="Normal"/>
        <w:spacing w:before="0" w:after="0"/>
        <w:contextualSpacing/>
        <w:jc w:val="left"/>
        <w:rPr/>
      </w:pPr>
      <w:r>
        <w:rPr>
          <w:rFonts w:eastAsia="Calibri" w:cs="BgnmpwWptfcpTimes-Roman" w:ascii="BgnmpwWptfcpTimes-Roman" w:hAnsi="BgnmpwWptfcpTimes-Roman"/>
          <w:sz w:val="20"/>
          <w:szCs w:val="20"/>
        </w:rPr>
        <w:t xml:space="preserve">exists a </w:t>
      </w:r>
      <w:r>
        <w:rPr>
          <w:rFonts w:eastAsia="Calibri" w:cs="KfjnvmNjhlcnTimes-Italic" w:ascii="KfjnvmNjhlcnTimes-Italic" w:hAnsi="KfjnvmNjhlcnTimes-Italic"/>
          <w:i/>
          <w:iCs/>
          <w:sz w:val="20"/>
          <w:szCs w:val="20"/>
        </w:rPr>
        <w:t xml:space="preserve">mutually implicative bidirectional relation </w:t>
      </w:r>
      <w:r>
        <w:rPr>
          <w:rFonts w:eastAsia="Calibri" w:cs="BgnmpwWptfcpTimes-Roman" w:ascii="BgnmpwWptfcpTimes-Roman" w:hAnsi="BgnmpwWptfcpTimes-Roman"/>
          <w:sz w:val="20"/>
          <w:szCs w:val="20"/>
        </w:rPr>
        <w:t>between the parts and the whole,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being reminiscent of a topological structure called a sheaf.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avoid a diversion into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sheaf theory, it is enough to point out that the notion of a part (i.e., what is called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standard terminology a subsystem of a composite system) becomes definable only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means of localization of the whole, which is observable-induced in the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domain and expressed via local Boolean frames (criterion of locality).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After this brief comment, and keeping up with the usual terminology employing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notion of subsystems of a composite system, we point out the possibility of</w:t>
      </w:r>
    </w:p>
    <w:p>
      <w:pPr>
        <w:pStyle w:val="Normal"/>
        <w:spacing w:before="0" w:after="0"/>
        <w:contextualSpacing/>
        <w:jc w:val="left"/>
        <w:rPr/>
      </w:pPr>
      <w:r>
        <w:rPr>
          <w:rFonts w:eastAsia="Calibri" w:cs="BgnmpwWptfcpTimes-Roman" w:ascii="BgnmpwWptfcpTimes-Roman" w:hAnsi="BgnmpwWptfcpTimes-Roman"/>
          <w:sz w:val="20"/>
          <w:szCs w:val="20"/>
        </w:rPr>
        <w:t xml:space="preserve">assigning a notion of </w:t>
      </w:r>
      <w:r>
        <w:rPr>
          <w:rFonts w:eastAsia="Calibri" w:cs="KfjnvmNjhlcnTimes-Italic" w:ascii="KfjnvmNjhlcnTimes-Italic" w:hAnsi="KfjnvmNjhlcnTimes-Italic"/>
          <w:i/>
          <w:iCs/>
          <w:sz w:val="20"/>
          <w:szCs w:val="20"/>
        </w:rPr>
        <w:t xml:space="preserve">partial state </w:t>
      </w:r>
      <w:r>
        <w:rPr>
          <w:rFonts w:eastAsia="Calibri" w:cs="BgnmpwWptfcpTimes-Roman" w:ascii="BgnmpwWptfcpTimes-Roman" w:hAnsi="BgnmpwWptfcpTimes-Roman"/>
          <w:sz w:val="20"/>
          <w:szCs w:val="20"/>
        </w:rPr>
        <w:t xml:space="preserve">to each of the subsystems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1</w:t>
      </w:r>
      <w:r>
        <w:rPr>
          <w:rFonts w:eastAsia="HlshrbCnhnhfMTSYN" w:cs="HlshrbCnhnhfMTSYN" w:ascii="HlshrbCnhnhfMTSYN" w:hAnsi="HlshrbCnhnhfMTSYN"/>
          <w:sz w:val="20"/>
          <w:szCs w:val="20"/>
        </w:rPr>
        <w:t xml:space="preserve">] </w:t>
      </w:r>
      <w:r>
        <w:rPr>
          <w:rFonts w:eastAsia="Calibri" w:cs="BgnmpwWptfcpTimes-Roman" w:ascii="BgnmpwWptfcpTimes-Roman" w:hAnsi="BgnmpwWptfcpTimes-Roman"/>
          <w:sz w:val="20"/>
          <w:szCs w:val="20"/>
        </w:rPr>
        <w:t xml:space="preserve">and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2</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 although</w:t>
      </w:r>
    </w:p>
    <w:p>
      <w:pPr>
        <w:pStyle w:val="Normal"/>
        <w:spacing w:before="0" w:after="0"/>
        <w:contextualSpacing/>
        <w:jc w:val="left"/>
        <w:rPr/>
      </w:pPr>
      <w:r>
        <w:rPr>
          <w:rFonts w:eastAsia="Calibri" w:cs="BgnmpwWptfcpTimes-Roman" w:ascii="BgnmpwWptfcpTimes-Roman" w:hAnsi="BgnmpwWptfcpTimes-Roman"/>
          <w:sz w:val="20"/>
          <w:szCs w:val="20"/>
        </w:rPr>
        <w:t xml:space="preserve">each one of them does </w:t>
      </w:r>
      <w:r>
        <w:rPr>
          <w:rFonts w:eastAsia="Calibri" w:cs="KfjnvmNjhlcnTimes-Italic" w:ascii="KfjnvmNjhlcnTimes-Italic" w:hAnsi="KfjnvmNjhlcnTimes-Italic"/>
          <w:i/>
          <w:iCs/>
          <w:sz w:val="20"/>
          <w:szCs w:val="20"/>
        </w:rPr>
        <w:t xml:space="preserve">not </w:t>
      </w:r>
      <w:r>
        <w:rPr>
          <w:rFonts w:eastAsia="Calibri" w:cs="BgnmpwWptfcpTimes-Roman" w:ascii="BgnmpwWptfcpTimes-Roman" w:hAnsi="BgnmpwWptfcpTimes-Roman"/>
          <w:sz w:val="20"/>
          <w:szCs w:val="20"/>
        </w:rPr>
        <w:t>possess an individual, separable state, independently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state of the composite system. (204)</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sz w:val="20"/>
          <w:szCs w:val="20"/>
        </w:rPr>
        <w:t xml:space="preserve">However, it is important to realize that the reduced density operators </w:t>
      </w:r>
      <w:r>
        <w:rPr>
          <w:rFonts w:eastAsia="StcqctClkprsMTMI" w:cs="StcqctClkprsMTMI" w:ascii="StcqctClkprsMTMI" w:hAnsi="StcqctClkprsMTMI"/>
          <w:i/>
          <w:iCs/>
          <w:sz w:val="20"/>
          <w:szCs w:val="20"/>
        </w:rPr>
        <w:t>ρ</w:t>
      </w:r>
      <w:r>
        <w:rPr>
          <w:rFonts w:eastAsia="Calibri" w:cs="BgnmpwWptfcpTimes-Roman" w:ascii="BgnmpwWptfcpTimes-Roman" w:hAnsi="BgnmpwWptfcpTimes-Roman"/>
          <w:sz w:val="15"/>
          <w:szCs w:val="15"/>
        </w:rPr>
        <w:t xml:space="preserve">1 </w:t>
      </w:r>
      <w:r>
        <w:rPr>
          <w:rFonts w:eastAsia="Calibri" w:cs="BgnmpwWptfcpTimes-Roman" w:ascii="BgnmpwWptfcpTimes-Roman" w:hAnsi="BgnmpwWptfcpTimes-Roman"/>
          <w:sz w:val="20"/>
          <w:szCs w:val="20"/>
        </w:rPr>
        <w:t xml:space="preserve">and </w:t>
      </w:r>
      <w:r>
        <w:rPr>
          <w:rFonts w:eastAsia="StcqctClkprsMTMI" w:cs="StcqctClkprsMTMI" w:ascii="StcqctClkprsMTMI" w:hAnsi="StcqctClkprsMTMI"/>
          <w:i/>
          <w:iCs/>
          <w:sz w:val="20"/>
          <w:szCs w:val="20"/>
        </w:rPr>
        <w:t>ρ</w:t>
      </w:r>
      <w:r>
        <w:rPr>
          <w:rFonts w:eastAsia="Calibri" w:cs="BgnmpwWptfcpTimes-Roman" w:ascii="BgnmpwWptfcpTimes-Roman" w:hAnsi="BgnmpwWptfcpTimes-Roman"/>
          <w:sz w:val="15"/>
          <w:szCs w:val="15"/>
        </w:rPr>
        <w:t>2</w:t>
      </w:r>
    </w:p>
    <w:p>
      <w:pPr>
        <w:pStyle w:val="Normal"/>
        <w:spacing w:before="0" w:after="0"/>
        <w:contextualSpacing/>
        <w:jc w:val="left"/>
        <w:rPr/>
      </w:pPr>
      <w:r>
        <w:rPr>
          <w:rFonts w:eastAsia="Calibri" w:cs="BgnmpwWptfcpTimes-Roman" w:ascii="BgnmpwWptfcpTimes-Roman" w:hAnsi="BgnmpwWptfcpTimes-Roman"/>
          <w:sz w:val="20"/>
          <w:szCs w:val="20"/>
        </w:rPr>
        <w:t xml:space="preserve">are </w:t>
      </w:r>
      <w:r>
        <w:rPr>
          <w:rFonts w:eastAsia="Calibri" w:cs="KfjnvmNjhlcnTimes-Italic" w:ascii="KfjnvmNjhlcnTimes-Italic" w:hAnsi="KfjnvmNjhlcnTimes-Italic"/>
          <w:i/>
          <w:iCs/>
          <w:sz w:val="20"/>
          <w:szCs w:val="20"/>
        </w:rPr>
        <w:t xml:space="preserve">not </w:t>
      </w:r>
      <w:r>
        <w:rPr>
          <w:rFonts w:eastAsia="Calibri" w:cs="BgnmpwWptfcpTimes-Roman" w:ascii="BgnmpwWptfcpTimes-Roman" w:hAnsi="BgnmpwWptfcpTimes-Roman"/>
          <w:sz w:val="20"/>
          <w:szCs w:val="20"/>
        </w:rPr>
        <w:t xml:space="preserve">sufficient to determine the </w:t>
      </w:r>
      <w:r>
        <w:rPr>
          <w:rFonts w:eastAsia="Calibri" w:cs="KfjnvmNjhlcnTimes-Italic" w:ascii="KfjnvmNjhlcnTimes-Italic" w:hAnsi="KfjnvmNjhlcnTimes-Italic"/>
          <w:i/>
          <w:iCs/>
          <w:sz w:val="20"/>
          <w:szCs w:val="20"/>
        </w:rPr>
        <w:t xml:space="preserve">probabilities of pairs </w:t>
      </w:r>
      <w:r>
        <w:rPr>
          <w:rFonts w:eastAsia="Calibri" w:cs="BgnmpwWptfcpTimes-Roman" w:ascii="BgnmpwWptfcpTimes-Roman" w:hAnsi="BgnmpwWptfcpTimes-Roman"/>
          <w:sz w:val="20"/>
          <w:szCs w:val="20"/>
        </w:rPr>
        <w:t>of correlated events between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two subsystems. These pairs of correlated events are implied by the entanglement</w:t>
      </w:r>
    </w:p>
    <w:p>
      <w:pPr>
        <w:pStyle w:val="Normal"/>
        <w:spacing w:before="0" w:after="0"/>
        <w:contextualSpacing/>
        <w:jc w:val="left"/>
        <w:rPr/>
      </w:pPr>
      <w:r>
        <w:rPr>
          <w:rFonts w:eastAsia="Calibri" w:cs="BgnmpwWptfcpTimes-Roman" w:ascii="BgnmpwWptfcpTimes-Roman" w:hAnsi="BgnmpwWptfcpTimes-Roman"/>
          <w:sz w:val="20"/>
          <w:szCs w:val="20"/>
        </w:rPr>
        <w:t xml:space="preserve">of the states of the composite system if we consider </w:t>
      </w:r>
      <w:r>
        <w:rPr>
          <w:rFonts w:eastAsia="Calibri" w:cs="KfjnvmNjhlcnTimes-Italic" w:ascii="KfjnvmNjhlcnTimes-Italic" w:hAnsi="KfjnvmNjhlcnTimes-Italic"/>
          <w:i/>
          <w:iCs/>
          <w:sz w:val="20"/>
          <w:szCs w:val="20"/>
        </w:rPr>
        <w:t>compatible local actions</w:t>
      </w:r>
    </w:p>
    <w:p>
      <w:pPr>
        <w:pStyle w:val="Normal"/>
        <w:spacing w:before="0" w:after="0"/>
        <w:contextualSpacing/>
        <w:jc w:val="left"/>
        <w:rPr/>
      </w:pPr>
      <w:r>
        <w:rPr>
          <w:rFonts w:eastAsia="Calibri" w:cs="BgnmpwWptfcpTimes-Roman" w:ascii="BgnmpwWptfcpTimes-Roman" w:hAnsi="BgnmpwWptfcpTimes-Roman"/>
          <w:sz w:val="20"/>
          <w:szCs w:val="20"/>
        </w:rPr>
        <w:t xml:space="preserve">of the subsystems, meaning measurements which can be performed by </w:t>
      </w:r>
      <w:r>
        <w:rPr>
          <w:rFonts w:eastAsia="Calibri" w:cs="KfjnvmNjhlcnTimes-Italic" w:ascii="KfjnvmNjhlcnTimes-Italic" w:hAnsi="KfjnvmNjhlcnTimes-Italic"/>
          <w:i/>
          <w:iCs/>
          <w:sz w:val="20"/>
          <w:szCs w:val="20"/>
        </w:rPr>
        <w:t>compatible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observables </w:t>
      </w:r>
      <w:r>
        <w:rPr>
          <w:rFonts w:eastAsia="Calibri" w:cs="BgnmpwWptfcpTimes-Roman" w:ascii="BgnmpwWptfcpTimes-Roman" w:hAnsi="BgnmpwWptfcpTimes-Roman"/>
          <w:sz w:val="20"/>
          <w:szCs w:val="20"/>
        </w:rPr>
        <w:t xml:space="preserve">of subsystems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1</w:t>
      </w:r>
      <w:r>
        <w:rPr>
          <w:rFonts w:eastAsia="HlshrbCnhnhfMTSYN" w:cs="HlshrbCnhnhfMTSYN" w:ascii="HlshrbCnhnhfMTSYN" w:hAnsi="HlshrbCnhnhfMTSYN"/>
          <w:sz w:val="20"/>
          <w:szCs w:val="20"/>
        </w:rPr>
        <w:t xml:space="preserve">] </w:t>
      </w:r>
      <w:r>
        <w:rPr>
          <w:rFonts w:eastAsia="Calibri" w:cs="BgnmpwWptfcpTimes-Roman" w:ascii="BgnmpwWptfcpTimes-Roman" w:hAnsi="BgnmpwWptfcpTimes-Roman"/>
          <w:sz w:val="20"/>
          <w:szCs w:val="20"/>
        </w:rPr>
        <w:t xml:space="preserve">and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2</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 Equivalently, correlations between events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subsystems can be observedwith coincidencemeasurements performed between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compatible local Boolean frames within some Boolean localization system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composite system corresponding to these compatible observables. The condition</w:t>
      </w:r>
    </w:p>
    <w:p>
      <w:pPr>
        <w:pStyle w:val="Normal"/>
        <w:spacing w:before="0" w:after="0"/>
        <w:contextualSpacing/>
        <w:jc w:val="left"/>
        <w:rPr/>
      </w:pPr>
      <w:r>
        <w:rPr>
          <w:rFonts w:eastAsia="Calibri" w:cs="BgnmpwWptfcpTimes-Roman" w:ascii="BgnmpwWptfcpTimes-Roman" w:hAnsi="BgnmpwWptfcpTimes-Roman"/>
          <w:sz w:val="20"/>
          <w:szCs w:val="20"/>
        </w:rPr>
        <w:t xml:space="preserve">of local Boolean frame compatibility between observables of the subsystems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1</w:t>
      </w:r>
      <w:r>
        <w:rPr>
          <w:rFonts w:eastAsia="HlshrbCnhnhfMTSYN" w:cs="HlshrbCnhnhfMTSYN" w:ascii="HlshrbCnhnhfMTSYN" w:hAnsi="HlshrbCnhnhfMTSYN"/>
          <w:sz w:val="20"/>
          <w:szCs w:val="20"/>
        </w:rPr>
        <w:t>]</w:t>
      </w:r>
    </w:p>
    <w:p>
      <w:pPr>
        <w:pStyle w:val="Normal"/>
        <w:spacing w:before="0" w:after="0"/>
        <w:contextualSpacing/>
        <w:jc w:val="left"/>
        <w:rPr/>
      </w:pPr>
      <w:r>
        <w:rPr>
          <w:rFonts w:eastAsia="Calibri" w:cs="BgnmpwWptfcpTimes-Roman" w:ascii="BgnmpwWptfcpTimes-Roman" w:hAnsi="BgnmpwWptfcpTimes-Roman"/>
          <w:sz w:val="20"/>
          <w:szCs w:val="20"/>
        </w:rPr>
        <w:t xml:space="preserve">and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2</w:t>
      </w:r>
      <w:r>
        <w:rPr>
          <w:rFonts w:eastAsia="HlshrbCnhnhfMTSYN" w:cs="HlshrbCnhnhfMTSYN" w:ascii="HlshrbCnhnhfMTSYN" w:hAnsi="HlshrbCnhnhfMTSYN"/>
          <w:sz w:val="20"/>
          <w:szCs w:val="20"/>
        </w:rPr>
        <w:t xml:space="preserve">] </w:t>
      </w:r>
      <w:r>
        <w:rPr>
          <w:rFonts w:eastAsia="Calibri" w:cs="BgnmpwWptfcpTimes-Roman" w:ascii="BgnmpwWptfcpTimes-Roman" w:hAnsi="BgnmpwWptfcpTimes-Roman"/>
          <w:sz w:val="20"/>
          <w:szCs w:val="20"/>
        </w:rPr>
        <w:t xml:space="preserve">means that, given the reduced density operators </w:t>
      </w:r>
      <w:r>
        <w:rPr>
          <w:rFonts w:eastAsia="StcqctClkprsMTMI" w:cs="StcqctClkprsMTMI" w:ascii="StcqctClkprsMTMI" w:hAnsi="StcqctClkprsMTMI"/>
          <w:i/>
          <w:iCs/>
          <w:sz w:val="20"/>
          <w:szCs w:val="20"/>
        </w:rPr>
        <w:t>ρ</w:t>
      </w:r>
      <w:r>
        <w:rPr>
          <w:rFonts w:eastAsia="Calibri" w:cs="BgnmpwWptfcpTimes-Roman" w:ascii="BgnmpwWptfcpTimes-Roman" w:hAnsi="BgnmpwWptfcpTimes-Roman"/>
          <w:sz w:val="15"/>
          <w:szCs w:val="15"/>
        </w:rPr>
        <w:t xml:space="preserve">1 </w:t>
      </w:r>
      <w:r>
        <w:rPr>
          <w:rFonts w:eastAsia="Calibri" w:cs="BgnmpwWptfcpTimes-Roman" w:ascii="BgnmpwWptfcpTimes-Roman" w:hAnsi="BgnmpwWptfcpTimes-Roman"/>
          <w:sz w:val="20"/>
          <w:szCs w:val="20"/>
        </w:rPr>
        <w:t xml:space="preserve">and </w:t>
      </w:r>
      <w:r>
        <w:rPr>
          <w:rFonts w:eastAsia="StcqctClkprsMTMI" w:cs="StcqctClkprsMTMI" w:ascii="StcqctClkprsMTMI" w:hAnsi="StcqctClkprsMTMI"/>
          <w:i/>
          <w:iCs/>
          <w:sz w:val="20"/>
          <w:szCs w:val="20"/>
        </w:rPr>
        <w:t>ρ</w:t>
      </w:r>
      <w:r>
        <w:rPr>
          <w:rFonts w:eastAsia="Calibri" w:cs="BgnmpwWptfcpTimes-Roman" w:ascii="BgnmpwWptfcpTimes-Roman" w:hAnsi="BgnmpwWptfcpTimes-Roman"/>
          <w:sz w:val="15"/>
          <w:szCs w:val="15"/>
        </w:rPr>
        <w:t>2</w:t>
      </w:r>
      <w:r>
        <w:rPr>
          <w:rFonts w:eastAsia="Calibri" w:cs="BgnmpwWptfcpTimes-Roman" w:ascii="BgnmpwWptfcpTimes-Roman" w:hAnsi="BgnmpwWptfcpTimes-Roman"/>
          <w:sz w:val="20"/>
          <w:szCs w:val="20"/>
        </w:rPr>
        <w:t>, they constitute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restrictions or localizations </w:t>
      </w:r>
      <w:r>
        <w:rPr>
          <w:rFonts w:eastAsia="Calibri" w:cs="BgnmpwWptfcpTimes-Roman" w:ascii="BgnmpwWptfcpTimes-Roman" w:hAnsi="BgnmpwWptfcpTimes-Roman"/>
          <w:sz w:val="20"/>
          <w:szCs w:val="20"/>
        </w:rPr>
        <w:t xml:space="preserve">of some pure state of the composite system only if their </w:t>
      </w:r>
      <w:r>
        <w:rPr>
          <w:rFonts w:eastAsia="Calibri" w:cs="KfjnvmNjhlcnTimes-Italic" w:ascii="KfjnvmNjhlcnTimes-Italic" w:hAnsi="KfjnvmNjhlcnTimes-Italic"/>
          <w:i/>
          <w:iCs/>
          <w:sz w:val="20"/>
          <w:szCs w:val="20"/>
        </w:rPr>
        <w:t xml:space="preserve">eigenvalues </w:t>
      </w:r>
      <w:r>
        <w:rPr>
          <w:rFonts w:eastAsia="Calibri" w:cs="BgnmpwWptfcpTimes-Roman" w:ascii="BgnmpwWptfcpTimes-Roman" w:hAnsi="BgnmpwWptfcpTimes-Roman"/>
          <w:sz w:val="20"/>
          <w:szCs w:val="20"/>
        </w:rPr>
        <w:t>are identical with respect to these compatible Boolean frames. (205-206)</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the physical state of affairs the entanglement-correlated pairs of events usually</w:t>
      </w:r>
    </w:p>
    <w:p>
      <w:pPr>
        <w:pStyle w:val="Normal"/>
        <w:spacing w:before="0" w:after="0"/>
        <w:contextualSpacing/>
        <w:jc w:val="left"/>
        <w:rPr/>
      </w:pPr>
      <w:r>
        <w:rPr>
          <w:rFonts w:eastAsia="Calibri" w:cs="BgnmpwWptfcpTimes-Roman" w:ascii="BgnmpwWptfcpTimes-Roman" w:hAnsi="BgnmpwWptfcpTimes-Roman"/>
          <w:sz w:val="20"/>
          <w:szCs w:val="20"/>
        </w:rPr>
        <w:t xml:space="preserve">refer to some </w:t>
      </w:r>
      <w:r>
        <w:rPr>
          <w:rFonts w:eastAsia="Calibri" w:cs="KfjnvmNjhlcnTimes-Italic" w:ascii="KfjnvmNjhlcnTimes-Italic" w:hAnsi="KfjnvmNjhlcnTimes-Italic"/>
          <w:i/>
          <w:iCs/>
          <w:sz w:val="20"/>
          <w:szCs w:val="20"/>
        </w:rPr>
        <w:t xml:space="preserve">conserved </w:t>
      </w:r>
      <w:r>
        <w:rPr>
          <w:rFonts w:eastAsia="Calibri" w:cs="BgnmpwWptfcpTimes-Roman" w:ascii="BgnmpwWptfcpTimes-Roman" w:hAnsi="BgnmpwWptfcpTimes-Roman"/>
          <w:sz w:val="20"/>
          <w:szCs w:val="20"/>
        </w:rPr>
        <w:t>physical quantity like charge, energy, momentum, or spin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orientation of the composite system in relation to its subsystems (corresponding</w:t>
      </w:r>
    </w:p>
    <w:p>
      <w:pPr>
        <w:pStyle w:val="Normal"/>
        <w:spacing w:before="0" w:after="0"/>
        <w:contextualSpacing/>
        <w:jc w:val="left"/>
        <w:rPr/>
      </w:pPr>
      <w:r>
        <w:rPr>
          <w:rFonts w:eastAsia="Calibri" w:cs="BgnmpwWptfcpTimes-Roman" w:ascii="BgnmpwWptfcpTimes-Roman" w:hAnsi="BgnmpwWptfcpTimes-Roman"/>
          <w:sz w:val="20"/>
          <w:szCs w:val="20"/>
        </w:rPr>
        <w:t xml:space="preserve">to some specified observable of the combined system) and persist </w:t>
      </w:r>
      <w:r>
        <w:rPr>
          <w:rFonts w:eastAsia="Calibri" w:cs="KfjnvmNjhlcnTimes-Italic" w:ascii="KfjnvmNjhlcnTimes-Italic" w:hAnsi="KfjnvmNjhlcnTimes-Italic"/>
          <w:i/>
          <w:iCs/>
          <w:sz w:val="20"/>
          <w:szCs w:val="20"/>
        </w:rPr>
        <w:t xml:space="preserve">irrespective </w:t>
      </w:r>
      <w:r>
        <w:rPr>
          <w:rFonts w:eastAsia="Calibri" w:cs="BgnmpwWptfcpTimes-Roman" w:ascii="BgnmpwWptfcpTimes-Roman" w:hAnsi="BgnmpwWptfcpTimes-Roman"/>
          <w:sz w:val="20"/>
          <w:szCs w:val="20"/>
        </w:rPr>
        <w:t>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metrical distance between the subsystems. It is important for the understanding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these entanglement correlations to emphasize the significance of the locality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criterion in the quantum domain pertaining to the crucial role of compatibility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between local Boolean frames (with respect to which events occur by measurement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corresponding observables) in Boolean localization systems. This is the case</w:t>
      </w:r>
    </w:p>
    <w:p>
      <w:pPr>
        <w:pStyle w:val="Normal"/>
        <w:spacing w:before="0" w:after="0"/>
        <w:contextualSpacing/>
        <w:jc w:val="left"/>
        <w:rPr/>
      </w:pPr>
      <w:r>
        <w:rPr>
          <w:rFonts w:eastAsia="Calibri" w:cs="BgnmpwWptfcpTimes-Roman" w:ascii="BgnmpwWptfcpTimes-Roman" w:hAnsi="BgnmpwWptfcpTimes-Roman"/>
          <w:sz w:val="20"/>
          <w:szCs w:val="20"/>
        </w:rPr>
        <w:t xml:space="preserve">because entanglement correlations </w:t>
      </w:r>
      <w:r>
        <w:rPr>
          <w:rFonts w:eastAsia="Calibri" w:cs="KfjnvmNjhlcnTimes-Italic" w:ascii="KfjnvmNjhlcnTimes-Italic" w:hAnsi="KfjnvmNjhlcnTimes-Italic"/>
          <w:i/>
          <w:iCs/>
          <w:sz w:val="20"/>
          <w:szCs w:val="20"/>
        </w:rPr>
        <w:t xml:space="preserve">cannot be reduced </w:t>
      </w:r>
      <w:r>
        <w:rPr>
          <w:rFonts w:eastAsia="Calibri" w:cs="BgnmpwWptfcpTimes-Roman" w:ascii="BgnmpwWptfcpTimes-Roman" w:hAnsi="BgnmpwWptfcpTimes-Roman"/>
          <w:sz w:val="20"/>
          <w:szCs w:val="20"/>
        </w:rPr>
        <w:t>to correlations between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assumed pre-existing states assigned to the subsystems before the occurrence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events (with respect to their corresponding local Boolean frames).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this manner, we realize that the criterion of locality in the quantum domain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should be invoked explicitly in the analysis of quantum entanglement. More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precisely, it is instructive to summarize the main points as follows: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1. The notion of a quantum subsystem becomes spectrally distinguishable, and thus</w:t>
      </w:r>
    </w:p>
    <w:p>
      <w:pPr>
        <w:pStyle w:val="Normal"/>
        <w:spacing w:before="0" w:after="0"/>
        <w:contextualSpacing/>
        <w:jc w:val="left"/>
        <w:rPr/>
      </w:pPr>
      <w:r>
        <w:rPr>
          <w:rFonts w:eastAsia="Calibri" w:cs="BgnmpwWptfcpTimes-Roman" w:ascii="BgnmpwWptfcpTimes-Roman" w:hAnsi="BgnmpwWptfcpTimes-Roman"/>
          <w:sz w:val="20"/>
          <w:szCs w:val="20"/>
        </w:rPr>
        <w:t xml:space="preserve">localizable, only insofar a </w:t>
      </w:r>
      <w:r>
        <w:rPr>
          <w:rFonts w:eastAsia="Calibri" w:cs="KfjnvmNjhlcnTimes-Italic" w:ascii="KfjnvmNjhlcnTimes-Italic" w:hAnsi="KfjnvmNjhlcnTimes-Italic"/>
          <w:i/>
          <w:iCs/>
          <w:sz w:val="20"/>
          <w:szCs w:val="20"/>
        </w:rPr>
        <w:t xml:space="preserve">complete Boolean frame </w:t>
      </w:r>
      <w:r>
        <w:rPr>
          <w:rFonts w:eastAsia="Calibri" w:cs="BgnmpwWptfcpTimes-Roman" w:ascii="BgnmpwWptfcpTimes-Roman" w:hAnsi="BgnmpwWptfcpTimes-Roman"/>
          <w:sz w:val="20"/>
          <w:szCs w:val="20"/>
        </w:rPr>
        <w:t>is designated corresponding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the measurement of some observable and followed by the registration of some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observed event. In particular, the notion of a subsystem before the existence of</w:t>
      </w:r>
    </w:p>
    <w:p>
      <w:pPr>
        <w:pStyle w:val="Normal"/>
        <w:spacing w:before="0" w:after="0"/>
        <w:contextualSpacing/>
        <w:jc w:val="left"/>
        <w:rPr/>
      </w:pPr>
      <w:r>
        <w:rPr>
          <w:rFonts w:eastAsia="Calibri" w:cs="BgnmpwWptfcpTimes-Roman" w:ascii="BgnmpwWptfcpTimes-Roman" w:hAnsi="BgnmpwWptfcpTimes-Roman"/>
          <w:sz w:val="20"/>
          <w:szCs w:val="20"/>
        </w:rPr>
        <w:t xml:space="preserve">some observed event should be thought of as a </w:t>
      </w:r>
      <w:r>
        <w:rPr>
          <w:rFonts w:eastAsia="Calibri" w:cs="KfjnvmNjhlcnTimes-Italic" w:ascii="KfjnvmNjhlcnTimes-Italic" w:hAnsi="KfjnvmNjhlcnTimes-Italic"/>
          <w:i/>
          <w:iCs/>
          <w:sz w:val="20"/>
          <w:szCs w:val="20"/>
        </w:rPr>
        <w:t>potential locality</w:t>
      </w:r>
      <w:r>
        <w:rPr>
          <w:rFonts w:eastAsia="Calibri" w:cs="BgnmpwWptfcpTimes-Roman" w:ascii="BgnmpwWptfcpTimes-Roman" w:hAnsi="BgnmpwWptfcpTimes-Roman"/>
          <w:sz w:val="20"/>
          <w:szCs w:val="20"/>
        </w:rPr>
        <w:t>, which under the</w:t>
      </w:r>
    </w:p>
    <w:p>
      <w:pPr>
        <w:pStyle w:val="Normal"/>
        <w:spacing w:before="0" w:after="0"/>
        <w:contextualSpacing/>
        <w:jc w:val="left"/>
        <w:rPr/>
      </w:pPr>
      <w:r>
        <w:rPr>
          <w:rFonts w:eastAsia="Calibri" w:cs="BgnmpwWptfcpTimes-Roman" w:ascii="BgnmpwWptfcpTimes-Roman" w:hAnsi="BgnmpwWptfcpTimes-Roman"/>
          <w:sz w:val="20"/>
          <w:szCs w:val="20"/>
        </w:rPr>
        <w:t xml:space="preserve">designation of some Boolean frame acquires the interpretation of a </w:t>
      </w:r>
      <w:r>
        <w:rPr>
          <w:rFonts w:eastAsia="Calibri" w:cs="KfjnvmNjhlcnTimes-Italic" w:ascii="KfjnvmNjhlcnTimes-Italic" w:hAnsi="KfjnvmNjhlcnTimes-Italic"/>
          <w:i/>
          <w:iCs/>
          <w:sz w:val="20"/>
          <w:szCs w:val="20"/>
        </w:rPr>
        <w:t>probability</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function </w:t>
      </w:r>
      <w:r>
        <w:rPr>
          <w:rFonts w:eastAsia="Calibri" w:cs="BgnmpwWptfcpTimes-Roman" w:ascii="BgnmpwWptfcpTimes-Roman" w:hAnsi="BgnmpwWptfcpTimes-Roman"/>
          <w:sz w:val="20"/>
          <w:szCs w:val="20"/>
        </w:rPr>
        <w:t>(via its partial state description) for the evaluation of event-probabilities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pertaining to the realization of this subsystem as a reference linkage among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observed events referring to the corresponding observable;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2. The separation of a composite system into subsystems does not correspond to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partition of a system into subsystems with respect to their corresponding density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operators pertaining to their partial description. The only consistent description</w:t>
      </w:r>
    </w:p>
    <w:p>
      <w:pPr>
        <w:pStyle w:val="Normal"/>
        <w:spacing w:before="0" w:after="0"/>
        <w:contextualSpacing/>
        <w:jc w:val="left"/>
        <w:rPr/>
      </w:pPr>
      <w:r>
        <w:rPr>
          <w:rFonts w:eastAsia="Calibri" w:cs="BgnmpwWptfcpTimes-Roman" w:ascii="BgnmpwWptfcpTimes-Roman" w:hAnsi="BgnmpwWptfcpTimes-Roman"/>
          <w:sz w:val="20"/>
          <w:szCs w:val="20"/>
        </w:rPr>
        <w:t xml:space="preserve">is via the </w:t>
      </w:r>
      <w:r>
        <w:rPr>
          <w:rFonts w:eastAsia="Calibri" w:cs="KfjnvmNjhlcnTimes-Italic" w:ascii="KfjnvmNjhlcnTimes-Italic" w:hAnsi="KfjnvmNjhlcnTimes-Italic"/>
          <w:i/>
          <w:iCs/>
          <w:sz w:val="20"/>
          <w:szCs w:val="20"/>
        </w:rPr>
        <w:t>algebraic (sheaf-theoretic) operation of restriction or localization of</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the algebra of observables </w:t>
      </w:r>
      <w:r>
        <w:rPr>
          <w:rFonts w:eastAsia="Calibri" w:cs="BgnmpwWptfcpTimes-Roman" w:ascii="BgnmpwWptfcpTimes-Roman" w:hAnsi="BgnmpwWptfcpTimes-Roman"/>
          <w:sz w:val="20"/>
          <w:szCs w:val="20"/>
        </w:rPr>
        <w:t>of the composite system into appropriate subalgebras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observables corresponding to potential localities (subsystems) which can be realized only after the designation of local Boolean frames. Intuitively, these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subalgebras contain only observables which are “visible” by the so designated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subsystems, distinguished in this way only after the appearance of concrete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events. Furthermore, the observable-induced localized spectral distinguishability</w:t>
      </w:r>
    </w:p>
    <w:p>
      <w:pPr>
        <w:pStyle w:val="Normal"/>
        <w:spacing w:before="0" w:after="0"/>
        <w:contextualSpacing/>
        <w:jc w:val="left"/>
        <w:rPr/>
      </w:pPr>
      <w:r>
        <w:rPr>
          <w:rFonts w:eastAsia="Calibri" w:cs="BgnmpwWptfcpTimes-Roman" w:ascii="BgnmpwWptfcpTimes-Roman" w:hAnsi="BgnmpwWptfcpTimes-Roman"/>
          <w:sz w:val="20"/>
          <w:szCs w:val="20"/>
        </w:rPr>
        <w:t xml:space="preserve">of subsystems within a total system, for example of the subsystems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1</w:t>
      </w:r>
      <w:r>
        <w:rPr>
          <w:rFonts w:eastAsia="HlshrbCnhnhfMTSYN" w:cs="HlshrbCnhnhfMTSYN" w:ascii="HlshrbCnhnhfMTSYN" w:hAnsi="HlshrbCnhnhfMTSYN"/>
          <w:sz w:val="20"/>
          <w:szCs w:val="20"/>
        </w:rPr>
        <w:t xml:space="preserve">] </w:t>
      </w:r>
      <w:r>
        <w:rPr>
          <w:rFonts w:eastAsia="Calibri" w:cs="BgnmpwWptfcpTimes-Roman" w:ascii="BgnmpwWptfcpTimes-Roman" w:hAnsi="BgnmpwWptfcpTimes-Roman"/>
          <w:sz w:val="20"/>
          <w:szCs w:val="20"/>
        </w:rPr>
        <w:t xml:space="preserve">and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2</w:t>
      </w:r>
      <w:r>
        <w:rPr>
          <w:rFonts w:eastAsia="HlshrbCnhnhfMTSYN" w:cs="HlshrbCnhnhfMTSYN" w:ascii="HlshrbCnhnhfMTSYN" w:hAnsi="HlshrbCnhnhfMTSYN"/>
          <w:sz w:val="20"/>
          <w:szCs w:val="20"/>
        </w:rPr>
        <w: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according to the preceding, is effectuated by considering observables of the form</w:t>
      </w:r>
    </w:p>
    <w:p>
      <w:pPr>
        <w:pStyle w:val="Normal"/>
        <w:spacing w:before="0" w:after="0"/>
        <w:contextualSpacing/>
        <w:jc w:val="left"/>
        <w:rPr>
          <w:rFonts w:ascii="StcqctClkprsMTMI" w:hAnsi="StcqctClkprsMTMI" w:eastAsia="StcqctClkprsMTMI" w:cs="StcqctClkprsMTMI"/>
          <w:i/>
          <w:i/>
          <w:iCs/>
          <w:sz w:val="20"/>
          <w:szCs w:val="20"/>
        </w:rPr>
      </w:pPr>
      <w:r>
        <w:rPr>
          <w:rFonts w:eastAsia="StcqctClkprsMTMI" w:cs="StcqctClkprsMTMI" w:ascii="StcqctClkprsMTMI" w:hAnsi="StcqctClkprsMTMI"/>
          <w:i/>
          <w:iCs/>
          <w:sz w:val="20"/>
          <w:szCs w:val="20"/>
        </w:rPr>
        <w:t>A</w:t>
      </w:r>
    </w:p>
    <w:p>
      <w:pPr>
        <w:pStyle w:val="Normal"/>
        <w:spacing w:before="0" w:after="0"/>
        <w:contextualSpacing/>
        <w:jc w:val="left"/>
        <w:rPr/>
      </w:pPr>
      <w:r>
        <w:rPr>
          <w:rFonts w:eastAsia="HlshrbCnhnhfMTSYN" w:cs="HlshrbCnhnhfMTSYN" w:ascii="HlshrbCnhnhfMTSYN" w:hAnsi="HlshrbCnhnhfMTSYN"/>
          <w:sz w:val="15"/>
          <w:szCs w:val="15"/>
        </w:rPr>
        <w:t>[</w:t>
      </w:r>
      <w:r>
        <w:rPr>
          <w:rFonts w:eastAsia="Calibri" w:cs="BgnmpwWptfcpTimes-Roman" w:ascii="BgnmpwWptfcpTimes-Roman" w:hAnsi="BgnmpwWptfcpTimes-Roman"/>
          <w:sz w:val="15"/>
          <w:szCs w:val="15"/>
        </w:rPr>
        <w:t>1</w:t>
      </w:r>
      <w:r>
        <w:rPr>
          <w:rFonts w:eastAsia="HlshrbCnhnhfMTSYN" w:cs="HlshrbCnhnhfMTSYN" w:ascii="HlshrbCnhnhfMTSYN" w:hAnsi="HlshrbCnhnhfMTSYN"/>
          <w:sz w:val="15"/>
          <w:szCs w:val="15"/>
        </w:rPr>
        <w:t xml:space="preserve">] </w:t>
      </w:r>
      <w:r>
        <w:rPr>
          <w:rFonts w:eastAsia="MS Gothic" w:cs="MS Gothic" w:ascii="MS Gothic" w:hAnsi="MS Gothic"/>
          <w:sz w:val="20"/>
          <w:szCs w:val="20"/>
        </w:rPr>
        <w:t>⊗</w:t>
      </w:r>
      <w:r>
        <w:rPr>
          <w:rFonts w:eastAsia="HlshrbCnhnhfMTSYN" w:cs="HlshrbCnhnhfMTSYN" w:ascii="HlshrbCnhnhfMTSYN" w:hAnsi="HlshrbCnhnhfMTSYN"/>
          <w:sz w:val="20"/>
          <w:szCs w:val="20"/>
        </w:rPr>
        <w:t xml:space="preserve"> </w:t>
      </w:r>
      <w:r>
        <w:rPr>
          <w:rFonts w:eastAsia="Calibri" w:cs="BgnmpwWptfcpTimes-Roman" w:ascii="BgnmpwWptfcpTimes-Roman" w:hAnsi="BgnmpwWptfcpTimes-Roman"/>
          <w:sz w:val="20"/>
          <w:szCs w:val="20"/>
        </w:rPr>
        <w:t>1</w:t>
      </w:r>
      <w:r>
        <w:rPr>
          <w:rFonts w:eastAsia="HlshrbCnhnhfMTSYN" w:cs="HlshrbCnhnhfMTSYN" w:ascii="HlshrbCnhnhfMTSYN" w:hAnsi="HlshrbCnhnhfMTSYN"/>
          <w:sz w:val="15"/>
          <w:szCs w:val="15"/>
        </w:rPr>
        <w:t>[</w:t>
      </w:r>
      <w:r>
        <w:rPr>
          <w:rFonts w:eastAsia="Calibri" w:cs="BgnmpwWptfcpTimes-Roman" w:ascii="BgnmpwWptfcpTimes-Roman" w:hAnsi="BgnmpwWptfcpTimes-Roman"/>
          <w:sz w:val="15"/>
          <w:szCs w:val="15"/>
        </w:rPr>
        <w:t>2</w:t>
      </w:r>
      <w:r>
        <w:rPr>
          <w:rFonts w:eastAsia="HlshrbCnhnhfMTSYN" w:cs="HlshrbCnhnhfMTSYN" w:ascii="HlshrbCnhnhfMTSYN" w:hAnsi="HlshrbCnhnhfMTSYN"/>
          <w:sz w:val="15"/>
          <w:szCs w:val="15"/>
        </w:rPr>
        <w:t xml:space="preserve">] </w:t>
      </w:r>
      <w:r>
        <w:rPr>
          <w:rFonts w:eastAsia="Calibri" w:cs="BgnmpwWptfcpTimes-Roman" w:ascii="BgnmpwWptfcpTimes-Roman" w:hAnsi="BgnmpwWptfcpTimes-Roman"/>
          <w:sz w:val="20"/>
          <w:szCs w:val="20"/>
        </w:rPr>
        <w:t>and 1</w:t>
      </w:r>
      <w:r>
        <w:rPr>
          <w:rFonts w:eastAsia="HlshrbCnhnhfMTSYN" w:cs="HlshrbCnhnhfMTSYN" w:ascii="HlshrbCnhnhfMTSYN" w:hAnsi="HlshrbCnhnhfMTSYN"/>
          <w:sz w:val="15"/>
          <w:szCs w:val="15"/>
        </w:rPr>
        <w:t>[</w:t>
      </w:r>
      <w:r>
        <w:rPr>
          <w:rFonts w:eastAsia="Calibri" w:cs="BgnmpwWptfcpTimes-Roman" w:ascii="BgnmpwWptfcpTimes-Roman" w:hAnsi="BgnmpwWptfcpTimes-Roman"/>
          <w:sz w:val="15"/>
          <w:szCs w:val="15"/>
        </w:rPr>
        <w:t>1</w:t>
      </w:r>
      <w:r>
        <w:rPr>
          <w:rFonts w:eastAsia="HlshrbCnhnhfMTSYN" w:cs="HlshrbCnhnhfMTSYN" w:ascii="HlshrbCnhnhfMTSYN" w:hAnsi="HlshrbCnhnhfMTSYN"/>
          <w:sz w:val="15"/>
          <w:szCs w:val="15"/>
        </w:rPr>
        <w:t xml:space="preserve">] </w:t>
      </w:r>
      <w:r>
        <w:rPr>
          <w:rFonts w:eastAsia="MS Gothic" w:cs="MS Gothic" w:ascii="MS Gothic" w:hAnsi="MS Gothic"/>
          <w:sz w:val="20"/>
          <w:szCs w:val="20"/>
        </w:rPr>
        <w:t>⊗</w:t>
      </w:r>
      <w:r>
        <w:rPr>
          <w:rFonts w:eastAsia="HlshrbCnhnhfMTSYN" w:cs="HlshrbCnhnhfMTSYN" w:ascii="HlshrbCnhnhfMTSYN" w:hAnsi="HlshrbCnhnhfMTSYN"/>
          <w:sz w:val="20"/>
          <w:szCs w:val="20"/>
        </w:rPr>
        <w:t xml:space="preserve"> </w:t>
      </w:r>
      <w:r>
        <w:rPr>
          <w:rFonts w:eastAsia="StcqctClkprsMTMI" w:cs="StcqctClkprsMTMI" w:ascii="StcqctClkprsMTMI" w:hAnsi="StcqctClkprsMTMI"/>
          <w:i/>
          <w:iCs/>
          <w:sz w:val="20"/>
          <w:szCs w:val="20"/>
        </w:rPr>
        <w:t>B</w:t>
      </w:r>
    </w:p>
    <w:p>
      <w:pPr>
        <w:pStyle w:val="Normal"/>
        <w:spacing w:before="0" w:after="0"/>
        <w:contextualSpacing/>
        <w:jc w:val="left"/>
        <w:rPr/>
      </w:pPr>
      <w:r>
        <w:rPr>
          <w:rFonts w:eastAsia="HlshrbCnhnhfMTSYN" w:cs="HlshrbCnhnhfMTSYN" w:ascii="HlshrbCnhnhfMTSYN" w:hAnsi="HlshrbCnhnhfMTSYN"/>
          <w:sz w:val="15"/>
          <w:szCs w:val="15"/>
        </w:rPr>
        <w:t>[</w:t>
      </w:r>
      <w:r>
        <w:rPr>
          <w:rFonts w:eastAsia="Calibri" w:cs="BgnmpwWptfcpTimes-Roman" w:ascii="BgnmpwWptfcpTimes-Roman" w:hAnsi="BgnmpwWptfcpTimes-Roman"/>
          <w:sz w:val="15"/>
          <w:szCs w:val="15"/>
        </w:rPr>
        <w:t>2</w:t>
      </w:r>
      <w:r>
        <w:rPr>
          <w:rFonts w:eastAsia="HlshrbCnhnhfMTSYN" w:cs="HlshrbCnhnhfMTSYN" w:ascii="HlshrbCnhnhfMTSYN" w:hAnsi="HlshrbCnhnhfMTSYN"/>
          <w:sz w:val="15"/>
          <w:szCs w:val="15"/>
        </w:rPr>
        <w:t xml:space="preserve">] </w:t>
      </w:r>
      <w:r>
        <w:rPr>
          <w:rFonts w:eastAsia="Calibri" w:cs="BgnmpwWptfcpTimes-Roman" w:ascii="BgnmpwWptfcpTimes-Roman" w:hAnsi="BgnmpwWptfcpTimes-Roman"/>
          <w:sz w:val="20"/>
          <w:szCs w:val="20"/>
        </w:rPr>
        <w:t>within the algebra of observables of the total system;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3. The observable-induced localized spectral distinguishability of subsystems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within a total system allows an understanding of entanglement correlations</w:t>
      </w:r>
    </w:p>
    <w:p>
      <w:pPr>
        <w:pStyle w:val="Normal"/>
        <w:spacing w:before="0" w:after="0"/>
        <w:contextualSpacing/>
        <w:jc w:val="left"/>
        <w:rPr/>
      </w:pPr>
      <w:r>
        <w:rPr>
          <w:rFonts w:eastAsia="Calibri" w:cs="BgnmpwWptfcpTimes-Roman" w:ascii="BgnmpwWptfcpTimes-Roman" w:hAnsi="BgnmpwWptfcpTimes-Roman"/>
          <w:sz w:val="20"/>
          <w:szCs w:val="20"/>
        </w:rPr>
        <w:t xml:space="preserve">between the subsystems under the condition of </w:t>
      </w:r>
      <w:r>
        <w:rPr>
          <w:rFonts w:eastAsia="Calibri" w:cs="KfjnvmNjhlcnTimes-Italic" w:ascii="KfjnvmNjhlcnTimes-Italic" w:hAnsi="KfjnvmNjhlcnTimes-Italic"/>
          <w:i/>
          <w:iCs/>
          <w:sz w:val="20"/>
          <w:szCs w:val="20"/>
        </w:rPr>
        <w:t xml:space="preserve">compatibility </w:t>
      </w:r>
      <w:r>
        <w:rPr>
          <w:rFonts w:eastAsia="Calibri" w:cs="BgnmpwWptfcpTimes-Roman" w:ascii="BgnmpwWptfcpTimes-Roman" w:hAnsi="BgnmpwWptfcpTimes-Roman"/>
          <w:sz w:val="20"/>
          <w:szCs w:val="20"/>
        </w:rPr>
        <w:t>between their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corresponding local Boolean frames within a Boolean localization system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total system. The condition of compatibility means that given the reduced</w:t>
      </w:r>
    </w:p>
    <w:p>
      <w:pPr>
        <w:pStyle w:val="Normal"/>
        <w:spacing w:before="0" w:after="0"/>
        <w:contextualSpacing/>
        <w:jc w:val="left"/>
        <w:rPr/>
      </w:pPr>
      <w:r>
        <w:rPr>
          <w:rFonts w:eastAsia="Calibri" w:cs="BgnmpwWptfcpTimes-Roman" w:ascii="BgnmpwWptfcpTimes-Roman" w:hAnsi="BgnmpwWptfcpTimes-Roman"/>
          <w:sz w:val="20"/>
          <w:szCs w:val="20"/>
        </w:rPr>
        <w:t xml:space="preserve">density operators </w:t>
      </w:r>
      <w:r>
        <w:rPr>
          <w:rFonts w:eastAsia="StcqctClkprsMTMI" w:cs="StcqctClkprsMTMI" w:ascii="StcqctClkprsMTMI" w:hAnsi="StcqctClkprsMTMI"/>
          <w:i/>
          <w:iCs/>
          <w:sz w:val="20"/>
          <w:szCs w:val="20"/>
        </w:rPr>
        <w:t>ρ</w:t>
      </w:r>
      <w:r>
        <w:rPr>
          <w:rFonts w:eastAsia="Calibri" w:cs="BgnmpwWptfcpTimes-Roman" w:ascii="BgnmpwWptfcpTimes-Roman" w:hAnsi="BgnmpwWptfcpTimes-Roman"/>
          <w:sz w:val="15"/>
          <w:szCs w:val="15"/>
        </w:rPr>
        <w:t xml:space="preserve">1 </w:t>
      </w:r>
      <w:r>
        <w:rPr>
          <w:rFonts w:eastAsia="Calibri" w:cs="BgnmpwWptfcpTimes-Roman" w:ascii="BgnmpwWptfcpTimes-Roman" w:hAnsi="BgnmpwWptfcpTimes-Roman"/>
          <w:sz w:val="20"/>
          <w:szCs w:val="20"/>
        </w:rPr>
        <w:t xml:space="preserve">and </w:t>
      </w:r>
      <w:r>
        <w:rPr>
          <w:rFonts w:eastAsia="StcqctClkprsMTMI" w:cs="StcqctClkprsMTMI" w:ascii="StcqctClkprsMTMI" w:hAnsi="StcqctClkprsMTMI"/>
          <w:i/>
          <w:iCs/>
          <w:sz w:val="20"/>
          <w:szCs w:val="20"/>
        </w:rPr>
        <w:t>ρ</w:t>
      </w:r>
      <w:r>
        <w:rPr>
          <w:rFonts w:eastAsia="Calibri" w:cs="BgnmpwWptfcpTimes-Roman" w:ascii="BgnmpwWptfcpTimes-Roman" w:hAnsi="BgnmpwWptfcpTimes-Roman"/>
          <w:sz w:val="15"/>
          <w:szCs w:val="15"/>
        </w:rPr>
        <w:t xml:space="preserve">2 </w:t>
      </w:r>
      <w:r>
        <w:rPr>
          <w:rFonts w:eastAsia="Calibri" w:cs="BgnmpwWptfcpTimes-Roman" w:ascii="BgnmpwWptfcpTimes-Roman" w:hAnsi="BgnmpwWptfcpTimes-Roman"/>
          <w:sz w:val="20"/>
          <w:szCs w:val="20"/>
        </w:rPr>
        <w:t>in the case of two localized subsystems, they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constitute restrictions of some pure state of the composite system only if their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eigenvalues are identical with respect to these compatible Boolean frames.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Reflecting on the above, we conclude that the notion of entanglement 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non-separability pertaining to the description of a composite quantum system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reference to its localized parts and conversely requires to take seriously</w:t>
      </w:r>
    </w:p>
    <w:p>
      <w:pPr>
        <w:pStyle w:val="Normal"/>
        <w:spacing w:before="0" w:after="0"/>
        <w:contextualSpacing/>
        <w:jc w:val="left"/>
        <w:rPr/>
      </w:pPr>
      <w:r>
        <w:rPr>
          <w:rFonts w:eastAsia="Calibri" w:cs="BgnmpwWptfcpTimes-Roman" w:ascii="BgnmpwWptfcpTimes-Roman" w:hAnsi="BgnmpwWptfcpTimes-Roman"/>
          <w:sz w:val="20"/>
          <w:szCs w:val="20"/>
        </w:rPr>
        <w:t xml:space="preserve">into account the </w:t>
      </w:r>
      <w:r>
        <w:rPr>
          <w:rFonts w:eastAsia="Calibri" w:cs="KfjnvmNjhlcnTimes-Italic" w:ascii="KfjnvmNjhlcnTimes-Italic" w:hAnsi="KfjnvmNjhlcnTimes-Italic"/>
          <w:i/>
          <w:iCs/>
          <w:sz w:val="20"/>
          <w:szCs w:val="20"/>
        </w:rPr>
        <w:t xml:space="preserve">intrinsic relativity </w:t>
      </w:r>
      <w:r>
        <w:rPr>
          <w:rFonts w:eastAsia="Calibri" w:cs="BgnmpwWptfcpTimes-Roman" w:ascii="BgnmpwWptfcpTimes-Roman" w:hAnsi="BgnmpwWptfcpTimes-Roman"/>
          <w:sz w:val="20"/>
          <w:szCs w:val="20"/>
        </w:rPr>
        <w:t>of this notion with respect to the depiction</w:t>
      </w:r>
    </w:p>
    <w:p>
      <w:pPr>
        <w:pStyle w:val="Normal"/>
        <w:spacing w:before="0" w:after="0"/>
        <w:contextualSpacing/>
        <w:jc w:val="left"/>
        <w:rPr/>
      </w:pPr>
      <w:r>
        <w:rPr>
          <w:rFonts w:eastAsia="Calibri" w:cs="BgnmpwWptfcpTimes-Roman" w:ascii="BgnmpwWptfcpTimes-Roman" w:hAnsi="BgnmpwWptfcpTimes-Roman"/>
          <w:sz w:val="20"/>
          <w:szCs w:val="20"/>
        </w:rPr>
        <w:t xml:space="preserve">of certain </w:t>
      </w:r>
      <w:r>
        <w:rPr>
          <w:rFonts w:eastAsia="Calibri" w:cs="KfjnvmNjhlcnTimes-Italic" w:ascii="KfjnvmNjhlcnTimes-Italic" w:hAnsi="KfjnvmNjhlcnTimes-Italic"/>
          <w:i/>
          <w:iCs/>
          <w:sz w:val="20"/>
          <w:szCs w:val="20"/>
        </w:rPr>
        <w:t xml:space="preserve">compatible local Boolean frames distinguishing the subsystems </w:t>
      </w:r>
      <w:r>
        <w:rPr>
          <w:rFonts w:eastAsia="Calibri" w:cs="BgnmpwWptfcpTimes-Roman" w:ascii="BgnmpwWptfcpTimes-Roman" w:hAnsi="BgnmpwWptfcpTimes-Roman"/>
          <w:sz w:val="20"/>
          <w:szCs w:val="20"/>
        </w:rPr>
        <w:t>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corresponding to compatible observables. (206-207)</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actions of observables on the boundary and using the “ER=EPR” correspondence</w:t>
      </w:r>
    </w:p>
    <w:p>
      <w:pPr>
        <w:pStyle w:val="Normal"/>
        <w:spacing w:before="0" w:after="0"/>
        <w:contextualSpacing/>
        <w:jc w:val="left"/>
        <w:rPr/>
      </w:pPr>
      <w:r>
        <w:rPr>
          <w:rFonts w:eastAsia="Calibri" w:cs="KfjnvmNjhlcnTimes-Italic" w:ascii="KfjnvmNjhlcnTimes-Italic" w:hAnsi="KfjnvmNjhlcnTimes-Italic"/>
          <w:i/>
          <w:iCs/>
          <w:sz w:val="20"/>
          <w:szCs w:val="20"/>
        </w:rPr>
        <w:t>in this generalized setting</w:t>
      </w:r>
      <w:r>
        <w:rPr>
          <w:rFonts w:eastAsia="Calibri" w:cs="BgnmpwWptfcpTimes-Roman" w:ascii="BgnmpwWptfcpTimes-Roman" w:hAnsi="BgnmpwWptfcpTimes-Roman"/>
          <w:sz w:val="20"/>
          <w:szCs w:val="20"/>
        </w:rPr>
        <w:t>. More precisely, we already know that if we consider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maximally entangled pair of two parties, then a local action of an observable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any of them corresponding to an observational procedure of a complete set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commuting observables (and thus, incorporating the criterion of locality in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quantum domain) carried out by a third party leads to a GHZ-type of entanglement,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which in turn corresponds to the Borromean linking property. Therefore, by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applying the “ER = EPR” correspondencewe can instantiate a Planck scale Einstein-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Rosen bridge that links three circular singular boundaries and defining a closed and</w:t>
      </w:r>
    </w:p>
    <w:p>
      <w:pPr>
        <w:pStyle w:val="Normal"/>
        <w:spacing w:before="0" w:after="0"/>
        <w:contextualSpacing/>
        <w:jc w:val="left"/>
        <w:rPr/>
      </w:pPr>
      <w:r>
        <w:rPr>
          <w:rFonts w:eastAsia="Calibri" w:cs="BgnmpwWptfcpTimes-Roman" w:ascii="BgnmpwWptfcpTimes-Roman" w:hAnsi="BgnmpwWptfcpTimes-Roman"/>
          <w:sz w:val="20"/>
          <w:szCs w:val="20"/>
        </w:rPr>
        <w:t xml:space="preserve">nowhere dense subset of an open set of </w:t>
      </w:r>
      <w:r>
        <w:rPr>
          <w:rFonts w:eastAsia="StcqctClkprsMTMI" w:cs="StcqctClkprsMTMI" w:ascii="StcqctClkprsMTMI" w:hAnsi="StcqctClkprsMTMI"/>
          <w:i/>
          <w:iCs/>
          <w:sz w:val="20"/>
          <w:szCs w:val="20"/>
        </w:rPr>
        <w:t>S</w:t>
      </w:r>
      <w:r>
        <w:rPr>
          <w:rFonts w:eastAsia="Calibri" w:cs="BgnmpwWptfcpTimes-Roman" w:ascii="BgnmpwWptfcpTimes-Roman" w:hAnsi="BgnmpwWptfcpTimes-Roman"/>
          <w:sz w:val="15"/>
          <w:szCs w:val="15"/>
        </w:rPr>
        <w:t>3</w:t>
      </w:r>
      <w:r>
        <w:rPr>
          <w:rFonts w:eastAsia="Calibri" w:cs="BgnmpwWptfcpTimes-Roman" w:ascii="BgnmpwWptfcpTimes-Roman" w:hAnsi="BgnmpwWptfcpTimes-Roman"/>
          <w:sz w:val="20"/>
          <w:szCs w:val="20"/>
        </w:rPr>
        <w:t>. This can be extended to the bulk, so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we obtain a closed and nowhere dense subset of an open set in the bulk bearing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property that its restriction to the boundary forms a Borromean link. Clearly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same procedure can be employed for higher order links given that all of them can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 constructed in terms of Borromean building blocks. In this setting, the singular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loci in the bulk form closed and nowhere dense subsets with respect to an open</w:t>
      </w:r>
    </w:p>
    <w:p>
      <w:pPr>
        <w:pStyle w:val="Normal"/>
        <w:spacing w:before="0" w:after="0"/>
        <w:contextualSpacing/>
        <w:jc w:val="left"/>
        <w:rPr/>
      </w:pPr>
      <w:r>
        <w:rPr>
          <w:rFonts w:eastAsia="Calibri" w:cs="BgnmpwWptfcpTimes-Roman" w:ascii="BgnmpwWptfcpTimes-Roman" w:hAnsi="BgnmpwWptfcpTimes-Roman"/>
          <w:sz w:val="20"/>
          <w:szCs w:val="20"/>
        </w:rPr>
        <w:t xml:space="preserve">set in the bulk. Moreover, </w:t>
      </w:r>
      <w:r>
        <w:rPr>
          <w:rFonts w:eastAsia="Calibri" w:cs="KfjnvmNjhlcnTimes-Italic" w:ascii="KfjnvmNjhlcnTimes-Italic" w:hAnsi="KfjnvmNjhlcnTimes-Italic"/>
          <w:i/>
          <w:iCs/>
          <w:sz w:val="20"/>
          <w:szCs w:val="20"/>
        </w:rPr>
        <w:t>local actions of observables can be partially ordered,</w:t>
      </w:r>
    </w:p>
    <w:p>
      <w:pPr>
        <w:pStyle w:val="Normal"/>
        <w:spacing w:before="0" w:after="0"/>
        <w:contextualSpacing/>
        <w:jc w:val="left"/>
        <w:rPr/>
      </w:pPr>
      <w:r>
        <w:rPr>
          <w:rFonts w:eastAsia="Calibri" w:cs="KfjnvmNjhlcnTimes-Italic" w:ascii="KfjnvmNjhlcnTimes-Italic" w:hAnsi="KfjnvmNjhlcnTimes-Italic"/>
          <w:i/>
          <w:iCs/>
          <w:sz w:val="20"/>
          <w:szCs w:val="20"/>
        </w:rPr>
        <w:t>which corresponds to an ordering of the formed link components</w:t>
      </w:r>
      <w:r>
        <w:rPr>
          <w:rFonts w:eastAsia="Calibri" w:cs="BgnmpwWptfcpTimes-Roman" w:ascii="BgnmpwWptfcpTimes-Roman" w:hAnsi="BgnmpwWptfcpTimes-Roman"/>
          <w:sz w:val="20"/>
          <w:szCs w:val="20"/>
        </w:rPr>
        <w:t>. The pertinent</w:t>
      </w:r>
    </w:p>
    <w:p>
      <w:pPr>
        <w:pStyle w:val="Normal"/>
        <w:spacing w:before="0" w:after="0"/>
        <w:contextualSpacing/>
        <w:jc w:val="left"/>
        <w:rPr/>
      </w:pPr>
      <w:r>
        <w:rPr>
          <w:rFonts w:eastAsia="Calibri" w:cs="BgnmpwWptfcpTimes-Roman" w:ascii="BgnmpwWptfcpTimes-Roman" w:hAnsi="BgnmpwWptfcpTimes-Roman"/>
          <w:sz w:val="20"/>
          <w:szCs w:val="20"/>
        </w:rPr>
        <w:t xml:space="preserve">problem now is to construct </w:t>
      </w:r>
      <w:r>
        <w:rPr>
          <w:rFonts w:eastAsia="Calibri" w:cs="KfjnvmNjhlcnTimes-Italic" w:ascii="KfjnvmNjhlcnTimes-Italic" w:hAnsi="KfjnvmNjhlcnTimes-Italic"/>
          <w:i/>
          <w:iCs/>
          <w:sz w:val="20"/>
          <w:szCs w:val="20"/>
        </w:rPr>
        <w:t>distinguishable extensions of the smooth model of the</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bulk entering the quantum gravity regime using the obtained partial order of forcing</w:t>
      </w:r>
    </w:p>
    <w:p>
      <w:pPr>
        <w:pStyle w:val="Normal"/>
        <w:spacing w:before="0" w:after="0"/>
        <w:contextualSpacing/>
        <w:jc w:val="left"/>
        <w:rPr/>
      </w:pPr>
      <w:r>
        <w:rPr>
          <w:rFonts w:eastAsia="Calibri" w:cs="KfjnvmNjhlcnTimes-Italic" w:ascii="KfjnvmNjhlcnTimes-Italic" w:hAnsi="KfjnvmNjhlcnTimes-Italic"/>
          <w:i/>
          <w:iCs/>
          <w:sz w:val="20"/>
          <w:szCs w:val="20"/>
        </w:rPr>
        <w:t>conditions</w:t>
      </w:r>
      <w:r>
        <w:rPr>
          <w:rFonts w:eastAsia="Calibri" w:cs="BgnmpwWptfcpTimes-Roman" w:ascii="BgnmpwWptfcpTimes-Roman" w:hAnsi="BgnmpwWptfcpTimes-Roman"/>
          <w:sz w:val="20"/>
          <w:szCs w:val="20"/>
        </w:rPr>
        <w:t>. (209)</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pStyle w:val="Normal"/>
        <w:spacing w:before="0" w:after="0"/>
        <w:contextualSpacing/>
        <w:jc w:val="left"/>
        <w:rPr>
          <w:rFonts w:eastAsia="Calibri"/>
          <w:b/>
          <w:b/>
          <w:color w:val="FF0000"/>
        </w:rPr>
      </w:pPr>
      <w:r>
        <w:rPr>
          <w:rFonts w:eastAsia="Calibri"/>
          <w:b/>
          <w:color w:val="FF0000"/>
        </w:rPr>
      </w:r>
    </w:p>
    <w:p>
      <w:pPr>
        <w:pStyle w:val="Normal"/>
        <w:spacing w:before="0" w:after="0"/>
        <w:contextualSpacing/>
        <w:jc w:val="left"/>
        <w:rPr>
          <w:rFonts w:eastAsia="Calibri"/>
          <w:b/>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pStyle w:val="Normal"/>
        <w:spacing w:before="0" w:after="0"/>
        <w:contextualSpacing/>
        <w:jc w:val="left"/>
        <w:rPr>
          <w:rFonts w:eastAsia="Calibri"/>
          <w:b/>
          <w:b/>
          <w:color w:val="FF0000"/>
        </w:rPr>
      </w:pPr>
      <w:r>
        <w:rPr>
          <w:rFonts w:eastAsia="Calibri"/>
          <w:b/>
          <w:color w:val="FF0000"/>
        </w:rPr>
      </w:r>
    </w:p>
    <w:p>
      <w:pPr>
        <w:pStyle w:val="Normal"/>
        <w:spacing w:before="0" w:after="0"/>
        <w:contextualSpacing/>
        <w:jc w:val="left"/>
        <w:rPr>
          <w:rFonts w:eastAsia="Calibri"/>
          <w:b/>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tabs>
          <w:tab w:val="clear" w:pos="720"/>
          <w:tab w:val="left" w:pos="5280" w:leader="none"/>
        </w:tabs>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b/>
      </w:r>
    </w:p>
    <w:p>
      <w:pPr>
        <w:pStyle w:val="Normal"/>
        <w:widowControl w:val="false"/>
        <w:spacing w:before="0" w:after="0"/>
        <w:contextualSpacing/>
        <w:rPr>
          <w:sz w:val="20"/>
          <w:szCs w:val="20"/>
        </w:rPr>
      </w:pPr>
      <w:r>
        <w:rPr>
          <w:sz w:val="20"/>
          <w:szCs w:val="20"/>
        </w:rPr>
      </w:r>
    </w:p>
    <w:p>
      <w:pPr>
        <w:pStyle w:val="Normal"/>
        <w:widowControl w:val="false"/>
        <w:spacing w:before="0" w:after="0"/>
        <w:contextualSpacing/>
        <w:rPr>
          <w:sz w:val="20"/>
          <w:szCs w:val="20"/>
        </w:rPr>
      </w:pPr>
      <w:r>
        <w:rPr>
          <w:sz w:val="20"/>
          <w:szCs w:val="20"/>
        </w:rPr>
      </w:r>
    </w:p>
    <w:p>
      <w:pPr>
        <w:pStyle w:val="Normal"/>
        <w:widowControl w:val="false"/>
        <w:spacing w:before="0" w:after="0"/>
        <w:contextualSpacing/>
        <w:rPr>
          <w:sz w:val="20"/>
          <w:szCs w:val="20"/>
        </w:rPr>
      </w:pPr>
      <w:r>
        <w:rPr>
          <w:sz w:val="20"/>
          <w:szCs w:val="20"/>
        </w:rPr>
      </w:r>
    </w:p>
    <w:p>
      <w:pPr>
        <w:pStyle w:val="ListParagraph"/>
        <w:numPr>
          <w:ilvl w:val="0"/>
          <w:numId w:val="34"/>
        </w:numPr>
        <w:spacing w:before="0" w:after="0"/>
        <w:ind w:left="0" w:right="0" w:hanging="360"/>
        <w:contextualSpacing/>
        <w:rPr/>
      </w:pPr>
      <w:r>
        <w:rPr>
          <w:rFonts w:eastAsia="Calibri" w:cs="AdvOTea1a7398" w:ascii="AdvOTea1a7398" w:hAnsi="AdvOTea1a7398"/>
          <w:b/>
          <w:sz w:val="28"/>
          <w:szCs w:val="28"/>
        </w:rPr>
        <w:t xml:space="preserve">(2019) Flaminia Giacomini, Esteban Castro-Ruiz, &amp; </w:t>
      </w:r>
      <w:r>
        <w:rPr>
          <w:rFonts w:eastAsia="Calibri" w:cs="AdvOTea1a7398+01" w:ascii="AdvOTea1a7398+01" w:hAnsi="AdvOTea1a7398+01"/>
          <w:b/>
          <w:sz w:val="28"/>
          <w:szCs w:val="28"/>
        </w:rPr>
        <w:t>Č</w:t>
      </w:r>
      <w:r>
        <w:rPr>
          <w:rFonts w:eastAsia="Calibri" w:cs="AdvOTea1a7398" w:ascii="AdvOTea1a7398" w:hAnsi="AdvOTea1a7398"/>
          <w:b/>
          <w:sz w:val="28"/>
          <w:szCs w:val="28"/>
        </w:rPr>
        <w:t xml:space="preserve">aslav Brukner “Quantum mechanics and the covariance of physical laws in quantum reference frames”, </w:t>
      </w:r>
      <w:r>
        <w:rPr>
          <w:rFonts w:eastAsia="Calibri" w:cs="AdvOTea1a7398" w:ascii="AdvOTea1a7398" w:hAnsi="AdvOTea1a7398"/>
          <w:b/>
          <w:i/>
          <w:sz w:val="28"/>
          <w:szCs w:val="28"/>
        </w:rPr>
        <w:t>Nature Communications</w:t>
      </w:r>
      <w:bookmarkStart w:id="10" w:name="_Hlk168828"/>
      <w:bookmarkEnd w:id="10"/>
    </w:p>
    <w:p>
      <w:pPr>
        <w:pStyle w:val="ListParagraph"/>
        <w:spacing w:before="0" w:after="0"/>
        <w:ind w:left="0" w:right="0" w:hanging="0"/>
        <w:contextualSpacing/>
        <w:rPr>
          <w:rFonts w:ascii="AdvOTea1a7398" w:hAnsi="AdvOTea1a7398" w:eastAsia="Calibri" w:cs="AdvOTea1a7398"/>
          <w:sz w:val="13"/>
          <w:szCs w:val="13"/>
        </w:rPr>
      </w:pPr>
      <w:r>
        <w:rPr>
          <w:rFonts w:eastAsia="Calibri" w:cs="AdvOTea1a7398" w:ascii="AdvOTea1a7398" w:hAnsi="AdvOTea1a7398"/>
          <w:sz w:val="13"/>
          <w:szCs w:val="13"/>
        </w:rPr>
      </w:r>
    </w:p>
    <w:p>
      <w:pPr>
        <w:pStyle w:val="ListParagraph"/>
        <w:spacing w:before="0" w:after="0"/>
        <w:ind w:left="0" w:right="0" w:hanging="0"/>
        <w:contextualSpacing/>
        <w:rPr/>
      </w:pPr>
      <w:r>
        <w:rPr>
          <w:rFonts w:eastAsia="Calibri" w:cs="AdvOTea1a7398" w:ascii="AdvOTea1a7398" w:hAnsi="AdvOTea1a7398"/>
          <w:sz w:val="24"/>
          <w:szCs w:val="24"/>
        </w:rPr>
        <w:t xml:space="preserve">NATURE COMMUNICATIONS | (2019) 10:494 | https://doi.org/10.1038/s41467-018-08155-0 | </w:t>
      </w:r>
      <w:hyperlink r:id="rId443">
        <w:r>
          <w:rPr>
            <w:rStyle w:val="InternetLink"/>
            <w:rFonts w:eastAsia="Calibri" w:cs="AdvOTea1a7398" w:ascii="AdvOTea1a7398" w:hAnsi="AdvOTea1a7398"/>
            <w:sz w:val="24"/>
            <w:szCs w:val="24"/>
          </w:rPr>
          <w:t>www.nature.com/naturecommunications</w:t>
        </w:r>
      </w:hyperlink>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t>Abstract</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In physics, every observation is made with respect to a frame of reference. Although reference</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frames are usually not considered as degrees of freedom, in all practical situations it is a</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physical system which constitutes a reference frame. Can a quantum system be considered</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as a reference frame and, if so, which description would it give of the world? Here, we</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introduce a general method to quantise reference frame transformations, which generalises</w:t>
      </w:r>
    </w:p>
    <w:p>
      <w:pPr>
        <w:pStyle w:val="Normal"/>
        <w:spacing w:before="0" w:after="0"/>
        <w:contextualSpacing/>
        <w:jc w:val="left"/>
        <w:rPr/>
      </w:pPr>
      <w:r>
        <w:rPr>
          <w:rFonts w:eastAsia="Calibri" w:cs="AdvOTea1a7398" w:ascii="AdvOTea1a7398" w:hAnsi="AdvOTea1a7398"/>
        </w:rPr>
        <w:t xml:space="preserve">the usual reference frame transformation to a </w:t>
      </w:r>
      <w:r>
        <w:rPr>
          <w:rFonts w:eastAsia="Calibri" w:cs="AdvOTea1a7398+20" w:ascii="AdvOTea1a7398+20" w:hAnsi="AdvOTea1a7398+20"/>
        </w:rPr>
        <w:t>“</w:t>
      </w:r>
      <w:r>
        <w:rPr>
          <w:rFonts w:eastAsia="Calibri" w:cs="AdvOTea1a7398" w:ascii="AdvOTea1a7398" w:hAnsi="AdvOTea1a7398"/>
        </w:rPr>
        <w:t>superposition of coordinate transformations</w:t>
      </w:r>
      <w:r>
        <w:rPr>
          <w:rFonts w:eastAsia="Calibri" w:cs="AdvOTea1a7398+20" w:ascii="AdvOTea1a7398+20" w:hAnsi="AdvOTea1a7398+20"/>
        </w:rPr>
        <w:t>”</w:t>
      </w:r>
      <w:r>
        <w:rPr>
          <w:rFonts w:eastAsia="Calibri" w:cs="AdvOTea1a7398" w:ascii="AdvOTea1a7398" w:hAnsi="AdvOTea1a7398"/>
        </w:rPr>
        <w:t>.</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We describe states, measurement, and dynamical evolution in different quantum reference</w:t>
      </w:r>
    </w:p>
    <w:p>
      <w:pPr>
        <w:pStyle w:val="Normal"/>
        <w:spacing w:before="0" w:after="0"/>
        <w:contextualSpacing/>
        <w:jc w:val="left"/>
        <w:rPr/>
      </w:pPr>
      <w:r>
        <w:rPr>
          <w:rFonts w:eastAsia="Calibri" w:cs="AdvOTea1a7398" w:ascii="AdvOTea1a7398" w:hAnsi="AdvOTea1a7398"/>
        </w:rPr>
        <w:t xml:space="preserve">frames, without appealing to an external, absolute reference frame, and </w:t>
      </w:r>
      <w:r>
        <w:rPr>
          <w:rFonts w:eastAsia="Calibri" w:cs="AdvOTea1a7398+fb" w:ascii="AdvOTea1a7398+fb" w:hAnsi="AdvOTea1a7398+fb"/>
        </w:rPr>
        <w:t>fi</w:t>
      </w:r>
      <w:r>
        <w:rPr>
          <w:rFonts w:eastAsia="Calibri" w:cs="AdvOTea1a7398" w:ascii="AdvOTea1a7398" w:hAnsi="AdvOTea1a7398"/>
        </w:rPr>
        <w:t>nd that entanglement</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and superposition are frame-dependent features. The transformation also leads to a</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generalisation of the notion of covariance of dynamical physical laws, to an extension of the</w:t>
      </w:r>
    </w:p>
    <w:p>
      <w:pPr>
        <w:pStyle w:val="Normal"/>
        <w:spacing w:before="0" w:after="0"/>
        <w:contextualSpacing/>
        <w:jc w:val="left"/>
        <w:rPr/>
      </w:pPr>
      <w:r>
        <w:rPr>
          <w:rFonts w:eastAsia="Calibri" w:cs="AdvOTea1a7398" w:ascii="AdvOTea1a7398" w:hAnsi="AdvOTea1a7398"/>
        </w:rPr>
        <w:t>weak equivalence principle, and to the possibility of de</w:t>
      </w:r>
      <w:r>
        <w:rPr>
          <w:rFonts w:eastAsia="Calibri" w:cs="AdvOTea1a7398+fb" w:ascii="AdvOTea1a7398+fb" w:hAnsi="AdvOTea1a7398+fb"/>
        </w:rPr>
        <w:t>fi</w:t>
      </w:r>
      <w:r>
        <w:rPr>
          <w:rFonts w:eastAsia="Calibri" w:cs="AdvOTea1a7398" w:ascii="AdvOTea1a7398" w:hAnsi="AdvOTea1a7398"/>
        </w:rPr>
        <w:t>ning the rest frame of a quantum</w:t>
      </w:r>
    </w:p>
    <w:p>
      <w:pPr>
        <w:pStyle w:val="ListParagraph"/>
        <w:spacing w:before="0" w:after="0"/>
        <w:ind w:left="0" w:right="0" w:hanging="0"/>
        <w:contextualSpacing/>
        <w:rPr>
          <w:rFonts w:ascii="AdvOTea1a7398" w:hAnsi="AdvOTea1a7398" w:eastAsia="Calibri" w:cs="AdvOTea1a7398"/>
          <w:sz w:val="24"/>
          <w:szCs w:val="24"/>
        </w:rPr>
      </w:pPr>
      <w:r>
        <w:rPr>
          <w:rFonts w:eastAsia="Calibri" w:cs="AdvOTea1a7398" w:ascii="AdvOTea1a7398" w:hAnsi="AdvOTea1a7398"/>
          <w:sz w:val="24"/>
          <w:szCs w:val="24"/>
        </w:rPr>
        <w:t>system.</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Normal"/>
        <w:spacing w:before="0" w:after="0"/>
        <w:contextualSpacing/>
        <w:jc w:val="left"/>
        <w:rPr/>
      </w:pPr>
      <w:r>
        <w:rPr>
          <w:rFonts w:eastAsia="Calibri" w:cs="AdvOT125c650c" w:ascii="AdvOT125c650c" w:hAnsi="AdvOT125c650c"/>
        </w:rPr>
        <w:t>T</w:t>
      </w:r>
      <w:r>
        <w:rPr>
          <w:rFonts w:eastAsia="Calibri" w:cs="AdvOT1ef757c0" w:ascii="AdvOT1ef757c0" w:hAnsi="AdvOT1ef757c0"/>
        </w:rPr>
        <w:t>he state of a physical system has no absolute meaning, but</w:t>
      </w:r>
    </w:p>
    <w:p>
      <w:pPr>
        <w:pStyle w:val="Normal"/>
        <w:spacing w:before="0" w:after="0"/>
        <w:contextualSpacing/>
        <w:jc w:val="left"/>
        <w:rPr/>
      </w:pPr>
      <w:r>
        <w:rPr>
          <w:rFonts w:eastAsia="Calibri" w:cs="AdvOT1ef757c0" w:ascii="AdvOT1ef757c0" w:hAnsi="AdvOT1ef757c0"/>
        </w:rPr>
        <w:t>is only de</w:t>
      </w:r>
      <w:r>
        <w:rPr>
          <w:rFonts w:eastAsia="Calibri" w:cs="AdvOT1ef757c0+fb" w:ascii="AdvOT1ef757c0+fb" w:hAnsi="AdvOT1ef757c0+fb"/>
        </w:rPr>
        <w:t>fi</w:t>
      </w:r>
      <w:r>
        <w:rPr>
          <w:rFonts w:eastAsia="Calibri" w:cs="AdvOT1ef757c0" w:ascii="AdvOT1ef757c0" w:hAnsi="AdvOT1ef757c0"/>
        </w:rPr>
        <w:t>ned relative to the observer</w:t>
      </w:r>
      <w:r>
        <w:rPr>
          <w:rFonts w:eastAsia="Calibri" w:cs="AdvOT1ef757c0+20" w:ascii="AdvOT1ef757c0+20" w:hAnsi="AdvOT1ef757c0+20"/>
        </w:rPr>
        <w:t>’</w:t>
      </w:r>
      <w:r>
        <w:rPr>
          <w:rFonts w:eastAsia="Calibri" w:cs="AdvOT1ef757c0" w:ascii="AdvOT1ef757c0" w:hAnsi="AdvOT1ef757c0"/>
        </w:rPr>
        <w:t>s reference frame in</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the laboratory. The same system may be associated to</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different states in different reference frames, which are normally</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related via some reference frame transformation. From a physical</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point of view, a frame of reference is an abstraction of an idealised</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physical system: for example, an ideal rigid body can serve as a</w:t>
      </w:r>
    </w:p>
    <w:p>
      <w:pPr>
        <w:pStyle w:val="Normal"/>
        <w:spacing w:before="0" w:after="0"/>
        <w:contextualSpacing/>
        <w:jc w:val="left"/>
        <w:rPr/>
      </w:pPr>
      <w:r>
        <w:rPr>
          <w:rFonts w:eastAsia="Calibri" w:cs="AdvOT1ef757c0" w:ascii="AdvOT1ef757c0" w:hAnsi="AdvOT1ef757c0"/>
        </w:rPr>
        <w:t>reference frame to de</w:t>
      </w:r>
      <w:r>
        <w:rPr>
          <w:rFonts w:eastAsia="Calibri" w:cs="AdvOT1ef757c0+fb" w:ascii="AdvOT1ef757c0+fb" w:hAnsi="AdvOT1ef757c0+fb"/>
        </w:rPr>
        <w:t>fi</w:t>
      </w:r>
      <w:r>
        <w:rPr>
          <w:rFonts w:eastAsia="Calibri" w:cs="AdvOT1ef757c0" w:ascii="AdvOT1ef757c0" w:hAnsi="AdvOT1ef757c0"/>
        </w:rPr>
        <w:t>ne relative spatial distances and orientations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of other objects. In classical physics, a coordinate transformation</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is used to transform the description of the system</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under consideration between two different reference frames.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These transformations include, for example, spatial rotations and</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translations in space and time or constant relative motion of the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frames (e.g., Galilean tranformations). In general, the dynamical</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physical laws are invariant under some group of transformations.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For instance, the laws of non-relativistic physics are invariant</w:t>
      </w:r>
    </w:p>
    <w:p>
      <w:pPr>
        <w:pStyle w:val="ListParagraph"/>
        <w:spacing w:before="0" w:after="0"/>
        <w:ind w:left="0" w:right="0" w:hanging="0"/>
        <w:contextualSpacing/>
        <w:rPr>
          <w:rFonts w:ascii="AdvOT1ef757c0" w:hAnsi="AdvOT1ef757c0" w:eastAsia="Calibri" w:cs="AdvOT1ef757c0"/>
          <w:sz w:val="24"/>
          <w:szCs w:val="24"/>
        </w:rPr>
      </w:pPr>
      <w:r>
        <w:rPr>
          <w:rFonts w:eastAsia="Calibri" w:cs="AdvOT1ef757c0" w:ascii="AdvOT1ef757c0" w:hAnsi="AdvOT1ef757c0"/>
          <w:sz w:val="24"/>
          <w:szCs w:val="24"/>
        </w:rPr>
        <w:t xml:space="preserve">under Galilean transformations. </w:t>
      </w:r>
    </w:p>
    <w:p>
      <w:pPr>
        <w:pStyle w:val="Normal"/>
        <w:spacing w:before="0" w:after="0"/>
        <w:contextualSpacing/>
        <w:jc w:val="left"/>
        <w:rPr/>
      </w:pPr>
      <w:r>
        <w:rPr>
          <w:rFonts w:eastAsia="Calibri" w:cs="AdvOTea1a7398" w:ascii="AdvOTea1a7398" w:hAnsi="AdvOTea1a7398"/>
          <w:b/>
        </w:rPr>
        <w:tab/>
      </w:r>
      <w:r>
        <w:rPr>
          <w:rFonts w:eastAsia="Calibri" w:cs="AdvOT1ef757c0" w:ascii="AdvOT1ef757c0" w:hAnsi="AdvOT1ef757c0"/>
          <w:color w:val="000000"/>
        </w:rPr>
        <w:t>In every physical laboratory situation, the reference frame is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realised through a physical system. As any physical system, it</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ultimately behaves according to the laws of quantum mechanics.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Therefore, one might see the standard treatment of referenceframe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transformations as an approximation to a more fundamental</w:t>
      </w:r>
    </w:p>
    <w:p>
      <w:pPr>
        <w:pStyle w:val="Normal"/>
        <w:spacing w:before="0" w:after="0"/>
        <w:contextualSpacing/>
        <w:jc w:val="left"/>
        <w:rPr/>
      </w:pPr>
      <w:r>
        <w:rPr>
          <w:rFonts w:eastAsia="Calibri" w:cs="AdvOT1ef757c0" w:ascii="AdvOT1ef757c0" w:hAnsi="AdvOT1ef757c0"/>
          <w:color w:val="000000"/>
        </w:rPr>
        <w:t>set of transformations. Speci</w:t>
      </w:r>
      <w:r>
        <w:rPr>
          <w:rFonts w:eastAsia="Calibri" w:cs="AdvOT1ef757c0+fb" w:ascii="AdvOT1ef757c0+fb" w:hAnsi="AdvOT1ef757c0+fb"/>
          <w:color w:val="000000"/>
        </w:rPr>
        <w:t>fi</w:t>
      </w:r>
      <w:r>
        <w:rPr>
          <w:rFonts w:eastAsia="Calibri" w:cs="AdvOT1ef757c0" w:ascii="AdvOT1ef757c0" w:hAnsi="AdvOT1ef757c0"/>
          <w:color w:val="000000"/>
        </w:rPr>
        <w:t>cally, one should take into</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account the possibility that one laboratory, from the perspective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of another laboratory, might appear in a superposition or even</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become entangled with the system. Hence, the relationship</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between the two laboratories becomes more than a simple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coordinate transformation between classical reference frames; it</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becomes a fundamentally quantum relationship. We may then</w:t>
      </w:r>
    </w:p>
    <w:p>
      <w:pPr>
        <w:pStyle w:val="Normal"/>
        <w:spacing w:before="0" w:after="0"/>
        <w:contextualSpacing/>
        <w:jc w:val="left"/>
        <w:rPr/>
      </w:pPr>
      <w:r>
        <w:rPr>
          <w:rFonts w:eastAsia="Calibri" w:cs="AdvOT1ef757c0" w:ascii="AdvOT1ef757c0" w:hAnsi="AdvOT1ef757c0"/>
          <w:color w:val="000000"/>
        </w:rPr>
        <w:t xml:space="preserve">speak about transformations between </w:t>
      </w:r>
      <w:r>
        <w:rPr>
          <w:rFonts w:eastAsia="Calibri" w:cs="AdvOT1ef757c0+20" w:ascii="AdvOT1ef757c0+20" w:hAnsi="AdvOT1ef757c0+20"/>
          <w:color w:val="000000"/>
        </w:rPr>
        <w:t>‘</w:t>
      </w:r>
      <w:r>
        <w:rPr>
          <w:rFonts w:eastAsia="Calibri" w:cs="AdvOT1ef757c0" w:ascii="AdvOT1ef757c0" w:hAnsi="AdvOT1ef757c0"/>
          <w:color w:val="000000"/>
        </w:rPr>
        <w:t>quantum reference frames</w:t>
      </w:r>
      <w:r>
        <w:rPr>
          <w:rFonts w:eastAsia="Calibri" w:cs="AdvOT1ef757c0+20" w:ascii="AdvOT1ef757c0+20" w:hAnsi="AdvOT1ef757c0+20"/>
          <w:color w:val="000000"/>
        </w:rPr>
        <w:t>’</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(QRFs). For example, we can imagine that the laboratory and the</w:t>
      </w:r>
    </w:p>
    <w:p>
      <w:pPr>
        <w:pStyle w:val="Normal"/>
        <w:spacing w:before="0" w:after="0"/>
        <w:contextualSpacing/>
        <w:jc w:val="left"/>
        <w:rPr/>
      </w:pPr>
      <w:r>
        <w:rPr>
          <w:rFonts w:eastAsia="Calibri" w:cs="AdvOT1ef757c0" w:ascii="AdvOT1ef757c0" w:hAnsi="AdvOT1ef757c0"/>
          <w:color w:val="000000"/>
        </w:rPr>
        <w:t xml:space="preserve">instruments of one observer are </w:t>
      </w:r>
      <w:r>
        <w:rPr>
          <w:rFonts w:eastAsia="Calibri" w:cs="AdvOT1ef757c0+fb" w:ascii="AdvOT1ef757c0+fb" w:hAnsi="AdvOT1ef757c0+fb"/>
          <w:color w:val="000000"/>
        </w:rPr>
        <w:t>fi</w:t>
      </w:r>
      <w:r>
        <w:rPr>
          <w:rFonts w:eastAsia="Calibri" w:cs="AdvOT1ef757c0" w:ascii="AdvOT1ef757c0" w:hAnsi="AdvOT1ef757c0"/>
          <w:color w:val="000000"/>
        </w:rPr>
        <w:t>xed to a platform that is in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superposition of position states with respect to the laboratory of a</w:t>
      </w:r>
    </w:p>
    <w:p>
      <w:pPr>
        <w:pStyle w:val="Normal"/>
        <w:spacing w:before="0" w:after="0"/>
        <w:contextualSpacing/>
        <w:jc w:val="left"/>
        <w:rPr/>
      </w:pPr>
      <w:r>
        <w:rPr>
          <w:rFonts w:eastAsia="Calibri" w:cs="AdvOT1ef757c0" w:ascii="AdvOT1ef757c0" w:hAnsi="AdvOT1ef757c0"/>
          <w:color w:val="000000"/>
        </w:rPr>
        <w:t xml:space="preserve">second observer, as illustrated in Fig. </w:t>
      </w:r>
      <w:r>
        <w:rPr>
          <w:rFonts w:eastAsia="Calibri" w:cs="AdvOT1ef757c0" w:ascii="AdvOT1ef757c0" w:hAnsi="AdvOT1ef757c0"/>
          <w:color w:val="0000FF"/>
        </w:rPr>
        <w:t>1</w:t>
      </w:r>
      <w:r>
        <w:rPr>
          <w:rFonts w:eastAsia="Calibri" w:cs="AdvOT1ef757c0" w:ascii="AdvOT1ef757c0" w:hAnsi="AdvOT1ef757c0"/>
          <w:color w:val="000000"/>
        </w:rPr>
        <w:t>. Can we meaningfully</w:t>
      </w:r>
    </w:p>
    <w:p>
      <w:pPr>
        <w:pStyle w:val="Normal"/>
        <w:spacing w:before="0" w:after="0"/>
        <w:contextualSpacing/>
        <w:jc w:val="left"/>
        <w:rPr/>
      </w:pPr>
      <w:r>
        <w:rPr>
          <w:rFonts w:eastAsia="Calibri" w:cs="AdvOT1ef757c0" w:ascii="AdvOT1ef757c0" w:hAnsi="AdvOT1ef757c0"/>
          <w:color w:val="000000"/>
        </w:rPr>
        <w:t>de</w:t>
      </w:r>
      <w:r>
        <w:rPr>
          <w:rFonts w:eastAsia="Calibri" w:cs="AdvOT1ef757c0+fb" w:ascii="AdvOT1ef757c0+fb" w:hAnsi="AdvOT1ef757c0+fb"/>
          <w:color w:val="000000"/>
        </w:rPr>
        <w:t>fi</w:t>
      </w:r>
      <w:r>
        <w:rPr>
          <w:rFonts w:eastAsia="Calibri" w:cs="AdvOT1ef757c0" w:ascii="AdvOT1ef757c0" w:hAnsi="AdvOT1ef757c0"/>
          <w:color w:val="000000"/>
        </w:rPr>
        <w:t>ne transformations between such QRFs? Which transformations</w:t>
      </w:r>
    </w:p>
    <w:p>
      <w:pPr>
        <w:pStyle w:val="Normal"/>
        <w:spacing w:before="0" w:after="0"/>
        <w:contextualSpacing/>
        <w:jc w:val="left"/>
        <w:rPr/>
      </w:pPr>
      <w:r>
        <w:rPr>
          <w:rFonts w:eastAsia="Calibri" w:cs="AdvOT1ef757c0" w:ascii="AdvOT1ef757c0" w:hAnsi="AdvOT1ef757c0"/>
          <w:color w:val="000000"/>
        </w:rPr>
        <w:t>relate quantum states of systems de</w:t>
      </w:r>
      <w:r>
        <w:rPr>
          <w:rFonts w:eastAsia="Calibri" w:cs="AdvOT1ef757c0+fb" w:ascii="AdvOT1ef757c0+fb" w:hAnsi="AdvOT1ef757c0+fb"/>
          <w:color w:val="000000"/>
        </w:rPr>
        <w:t>fi</w:t>
      </w:r>
      <w:r>
        <w:rPr>
          <w:rFonts w:eastAsia="Calibri" w:cs="AdvOT1ef757c0" w:ascii="AdvOT1ef757c0" w:hAnsi="AdvOT1ef757c0"/>
          <w:color w:val="000000"/>
        </w:rPr>
        <w:t>ned with respect to one</w:t>
      </w:r>
    </w:p>
    <w:p>
      <w:pPr>
        <w:pStyle w:val="Normal"/>
        <w:spacing w:before="0" w:after="0"/>
        <w:contextualSpacing/>
        <w:jc w:val="left"/>
        <w:rPr/>
      </w:pPr>
      <w:r>
        <w:rPr>
          <w:rFonts w:eastAsia="Calibri" w:cs="AdvOT1ef757c0" w:ascii="AdvOT1ef757c0" w:hAnsi="AdvOT1ef757c0"/>
          <w:color w:val="000000"/>
        </w:rPr>
        <w:t>frame of reference to those de</w:t>
      </w:r>
      <w:r>
        <w:rPr>
          <w:rFonts w:eastAsia="Calibri" w:cs="AdvOT1ef757c0+fb" w:ascii="AdvOT1ef757c0+fb" w:hAnsi="AdvOT1ef757c0+fb"/>
          <w:color w:val="000000"/>
        </w:rPr>
        <w:t>fi</w:t>
      </w:r>
      <w:r>
        <w:rPr>
          <w:rFonts w:eastAsia="Calibri" w:cs="AdvOT1ef757c0" w:ascii="AdvOT1ef757c0" w:hAnsi="AdvOT1ef757c0"/>
          <w:color w:val="000000"/>
        </w:rPr>
        <w:t>ned with respect to a second frame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of reference? What are the dynamical physical laws that are</w:t>
      </w:r>
    </w:p>
    <w:p>
      <w:pPr>
        <w:pStyle w:val="ListParagraph"/>
        <w:spacing w:before="0" w:after="0"/>
        <w:ind w:left="0" w:right="0" w:hanging="0"/>
        <w:contextualSpacing/>
        <w:rPr/>
      </w:pPr>
      <w:r>
        <w:rPr>
          <w:rFonts w:eastAsia="Calibri" w:cs="AdvOT1ef757c0" w:ascii="AdvOT1ef757c0" w:hAnsi="AdvOT1ef757c0"/>
          <w:color w:val="000000"/>
          <w:sz w:val="24"/>
          <w:szCs w:val="24"/>
        </w:rPr>
        <w:t xml:space="preserve">invariant under such </w:t>
      </w:r>
      <w:r>
        <w:rPr>
          <w:rFonts w:eastAsia="Calibri" w:cs="AdvOT1ef757c0+20" w:ascii="AdvOT1ef757c0+20" w:hAnsi="AdvOT1ef757c0+20"/>
          <w:color w:val="000000"/>
          <w:sz w:val="24"/>
          <w:szCs w:val="24"/>
        </w:rPr>
        <w:t>‘</w:t>
      </w:r>
      <w:r>
        <w:rPr>
          <w:rFonts w:eastAsia="Calibri" w:cs="AdvOT1ef757c0" w:ascii="AdvOT1ef757c0" w:hAnsi="AdvOT1ef757c0"/>
          <w:color w:val="000000"/>
          <w:sz w:val="24"/>
          <w:szCs w:val="24"/>
        </w:rPr>
        <w:t>quantum transformations</w:t>
      </w:r>
      <w:r>
        <w:rPr>
          <w:rFonts w:eastAsia="Calibri" w:cs="AdvOT1ef757c0+20" w:ascii="AdvOT1ef757c0+20" w:hAnsi="AdvOT1ef757c0+20"/>
          <w:color w:val="000000"/>
          <w:sz w:val="24"/>
          <w:szCs w:val="24"/>
        </w:rPr>
        <w:t>’</w:t>
      </w:r>
      <w:r>
        <w:rPr>
          <w:rFonts w:eastAsia="Calibri" w:cs="AdvOT1ef757c0" w:ascii="AdvOT1ef757c0" w:hAnsi="AdvOT1ef757c0"/>
          <w:color w:val="000000"/>
          <w:sz w:val="24"/>
          <w:szCs w:val="24"/>
        </w:rPr>
        <w:t>?</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 resulting transformation takes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 states of all systems external to the initial QRF as input, and</w:t>
      </w:r>
    </w:p>
    <w:p>
      <w:pPr>
        <w:pStyle w:val="Normal"/>
        <w:spacing w:before="0" w:after="0"/>
        <w:contextualSpacing/>
        <w:jc w:val="left"/>
        <w:rPr/>
      </w:pPr>
      <w:r>
        <w:rPr>
          <w:rFonts w:eastAsia="Calibri" w:cs="AdvOT1ef757c0" w:ascii="AdvOT1ef757c0" w:hAnsi="AdvOT1ef757c0"/>
          <w:color w:val="000000"/>
        </w:rPr>
        <w:t xml:space="preserve">outputs the states of all systems external to the </w:t>
      </w:r>
      <w:r>
        <w:rPr>
          <w:rFonts w:eastAsia="Calibri" w:cs="AdvOT1ef757c0+fb" w:ascii="AdvOT1ef757c0+fb" w:hAnsi="AdvOT1ef757c0+fb"/>
          <w:color w:val="000000"/>
        </w:rPr>
        <w:t>fi</w:t>
      </w:r>
      <w:r>
        <w:rPr>
          <w:rFonts w:eastAsia="Calibri" w:cs="AdvOT1ef757c0" w:ascii="AdvOT1ef757c0" w:hAnsi="AdvOT1ef757c0"/>
          <w:color w:val="000000"/>
        </w:rPr>
        <w:t>nal QRF. We</w:t>
      </w:r>
    </w:p>
    <w:p>
      <w:pPr>
        <w:pStyle w:val="Normal"/>
        <w:spacing w:before="0" w:after="0"/>
        <w:contextualSpacing/>
        <w:jc w:val="left"/>
        <w:rPr/>
      </w:pPr>
      <w:r>
        <w:rPr>
          <w:rFonts w:eastAsia="Calibri" w:cs="AdvOT1ef757c0+fb" w:ascii="AdvOT1ef757c0+fb" w:hAnsi="AdvOT1ef757c0+fb"/>
          <w:color w:val="000000"/>
        </w:rPr>
        <w:t>fi</w:t>
      </w:r>
      <w:r>
        <w:rPr>
          <w:rFonts w:eastAsia="Calibri" w:cs="AdvOT1ef757c0" w:ascii="AdvOT1ef757c0" w:hAnsi="AdvOT1ef757c0"/>
          <w:color w:val="000000"/>
        </w:rPr>
        <w:t>nd that a quantum state and its features</w:t>
      </w:r>
      <w:r>
        <w:rPr>
          <w:rFonts w:eastAsia="Calibri" w:cs="AdvOT1ef757c0+20" w:ascii="AdvOT1ef757c0+20" w:hAnsi="AdvOT1ef757c0+20"/>
          <w:color w:val="000000"/>
        </w:rPr>
        <w:t>—</w:t>
      </w:r>
      <w:r>
        <w:rPr>
          <w:rFonts w:eastAsia="Calibri" w:cs="AdvOT1ef757c0" w:ascii="AdvOT1ef757c0" w:hAnsi="AdvOT1ef757c0"/>
          <w:color w:val="000000"/>
        </w:rPr>
        <w:t>such as superposition</w:t>
      </w:r>
    </w:p>
    <w:p>
      <w:pPr>
        <w:pStyle w:val="Normal"/>
        <w:spacing w:before="0" w:after="0"/>
        <w:contextualSpacing/>
        <w:jc w:val="left"/>
        <w:rPr/>
      </w:pPr>
      <w:r>
        <w:rPr>
          <w:rFonts w:eastAsia="Calibri" w:cs="AdvOT1ef757c0" w:ascii="AdvOT1ef757c0" w:hAnsi="AdvOT1ef757c0"/>
          <w:color w:val="000000"/>
        </w:rPr>
        <w:t>and entanglement</w:t>
      </w:r>
      <w:r>
        <w:rPr>
          <w:rFonts w:eastAsia="Calibri" w:cs="AdvOT1ef757c0+20" w:ascii="AdvOT1ef757c0+20" w:hAnsi="AdvOT1ef757c0+20"/>
          <w:color w:val="000000"/>
        </w:rPr>
        <w:t>—</w:t>
      </w:r>
      <w:r>
        <w:rPr>
          <w:rFonts w:eastAsia="Calibri" w:cs="AdvOT1ef757c0" w:ascii="AdvOT1ef757c0" w:hAnsi="AdvOT1ef757c0"/>
          <w:color w:val="000000"/>
        </w:rPr>
        <w:t>are only de</w:t>
      </w:r>
      <w:r>
        <w:rPr>
          <w:rFonts w:eastAsia="Calibri" w:cs="AdvOT1ef757c0+fb" w:ascii="AdvOT1ef757c0+fb" w:hAnsi="AdvOT1ef757c0+fb"/>
          <w:color w:val="000000"/>
        </w:rPr>
        <w:t>fi</w:t>
      </w:r>
      <w:r>
        <w:rPr>
          <w:rFonts w:eastAsia="Calibri" w:cs="AdvOT1ef757c0" w:ascii="AdvOT1ef757c0" w:hAnsi="AdvOT1ef757c0"/>
          <w:color w:val="000000"/>
        </w:rPr>
        <w:t>ned relative to the chosen</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reference frame, in the spirit of the relational description of</w:t>
      </w:r>
    </w:p>
    <w:p>
      <w:pPr>
        <w:pStyle w:val="Normal"/>
        <w:spacing w:before="0" w:after="0"/>
        <w:contextualSpacing/>
        <w:jc w:val="left"/>
        <w:rPr/>
      </w:pPr>
      <w:r>
        <w:rPr>
          <w:rFonts w:eastAsia="Calibri" w:cs="AdvOT1ef757c0" w:ascii="AdvOT1ef757c0" w:hAnsi="AdvOT1ef757c0"/>
          <w:color w:val="000000"/>
        </w:rPr>
        <w:t>physics</w:t>
      </w:r>
      <w:r>
        <w:rPr>
          <w:rFonts w:eastAsia="Calibri" w:cs="AdvOT1ef757c0" w:ascii="AdvOT1ef757c0" w:hAnsi="AdvOT1ef757c0"/>
          <w:color w:val="0000FF"/>
        </w:rPr>
        <w:t>16</w:t>
      </w:r>
      <w:r>
        <w:rPr>
          <w:rFonts w:eastAsia="Calibri" w:cs="AdvOT1ef757c0+20" w:ascii="AdvOT1ef757c0+20" w:hAnsi="AdvOT1ef757c0+20"/>
          <w:color w:val="000000"/>
        </w:rPr>
        <w:t>–</w:t>
      </w:r>
      <w:r>
        <w:rPr>
          <w:rFonts w:eastAsia="Calibri" w:cs="AdvOT1ef757c0" w:ascii="AdvOT1ef757c0" w:hAnsi="AdvOT1ef757c0"/>
          <w:color w:val="0000FF"/>
        </w:rPr>
        <w:t>19</w:t>
      </w:r>
      <w:r>
        <w:rPr>
          <w:rFonts w:eastAsia="Calibri" w:cs="AdvOT1ef757c0" w:ascii="AdvOT1ef757c0" w:hAnsi="AdvOT1ef757c0"/>
          <w:color w:val="000000"/>
        </w:rPr>
        <w:t>,</w:t>
      </w:r>
      <w:r>
        <w:rPr>
          <w:rFonts w:eastAsia="Calibri" w:cs="AdvOT1ef757c0" w:ascii="AdvOT1ef757c0" w:hAnsi="AdvOT1ef757c0"/>
          <w:color w:val="0000FF"/>
        </w:rPr>
        <w:t>23</w:t>
      </w:r>
      <w:r>
        <w:rPr>
          <w:rFonts w:eastAsia="Calibri" w:cs="AdvOT1ef757c0" w:ascii="AdvOT1ef757c0" w:hAnsi="AdvOT1ef757c0"/>
          <w:color w:val="000000"/>
        </w:rPr>
        <w:t>,</w:t>
      </w:r>
      <w:r>
        <w:rPr>
          <w:rFonts w:eastAsia="Calibri" w:cs="AdvOT1ef757c0" w:ascii="AdvOT1ef757c0" w:hAnsi="AdvOT1ef757c0"/>
          <w:color w:val="0000FF"/>
        </w:rPr>
        <w:t>24</w:t>
      </w:r>
      <w:r>
        <w:rPr>
          <w:rFonts w:eastAsia="Calibri" w:cs="AdvOT1ef757c0" w:ascii="AdvOT1ef757c0" w:hAnsi="AdvOT1ef757c0"/>
          <w:color w:val="000000"/>
        </w:rPr>
        <w:t>. For example, a quantum system which is in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well-localised state of an observable for a certain observer may,</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for another observer, be in a superposition of two or more states</w:t>
      </w:r>
    </w:p>
    <w:p>
      <w:pPr>
        <w:pStyle w:val="ListParagraph"/>
        <w:spacing w:before="0" w:after="0"/>
        <w:ind w:left="0" w:right="0" w:hanging="0"/>
        <w:contextualSpacing/>
        <w:rPr/>
      </w:pPr>
      <w:r>
        <w:rPr>
          <w:rFonts w:eastAsia="Calibri" w:cs="AdvOT1ef757c0" w:ascii="AdvOT1ef757c0" w:hAnsi="AdvOT1ef757c0"/>
          <w:color w:val="000000"/>
          <w:sz w:val="24"/>
          <w:szCs w:val="24"/>
        </w:rPr>
        <w:t xml:space="preserve">or even entangled with the </w:t>
      </w:r>
      <w:r>
        <w:rPr>
          <w:rFonts w:eastAsia="Calibri" w:cs="AdvOT1ef757c0+fb" w:ascii="AdvOT1ef757c0+fb" w:hAnsi="AdvOT1ef757c0+fb"/>
          <w:color w:val="000000"/>
          <w:sz w:val="24"/>
          <w:szCs w:val="24"/>
        </w:rPr>
        <w:t>fi</w:t>
      </w:r>
      <w:r>
        <w:rPr>
          <w:rFonts w:eastAsia="Calibri" w:cs="AdvOT1ef757c0" w:ascii="AdvOT1ef757c0" w:hAnsi="AdvOT1ef757c0"/>
          <w:color w:val="000000"/>
          <w:sz w:val="24"/>
          <w:szCs w:val="24"/>
        </w:rPr>
        <w:t>rst observer.</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However, the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measured systems and observables are different in different QRFs</w:t>
      </w:r>
    </w:p>
    <w:p>
      <w:pPr>
        <w:pStyle w:val="Normal"/>
        <w:spacing w:before="0" w:after="0"/>
        <w:contextualSpacing/>
        <w:jc w:val="left"/>
        <w:rPr/>
      </w:pPr>
      <w:r>
        <w:rPr>
          <w:rFonts w:eastAsia="Calibri" w:cs="AdvOT1ef757c0" w:ascii="AdvOT1ef757c0" w:hAnsi="AdvOT1ef757c0"/>
        </w:rPr>
        <w:t xml:space="preserve">and we </w:t>
      </w:r>
      <w:r>
        <w:rPr>
          <w:rFonts w:eastAsia="Calibri" w:cs="AdvOT1ef757c0+fb" w:ascii="AdvOT1ef757c0+fb" w:hAnsi="AdvOT1ef757c0+fb"/>
        </w:rPr>
        <w:t>fi</w:t>
      </w:r>
      <w:r>
        <w:rPr>
          <w:rFonts w:eastAsia="Calibri" w:cs="AdvOT1ef757c0" w:ascii="AdvOT1ef757c0" w:hAnsi="AdvOT1ef757c0"/>
        </w:rPr>
        <w:t>nd the transformation that maps the measured observables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and systems in one QRF with those in the other QRF.</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Turning to the dynamics, we propose an extension of the notion</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of covariance of the physical laws to include genuine quantum</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transformations, where one frame of reference is in a superposition</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of different relative positions, momenta or velocities with</w:t>
      </w:r>
    </w:p>
    <w:p>
      <w:pPr>
        <w:pStyle w:val="Normal"/>
        <w:spacing w:before="0" w:after="0"/>
        <w:contextualSpacing/>
        <w:jc w:val="left"/>
        <w:rPr/>
      </w:pPr>
      <w:r>
        <w:rPr>
          <w:rFonts w:eastAsia="Calibri" w:cs="AdvOT1ef757c0" w:ascii="AdvOT1ef757c0" w:hAnsi="AdvOT1ef757c0"/>
        </w:rPr>
        <w:t xml:space="preserve">respect to another frame of reference. We </w:t>
      </w:r>
      <w:r>
        <w:rPr>
          <w:rFonts w:eastAsia="Calibri" w:cs="AdvOT1ef757c0+fb" w:ascii="AdvOT1ef757c0+fb" w:hAnsi="AdvOT1ef757c0+fb"/>
        </w:rPr>
        <w:t>fi</w:t>
      </w:r>
      <w:r>
        <w:rPr>
          <w:rFonts w:eastAsia="Calibri" w:cs="AdvOT1ef757c0" w:ascii="AdvOT1ef757c0" w:hAnsi="AdvOT1ef757c0"/>
        </w:rPr>
        <w:t>nd Hamiltonians that</w:t>
      </w:r>
    </w:p>
    <w:p>
      <w:pPr>
        <w:pStyle w:val="Normal"/>
        <w:spacing w:before="0" w:after="0"/>
        <w:contextualSpacing/>
        <w:jc w:val="left"/>
        <w:rPr/>
      </w:pPr>
      <w:r>
        <w:rPr>
          <w:rFonts w:eastAsia="Calibri" w:cs="AdvOT1ef757c0" w:ascii="AdvOT1ef757c0" w:hAnsi="AdvOT1ef757c0"/>
        </w:rPr>
        <w:t xml:space="preserve">are symmetric under such </w:t>
      </w:r>
      <w:r>
        <w:rPr>
          <w:rFonts w:eastAsia="Calibri" w:cs="AdvOT1ef757c0+20" w:ascii="AdvOT1ef757c0+20" w:hAnsi="AdvOT1ef757c0+20"/>
        </w:rPr>
        <w:t>“</w:t>
      </w:r>
      <w:r>
        <w:rPr>
          <w:rFonts w:eastAsia="Calibri" w:cs="AdvOT1ef757c0" w:ascii="AdvOT1ef757c0" w:hAnsi="AdvOT1ef757c0"/>
        </w:rPr>
        <w:t>superpositions of Galilean translations</w:t>
      </w:r>
      <w:r>
        <w:rPr>
          <w:rFonts w:eastAsia="Calibri" w:cs="AdvOT1ef757c0+20" w:ascii="AdvOT1ef757c0+20" w:hAnsi="AdvOT1ef757c0+20"/>
        </w:rPr>
        <w:t>”</w:t>
      </w:r>
    </w:p>
    <w:p>
      <w:pPr>
        <w:pStyle w:val="Normal"/>
        <w:spacing w:before="0" w:after="0"/>
        <w:contextualSpacing/>
        <w:jc w:val="left"/>
        <w:rPr/>
      </w:pPr>
      <w:r>
        <w:rPr>
          <w:rFonts w:eastAsia="Calibri" w:cs="AdvOT1ef757c0" w:ascii="AdvOT1ef757c0" w:hAnsi="AdvOT1ef757c0"/>
        </w:rPr>
        <w:t xml:space="preserve">and </w:t>
      </w:r>
      <w:r>
        <w:rPr>
          <w:rFonts w:eastAsia="Calibri" w:cs="AdvOT1ef757c0+20" w:ascii="AdvOT1ef757c0+20" w:hAnsi="AdvOT1ef757c0+20"/>
        </w:rPr>
        <w:t>“</w:t>
      </w:r>
      <w:r>
        <w:rPr>
          <w:rFonts w:eastAsia="Calibri" w:cs="AdvOT1ef757c0" w:ascii="AdvOT1ef757c0" w:hAnsi="AdvOT1ef757c0"/>
        </w:rPr>
        <w:t>superpositions of Galilean boosts</w:t>
      </w:r>
      <w:r>
        <w:rPr>
          <w:rFonts w:eastAsia="Calibri" w:cs="AdvOT1ef757c0+20" w:ascii="AdvOT1ef757c0+20" w:hAnsi="AdvOT1ef757c0+20"/>
        </w:rPr>
        <w:t>”</w:t>
      </w:r>
      <w:r>
        <w:rPr>
          <w:rFonts w:eastAsia="Calibri" w:cs="AdvOT1ef757c0" w:ascii="AdvOT1ef757c0" w:hAnsi="AdvOT1ef757c0"/>
        </w:rPr>
        <w:t xml:space="preserve">. Finally, we </w:t>
      </w:r>
      <w:r>
        <w:rPr>
          <w:rFonts w:eastAsia="Calibri" w:cs="AdvOT1ef757c0+fb" w:ascii="AdvOT1ef757c0+fb" w:hAnsi="AdvOT1ef757c0+fb"/>
        </w:rPr>
        <w:t>fi</w:t>
      </w:r>
      <w:r>
        <w:rPr>
          <w:rFonts w:eastAsia="Calibri" w:cs="AdvOT1ef757c0" w:ascii="AdvOT1ef757c0" w:hAnsi="AdvOT1ef757c0"/>
        </w:rPr>
        <w:t>nd</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that the weak equivalence principle can be extended to QRFs: The</w:t>
      </w:r>
    </w:p>
    <w:p>
      <w:pPr>
        <w:pStyle w:val="Normal"/>
        <w:spacing w:before="0" w:after="0"/>
        <w:contextualSpacing/>
        <w:jc w:val="left"/>
        <w:rPr/>
      </w:pPr>
      <w:r>
        <w:rPr>
          <w:rFonts w:eastAsia="Calibri" w:cs="AdvOT1ef757c0" w:ascii="AdvOT1ef757c0" w:hAnsi="AdvOT1ef757c0"/>
        </w:rPr>
        <w:t xml:space="preserve">effects as observed in a </w:t>
      </w:r>
      <w:r>
        <w:rPr>
          <w:rFonts w:eastAsia="Calibri" w:cs="AdvOT1ef757c0+20" w:ascii="AdvOT1ef757c0+20" w:hAnsi="AdvOT1ef757c0+20"/>
        </w:rPr>
        <w:t>“</w:t>
      </w:r>
      <w:r>
        <w:rPr>
          <w:rFonts w:eastAsia="Calibri" w:cs="AdvOT1ef757c0" w:ascii="AdvOT1ef757c0" w:hAnsi="AdvOT1ef757c0"/>
        </w:rPr>
        <w:t>superposition of uniform gravitational</w:t>
      </w:r>
    </w:p>
    <w:p>
      <w:pPr>
        <w:pStyle w:val="Normal"/>
        <w:spacing w:before="0" w:after="0"/>
        <w:contextualSpacing/>
        <w:jc w:val="left"/>
        <w:rPr/>
      </w:pPr>
      <w:r>
        <w:rPr>
          <w:rFonts w:eastAsia="Calibri" w:cs="AdvOT1ef757c0+fb" w:ascii="AdvOT1ef757c0+fb" w:hAnsi="AdvOT1ef757c0+fb"/>
        </w:rPr>
        <w:t>fi</w:t>
      </w:r>
      <w:r>
        <w:rPr>
          <w:rFonts w:eastAsia="Calibri" w:cs="AdvOT1ef757c0" w:ascii="AdvOT1ef757c0" w:hAnsi="AdvOT1ef757c0"/>
        </w:rPr>
        <w:t>elds</w:t>
      </w:r>
      <w:r>
        <w:rPr>
          <w:rFonts w:eastAsia="Calibri" w:cs="AdvOT1ef757c0+20" w:ascii="AdvOT1ef757c0+20" w:hAnsi="AdvOT1ef757c0+20"/>
        </w:rPr>
        <w:t xml:space="preserve">” </w:t>
      </w:r>
      <w:r>
        <w:rPr>
          <w:rFonts w:eastAsia="Calibri" w:cs="AdvOT1ef757c0" w:ascii="AdvOT1ef757c0" w:hAnsi="AdvOT1ef757c0"/>
        </w:rPr>
        <w:t xml:space="preserve">are indistinguishable from those in a frame in a </w:t>
      </w:r>
      <w:r>
        <w:rPr>
          <w:rFonts w:eastAsia="Calibri" w:cs="AdvOT1ef757c0+20" w:ascii="AdvOT1ef757c0+20" w:hAnsi="AdvOT1ef757c0+20"/>
        </w:rPr>
        <w:t>“</w:t>
      </w:r>
      <w:r>
        <w:rPr>
          <w:rFonts w:eastAsia="Calibri" w:cs="AdvOT1ef757c0" w:ascii="AdvOT1ef757c0" w:hAnsi="AdvOT1ef757c0"/>
        </w:rPr>
        <w:t>superposition</w:t>
      </w:r>
    </w:p>
    <w:p>
      <w:pPr>
        <w:pStyle w:val="Normal"/>
        <w:spacing w:before="0" w:after="0"/>
        <w:contextualSpacing/>
        <w:jc w:val="left"/>
        <w:rPr/>
      </w:pPr>
      <w:r>
        <w:rPr>
          <w:rFonts w:eastAsia="Calibri" w:cs="AdvOT1ef757c0" w:ascii="AdvOT1ef757c0" w:hAnsi="AdvOT1ef757c0"/>
        </w:rPr>
        <w:t>of accelerations</w:t>
      </w:r>
      <w:r>
        <w:rPr>
          <w:rFonts w:eastAsia="Calibri" w:cs="AdvOT1ef757c0+20" w:ascii="AdvOT1ef757c0+20" w:hAnsi="AdvOT1ef757c0+20"/>
        </w:rPr>
        <w:t xml:space="preserve">” </w:t>
      </w:r>
      <w:r>
        <w:rPr>
          <w:rFonts w:eastAsia="Calibri" w:cs="AdvOT1ef757c0" w:ascii="AdvOT1ef757c0" w:hAnsi="AdvOT1ef757c0"/>
        </w:rPr>
        <w:t xml:space="preserve">in </w:t>
      </w:r>
      <w:r>
        <w:rPr>
          <w:rFonts w:eastAsia="Calibri" w:cs="AdvOT1ef757c0+fb" w:ascii="AdvOT1ef757c0+fb" w:hAnsi="AdvOT1ef757c0+fb"/>
        </w:rPr>
        <w:t>fl</w:t>
      </w:r>
      <w:r>
        <w:rPr>
          <w:rFonts w:eastAsia="Calibri" w:cs="AdvOT1ef757c0" w:ascii="AdvOT1ef757c0" w:hAnsi="AdvOT1ef757c0"/>
        </w:rPr>
        <w:t>at space-time. In all these transformations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the quantum system considered as a reference frame</w:t>
      </w:r>
    </w:p>
    <w:p>
      <w:pPr>
        <w:pStyle w:val="ListParagraph"/>
        <w:spacing w:before="0" w:after="0"/>
        <w:ind w:left="0" w:right="0" w:hanging="0"/>
        <w:contextualSpacing/>
        <w:rPr>
          <w:rFonts w:ascii="AdvOT1ef757c0" w:hAnsi="AdvOT1ef757c0" w:eastAsia="Calibri" w:cs="AdvOT1ef757c0"/>
          <w:sz w:val="24"/>
          <w:szCs w:val="24"/>
        </w:rPr>
      </w:pPr>
      <w:r>
        <w:rPr>
          <w:rFonts w:eastAsia="Calibri" w:cs="AdvOT1ef757c0" w:ascii="AdvOT1ef757c0" w:hAnsi="AdvOT1ef757c0"/>
          <w:sz w:val="24"/>
          <w:szCs w:val="24"/>
        </w:rPr>
        <w:t>acts as a control for the transformation on the observed system.</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We next give the basic elements of our formalism, where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description of a set of physical systems is given relative to another</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set of physical systems (the latter set serving as a QRF), within the</w:t>
      </w:r>
    </w:p>
    <w:p>
      <w:pPr>
        <w:pStyle w:val="Normal"/>
        <w:spacing w:before="0" w:after="0"/>
        <w:contextualSpacing/>
        <w:jc w:val="left"/>
        <w:rPr/>
      </w:pPr>
      <w:r>
        <w:rPr>
          <w:rFonts w:eastAsia="Calibri" w:cs="AdvOT1ef757c0" w:ascii="AdvOT1ef757c0" w:hAnsi="AdvOT1ef757c0"/>
          <w:color w:val="000000"/>
        </w:rPr>
        <w:t xml:space="preserve">framework of either classical or quantum theory. We </w:t>
      </w:r>
      <w:r>
        <w:rPr>
          <w:rFonts w:eastAsia="Calibri" w:cs="AdvOT1ef757c0+fb" w:ascii="AdvOT1ef757c0+fb" w:hAnsi="AdvOT1ef757c0+fb"/>
          <w:color w:val="000000"/>
        </w:rPr>
        <w:t>fi</w:t>
      </w:r>
      <w:r>
        <w:rPr>
          <w:rFonts w:eastAsia="Calibri" w:cs="AdvOT1ef757c0" w:ascii="AdvOT1ef757c0" w:hAnsi="AdvOT1ef757c0"/>
          <w:color w:val="000000"/>
        </w:rPr>
        <w:t>nd general</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transformations between the descriptions that different QRFs</w:t>
      </w:r>
    </w:p>
    <w:p>
      <w:pPr>
        <w:pStyle w:val="Normal"/>
        <w:spacing w:before="0" w:after="0"/>
        <w:contextualSpacing/>
        <w:jc w:val="left"/>
        <w:rPr/>
      </w:pPr>
      <w:r>
        <w:rPr>
          <w:rFonts w:eastAsia="Calibri" w:cs="AdvOT1ef757c0" w:ascii="AdvOT1ef757c0" w:hAnsi="AdvOT1ef757c0"/>
          <w:color w:val="000000"/>
        </w:rPr>
        <w:t xml:space="preserve">provide for their respective </w:t>
      </w:r>
      <w:r>
        <w:rPr>
          <w:rFonts w:eastAsia="Calibri" w:cs="AdvOT1ef757c0+20" w:ascii="AdvOT1ef757c0+20" w:hAnsi="AdvOT1ef757c0+20"/>
          <w:color w:val="000000"/>
        </w:rPr>
        <w:t>‘</w:t>
      </w:r>
      <w:r>
        <w:rPr>
          <w:rFonts w:eastAsia="Calibri" w:cs="AdvOT1ef757c0" w:ascii="AdvOT1ef757c0" w:hAnsi="AdvOT1ef757c0"/>
          <w:color w:val="000000"/>
        </w:rPr>
        <w:t>rests of the world</w:t>
      </w:r>
      <w:r>
        <w:rPr>
          <w:rFonts w:eastAsia="Calibri" w:cs="AdvOT1ef757c0+20" w:ascii="AdvOT1ef757c0+20" w:hAnsi="AdvOT1ef757c0+20"/>
          <w:color w:val="000000"/>
        </w:rPr>
        <w:t>’</w:t>
      </w:r>
      <w:r>
        <w:rPr>
          <w:rFonts w:eastAsia="Calibri" w:cs="AdvOT1ef757c0" w:ascii="AdvOT1ef757c0" w:hAnsi="AdvOT1ef757c0"/>
          <w:color w:val="000000"/>
        </w:rPr>
        <w:t>. We will see that</w:t>
      </w:r>
    </w:p>
    <w:p>
      <w:pPr>
        <w:pStyle w:val="Normal"/>
        <w:spacing w:before="0" w:after="0"/>
        <w:contextualSpacing/>
        <w:jc w:val="left"/>
        <w:rPr/>
      </w:pPr>
      <w:r>
        <w:rPr>
          <w:rFonts w:eastAsia="Calibri" w:cs="AdvOT1ef757c0" w:ascii="AdvOT1ef757c0" w:hAnsi="AdvOT1ef757c0"/>
          <w:color w:val="000000"/>
        </w:rPr>
        <w:t xml:space="preserve">the notion of </w:t>
      </w:r>
      <w:r>
        <w:rPr>
          <w:rFonts w:eastAsia="Calibri" w:cs="AdvOT1ef757c0+20" w:ascii="AdvOT1ef757c0+20" w:hAnsi="AdvOT1ef757c0+20"/>
          <w:color w:val="000000"/>
        </w:rPr>
        <w:t>‘</w:t>
      </w:r>
      <w:r>
        <w:rPr>
          <w:rFonts w:eastAsia="Calibri" w:cs="AdvOT1ef757c0" w:ascii="AdvOT1ef757c0" w:hAnsi="AdvOT1ef757c0"/>
          <w:color w:val="000000"/>
        </w:rPr>
        <w:t>jumping</w:t>
      </w:r>
      <w:r>
        <w:rPr>
          <w:rFonts w:eastAsia="Calibri" w:cs="AdvOT1ef757c0+20" w:ascii="AdvOT1ef757c0+20" w:hAnsi="AdvOT1ef757c0+20"/>
          <w:color w:val="000000"/>
        </w:rPr>
        <w:t xml:space="preserve">’ </w:t>
      </w:r>
      <w:r>
        <w:rPr>
          <w:rFonts w:eastAsia="Calibri" w:cs="AdvOT1ef757c0" w:ascii="AdvOT1ef757c0" w:hAnsi="AdvOT1ef757c0"/>
          <w:color w:val="000000"/>
        </w:rPr>
        <w:t>to a QRF becomes ill-de</w:t>
      </w:r>
      <w:r>
        <w:rPr>
          <w:rFonts w:eastAsia="Calibri" w:cs="AdvOT1ef757c0+fb" w:ascii="AdvOT1ef757c0+fb" w:hAnsi="AdvOT1ef757c0+fb"/>
          <w:color w:val="000000"/>
        </w:rPr>
        <w:t>fi</w:t>
      </w:r>
      <w:r>
        <w:rPr>
          <w:rFonts w:eastAsia="Calibri" w:cs="AdvOT1ef757c0" w:ascii="AdvOT1ef757c0" w:hAnsi="AdvOT1ef757c0"/>
          <w:color w:val="000000"/>
        </w:rPr>
        <w:t>ned: not all</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 variables can be cast in relational terms, and a choice has to</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be made as to which degrees of freedom are relevant to the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situation studied. All calculations are done in one dimension to</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keep the notation simple. An extension to three dimensions is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straightforward.</w:t>
      </w:r>
    </w:p>
    <w:p>
      <w:pPr>
        <w:pStyle w:val="Normal"/>
        <w:spacing w:before="0" w:after="0"/>
        <w:contextualSpacing/>
        <w:jc w:val="left"/>
        <w:rPr/>
      </w:pPr>
      <w:r>
        <w:rPr>
          <w:rFonts w:eastAsia="Calibri" w:cs="AdvOT1ef757c0" w:ascii="AdvOT1ef757c0" w:hAnsi="AdvOT1ef757c0"/>
          <w:color w:val="000000"/>
        </w:rPr>
        <w:t xml:space="preserve">We consider three quantum systems, as illustrated in Fig. </w:t>
      </w:r>
      <w:r>
        <w:rPr>
          <w:rFonts w:eastAsia="Calibri" w:cs="AdvOT1ef757c0" w:ascii="AdvOT1ef757c0" w:hAnsi="AdvOT1ef757c0"/>
          <w:color w:val="0000FF"/>
        </w:rPr>
        <w:t>1</w:t>
      </w:r>
      <w:r>
        <w:rPr>
          <w:rFonts w:eastAsia="Calibri" w:cs="AdvOT1ef757c0" w:ascii="AdvOT1ef757c0" w:hAnsi="AdvOT1ef757c0"/>
          <w:color w:val="000000"/>
        </w:rPr>
        <w:t>: C</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is the initial reference frame, A is the new reference frame to</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whose perspective we want to change, and B is, in general, a</w:t>
      </w:r>
    </w:p>
    <w:p>
      <w:pPr>
        <w:pStyle w:val="Normal"/>
        <w:spacing w:before="0" w:after="0"/>
        <w:contextualSpacing/>
        <w:jc w:val="left"/>
        <w:rPr/>
      </w:pPr>
      <w:r>
        <w:rPr>
          <w:rFonts w:eastAsia="Calibri" w:cs="AdvOT1ef757c0" w:ascii="AdvOT1ef757c0" w:hAnsi="AdvOT1ef757c0"/>
          <w:color w:val="000000"/>
        </w:rPr>
        <w:t>composite system to which the transformation from C</w:t>
      </w:r>
      <w:r>
        <w:rPr>
          <w:rFonts w:eastAsia="Calibri" w:cs="AdvOT1ef757c0+20" w:ascii="AdvOT1ef757c0+20" w:hAnsi="AdvOT1ef757c0+20"/>
          <w:color w:val="000000"/>
        </w:rPr>
        <w:t>’</w:t>
      </w:r>
      <w:r>
        <w:rPr>
          <w:rFonts w:eastAsia="Calibri" w:cs="AdvOT1ef757c0" w:ascii="AdvOT1ef757c0" w:hAnsi="AdvOT1ef757c0"/>
          <w:color w:val="000000"/>
        </w:rPr>
        <w:t>s to A</w:t>
      </w:r>
      <w:r>
        <w:rPr>
          <w:rFonts w:eastAsia="Calibri" w:cs="AdvOT1ef757c0+20" w:ascii="AdvOT1ef757c0+20" w:hAnsi="AdvOT1ef757c0+20"/>
          <w:color w:val="000000"/>
        </w:rPr>
        <w:t>’</w:t>
      </w:r>
      <w:r>
        <w:rPr>
          <w:rFonts w:eastAsia="Calibri" w:cs="AdvOT1ef757c0" w:ascii="AdvOT1ef757c0" w:hAnsi="AdvOT1ef757c0"/>
          <w:color w:val="000000"/>
        </w:rPr>
        <w:t>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reference frame will be applied. Our approach is operational in</w:t>
      </w:r>
    </w:p>
    <w:p>
      <w:pPr>
        <w:pStyle w:val="Normal"/>
        <w:spacing w:before="0" w:after="0"/>
        <w:contextualSpacing/>
        <w:jc w:val="left"/>
        <w:rPr/>
      </w:pPr>
      <w:r>
        <w:rPr>
          <w:rFonts w:eastAsia="Calibri" w:cs="AdvOT1ef757c0" w:ascii="AdvOT1ef757c0" w:hAnsi="AdvOT1ef757c0"/>
          <w:color w:val="000000"/>
        </w:rPr>
        <w:t>that primitive laboratory operations</w:t>
      </w:r>
      <w:r>
        <w:rPr>
          <w:rFonts w:eastAsia="Calibri" w:cs="AdvOT1ef757c0+20" w:ascii="AdvOT1ef757c0+20" w:hAnsi="AdvOT1ef757c0+20"/>
          <w:color w:val="000000"/>
        </w:rPr>
        <w:t>—</w:t>
      </w:r>
      <w:r>
        <w:rPr>
          <w:rFonts w:eastAsia="Calibri" w:cs="AdvOT1ef757c0" w:ascii="AdvOT1ef757c0" w:hAnsi="AdvOT1ef757c0"/>
          <w:color w:val="000000"/>
        </w:rPr>
        <w:t>preparations, transformations</w:t>
      </w:r>
    </w:p>
    <w:p>
      <w:pPr>
        <w:pStyle w:val="Normal"/>
        <w:spacing w:before="0" w:after="0"/>
        <w:contextualSpacing/>
        <w:jc w:val="left"/>
        <w:rPr/>
      </w:pPr>
      <w:r>
        <w:rPr>
          <w:rFonts w:eastAsia="Calibri" w:cs="AdvOT1ef757c0" w:ascii="AdvOT1ef757c0" w:hAnsi="AdvOT1ef757c0"/>
          <w:color w:val="000000"/>
        </w:rPr>
        <w:t>and measurements</w:t>
      </w:r>
      <w:r>
        <w:rPr>
          <w:rFonts w:eastAsia="Calibri" w:cs="AdvOT1ef757c0+20" w:ascii="AdvOT1ef757c0+20" w:hAnsi="AdvOT1ef757c0+20"/>
          <w:color w:val="000000"/>
        </w:rPr>
        <w:t>—</w:t>
      </w:r>
      <w:r>
        <w:rPr>
          <w:rFonts w:eastAsia="Calibri" w:cs="AdvOT1ef757c0" w:ascii="AdvOT1ef757c0" w:hAnsi="AdvOT1ef757c0"/>
          <w:color w:val="000000"/>
        </w:rPr>
        <w:t>have fundamental status. This emphasis</w:t>
      </w:r>
    </w:p>
    <w:p>
      <w:pPr>
        <w:pStyle w:val="Normal"/>
        <w:spacing w:before="0" w:after="0"/>
        <w:contextualSpacing/>
        <w:jc w:val="left"/>
        <w:rPr/>
      </w:pPr>
      <w:r>
        <w:rPr>
          <w:rFonts w:eastAsia="Calibri" w:cs="AdvOT1ef757c0" w:ascii="AdvOT1ef757c0" w:hAnsi="AdvOT1ef757c0"/>
          <w:color w:val="000000"/>
        </w:rPr>
        <w:t>on the operational approach enables the theory to be speci</w:t>
      </w:r>
      <w:r>
        <w:rPr>
          <w:rFonts w:eastAsia="Calibri" w:cs="AdvOT1ef757c0+fb" w:ascii="AdvOT1ef757c0+fb" w:hAnsi="AdvOT1ef757c0+fb"/>
          <w:color w:val="000000"/>
        </w:rPr>
        <w:t>fi</w:t>
      </w:r>
      <w:r>
        <w:rPr>
          <w:rFonts w:eastAsia="Calibri" w:cs="AdvOT1ef757c0" w:ascii="AdvOT1ef757c0" w:hAnsi="AdvOT1ef757c0"/>
          <w:color w:val="000000"/>
        </w:rPr>
        <w:t>ed</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purely in terms of notions that have immediate physical meaning.</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Note, however, that the approach does not entail the necessity of</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having macroscopic superpositions. In a realistic situation, for</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example, system A could be a particle with external degrees of</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freedom in superposition with respect to laboratory C, which</w:t>
      </w:r>
    </w:p>
    <w:p>
      <w:pPr>
        <w:pStyle w:val="Normal"/>
        <w:spacing w:before="0" w:after="0"/>
        <w:contextualSpacing/>
        <w:jc w:val="left"/>
        <w:rPr/>
      </w:pPr>
      <w:r>
        <w:rPr>
          <w:rFonts w:eastAsia="Calibri" w:cs="AdvOT1ef757c0" w:ascii="AdvOT1ef757c0" w:hAnsi="AdvOT1ef757c0"/>
          <w:color w:val="000000"/>
        </w:rPr>
        <w:t>serve to de</w:t>
      </w:r>
      <w:r>
        <w:rPr>
          <w:rFonts w:eastAsia="Calibri" w:cs="AdvOT1ef757c0+fb" w:ascii="AdvOT1ef757c0+fb" w:hAnsi="AdvOT1ef757c0+fb"/>
          <w:color w:val="000000"/>
        </w:rPr>
        <w:t>fi</w:t>
      </w:r>
      <w:r>
        <w:rPr>
          <w:rFonts w:eastAsia="Calibri" w:cs="AdvOT1ef757c0" w:ascii="AdvOT1ef757c0" w:hAnsi="AdvOT1ef757c0"/>
          <w:color w:val="000000"/>
        </w:rPr>
        <w:t>ne the new set of relative coordinates, and with</w:t>
      </w:r>
    </w:p>
    <w:p>
      <w:pPr>
        <w:pStyle w:val="Normal"/>
        <w:spacing w:before="0" w:after="0"/>
        <w:contextualSpacing/>
        <w:jc w:val="left"/>
        <w:rPr/>
      </w:pPr>
      <w:r>
        <w:rPr>
          <w:rFonts w:eastAsia="Calibri" w:cs="AdvOT1ef757c0" w:ascii="AdvOT1ef757c0" w:hAnsi="AdvOT1ef757c0"/>
          <w:color w:val="000000"/>
        </w:rPr>
        <w:t xml:space="preserve">internal degrees of freedom used as a </w:t>
      </w:r>
      <w:r>
        <w:rPr>
          <w:rFonts w:eastAsia="Calibri" w:cs="AdvOT1ef757c0+20" w:ascii="AdvOT1ef757c0+20" w:hAnsi="AdvOT1ef757c0+20"/>
          <w:color w:val="000000"/>
        </w:rPr>
        <w:t>‘</w:t>
      </w:r>
      <w:r>
        <w:rPr>
          <w:rFonts w:eastAsia="Calibri" w:cs="AdvOT1ef757c0" w:ascii="AdvOT1ef757c0" w:hAnsi="AdvOT1ef757c0"/>
          <w:color w:val="000000"/>
        </w:rPr>
        <w:t>detector</w:t>
      </w:r>
      <w:r>
        <w:rPr>
          <w:rFonts w:eastAsia="Calibri" w:cs="AdvOT1ef757c0+20" w:ascii="AdvOT1ef757c0+20" w:hAnsi="AdvOT1ef757c0+20"/>
          <w:color w:val="000000"/>
        </w:rPr>
        <w:t xml:space="preserve">’ </w:t>
      </w:r>
      <w:r>
        <w:rPr>
          <w:rFonts w:eastAsia="Calibri" w:cs="AdvOT1ef757c0" w:ascii="AdvOT1ef757c0" w:hAnsi="AdvOT1ef757c0"/>
          <w:color w:val="000000"/>
        </w:rPr>
        <w:t>in reference frame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 We assume that a dynamical description relative to a reference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frame does not involve the frame itself, but only the systems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external to it. An explanation of this is that, for instance, the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position and momentum of the reference frame are not</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dynamical variables when considered from the reference frame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itself (this can also be related to the so-called self-reference</w:t>
      </w:r>
    </w:p>
    <w:p>
      <w:pPr>
        <w:pStyle w:val="Normal"/>
        <w:spacing w:before="0" w:after="0"/>
        <w:contextualSpacing/>
        <w:jc w:val="left"/>
        <w:rPr/>
      </w:pPr>
      <w:r>
        <w:rPr>
          <w:rFonts w:eastAsia="Calibri" w:cs="AdvOT1ef757c0" w:ascii="AdvOT1ef757c0" w:hAnsi="AdvOT1ef757c0"/>
          <w:color w:val="000000"/>
        </w:rPr>
        <w:t>problem</w:t>
      </w:r>
      <w:r>
        <w:rPr>
          <w:rFonts w:eastAsia="Calibri" w:cs="AdvOT1ef757c0" w:ascii="AdvOT1ef757c0" w:hAnsi="AdvOT1ef757c0"/>
          <w:color w:val="0000FF"/>
        </w:rPr>
        <w:t>27</w:t>
      </w:r>
      <w:r>
        <w:rPr>
          <w:rFonts w:eastAsia="Calibri" w:cs="AdvOT1ef757c0" w:ascii="AdvOT1ef757c0" w:hAnsi="AdvOT1ef757c0"/>
          <w:color w:val="000000"/>
        </w:rPr>
        <w:t>,</w:t>
      </w:r>
      <w:r>
        <w:rPr>
          <w:rFonts w:eastAsia="Calibri" w:cs="AdvOT1ef757c0" w:ascii="AdvOT1ef757c0" w:hAnsi="AdvOT1ef757c0"/>
          <w:color w:val="0000FF"/>
        </w:rPr>
        <w:t>28</w:t>
      </w:r>
      <w:r>
        <w:rPr>
          <w:rFonts w:eastAsia="Calibri" w:cs="AdvOT1ef757c0" w:ascii="AdvOT1ef757c0" w:hAnsi="AdvOT1ef757c0"/>
          <w:color w:val="000000"/>
        </w:rPr>
        <w:t>). Therefore, the reference frame is not a degree of</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freedom in its own description, but external systems to it are.</w:t>
      </w:r>
    </w:p>
    <w:p>
      <w:pPr>
        <w:pStyle w:val="Normal"/>
        <w:spacing w:before="0" w:after="0"/>
        <w:contextualSpacing/>
        <w:jc w:val="left"/>
        <w:rPr/>
      </w:pPr>
      <w:r>
        <w:rPr>
          <w:rFonts w:eastAsia="Calibri" w:cs="AdvOT1ef757c0" w:ascii="AdvOT1ef757c0" w:hAnsi="AdvOT1ef757c0"/>
          <w:color w:val="000000"/>
        </w:rPr>
        <w:t>Hence, from the perspective of C</w:t>
      </w:r>
      <w:r>
        <w:rPr>
          <w:rFonts w:eastAsia="Calibri" w:cs="AdvOT1ef757c0+20" w:ascii="AdvOT1ef757c0+20" w:hAnsi="AdvOT1ef757c0+20"/>
          <w:color w:val="000000"/>
        </w:rPr>
        <w:t>’</w:t>
      </w:r>
      <w:r>
        <w:rPr>
          <w:rFonts w:eastAsia="Calibri" w:cs="AdvOT1ef757c0" w:ascii="AdvOT1ef757c0" w:hAnsi="AdvOT1ef757c0"/>
          <w:color w:val="000000"/>
        </w:rPr>
        <w:t>s reference frame, A and B are</w:t>
      </w:r>
    </w:p>
    <w:p>
      <w:pPr>
        <w:pStyle w:val="Normal"/>
        <w:spacing w:before="0" w:after="0"/>
        <w:contextualSpacing/>
        <w:jc w:val="left"/>
        <w:rPr/>
      </w:pPr>
      <w:r>
        <w:rPr>
          <w:rFonts w:eastAsia="Calibri" w:cs="AdvOT1ef757c0" w:ascii="AdvOT1ef757c0" w:hAnsi="AdvOT1ef757c0"/>
          <w:color w:val="000000"/>
        </w:rPr>
        <w:t>external systems, and from the perspective of A</w:t>
      </w:r>
      <w:r>
        <w:rPr>
          <w:rFonts w:eastAsia="Calibri" w:cs="AdvOT1ef757c0+20" w:ascii="AdvOT1ef757c0+20" w:hAnsi="AdvOT1ef757c0+20"/>
          <w:color w:val="000000"/>
        </w:rPr>
        <w:t>’</w:t>
      </w:r>
      <w:r>
        <w:rPr>
          <w:rFonts w:eastAsia="Calibri" w:cs="AdvOT1ef757c0" w:ascii="AdvOT1ef757c0" w:hAnsi="AdvOT1ef757c0"/>
          <w:color w:val="000000"/>
        </w:rPr>
        <w:t>s reference frame</w:t>
      </w:r>
    </w:p>
    <w:p>
      <w:pPr>
        <w:pStyle w:val="ListParagraph"/>
        <w:spacing w:before="0" w:after="0"/>
        <w:ind w:left="0" w:right="0" w:hanging="0"/>
        <w:contextualSpacing/>
        <w:rPr>
          <w:rFonts w:ascii="AdvOT1ef757c0" w:hAnsi="AdvOT1ef757c0" w:eastAsia="Calibri" w:cs="AdvOT1ef757c0"/>
          <w:color w:val="000000"/>
          <w:sz w:val="24"/>
          <w:szCs w:val="24"/>
        </w:rPr>
      </w:pPr>
      <w:r>
        <w:rPr>
          <w:rFonts w:eastAsia="Calibri" w:cs="AdvOT1ef757c0" w:ascii="AdvOT1ef757c0" w:hAnsi="AdvOT1ef757c0"/>
          <w:color w:val="000000"/>
          <w:sz w:val="24"/>
          <w:szCs w:val="24"/>
        </w:rPr>
        <w:t>so are B and C.</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 general procedure that we follow to perform the canonical</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transformation is to choose a basis in which we want to express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 relative quantities, and then complete it canonically. Note that</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any quadrature in the phase space could be considered as the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relative variable. Different choices of relative coordinates would</w:t>
      </w:r>
    </w:p>
    <w:p>
      <w:pPr>
        <w:pStyle w:val="Normal"/>
        <w:spacing w:before="0" w:after="0"/>
        <w:contextualSpacing/>
        <w:jc w:val="left"/>
        <w:rPr/>
      </w:pPr>
      <w:r>
        <w:rPr>
          <w:rFonts w:eastAsia="Calibri" w:cs="AdvOT1ef757c0" w:ascii="AdvOT1ef757c0" w:hAnsi="AdvOT1ef757c0"/>
          <w:color w:val="000000"/>
        </w:rPr>
        <w:t>induce different transformations between QRFs. In Eq. (</w:t>
      </w:r>
      <w:r>
        <w:rPr>
          <w:rFonts w:eastAsia="Calibri" w:cs="AdvOT1ef757c0" w:ascii="AdvOT1ef757c0" w:hAnsi="AdvOT1ef757c0"/>
          <w:color w:val="0000FF"/>
        </w:rPr>
        <w:t>1</w:t>
      </w:r>
      <w:r>
        <w:rPr>
          <w:rFonts w:eastAsia="Calibri" w:cs="AdvOT1ef757c0" w:ascii="AdvOT1ef757c0" w:hAnsi="AdvOT1ef757c0"/>
          <w:color w:val="000000"/>
        </w:rPr>
        <w:t>) we</w:t>
      </w:r>
    </w:p>
    <w:p>
      <w:pPr>
        <w:pStyle w:val="Normal"/>
        <w:spacing w:before="0" w:after="0"/>
        <w:contextualSpacing/>
        <w:jc w:val="left"/>
        <w:rPr/>
      </w:pPr>
      <w:r>
        <w:rPr>
          <w:rFonts w:eastAsia="Calibri" w:cs="AdvOT1ef757c0" w:ascii="AdvOT1ef757c0" w:hAnsi="AdvOT1ef757c0"/>
          <w:color w:val="000000"/>
        </w:rPr>
        <w:t>have chosen position basis to de</w:t>
      </w:r>
      <w:r>
        <w:rPr>
          <w:rFonts w:eastAsia="Calibri" w:cs="AdvOT1ef757c0+fb" w:ascii="AdvOT1ef757c0+fb" w:hAnsi="AdvOT1ef757c0+fb"/>
          <w:color w:val="000000"/>
        </w:rPr>
        <w:t>fi</w:t>
      </w:r>
      <w:r>
        <w:rPr>
          <w:rFonts w:eastAsia="Calibri" w:cs="AdvOT1ef757c0" w:ascii="AdvOT1ef757c0" w:hAnsi="AdvOT1ef757c0"/>
          <w:color w:val="000000"/>
        </w:rPr>
        <w:t>ne the relative coordinates in C</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and A, but we could have chosen the eigenbasis of, for instance,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relative momenta. In this case the transformation is</w:t>
      </w:r>
    </w:p>
    <w:p>
      <w:pPr>
        <w:pStyle w:val="Normal"/>
        <w:spacing w:before="0" w:after="0"/>
        <w:contextualSpacing/>
        <w:jc w:val="left"/>
        <w:rPr/>
      </w:pPr>
      <w:r>
        <w:rPr>
          <w:rFonts w:eastAsia="Calibri" w:cs="AdvP4C4E59" w:ascii="AdvP4C4E59" w:hAnsi="AdvP4C4E59"/>
          <w:color w:val="000000"/>
        </w:rPr>
        <w:t>^</w:t>
      </w:r>
      <w:r>
        <w:rPr>
          <w:rFonts w:eastAsia="Calibri" w:cs="AdvOT7d6df7ab.I" w:ascii="AdvOT7d6df7ab.I" w:hAnsi="AdvOT7d6df7ab.I"/>
          <w:color w:val="000000"/>
        </w:rPr>
        <w:t>S</w:t>
      </w:r>
      <w:r>
        <w:rPr>
          <w:rFonts w:eastAsia="Calibri" w:cs="AdvOT1ef757c0" w:ascii="AdvOT1ef757c0" w:hAnsi="AdvOT1ef757c0"/>
          <w:color w:val="000000"/>
        </w:rPr>
        <w:t xml:space="preserve">p </w:t>
      </w:r>
      <w:r>
        <w:rPr>
          <w:rFonts w:eastAsia="Calibri" w:cs="AdvP4C4E74" w:ascii="AdvP4C4E74" w:hAnsi="AdvP4C4E74"/>
          <w:color w:val="000000"/>
        </w:rPr>
        <w:t xml:space="preserve">¼ </w:t>
      </w:r>
      <w:r>
        <w:rPr>
          <w:rFonts w:eastAsia="Calibri" w:cs="AdvP4C4E59" w:ascii="AdvP4C4E59" w:hAnsi="AdvP4C4E59"/>
          <w:color w:val="000000"/>
        </w:rPr>
        <w:t xml:space="preserve">^ </w:t>
      </w:r>
      <w:r>
        <w:rPr>
          <w:rFonts w:eastAsia="Calibri" w:cs="AdvP4C4E74" w:ascii="AdvP4C4E74" w:hAnsi="AdvP4C4E74"/>
          <w:color w:val="000000"/>
        </w:rPr>
        <w:t>P</w:t>
      </w:r>
      <w:r>
        <w:rPr>
          <w:rFonts w:eastAsia="Calibri" w:cs="AdvOT1ef757c0" w:ascii="AdvOT1ef757c0" w:hAnsi="AdvOT1ef757c0"/>
          <w:color w:val="000000"/>
        </w:rPr>
        <w:t>AC</w:t>
      </w:r>
      <w:r>
        <w:rPr>
          <w:rFonts w:eastAsia="Calibri" w:cs="AdvOT7d6df7ab.I" w:ascii="AdvOT7d6df7ab.I" w:hAnsi="AdvOT7d6df7ab.I"/>
          <w:color w:val="000000"/>
        </w:rPr>
        <w:t>e</w:t>
      </w:r>
      <w:r>
        <w:rPr>
          <w:rFonts w:eastAsia="Calibri" w:cs="AdvP4C4E74" w:ascii="AdvP4C4E74" w:hAnsi="AdvP4C4E74"/>
          <w:color w:val="000000"/>
        </w:rPr>
        <w:t>_</w:t>
      </w:r>
      <w:r>
        <w:rPr>
          <w:rFonts w:eastAsia="Calibri" w:cs="AdvOT1ef757c0" w:ascii="AdvOT1ef757c0" w:hAnsi="AdvOT1ef757c0"/>
          <w:color w:val="000000"/>
        </w:rPr>
        <w:t>i</w:t>
      </w:r>
    </w:p>
    <w:p>
      <w:pPr>
        <w:pStyle w:val="Normal"/>
        <w:spacing w:before="0" w:after="0"/>
        <w:contextualSpacing/>
        <w:jc w:val="left"/>
        <w:rPr/>
      </w:pPr>
      <w:r>
        <w:rPr>
          <w:rFonts w:eastAsia="Calibri" w:cs="AdvP4C4E59" w:ascii="AdvP4C4E59" w:hAnsi="AdvP4C4E59"/>
          <w:color w:val="000000"/>
        </w:rPr>
        <w:t>_</w:t>
      </w:r>
      <w:r>
        <w:rPr>
          <w:rFonts w:eastAsia="Calibri" w:cs="AdvOT7d6df7ab.I" w:ascii="AdvOT7d6df7ab.I" w:hAnsi="AdvOT7d6df7ab.I"/>
          <w:color w:val="000000"/>
        </w:rPr>
        <w:t>h</w:t>
      </w:r>
      <w:r>
        <w:rPr>
          <w:rFonts w:eastAsia="Calibri" w:cs="AdvP4C4E59" w:ascii="AdvP4C4E59" w:hAnsi="AdvP4C4E59"/>
          <w:color w:val="000000"/>
        </w:rPr>
        <w:t>^</w:t>
      </w:r>
      <w:r>
        <w:rPr>
          <w:rFonts w:eastAsia="Calibri" w:cs="AdvOT7d6df7ab.I" w:ascii="AdvOT7d6df7ab.I" w:hAnsi="AdvOT7d6df7ab.I"/>
          <w:color w:val="000000"/>
        </w:rPr>
        <w:t>p</w:t>
      </w:r>
      <w:r>
        <w:rPr>
          <w:rFonts w:eastAsia="Calibri" w:cs="AdvOT1ef757c0" w:ascii="AdvOT1ef757c0" w:hAnsi="AdvOT1ef757c0"/>
          <w:color w:val="000000"/>
        </w:rPr>
        <w:t>A</w:t>
      </w:r>
      <w:r>
        <w:rPr>
          <w:rFonts w:eastAsia="Calibri" w:cs="AdvP4C4E59" w:ascii="AdvP4C4E59" w:hAnsi="AdvP4C4E59"/>
          <w:color w:val="000000"/>
        </w:rPr>
        <w:t>^</w:t>
      </w:r>
      <w:r>
        <w:rPr>
          <w:rFonts w:eastAsia="Calibri" w:cs="AdvOT7d6df7ab.I" w:ascii="AdvOT7d6df7ab.I" w:hAnsi="AdvOT7d6df7ab.I"/>
          <w:color w:val="000000"/>
        </w:rPr>
        <w:t>x</w:t>
      </w:r>
      <w:r>
        <w:rPr>
          <w:rFonts w:eastAsia="Calibri" w:cs="AdvOT1ef757c0" w:ascii="AdvOT1ef757c0" w:hAnsi="AdvOT1ef757c0"/>
          <w:color w:val="000000"/>
        </w:rPr>
        <w:t>B , and it gives rise to the following canonical</w:t>
      </w:r>
    </w:p>
    <w:p>
      <w:pPr>
        <w:pStyle w:val="Normal"/>
        <w:spacing w:before="0" w:after="0"/>
        <w:contextualSpacing/>
        <w:jc w:val="left"/>
        <w:rPr/>
      </w:pPr>
      <w:r>
        <w:rPr>
          <w:rFonts w:eastAsia="Calibri" w:cs="AdvOT1ef757c0" w:ascii="AdvOT1ef757c0" w:hAnsi="AdvOT1ef757c0"/>
          <w:color w:val="000000"/>
        </w:rPr>
        <w:t xml:space="preserve">transformation: </w:t>
      </w:r>
      <w:r>
        <w:rPr>
          <w:rFonts w:eastAsia="Calibri" w:cs="AdvP4C4E59" w:ascii="AdvP4C4E59" w:hAnsi="AdvP4C4E59"/>
          <w:color w:val="000000"/>
        </w:rPr>
        <w:t>^</w:t>
      </w:r>
      <w:r>
        <w:rPr>
          <w:rFonts w:eastAsia="Calibri" w:cs="AdvOT7d6df7ab.I" w:ascii="AdvOT7d6df7ab.I" w:hAnsi="AdvOT7d6df7ab.I"/>
          <w:color w:val="000000"/>
        </w:rPr>
        <w:t>p</w:t>
      </w:r>
      <w:r>
        <w:rPr>
          <w:rFonts w:eastAsia="Calibri" w:cs="AdvOT1ef757c0" w:ascii="AdvOT1ef757c0" w:hAnsi="AdvOT1ef757c0"/>
          <w:color w:val="000000"/>
        </w:rPr>
        <w:t xml:space="preserve">B </w:t>
      </w:r>
      <w:r>
        <w:rPr>
          <w:rFonts w:eastAsia="Calibri" w:cs="AdvP4C4E74" w:ascii="AdvP4C4E74" w:hAnsi="AdvP4C4E74"/>
          <w:color w:val="000000"/>
        </w:rPr>
        <w:t>7!</w:t>
      </w:r>
      <w:r>
        <w:rPr>
          <w:rFonts w:eastAsia="Calibri" w:cs="AdvP4C4E59" w:ascii="AdvP4C4E59" w:hAnsi="AdvP4C4E59"/>
          <w:color w:val="000000"/>
        </w:rPr>
        <w:t>^</w:t>
      </w:r>
      <w:r>
        <w:rPr>
          <w:rFonts w:eastAsia="Calibri" w:cs="AdvOT7d6df7ab.I+03" w:ascii="AdvOT7d6df7ab.I+03" w:hAnsi="AdvOT7d6df7ab.I+03"/>
          <w:color w:val="000000"/>
        </w:rPr>
        <w:t>π</w:t>
      </w:r>
      <w:r>
        <w:rPr>
          <w:rFonts w:eastAsia="Calibri" w:cs="AdvOT1ef757c0" w:ascii="AdvOT1ef757c0" w:hAnsi="AdvOT1ef757c0"/>
          <w:color w:val="000000"/>
        </w:rPr>
        <w:t xml:space="preserve">B </w:t>
      </w:r>
      <w:r>
        <w:rPr>
          <w:rFonts w:eastAsia="Calibri" w:cs="AdvP4C4E74" w:ascii="AdvP4C4E74" w:hAnsi="AdvP4C4E74"/>
          <w:color w:val="000000"/>
        </w:rPr>
        <w:t xml:space="preserve">_ </w:t>
      </w:r>
      <w:r>
        <w:rPr>
          <w:rFonts w:eastAsia="Calibri" w:cs="AdvP4C4E59" w:ascii="AdvP4C4E59" w:hAnsi="AdvP4C4E59"/>
          <w:color w:val="000000"/>
        </w:rPr>
        <w:t>^</w:t>
      </w:r>
      <w:r>
        <w:rPr>
          <w:rFonts w:eastAsia="Calibri" w:cs="AdvOT7d6df7ab.I+03" w:ascii="AdvOT7d6df7ab.I+03" w:hAnsi="AdvOT7d6df7ab.I+03"/>
          <w:color w:val="000000"/>
        </w:rPr>
        <w:t>π</w:t>
      </w:r>
      <w:r>
        <w:rPr>
          <w:rFonts w:eastAsia="Calibri" w:cs="AdvOT1ef757c0" w:ascii="AdvOT1ef757c0" w:hAnsi="AdvOT1ef757c0"/>
          <w:color w:val="000000"/>
        </w:rPr>
        <w:t xml:space="preserve">C, </w:t>
      </w:r>
      <w:r>
        <w:rPr>
          <w:rFonts w:eastAsia="Calibri" w:cs="AdvP4C4E59" w:ascii="AdvP4C4E59" w:hAnsi="AdvP4C4E59"/>
          <w:color w:val="000000"/>
        </w:rPr>
        <w:t>^</w:t>
      </w:r>
      <w:r>
        <w:rPr>
          <w:rFonts w:eastAsia="Calibri" w:cs="AdvOT7d6df7ab.I" w:ascii="AdvOT7d6df7ab.I" w:hAnsi="AdvOT7d6df7ab.I"/>
          <w:color w:val="000000"/>
        </w:rPr>
        <w:t>p</w:t>
      </w:r>
      <w:r>
        <w:rPr>
          <w:rFonts w:eastAsia="Calibri" w:cs="AdvOT1ef757c0" w:ascii="AdvOT1ef757c0" w:hAnsi="AdvOT1ef757c0"/>
          <w:color w:val="000000"/>
        </w:rPr>
        <w:t xml:space="preserve">A </w:t>
      </w:r>
      <w:r>
        <w:rPr>
          <w:rFonts w:eastAsia="Calibri" w:cs="AdvP4C4E74" w:ascii="AdvP4C4E74" w:hAnsi="AdvP4C4E74"/>
          <w:color w:val="000000"/>
        </w:rPr>
        <w:t>7! _</w:t>
      </w:r>
      <w:r>
        <w:rPr>
          <w:rFonts w:eastAsia="Calibri" w:cs="AdvP4C4E59" w:ascii="AdvP4C4E59" w:hAnsi="AdvP4C4E59"/>
          <w:color w:val="000000"/>
        </w:rPr>
        <w:t>^</w:t>
      </w:r>
      <w:r>
        <w:rPr>
          <w:rFonts w:eastAsia="Calibri" w:cs="AdvOT7d6df7ab.I+03" w:ascii="AdvOT7d6df7ab.I+03" w:hAnsi="AdvOT7d6df7ab.I+03"/>
          <w:color w:val="000000"/>
        </w:rPr>
        <w:t>π</w:t>
      </w:r>
      <w:r>
        <w:rPr>
          <w:rFonts w:eastAsia="Calibri" w:cs="AdvOT1ef757c0" w:ascii="AdvOT1ef757c0" w:hAnsi="AdvOT1ef757c0"/>
          <w:color w:val="000000"/>
        </w:rPr>
        <w:t xml:space="preserve">C, </w:t>
      </w:r>
      <w:r>
        <w:rPr>
          <w:rFonts w:eastAsia="Calibri" w:cs="AdvP4C4E59" w:ascii="AdvP4C4E59" w:hAnsi="AdvP4C4E59"/>
          <w:color w:val="000000"/>
        </w:rPr>
        <w:t>^</w:t>
      </w:r>
      <w:r>
        <w:rPr>
          <w:rFonts w:eastAsia="Calibri" w:cs="AdvOT7d6df7ab.I" w:ascii="AdvOT7d6df7ab.I" w:hAnsi="AdvOT7d6df7ab.I"/>
          <w:color w:val="000000"/>
        </w:rPr>
        <w:t>x</w:t>
      </w:r>
      <w:r>
        <w:rPr>
          <w:rFonts w:eastAsia="Calibri" w:cs="AdvOT1ef757c0" w:ascii="AdvOT1ef757c0" w:hAnsi="AdvOT1ef757c0"/>
          <w:color w:val="000000"/>
        </w:rPr>
        <w:t xml:space="preserve">B </w:t>
      </w:r>
      <w:r>
        <w:rPr>
          <w:rFonts w:eastAsia="Calibri" w:cs="AdvP4C4E74" w:ascii="AdvP4C4E74" w:hAnsi="AdvP4C4E74"/>
          <w:color w:val="000000"/>
        </w:rPr>
        <w:t>7!</w:t>
      </w:r>
      <w:r>
        <w:rPr>
          <w:rFonts w:eastAsia="Calibri" w:cs="AdvP4C4E59" w:ascii="AdvP4C4E59" w:hAnsi="AdvP4C4E59"/>
          <w:color w:val="000000"/>
        </w:rPr>
        <w:t>^</w:t>
      </w:r>
      <w:r>
        <w:rPr>
          <w:rFonts w:eastAsia="Calibri" w:cs="AdvOT7d6df7ab.I" w:ascii="AdvOT7d6df7ab.I" w:hAnsi="AdvOT7d6df7ab.I"/>
          <w:color w:val="000000"/>
        </w:rPr>
        <w:t>q</w:t>
      </w:r>
      <w:r>
        <w:rPr>
          <w:rFonts w:eastAsia="Calibri" w:cs="AdvOT1ef757c0" w:ascii="AdvOT1ef757c0" w:hAnsi="AdvOT1ef757c0"/>
          <w:color w:val="000000"/>
        </w:rPr>
        <w:t>B, and</w:t>
      </w:r>
    </w:p>
    <w:p>
      <w:pPr>
        <w:pStyle w:val="Normal"/>
        <w:spacing w:before="0" w:after="0"/>
        <w:contextualSpacing/>
        <w:jc w:val="left"/>
        <w:rPr/>
      </w:pPr>
      <w:r>
        <w:rPr>
          <w:rFonts w:eastAsia="Calibri" w:cs="AdvP4C4E59" w:ascii="AdvP4C4E59" w:hAnsi="AdvP4C4E59"/>
          <w:color w:val="000000"/>
        </w:rPr>
        <w:t>^</w:t>
      </w:r>
      <w:r>
        <w:rPr>
          <w:rFonts w:eastAsia="Calibri" w:cs="AdvOT7d6df7ab.I" w:ascii="AdvOT7d6df7ab.I" w:hAnsi="AdvOT7d6df7ab.I"/>
          <w:color w:val="000000"/>
        </w:rPr>
        <w:t>x</w:t>
      </w:r>
      <w:r>
        <w:rPr>
          <w:rFonts w:eastAsia="Calibri" w:cs="AdvOT1ef757c0" w:ascii="AdvOT1ef757c0" w:hAnsi="AdvOT1ef757c0"/>
          <w:color w:val="000000"/>
        </w:rPr>
        <w:t>A</w:t>
      </w:r>
      <w:r>
        <w:rPr>
          <w:rFonts w:eastAsia="Calibri" w:cs="AdvP4C4E74" w:ascii="AdvP4C4E74" w:hAnsi="AdvP4C4E74"/>
          <w:color w:val="000000"/>
        </w:rPr>
        <w:t>7!_ð</w:t>
      </w:r>
      <w:r>
        <w:rPr>
          <w:rFonts w:eastAsia="Calibri" w:cs="AdvP4C4E59" w:ascii="AdvP4C4E59" w:hAnsi="AdvP4C4E59"/>
          <w:color w:val="000000"/>
        </w:rPr>
        <w:t>^</w:t>
      </w:r>
      <w:r>
        <w:rPr>
          <w:rFonts w:eastAsia="Calibri" w:cs="AdvOT7d6df7ab.I" w:ascii="AdvOT7d6df7ab.I" w:hAnsi="AdvOT7d6df7ab.I"/>
          <w:color w:val="000000"/>
        </w:rPr>
        <w:t>q</w:t>
      </w:r>
      <w:r>
        <w:rPr>
          <w:rFonts w:eastAsia="Calibri" w:cs="AdvOT1ef757c0" w:ascii="AdvOT1ef757c0" w:hAnsi="AdvOT1ef757c0"/>
          <w:color w:val="000000"/>
        </w:rPr>
        <w:t xml:space="preserve">C </w:t>
      </w:r>
      <w:r>
        <w:rPr>
          <w:rFonts w:eastAsia="Calibri" w:cs="AdvP4C4E74" w:ascii="AdvP4C4E74" w:hAnsi="AdvP4C4E74"/>
          <w:color w:val="000000"/>
        </w:rPr>
        <w:t xml:space="preserve">þ </w:t>
      </w:r>
      <w:r>
        <w:rPr>
          <w:rFonts w:eastAsia="Calibri" w:cs="AdvP4C4E59" w:ascii="AdvP4C4E59" w:hAnsi="AdvP4C4E59"/>
          <w:color w:val="000000"/>
        </w:rPr>
        <w:t>^</w:t>
      </w:r>
      <w:r>
        <w:rPr>
          <w:rFonts w:eastAsia="Calibri" w:cs="AdvOT7d6df7ab.I" w:ascii="AdvOT7d6df7ab.I" w:hAnsi="AdvOT7d6df7ab.I"/>
          <w:color w:val="000000"/>
        </w:rPr>
        <w:t>q</w:t>
      </w:r>
      <w:r>
        <w:rPr>
          <w:rFonts w:eastAsia="Calibri" w:cs="AdvOT1ef757c0" w:ascii="AdvOT1ef757c0" w:hAnsi="AdvOT1ef757c0"/>
          <w:color w:val="000000"/>
        </w:rPr>
        <w:t>B</w:t>
      </w:r>
      <w:r>
        <w:rPr>
          <w:rFonts w:eastAsia="Calibri" w:cs="AdvP4C4E74" w:ascii="AdvP4C4E74" w:hAnsi="AdvP4C4E74"/>
          <w:color w:val="000000"/>
        </w:rPr>
        <w:t>Þ</w:t>
      </w:r>
      <w:r>
        <w:rPr>
          <w:rFonts w:eastAsia="Calibri" w:cs="AdvOT1ef757c0" w:ascii="AdvOT1ef757c0" w:hAnsi="AdvOT1ef757c0"/>
          <w:color w:val="000000"/>
        </w:rPr>
        <w:t>. The possibility of choosing different relative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coordinates shows that, when we promote a physical system to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reference frame, the question what the description of the rest of</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 world is relative to the reference frame is ill-posed unless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choice of relative coordinates is met. An equivalent statement is</w:t>
      </w:r>
    </w:p>
    <w:p>
      <w:pPr>
        <w:pStyle w:val="ListParagraph"/>
        <w:spacing w:before="0" w:after="0"/>
        <w:ind w:left="0" w:right="0" w:hanging="0"/>
        <w:contextualSpacing/>
        <w:rPr>
          <w:rFonts w:ascii="AdvOT1ef757c0" w:hAnsi="AdvOT1ef757c0" w:eastAsia="Calibri" w:cs="AdvOT1ef757c0"/>
          <w:color w:val="000000"/>
          <w:sz w:val="24"/>
          <w:szCs w:val="24"/>
        </w:rPr>
      </w:pPr>
      <w:r>
        <w:rPr>
          <w:rFonts w:eastAsia="Calibri" w:cs="AdvOT1ef757c0" w:ascii="AdvOT1ef757c0" w:hAnsi="AdvOT1ef757c0"/>
          <w:color w:val="000000"/>
          <w:sz w:val="24"/>
          <w:szCs w:val="24"/>
        </w:rPr>
        <w:t xml:space="preserve">that, when the reference frame is considered as a physical system, </w:t>
      </w:r>
    </w:p>
    <w:p>
      <w:pPr>
        <w:pStyle w:val="Normal"/>
        <w:spacing w:before="0" w:after="0"/>
        <w:contextualSpacing/>
        <w:jc w:val="left"/>
        <w:rPr/>
      </w:pPr>
      <w:r>
        <w:rPr>
          <w:rFonts w:eastAsia="Calibri" w:cs="AdvOT1ef757c0" w:ascii="AdvOT1ef757c0" w:hAnsi="AdvOT1ef757c0"/>
        </w:rPr>
        <w:t xml:space="preserve">there is no unambiguous notion of </w:t>
      </w:r>
      <w:r>
        <w:rPr>
          <w:rFonts w:eastAsia="Calibri" w:cs="AdvOT1ef757c0+20" w:ascii="AdvOT1ef757c0+20" w:hAnsi="AdvOT1ef757c0+20"/>
        </w:rPr>
        <w:t>‘</w:t>
      </w:r>
      <w:r>
        <w:rPr>
          <w:rFonts w:eastAsia="Calibri" w:cs="AdvOT1ef757c0" w:ascii="AdvOT1ef757c0" w:hAnsi="AdvOT1ef757c0"/>
        </w:rPr>
        <w:t>jumping</w:t>
      </w:r>
      <w:r>
        <w:rPr>
          <w:rFonts w:eastAsia="Calibri" w:cs="AdvOT1ef757c0+20" w:ascii="AdvOT1ef757c0+20" w:hAnsi="AdvOT1ef757c0+20"/>
        </w:rPr>
        <w:t xml:space="preserve">’ </w:t>
      </w:r>
      <w:r>
        <w:rPr>
          <w:rFonts w:eastAsia="Calibri" w:cs="AdvOT1ef757c0" w:ascii="AdvOT1ef757c0" w:hAnsi="AdvOT1ef757c0"/>
        </w:rPr>
        <w:t>to a reference frame.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Note that this feature arises both in classical and quantum</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mechanics from the requirement of canonicity of the referenceframe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transformation when the reference frames are considered</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as physical degrees of freedom, and therefore attributed a phase</w:t>
      </w:r>
    </w:p>
    <w:p>
      <w:pPr>
        <w:pStyle w:val="Normal"/>
        <w:spacing w:before="0" w:after="0"/>
        <w:contextualSpacing/>
        <w:jc w:val="left"/>
        <w:rPr/>
      </w:pPr>
      <w:r>
        <w:rPr>
          <w:rFonts w:eastAsia="Calibri" w:cs="AdvOT1ef757c0" w:ascii="AdvOT1ef757c0" w:hAnsi="AdvOT1ef757c0"/>
        </w:rPr>
        <w:t xml:space="preserve">space. The expression </w:t>
      </w:r>
      <w:r>
        <w:rPr>
          <w:rFonts w:eastAsia="Calibri" w:cs="AdvOT1ef757c0+20" w:ascii="AdvOT1ef757c0+20" w:hAnsi="AdvOT1ef757c0+20"/>
        </w:rPr>
        <w:t>“</w:t>
      </w:r>
      <w:r>
        <w:rPr>
          <w:rFonts w:eastAsia="Calibri" w:cs="AdvOT1ef757c0" w:ascii="AdvOT1ef757c0" w:hAnsi="AdvOT1ef757c0"/>
        </w:rPr>
        <w:t>jumping</w:t>
      </w:r>
      <w:r>
        <w:rPr>
          <w:rFonts w:eastAsia="Calibri" w:cs="AdvOT1ef757c0+20" w:ascii="AdvOT1ef757c0+20" w:hAnsi="AdvOT1ef757c0+20"/>
        </w:rPr>
        <w:t xml:space="preserve">” </w:t>
      </w:r>
      <w:r>
        <w:rPr>
          <w:rFonts w:eastAsia="Calibri" w:cs="AdvOT1ef757c0" w:ascii="AdvOT1ef757c0" w:hAnsi="AdvOT1ef757c0"/>
        </w:rPr>
        <w:t>to a QRF is to be intended, in</w:t>
      </w:r>
    </w:p>
    <w:p>
      <w:pPr>
        <w:pStyle w:val="Normal"/>
        <w:spacing w:before="0" w:after="0"/>
        <w:contextualSpacing/>
        <w:jc w:val="left"/>
        <w:rPr/>
      </w:pPr>
      <w:r>
        <w:rPr>
          <w:rFonts w:eastAsia="Calibri" w:cs="AdvOT1ef757c0" w:ascii="AdvOT1ef757c0" w:hAnsi="AdvOT1ef757c0"/>
        </w:rPr>
        <w:t>the rest of the paper, in a loose sense, up to the choice of a speci</w:t>
      </w:r>
      <w:r>
        <w:rPr>
          <w:rFonts w:eastAsia="Calibri" w:cs="AdvOT1ef757c0+fb" w:ascii="AdvOT1ef757c0+fb" w:hAnsi="AdvOT1ef757c0+fb"/>
        </w:rPr>
        <w:t>fi</w:t>
      </w:r>
      <w:r>
        <w:rPr>
          <w:rFonts w:eastAsia="Calibri" w:cs="AdvOT1ef757c0" w:ascii="AdvOT1ef757c0" w:hAnsi="AdvOT1ef757c0"/>
        </w:rPr>
        <w:t>c</w:t>
      </w:r>
    </w:p>
    <w:p>
      <w:pPr>
        <w:pStyle w:val="ListParagraph"/>
        <w:spacing w:before="0" w:after="0"/>
        <w:ind w:left="0" w:right="0" w:hanging="0"/>
        <w:contextualSpacing/>
        <w:rPr>
          <w:rFonts w:ascii="AdvOT1ef757c0" w:hAnsi="AdvOT1ef757c0" w:eastAsia="Calibri" w:cs="AdvOT1ef757c0"/>
          <w:sz w:val="24"/>
          <w:szCs w:val="24"/>
        </w:rPr>
      </w:pPr>
      <w:r>
        <w:rPr>
          <w:rFonts w:eastAsia="Calibri" w:cs="AdvOT1ef757c0" w:ascii="AdvOT1ef757c0" w:hAnsi="AdvOT1ef757c0"/>
          <w:sz w:val="24"/>
          <w:szCs w:val="24"/>
        </w:rPr>
        <w:t>transformation and basis.</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Normal"/>
        <w:spacing w:before="0" w:after="0"/>
        <w:contextualSpacing/>
        <w:jc w:val="left"/>
        <w:rPr>
          <w:rFonts w:ascii="AdvOTcb88df00" w:hAnsi="AdvOTcb88df00" w:eastAsia="Calibri" w:cs="AdvOTcb88df00"/>
        </w:rPr>
      </w:pPr>
      <w:r>
        <w:rPr>
          <w:rFonts w:eastAsia="Calibri" w:cs="AdvOTcb88df00" w:ascii="AdvOTcb88df00" w:hAnsi="AdvOTcb88df00"/>
        </w:rPr>
        <w:t>Discussion</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In this work we introduced an operational formalism to apply</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quantum mechanics from the point of view of a reference frame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attached to a quantum particle, which we call quantum reference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frame. This reference frame has its own degrees of freedom,</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which can be in quantum superposition or entangled and evolve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in time according to their own Hamiltonian with respect to the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laboratory frame of reference. We adopt a relational view,</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according to which any reference frame is described as a quantum</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degree of freedom relatively to another reference frame: hence,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the laboratory frame of reference is a quantum system relative to</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the quantum reference frame of a particle, much like the particle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is a quantum system relative to the laboratory frame. This allows</w:t>
      </w:r>
    </w:p>
    <w:p>
      <w:pPr>
        <w:pStyle w:val="Normal"/>
        <w:spacing w:before="0" w:after="0"/>
        <w:contextualSpacing/>
        <w:jc w:val="left"/>
        <w:rPr/>
      </w:pPr>
      <w:r>
        <w:rPr>
          <w:rFonts w:eastAsia="Calibri" w:cs="AdvOT1ef757c0" w:ascii="AdvOT1ef757c0" w:hAnsi="AdvOT1ef757c0"/>
        </w:rPr>
        <w:t xml:space="preserve">us to avoid assuming the existence of an </w:t>
      </w:r>
      <w:r>
        <w:rPr>
          <w:rFonts w:eastAsia="Calibri" w:cs="AdvOT1ef757c0+20" w:ascii="AdvOT1ef757c0+20" w:hAnsi="AdvOT1ef757c0+20"/>
        </w:rPr>
        <w:t>‘</w:t>
      </w:r>
      <w:r>
        <w:rPr>
          <w:rFonts w:eastAsia="Calibri" w:cs="AdvOT1ef757c0" w:ascii="AdvOT1ef757c0" w:hAnsi="AdvOT1ef757c0"/>
        </w:rPr>
        <w:t>external</w:t>
      </w:r>
      <w:r>
        <w:rPr>
          <w:rFonts w:eastAsia="Calibri" w:cs="AdvOT1ef757c0+20" w:ascii="AdvOT1ef757c0+20" w:hAnsi="AdvOT1ef757c0+20"/>
        </w:rPr>
        <w:t xml:space="preserve">’ </w:t>
      </w:r>
      <w:r>
        <w:rPr>
          <w:rFonts w:eastAsia="Calibri" w:cs="AdvOT1ef757c0" w:ascii="AdvOT1ef757c0" w:hAnsi="AdvOT1ef757c0"/>
        </w:rPr>
        <w:t>perspective of</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an absolute reference frame.</w:t>
      </w:r>
    </w:p>
    <w:p>
      <w:pPr>
        <w:pStyle w:val="Normal"/>
        <w:spacing w:before="0" w:after="0"/>
        <w:contextualSpacing/>
        <w:jc w:val="left"/>
        <w:rPr/>
      </w:pPr>
      <w:r>
        <w:rPr>
          <w:rFonts w:eastAsia="Calibri" w:cs="AdvOT1ef757c0" w:ascii="AdvOT1ef757c0" w:hAnsi="AdvOT1ef757c0"/>
        </w:rPr>
        <w:t xml:space="preserve">We </w:t>
      </w:r>
      <w:r>
        <w:rPr>
          <w:rFonts w:eastAsia="Calibri" w:cs="AdvOT1ef757c0+fb" w:ascii="AdvOT1ef757c0+fb" w:hAnsi="AdvOT1ef757c0+fb"/>
        </w:rPr>
        <w:t>fi</w:t>
      </w:r>
      <w:r>
        <w:rPr>
          <w:rFonts w:eastAsia="Calibri" w:cs="AdvOT1ef757c0" w:ascii="AdvOT1ef757c0" w:hAnsi="AdvOT1ef757c0"/>
        </w:rPr>
        <w:t>nd transformations between quantum reference frames,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and show how the state, the dynamics, and the measurement</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change under these transformations. We show that the notion of</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entanglement and superposition are observer-dependent features,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and we write the Schrödinger equation in quantum reference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frames. Furthermore, we introduce a generalised notion of covariance</w:t>
      </w:r>
    </w:p>
    <w:p>
      <w:pPr>
        <w:pStyle w:val="Normal"/>
        <w:spacing w:before="0" w:after="0"/>
        <w:contextualSpacing/>
        <w:jc w:val="left"/>
        <w:rPr/>
      </w:pPr>
      <w:r>
        <w:rPr>
          <w:rFonts w:eastAsia="Calibri" w:cs="AdvOT1ef757c0" w:ascii="AdvOT1ef757c0" w:hAnsi="AdvOT1ef757c0"/>
        </w:rPr>
        <w:t xml:space="preserve">of physical laws for quantum reference frames. We apply </w:t>
      </w:r>
      <w:r>
        <w:rPr>
          <w:rFonts w:eastAsia="Calibri" w:cs="AdvOT1ef757c0" w:ascii="AdvOT1ef757c0" w:hAnsi="AdvOT1ef757c0"/>
          <w:color w:val="000000"/>
        </w:rPr>
        <w:t>our formalism to the situations in which the reference frames are</w:t>
      </w:r>
    </w:p>
    <w:p>
      <w:pPr>
        <w:pStyle w:val="Normal"/>
        <w:spacing w:before="0" w:after="0"/>
        <w:contextualSpacing/>
        <w:jc w:val="left"/>
        <w:rPr/>
      </w:pPr>
      <w:r>
        <w:rPr>
          <w:rFonts w:eastAsia="Calibri" w:cs="AdvOT1ef757c0" w:ascii="AdvOT1ef757c0" w:hAnsi="AdvOT1ef757c0"/>
          <w:color w:val="000000"/>
        </w:rPr>
        <w:t xml:space="preserve">related via </w:t>
      </w:r>
      <w:r>
        <w:rPr>
          <w:rFonts w:eastAsia="Calibri" w:cs="AdvOT1ef757c0+20" w:ascii="AdvOT1ef757c0+20" w:hAnsi="AdvOT1ef757c0+20"/>
          <w:color w:val="000000"/>
        </w:rPr>
        <w:t>‘</w:t>
      </w:r>
      <w:r>
        <w:rPr>
          <w:rFonts w:eastAsia="Calibri" w:cs="AdvOT1ef757c0" w:ascii="AdvOT1ef757c0" w:hAnsi="AdvOT1ef757c0"/>
          <w:color w:val="000000"/>
        </w:rPr>
        <w:t>superposition of translations</w:t>
      </w:r>
      <w:r>
        <w:rPr>
          <w:rFonts w:eastAsia="Calibri" w:cs="AdvOT1ef757c0+20" w:ascii="AdvOT1ef757c0+20" w:hAnsi="AdvOT1ef757c0+20"/>
          <w:color w:val="000000"/>
        </w:rPr>
        <w:t xml:space="preserve">’ </w:t>
      </w:r>
      <w:r>
        <w:rPr>
          <w:rFonts w:eastAsia="Calibri" w:cs="AdvOT1ef757c0" w:ascii="AdvOT1ef757c0" w:hAnsi="AdvOT1ef757c0"/>
          <w:color w:val="000000"/>
        </w:rPr>
        <w:t xml:space="preserve">and </w:t>
      </w:r>
      <w:r>
        <w:rPr>
          <w:rFonts w:eastAsia="Calibri" w:cs="AdvOT1ef757c0+20" w:ascii="AdvOT1ef757c0+20" w:hAnsi="AdvOT1ef757c0+20"/>
          <w:color w:val="000000"/>
        </w:rPr>
        <w:t>‘</w:t>
      </w:r>
      <w:r>
        <w:rPr>
          <w:rFonts w:eastAsia="Calibri" w:cs="AdvOT1ef757c0" w:ascii="AdvOT1ef757c0" w:hAnsi="AdvOT1ef757c0"/>
          <w:color w:val="000000"/>
        </w:rPr>
        <w:t>superposition of</w:t>
      </w:r>
    </w:p>
    <w:p>
      <w:pPr>
        <w:pStyle w:val="Normal"/>
        <w:spacing w:before="0" w:after="0"/>
        <w:contextualSpacing/>
        <w:jc w:val="left"/>
        <w:rPr/>
      </w:pPr>
      <w:r>
        <w:rPr>
          <w:rFonts w:eastAsia="Calibri" w:cs="AdvOT1ef757c0" w:ascii="AdvOT1ef757c0" w:hAnsi="AdvOT1ef757c0"/>
          <w:color w:val="000000"/>
        </w:rPr>
        <w:t>Galilean boosts</w:t>
      </w:r>
      <w:r>
        <w:rPr>
          <w:rFonts w:eastAsia="Calibri" w:cs="AdvOT1ef757c0+20" w:ascii="AdvOT1ef757c0+20" w:hAnsi="AdvOT1ef757c0+20"/>
          <w:color w:val="000000"/>
        </w:rPr>
        <w:t>’</w:t>
      </w:r>
      <w:r>
        <w:rPr>
          <w:rFonts w:eastAsia="Calibri" w:cs="AdvOT1ef757c0" w:ascii="AdvOT1ef757c0" w:hAnsi="AdvOT1ef757c0"/>
          <w:color w:val="000000"/>
        </w:rPr>
        <w:t>, and formulate an extension of the weak</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equivalence principle for such quantum reference frames.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This work has been carried out within Galilean relativity,</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however the framework is general and can be applied in a specialrelativistic</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or in a general-relativistic context. This would lead to</w:t>
      </w:r>
    </w:p>
    <w:p>
      <w:pPr>
        <w:pStyle w:val="Normal"/>
        <w:spacing w:before="0" w:after="0"/>
        <w:contextualSpacing/>
        <w:jc w:val="left"/>
        <w:rPr/>
      </w:pPr>
      <w:r>
        <w:rPr>
          <w:rFonts w:eastAsia="Calibri" w:cs="AdvOT1ef757c0" w:ascii="AdvOT1ef757c0" w:hAnsi="AdvOT1ef757c0"/>
          <w:color w:val="000000"/>
        </w:rPr>
        <w:t xml:space="preserve">interesting insights as to, for instance, the </w:t>
      </w:r>
      <w:r>
        <w:rPr>
          <w:rFonts w:eastAsia="Calibri" w:cs="AdvOT1ef757c0+fb" w:ascii="AdvOT1ef757c0+fb" w:hAnsi="AdvOT1ef757c0+fb"/>
          <w:color w:val="000000"/>
        </w:rPr>
        <w:t>fl</w:t>
      </w:r>
      <w:r>
        <w:rPr>
          <w:rFonts w:eastAsia="Calibri" w:cs="AdvOT1ef757c0" w:ascii="AdvOT1ef757c0" w:hAnsi="AdvOT1ef757c0"/>
          <w:color w:val="000000"/>
        </w:rPr>
        <w:t>ow of proper time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when there is no classical worldline describing the motion of the</w:t>
      </w:r>
    </w:p>
    <w:p>
      <w:pPr>
        <w:pStyle w:val="Normal"/>
        <w:spacing w:before="0" w:after="0"/>
        <w:contextualSpacing/>
        <w:jc w:val="left"/>
        <w:rPr/>
      </w:pPr>
      <w:r>
        <w:rPr>
          <w:rFonts w:eastAsia="Calibri" w:cs="AdvOT1ef757c0" w:ascii="AdvOT1ef757c0" w:hAnsi="AdvOT1ef757c0"/>
          <w:color w:val="000000"/>
        </w:rPr>
        <w:t>system serving as reference frame. More speci</w:t>
      </w:r>
      <w:r>
        <w:rPr>
          <w:rFonts w:eastAsia="Calibri" w:cs="AdvOT1ef757c0+fb" w:ascii="AdvOT1ef757c0+fb" w:hAnsi="AdvOT1ef757c0+fb"/>
          <w:color w:val="000000"/>
        </w:rPr>
        <w:t>fi</w:t>
      </w:r>
      <w:r>
        <w:rPr>
          <w:rFonts w:eastAsia="Calibri" w:cs="AdvOT1ef757c0" w:ascii="AdvOT1ef757c0" w:hAnsi="AdvOT1ef757c0"/>
          <w:color w:val="000000"/>
        </w:rPr>
        <w:t>cally, our formalism</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could be able to describe situations, such as those studied in</w:t>
      </w:r>
    </w:p>
    <w:p>
      <w:pPr>
        <w:pStyle w:val="Normal"/>
        <w:spacing w:before="0" w:after="0"/>
        <w:contextualSpacing/>
        <w:jc w:val="left"/>
        <w:rPr/>
      </w:pPr>
      <w:r>
        <w:rPr>
          <w:rFonts w:eastAsia="Calibri" w:cs="AdvOT1ef757c0" w:ascii="AdvOT1ef757c0" w:hAnsi="AdvOT1ef757c0"/>
          <w:color w:val="000000"/>
        </w:rPr>
        <w:t xml:space="preserve">refs. </w:t>
      </w:r>
      <w:r>
        <w:rPr>
          <w:rFonts w:eastAsia="Calibri" w:cs="AdvOT1ef757c0" w:ascii="AdvOT1ef757c0" w:hAnsi="AdvOT1ef757c0"/>
          <w:color w:val="0000FF"/>
        </w:rPr>
        <w:t>33</w:t>
      </w:r>
      <w:r>
        <w:rPr>
          <w:rFonts w:eastAsia="Calibri" w:cs="AdvOT1ef757c0+20" w:ascii="AdvOT1ef757c0+20" w:hAnsi="AdvOT1ef757c0+20"/>
          <w:color w:val="000000"/>
        </w:rPr>
        <w:t>–</w:t>
      </w:r>
      <w:r>
        <w:rPr>
          <w:rFonts w:eastAsia="Calibri" w:cs="AdvOT1ef757c0" w:ascii="AdvOT1ef757c0" w:hAnsi="AdvOT1ef757c0"/>
          <w:color w:val="0000FF"/>
        </w:rPr>
        <w:t>35</w:t>
      </w:r>
      <w:r>
        <w:rPr>
          <w:rFonts w:eastAsia="Calibri" w:cs="AdvOT1ef757c0" w:ascii="AdvOT1ef757c0" w:hAnsi="AdvOT1ef757c0"/>
          <w:color w:val="000000"/>
        </w:rPr>
        <w:t>, in which clocks</w:t>
      </w:r>
      <w:r>
        <w:rPr>
          <w:rFonts w:eastAsia="Calibri" w:cs="AdvOT1ef757c0+20" w:ascii="AdvOT1ef757c0+20" w:hAnsi="AdvOT1ef757c0+20"/>
          <w:color w:val="000000"/>
        </w:rPr>
        <w:t>—</w:t>
      </w:r>
      <w:r>
        <w:rPr>
          <w:rFonts w:eastAsia="Calibri" w:cs="AdvOT1ef757c0" w:ascii="AdvOT1ef757c0" w:hAnsi="AdvOT1ef757c0"/>
          <w:color w:val="000000"/>
        </w:rPr>
        <w:t>quantum systems with internal</w:t>
      </w:r>
    </w:p>
    <w:p>
      <w:pPr>
        <w:pStyle w:val="Normal"/>
        <w:spacing w:before="0" w:after="0"/>
        <w:contextualSpacing/>
        <w:jc w:val="left"/>
        <w:rPr/>
      </w:pPr>
      <w:r>
        <w:rPr>
          <w:rFonts w:eastAsia="Calibri" w:cs="AdvOT1ef757c0" w:ascii="AdvOT1ef757c0" w:hAnsi="AdvOT1ef757c0"/>
          <w:color w:val="000000"/>
        </w:rPr>
        <w:t>degrees of freedom</w:t>
      </w:r>
      <w:r>
        <w:rPr>
          <w:rFonts w:eastAsia="Calibri" w:cs="AdvOT1ef757c0+20" w:ascii="AdvOT1ef757c0+20" w:hAnsi="AdvOT1ef757c0+20"/>
          <w:color w:val="000000"/>
        </w:rPr>
        <w:t>—</w:t>
      </w:r>
      <w:r>
        <w:rPr>
          <w:rFonts w:eastAsia="Calibri" w:cs="AdvOT1ef757c0" w:ascii="AdvOT1ef757c0" w:hAnsi="AdvOT1ef757c0"/>
          <w:color w:val="000000"/>
        </w:rPr>
        <w:t>move in superpositions of classical wordlines</w:t>
      </w:r>
    </w:p>
    <w:p>
      <w:pPr>
        <w:pStyle w:val="Normal"/>
        <w:spacing w:before="0" w:after="0"/>
        <w:contextualSpacing/>
        <w:jc w:val="left"/>
        <w:rPr/>
      </w:pPr>
      <w:r>
        <w:rPr>
          <w:rFonts w:eastAsia="Calibri" w:cs="AdvOT1ef757c0" w:ascii="AdvOT1ef757c0" w:hAnsi="AdvOT1ef757c0"/>
          <w:color w:val="000000"/>
        </w:rPr>
        <w:t xml:space="preserve">in the gravitational </w:t>
      </w:r>
      <w:r>
        <w:rPr>
          <w:rFonts w:eastAsia="Calibri" w:cs="AdvOT1ef757c0+fb" w:ascii="AdvOT1ef757c0+fb" w:hAnsi="AdvOT1ef757c0+fb"/>
          <w:color w:val="000000"/>
        </w:rPr>
        <w:t>fi</w:t>
      </w:r>
      <w:r>
        <w:rPr>
          <w:rFonts w:eastAsia="Calibri" w:cs="AdvOT1ef757c0" w:ascii="AdvOT1ef757c0" w:hAnsi="AdvOT1ef757c0"/>
          <w:color w:val="000000"/>
        </w:rPr>
        <w:t>eld. As a result, the clock</w:t>
      </w:r>
      <w:r>
        <w:rPr>
          <w:rFonts w:eastAsia="Calibri" w:cs="AdvOT1ef757c0+20" w:ascii="AdvOT1ef757c0+20" w:hAnsi="AdvOT1ef757c0+20"/>
          <w:color w:val="000000"/>
        </w:rPr>
        <w:t>’</w:t>
      </w:r>
      <w:r>
        <w:rPr>
          <w:rFonts w:eastAsia="Calibri" w:cs="AdvOT1ef757c0" w:ascii="AdvOT1ef757c0" w:hAnsi="AdvOT1ef757c0"/>
          <w:color w:val="000000"/>
        </w:rPr>
        <w:t>s internal</w:t>
      </w:r>
    </w:p>
    <w:p>
      <w:pPr>
        <w:pStyle w:val="Normal"/>
        <w:spacing w:before="0" w:after="0"/>
        <w:contextualSpacing/>
        <w:jc w:val="left"/>
        <w:rPr/>
      </w:pPr>
      <w:r>
        <w:rPr>
          <w:rFonts w:eastAsia="Calibri" w:cs="AdvOT1ef757c0" w:ascii="AdvOT1ef757c0" w:hAnsi="AdvOT1ef757c0"/>
          <w:color w:val="000000"/>
        </w:rPr>
        <w:t>and external degrees of freedom get entangled, because the clock</w:t>
      </w:r>
      <w:r>
        <w:rPr>
          <w:rFonts w:eastAsia="Calibri" w:cs="AdvOT1ef757c0+20" w:ascii="AdvOT1ef757c0+20" w:hAnsi="AdvOT1ef757c0+20"/>
          <w:color w:val="000000"/>
        </w:rPr>
        <w:t>’</w:t>
      </w:r>
      <w:r>
        <w:rPr>
          <w:rFonts w:eastAsia="Calibri" w:cs="AdvOT1ef757c0" w:ascii="AdvOT1ef757c0" w:hAnsi="AdvOT1ef757c0"/>
          <w:color w:val="000000"/>
        </w:rPr>
        <w:t>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proper time depends on the worldline taken in the superposition.</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In these situations, proper time is measured by the clock in its rest</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frame, but currently no complete formalism is known which</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would allow to transform to the rest frame of a clock that is in</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superposition of positions or momenta with repect to the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laboratory frame. Already in the present work we provide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solution to this problem in the low-velocity limit to explain the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Doppler-shift induced transitions for atoms in superpositions of</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momenta (see Methods (Application: notion of rest frame of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quantum system). We move to the rest frame of the atom,</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compute the transition probabilities for the incoming light frequencies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in this frame, and then move back to the laboratory</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frame.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An alternative future direction of our work concerns the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application to future experiments, in particular those able to test</w:t>
      </w:r>
    </w:p>
    <w:p>
      <w:pPr>
        <w:pStyle w:val="Normal"/>
        <w:spacing w:before="0" w:after="0"/>
        <w:contextualSpacing/>
        <w:jc w:val="left"/>
        <w:rPr/>
      </w:pPr>
      <w:r>
        <w:rPr>
          <w:rFonts w:eastAsia="Calibri" w:cs="AdvOT1ef757c0" w:ascii="AdvOT1ef757c0" w:hAnsi="AdvOT1ef757c0"/>
          <w:color w:val="000000"/>
        </w:rPr>
        <w:t xml:space="preserve">relative variables, such as the techniques in refs. </w:t>
      </w:r>
      <w:r>
        <w:rPr>
          <w:rFonts w:eastAsia="Calibri" w:cs="AdvOT1ef757c0" w:ascii="AdvOT1ef757c0" w:hAnsi="AdvOT1ef757c0"/>
          <w:color w:val="0000FF"/>
        </w:rPr>
        <w:t>36</w:t>
      </w:r>
      <w:r>
        <w:rPr>
          <w:rFonts w:eastAsia="Calibri" w:cs="AdvOT1ef757c0+20" w:ascii="AdvOT1ef757c0+20" w:hAnsi="AdvOT1ef757c0+20"/>
          <w:color w:val="000000"/>
        </w:rPr>
        <w:t>–</w:t>
      </w:r>
      <w:r>
        <w:rPr>
          <w:rFonts w:eastAsia="Calibri" w:cs="AdvOT1ef757c0" w:ascii="AdvOT1ef757c0" w:hAnsi="AdvOT1ef757c0"/>
          <w:color w:val="0000FF"/>
        </w:rPr>
        <w:t>39</w:t>
      </w:r>
      <w:r>
        <w:rPr>
          <w:rFonts w:eastAsia="Calibri" w:cs="AdvOT1ef757c0" w:ascii="AdvOT1ef757c0" w:hAnsi="AdvOT1ef757c0"/>
          <w:color w:val="000000"/>
        </w:rPr>
        <w:t>, and those</w:t>
      </w:r>
    </w:p>
    <w:p>
      <w:pPr>
        <w:pStyle w:val="Normal"/>
        <w:spacing w:before="0" w:after="0"/>
        <w:contextualSpacing/>
        <w:jc w:val="left"/>
        <w:rPr/>
      </w:pPr>
      <w:r>
        <w:rPr>
          <w:rFonts w:eastAsia="Calibri" w:cs="AdvOT1ef757c0" w:ascii="AdvOT1ef757c0" w:hAnsi="AdvOT1ef757c0"/>
          <w:color w:val="000000"/>
        </w:rPr>
        <w:t xml:space="preserve">involving </w:t>
      </w:r>
      <w:r>
        <w:rPr>
          <w:rFonts w:eastAsia="Calibri" w:cs="AdvOT1ef757c0+20" w:ascii="AdvOT1ef757c0+20" w:hAnsi="AdvOT1ef757c0+20"/>
          <w:color w:val="000000"/>
        </w:rPr>
        <w:t>‘</w:t>
      </w:r>
      <w:r>
        <w:rPr>
          <w:rFonts w:eastAsia="Calibri" w:cs="AdvOT1ef757c0" w:ascii="AdvOT1ef757c0" w:hAnsi="AdvOT1ef757c0"/>
          <w:color w:val="000000"/>
        </w:rPr>
        <w:t>macroscopic</w:t>
      </w:r>
      <w:r>
        <w:rPr>
          <w:rFonts w:eastAsia="Calibri" w:cs="AdvOT1ef757c0+20" w:ascii="AdvOT1ef757c0+20" w:hAnsi="AdvOT1ef757c0+20"/>
          <w:color w:val="000000"/>
        </w:rPr>
        <w:t xml:space="preserve">’ </w:t>
      </w:r>
      <w:r>
        <w:rPr>
          <w:rFonts w:eastAsia="Calibri" w:cs="AdvOT1ef757c0" w:ascii="AdvOT1ef757c0" w:hAnsi="AdvOT1ef757c0"/>
          <w:color w:val="000000"/>
        </w:rPr>
        <w:t>systems (e.g. nanomechanical oscillators),</w:t>
      </w:r>
    </w:p>
    <w:p>
      <w:pPr>
        <w:pStyle w:val="Normal"/>
        <w:spacing w:before="0" w:after="0"/>
        <w:contextualSpacing/>
        <w:jc w:val="left"/>
        <w:rPr/>
      </w:pPr>
      <w:r>
        <w:rPr>
          <w:rFonts w:eastAsia="Calibri" w:cs="AdvOT1ef757c0" w:ascii="AdvOT1ef757c0" w:hAnsi="AdvOT1ef757c0"/>
          <w:color w:val="000000"/>
        </w:rPr>
        <w:t xml:space="preserve">which could play the role of </w:t>
      </w:r>
      <w:r>
        <w:rPr>
          <w:rFonts w:eastAsia="Calibri" w:cs="AdvOT1ef757c0+20" w:ascii="AdvOT1ef757c0+20" w:hAnsi="AdvOT1ef757c0+20"/>
          <w:color w:val="000000"/>
        </w:rPr>
        <w:t>‘</w:t>
      </w:r>
      <w:r>
        <w:rPr>
          <w:rFonts w:eastAsia="Calibri" w:cs="AdvOT1ef757c0" w:ascii="AdvOT1ef757c0" w:hAnsi="AdvOT1ef757c0"/>
          <w:color w:val="000000"/>
        </w:rPr>
        <w:t>large</w:t>
      </w:r>
      <w:r>
        <w:rPr>
          <w:rFonts w:eastAsia="Calibri" w:cs="AdvOT1ef757c0+20" w:ascii="AdvOT1ef757c0+20" w:hAnsi="AdvOT1ef757c0+20"/>
          <w:color w:val="000000"/>
        </w:rPr>
        <w:t xml:space="preserve">’ </w:t>
      </w:r>
      <w:r>
        <w:rPr>
          <w:rFonts w:eastAsia="Calibri" w:cs="AdvOT1ef757c0" w:ascii="AdvOT1ef757c0" w:hAnsi="AdvOT1ef757c0"/>
          <w:color w:val="000000"/>
        </w:rPr>
        <w:t>quantum reference frames,</w:t>
      </w:r>
    </w:p>
    <w:p>
      <w:pPr>
        <w:pStyle w:val="Normal"/>
        <w:spacing w:before="0" w:after="0"/>
        <w:contextualSpacing/>
        <w:jc w:val="left"/>
        <w:rPr/>
      </w:pPr>
      <w:r>
        <w:rPr>
          <w:rFonts w:eastAsia="Calibri" w:cs="AdvOT1ef757c0" w:ascii="AdvOT1ef757c0" w:hAnsi="AdvOT1ef757c0"/>
          <w:color w:val="000000"/>
        </w:rPr>
        <w:t xml:space="preserve">similarly to the situation considered in ref. </w:t>
      </w:r>
      <w:r>
        <w:rPr>
          <w:rFonts w:eastAsia="Calibri" w:cs="AdvOT1ef757c0" w:ascii="AdvOT1ef757c0" w:hAnsi="AdvOT1ef757c0"/>
          <w:color w:val="0000FF"/>
        </w:rPr>
        <w:t>26</w:t>
      </w:r>
      <w:r>
        <w:rPr>
          <w:rFonts w:eastAsia="Calibri" w:cs="AdvOT1ef757c0" w:ascii="AdvOT1ef757c0" w:hAnsi="AdvOT1ef757c0"/>
          <w:color w:val="000000"/>
        </w:rPr>
        <w:t>. Experiments with</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these systems could shed light on some conceptual issues of</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quantum gravity at low energies, such as those related to quantum</w:t>
      </w:r>
    </w:p>
    <w:p>
      <w:pPr>
        <w:pStyle w:val="Normal"/>
        <w:spacing w:before="0" w:after="0"/>
        <w:contextualSpacing/>
        <w:jc w:val="left"/>
        <w:rPr/>
      </w:pPr>
      <w:r>
        <w:rPr>
          <w:rFonts w:eastAsia="Calibri" w:cs="AdvOT1ef757c0+fb" w:ascii="AdvOT1ef757c0+fb" w:hAnsi="AdvOT1ef757c0+fb"/>
          <w:color w:val="000000"/>
        </w:rPr>
        <w:t>fl</w:t>
      </w:r>
      <w:r>
        <w:rPr>
          <w:rFonts w:eastAsia="Calibri" w:cs="AdvOT1ef757c0" w:ascii="AdvOT1ef757c0" w:hAnsi="AdvOT1ef757c0"/>
          <w:color w:val="000000"/>
        </w:rPr>
        <w:t>uctuations of the spacetime or superposition of large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masses.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It would also be interesting to investigate whether allowing</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observers to be in a superposition or entangled with other systems</w:t>
      </w:r>
    </w:p>
    <w:p>
      <w:pPr>
        <w:pStyle w:val="Normal"/>
        <w:spacing w:before="0" w:after="0"/>
        <w:contextualSpacing/>
        <w:jc w:val="left"/>
        <w:rPr/>
      </w:pPr>
      <w:r>
        <w:rPr>
          <w:rFonts w:eastAsia="Calibri" w:cs="AdvOT1ef757c0" w:ascii="AdvOT1ef757c0" w:hAnsi="AdvOT1ef757c0"/>
          <w:color w:val="000000"/>
        </w:rPr>
        <w:t>could lead to scenarios with inde</w:t>
      </w:r>
      <w:r>
        <w:rPr>
          <w:rFonts w:eastAsia="Calibri" w:cs="AdvOT1ef757c0+fb" w:ascii="AdvOT1ef757c0+fb" w:hAnsi="AdvOT1ef757c0+fb"/>
          <w:color w:val="000000"/>
        </w:rPr>
        <w:t>fi</w:t>
      </w:r>
      <w:r>
        <w:rPr>
          <w:rFonts w:eastAsia="Calibri" w:cs="AdvOT1ef757c0" w:ascii="AdvOT1ef757c0" w:hAnsi="AdvOT1ef757c0"/>
          <w:color w:val="000000"/>
        </w:rPr>
        <w:t>nite causal structures, such as</w:t>
      </w:r>
    </w:p>
    <w:p>
      <w:pPr>
        <w:pStyle w:val="Normal"/>
        <w:spacing w:before="0" w:after="0"/>
        <w:contextualSpacing/>
        <w:jc w:val="left"/>
        <w:rPr/>
      </w:pPr>
      <w:r>
        <w:rPr>
          <w:rFonts w:eastAsia="Calibri" w:cs="AdvOT1ef757c0" w:ascii="AdvOT1ef757c0" w:hAnsi="AdvOT1ef757c0"/>
          <w:color w:val="000000"/>
        </w:rPr>
        <w:t xml:space="preserve">those in ref. </w:t>
      </w:r>
      <w:r>
        <w:rPr>
          <w:rFonts w:eastAsia="Calibri" w:cs="AdvOT1ef757c0" w:ascii="AdvOT1ef757c0" w:hAnsi="AdvOT1ef757c0"/>
          <w:color w:val="0000FF"/>
        </w:rPr>
        <w:t>40</w:t>
      </w:r>
      <w:r>
        <w:rPr>
          <w:rFonts w:eastAsia="Calibri" w:cs="AdvOT1ef757c0" w:ascii="AdvOT1ef757c0" w:hAnsi="AdvOT1ef757c0"/>
          <w:color w:val="000000"/>
        </w:rPr>
        <w:t>, where a global time-order cannot, at least in</w:t>
      </w:r>
    </w:p>
    <w:p>
      <w:pPr>
        <w:pStyle w:val="Normal"/>
        <w:spacing w:before="0" w:after="0"/>
        <w:contextualSpacing/>
        <w:jc w:val="left"/>
        <w:rPr/>
      </w:pPr>
      <w:r>
        <w:rPr>
          <w:rFonts w:eastAsia="Calibri" w:cs="AdvOT1ef757c0" w:ascii="AdvOT1ef757c0" w:hAnsi="AdvOT1ef757c0"/>
          <w:color w:val="000000"/>
        </w:rPr>
        <w:t>general, be imposed, but the observers are in well-de</w:t>
      </w:r>
      <w:r>
        <w:rPr>
          <w:rFonts w:eastAsia="Calibri" w:cs="AdvOT1ef757c0+fb" w:ascii="AdvOT1ef757c0+fb" w:hAnsi="AdvOT1ef757c0+fb"/>
          <w:color w:val="000000"/>
        </w:rPr>
        <w:t>fi</w:t>
      </w:r>
      <w:r>
        <w:rPr>
          <w:rFonts w:eastAsia="Calibri" w:cs="AdvOT1ef757c0" w:ascii="AdvOT1ef757c0" w:hAnsi="AdvOT1ef757c0"/>
          <w:color w:val="000000"/>
        </w:rPr>
        <w:t>ned positions.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Our formalism for quantum reference frames can be seen</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as a dual picture to this work: while a global time order can still be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found, at least in the Galilean-relativistic case, the observers are</w:t>
      </w:r>
    </w:p>
    <w:p>
      <w:pPr>
        <w:pStyle w:val="ListParagraph"/>
        <w:spacing w:before="0" w:after="0"/>
        <w:ind w:left="0" w:right="0" w:hanging="0"/>
        <w:contextualSpacing/>
        <w:rPr>
          <w:rFonts w:ascii="AdvOT1ef757c0" w:hAnsi="AdvOT1ef757c0" w:eastAsia="Calibri" w:cs="AdvOT1ef757c0"/>
          <w:color w:val="000000"/>
          <w:sz w:val="24"/>
          <w:szCs w:val="24"/>
        </w:rPr>
      </w:pPr>
      <w:r>
        <w:rPr>
          <w:rFonts w:eastAsia="Calibri" w:cs="AdvOT1ef757c0" w:ascii="AdvOT1ef757c0" w:hAnsi="AdvOT1ef757c0"/>
          <w:color w:val="000000"/>
          <w:sz w:val="24"/>
          <w:szCs w:val="24"/>
        </w:rPr>
        <w:t>not localised. (p. 7)</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ListParagraph"/>
        <w:spacing w:before="0" w:after="0"/>
        <w:ind w:left="0" w:right="0" w:hanging="0"/>
        <w:contextualSpacing/>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t>[The main ideas in these paragraphs is UNBELIEVABLE similar to my EDWs that I have applied to quantum mechanics and macro-EW!!!!!!!!!!!!!!!!! Is somebody who do not understand this UNBELIEVABLE similarities???]</w:t>
      </w:r>
    </w:p>
    <w:p>
      <w:pPr>
        <w:pStyle w:val="Normal"/>
        <w:spacing w:before="0" w:after="0"/>
        <w:contextualSpacing/>
        <w:jc w:val="left"/>
        <w:rPr>
          <w:rFonts w:ascii="Palatino Linotype" w:hAnsi="Palatino Linotype" w:eastAsia="Calibri" w:cs="Palatino Linotype"/>
          <w:b/>
          <w:b/>
          <w:color w:val="000000"/>
          <w:sz w:val="28"/>
          <w:szCs w:val="28"/>
        </w:rPr>
      </w:pPr>
      <w:r>
        <w:rPr>
          <w:rFonts w:eastAsia="Calibri" w:cs="Palatino Linotype" w:ascii="Palatino Linotype" w:hAnsi="Palatino Linotype"/>
          <w:b/>
          <w:color w:val="000000"/>
          <w:sz w:val="28"/>
          <w:szCs w:val="28"/>
        </w:rPr>
      </w:r>
    </w:p>
    <w:p>
      <w:pPr>
        <w:pStyle w:val="Normal"/>
        <w:spacing w:before="0" w:after="0"/>
        <w:contextualSpacing/>
        <w:jc w:val="left"/>
        <w:rPr>
          <w:rFonts w:ascii="Palatino Linotype" w:hAnsi="Palatino Linotype" w:eastAsia="Calibri" w:cs="Palatino Linotype"/>
          <w:b/>
          <w:b/>
          <w:color w:val="000000"/>
          <w:sz w:val="28"/>
          <w:szCs w:val="28"/>
        </w:rPr>
      </w:pPr>
      <w:r>
        <w:rPr>
          <w:rFonts w:eastAsia="Calibri" w:cs="Palatino Linotype" w:ascii="Palatino Linotype" w:hAnsi="Palatino Linotype"/>
          <w:b/>
          <w:color w:val="000000"/>
          <w:sz w:val="28"/>
          <w:szCs w:val="28"/>
        </w:rPr>
      </w:r>
    </w:p>
    <w:p>
      <w:pPr>
        <w:pStyle w:val="ListParagraph"/>
        <w:numPr>
          <w:ilvl w:val="0"/>
          <w:numId w:val="31"/>
        </w:numPr>
        <w:spacing w:before="0" w:after="0"/>
        <w:ind w:left="0" w:right="0" w:hanging="360"/>
        <w:contextualSpacing/>
        <w:rPr>
          <w:rFonts w:ascii="Palatino Linotype" w:hAnsi="Palatino Linotype" w:eastAsia="Calibri" w:cs="Palatino Linotype"/>
          <w:b/>
          <w:b/>
          <w:color w:val="000000"/>
          <w:sz w:val="28"/>
          <w:szCs w:val="28"/>
        </w:rPr>
      </w:pPr>
      <w:r>
        <w:rPr>
          <w:rFonts w:eastAsia="Calibri" w:cs="Palatino Linotype" w:ascii="Palatino Linotype" w:hAnsi="Palatino Linotype"/>
          <w:b/>
          <w:color w:val="000000"/>
          <w:sz w:val="28"/>
          <w:szCs w:val="28"/>
        </w:rPr>
        <w:t xml:space="preserve">(2019) Valia Allori, “Scientific Realism without the Wave-Function: </w:t>
      </w:r>
    </w:p>
    <w:p>
      <w:pPr>
        <w:pStyle w:val="Normal"/>
        <w:spacing w:before="0" w:after="0"/>
        <w:contextualSpacing/>
        <w:jc w:val="left"/>
        <w:rPr/>
      </w:pPr>
      <w:r>
        <w:rPr>
          <w:rFonts w:eastAsia="Calibri" w:cs="Palatino Linotype" w:ascii="Palatino Linotype" w:hAnsi="Palatino Linotype"/>
          <w:b/>
          <w:color w:val="000000"/>
          <w:sz w:val="28"/>
          <w:szCs w:val="28"/>
        </w:rPr>
        <w:t xml:space="preserve">An Example of Naturalized Quantum Metaphysics” </w:t>
      </w:r>
      <w:r>
        <w:rPr>
          <w:rFonts w:eastAsia="Calibri" w:cs="Palatino Linotype" w:ascii="Palatino Linotype" w:hAnsi="Palatino Linotype"/>
          <w:color w:val="000000"/>
          <w:sz w:val="28"/>
          <w:szCs w:val="28"/>
        </w:rPr>
        <w:t>(to appear in J. Saatsi, S. French (eds.) “Scientific Realism and the Quantum” OUP (2019) - Department of Philosophy Northern Illinois University)</w:t>
      </w:r>
      <w:bookmarkStart w:id="11" w:name="_Hlk168773"/>
      <w:bookmarkEnd w:id="11"/>
    </w:p>
    <w:p>
      <w:pPr>
        <w:pStyle w:val="Normal"/>
        <w:spacing w:before="0" w:after="0"/>
        <w:contextualSpacing/>
        <w:jc w:val="left"/>
        <w:rPr>
          <w:rFonts w:ascii="Palatino Linotype" w:hAnsi="Palatino Linotype" w:eastAsia="Calibri" w:cs="Palatino Linotype"/>
          <w:color w:val="000000"/>
          <w:sz w:val="28"/>
          <w:szCs w:val="28"/>
        </w:rPr>
      </w:pPr>
      <w:r>
        <w:rPr>
          <w:rFonts w:eastAsia="Calibri" w:cs="Palatino Linotype" w:ascii="Palatino Linotype" w:hAnsi="Palatino Linotype"/>
          <w:color w:val="000000"/>
          <w:sz w:val="28"/>
          <w:szCs w:val="28"/>
        </w:rPr>
      </w:r>
    </w:p>
    <w:p>
      <w:pPr>
        <w:pStyle w:val="Normal"/>
        <w:spacing w:before="0" w:after="0"/>
        <w:contextualSpacing/>
        <w:jc w:val="left"/>
        <w:rPr>
          <w:rFonts w:ascii="Palatino Linotype" w:hAnsi="Palatino Linotype" w:eastAsia="Calibri" w:cs="Palatino Linotype"/>
          <w:color w:val="000000"/>
        </w:rPr>
      </w:pPr>
      <w:r>
        <w:rPr>
          <w:rFonts w:eastAsia="Calibri" w:cs="Palatino Linotype" w:ascii="Palatino Linotype" w:hAnsi="Palatino Linotype"/>
          <w:color w:val="000000"/>
        </w:rPr>
      </w:r>
    </w:p>
    <w:p>
      <w:pPr>
        <w:pStyle w:val="Normal"/>
        <w:spacing w:before="0" w:after="0"/>
        <w:contextualSpacing/>
        <w:jc w:val="left"/>
        <w:rPr/>
      </w:pPr>
      <w:r>
        <w:rPr>
          <w:rFonts w:eastAsia="Calibri" w:cs="Palatino Linotype" w:ascii="Palatino Linotype" w:hAnsi="Palatino Linotype"/>
          <w:color w:val="000000"/>
        </w:rPr>
        <w:t xml:space="preserve"> </w:t>
      </w:r>
      <w:r>
        <w:rPr>
          <w:rFonts w:eastAsia="Calibri" w:cs="Palatino Linotype" w:ascii="Palatino Linotype" w:hAnsi="Palatino Linotype"/>
          <w:b/>
          <w:bCs/>
          <w:color w:val="000000"/>
          <w:sz w:val="23"/>
          <w:szCs w:val="23"/>
        </w:rPr>
        <w:t xml:space="preserve">Abstract </w:t>
      </w:r>
    </w:p>
    <w:p>
      <w:pPr>
        <w:pStyle w:val="Normal"/>
        <w:spacing w:before="0" w:after="0"/>
        <w:contextualSpacing/>
        <w:jc w:val="left"/>
        <w:rPr>
          <w:rFonts w:ascii="Palatino Linotype" w:hAnsi="Palatino Linotype" w:eastAsia="Calibri" w:cs="Palatino Linotype"/>
          <w:color w:val="000000"/>
          <w:sz w:val="20"/>
          <w:szCs w:val="20"/>
        </w:rPr>
      </w:pPr>
      <w:r>
        <w:rPr>
          <w:rFonts w:eastAsia="Calibri" w:cs="Palatino Linotype" w:ascii="Palatino Linotype" w:hAnsi="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pStyle w:val="Normal"/>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t>[EDWs, nothing more!]</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cs="Cambria Math" w:ascii="Cambria Math" w:hAnsi="Cambria Math"/>
          <w:sz w:val="23"/>
          <w:szCs w:val="23"/>
        </w:rPr>
        <w:t>𝐺</w:t>
      </w:r>
      <w:r>
        <w:rPr>
          <w:sz w:val="23"/>
          <w:szCs w:val="23"/>
        </w:rPr>
        <w:t xml:space="preserve">; some others may be taken as describing properties of matter, like </w:t>
      </w:r>
      <w:r>
        <w:rPr>
          <w:rFonts w:cs="Cambria Math" w:ascii="Cambria Math" w:hAnsi="Cambria Math"/>
          <w:sz w:val="23"/>
          <w:szCs w:val="23"/>
        </w:rPr>
        <w:t xml:space="preserve">𝑚 </w:t>
      </w:r>
      <w:r>
        <w:rPr>
          <w:sz w:val="23"/>
          <w:szCs w:val="23"/>
        </w:rPr>
        <w:t xml:space="preserve">or </w:t>
      </w:r>
      <w:r>
        <w:rPr>
          <w:rFonts w:cs="Cambria Math" w:ascii="Cambria Math" w:hAnsi="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cs="Cambria Math" w:ascii="Cambria Math" w:hAnsi="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pStyle w:val="Normal"/>
        <w:spacing w:before="0" w:after="0"/>
        <w:contextualSpacing/>
        <w:jc w:val="left"/>
        <w:rPr/>
      </w:pPr>
      <w:r>
        <w:rPr>
          <w:rFonts w:eastAsia="Calibri" w:cs="AdvOTea1a7398" w:ascii="AdvOTea1a7398" w:hAnsi="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pStyle w:val="Normal"/>
        <w:spacing w:before="0" w:after="0"/>
        <w:ind w:left="0" w:right="0" w:firstLine="720"/>
        <w:contextualSpacing/>
        <w:jc w:val="left"/>
        <w:rPr/>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t>[EDWs, nothing more!]</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rFonts w:ascii="Palatino Linotype" w:hAnsi="Palatino Linotype" w:eastAsia="Calibri" w:cs="Palatino Linotype"/>
          <w:b/>
          <w:b/>
          <w:bCs/>
          <w:color w:val="000000"/>
          <w:sz w:val="28"/>
          <w:szCs w:val="28"/>
        </w:rPr>
      </w:pPr>
      <w:r>
        <w:rPr>
          <w:rFonts w:eastAsia="Calibri" w:cs="Palatino Linotype" w:ascii="Palatino Linotype" w:hAnsi="Palatino Linotype"/>
          <w:b/>
          <w:bCs/>
          <w:color w:val="000000"/>
          <w:sz w:val="28"/>
          <w:szCs w:val="28"/>
        </w:rPr>
        <w:t xml:space="preserve">3. Quantum Theory Construction Kit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 xml:space="preserve">1. Make a metaphysical assumption and select a corresponding spatio-temporal PO, which therefore has an ontological role;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 xml:space="preserve">3. Select a law of evolution for this/these object/s.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r>
    </w:p>
    <w:p>
      <w:pPr>
        <w:pStyle w:val="Normal"/>
        <w:spacing w:before="0" w:after="0"/>
        <w:contextualSpacing/>
        <w:jc w:val="left"/>
        <w:rPr/>
      </w:pPr>
      <w:r>
        <w:rPr>
          <w:rFonts w:eastAsia="Calibri" w:cs="Palatino Linotype" w:ascii="Palatino Linotype" w:hAnsi="Palatino Linotype"/>
          <w:color w:val="000000"/>
          <w:sz w:val="23"/>
          <w:szCs w:val="23"/>
        </w:rPr>
        <w:t>A variety of such theories have been proposed and analyzed.</w:t>
      </w:r>
      <w:r>
        <w:rPr>
          <w:rFonts w:eastAsia="Calibri" w:cs="Palatino Linotype" w:ascii="Palatino Linotype" w:hAnsi="Palatino Linotype"/>
          <w:color w:val="000000"/>
          <w:sz w:val="14"/>
          <w:szCs w:val="14"/>
        </w:rPr>
        <w:t xml:space="preserve">25 </w:t>
      </w:r>
      <w:r>
        <w:rPr>
          <w:rFonts w:eastAsia="Calibri" w:cs="Palatino Linotype" w:ascii="Palatino Linotype" w:hAnsi="Palatino Linotype"/>
          <w:color w:val="000000"/>
          <w:sz w:val="23"/>
          <w:szCs w:val="23"/>
        </w:rPr>
        <w:t xml:space="preserve">However, not all possible theories are good ones. A first constraint is empirical adequacy: the manifest image has to be successfully recovered. </w:t>
      </w:r>
      <w:r>
        <w:rP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pStyle w:val="Normal"/>
        <w:spacing w:before="0" w:after="0"/>
        <w:contextualSpacing/>
        <w:jc w:val="left"/>
        <w:rPr/>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eastAsia="Calibri" w:cs="Palatino Linotype" w:ascii="Palatino Linotype" w:hAnsi="Palatino Linotype"/>
          <w:color w:val="000000"/>
          <w:sz w:val="23"/>
          <w:szCs w:val="23"/>
        </w:rPr>
        <w:t xml:space="preserve">(pp. 7-8) </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t>[EDWs, nothing more!]</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rFonts w:ascii="Palatino Linotype" w:hAnsi="Palatino Linotype" w:eastAsia="Calibri" w:cs="Palatino Linotype"/>
          <w:color w:val="000000"/>
          <w:sz w:val="12"/>
          <w:szCs w:val="12"/>
        </w:rPr>
      </w:pPr>
      <w:r>
        <w:rPr>
          <w:rFonts w:eastAsia="Calibri" w:cs="Palatino Linotype" w:ascii="Palatino Linotype" w:hAnsi="Palatino Linotype"/>
          <w:color w:val="000000"/>
          <w:sz w:val="12"/>
          <w:szCs w:val="12"/>
        </w:rPr>
        <w:t xml:space="preserve">26 </w:t>
      </w:r>
    </w:p>
    <w:p>
      <w:pPr>
        <w:pStyle w:val="Normal"/>
        <w:spacing w:before="0" w:after="0"/>
        <w:contextualSpacing/>
        <w:jc w:val="left"/>
        <w:rPr>
          <w:rFonts w:ascii="Palatino Linotype" w:hAnsi="Palatino Linotype" w:eastAsia="Calibri" w:cs="Palatino Linotype"/>
          <w:b/>
          <w:b/>
          <w:bCs/>
          <w:color w:val="000000"/>
          <w:sz w:val="28"/>
          <w:szCs w:val="28"/>
        </w:rPr>
      </w:pPr>
      <w:r>
        <w:rPr>
          <w:rFonts w:eastAsia="Calibri" w:cs="Palatino Linotype" w:ascii="Palatino Linotype" w:hAnsi="Palatino Linotype"/>
          <w:b/>
          <w:bCs/>
          <w:color w:val="000000"/>
          <w:sz w:val="28"/>
          <w:szCs w:val="28"/>
        </w:rPr>
        <w:t xml:space="preserve">4. Primitive Ontology </w:t>
      </w:r>
    </w:p>
    <w:p>
      <w:pPr>
        <w:pStyle w:val="Default"/>
        <w:spacing w:before="0" w:after="0"/>
        <w:contextualSpacing/>
        <w:rPr>
          <w:rFonts w:ascii="Palatino Linotype" w:hAnsi="Palatino Linotype" w:eastAsia="Calibri" w:cs="Palatino Linotype"/>
          <w:sz w:val="23"/>
          <w:szCs w:val="23"/>
        </w:rPr>
      </w:pPr>
      <w:r>
        <w:rPr>
          <w:rFonts w:eastAsia="Calibri" w:cs="Palatino Linotype" w:ascii="Palatino Linotype" w:hAnsi="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pStyle w:val="Normal"/>
        <w:spacing w:before="0" w:after="0"/>
        <w:contextualSpacing/>
        <w:jc w:val="left"/>
        <w:rPr/>
      </w:pPr>
      <w:r>
        <w:rPr>
          <w:rFonts w:eastAsia="Calibri" w:cs="Palatino Linotype" w:ascii="Palatino Linotype" w:hAnsi="Palatino Linotype"/>
          <w:b/>
          <w:bCs/>
          <w:color w:val="000000"/>
          <w:sz w:val="23"/>
          <w:szCs w:val="23"/>
        </w:rPr>
        <w:t>Particles</w:t>
      </w:r>
      <w:r>
        <w:rPr>
          <w:rFonts w:eastAsia="Calibri" w:cs="Palatino Linotype" w:ascii="Palatino Linotype" w:hAnsi="Palatino Linotype"/>
          <w:color w:val="000000"/>
          <w:sz w:val="23"/>
          <w:szCs w:val="23"/>
        </w:rPr>
        <w:t xml:space="preserve">: If matter is made of point-particles, the following is a list of some empirically adequate theories.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pStyle w:val="Normal"/>
        <w:spacing w:before="0" w:after="0"/>
        <w:contextualSpacing/>
        <w:jc w:val="left"/>
        <w:rPr/>
      </w:pPr>
      <w:r>
        <w:rPr>
          <w:rFonts w:eastAsia="Calibri" w:cs="Palatino Linotype" w:ascii="Palatino Linotype" w:hAnsi="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eastAsia="Calibri" w:cs="Palatino Linotype" w:ascii="Palatino Linotype" w:hAnsi="Palatino Linotype"/>
          <w:color w:val="000000"/>
          <w:sz w:val="14"/>
          <w:szCs w:val="14"/>
        </w:rPr>
        <w:t xml:space="preserve">30 </w:t>
      </w:r>
    </w:p>
    <w:p>
      <w:pPr>
        <w:pStyle w:val="Normal"/>
        <w:spacing w:before="0" w:after="0"/>
        <w:contextualSpacing/>
        <w:jc w:val="left"/>
        <w:rPr/>
      </w:pPr>
      <w:r>
        <w:rPr>
          <w:rFonts w:eastAsia="Calibri" w:cs="Palatino Linotype" w:ascii="Palatino Linotype" w:hAnsi="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eastAsia="Calibri" w:cs="Palatino Linotype" w:ascii="Palatino Linotype" w:hAnsi="Palatino Linotype"/>
          <w:color w:val="000000"/>
          <w:sz w:val="14"/>
          <w:szCs w:val="14"/>
        </w:rPr>
        <w:t xml:space="preserve">31 </w:t>
      </w:r>
    </w:p>
    <w:p>
      <w:pPr>
        <w:pStyle w:val="Normal"/>
        <w:spacing w:before="0" w:after="0"/>
        <w:contextualSpacing/>
        <w:jc w:val="left"/>
        <w:rPr/>
      </w:pPr>
      <w:r>
        <w:rPr>
          <w:rFonts w:eastAsia="Calibri" w:cs="Palatino Linotype" w:ascii="Palatino Linotype" w:hAnsi="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eastAsia="Calibri" w:cs="Palatino Linotype" w:ascii="Palatino Linotype" w:hAnsi="Palatino Linotype"/>
          <w:color w:val="000000"/>
          <w:sz w:val="14"/>
          <w:szCs w:val="14"/>
        </w:rPr>
        <w:t xml:space="preserve">32 </w:t>
      </w:r>
    </w:p>
    <w:p>
      <w:pPr>
        <w:pStyle w:val="Normal"/>
        <w:spacing w:before="0" w:after="0"/>
        <w:contextualSpacing/>
        <w:jc w:val="left"/>
        <w:rPr>
          <w:rFonts w:ascii="Palatino Linotype" w:hAnsi="Palatino Linotype" w:eastAsia="Calibri" w:cs="Palatino Linotype"/>
          <w:color w:val="000000"/>
        </w:rPr>
      </w:pPr>
      <w:r>
        <w:rPr>
          <w:rFonts w:eastAsia="Calibri" w:cs="Palatino Linotype" w:ascii="Palatino Linotype" w:hAnsi="Palatino Linotype"/>
          <w:color w:val="000000"/>
        </w:rPr>
      </w:r>
    </w:p>
    <w:p>
      <w:pPr>
        <w:pStyle w:val="Normal"/>
        <w:spacing w:before="0" w:after="0"/>
        <w:contextualSpacing/>
        <w:jc w:val="left"/>
        <w:rPr/>
      </w:pPr>
      <w:r>
        <w:rPr>
          <w:rFonts w:eastAsia="Calibri" w:cs="Palatino Linotype" w:ascii="Palatino Linotype" w:hAnsi="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eastAsia="Calibri" w:cs="Palatino Linotype" w:ascii="Palatino Linotype" w:hAnsi="Palatino Linotype"/>
          <w:color w:val="000000"/>
          <w:sz w:val="14"/>
          <w:szCs w:val="14"/>
        </w:rPr>
        <w:t>33  (pp. 9-10)</w:t>
      </w:r>
    </w:p>
    <w:p>
      <w:pPr>
        <w:pStyle w:val="Normal"/>
        <w:spacing w:before="0" w:after="0"/>
        <w:contextualSpacing/>
        <w:jc w:val="left"/>
        <w:rPr>
          <w:rFonts w:ascii="Palatino Linotype" w:hAnsi="Palatino Linotype" w:eastAsia="Calibri" w:cs="Palatino Linotype"/>
          <w:color w:val="000000"/>
          <w:sz w:val="14"/>
          <w:szCs w:val="14"/>
        </w:rPr>
      </w:pPr>
      <w:r>
        <w:rPr>
          <w:rFonts w:eastAsia="Calibri" w:cs="Palatino Linotype" w:ascii="Palatino Linotype" w:hAnsi="Palatino Linotype"/>
          <w:color w:val="000000"/>
          <w:sz w:val="14"/>
          <w:szCs w:val="14"/>
        </w:rPr>
      </w:r>
    </w:p>
    <w:p>
      <w:pPr>
        <w:pStyle w:val="Normal"/>
        <w:spacing w:before="0" w:after="0"/>
        <w:contextualSpacing/>
        <w:jc w:val="left"/>
        <w:rPr/>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rP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pStyle w:val="Normal"/>
        <w:spacing w:before="0" w:after="0"/>
        <w:contextualSpacing/>
        <w:jc w:val="left"/>
        <w:rPr>
          <w:rFonts w:ascii="Palatino Linotype" w:hAnsi="Palatino Linotype" w:eastAsia="Calibri" w:cs="Palatino Linotype"/>
          <w:color w:val="000000"/>
          <w:sz w:val="14"/>
          <w:szCs w:val="14"/>
        </w:rPr>
      </w:pPr>
      <w:r>
        <w:rPr>
          <w:rFonts w:eastAsia="Calibri" w:cs="Palatino Linotype" w:ascii="Palatino Linotype" w:hAnsi="Palatino Linotype"/>
          <w:color w:val="000000"/>
          <w:sz w:val="14"/>
          <w:szCs w:val="14"/>
        </w:rPr>
      </w:r>
    </w:p>
    <w:p>
      <w:pPr>
        <w:pStyle w:val="Normal"/>
        <w:spacing w:before="0" w:after="0"/>
        <w:contextualSpacing/>
        <w:jc w:val="left"/>
        <w:rPr>
          <w:rFonts w:ascii="Palatino Linotype" w:hAnsi="Palatino Linotype" w:eastAsia="Calibri" w:cs="Palatino Linotype"/>
          <w:color w:val="000000"/>
          <w:sz w:val="14"/>
          <w:szCs w:val="14"/>
        </w:rPr>
      </w:pPr>
      <w:r>
        <w:rPr>
          <w:rFonts w:eastAsia="Calibri" w:cs="Palatino Linotype" w:ascii="Palatino Linotype" w:hAnsi="Palatino Linotype"/>
          <w:color w:val="000000"/>
          <w:sz w:val="14"/>
          <w:szCs w:val="14"/>
        </w:rPr>
      </w:r>
    </w:p>
    <w:p>
      <w:pPr>
        <w:pStyle w:val="Normal"/>
        <w:spacing w:before="0" w:after="0"/>
        <w:contextualSpacing/>
        <w:jc w:val="left"/>
        <w:rPr>
          <w:rFonts w:ascii="Palatino Linotype" w:hAnsi="Palatino Linotype" w:eastAsia="Calibri" w:cs="Palatino Linotype"/>
          <w:b/>
          <w:b/>
          <w:bCs/>
          <w:color w:val="000000"/>
          <w:sz w:val="28"/>
          <w:szCs w:val="28"/>
        </w:rPr>
      </w:pPr>
      <w:r>
        <w:rPr>
          <w:rFonts w:eastAsia="Calibri" w:cs="Palatino Linotype" w:ascii="Palatino Linotype" w:hAnsi="Palatino Linotype"/>
          <w:b/>
          <w:bCs/>
          <w:color w:val="000000"/>
          <w:sz w:val="28"/>
          <w:szCs w:val="28"/>
        </w:rPr>
        <w:t xml:space="preserve">8. Theory Evaluation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pStyle w:val="Normal"/>
        <w:spacing w:before="0" w:after="0"/>
        <w:contextualSpacing/>
        <w:jc w:val="left"/>
        <w:rPr/>
      </w:pPr>
      <w:r>
        <w:rPr>
          <w:rFonts w:eastAsia="Calibri" w:cs="Palatino Linotype" w:ascii="Palatino Linotype" w:hAnsi="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eastAsia="Calibri" w:cs="Palatino Linotype" w:ascii="Palatino Linotype" w:hAnsi="Palatino Linotype"/>
          <w:color w:val="000000"/>
          <w:sz w:val="14"/>
          <w:szCs w:val="14"/>
        </w:rPr>
        <w:t>57 (p. 16)</w:t>
      </w:r>
    </w:p>
    <w:p>
      <w:pPr>
        <w:pStyle w:val="Normal"/>
        <w:spacing w:before="0" w:after="0"/>
        <w:contextualSpacing/>
        <w:jc w:val="left"/>
        <w:rPr>
          <w:rFonts w:ascii="Palatino Linotype" w:hAnsi="Palatino Linotype" w:eastAsia="Calibri" w:cs="Palatino Linotype"/>
          <w:color w:val="000000"/>
          <w:sz w:val="14"/>
          <w:szCs w:val="14"/>
        </w:rPr>
      </w:pPr>
      <w:r>
        <w:rPr>
          <w:rFonts w:eastAsia="Calibri" w:cs="Palatino Linotype" w:ascii="Palatino Linotype" w:hAnsi="Palatino Linotype"/>
          <w:color w:val="000000"/>
          <w:sz w:val="14"/>
          <w:szCs w:val="14"/>
        </w:rPr>
      </w:r>
    </w:p>
    <w:p>
      <w:pPr>
        <w:pStyle w:val="Normal"/>
        <w:spacing w:before="0" w:after="0"/>
        <w:contextualSpacing/>
        <w:jc w:val="left"/>
        <w:rPr/>
      </w:pPr>
      <w:r>
        <w:rPr>
          <w:rFonts w:eastAsia="Calibri" w:cs="Palatino Linotype" w:ascii="Palatino Linotype" w:hAnsi="Palatino Linotype"/>
          <w:color w:val="000000"/>
          <w:sz w:val="14"/>
          <w:szCs w:val="14"/>
        </w:rPr>
        <w:t xml:space="preserve">Footnote 57: </w:t>
      </w:r>
      <w:r>
        <w:rPr>
          <w:sz w:val="13"/>
          <w:szCs w:val="13"/>
        </w:rPr>
        <w:t xml:space="preserve">57 </w:t>
      </w:r>
      <w:r>
        <w:rPr>
          <w:rFonts w:cs="Palatino Linotype" w:ascii="Palatino Linotype" w:hAnsi="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rPr/>
        <w:t xml:space="preserve"> </w:t>
      </w:r>
    </w:p>
    <w:p>
      <w:pPr>
        <w:pStyle w:val="Normal"/>
        <w:spacing w:before="0" w:after="0"/>
        <w:contextualSpacing/>
        <w:jc w:val="left"/>
        <w:rPr>
          <w:rFonts w:ascii="Palatino Linotype" w:hAnsi="Palatino Linotype" w:eastAsia="Calibri" w:cs="Palatino Linotype"/>
          <w:color w:val="000000"/>
          <w:sz w:val="14"/>
          <w:szCs w:val="14"/>
        </w:rPr>
      </w:pPr>
      <w:r>
        <w:rPr>
          <w:rFonts w:eastAsia="Calibri" w:cs="Palatino Linotype" w:ascii="Palatino Linotype" w:hAnsi="Palatino Linotype"/>
          <w:color w:val="000000"/>
          <w:sz w:val="14"/>
          <w:szCs w:val="14"/>
        </w:rPr>
      </w:r>
    </w:p>
    <w:p>
      <w:pPr>
        <w:pStyle w:val="Default"/>
        <w:spacing w:before="0" w:after="0"/>
        <w:contextualSpacing/>
        <w:rPr/>
      </w:pPr>
      <w:r>
        <w:rPr>
          <w:sz w:val="23"/>
          <w:szCs w:val="23"/>
        </w:rPr>
        <w:t xml:space="preserve">For instance in Sip, since there is no connection between different configurations at different times, the configuration will likely visit distant regions at </w:t>
      </w:r>
      <w:r>
        <w:rPr>
          <w:rFonts w:eastAsia="Calibri" w:cs="Palatino Linotype" w:ascii="Palatino Linotype" w:hAnsi="Palatino Linotype"/>
          <w:sz w:val="23"/>
          <w:szCs w:val="23"/>
        </w:rPr>
        <w:t xml:space="preserve">subsequent instances. That means, for instance, that if at time </w:t>
      </w:r>
      <w:r>
        <w:rPr>
          <w:rFonts w:eastAsia="Calibri" w:cs="Cambria Math" w:ascii="Cambria Math" w:hAnsi="Cambria Math"/>
          <w:sz w:val="23"/>
          <w:szCs w:val="23"/>
        </w:rPr>
        <w:t xml:space="preserve">𝑡 </w:t>
      </w:r>
      <w:r>
        <w:rPr>
          <w:rFonts w:eastAsia="Calibri" w:cs="Palatino Linotype" w:ascii="Palatino Linotype" w:hAnsi="Palatino Linotype"/>
          <w:sz w:val="23"/>
          <w:szCs w:val="23"/>
        </w:rPr>
        <w:t xml:space="preserve">there are dinosaurs, at time </w:t>
      </w:r>
      <w:r>
        <w:rPr>
          <w:rFonts w:eastAsia="Calibri" w:cs="Cambria Math" w:ascii="Cambria Math" w:hAnsi="Cambria Math"/>
          <w:sz w:val="23"/>
          <w:szCs w:val="23"/>
        </w:rPr>
        <w:t xml:space="preserve">𝑡+𝑑𝑡 </w:t>
      </w:r>
      <w:r>
        <w:rPr>
          <w:rFonts w:eastAsia="Calibri" w:cs="Palatino Linotype" w:ascii="Palatino Linotype" w:hAnsi="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Moreover, note that in the theories in which the wave-function localizes (like all GRW-type theories) these many-worlds exist, even if for a short moment. (pp. 16-17)</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t>[Amazing, exactly my EDWs!!!!]</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t>[Again, all these ideas mirror perfectly the EDWs!!!!]</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ListParagraph"/>
        <w:numPr>
          <w:ilvl w:val="0"/>
          <w:numId w:val="34"/>
        </w:numPr>
        <w:spacing w:before="0" w:after="0"/>
        <w:ind w:left="0" w:right="0" w:hanging="360"/>
        <w:contextualSpacing/>
        <w:rPr>
          <w:rFonts w:ascii="RgsyshAdvTTb8864ccf.B" w:hAnsi="RgsyshAdvTTb8864ccf.B" w:eastAsia="Calibri" w:cs="RgsyshAdvTTb8864ccf.B"/>
          <w:b/>
          <w:b/>
          <w:color w:val="131413"/>
          <w:sz w:val="28"/>
          <w:szCs w:val="28"/>
        </w:rPr>
      </w:pPr>
      <w:r>
        <w:rPr>
          <w:rFonts w:eastAsia="Calibri" w:cs="RgsyshAdvTTb8864ccf.B" w:ascii="RgsyshAdvTTb8864ccf.B" w:hAnsi="RgsyshAdvTTb8864ccf.B"/>
          <w:b/>
          <w:color w:val="131413"/>
          <w:sz w:val="28"/>
          <w:szCs w:val="28"/>
        </w:rPr>
        <w:t>(2018) Paulo De Jesus “Thinking through enactive agency: sense-making,</w:t>
      </w:r>
    </w:p>
    <w:p>
      <w:pPr>
        <w:pStyle w:val="Normal"/>
        <w:spacing w:before="0" w:after="0"/>
        <w:contextualSpacing/>
        <w:jc w:val="left"/>
        <w:rPr/>
      </w:pPr>
      <w:r>
        <w:rPr>
          <w:rFonts w:eastAsia="Calibri" w:cs="RgsyshAdvTTb8864ccf.B" w:ascii="RgsyshAdvTTb8864ccf.B" w:hAnsi="RgsyshAdvTTb8864ccf.B"/>
          <w:b/>
          <w:color w:val="131413"/>
          <w:sz w:val="28"/>
          <w:szCs w:val="28"/>
        </w:rPr>
        <w:t>bio-semiosis and the ontologies of organismic worlds”,</w:t>
      </w:r>
      <w:r>
        <w:rPr>
          <w:rFonts w:eastAsia="Calibri" w:cs="RgsyshAdvTTb8864ccf.B" w:ascii="RgsyshAdvTTb8864ccf.B" w:hAnsi="RgsyshAdvTTb8864ccf.B"/>
          <w:color w:val="131413"/>
          <w:sz w:val="28"/>
          <w:szCs w:val="28"/>
        </w:rPr>
        <w:t xml:space="preserve"> </w:t>
      </w:r>
      <w:r>
        <w:rPr>
          <w:rFonts w:eastAsia="Calibri" w:cs="MxkqpvAdvTT3713a231" w:ascii="MxkqpvAdvTT3713a231" w:hAnsi="MxkqpvAdvTT3713a231"/>
          <w:i/>
          <w:color w:val="131413"/>
          <w:sz w:val="28"/>
          <w:szCs w:val="28"/>
        </w:rPr>
        <w:t>Phenom Cogn Sci</w:t>
      </w:r>
      <w:r>
        <w:rPr>
          <w:rFonts w:eastAsia="Calibri" w:cs="MxkqpvAdvTT3713a231" w:ascii="MxkqpvAdvTT3713a231" w:hAnsi="MxkqpvAdvTT3713a231"/>
          <w:color w:val="131413"/>
          <w:sz w:val="28"/>
          <w:szCs w:val="28"/>
        </w:rPr>
        <w:t xml:space="preserve"> (2018) 17:861</w:t>
      </w:r>
      <w:r>
        <w:rPr>
          <w:rFonts w:eastAsia="Calibri" w:cs="QlhcscAdvTT3713a231+20" w:ascii="QlhcscAdvTT3713a231+20" w:hAnsi="QlhcscAdvTT3713a231+20"/>
          <w:color w:val="131413"/>
          <w:sz w:val="28"/>
          <w:szCs w:val="28"/>
        </w:rPr>
        <w:t>–</w:t>
      </w:r>
      <w:r>
        <w:rPr>
          <w:rFonts w:eastAsia="Calibri" w:cs="MxkqpvAdvTT3713a231" w:ascii="MxkqpvAdvTT3713a231" w:hAnsi="MxkqpvAdvTT3713a231"/>
          <w:color w:val="131413"/>
          <w:sz w:val="28"/>
          <w:szCs w:val="28"/>
        </w:rPr>
        <w:t>887, https://doi.org/10.1007/s11097-018-9562-2</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pPr>
      <w:r>
        <w:rPr>
          <w:rFonts w:eastAsia="Calibri" w:cs="RgsyshAdvTTb8864ccf.B" w:ascii="RgsyshAdvTTb8864ccf.B" w:hAnsi="RgsyshAdvTTb8864ccf.B"/>
          <w:color w:val="131413"/>
          <w:sz w:val="20"/>
          <w:szCs w:val="20"/>
        </w:rPr>
        <w:t xml:space="preserve">Abstract </w:t>
      </w:r>
      <w:r>
        <w:rPr>
          <w:rFonts w:eastAsia="Calibri" w:cs="MxkqpvAdvTT3713a231" w:ascii="MxkqpvAdvTT3713a231" w:hAnsi="MxkqpvAdvTT3713a231"/>
          <w:color w:val="131413"/>
          <w:sz w:val="20"/>
          <w:szCs w:val="20"/>
        </w:rPr>
        <w:t>According to enactivism all living systems, from single cell organisms 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human beings, are ontologically endowed with some form of teleological and sensemaking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agency. Furthermore, enactivists maintain that: (i) there is no fixed pregiven</w:t>
      </w:r>
    </w:p>
    <w:p>
      <w:pPr>
        <w:pStyle w:val="Normal"/>
        <w:spacing w:before="0" w:after="0"/>
        <w:contextualSpacing/>
        <w:jc w:val="left"/>
        <w:rPr/>
      </w:pPr>
      <w:r>
        <w:rPr>
          <w:rFonts w:eastAsia="Calibri" w:cs="MxkqpvAdvTT3713a231" w:ascii="MxkqpvAdvTT3713a231" w:hAnsi="MxkqpvAdvTT3713a231"/>
          <w:color w:val="131413"/>
          <w:sz w:val="20"/>
          <w:szCs w:val="20"/>
        </w:rPr>
        <w:t xml:space="preserve">world and as a consequence (ii) all organisms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bring forth</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 xml:space="preserve">their own unique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worlds</w:t>
      </w:r>
      <w:r>
        <w:rPr>
          <w:rFonts w:eastAsia="Calibri" w:cs="RhkwgmAdvP0005" w:ascii="RhkwgmAdvP0005" w:hAnsi="RhkwgmAdvP0005"/>
          <w:color w:val="131413"/>
          <w:sz w:val="20"/>
          <w:szCs w:val="20"/>
        </w:rPr>
        <w: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through processes of sense-making. The first half of the paper takes these two ontological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claims as its central focus and aims to clarify and make explicit the arguments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motivations underlying them. Our analysis here highlights three distinct but</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connected problems for enactivism: (i) these arguments do not and </w:t>
      </w:r>
      <w:r>
        <w:rPr>
          <w:rFonts w:eastAsia="Calibri" w:cs="VptfcqAdvTT50a2f13e.I" w:ascii="VptfcqAdvTT50a2f13e.I" w:hAnsi="VptfcqAdvTT50a2f13e.I"/>
          <w:color w:val="131413"/>
          <w:sz w:val="20"/>
          <w:szCs w:val="20"/>
        </w:rPr>
        <w:t xml:space="preserve">cannot </w:t>
      </w:r>
      <w:r>
        <w:rPr>
          <w:rFonts w:eastAsia="Calibri" w:cs="MxkqpvAdvTT3713a231" w:ascii="MxkqpvAdvTT3713a231" w:hAnsi="MxkqpvAdvTT3713a231"/>
          <w:color w:val="131413"/>
          <w:sz w:val="20"/>
          <w:szCs w:val="20"/>
        </w:rPr>
        <w:t>guarantee</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that there is no pregiven world, instead, they (ii) end up generating a </w:t>
      </w:r>
      <w:r>
        <w:rPr>
          <w:rFonts w:eastAsia="Calibri" w:cs="VptfcqAdvTT50a2f13e.I" w:ascii="VptfcqAdvTT50a2f13e.I" w:hAnsi="VptfcqAdvTT50a2f13e.I"/>
          <w:color w:val="131413"/>
          <w:sz w:val="20"/>
          <w:szCs w:val="20"/>
        </w:rPr>
        <w:t>contradiction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whereby a pregiven world seems to in fact be tacitly presupposed by virtue of (iii) a</w:t>
      </w:r>
    </w:p>
    <w:p>
      <w:pPr>
        <w:pStyle w:val="Normal"/>
        <w:spacing w:before="0" w:after="0"/>
        <w:contextualSpacing/>
        <w:jc w:val="left"/>
        <w:rPr/>
      </w:pPr>
      <w:r>
        <w:rPr>
          <w:rFonts w:eastAsia="Calibri" w:cs="MxkqpvAdvTT3713a231" w:ascii="MxkqpvAdvTT3713a231" w:hAnsi="MxkqpvAdvTT3713a231"/>
          <w:color w:val="131413"/>
          <w:sz w:val="20"/>
          <w:szCs w:val="20"/>
        </w:rPr>
        <w:t xml:space="preserve">reliance on a tacit </w:t>
      </w:r>
      <w:r>
        <w:rPr>
          <w:rFonts w:eastAsia="Calibri" w:cs="VptfcqAdvTT50a2f13e.I" w:ascii="VptfcqAdvTT50a2f13e.I" w:hAnsi="VptfcqAdvTT50a2f13e.I"/>
          <w:color w:val="131413"/>
          <w:sz w:val="20"/>
          <w:szCs w:val="20"/>
        </w:rPr>
        <w:t xml:space="preserve">epistemic perspectivalism </w:t>
      </w:r>
      <w:r>
        <w:rPr>
          <w:rFonts w:eastAsia="Calibri" w:cs="MxkqpvAdvTT3713a231" w:ascii="MxkqpvAdvTT3713a231" w:hAnsi="MxkqpvAdvTT3713a231"/>
          <w:color w:val="131413"/>
          <w:sz w:val="20"/>
          <w:szCs w:val="20"/>
        </w:rPr>
        <w:t xml:space="preserve">which is also inherently </w:t>
      </w:r>
      <w:r>
        <w:rPr>
          <w:rFonts w:eastAsia="Calibri" w:cs="VptfcqAdvTT50a2f13e.I" w:ascii="VptfcqAdvTT50a2f13e.I" w:hAnsi="VptfcqAdvTT50a2f13e.I"/>
          <w:color w:val="131413"/>
          <w:sz w:val="20"/>
          <w:szCs w:val="20"/>
        </w:rPr>
        <w:t>representationalist</w:t>
      </w:r>
    </w:p>
    <w:p>
      <w:pPr>
        <w:pStyle w:val="Normal"/>
        <w:spacing w:before="0" w:after="0"/>
        <w:contextualSpacing/>
        <w:jc w:val="left"/>
        <w:rPr/>
      </w:pPr>
      <w:r>
        <w:rPr>
          <w:rFonts w:eastAsia="Calibri" w:cs="MxkqpvAdvTT3713a231" w:ascii="MxkqpvAdvTT3713a231" w:hAnsi="MxkqpvAdvTT3713a231"/>
          <w:color w:val="131413"/>
          <w:sz w:val="20"/>
          <w:szCs w:val="20"/>
        </w:rPr>
        <w:t xml:space="preserve">and as a consequence makes it difficult to satisfactorily account for the </w:t>
      </w:r>
      <w:r>
        <w:rPr>
          <w:rFonts w:eastAsia="Calibri" w:cs="VptfcqAdvTT50a2f13e.I" w:ascii="VptfcqAdvTT50a2f13e.I" w:hAnsi="VptfcqAdvTT50a2f13e.I"/>
          <w:color w:val="131413"/>
          <w:sz w:val="20"/>
          <w:szCs w:val="20"/>
        </w:rPr>
        <w:t>ontological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plurality of worlds. Taking these considerations on board, the second half of the paper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then aims to develop a more robust ontologically grounded enactivism. Drawing from</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biosemiotic enactivism, science and technology studies and anthropology, the paper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aims to present an account which both rejects a pregiven world and coherently accounts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for how organisms bring forth ontologically multiple worlds.</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t>[only from the Abstract, everybody can see the UNBELIEVABLE similarities between these ideas and my EDWs!!!!]</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pPr>
      <w:r>
        <w:rPr>
          <w:rFonts w:eastAsia="Calibri" w:cs="MxkqpvAdvTT3713a231" w:ascii="MxkqpvAdvTT3713a231" w:hAnsi="MxkqpvAdvTT3713a231"/>
          <w:color w:val="131413"/>
          <w:sz w:val="20"/>
          <w:szCs w:val="20"/>
        </w:rPr>
        <w:t xml:space="preserve">This conception of agency, which enactivism recasts in terms of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sense-making</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has two mutually supporting ontological components: on the one hand sense-making is</w:t>
      </w:r>
    </w:p>
    <w:p>
      <w:pPr>
        <w:pStyle w:val="Normal"/>
        <w:spacing w:before="0" w:after="0"/>
        <w:contextualSpacing/>
        <w:jc w:val="left"/>
        <w:rPr/>
      </w:pPr>
      <w:r>
        <w:rPr>
          <w:rFonts w:eastAsia="Calibri" w:cs="MxkqpvAdvTT3713a231" w:ascii="MxkqpvAdvTT3713a231" w:hAnsi="MxkqpvAdvTT3713a231"/>
          <w:color w:val="131413"/>
          <w:sz w:val="20"/>
          <w:szCs w:val="20"/>
        </w:rPr>
        <w:t xml:space="preserve">argued to be an </w:t>
      </w:r>
      <w:r>
        <w:rPr>
          <w:rFonts w:eastAsia="Calibri" w:cs="VptfcqAdvTT50a2f13e.I" w:ascii="VptfcqAdvTT50a2f13e.I" w:hAnsi="VptfcqAdvTT50a2f13e.I"/>
          <w:color w:val="131413"/>
          <w:sz w:val="20"/>
          <w:szCs w:val="20"/>
        </w:rPr>
        <w:t xml:space="preserve">intrinsic </w:t>
      </w:r>
      <w:r>
        <w:rPr>
          <w:rFonts w:eastAsia="Calibri" w:cs="MxkqpvAdvTT3713a231" w:ascii="MxkqpvAdvTT3713a231" w:hAnsi="MxkqpvAdvTT3713a231"/>
          <w:color w:val="131413"/>
          <w:sz w:val="20"/>
          <w:szCs w:val="20"/>
        </w:rPr>
        <w:t>characteristic of all living systems. On the other hand, by</w:t>
      </w:r>
    </w:p>
    <w:p>
      <w:pPr>
        <w:pStyle w:val="Normal"/>
        <w:spacing w:before="0" w:after="0"/>
        <w:contextualSpacing/>
        <w:jc w:val="left"/>
        <w:rPr/>
      </w:pPr>
      <w:r>
        <w:rPr>
          <w:rFonts w:eastAsia="Calibri" w:cs="MxkqpvAdvTT3713a231" w:ascii="MxkqpvAdvTT3713a231" w:hAnsi="MxkqpvAdvTT3713a231"/>
          <w:color w:val="131413"/>
          <w:sz w:val="20"/>
          <w:szCs w:val="20"/>
        </w:rPr>
        <w:t xml:space="preserve">virtue of being sense-making agents, organisms are argued to also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bring forth</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their</w:t>
      </w:r>
    </w:p>
    <w:p>
      <w:pPr>
        <w:pStyle w:val="Normal"/>
        <w:spacing w:before="0" w:after="0"/>
        <w:contextualSpacing/>
        <w:jc w:val="left"/>
        <w:rPr/>
      </w:pPr>
      <w:r>
        <w:rPr>
          <w:rFonts w:eastAsia="Calibri" w:cs="MxkqpvAdvTT3713a231" w:ascii="MxkqpvAdvTT3713a231" w:hAnsi="MxkqpvAdvTT3713a231"/>
          <w:color w:val="131413"/>
          <w:sz w:val="20"/>
          <w:szCs w:val="20"/>
        </w:rPr>
        <w:t xml:space="preserve">own unique </w:t>
      </w:r>
      <w:r>
        <w:rPr>
          <w:rFonts w:eastAsia="Calibri" w:cs="QndjggAdvP0004" w:ascii="QndjggAdvP0004" w:hAnsi="QndjggAdvP0004"/>
          <w:color w:val="131413"/>
          <w:sz w:val="20"/>
          <w:szCs w:val="20"/>
        </w:rPr>
        <w:t>B</w:t>
      </w:r>
      <w:r>
        <w:rPr>
          <w:rFonts w:eastAsia="Calibri" w:cs="VptfcqAdvTT50a2f13e.I" w:ascii="VptfcqAdvTT50a2f13e.I" w:hAnsi="VptfcqAdvTT50a2f13e.I"/>
          <w:color w:val="131413"/>
          <w:sz w:val="20"/>
          <w:szCs w:val="20"/>
        </w:rPr>
        <w:t>worlds</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The main aim of this paper is to first present the various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arguments and motivations for these two ontological components of agency and then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interrogate them. After showing that enactivism tends to epistemologize ontology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when arguing for the ubiquitous nature of sense-making, we then turn our focus 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assessing the claims that there is no pregiven world only a multiplicity of brought forth</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worlds. Here we find that the central argument deployed to support both these claims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 history of structural coupling - is not only incapable of delivering what it intends but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more problematically appears to have some counterintuitive and counterproductive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consequences. It is then argued that the primary reason for this is that the enactive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account is essentially grounded on an epistemic perspectivalism. The first half of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paper concludes by arguing that this epistemic perspectivalism ultimately makes it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difficult, if nor impossible, for enactivism to adequately account for the rich ontologies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 xml:space="preserve">of brought forth worlds.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second half of the paper is then dedicated to sketching out an alternative route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towards ontological multiplicity. The paper aims to present an account which can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plausibly overcome the conviction that there is a pregiven world whilst also being able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explain how organisms do ontologically bring forth multiple worlds without reducing</w:t>
      </w:r>
    </w:p>
    <w:p>
      <w:pPr>
        <w:pStyle w:val="Normal"/>
        <w:spacing w:before="0" w:after="0"/>
        <w:ind w:left="0" w:right="0" w:firstLine="72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these worlds to mere epistemic perspectives. (p. 862)</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With</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aid of this work it is suggested that, if we want to take the bio-semiotic (sensemaking)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worlds of nonhuman organisms seriously, we need to go beyond a narrow epistemological concern for how it is that humans, at some particular time or in some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particular place, go about making sense of them. In order to do so it is suggested that</w:t>
      </w:r>
    </w:p>
    <w:p>
      <w:pPr>
        <w:pStyle w:val="Normal"/>
        <w:spacing w:before="0" w:after="0"/>
        <w:contextualSpacing/>
        <w:jc w:val="left"/>
        <w:rPr/>
      </w:pPr>
      <w:r>
        <w:rPr>
          <w:rFonts w:eastAsia="Calibri" w:cs="MxkqpvAdvTT3713a231" w:ascii="MxkqpvAdvTT3713a231" w:hAnsi="MxkqpvAdvTT3713a231"/>
          <w:color w:val="131413"/>
          <w:sz w:val="20"/>
          <w:szCs w:val="20"/>
        </w:rPr>
        <w:t xml:space="preserve">we need to first and foremost shift focus from epistemology to ontology: </w:t>
      </w:r>
      <w:r>
        <w:rPr>
          <w:rFonts w:eastAsia="Calibri" w:cs="VptfcqAdvTT50a2f13e.I" w:ascii="VptfcqAdvTT50a2f13e.I" w:hAnsi="VptfcqAdvTT50a2f13e.I"/>
          <w:color w:val="131413"/>
          <w:sz w:val="20"/>
          <w:szCs w:val="20"/>
        </w:rPr>
        <w:t>from thinking</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about </w:t>
      </w:r>
      <w:r>
        <w:rPr>
          <w:rFonts w:eastAsia="Calibri" w:cs="MxkqpvAdvTT3713a231" w:ascii="MxkqpvAdvTT3713a231" w:hAnsi="MxkqpvAdvTT3713a231"/>
          <w:color w:val="131413"/>
          <w:sz w:val="20"/>
          <w:szCs w:val="20"/>
        </w:rPr>
        <w:t xml:space="preserve">towards </w:t>
      </w:r>
      <w:r>
        <w:rPr>
          <w:rFonts w:eastAsia="Calibri" w:cs="VptfcqAdvTT50a2f13e.I" w:ascii="VptfcqAdvTT50a2f13e.I" w:hAnsi="VptfcqAdvTT50a2f13e.I"/>
          <w:color w:val="131413"/>
          <w:sz w:val="20"/>
          <w:szCs w:val="20"/>
        </w:rPr>
        <w:t xml:space="preserve">being with and the concrete being of </w:t>
      </w:r>
      <w:r>
        <w:rPr>
          <w:rFonts w:eastAsia="Calibri" w:cs="MxkqpvAdvTT3713a231" w:ascii="MxkqpvAdvTT3713a231" w:hAnsi="MxkqpvAdvTT3713a231"/>
          <w:color w:val="131413"/>
          <w:sz w:val="20"/>
          <w:szCs w:val="20"/>
        </w:rPr>
        <w:t>living organisms. (862-3)</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Section four concludes the first half of the paper by showing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how the various arguments deployed to argue for these claims lead enactivism not only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into an internal contradiction but also renders it unable to adequately account for the</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ontological multiplicity </w:t>
      </w:r>
      <w:r>
        <w:rPr>
          <w:rFonts w:eastAsia="Calibri" w:cs="MxkqpvAdvTT3713a231" w:ascii="MxkqpvAdvTT3713a231" w:hAnsi="MxkqpvAdvTT3713a231"/>
          <w:color w:val="131413"/>
          <w:sz w:val="20"/>
          <w:szCs w:val="20"/>
        </w:rPr>
        <w:t>of organismic worlds. (863)</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In a landmark paper detailing the enactive account of agency Barandiaran, Di Paolo,</w:t>
      </w:r>
    </w:p>
    <w:p>
      <w:pPr>
        <w:pStyle w:val="Normal"/>
        <w:spacing w:before="0" w:after="0"/>
        <w:contextualSpacing/>
        <w:jc w:val="left"/>
        <w:rPr/>
      </w:pPr>
      <w:r>
        <w:rPr>
          <w:rFonts w:eastAsia="Calibri" w:cs="MxkqpvAdvTT3713a231" w:ascii="MxkqpvAdvTT3713a231" w:hAnsi="MxkqpvAdvTT3713a231"/>
          <w:color w:val="131413"/>
          <w:sz w:val="20"/>
          <w:szCs w:val="20"/>
        </w:rPr>
        <w:t>and Rohde (</w:t>
      </w:r>
      <w:r>
        <w:rPr>
          <w:rFonts w:eastAsia="Calibri" w:cs="MxkqpvAdvTT3713a231" w:ascii="MxkqpvAdvTT3713a231" w:hAnsi="MxkqpvAdvTT3713a231"/>
          <w:color w:val="0000FF"/>
          <w:sz w:val="20"/>
          <w:szCs w:val="20"/>
        </w:rPr>
        <w:t>2009</w:t>
      </w:r>
      <w:r>
        <w:rPr>
          <w:rFonts w:eastAsia="Calibri" w:cs="MxkqpvAdvTT3713a231" w:ascii="MxkqpvAdvTT3713a231" w:hAnsi="MxkqpvAdvTT3713a231"/>
          <w:color w:val="131413"/>
          <w:sz w:val="20"/>
          <w:szCs w:val="20"/>
        </w:rPr>
        <w:t>) identify three central characteristics which (i) any theory of agency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must account for and (ii) form the necessary and sufficient conditions for agency, These</w:t>
      </w:r>
    </w:p>
    <w:p>
      <w:pPr>
        <w:pStyle w:val="Normal"/>
        <w:spacing w:before="0" w:after="0"/>
        <w:contextualSpacing/>
        <w:jc w:val="left"/>
        <w:rPr/>
      </w:pPr>
      <w:r>
        <w:rPr>
          <w:rFonts w:eastAsia="Calibri" w:cs="MxkqpvAdvTT3713a231" w:ascii="MxkqpvAdvTT3713a231" w:hAnsi="MxkqpvAdvTT3713a231"/>
          <w:color w:val="131413"/>
          <w:sz w:val="20"/>
          <w:szCs w:val="20"/>
        </w:rPr>
        <w:t xml:space="preserve">key characteristics are, </w:t>
      </w:r>
      <w:r>
        <w:rPr>
          <w:rFonts w:eastAsia="Calibri" w:cs="VptfcqAdvTT50a2f13e.I" w:ascii="VptfcqAdvTT50a2f13e.I" w:hAnsi="VptfcqAdvTT50a2f13e.I"/>
          <w:color w:val="131413"/>
          <w:sz w:val="20"/>
          <w:szCs w:val="20"/>
        </w:rPr>
        <w:t xml:space="preserve">individuality, interactional asymmetry, </w:t>
      </w:r>
      <w:r>
        <w:rPr>
          <w:rFonts w:eastAsia="Calibri" w:cs="MxkqpvAdvTT3713a231" w:ascii="MxkqpvAdvTT3713a231" w:hAnsi="MxkqpvAdvTT3713a231"/>
          <w:color w:val="131413"/>
          <w:sz w:val="20"/>
          <w:szCs w:val="20"/>
        </w:rPr>
        <w:t xml:space="preserve">and </w:t>
      </w:r>
      <w:r>
        <w:rPr>
          <w:rFonts w:eastAsia="Calibri" w:cs="VptfcqAdvTT50a2f13e.I" w:ascii="VptfcqAdvTT50a2f13e.I" w:hAnsi="VptfcqAdvTT50a2f13e.I"/>
          <w:color w:val="131413"/>
          <w:sz w:val="20"/>
          <w:szCs w:val="20"/>
        </w:rPr>
        <w:t>normativity</w:t>
      </w:r>
      <w:r>
        <w:rPr>
          <w:rFonts w:eastAsia="Calibri" w:cs="MxkqpvAdvTT3713a231" w:ascii="MxkqpvAdvTT3713a231" w:hAnsi="MxkqpvAdvTT3713a231"/>
          <w:color w:val="131413"/>
          <w:sz w:val="20"/>
          <w:szCs w:val="20"/>
        </w:rPr>
        <w:t>. Let us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examine these conditions in turn. (863)</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illustrate the criterion of individuality it will be worth considering the difference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between living organisms and mechanical devices. Within a mechanical system,</w:t>
      </w:r>
    </w:p>
    <w:p>
      <w:pPr>
        <w:pStyle w:val="Normal"/>
        <w:spacing w:before="0" w:after="0"/>
        <w:contextualSpacing/>
        <w:jc w:val="left"/>
        <w:rPr/>
      </w:pPr>
      <w:r>
        <w:rPr>
          <w:rFonts w:eastAsia="Calibri" w:cs="MxkqpvAdvTT3713a231" w:ascii="MxkqpvAdvTT3713a231" w:hAnsi="MxkqpvAdvTT3713a231"/>
          <w:color w:val="131413"/>
          <w:sz w:val="20"/>
          <w:szCs w:val="20"/>
        </w:rPr>
        <w:t xml:space="preserve">Barandiaran et al. note,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no intrinsic force or process is lumping the components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together, nor has the system as a whole (independently of us) a specific way of</w:t>
      </w:r>
    </w:p>
    <w:p>
      <w:pPr>
        <w:pStyle w:val="Normal"/>
        <w:spacing w:before="0" w:after="0"/>
        <w:contextualSpacing/>
        <w:jc w:val="left"/>
        <w:rPr/>
      </w:pPr>
      <w:r>
        <w:rPr>
          <w:rFonts w:eastAsia="Calibri" w:cs="MxkqpvAdvTT3713a231" w:ascii="MxkqpvAdvTT3713a231" w:hAnsi="MxkqpvAdvTT3713a231"/>
          <w:color w:val="131413"/>
          <w:sz w:val="20"/>
          <w:szCs w:val="20"/>
        </w:rPr>
        <w:t>functioning and demarcating itself from the rest</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(ibid. p. 3). This means that both</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 boundaries and functionality of mechanical devices are </w:t>
      </w:r>
      <w:r>
        <w:rPr>
          <w:rFonts w:eastAsia="Calibri" w:cs="VptfcqAdvTT50a2f13e.I" w:ascii="VptfcqAdvTT50a2f13e.I" w:hAnsi="VptfcqAdvTT50a2f13e.I"/>
          <w:color w:val="131413"/>
          <w:sz w:val="20"/>
          <w:szCs w:val="20"/>
        </w:rPr>
        <w:t xml:space="preserve">externally defined </w:t>
      </w:r>
      <w:r>
        <w:rPr>
          <w:rFonts w:eastAsia="Calibri" w:cs="MxkqpvAdvTT3713a231" w:ascii="MxkqpvAdvTT3713a231" w:hAnsi="MxkqpvAdvTT3713a231"/>
          <w:color w:val="131413"/>
          <w:sz w:val="20"/>
          <w:szCs w:val="20"/>
        </w:rPr>
        <w:t>by an</w:t>
      </w:r>
    </w:p>
    <w:p>
      <w:pPr>
        <w:pStyle w:val="Normal"/>
        <w:spacing w:before="0" w:after="0"/>
        <w:contextualSpacing/>
        <w:jc w:val="left"/>
        <w:rPr/>
      </w:pPr>
      <w:r>
        <w:rPr>
          <w:rFonts w:eastAsia="Calibri" w:cs="MxkqpvAdvTT3713a231" w:ascii="MxkqpvAdvTT3713a231" w:hAnsi="MxkqpvAdvTT3713a231"/>
          <w:color w:val="131413"/>
          <w:sz w:val="20"/>
          <w:szCs w:val="20"/>
        </w:rPr>
        <w:t xml:space="preserve">observer. By contrast living organisms are </w:t>
      </w:r>
      <w:r>
        <w:rPr>
          <w:rFonts w:eastAsia="Calibri" w:cs="VptfcqAdvTT50a2f13e.I" w:ascii="VptfcqAdvTT50a2f13e.I" w:hAnsi="VptfcqAdvTT50a2f13e.I"/>
          <w:color w:val="131413"/>
          <w:sz w:val="20"/>
          <w:szCs w:val="20"/>
        </w:rPr>
        <w:t xml:space="preserve">self-constructed from the inside </w:t>
      </w:r>
      <w:r>
        <w:rPr>
          <w:rFonts w:eastAsia="Calibri" w:cs="MxkqpvAdvTT3713a231" w:ascii="MxkqpvAdvTT3713a231" w:hAnsi="MxkqpvAdvTT3713a231"/>
          <w:color w:val="131413"/>
          <w:sz w:val="20"/>
          <w:szCs w:val="20"/>
        </w:rPr>
        <w:t>and do not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need an external observer to endow them with individuality or functionality. Living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organisms are therefore self-individuating and capable of defining their systemic</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identities from the inside out such that in the process they both define themselves</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and </w:t>
      </w:r>
      <w:r>
        <w:rPr>
          <w:rFonts w:eastAsia="Calibri" w:cs="MxkqpvAdvTT3713a231" w:ascii="MxkqpvAdvTT3713a231" w:hAnsi="MxkqpvAdvTT3713a231"/>
          <w:color w:val="131413"/>
          <w:sz w:val="20"/>
          <w:szCs w:val="20"/>
        </w:rPr>
        <w:t>their environment.</w:t>
      </w:r>
    </w:p>
    <w:p>
      <w:pPr>
        <w:pStyle w:val="Normal"/>
        <w:spacing w:before="0" w:after="0"/>
        <w:contextualSpacing/>
        <w:jc w:val="left"/>
        <w:rPr/>
      </w:pPr>
      <w:r>
        <w:rPr>
          <w:rFonts w:eastAsia="Calibri" w:cs="MxkqpvAdvTT3713a231" w:ascii="MxkqpvAdvTT3713a231" w:hAnsi="MxkqpvAdvTT3713a231"/>
          <w:color w:val="131413"/>
          <w:sz w:val="20"/>
          <w:szCs w:val="20"/>
        </w:rPr>
        <w:t xml:space="preserve">Before moving on it is important to highlight the purported </w:t>
      </w:r>
      <w:r>
        <w:rPr>
          <w:rFonts w:eastAsia="Calibri" w:cs="VptfcqAdvTT50a2f13e.I" w:ascii="VptfcqAdvTT50a2f13e.I" w:hAnsi="VptfcqAdvTT50a2f13e.I"/>
          <w:color w:val="131413"/>
          <w:sz w:val="20"/>
          <w:szCs w:val="20"/>
        </w:rPr>
        <w:t xml:space="preserve">ontological </w:t>
      </w:r>
      <w:r>
        <w:rPr>
          <w:rFonts w:eastAsia="Calibri" w:cs="MxkqpvAdvTT3713a231" w:ascii="MxkqpvAdvTT3713a231" w:hAnsi="MxkqpvAdvTT3713a231"/>
          <w:color w:val="131413"/>
          <w:sz w:val="20"/>
          <w:szCs w:val="20"/>
        </w:rPr>
        <w:t>nature of this</w:t>
      </w:r>
    </w:p>
    <w:p>
      <w:pPr>
        <w:pStyle w:val="Normal"/>
        <w:spacing w:before="0" w:after="0"/>
        <w:contextualSpacing/>
        <w:jc w:val="left"/>
        <w:rPr/>
      </w:pPr>
      <w:r>
        <w:rPr>
          <w:rFonts w:eastAsia="Calibri" w:cs="MxkqpvAdvTT3713a231" w:ascii="MxkqpvAdvTT3713a231" w:hAnsi="MxkqpvAdvTT3713a231"/>
          <w:color w:val="131413"/>
          <w:sz w:val="20"/>
          <w:szCs w:val="20"/>
        </w:rPr>
        <w:t>criterion. As Stapleton and Froese (</w:t>
      </w:r>
      <w:r>
        <w:rPr>
          <w:rFonts w:eastAsia="Calibri" w:cs="MxkqpvAdvTT3713a231" w:ascii="MxkqpvAdvTT3713a231" w:hAnsi="MxkqpvAdvTT3713a231"/>
          <w:color w:val="0000FF"/>
          <w:sz w:val="20"/>
          <w:szCs w:val="20"/>
        </w:rPr>
        <w:t>2015</w:t>
      </w:r>
      <w:r>
        <w:rPr>
          <w:rFonts w:eastAsia="Calibri" w:cs="MxkqpvAdvTT3713a231" w:ascii="MxkqpvAdvTT3713a231" w:hAnsi="MxkqpvAdvTT3713a231"/>
          <w:color w:val="131413"/>
          <w:sz w:val="20"/>
          <w:szCs w:val="20"/>
        </w:rPr>
        <w:t xml:space="preserve">, p. 221) argue,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[o]ntological individuation 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this respect refers to more than an appropriate posit relative to an explanatory project; it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is a strong claim about the fundamental status of minimal living systems. On this view,</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individuation is necessarily based on self-individuation, of which</w:t>
      </w:r>
    </w:p>
    <w:p>
      <w:pPr>
        <w:pStyle w:val="Normal"/>
        <w:spacing w:before="0" w:after="0"/>
        <w:contextualSpacing/>
        <w:jc w:val="left"/>
        <w:rPr/>
      </w:pPr>
      <w:r>
        <w:rPr>
          <w:rFonts w:eastAsia="Calibri" w:cs="MxkqpvAdvTT3713a231" w:ascii="MxkqpvAdvTT3713a231" w:hAnsi="MxkqpvAdvTT3713a231"/>
          <w:color w:val="131413"/>
          <w:sz w:val="20"/>
          <w:szCs w:val="20"/>
        </w:rPr>
        <w:t>autopoiesis is one fundamental example</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In other words, self-individuation is 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feature of all living systems. (864)</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t>[Everybody can recognize my EDWs here applied to “self”, the mind-brain problem and cognitive neuroscience. I recall, I have a book on Self and the EDWs!!!]</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pPr>
      <w:r>
        <w:rPr>
          <w:rFonts w:eastAsia="Calibri" w:cs="MxkqpvAdvTT3713a231" w:ascii="MxkqpvAdvTT3713a231" w:hAnsi="MxkqpvAdvTT3713a231"/>
          <w:color w:val="131413"/>
          <w:sz w:val="20"/>
          <w:szCs w:val="20"/>
        </w:rPr>
        <w:t xml:space="preserve">Broadly speaking ontology is concerned with what there </w:t>
      </w:r>
      <w:r>
        <w:rPr>
          <w:rFonts w:eastAsia="Calibri" w:cs="VptfcqAdvTT50a2f13e.I" w:ascii="VptfcqAdvTT50a2f13e.I" w:hAnsi="VptfcqAdvTT50a2f13e.I"/>
          <w:color w:val="131413"/>
          <w:sz w:val="20"/>
          <w:szCs w:val="20"/>
        </w:rPr>
        <w:t xml:space="preserve">is </w:t>
      </w:r>
      <w:r>
        <w:rPr>
          <w:rFonts w:eastAsia="Calibri" w:cs="MxkqpvAdvTT3713a231" w:ascii="MxkqpvAdvTT3713a231" w:hAnsi="MxkqpvAdvTT3713a231"/>
          <w:color w:val="131413"/>
          <w:sz w:val="20"/>
          <w:szCs w:val="20"/>
        </w:rPr>
        <w:t>while epistemology is</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concerned with what we </w:t>
      </w:r>
      <w:r>
        <w:rPr>
          <w:rFonts w:eastAsia="Calibri" w:cs="VptfcqAdvTT50a2f13e.I" w:ascii="VptfcqAdvTT50a2f13e.I" w:hAnsi="VptfcqAdvTT50a2f13e.I"/>
          <w:color w:val="131413"/>
          <w:sz w:val="20"/>
          <w:szCs w:val="20"/>
        </w:rPr>
        <w:t>know</w:t>
      </w:r>
      <w:r>
        <w:rPr>
          <w:rFonts w:eastAsia="Calibri" w:cs="MxkqpvAdvTT3713a231" w:ascii="MxkqpvAdvTT3713a231" w:hAnsi="MxkqpvAdvTT3713a231"/>
          <w:color w:val="131413"/>
          <w:sz w:val="20"/>
          <w:szCs w:val="20"/>
        </w:rPr>
        <w:t>, or think we know, about what there is. As we saw 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previous section the enactive account of agency was explicitly presented 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terms. In particular we saw two distinct, though related, ontological claims</w:t>
      </w:r>
    </w:p>
    <w:p>
      <w:pPr>
        <w:pStyle w:val="Normal"/>
        <w:spacing w:before="0" w:after="0"/>
        <w:contextualSpacing/>
        <w:jc w:val="left"/>
        <w:rPr/>
      </w:pPr>
      <w:r>
        <w:rPr>
          <w:rFonts w:eastAsia="Calibri" w:cs="MxkqpvAdvTT3713a231" w:ascii="MxkqpvAdvTT3713a231" w:hAnsi="MxkqpvAdvTT3713a231"/>
          <w:color w:val="131413"/>
          <w:sz w:val="20"/>
          <w:szCs w:val="20"/>
        </w:rPr>
        <w:t xml:space="preserve">being made: that all living systems </w:t>
      </w:r>
      <w:r>
        <w:rPr>
          <w:rFonts w:eastAsia="Calibri" w:cs="VptfcqAdvTT50a2f13e.I" w:ascii="VptfcqAdvTT50a2f13e.I" w:hAnsi="VptfcqAdvTT50a2f13e.I"/>
          <w:color w:val="131413"/>
          <w:sz w:val="20"/>
          <w:szCs w:val="20"/>
        </w:rPr>
        <w:t xml:space="preserve">are </w:t>
      </w:r>
      <w:r>
        <w:rPr>
          <w:rFonts w:eastAsia="Calibri" w:cs="MxkqpvAdvTT3713a231" w:ascii="MxkqpvAdvTT3713a231" w:hAnsi="MxkqpvAdvTT3713a231"/>
          <w:color w:val="131413"/>
          <w:sz w:val="20"/>
          <w:szCs w:val="20"/>
        </w:rPr>
        <w:t>(i) self-individuating and (ii) sense-making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agents. Of particular interest for this paper is claim (ii). Recall the example of a single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cell bacterium swimming up a sucrose gradient. Enactivists regard such a bacterium as</w:t>
      </w:r>
    </w:p>
    <w:p>
      <w:pPr>
        <w:pStyle w:val="Normal"/>
        <w:spacing w:before="0" w:after="0"/>
        <w:contextualSpacing/>
        <w:jc w:val="left"/>
        <w:rPr/>
      </w:pPr>
      <w:r>
        <w:rPr>
          <w:rFonts w:eastAsia="Calibri" w:cs="MxkqpvAdvTT3713a231" w:ascii="MxkqpvAdvTT3713a231" w:hAnsi="MxkqpvAdvTT3713a231"/>
          <w:color w:val="131413"/>
          <w:sz w:val="20"/>
          <w:szCs w:val="20"/>
        </w:rPr>
        <w:t xml:space="preserve">providing the most minimal instance of intrinsic </w:t>
      </w:r>
      <w:r>
        <w:rPr>
          <w:rFonts w:eastAsia="Calibri" w:cs="VptfcqAdvTT50a2f13e.I" w:ascii="VptfcqAdvTT50a2f13e.I" w:hAnsi="VptfcqAdvTT50a2f13e.I"/>
          <w:color w:val="131413"/>
          <w:sz w:val="20"/>
          <w:szCs w:val="20"/>
        </w:rPr>
        <w:t xml:space="preserve">ontological agency </w:t>
      </w:r>
      <w:r>
        <w:rPr>
          <w:rFonts w:eastAsia="Calibri" w:cs="MxkqpvAdvTT3713a231" w:ascii="MxkqpvAdvTT3713a231" w:hAnsi="MxkqpvAdvTT3713a231"/>
          <w:color w:val="131413"/>
          <w:sz w:val="20"/>
          <w:szCs w:val="20"/>
        </w:rPr>
        <w:t>- sense-making - in</w:t>
      </w:r>
    </w:p>
    <w:p>
      <w:pPr>
        <w:pStyle w:val="Normal"/>
        <w:spacing w:before="0" w:after="0"/>
        <w:contextualSpacing/>
        <w:jc w:val="left"/>
        <w:rPr/>
      </w:pPr>
      <w:r>
        <w:rPr>
          <w:rFonts w:eastAsia="Calibri" w:cs="MxkqpvAdvTT3713a231" w:ascii="MxkqpvAdvTT3713a231" w:hAnsi="MxkqpvAdvTT3713a231"/>
          <w:color w:val="131413"/>
          <w:sz w:val="20"/>
          <w:szCs w:val="20"/>
        </w:rPr>
        <w:t>nature.</w:t>
      </w:r>
      <w:r>
        <w:rPr>
          <w:rFonts w:eastAsia="Calibri" w:cs="MxkqpvAdvTT3713a231" w:ascii="MxkqpvAdvTT3713a231" w:hAnsi="MxkqpvAdvTT3713a231"/>
          <w:color w:val="131413"/>
          <w:sz w:val="13"/>
          <w:szCs w:val="13"/>
        </w:rPr>
        <w:t xml:space="preserve">4 </w:t>
      </w:r>
      <w:r>
        <w:rPr>
          <w:rFonts w:eastAsia="Calibri" w:cs="MxkqpvAdvTT3713a231" w:ascii="MxkqpvAdvTT3713a231" w:hAnsi="MxkqpvAdvTT3713a231"/>
          <w:color w:val="131413"/>
          <w:sz w:val="20"/>
          <w:szCs w:val="20"/>
        </w:rPr>
        <w:t xml:space="preserve">Sense-making is therefore an </w:t>
      </w:r>
      <w:r>
        <w:rPr>
          <w:rFonts w:eastAsia="Calibri" w:cs="VptfcqAdvTT50a2f13e.I" w:ascii="VptfcqAdvTT50a2f13e.I" w:hAnsi="VptfcqAdvTT50a2f13e.I"/>
          <w:color w:val="131413"/>
          <w:sz w:val="20"/>
          <w:szCs w:val="20"/>
        </w:rPr>
        <w:t xml:space="preserve">intrinsic property </w:t>
      </w:r>
      <w:r>
        <w:rPr>
          <w:rFonts w:eastAsia="Calibri" w:cs="MxkqpvAdvTT3713a231" w:ascii="MxkqpvAdvTT3713a231" w:hAnsi="MxkqpvAdvTT3713a231"/>
          <w:color w:val="131413"/>
          <w:sz w:val="20"/>
          <w:szCs w:val="20"/>
        </w:rPr>
        <w:t xml:space="preserve">of living systems and </w:t>
      </w:r>
      <w:r>
        <w:rPr>
          <w:rFonts w:eastAsia="Calibri" w:cs="VptfcqAdvTT50a2f13e.I" w:ascii="VptfcqAdvTT50a2f13e.I" w:hAnsi="VptfcqAdvTT50a2f13e.I"/>
          <w:color w:val="131413"/>
          <w:sz w:val="20"/>
          <w:szCs w:val="20"/>
        </w:rPr>
        <w:t>not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merely an epistemic posit. (866)</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pPr>
      <w:r>
        <w:rPr>
          <w:rFonts w:eastAsia="Calibri" w:cs="MxkqpvAdvTT3713a231" w:ascii="MxkqpvAdvTT3713a231" w:hAnsi="MxkqpvAdvTT3713a231"/>
          <w:color w:val="131413"/>
          <w:sz w:val="20"/>
          <w:szCs w:val="20"/>
        </w:rPr>
        <w:t>Indeed, the theory of autopoiesis proposed by Maturana and Varela (</w:t>
      </w:r>
      <w:r>
        <w:rPr>
          <w:rFonts w:eastAsia="Calibri" w:cs="MxkqpvAdvTT3713a231" w:ascii="MxkqpvAdvTT3713a231" w:hAnsi="MxkqpvAdvTT3713a231"/>
          <w:color w:val="0000FF"/>
          <w:sz w:val="20"/>
          <w:szCs w:val="20"/>
        </w:rPr>
        <w:t>1980</w:t>
      </w:r>
      <w:r>
        <w:rPr>
          <w:rFonts w:eastAsia="Calibri" w:cs="MxkqpvAdvTT3713a231" w:ascii="MxkqpvAdvTT3713a231" w:hAnsi="MxkqpvAdvTT3713a231"/>
          <w:color w:val="131413"/>
          <w:sz w:val="20"/>
          <w:szCs w:val="20"/>
        </w:rPr>
        <w: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which is itself an important historical precursor to enactivism, reaches similar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Kantian conclusions. This work is instructive in the current context because in its</w:t>
      </w:r>
    </w:p>
    <w:p>
      <w:pPr>
        <w:pStyle w:val="Normal"/>
        <w:spacing w:before="0" w:after="0"/>
        <w:contextualSpacing/>
        <w:jc w:val="left"/>
        <w:rPr/>
      </w:pPr>
      <w:r>
        <w:rPr>
          <w:rFonts w:eastAsia="Calibri" w:cs="MxkqpvAdvTT3713a231" w:ascii="MxkqpvAdvTT3713a231" w:hAnsi="MxkqpvAdvTT3713a231"/>
          <w:color w:val="131413"/>
          <w:sz w:val="20"/>
          <w:szCs w:val="20"/>
        </w:rPr>
        <w:t xml:space="preserve">original formulation autopoietic systems were regarded as </w:t>
      </w:r>
      <w:r>
        <w:rPr>
          <w:rFonts w:eastAsia="Calibri" w:cs="VptfcqAdvTT50a2f13e.I" w:ascii="VptfcqAdvTT50a2f13e.I" w:hAnsi="VptfcqAdvTT50a2f13e.I"/>
          <w:color w:val="131413"/>
          <w:sz w:val="20"/>
          <w:szCs w:val="20"/>
        </w:rPr>
        <w:t>purposeless machines</w:t>
      </w:r>
    </w:p>
    <w:p>
      <w:pPr>
        <w:pStyle w:val="Normal"/>
        <w:spacing w:before="0" w:after="0"/>
        <w:contextualSpacing/>
        <w:jc w:val="left"/>
        <w:rPr/>
      </w:pPr>
      <w:r>
        <w:rPr>
          <w:rFonts w:eastAsia="Calibri" w:cs="MxkqpvAdvTT3713a231" w:ascii="MxkqpvAdvTT3713a231" w:hAnsi="MxkqpvAdvTT3713a231"/>
          <w:color w:val="131413"/>
          <w:sz w:val="20"/>
          <w:szCs w:val="20"/>
        </w:rPr>
        <w:t xml:space="preserve">(see Maturana </w:t>
      </w:r>
      <w:r>
        <w:rPr>
          <w:rFonts w:eastAsia="Calibri" w:cs="MxkqpvAdvTT3713a231" w:ascii="MxkqpvAdvTT3713a231" w:hAnsi="MxkqpvAdvTT3713a231"/>
          <w:color w:val="0000FF"/>
          <w:sz w:val="20"/>
          <w:szCs w:val="20"/>
        </w:rPr>
        <w:t>1975</w:t>
      </w:r>
      <w:r>
        <w:rPr>
          <w:rFonts w:eastAsia="Calibri" w:cs="MxkqpvAdvTT3713a231" w:ascii="MxkqpvAdvTT3713a231" w:hAnsi="MxkqpvAdvTT3713a231"/>
          <w:color w:val="131413"/>
          <w:sz w:val="20"/>
          <w:szCs w:val="20"/>
        </w:rPr>
        <w:t>). As with current enactivism, autopoietic theory also makes</w:t>
      </w:r>
    </w:p>
    <w:p>
      <w:pPr>
        <w:pStyle w:val="Normal"/>
        <w:spacing w:before="0" w:after="0"/>
        <w:contextualSpacing/>
        <w:jc w:val="left"/>
        <w:rPr/>
      </w:pPr>
      <w:r>
        <w:rPr>
          <w:rFonts w:eastAsia="Calibri" w:cs="MxkqpvAdvTT3713a231" w:ascii="MxkqpvAdvTT3713a231" w:hAnsi="MxkqpvAdvTT3713a231"/>
          <w:color w:val="131413"/>
          <w:sz w:val="20"/>
          <w:szCs w:val="20"/>
        </w:rPr>
        <w:t xml:space="preserve">very strong ontological claims about the </w:t>
      </w:r>
      <w:r>
        <w:rPr>
          <w:rFonts w:eastAsia="Calibri" w:cs="VptfcqAdvTT50a2f13e.I" w:ascii="VptfcqAdvTT50a2f13e.I" w:hAnsi="VptfcqAdvTT50a2f13e.I"/>
          <w:color w:val="131413"/>
          <w:sz w:val="20"/>
          <w:szCs w:val="20"/>
        </w:rPr>
        <w:t xml:space="preserve">essential nature </w:t>
      </w:r>
      <w:r>
        <w:rPr>
          <w:rFonts w:eastAsia="Calibri" w:cs="MxkqpvAdvTT3713a231" w:ascii="MxkqpvAdvTT3713a231" w:hAnsi="MxkqpvAdvTT3713a231"/>
          <w:color w:val="131413"/>
          <w:sz w:val="20"/>
          <w:szCs w:val="20"/>
        </w:rPr>
        <w:t>of living systems, but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which are however diametrically opposed to those made by enactivists. Villalobos</w:t>
      </w:r>
    </w:p>
    <w:p>
      <w:pPr>
        <w:pStyle w:val="Normal"/>
        <w:spacing w:before="0" w:after="0"/>
        <w:contextualSpacing/>
        <w:jc w:val="left"/>
        <w:rPr/>
      </w:pPr>
      <w:r>
        <w:rPr>
          <w:rFonts w:eastAsia="Calibri" w:cs="MxkqpvAdvTT3713a231" w:ascii="MxkqpvAdvTT3713a231" w:hAnsi="MxkqpvAdvTT3713a231"/>
          <w:color w:val="131413"/>
          <w:sz w:val="20"/>
          <w:szCs w:val="20"/>
        </w:rPr>
        <w:t>and Ward (</w:t>
      </w:r>
      <w:r>
        <w:rPr>
          <w:rFonts w:eastAsia="Calibri" w:cs="MxkqpvAdvTT3713a231" w:ascii="MxkqpvAdvTT3713a231" w:hAnsi="MxkqpvAdvTT3713a231"/>
          <w:color w:val="0000FF"/>
          <w:sz w:val="20"/>
          <w:szCs w:val="20"/>
        </w:rPr>
        <w:t>2015</w:t>
      </w:r>
      <w:r>
        <w:rPr>
          <w:rFonts w:eastAsia="Calibri" w:cs="MxkqpvAdvTT3713a231" w:ascii="MxkqpvAdvTT3713a231" w:hAnsi="MxkqpvAdvTT3713a231"/>
          <w:color w:val="131413"/>
          <w:sz w:val="20"/>
          <w:szCs w:val="20"/>
        </w:rPr>
        <w:t>) summarise the distinction between autopoietic theory and</w:t>
      </w:r>
    </w:p>
    <w:p>
      <w:pPr>
        <w:pStyle w:val="Normal"/>
        <w:spacing w:before="0" w:after="0"/>
        <w:contextualSpacing/>
        <w:jc w:val="left"/>
        <w:rPr/>
      </w:pPr>
      <w:r>
        <w:rPr>
          <w:rFonts w:eastAsia="Calibri" w:cs="MxkqpvAdvTT3713a231" w:ascii="MxkqpvAdvTT3713a231" w:hAnsi="MxkqpvAdvTT3713a231"/>
          <w:color w:val="131413"/>
          <w:sz w:val="20"/>
          <w:szCs w:val="20"/>
        </w:rPr>
        <w:t xml:space="preserve">enactivism rather starkly as follows: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both theories [</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 subscribe to the view</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that living beings exhibit organizational closure. Nonetheless, starting from this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point in common, these theories seem to arrive at very different conclusions about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living beings. In the enactive case, we have the view of a system that, being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autonomous, emerges as a self that is intentionally directed at a world, that defines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 inside and an outside, and to which the environment appears endowed with</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significance and value. In the other case, we have the view of a system that does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not distinguish itself from anything, to which there is no inside and outside, and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which something like </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the environment</w:t>
      </w:r>
      <w:r>
        <w:rPr>
          <w:rFonts w:eastAsia="Calibri" w:cs="QlhcscAdvTT3713a231+20" w:ascii="QlhcscAdvTT3713a231+20" w:hAnsi="QlhcscAdvTT3713a231+20"/>
          <w:color w:val="131413"/>
          <w:sz w:val="20"/>
          <w:szCs w:val="20"/>
        </w:rPr>
        <w:t xml:space="preserve">’ </w:t>
      </w:r>
      <w:r>
        <w:rPr>
          <w:rFonts w:eastAsia="Calibri" w:cs="MxkqpvAdvTT3713a231" w:ascii="MxkqpvAdvTT3713a231" w:hAnsi="MxkqpvAdvTT3713a231"/>
          <w:color w:val="131413"/>
          <w:sz w:val="20"/>
          <w:szCs w:val="20"/>
        </w:rPr>
        <w:t xml:space="preserve">or </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the world</w:t>
      </w:r>
      <w:r>
        <w:rPr>
          <w:rFonts w:eastAsia="Calibri" w:cs="QlhcscAdvTT3713a231+20" w:ascii="QlhcscAdvTT3713a231+20" w:hAnsi="QlhcscAdvTT3713a231+20"/>
          <w:color w:val="131413"/>
          <w:sz w:val="20"/>
          <w:szCs w:val="20"/>
        </w:rPr>
        <w:t xml:space="preserve">’ </w:t>
      </w:r>
      <w:r>
        <w:rPr>
          <w:rFonts w:eastAsia="Calibri" w:cs="MxkqpvAdvTT3713a231" w:ascii="MxkqpvAdvTT3713a231" w:hAnsi="MxkqpvAdvTT3713a231"/>
          <w:color w:val="131413"/>
          <w:sz w:val="20"/>
          <w:szCs w:val="20"/>
        </w:rPr>
        <w:t>does not exist at all</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Traditional autopoietic theory and current enactivism thus differ only in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conclusions they each draw from the same epistemic observations: the latter but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not the former sees in autopoiesis a minimal form of intrinsic goal-direct sensemaking.</w:t>
      </w:r>
    </w:p>
    <w:p>
      <w:pPr>
        <w:pStyle w:val="Normal"/>
        <w:spacing w:before="0" w:after="0"/>
        <w:contextualSpacing/>
        <w:jc w:val="left"/>
        <w:rPr/>
      </w:pPr>
      <w:r>
        <w:rPr>
          <w:rFonts w:eastAsia="Calibri" w:cs="MxkqpvAdvTT3713a231" w:ascii="MxkqpvAdvTT3713a231" w:hAnsi="MxkqpvAdvTT3713a231"/>
          <w:color w:val="131413"/>
          <w:sz w:val="20"/>
          <w:szCs w:val="20"/>
        </w:rPr>
        <w:t xml:space="preserve">A suitably modified account of autopoiesis (Di Paolo </w:t>
      </w:r>
      <w:r>
        <w:rPr>
          <w:rFonts w:eastAsia="Calibri" w:cs="MxkqpvAdvTT3713a231" w:ascii="MxkqpvAdvTT3713a231" w:hAnsi="MxkqpvAdvTT3713a231"/>
          <w:color w:val="0000FF"/>
          <w:sz w:val="20"/>
          <w:szCs w:val="20"/>
        </w:rPr>
        <w:t>2005</w:t>
      </w:r>
      <w:r>
        <w:rPr>
          <w:rFonts w:eastAsia="Calibri" w:cs="MxkqpvAdvTT3713a231" w:ascii="MxkqpvAdvTT3713a231" w:hAnsi="MxkqpvAdvTT3713a231"/>
          <w:color w:val="131413"/>
          <w:sz w:val="20"/>
          <w:szCs w:val="20"/>
        </w:rPr>
        <w:t xml:space="preserve">) </w:t>
      </w:r>
      <w:r>
        <w:rPr>
          <w:rFonts w:eastAsia="Calibri" w:cs="VptfcqAdvTT50a2f13e.I" w:ascii="VptfcqAdvTT50a2f13e.I" w:hAnsi="VptfcqAdvTT50a2f13e.I"/>
          <w:color w:val="131413"/>
          <w:sz w:val="20"/>
          <w:szCs w:val="20"/>
        </w:rPr>
        <w:t xml:space="preserve">can </w:t>
      </w:r>
      <w:r>
        <w:rPr>
          <w:rFonts w:eastAsia="Calibri" w:cs="MxkqpvAdvTT3713a231" w:ascii="MxkqpvAdvTT3713a231" w:hAnsi="MxkqpvAdvTT3713a231"/>
          <w:color w:val="131413"/>
          <w:sz w:val="20"/>
          <w:szCs w:val="20"/>
        </w:rPr>
        <w:t>indeed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guarantee intrinsic (ontological) teleological sense-making agency. (867)</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As with the mechanistic argument the phenomenological argument equally</w:t>
      </w:r>
    </w:p>
    <w:p>
      <w:pPr>
        <w:pStyle w:val="Normal"/>
        <w:spacing w:before="0" w:after="0"/>
        <w:contextualSpacing/>
        <w:jc w:val="left"/>
        <w:rPr/>
      </w:pPr>
      <w:r>
        <w:rPr>
          <w:rFonts w:eastAsia="Calibri" w:cs="MxkqpvAdvTT3713a231" w:ascii="MxkqpvAdvTT3713a231" w:hAnsi="MxkqpvAdvTT3713a231"/>
          <w:color w:val="131413"/>
          <w:sz w:val="20"/>
          <w:szCs w:val="20"/>
        </w:rPr>
        <w:t>functions as a means to support enactivism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strong ontological conception of</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sense-making. However, the phenomenological argument does not rely on empirical</w:t>
      </w:r>
    </w:p>
    <w:p>
      <w:pPr>
        <w:pStyle w:val="Normal"/>
        <w:spacing w:before="0" w:after="0"/>
        <w:contextualSpacing/>
        <w:jc w:val="left"/>
        <w:rPr/>
      </w:pPr>
      <w:r>
        <w:rPr>
          <w:rFonts w:eastAsia="Calibri" w:cs="MxkqpvAdvTT3713a231" w:ascii="MxkqpvAdvTT3713a231" w:hAnsi="MxkqpvAdvTT3713a231"/>
          <w:color w:val="131413"/>
          <w:sz w:val="20"/>
          <w:szCs w:val="20"/>
        </w:rPr>
        <w:t xml:space="preserve">models but on </w:t>
      </w:r>
      <w:r>
        <w:rPr>
          <w:rFonts w:eastAsia="Calibri" w:cs="VptfcqAdvTT50a2f13e.I" w:ascii="VptfcqAdvTT50a2f13e.I" w:hAnsi="VptfcqAdvTT50a2f13e.I"/>
          <w:color w:val="131413"/>
          <w:sz w:val="20"/>
          <w:szCs w:val="20"/>
        </w:rPr>
        <w:t>human phenomenological considerations</w:t>
      </w:r>
      <w:r>
        <w:rPr>
          <w:rFonts w:eastAsia="Calibri" w:cs="MxkqpvAdvTT3713a231" w:ascii="MxkqpvAdvTT3713a231" w:hAnsi="MxkqpvAdvTT3713a231"/>
          <w:color w:val="131413"/>
          <w:sz w:val="20"/>
          <w:szCs w:val="20"/>
        </w:rPr>
        <w:t>, to argue its case.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According to this line of argument, we are justified in regarding nonhuman</w:t>
      </w:r>
    </w:p>
    <w:p>
      <w:pPr>
        <w:pStyle w:val="Normal"/>
        <w:spacing w:before="0" w:after="0"/>
        <w:contextualSpacing/>
        <w:jc w:val="left"/>
        <w:rPr/>
      </w:pPr>
      <w:r>
        <w:rPr>
          <w:rFonts w:eastAsia="Calibri" w:cs="MxkqpvAdvTT3713a231" w:ascii="MxkqpvAdvTT3713a231" w:hAnsi="MxkqpvAdvTT3713a231"/>
          <w:color w:val="131413"/>
          <w:sz w:val="20"/>
          <w:szCs w:val="20"/>
        </w:rPr>
        <w:t>organisms as ontologically agentive on the grounds that, as Jonas (</w:t>
      </w:r>
      <w:r>
        <w:rPr>
          <w:rFonts w:eastAsia="Calibri" w:cs="MxkqpvAdvTT3713a231" w:ascii="MxkqpvAdvTT3713a231" w:hAnsi="MxkqpvAdvTT3713a231"/>
          <w:color w:val="0000FF"/>
          <w:sz w:val="20"/>
          <w:szCs w:val="20"/>
        </w:rPr>
        <w:t>1966</w:t>
      </w:r>
      <w:r>
        <w:rPr>
          <w:rFonts w:eastAsia="Calibri" w:cs="MxkqpvAdvTT3713a231" w:ascii="MxkqpvAdvTT3713a231" w:hAnsi="MxkqpvAdvTT3713a231"/>
          <w:color w:val="131413"/>
          <w:sz w:val="20"/>
          <w:szCs w:val="20"/>
        </w:rPr>
        <w:t>) argued,</w:t>
      </w:r>
    </w:p>
    <w:p>
      <w:pPr>
        <w:pStyle w:val="Normal"/>
        <w:spacing w:before="0" w:after="0"/>
        <w:contextualSpacing/>
        <w:jc w:val="left"/>
        <w:rPr/>
      </w:pP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life can only be known by life</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The general idea here is that because we are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ourselves beings who strive to maintain our existence we are therefore capable of</w:t>
      </w:r>
    </w:p>
    <w:p>
      <w:pPr>
        <w:pStyle w:val="Normal"/>
        <w:spacing w:before="0" w:after="0"/>
        <w:contextualSpacing/>
        <w:jc w:val="left"/>
        <w:rPr/>
      </w:pPr>
      <w:r>
        <w:rPr>
          <w:rFonts w:eastAsia="Calibri" w:cs="MxkqpvAdvTT3713a231" w:ascii="MxkqpvAdvTT3713a231" w:hAnsi="MxkqpvAdvTT3713a231"/>
          <w:color w:val="131413"/>
          <w:sz w:val="20"/>
          <w:szCs w:val="20"/>
        </w:rPr>
        <w:t>recognising this striving in others. As Di Paolo (</w:t>
      </w:r>
      <w:r>
        <w:rPr>
          <w:rFonts w:eastAsia="Calibri" w:cs="MxkqpvAdvTT3713a231" w:ascii="MxkqpvAdvTT3713a231" w:hAnsi="MxkqpvAdvTT3713a231"/>
          <w:color w:val="0000FF"/>
          <w:sz w:val="20"/>
          <w:szCs w:val="20"/>
        </w:rPr>
        <w:t>2005</w:t>
      </w:r>
      <w:r>
        <w:rPr>
          <w:rFonts w:eastAsia="Calibri" w:cs="MxkqpvAdvTT3713a231" w:ascii="MxkqpvAdvTT3713a231" w:hAnsi="MxkqpvAdvTT3713a231"/>
          <w:color w:val="131413"/>
          <w:sz w:val="20"/>
          <w:szCs w:val="20"/>
        </w:rPr>
        <w:t>) points out, if we were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disembodied intellects, we would have no means of understanding this fact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notion of agency would have no grounding. Therefore, according to Thompson</w:t>
      </w:r>
    </w:p>
    <w:p>
      <w:pPr>
        <w:pStyle w:val="Normal"/>
        <w:spacing w:before="0" w:after="0"/>
        <w:contextualSpacing/>
        <w:jc w:val="left"/>
        <w:rPr/>
      </w:pPr>
      <w:r>
        <w:rPr>
          <w:rFonts w:eastAsia="Calibri" w:cs="MxkqpvAdvTT3713a231" w:ascii="MxkqpvAdvTT3713a231" w:hAnsi="MxkqpvAdvTT3713a231"/>
          <w:color w:val="131413"/>
          <w:sz w:val="20"/>
          <w:szCs w:val="20"/>
        </w:rPr>
        <w:t>(</w:t>
      </w:r>
      <w:r>
        <w:rPr>
          <w:rFonts w:eastAsia="Calibri" w:cs="MxkqpvAdvTT3713a231" w:ascii="MxkqpvAdvTT3713a231" w:hAnsi="MxkqpvAdvTT3713a231"/>
          <w:color w:val="0000FF"/>
          <w:sz w:val="20"/>
          <w:szCs w:val="20"/>
        </w:rPr>
        <w:t>2004</w:t>
      </w:r>
      <w:r>
        <w:rPr>
          <w:rFonts w:eastAsia="Calibri" w:cs="MxkqpvAdvTT3713a231" w:ascii="MxkqpvAdvTT3713a231" w:hAnsi="MxkqpvAdvTT3713a231"/>
          <w:color w:val="131413"/>
          <w:sz w:val="20"/>
          <w:szCs w:val="20"/>
        </w:rPr>
        <w:t xml:space="preserve">, p. 90),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[t]o make the link from matter to life and mind, from physics 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biology, one needs concepts like organism and autopoiesis, but such concepts are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available only to an embodied mind with firsthand experience of its own living</w:t>
      </w:r>
    </w:p>
    <w:p>
      <w:pPr>
        <w:pStyle w:val="Normal"/>
        <w:spacing w:before="0" w:after="0"/>
        <w:contextualSpacing/>
        <w:jc w:val="left"/>
        <w:rPr/>
      </w:pPr>
      <w:r>
        <w:rPr>
          <w:rFonts w:eastAsia="Calibri" w:cs="MxkqpvAdvTT3713a231" w:ascii="MxkqpvAdvTT3713a231" w:hAnsi="MxkqpvAdvTT3713a231"/>
          <w:color w:val="131413"/>
          <w:sz w:val="20"/>
          <w:szCs w:val="20"/>
        </w:rPr>
        <w:t>body</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This strongly suggests that the phenomenological argument subsumes and</w:t>
      </w:r>
    </w:p>
    <w:p>
      <w:pPr>
        <w:pStyle w:val="Normal"/>
        <w:spacing w:before="0" w:after="0"/>
        <w:contextualSpacing/>
        <w:jc w:val="left"/>
        <w:rPr/>
      </w:pPr>
      <w:r>
        <w:rPr>
          <w:rFonts w:eastAsia="Calibri" w:cs="MxkqpvAdvTT3713a231" w:ascii="MxkqpvAdvTT3713a231" w:hAnsi="MxkqpvAdvTT3713a231"/>
          <w:color w:val="131413"/>
          <w:sz w:val="20"/>
          <w:szCs w:val="20"/>
        </w:rPr>
        <w:t xml:space="preserve">has priority over the mechanistic one (cf. De Jesus </w:t>
      </w:r>
      <w:r>
        <w:rPr>
          <w:rFonts w:eastAsia="Calibri" w:cs="MxkqpvAdvTT3713a231" w:ascii="MxkqpvAdvTT3713a231" w:hAnsi="MxkqpvAdvTT3713a231"/>
          <w:color w:val="0000FF"/>
          <w:sz w:val="20"/>
          <w:szCs w:val="20"/>
        </w:rPr>
        <w:t>2016a</w:t>
      </w:r>
      <w:r>
        <w:rPr>
          <w:rFonts w:eastAsia="Calibri" w:cs="MxkqpvAdvTT3713a231" w:ascii="MxkqpvAdvTT3713a231" w:hAnsi="MxkqpvAdvTT3713a231"/>
          <w:color w:val="131413"/>
          <w:sz w:val="20"/>
          <w:szCs w:val="20"/>
        </w:rPr>
        <w:t>).</w:t>
      </w:r>
    </w:p>
    <w:p>
      <w:pPr>
        <w:pStyle w:val="Normal"/>
        <w:spacing w:before="0" w:after="0"/>
        <w:contextualSpacing/>
        <w:jc w:val="left"/>
        <w:rPr/>
      </w:pPr>
      <w:r>
        <w:rPr>
          <w:rFonts w:eastAsia="Calibri" w:cs="MxkqpvAdvTT3713a231" w:ascii="MxkqpvAdvTT3713a231" w:hAnsi="MxkqpvAdvTT3713a231"/>
          <w:color w:val="131413"/>
          <w:sz w:val="20"/>
          <w:szCs w:val="20"/>
        </w:rPr>
        <w:t>The point is similarly argued for by Di Paolo et al. (</w:t>
      </w:r>
      <w:r>
        <w:rPr>
          <w:rFonts w:eastAsia="Calibri" w:cs="MxkqpvAdvTT3713a231" w:ascii="MxkqpvAdvTT3713a231" w:hAnsi="MxkqpvAdvTT3713a231"/>
          <w:color w:val="0000FF"/>
          <w:sz w:val="20"/>
          <w:szCs w:val="20"/>
        </w:rPr>
        <w:t>2010</w:t>
      </w:r>
      <w:r>
        <w:rPr>
          <w:rFonts w:eastAsia="Calibri" w:cs="MxkqpvAdvTT3713a231" w:ascii="MxkqpvAdvTT3713a231" w:hAnsi="MxkqpvAdvTT3713a231"/>
          <w:color w:val="131413"/>
          <w:sz w:val="20"/>
          <w:szCs w:val="20"/>
        </w:rPr>
        <w:t>, pp. 44-45) who</w:t>
      </w:r>
    </w:p>
    <w:p>
      <w:pPr>
        <w:pStyle w:val="Normal"/>
        <w:spacing w:before="0" w:after="0"/>
        <w:contextualSpacing/>
        <w:jc w:val="left"/>
        <w:rPr/>
      </w:pPr>
      <w:r>
        <w:rPr>
          <w:rFonts w:eastAsia="Calibri" w:cs="MxkqpvAdvTT3713a231" w:ascii="MxkqpvAdvTT3713a231" w:hAnsi="MxkqpvAdvTT3713a231"/>
          <w:color w:val="131413"/>
          <w:sz w:val="20"/>
          <w:szCs w:val="20"/>
        </w:rPr>
        <w:t xml:space="preserve">maintain that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the inward aspect of life cannot be demonstrated using our current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scientific tools. This does not make it any less factual for Jonas. He knows that all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life is connected along an evolutionary continuum, and he knows that we ourselves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are embodied living creatures with an inner life. This is how we can then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know that living beings are forms of existence and that they also have an inner</w:t>
      </w:r>
    </w:p>
    <w:p>
      <w:pPr>
        <w:pStyle w:val="Normal"/>
        <w:spacing w:before="0" w:after="0"/>
        <w:contextualSpacing/>
        <w:jc w:val="left"/>
        <w:rPr/>
      </w:pPr>
      <w:r>
        <w:rPr>
          <w:rFonts w:eastAsia="Calibri" w:cs="MxkqpvAdvTT3713a231" w:ascii="MxkqpvAdvTT3713a231" w:hAnsi="MxkqpvAdvTT3713a231"/>
          <w:color w:val="131413"/>
          <w:sz w:val="20"/>
          <w:szCs w:val="20"/>
        </w:rPr>
        <w:t>life</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It is thus on the basis of these phenomenological considerations that we can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justify that teleology and sense-making are ontologically intrinsic to all living</w:t>
      </w:r>
    </w:p>
    <w:p>
      <w:pPr>
        <w:pStyle w:val="Normal"/>
        <w:spacing w:before="0" w:after="0"/>
        <w:ind w:left="0" w:right="0" w:firstLine="72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organisms. (868)</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It is not the aim of this paper to directly assess the validity or otherwise of the</w:t>
      </w:r>
    </w:p>
    <w:p>
      <w:pPr>
        <w:pStyle w:val="Normal"/>
        <w:spacing w:before="0" w:after="0"/>
        <w:contextualSpacing/>
        <w:jc w:val="left"/>
        <w:rPr/>
      </w:pPr>
      <w:r>
        <w:rPr>
          <w:rFonts w:eastAsia="Calibri" w:cs="MxkqpvAdvTT3713a231" w:ascii="MxkqpvAdvTT3713a231" w:hAnsi="MxkqpvAdvTT3713a231"/>
          <w:color w:val="131413"/>
          <w:sz w:val="20"/>
          <w:szCs w:val="20"/>
        </w:rPr>
        <w:t>arguments made in this section.</w:t>
      </w:r>
      <w:r>
        <w:rPr>
          <w:rFonts w:eastAsia="Calibri" w:cs="MxkqpvAdvTT3713a231" w:ascii="MxkqpvAdvTT3713a231" w:hAnsi="MxkqpvAdvTT3713a231"/>
          <w:color w:val="131413"/>
          <w:sz w:val="13"/>
          <w:szCs w:val="13"/>
        </w:rPr>
        <w:t xml:space="preserve">5 </w:t>
      </w:r>
      <w:r>
        <w:rPr>
          <w:rFonts w:eastAsia="Calibri" w:cs="MxkqpvAdvTT3713a231" w:ascii="MxkqpvAdvTT3713a231" w:hAnsi="MxkqpvAdvTT3713a231"/>
          <w:color w:val="131413"/>
          <w:sz w:val="20"/>
          <w:szCs w:val="20"/>
        </w:rPr>
        <w:t>Rather, the important issue for our purpose here is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highlight how these arguments reach </w:t>
      </w:r>
      <w:r>
        <w:rPr>
          <w:rFonts w:eastAsia="Calibri" w:cs="VptfcqAdvTT50a2f13e.I" w:ascii="VptfcqAdvTT50a2f13e.I" w:hAnsi="VptfcqAdvTT50a2f13e.I"/>
          <w:color w:val="131413"/>
          <w:sz w:val="20"/>
          <w:szCs w:val="20"/>
        </w:rPr>
        <w:t>ontological conclusions from strictly epistemic</w:t>
      </w:r>
    </w:p>
    <w:p>
      <w:pPr>
        <w:pStyle w:val="Normal"/>
        <w:spacing w:before="0" w:after="0"/>
        <w:contextualSpacing/>
        <w:jc w:val="left"/>
        <w:rPr/>
      </w:pPr>
      <w:r>
        <w:rPr>
          <w:rFonts w:eastAsia="Calibri" w:cs="VptfcqAdvTT50a2f13e.I" w:ascii="VptfcqAdvTT50a2f13e.I" w:hAnsi="VptfcqAdvTT50a2f13e.I"/>
          <w:color w:val="131413"/>
          <w:sz w:val="20"/>
          <w:szCs w:val="20"/>
        </w:rPr>
        <w:t>considerations</w:t>
      </w:r>
      <w:r>
        <w:rPr>
          <w:rFonts w:eastAsia="Calibri" w:cs="MxkqpvAdvTT3713a231" w:ascii="MxkqpvAdvTT3713a231" w:hAnsi="MxkqpvAdvTT3713a231"/>
          <w:color w:val="131413"/>
          <w:sz w:val="20"/>
          <w:szCs w:val="20"/>
        </w:rPr>
        <w:t>. Both enactive arguments, as well as the debate between autopoietic</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theory and enactivism, move from epistemic premises about what is </w:t>
      </w:r>
      <w:r>
        <w:rPr>
          <w:rFonts w:eastAsia="Calibri" w:cs="VptfcqAdvTT50a2f13e.I" w:ascii="VptfcqAdvTT50a2f13e.I" w:hAnsi="VptfcqAdvTT50a2f13e.I"/>
          <w:color w:val="131413"/>
          <w:sz w:val="20"/>
          <w:szCs w:val="20"/>
        </w:rPr>
        <w:t>known</w:t>
      </w:r>
      <w:r>
        <w:rPr>
          <w:rFonts w:eastAsia="Calibri" w:cs="MxkqpvAdvTT3713a231" w:ascii="MxkqpvAdvTT3713a231" w:hAnsi="MxkqpvAdvTT3713a231"/>
          <w:color w:val="131413"/>
          <w:sz w:val="20"/>
          <w:szCs w:val="20"/>
        </w:rPr>
        <w:t>, either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through subjective experience or by modelling, to ontological conclusions about what</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there </w:t>
      </w:r>
      <w:r>
        <w:rPr>
          <w:rFonts w:eastAsia="Calibri" w:cs="VptfcqAdvTT50a2f13e.I" w:ascii="VptfcqAdvTT50a2f13e.I" w:hAnsi="VptfcqAdvTT50a2f13e.I"/>
          <w:color w:val="131413"/>
          <w:sz w:val="20"/>
          <w:szCs w:val="20"/>
        </w:rPr>
        <w:t>is</w:t>
      </w:r>
      <w:r>
        <w:rPr>
          <w:rFonts w:eastAsia="Calibri" w:cs="MxkqpvAdvTT3713a231" w:ascii="MxkqpvAdvTT3713a231" w:hAnsi="MxkqpvAdvTT3713a231"/>
          <w:color w:val="131413"/>
          <w:sz w:val="20"/>
          <w:szCs w:val="20"/>
        </w:rPr>
        <w:t>, namely systems endowed with or lacking certain properties. What we have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here then is an example of a broader pervasive trend within enactivism, which we will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be returning to and clarifying throughout the rest of the paper, to uncritically</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epistemologize ontology </w:t>
      </w:r>
      <w:r>
        <w:rPr>
          <w:rFonts w:eastAsia="Calibri" w:cs="MxkqpvAdvTT3713a231" w:ascii="MxkqpvAdvTT3713a231" w:hAnsi="MxkqpvAdvTT3713a231"/>
          <w:color w:val="131413"/>
          <w:sz w:val="20"/>
          <w:szCs w:val="20"/>
        </w:rPr>
        <w:t xml:space="preserve">(Gad et al. </w:t>
      </w:r>
      <w:r>
        <w:rPr>
          <w:rFonts w:eastAsia="Calibri" w:cs="MxkqpvAdvTT3713a231" w:ascii="MxkqpvAdvTT3713a231" w:hAnsi="MxkqpvAdvTT3713a231"/>
          <w:color w:val="0000FF"/>
          <w:sz w:val="20"/>
          <w:szCs w:val="20"/>
        </w:rPr>
        <w:t>2015</w:t>
      </w:r>
      <w:r>
        <w:rPr>
          <w:rFonts w:eastAsia="Calibri" w:cs="MxkqpvAdvTT3713a231" w:ascii="MxkqpvAdvTT3713a231" w:hAnsi="MxkqpvAdvTT3713a231"/>
          <w:color w:val="131413"/>
          <w:sz w:val="20"/>
          <w:szCs w:val="20"/>
        </w:rPr>
        <w:t xml:space="preserve">). The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ontological domain</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of concern for</w:t>
      </w:r>
    </w:p>
    <w:p>
      <w:pPr>
        <w:pStyle w:val="Normal"/>
        <w:spacing w:before="0" w:after="0"/>
        <w:contextualSpacing/>
        <w:jc w:val="left"/>
        <w:rPr/>
      </w:pPr>
      <w:r>
        <w:rPr>
          <w:rFonts w:eastAsia="Calibri" w:cs="MxkqpvAdvTT3713a231" w:ascii="MxkqpvAdvTT3713a231" w:hAnsi="MxkqpvAdvTT3713a231"/>
          <w:color w:val="131413"/>
          <w:sz w:val="20"/>
          <w:szCs w:val="20"/>
        </w:rPr>
        <w:t>enactivists is ultimately accessed and them mobilised via a theorist</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constructed</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knowledge of </w:t>
      </w:r>
      <w:r>
        <w:rPr>
          <w:rFonts w:eastAsia="Calibri" w:cs="MxkqpvAdvTT3713a231" w:ascii="MxkqpvAdvTT3713a231" w:hAnsi="MxkqpvAdvTT3713a231"/>
          <w:color w:val="131413"/>
          <w:sz w:val="20"/>
          <w:szCs w:val="20"/>
        </w:rPr>
        <w:t>the world, either through phenomenological experience or models,</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concepts and abstract ideas, rather than via a direct engagement with the </w:t>
      </w:r>
      <w:r>
        <w:rPr>
          <w:rFonts w:eastAsia="Calibri" w:cs="VptfcqAdvTT50a2f13e.I" w:ascii="VptfcqAdvTT50a2f13e.I" w:hAnsi="VptfcqAdvTT50a2f13e.I"/>
          <w:color w:val="131413"/>
          <w:sz w:val="20"/>
          <w:szCs w:val="20"/>
        </w:rPr>
        <w:t>materiality</w:t>
      </w:r>
    </w:p>
    <w:p>
      <w:pPr>
        <w:pStyle w:val="Normal"/>
        <w:spacing w:before="0" w:after="0"/>
        <w:contextualSpacing/>
        <w:jc w:val="left"/>
        <w:rPr/>
      </w:pPr>
      <w:r>
        <w:rPr>
          <w:rFonts w:eastAsia="Calibri" w:cs="VptfcqAdvTT50a2f13e.I" w:ascii="VptfcqAdvTT50a2f13e.I" w:hAnsi="VptfcqAdvTT50a2f13e.I"/>
          <w:color w:val="131413"/>
          <w:sz w:val="20"/>
          <w:szCs w:val="20"/>
        </w:rPr>
        <w:t>of the world</w:t>
      </w:r>
      <w:r>
        <w:rPr>
          <w:rFonts w:eastAsia="Calibri" w:cs="MxkqpvAdvTT3713a231" w:ascii="MxkqpvAdvTT3713a231" w:hAnsi="MxkqpvAdvTT3713a231"/>
          <w:color w:val="131413"/>
          <w:sz w:val="20"/>
          <w:szCs w:val="20"/>
        </w:rPr>
        <w:t>. We will be returning to this issue below, for now we simply need to bear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in mind that enactivism conflates questions of how we know with questions about what</w:t>
      </w:r>
    </w:p>
    <w:p>
      <w:pPr>
        <w:pStyle w:val="Normal"/>
        <w:spacing w:before="0" w:after="0"/>
        <w:contextualSpacing/>
        <w:jc w:val="left"/>
        <w:rPr/>
      </w:pPr>
      <w:r>
        <w:rPr>
          <w:rFonts w:eastAsia="Calibri" w:cs="MxkqpvAdvTT3713a231" w:ascii="MxkqpvAdvTT3713a231" w:hAnsi="MxkqpvAdvTT3713a231"/>
          <w:color w:val="131413"/>
          <w:sz w:val="20"/>
          <w:szCs w:val="20"/>
        </w:rPr>
        <w:t>there is and as a consequence s</w:t>
      </w:r>
      <w:r>
        <w:rPr>
          <w:rFonts w:eastAsia="Calibri" w:cs="VptfcqAdvTT50a2f13e.I" w:ascii="VptfcqAdvTT50a2f13e.I" w:hAnsi="VptfcqAdvTT50a2f13e.I"/>
          <w:color w:val="131413"/>
          <w:sz w:val="20"/>
          <w:szCs w:val="20"/>
        </w:rPr>
        <w:t>ystematically dissolves the ontological into the</w:t>
      </w:r>
    </w:p>
    <w:p>
      <w:pPr>
        <w:pStyle w:val="Normal"/>
        <w:spacing w:before="0" w:after="0"/>
        <w:contextualSpacing/>
        <w:jc w:val="left"/>
        <w:rPr/>
      </w:pPr>
      <w:r>
        <w:rPr>
          <w:rFonts w:eastAsia="Calibri" w:cs="VptfcqAdvTT50a2f13e.I" w:ascii="VptfcqAdvTT50a2f13e.I" w:hAnsi="VptfcqAdvTT50a2f13e.I"/>
          <w:color w:val="131413"/>
          <w:sz w:val="20"/>
          <w:szCs w:val="20"/>
        </w:rPr>
        <w:t>epistemic</w:t>
      </w:r>
      <w:r>
        <w:rPr>
          <w:rFonts w:eastAsia="Calibri" w:cs="MxkqpvAdvTT3713a231" w:ascii="MxkqpvAdvTT3713a231" w:hAnsi="MxkqpvAdvTT3713a231"/>
          <w:color w:val="131413"/>
          <w:sz w:val="20"/>
          <w:szCs w:val="20"/>
        </w:rPr>
        <w:t>.</w:t>
      </w:r>
    </w:p>
    <w:p>
      <w:pPr>
        <w:pStyle w:val="Normal"/>
        <w:spacing w:before="0" w:after="0"/>
        <w:contextualSpacing/>
        <w:jc w:val="left"/>
        <w:rPr/>
      </w:pPr>
      <w:r>
        <w:rPr>
          <w:rFonts w:eastAsia="Calibri" w:cs="MxkqpvAdvTT3713a231" w:ascii="MxkqpvAdvTT3713a231" w:hAnsi="MxkqpvAdvTT3713a231"/>
          <w:color w:val="131413"/>
          <w:sz w:val="20"/>
          <w:szCs w:val="20"/>
        </w:rPr>
        <w:t>This section has explored some of the motivations and arguments for enactivism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distinctive ontological conception of agency. We ended by highlighting the obfuscated</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epistemic nature </w:t>
      </w:r>
      <w:r>
        <w:rPr>
          <w:rFonts w:eastAsia="Calibri" w:cs="MxkqpvAdvTT3713a231" w:ascii="MxkqpvAdvTT3713a231" w:hAnsi="MxkqpvAdvTT3713a231"/>
          <w:color w:val="131413"/>
          <w:sz w:val="20"/>
          <w:szCs w:val="20"/>
        </w:rPr>
        <w:t>of these arguments. However, a further crucial aspect of enactivism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rich account of agency is that, through processes of sense-making, organisms are said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bring forth </w:t>
      </w:r>
      <w:r>
        <w:rPr>
          <w:rFonts w:eastAsia="Calibri" w:cs="VptfcqAdvTT50a2f13e.I" w:ascii="VptfcqAdvTT50a2f13e.I" w:hAnsi="VptfcqAdvTT50a2f13e.I"/>
          <w:color w:val="131413"/>
          <w:sz w:val="20"/>
          <w:szCs w:val="20"/>
        </w:rPr>
        <w:t xml:space="preserve">worlds. </w:t>
      </w:r>
      <w:r>
        <w:rPr>
          <w:rFonts w:eastAsia="Calibri" w:cs="MxkqpvAdvTT3713a231" w:ascii="MxkqpvAdvTT3713a231" w:hAnsi="MxkqpvAdvTT3713a231"/>
          <w:color w:val="131413"/>
          <w:sz w:val="20"/>
          <w:szCs w:val="20"/>
        </w:rPr>
        <w:t>It is the arguments and motivations for this radical sounding claim</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that we now need to appraise. (869)</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Nonetheless, the important point to note is</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that either way, it is the organism's morphological/structural make-up - its </w:t>
      </w:r>
      <w:r>
        <w:rPr>
          <w:rFonts w:eastAsia="Calibri" w:cs="VptfcqAdvTT50a2f13e.I" w:ascii="VptfcqAdvTT50a2f13e.I" w:hAnsi="VptfcqAdvTT50a2f13e.I"/>
          <w:color w:val="131413"/>
          <w:sz w:val="20"/>
          <w:szCs w:val="20"/>
        </w:rPr>
        <w:t>embodiment</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and perceptual apparatus </w:t>
      </w:r>
      <w:r>
        <w:rPr>
          <w:rFonts w:eastAsia="Calibri" w:cs="MxkqpvAdvTT3713a231" w:ascii="MxkqpvAdvTT3713a231" w:hAnsi="MxkqpvAdvTT3713a231"/>
          <w:color w:val="131413"/>
          <w:sz w:val="20"/>
          <w:szCs w:val="20"/>
        </w:rPr>
        <w:t>- which ultimately determines those features of the world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which it is sensitive (Zahidi </w:t>
      </w:r>
      <w:r>
        <w:rPr>
          <w:rFonts w:eastAsia="Calibri" w:cs="MxkqpvAdvTT3713a231" w:ascii="MxkqpvAdvTT3713a231" w:hAnsi="MxkqpvAdvTT3713a231"/>
          <w:color w:val="0000FF"/>
          <w:sz w:val="20"/>
          <w:szCs w:val="20"/>
        </w:rPr>
        <w:t>2014</w:t>
      </w:r>
      <w:r>
        <w:rPr>
          <w:rFonts w:eastAsia="Calibri" w:cs="MxkqpvAdvTT3713a231" w:ascii="MxkqpvAdvTT3713a231" w:hAnsi="MxkqpvAdvTT3713a231"/>
          <w:color w:val="131413"/>
          <w:sz w:val="20"/>
          <w:szCs w:val="20"/>
        </w:rPr>
        <w:t>). Insofar as this is the case, worlds can therefore be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said to be brought forth, by virtue of the organism's distinctively embodied perceptual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system. Moreover, it is through distinct structural couplings that different organisms</w:t>
      </w:r>
    </w:p>
    <w:p>
      <w:pPr>
        <w:pStyle w:val="Normal"/>
        <w:spacing w:before="0" w:after="0"/>
        <w:contextualSpacing/>
        <w:jc w:val="left"/>
        <w:rPr/>
      </w:pPr>
      <w:r>
        <w:rPr>
          <w:rFonts w:eastAsia="Calibri" w:cs="MxkqpvAdvTT3713a231" w:ascii="MxkqpvAdvTT3713a231" w:hAnsi="MxkqpvAdvTT3713a231"/>
          <w:color w:val="131413"/>
          <w:sz w:val="20"/>
          <w:szCs w:val="20"/>
        </w:rPr>
        <w:t xml:space="preserve">also acquire different </w:t>
      </w:r>
      <w:r>
        <w:rPr>
          <w:rFonts w:eastAsia="Calibri" w:cs="VptfcqAdvTT50a2f13e.I" w:ascii="VptfcqAdvTT50a2f13e.I" w:hAnsi="VptfcqAdvTT50a2f13e.I"/>
          <w:color w:val="131413"/>
          <w:sz w:val="20"/>
          <w:szCs w:val="20"/>
        </w:rPr>
        <w:t xml:space="preserve">perspectives </w:t>
      </w:r>
      <w:r>
        <w:rPr>
          <w:rFonts w:eastAsia="Calibri" w:cs="MxkqpvAdvTT3713a231" w:ascii="MxkqpvAdvTT3713a231" w:hAnsi="MxkqpvAdvTT3713a231"/>
          <w:color w:val="131413"/>
          <w:sz w:val="20"/>
          <w:szCs w:val="20"/>
        </w:rPr>
        <w:t>on that world (871)</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We can further clarify this constitutive role of embodiment and structural coupling 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bringing forth of worlds with the example of the single cell bacterium. Recall that it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was its sensorimotor coupling with the environment, understood as adaptive autonomy,</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that grounded the co-emergence of meaning and allowed it to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transform</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sucrose into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 valuable nutrient. It is by virtue of both its morphological/structural properties and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part of the physical world it inhabits, that certain states and properties of the world</w:t>
      </w:r>
    </w:p>
    <w:p>
      <w:pPr>
        <w:pStyle w:val="Normal"/>
        <w:spacing w:before="0" w:after="0"/>
        <w:contextualSpacing/>
        <w:jc w:val="left"/>
        <w:rPr/>
      </w:pPr>
      <w:r>
        <w:rPr>
          <w:rFonts w:eastAsia="Calibri" w:cs="MxkqpvAdvTT3713a231" w:ascii="MxkqpvAdvTT3713a231" w:hAnsi="MxkqpvAdvTT3713a231"/>
          <w:color w:val="131413"/>
          <w:sz w:val="20"/>
          <w:szCs w:val="20"/>
        </w:rPr>
        <w:t xml:space="preserve">become salient for it. But note that, due to the </w:t>
      </w:r>
      <w:r>
        <w:rPr>
          <w:rFonts w:eastAsia="Calibri" w:cs="VptfcqAdvTT50a2f13e.I" w:ascii="VptfcqAdvTT50a2f13e.I" w:hAnsi="VptfcqAdvTT50a2f13e.I"/>
          <w:color w:val="131413"/>
          <w:sz w:val="20"/>
          <w:szCs w:val="20"/>
        </w:rPr>
        <w:t xml:space="preserve">asymmetrical </w:t>
      </w:r>
      <w:r>
        <w:rPr>
          <w:rFonts w:eastAsia="Calibri" w:cs="MxkqpvAdvTT3713a231" w:ascii="MxkqpvAdvTT3713a231" w:hAnsi="MxkqpvAdvTT3713a231"/>
          <w:color w:val="131413"/>
          <w:sz w:val="20"/>
          <w:szCs w:val="20"/>
        </w:rPr>
        <w:t>nature of this process,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embodiment is that which ultimately determines what becomes meaningful for the</w:t>
      </w:r>
    </w:p>
    <w:p>
      <w:pPr>
        <w:pStyle w:val="Normal"/>
        <w:spacing w:before="0" w:after="0"/>
        <w:contextualSpacing/>
        <w:jc w:val="left"/>
        <w:rPr/>
      </w:pPr>
      <w:r>
        <w:rPr>
          <w:rFonts w:eastAsia="Calibri" w:cs="MxkqpvAdvTT3713a231" w:ascii="MxkqpvAdvTT3713a231" w:hAnsi="MxkqpvAdvTT3713a231"/>
          <w:color w:val="131413"/>
          <w:sz w:val="20"/>
          <w:szCs w:val="20"/>
        </w:rPr>
        <w:t>organism. That which grounds the bacterium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 xml:space="preserve">s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perspective</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xml:space="preserv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point of view</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and</w:t>
      </w:r>
    </w:p>
    <w:p>
      <w:pPr>
        <w:pStyle w:val="Normal"/>
        <w:spacing w:before="0" w:after="0"/>
        <w:contextualSpacing/>
        <w:jc w:val="left"/>
        <w:rPr/>
      </w:pPr>
      <w:r>
        <w:rPr>
          <w:rFonts w:eastAsia="Calibri" w:cs="MxkqpvAdvTT3713a231" w:ascii="MxkqpvAdvTT3713a231" w:hAnsi="MxkqpvAdvTT3713a231"/>
          <w:color w:val="131413"/>
          <w:sz w:val="20"/>
          <w:szCs w:val="20"/>
        </w:rPr>
        <w:t xml:space="preserve">ultimately its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world</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So it is that the bacterium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world is brought forth by its</w:t>
      </w:r>
    </w:p>
    <w:p>
      <w:pPr>
        <w:pStyle w:val="Normal"/>
        <w:spacing w:before="0" w:after="0"/>
        <w:contextualSpacing/>
        <w:jc w:val="left"/>
        <w:rPr/>
      </w:pPr>
      <w:r>
        <w:rPr>
          <w:rFonts w:eastAsia="Calibri" w:cs="MxkqpvAdvTT3713a231" w:ascii="MxkqpvAdvTT3713a231" w:hAnsi="MxkqpvAdvTT3713a231"/>
          <w:color w:val="131413"/>
          <w:sz w:val="20"/>
          <w:szCs w:val="20"/>
        </w:rPr>
        <w:t xml:space="preserve">sensorimotor activity (Di Paolo </w:t>
      </w:r>
      <w:r>
        <w:rPr>
          <w:rFonts w:eastAsia="Calibri" w:cs="MxkqpvAdvTT3713a231" w:ascii="MxkqpvAdvTT3713a231" w:hAnsi="MxkqpvAdvTT3713a231"/>
          <w:color w:val="0000FF"/>
          <w:sz w:val="20"/>
          <w:szCs w:val="20"/>
        </w:rPr>
        <w:t>2009</w:t>
      </w:r>
      <w:r>
        <w:rPr>
          <w:rFonts w:eastAsia="Calibri" w:cs="MxkqpvAdvTT3713a231" w:ascii="MxkqpvAdvTT3713a231" w:hAnsi="MxkqpvAdvTT3713a231"/>
          <w:color w:val="131413"/>
          <w:sz w:val="20"/>
          <w:szCs w:val="20"/>
        </w:rPr>
        <w:t xml:space="preserve">; Thompson </w:t>
      </w:r>
      <w:r>
        <w:rPr>
          <w:rFonts w:eastAsia="Calibri" w:cs="MxkqpvAdvTT3713a231" w:ascii="MxkqpvAdvTT3713a231" w:hAnsi="MxkqpvAdvTT3713a231"/>
          <w:color w:val="0000FF"/>
          <w:sz w:val="20"/>
          <w:szCs w:val="20"/>
        </w:rPr>
        <w:t>2007</w:t>
      </w:r>
      <w:r>
        <w:rPr>
          <w:rFonts w:eastAsia="Calibri" w:cs="MxkqpvAdvTT3713a231" w:ascii="MxkqpvAdvTT3713a231" w:hAnsi="MxkqpvAdvTT3713a231"/>
          <w:color w:val="131413"/>
          <w:sz w:val="20"/>
          <w:szCs w:val="20"/>
        </w:rPr>
        <w:t xml:space="preserve">; Weber and Varela </w:t>
      </w:r>
      <w:r>
        <w:rPr>
          <w:rFonts w:eastAsia="Calibri" w:cs="MxkqpvAdvTT3713a231" w:ascii="MxkqpvAdvTT3713a231" w:hAnsi="MxkqpvAdvTT3713a231"/>
          <w:color w:val="0000FF"/>
          <w:sz w:val="20"/>
          <w:szCs w:val="20"/>
        </w:rPr>
        <w:t>2002</w:t>
      </w:r>
      <w:r>
        <w:rPr>
          <w:rFonts w:eastAsia="Calibri" w:cs="MxkqpvAdvTT3713a231" w:ascii="MxkqpvAdvTT3713a231" w:hAnsi="MxkqpvAdvTT3713a231"/>
          <w:color w:val="131413"/>
          <w:sz w:val="20"/>
          <w:szCs w:val="20"/>
        </w:rPr>
        <w:t>). From</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this standard example enactivists can then generalise to other organisms by arguing that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their different morphological structures, different embodiments, give rise to different</w:t>
      </w:r>
    </w:p>
    <w:p>
      <w:pPr>
        <w:pStyle w:val="Normal"/>
        <w:spacing w:before="0" w:after="0"/>
        <w:contextualSpacing/>
        <w:jc w:val="left"/>
        <w:rPr/>
      </w:pPr>
      <w:r>
        <w:rPr>
          <w:rFonts w:eastAsia="Calibri" w:cs="MxkqpvAdvTT3713a231" w:ascii="MxkqpvAdvTT3713a231" w:hAnsi="MxkqpvAdvTT3713a231"/>
          <w:color w:val="131413"/>
          <w:sz w:val="20"/>
          <w:szCs w:val="20"/>
        </w:rPr>
        <w:t xml:space="preserve">perceiver-dependent </w:t>
      </w:r>
      <w:r>
        <w:rPr>
          <w:rFonts w:eastAsia="Calibri" w:cs="VptfcqAdvTT50a2f13e.I" w:ascii="VptfcqAdvTT50a2f13e.I" w:hAnsi="VptfcqAdvTT50a2f13e.I"/>
          <w:color w:val="131413"/>
          <w:sz w:val="20"/>
          <w:szCs w:val="20"/>
        </w:rPr>
        <w:t>worlds</w:t>
      </w:r>
      <w:r>
        <w:rPr>
          <w:rFonts w:eastAsia="Calibri" w:cs="MxkqpvAdvTT3713a231" w:ascii="MxkqpvAdvTT3713a231" w:hAnsi="MxkqpvAdvTT3713a231"/>
          <w:color w:val="131413"/>
          <w:sz w:val="20"/>
          <w:szCs w:val="20"/>
        </w:rPr>
        <w:t>. (871)</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This should now significantly help clarify both why enactivists believe there is no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pregiven world and the ontological nature of brought forth worlds as well as what this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actually entails. The first and most important point to note is that the notion of bringing</w:t>
      </w:r>
    </w:p>
    <w:p>
      <w:pPr>
        <w:pStyle w:val="Normal"/>
        <w:spacing w:before="0" w:after="0"/>
        <w:contextualSpacing/>
        <w:jc w:val="left"/>
        <w:rPr/>
      </w:pPr>
      <w:r>
        <w:rPr>
          <w:rFonts w:eastAsia="Calibri" w:cs="MxkqpvAdvTT3713a231" w:ascii="MxkqpvAdvTT3713a231" w:hAnsi="MxkqpvAdvTT3713a231"/>
          <w:color w:val="131413"/>
          <w:sz w:val="20"/>
          <w:szCs w:val="20"/>
        </w:rPr>
        <w:t xml:space="preserve">forth a world is ultimately an </w:t>
      </w:r>
      <w:r>
        <w:rPr>
          <w:rFonts w:eastAsia="Calibri" w:cs="VptfcqAdvTT50a2f13e.I" w:ascii="VptfcqAdvTT50a2f13e.I" w:hAnsi="VptfcqAdvTT50a2f13e.I"/>
          <w:color w:val="131413"/>
          <w:sz w:val="20"/>
          <w:szCs w:val="20"/>
        </w:rPr>
        <w:t xml:space="preserve">epistemic </w:t>
      </w:r>
      <w:r>
        <w:rPr>
          <w:rFonts w:eastAsia="Calibri" w:cs="MxkqpvAdvTT3713a231" w:ascii="MxkqpvAdvTT3713a231" w:hAnsi="MxkqpvAdvTT3713a231"/>
          <w:color w:val="131413"/>
          <w:sz w:val="20"/>
          <w:szCs w:val="20"/>
        </w:rPr>
        <w:t>notion concerned with an organism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 xml:space="preserve">s </w:t>
      </w:r>
      <w:r>
        <w:rPr>
          <w:rFonts w:eastAsia="Calibri" w:cs="VptfcqAdvTT50a2f13e.I" w:ascii="VptfcqAdvTT50a2f13e.I" w:hAnsi="VptfcqAdvTT50a2f13e.I"/>
          <w:color w:val="131413"/>
          <w:sz w:val="20"/>
          <w:szCs w:val="20"/>
        </w:rPr>
        <w:t>perspective</w:t>
      </w:r>
    </w:p>
    <w:p>
      <w:pPr>
        <w:pStyle w:val="Normal"/>
        <w:spacing w:before="0" w:after="0"/>
        <w:contextualSpacing/>
        <w:jc w:val="left"/>
        <w:rPr/>
      </w:pPr>
      <w:r>
        <w:rPr>
          <w:rFonts w:eastAsia="Calibri" w:cs="MxkqpvAdvTT3713a231" w:ascii="MxkqpvAdvTT3713a231" w:hAnsi="MxkqpvAdvTT3713a231"/>
          <w:color w:val="131413"/>
          <w:sz w:val="20"/>
          <w:szCs w:val="20"/>
        </w:rPr>
        <w:t xml:space="preserve">on and </w:t>
      </w:r>
      <w:r>
        <w:rPr>
          <w:rFonts w:eastAsia="Calibri" w:cs="VptfcqAdvTT50a2f13e.I" w:ascii="VptfcqAdvTT50a2f13e.I" w:hAnsi="VptfcqAdvTT50a2f13e.I"/>
          <w:color w:val="131413"/>
          <w:sz w:val="20"/>
          <w:szCs w:val="20"/>
        </w:rPr>
        <w:t xml:space="preserve">knowledge </w:t>
      </w:r>
      <w:r>
        <w:rPr>
          <w:rFonts w:eastAsia="Calibri" w:cs="MxkqpvAdvTT3713a231" w:ascii="MxkqpvAdvTT3713a231" w:hAnsi="MxkqpvAdvTT3713a231"/>
          <w:color w:val="131413"/>
          <w:sz w:val="20"/>
          <w:szCs w:val="20"/>
        </w:rPr>
        <w:t>of the world. This perspective, as we have seen, is grounded on</w:t>
      </w:r>
    </w:p>
    <w:p>
      <w:pPr>
        <w:pStyle w:val="Normal"/>
        <w:spacing w:before="0" w:after="0"/>
        <w:contextualSpacing/>
        <w:jc w:val="left"/>
        <w:rPr/>
      </w:pPr>
      <w:r>
        <w:rPr>
          <w:rFonts w:eastAsia="Calibri" w:cs="MxkqpvAdvTT3713a231" w:ascii="MxkqpvAdvTT3713a231" w:hAnsi="MxkqpvAdvTT3713a231"/>
          <w:color w:val="131413"/>
          <w:sz w:val="20"/>
          <w:szCs w:val="20"/>
        </w:rPr>
        <w:t>the organism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distinct perceptual system and thus forms the basis for its own unique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 Thus, contrary to what enactivists claim, what this seems to entail is that</w:t>
      </w:r>
    </w:p>
    <w:p>
      <w:pPr>
        <w:pStyle w:val="Normal"/>
        <w:spacing w:before="0" w:after="0"/>
        <w:contextualSpacing/>
        <w:jc w:val="left"/>
        <w:rPr/>
      </w:pPr>
      <w:r>
        <w:rPr>
          <w:rFonts w:eastAsia="Calibri" w:cs="MxkqpvAdvTT3713a231" w:ascii="MxkqpvAdvTT3713a231" w:hAnsi="MxkqpvAdvTT3713a231"/>
          <w:color w:val="131413"/>
          <w:sz w:val="20"/>
          <w:szCs w:val="20"/>
        </w:rPr>
        <w:t xml:space="preserve">organisms do not and cannot have direct </w:t>
      </w:r>
      <w:r>
        <w:rPr>
          <w:rFonts w:eastAsia="Calibri" w:cs="VptfcqAdvTT50a2f13e.I" w:ascii="VptfcqAdvTT50a2f13e.I" w:hAnsi="VptfcqAdvTT50a2f13e.I"/>
          <w:color w:val="131413"/>
          <w:sz w:val="20"/>
          <w:szCs w:val="20"/>
        </w:rPr>
        <w:t xml:space="preserve">knowledge </w:t>
      </w:r>
      <w:r>
        <w:rPr>
          <w:rFonts w:eastAsia="Calibri" w:cs="MxkqpvAdvTT3713a231" w:ascii="MxkqpvAdvTT3713a231" w:hAnsi="MxkqpvAdvTT3713a231"/>
          <w:color w:val="131413"/>
          <w:sz w:val="20"/>
          <w:szCs w:val="20"/>
        </w:rPr>
        <w:t>of the world-in-itself, as an</w:t>
      </w:r>
    </w:p>
    <w:p>
      <w:pPr>
        <w:pStyle w:val="Normal"/>
        <w:spacing w:before="0" w:after="0"/>
        <w:contextualSpacing/>
        <w:jc w:val="left"/>
        <w:rPr/>
      </w:pPr>
      <w:r>
        <w:rPr>
          <w:rFonts w:eastAsia="Calibri" w:cs="MxkqpvAdvTT3713a231" w:ascii="MxkqpvAdvTT3713a231" w:hAnsi="MxkqpvAdvTT3713a231"/>
          <w:color w:val="131413"/>
          <w:sz w:val="20"/>
          <w:szCs w:val="20"/>
        </w:rPr>
        <w:t xml:space="preserve">objective predefined reality, but only perceiver-dependent </w:t>
      </w:r>
      <w:r>
        <w:rPr>
          <w:rFonts w:eastAsia="Calibri" w:cs="VptfcqAdvTT50a2f13e.I" w:ascii="VptfcqAdvTT50a2f13e.I" w:hAnsi="VptfcqAdvTT50a2f13e.I"/>
          <w:color w:val="131413"/>
          <w:sz w:val="20"/>
          <w:szCs w:val="20"/>
        </w:rPr>
        <w:t xml:space="preserve">knowledge </w:t>
      </w:r>
      <w:r>
        <w:rPr>
          <w:rFonts w:eastAsia="Calibri" w:cs="MxkqpvAdvTT3713a231" w:ascii="MxkqpvAdvTT3713a231" w:hAnsi="MxkqpvAdvTT3713a231"/>
          <w:color w:val="131413"/>
          <w:sz w:val="20"/>
          <w:szCs w:val="20"/>
        </w:rPr>
        <w:t>(cf. Zahidi</w:t>
      </w:r>
    </w:p>
    <w:p>
      <w:pPr>
        <w:pStyle w:val="Normal"/>
        <w:spacing w:before="0" w:after="0"/>
        <w:contextualSpacing/>
        <w:jc w:val="left"/>
        <w:rPr/>
      </w:pPr>
      <w:r>
        <w:rPr>
          <w:rFonts w:eastAsia="Calibri" w:cs="MxkqpvAdvTT3713a231" w:ascii="MxkqpvAdvTT3713a231" w:hAnsi="MxkqpvAdvTT3713a231"/>
          <w:color w:val="0000FF"/>
          <w:sz w:val="20"/>
          <w:szCs w:val="20"/>
        </w:rPr>
        <w:t>2014</w:t>
      </w:r>
      <w:r>
        <w:rPr>
          <w:rFonts w:eastAsia="Calibri" w:cs="MxkqpvAdvTT3713a231" w:ascii="MxkqpvAdvTT3713a231" w:hAnsi="MxkqpvAdvTT3713a231"/>
          <w:color w:val="131413"/>
          <w:sz w:val="20"/>
          <w:szCs w:val="20"/>
        </w:rPr>
        <w:t xml:space="preserve">). The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worlds</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which are purportedly brought forth refer to the organism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perceptual world and not the world or worlds. The world(s), whatever this turns out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be and at least as far as this particular argument is concerned, remains ontologically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 xml:space="preserve">separate from the organism.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second point which follows directly from the first is that while the claim that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organisms bring forth worlds clearly presupposes an ontological plurality or multiplicity</w:t>
      </w:r>
    </w:p>
    <w:p>
      <w:pPr>
        <w:pStyle w:val="Normal"/>
        <w:spacing w:before="0" w:after="0"/>
        <w:contextualSpacing/>
        <w:jc w:val="left"/>
        <w:rPr/>
      </w:pPr>
      <w:r>
        <w:rPr>
          <w:rFonts w:eastAsia="Calibri" w:cs="MxkqpvAdvTT3713a231" w:ascii="MxkqpvAdvTT3713a231" w:hAnsi="MxkqpvAdvTT3713a231"/>
          <w:color w:val="131413"/>
          <w:sz w:val="20"/>
          <w:szCs w:val="20"/>
        </w:rPr>
        <w:t xml:space="preserve">of </w:t>
      </w:r>
      <w:r>
        <w:rPr>
          <w:rFonts w:eastAsia="Calibri" w:cs="VptfcqAdvTT50a2f13e.I" w:ascii="VptfcqAdvTT50a2f13e.I" w:hAnsi="VptfcqAdvTT50a2f13e.I"/>
          <w:color w:val="131413"/>
          <w:sz w:val="20"/>
          <w:szCs w:val="20"/>
        </w:rPr>
        <w:t>reality</w:t>
      </w:r>
      <w:r>
        <w:rPr>
          <w:rFonts w:eastAsia="Calibri" w:cs="MxkqpvAdvTT3713a231" w:ascii="MxkqpvAdvTT3713a231" w:hAnsi="MxkqpvAdvTT3713a231"/>
          <w:color w:val="131413"/>
          <w:sz w:val="20"/>
          <w:szCs w:val="20"/>
        </w:rPr>
        <w:t xml:space="preserve">, on closer inspection what the enactive account offers is </w:t>
      </w:r>
      <w:r>
        <w:rPr>
          <w:rFonts w:eastAsia="Calibri" w:cs="VptfcqAdvTT50a2f13e.I" w:ascii="VptfcqAdvTT50a2f13e.I" w:hAnsi="VptfcqAdvTT50a2f13e.I"/>
          <w:color w:val="131413"/>
          <w:sz w:val="20"/>
          <w:szCs w:val="20"/>
        </w:rPr>
        <w:t>epistemic plurality</w:t>
      </w:r>
    </w:p>
    <w:p>
      <w:pPr>
        <w:pStyle w:val="Normal"/>
        <w:spacing w:before="0" w:after="0"/>
        <w:contextualSpacing/>
        <w:jc w:val="left"/>
        <w:rPr/>
      </w:pPr>
      <w:r>
        <w:rPr>
          <w:rFonts w:eastAsia="Calibri" w:cs="MxkqpvAdvTT3713a231" w:ascii="MxkqpvAdvTT3713a231" w:hAnsi="MxkqpvAdvTT3713a231"/>
          <w:color w:val="131413"/>
          <w:sz w:val="20"/>
          <w:szCs w:val="20"/>
        </w:rPr>
        <w:t xml:space="preserve">and </w:t>
      </w:r>
      <w:r>
        <w:rPr>
          <w:rFonts w:eastAsia="Calibri" w:cs="VptfcqAdvTT50a2f13e.I" w:ascii="VptfcqAdvTT50a2f13e.I" w:hAnsi="VptfcqAdvTT50a2f13e.I"/>
          <w:color w:val="131413"/>
          <w:sz w:val="20"/>
          <w:szCs w:val="20"/>
        </w:rPr>
        <w:t>multiplicity</w:t>
      </w:r>
      <w:r>
        <w:rPr>
          <w:rFonts w:eastAsia="Calibri" w:cs="MxkqpvAdvTT3713a231" w:ascii="MxkqpvAdvTT3713a231" w:hAnsi="MxkqpvAdvTT3713a231"/>
          <w:color w:val="131413"/>
          <w:sz w:val="20"/>
          <w:szCs w:val="20"/>
        </w:rPr>
        <w:t xml:space="preserve">. We can thus call this position a form of </w:t>
      </w:r>
      <w:r>
        <w:rPr>
          <w:rFonts w:eastAsia="Calibri" w:cs="VptfcqAdvTT50a2f13e.I" w:ascii="VptfcqAdvTT50a2f13e.I" w:hAnsi="VptfcqAdvTT50a2f13e.I"/>
          <w:color w:val="131413"/>
          <w:sz w:val="20"/>
          <w:szCs w:val="20"/>
        </w:rPr>
        <w:t xml:space="preserve">epistemic perspectivalism </w:t>
      </w:r>
      <w:r>
        <w:rPr>
          <w:rFonts w:eastAsia="Calibri" w:cs="MxkqpvAdvTT3713a231" w:ascii="MxkqpvAdvTT3713a231" w:hAnsi="MxkqpvAdvTT3713a231"/>
          <w:color w:val="131413"/>
          <w:sz w:val="20"/>
          <w:szCs w:val="20"/>
        </w:rPr>
        <w:t>(De</w:t>
      </w:r>
    </w:p>
    <w:p>
      <w:pPr>
        <w:pStyle w:val="Normal"/>
        <w:spacing w:before="0" w:after="0"/>
        <w:contextualSpacing/>
        <w:jc w:val="left"/>
        <w:rPr/>
      </w:pPr>
      <w:r>
        <w:rPr>
          <w:rFonts w:eastAsia="Calibri" w:cs="MxkqpvAdvTT3713a231" w:ascii="MxkqpvAdvTT3713a231" w:hAnsi="MxkqpvAdvTT3713a231"/>
          <w:color w:val="131413"/>
          <w:sz w:val="20"/>
          <w:szCs w:val="20"/>
        </w:rPr>
        <w:t xml:space="preserve">Jesus </w:t>
      </w:r>
      <w:r>
        <w:rPr>
          <w:rFonts w:eastAsia="Calibri" w:cs="MxkqpvAdvTT3713a231" w:ascii="MxkqpvAdvTT3713a231" w:hAnsi="MxkqpvAdvTT3713a231"/>
          <w:color w:val="0000FF"/>
          <w:sz w:val="20"/>
          <w:szCs w:val="20"/>
        </w:rPr>
        <w:t>2016c</w:t>
      </w:r>
      <w:r>
        <w:rPr>
          <w:rFonts w:eastAsia="Calibri" w:cs="MxkqpvAdvTT3713a231" w:ascii="MxkqpvAdvTT3713a231" w:hAnsi="MxkqpvAdvTT3713a231"/>
          <w:color w:val="131413"/>
          <w:sz w:val="20"/>
          <w:szCs w:val="20"/>
        </w:rPr>
        <w:t xml:space="preserve">). Organisms share </w:t>
      </w:r>
      <w:r>
        <w:rPr>
          <w:rFonts w:eastAsia="Calibri" w:cs="VptfcqAdvTT50a2f13e.I" w:ascii="VptfcqAdvTT50a2f13e.I" w:hAnsi="VptfcqAdvTT50a2f13e.I"/>
          <w:color w:val="131413"/>
          <w:sz w:val="20"/>
          <w:szCs w:val="20"/>
        </w:rPr>
        <w:t xml:space="preserve">one </w:t>
      </w:r>
      <w:r>
        <w:rPr>
          <w:rFonts w:eastAsia="Calibri" w:cs="MxkqpvAdvTT3713a231" w:ascii="MxkqpvAdvTT3713a231" w:hAnsi="MxkqpvAdvTT3713a231"/>
          <w:color w:val="131413"/>
          <w:sz w:val="20"/>
          <w:szCs w:val="20"/>
        </w:rPr>
        <w:t>world but have multiple epistemic perspectives on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it. Finally, this goes someway towards clarifying what the ontological status of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different worlds invoked by enactivism are: as the account is presented, there are no,</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there </w:t>
      </w:r>
      <w:r>
        <w:rPr>
          <w:rFonts w:eastAsia="Calibri" w:cs="VptfcqAdvTT50a2f13e.I" w:ascii="VptfcqAdvTT50a2f13e.I" w:hAnsi="VptfcqAdvTT50a2f13e.I"/>
          <w:color w:val="131413"/>
          <w:sz w:val="20"/>
          <w:szCs w:val="20"/>
        </w:rPr>
        <w:t xml:space="preserve">cannot </w:t>
      </w:r>
      <w:r>
        <w:rPr>
          <w:rFonts w:eastAsia="Calibri" w:cs="MxkqpvAdvTT3713a231" w:ascii="MxkqpvAdvTT3713a231" w:hAnsi="MxkqpvAdvTT3713a231"/>
          <w:color w:val="131413"/>
          <w:sz w:val="20"/>
          <w:szCs w:val="20"/>
        </w:rPr>
        <w:t>be, multiple ontologically different worlds in sense-making - no organismic</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worlds </w:t>
      </w:r>
      <w:r>
        <w:rPr>
          <w:rFonts w:eastAsia="Calibri" w:cs="MxkqpvAdvTT3713a231" w:ascii="MxkqpvAdvTT3713a231" w:hAnsi="MxkqpvAdvTT3713a231"/>
          <w:color w:val="131413"/>
          <w:sz w:val="20"/>
          <w:szCs w:val="20"/>
        </w:rPr>
        <w:t xml:space="preserve">- only multiple perspectives on </w:t>
      </w:r>
      <w:r>
        <w:rPr>
          <w:rFonts w:eastAsia="Calibri" w:cs="VptfcqAdvTT50a2f13e.I" w:ascii="VptfcqAdvTT50a2f13e.I" w:hAnsi="VptfcqAdvTT50a2f13e.I"/>
          <w:color w:val="131413"/>
          <w:sz w:val="20"/>
          <w:szCs w:val="20"/>
        </w:rPr>
        <w:t xml:space="preserve">the </w:t>
      </w:r>
      <w:r>
        <w:rPr>
          <w:rFonts w:eastAsia="Calibri" w:cs="MxkqpvAdvTT3713a231" w:ascii="MxkqpvAdvTT3713a231" w:hAnsi="MxkqpvAdvTT3713a231"/>
          <w:color w:val="131413"/>
          <w:sz w:val="20"/>
          <w:szCs w:val="20"/>
        </w:rPr>
        <w:t>world of which organisms have only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partial knowledge. It should now also be fairly clear that it is by unwittingly</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epistemologizing ontology </w:t>
      </w:r>
      <w:r>
        <w:rPr>
          <w:rFonts w:eastAsia="Calibri" w:cs="MxkqpvAdvTT3713a231" w:ascii="MxkqpvAdvTT3713a231" w:hAnsi="MxkqpvAdvTT3713a231"/>
          <w:color w:val="131413"/>
          <w:sz w:val="20"/>
          <w:szCs w:val="20"/>
        </w:rPr>
        <w:t>that enactivism reaches its distinct conclusions. While 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all intent and purposes concerned with the ontology of organismic worlds, these worlds</w:t>
      </w:r>
    </w:p>
    <w:p>
      <w:pPr>
        <w:pStyle w:val="Normal"/>
        <w:spacing w:before="0" w:after="0"/>
        <w:ind w:left="0" w:right="0" w:firstLine="72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 xml:space="preserve">are however rendered epistemic in the process.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In sum, this section has attempted to establish how exactly the world is brought forth</w:t>
      </w:r>
    </w:p>
    <w:p>
      <w:pPr>
        <w:pStyle w:val="Normal"/>
        <w:spacing w:before="0" w:after="0"/>
        <w:contextualSpacing/>
        <w:jc w:val="left"/>
        <w:rPr/>
      </w:pPr>
      <w:r>
        <w:rPr>
          <w:rFonts w:eastAsia="Calibri" w:cs="MxkqpvAdvTT3713a231" w:ascii="MxkqpvAdvTT3713a231" w:hAnsi="MxkqpvAdvTT3713a231"/>
          <w:color w:val="131413"/>
          <w:sz w:val="20"/>
          <w:szCs w:val="20"/>
        </w:rPr>
        <w:t xml:space="preserve">rather than pregiven. In so doing we clarified that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worlds</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are ultimately grounded on</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 organism's sensorimotor couplings with </w:t>
      </w:r>
      <w:r>
        <w:rPr>
          <w:rFonts w:eastAsia="Calibri" w:cs="VptfcqAdvTT50a2f13e.I" w:ascii="VptfcqAdvTT50a2f13e.I" w:hAnsi="VptfcqAdvTT50a2f13e.I"/>
          <w:color w:val="131413"/>
          <w:sz w:val="20"/>
          <w:szCs w:val="20"/>
        </w:rPr>
        <w:t xml:space="preserve">the </w:t>
      </w:r>
      <w:r>
        <w:rPr>
          <w:rFonts w:eastAsia="Calibri" w:cs="MxkqpvAdvTT3713a231" w:ascii="MxkqpvAdvTT3713a231" w:hAnsi="MxkqpvAdvTT3713a231"/>
          <w:color w:val="131413"/>
          <w:sz w:val="20"/>
          <w:szCs w:val="20"/>
        </w:rPr>
        <w:t xml:space="preserve">world and thus </w:t>
      </w:r>
      <w:r>
        <w:rPr>
          <w:rFonts w:eastAsia="Calibri" w:cs="VptfcqAdvTT50a2f13e.I" w:ascii="VptfcqAdvTT50a2f13e.I" w:hAnsi="VptfcqAdvTT50a2f13e.I"/>
          <w:color w:val="131413"/>
          <w:sz w:val="20"/>
          <w:szCs w:val="20"/>
        </w:rPr>
        <w:t xml:space="preserve">perspectival </w:t>
      </w:r>
      <w:r>
        <w:rPr>
          <w:rFonts w:eastAsia="Calibri" w:cs="MxkqpvAdvTT3713a231" w:ascii="MxkqpvAdvTT3713a231" w:hAnsi="MxkqpvAdvTT3713a231"/>
          <w:color w:val="131413"/>
          <w:sz w:val="20"/>
          <w:szCs w:val="20"/>
        </w:rPr>
        <w:t>in nature. It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was also shown that ultimately it was by virtue of epistemologizing ontology that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enactivism reached its conclusions. Thus, what is in the first instance introduced as</w:t>
      </w:r>
    </w:p>
    <w:p>
      <w:pPr>
        <w:pStyle w:val="Normal"/>
        <w:spacing w:before="0" w:after="0"/>
        <w:contextualSpacing/>
        <w:jc w:val="left"/>
        <w:rPr/>
      </w:pPr>
      <w:r>
        <w:rPr>
          <w:rFonts w:eastAsia="Calibri" w:cs="MxkqpvAdvTT3713a231" w:ascii="MxkqpvAdvTT3713a231" w:hAnsi="MxkqpvAdvTT3713a231"/>
          <w:color w:val="131413"/>
          <w:sz w:val="20"/>
          <w:szCs w:val="20"/>
        </w:rPr>
        <w:t xml:space="preserve">multiple ontologies, turns out to be </w:t>
      </w:r>
      <w:r>
        <w:rPr>
          <w:rFonts w:eastAsia="Calibri" w:cs="VptfcqAdvTT50a2f13e.I" w:ascii="VptfcqAdvTT50a2f13e.I" w:hAnsi="VptfcqAdvTT50a2f13e.I"/>
          <w:color w:val="131413"/>
          <w:sz w:val="20"/>
          <w:szCs w:val="20"/>
        </w:rPr>
        <w:t>multiple perspectives</w:t>
      </w:r>
      <w:r>
        <w:rPr>
          <w:rFonts w:eastAsia="Calibri" w:cs="MxkqpvAdvTT3713a231" w:ascii="MxkqpvAdvTT3713a231" w:hAnsi="MxkqpvAdvTT3713a231"/>
          <w:color w:val="131413"/>
          <w:sz w:val="20"/>
          <w:szCs w:val="20"/>
        </w:rPr>
        <w:t>. In my view enactivism is</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correct in emphasising that organisms bring forth </w:t>
      </w:r>
      <w:r>
        <w:rPr>
          <w:rFonts w:eastAsia="Calibri" w:cs="VptfcqAdvTT50a2f13e.I" w:ascii="VptfcqAdvTT50a2f13e.I" w:hAnsi="VptfcqAdvTT50a2f13e.I"/>
          <w:color w:val="131413"/>
          <w:sz w:val="20"/>
          <w:szCs w:val="20"/>
        </w:rPr>
        <w:t>worlds</w:t>
      </w:r>
      <w:r>
        <w:rPr>
          <w:rFonts w:eastAsia="Calibri" w:cs="MxkqpvAdvTT3713a231" w:ascii="MxkqpvAdvTT3713a231" w:hAnsi="MxkqpvAdvTT3713a231"/>
          <w:color w:val="131413"/>
          <w:sz w:val="20"/>
          <w:szCs w:val="20"/>
        </w:rPr>
        <w:t>, worlds in the plural, but</w:t>
      </w:r>
    </w:p>
    <w:p>
      <w:pPr>
        <w:pStyle w:val="Normal"/>
        <w:spacing w:before="0" w:after="0"/>
        <w:contextualSpacing/>
        <w:jc w:val="left"/>
        <w:rPr/>
      </w:pPr>
      <w:r>
        <w:rPr>
          <w:rFonts w:eastAsia="Calibri" w:cs="MxkqpvAdvTT3713a231" w:ascii="MxkqpvAdvTT3713a231" w:hAnsi="MxkqpvAdvTT3713a231"/>
          <w:color w:val="131413"/>
          <w:sz w:val="20"/>
          <w:szCs w:val="20"/>
        </w:rPr>
        <w:t xml:space="preserve">simply falls short in delivering a plausible </w:t>
      </w:r>
      <w:r>
        <w:rPr>
          <w:rFonts w:eastAsia="Calibri" w:cs="VptfcqAdvTT50a2f13e.I" w:ascii="VptfcqAdvTT50a2f13e.I" w:hAnsi="VptfcqAdvTT50a2f13e.I"/>
          <w:color w:val="131413"/>
          <w:sz w:val="20"/>
          <w:szCs w:val="20"/>
        </w:rPr>
        <w:t xml:space="preserve">ontological </w:t>
      </w:r>
      <w:r>
        <w:rPr>
          <w:rFonts w:eastAsia="Calibri" w:cs="MxkqpvAdvTT3713a231" w:ascii="MxkqpvAdvTT3713a231" w:hAnsi="MxkqpvAdvTT3713a231"/>
          <w:color w:val="131413"/>
          <w:sz w:val="20"/>
          <w:szCs w:val="20"/>
        </w:rPr>
        <w:t>account of these worlds. Some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might think this is a good thing, I will show in the next section however the very</w:t>
      </w:r>
    </w:p>
    <w:p>
      <w:pPr>
        <w:pStyle w:val="Normal"/>
        <w:spacing w:before="0" w:after="0"/>
        <w:ind w:left="0" w:right="0" w:firstLine="72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opposite. (872)</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We have already seen above, at various points throughout articulating and defending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its distinctive account of agency, that enactivism has tended to epistemologize ontology.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This inadvertent epistemologization of ontology can now be seen as the first true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manifestation of a tacit commitment to epistemic perspectivalism. This is because,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while explicitly making ontological claims, it clearly remains strictly within an epistemic</w:t>
      </w:r>
    </w:p>
    <w:p>
      <w:pPr>
        <w:pStyle w:val="Normal"/>
        <w:spacing w:before="0" w:after="0"/>
        <w:contextualSpacing/>
        <w:jc w:val="left"/>
        <w:rPr/>
      </w:pPr>
      <w:r>
        <w:rPr>
          <w:rFonts w:eastAsia="Calibri" w:cs="MxkqpvAdvTT3713a231" w:ascii="MxkqpvAdvTT3713a231" w:hAnsi="MxkqpvAdvTT3713a231"/>
          <w:color w:val="131413"/>
          <w:sz w:val="20"/>
          <w:szCs w:val="20"/>
        </w:rPr>
        <w:t xml:space="preserve">register. This appears to be motivated by, at least </w:t>
      </w:r>
      <w:r>
        <w:rPr>
          <w:rFonts w:eastAsia="Calibri" w:cs="VptfcqAdvTT50a2f13e.I" w:ascii="VptfcqAdvTT50a2f13e.I" w:hAnsi="VptfcqAdvTT50a2f13e.I"/>
          <w:color w:val="131413"/>
          <w:sz w:val="20"/>
          <w:szCs w:val="20"/>
        </w:rPr>
        <w:t>prima facie</w:t>
      </w:r>
      <w:r>
        <w:rPr>
          <w:rFonts w:eastAsia="Calibri" w:cs="MxkqpvAdvTT3713a231" w:ascii="MxkqpvAdvTT3713a231" w:hAnsi="MxkqpvAdvTT3713a231"/>
          <w:color w:val="131413"/>
          <w:sz w:val="20"/>
          <w:szCs w:val="20"/>
        </w:rPr>
        <w:t>, a post-Kantian</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conviction that we can never really </w:t>
      </w:r>
      <w:r>
        <w:rPr>
          <w:rFonts w:eastAsia="Calibri" w:cs="VptfcqAdvTT50a2f13e.I" w:ascii="VptfcqAdvTT50a2f13e.I" w:hAnsi="VptfcqAdvTT50a2f13e.I"/>
          <w:color w:val="131413"/>
          <w:sz w:val="20"/>
          <w:szCs w:val="20"/>
        </w:rPr>
        <w:t xml:space="preserve">know </w:t>
      </w:r>
      <w:r>
        <w:rPr>
          <w:rFonts w:eastAsia="Calibri" w:cs="MxkqpvAdvTT3713a231" w:ascii="MxkqpvAdvTT3713a231" w:hAnsi="MxkqpvAdvTT3713a231"/>
          <w:color w:val="131413"/>
          <w:sz w:val="20"/>
          <w:szCs w:val="20"/>
        </w:rPr>
        <w:t>the world-</w:t>
      </w:r>
      <w:r>
        <w:rPr>
          <w:rFonts w:eastAsia="Calibri" w:cs="VptfcqAdvTT50a2f13e.I" w:ascii="VptfcqAdvTT50a2f13e.I" w:hAnsi="VptfcqAdvTT50a2f13e.I"/>
          <w:color w:val="131413"/>
          <w:sz w:val="20"/>
          <w:szCs w:val="20"/>
        </w:rPr>
        <w:t xml:space="preserve">in-itself </w:t>
      </w:r>
      <w:r>
        <w:rPr>
          <w:rFonts w:eastAsia="Calibri" w:cs="MxkqpvAdvTT3713a231" w:ascii="MxkqpvAdvTT3713a231" w:hAnsi="MxkqpvAdvTT3713a231"/>
          <w:color w:val="131413"/>
          <w:sz w:val="20"/>
          <w:szCs w:val="20"/>
        </w:rPr>
        <w:t xml:space="preserve">but only have access to </w:t>
      </w:r>
      <w:r>
        <w:rPr>
          <w:rFonts w:eastAsia="Calibri" w:cs="VptfcqAdvTT50a2f13e.I" w:ascii="VptfcqAdvTT50a2f13e.I" w:hAnsi="VptfcqAdvTT50a2f13e.I"/>
          <w:color w:val="131413"/>
          <w:sz w:val="20"/>
          <w:szCs w:val="20"/>
        </w:rPr>
        <w:t>our</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own experiences </w:t>
      </w:r>
      <w:r>
        <w:rPr>
          <w:rFonts w:eastAsia="Calibri" w:cs="MxkqpvAdvTT3713a231" w:ascii="MxkqpvAdvTT3713a231" w:hAnsi="MxkqpvAdvTT3713a231"/>
          <w:color w:val="131413"/>
          <w:sz w:val="20"/>
          <w:szCs w:val="20"/>
        </w:rPr>
        <w:t xml:space="preserve">which are themselves already formed by </w:t>
      </w:r>
      <w:r>
        <w:rPr>
          <w:rFonts w:eastAsia="Calibri" w:cs="VptfcqAdvTT50a2f13e.I" w:ascii="VptfcqAdvTT50a2f13e.I" w:hAnsi="VptfcqAdvTT50a2f13e.I"/>
          <w:color w:val="131413"/>
          <w:sz w:val="20"/>
          <w:szCs w:val="20"/>
        </w:rPr>
        <w:t xml:space="preserve">human categories </w:t>
      </w:r>
      <w:r>
        <w:rPr>
          <w:rFonts w:eastAsia="Calibri" w:cs="MxkqpvAdvTT3713a231" w:ascii="MxkqpvAdvTT3713a231" w:hAnsi="MxkqpvAdvTT3713a231"/>
          <w:color w:val="131413"/>
          <w:sz w:val="20"/>
          <w:szCs w:val="20"/>
        </w:rPr>
        <w:t>(Ferraris</w:t>
      </w:r>
    </w:p>
    <w:p>
      <w:pPr>
        <w:pStyle w:val="Normal"/>
        <w:spacing w:before="0" w:after="0"/>
        <w:contextualSpacing/>
        <w:jc w:val="left"/>
        <w:rPr/>
      </w:pPr>
      <w:r>
        <w:rPr>
          <w:rFonts w:eastAsia="Calibri" w:cs="MxkqpvAdvTT3713a231" w:ascii="MxkqpvAdvTT3713a231" w:hAnsi="MxkqpvAdvTT3713a231"/>
          <w:color w:val="0000FF"/>
          <w:sz w:val="20"/>
          <w:szCs w:val="20"/>
        </w:rPr>
        <w:t>2014</w:t>
      </w:r>
      <w:r>
        <w:rPr>
          <w:rFonts w:eastAsia="Calibri" w:cs="MxkqpvAdvTT3713a231" w:ascii="MxkqpvAdvTT3713a231" w:hAnsi="MxkqpvAdvTT3713a231"/>
          <w:color w:val="131413"/>
          <w:sz w:val="20"/>
          <w:szCs w:val="20"/>
        </w:rPr>
        <w:t>). The enactive conception of a brought forth world is clearly underpinned by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something very close to this rough schematisation of organismic relatedness to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 This however places both our understanding of organisms and organismic</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relatedness to the world on a primarily epistemic footing. But, if one wants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successfully argue that there is </w:t>
      </w:r>
      <w:r>
        <w:rPr>
          <w:rFonts w:eastAsia="Calibri" w:cs="VptfcqAdvTT50a2f13e.I" w:ascii="VptfcqAdvTT50a2f13e.I" w:hAnsi="VptfcqAdvTT50a2f13e.I"/>
          <w:color w:val="131413"/>
          <w:sz w:val="20"/>
          <w:szCs w:val="20"/>
        </w:rPr>
        <w:t xml:space="preserve">ontologically </w:t>
      </w:r>
      <w:r>
        <w:rPr>
          <w:rFonts w:eastAsia="Calibri" w:cs="MxkqpvAdvTT3713a231" w:ascii="MxkqpvAdvTT3713a231" w:hAnsi="MxkqpvAdvTT3713a231"/>
          <w:color w:val="131413"/>
          <w:sz w:val="20"/>
          <w:szCs w:val="20"/>
        </w:rPr>
        <w:t>no pregiven world only multiple worlds</w:t>
      </w:r>
      <w:r>
        <w:rPr>
          <w:rFonts w:eastAsia="Calibri" w:cs="VptfcqAdvTT50a2f13e.I" w:ascii="VptfcqAdvTT50a2f13e.I" w:hAnsi="VptfcqAdvTT50a2f13e.I"/>
          <w:color w:val="131413"/>
          <w:sz w:val="20"/>
          <w:szCs w:val="20"/>
        </w:rPr>
        <w: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then one must aim to overcome this post-Kantian intuition. As our discussion above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strongly suggests, in this particular context at least, enactivism simply fails to successfully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shift the focus away from knowledge of the world to the materiality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 xml:space="preserve">composition of the world itself.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crucial point then is that enactivism cannot adequately address ontological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questions - what is this world that is brought forth? - through strictly epistemic means.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insofar as it does this it inevitably plunges head-deep into perspectivalist waters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cannot avoid the conclusion that the world remains pregiven after all. Thus, even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though it strongly rejects the notion of a pregiven world it does not and arguably cannot overcome it. And the main reason for this is clear: by proposing a history of viable</w:t>
      </w:r>
    </w:p>
    <w:p>
      <w:pPr>
        <w:pStyle w:val="Normal"/>
        <w:spacing w:before="0" w:after="0"/>
        <w:contextualSpacing/>
        <w:jc w:val="left"/>
        <w:rPr/>
      </w:pPr>
      <w:r>
        <w:rPr>
          <w:rFonts w:eastAsia="Calibri" w:cs="MxkqpvAdvTT3713a231" w:ascii="MxkqpvAdvTT3713a231" w:hAnsi="MxkqpvAdvTT3713a231"/>
          <w:color w:val="131413"/>
          <w:sz w:val="20"/>
          <w:szCs w:val="20"/>
        </w:rPr>
        <w:t xml:space="preserve">structural coupling as the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mechanism</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responsible for the creation of unique ontologically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multiple worlds it does so in the guise of a thoroughly epistemologized ontology.</w:t>
      </w:r>
    </w:p>
    <w:p>
      <w:pPr>
        <w:pStyle w:val="Normal"/>
        <w:spacing w:before="0" w:after="0"/>
        <w:contextualSpacing/>
        <w:jc w:val="left"/>
        <w:rPr/>
      </w:pPr>
      <w:r>
        <w:rPr>
          <w:rFonts w:eastAsia="Calibri" w:cs="MxkqpvAdvTT3713a231" w:ascii="MxkqpvAdvTT3713a231" w:hAnsi="MxkqpvAdvTT3713a231"/>
          <w:color w:val="131413"/>
          <w:sz w:val="20"/>
          <w:szCs w:val="20"/>
        </w:rPr>
        <w:t>It conflates an organism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perspective on the world - knowledge/experience of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 - with the world itself. But this in no way guarantees, nor can it, that the world is</w:t>
      </w:r>
    </w:p>
    <w:p>
      <w:pPr>
        <w:pStyle w:val="Normal"/>
        <w:spacing w:before="0" w:after="0"/>
        <w:ind w:left="0" w:right="0" w:firstLine="72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not pregiven. (873-4)</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Before pursuing this point any further let us pause here to take note of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contradiction which has emerged for the enactive account. In a nutshell, not only 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enactivism unable to convincingly justify its own rejection of a fixed pregiven world, it</w:t>
      </w:r>
    </w:p>
    <w:p>
      <w:pPr>
        <w:pStyle w:val="Normal"/>
        <w:spacing w:before="0" w:after="0"/>
        <w:contextualSpacing/>
        <w:jc w:val="left"/>
        <w:rPr/>
      </w:pPr>
      <w:r>
        <w:rPr>
          <w:rFonts w:eastAsia="Calibri" w:cs="MxkqpvAdvTT3713a231" w:ascii="MxkqpvAdvTT3713a231" w:hAnsi="MxkqpvAdvTT3713a231"/>
          <w:color w:val="131413"/>
          <w:sz w:val="20"/>
          <w:szCs w:val="20"/>
        </w:rPr>
        <w:t>consequently gets saddled with the very idea it is trying to reject.</w:t>
      </w:r>
      <w:r>
        <w:rPr>
          <w:rFonts w:eastAsia="Calibri" w:cs="MxkqpvAdvTT3713a231" w:ascii="MxkqpvAdvTT3713a231" w:hAnsi="MxkqpvAdvTT3713a231"/>
          <w:color w:val="131413"/>
          <w:sz w:val="13"/>
          <w:szCs w:val="13"/>
        </w:rPr>
        <w:t xml:space="preserve">7 </w:t>
      </w:r>
      <w:r>
        <w:rPr>
          <w:rFonts w:eastAsia="Calibri" w:cs="MxkqpvAdvTT3713a231" w:ascii="MxkqpvAdvTT3713a231" w:hAnsi="MxkqpvAdvTT3713a231"/>
          <w:color w:val="131413"/>
          <w:sz w:val="20"/>
          <w:szCs w:val="20"/>
        </w:rPr>
        <w:t>This is in turn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confounded, reinforced and exemplified by the fact that it not only takes organisms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themselves to have perspectives on the world but also uncritically regards its own</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concepts and ideas as merely </w:t>
      </w:r>
      <w:r>
        <w:rPr>
          <w:rFonts w:eastAsia="Calibri" w:cs="VptfcqAdvTT50a2f13e.I" w:ascii="VptfcqAdvTT50a2f13e.I" w:hAnsi="VptfcqAdvTT50a2f13e.I"/>
          <w:color w:val="131413"/>
          <w:sz w:val="20"/>
          <w:szCs w:val="20"/>
        </w:rPr>
        <w:t xml:space="preserve">epistemic representations of the world. </w:t>
      </w:r>
      <w:r>
        <w:rPr>
          <w:rFonts w:eastAsia="Calibri" w:cs="MxkqpvAdvTT3713a231" w:ascii="MxkqpvAdvTT3713a231" w:hAnsi="MxkqpvAdvTT3713a231"/>
          <w:color w:val="131413"/>
          <w:sz w:val="20"/>
          <w:szCs w:val="20"/>
        </w:rPr>
        <w:t>Thus as things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stand enactivism neither satisfactorily justifies its contention that there is no pregiven</w:t>
      </w:r>
    </w:p>
    <w:p>
      <w:pPr>
        <w:pStyle w:val="Normal"/>
        <w:spacing w:before="0" w:after="0"/>
        <w:contextualSpacing/>
        <w:jc w:val="left"/>
        <w:rPr/>
      </w:pPr>
      <w:r>
        <w:rPr>
          <w:rFonts w:eastAsia="Calibri" w:cs="MxkqpvAdvTT3713a231" w:ascii="MxkqpvAdvTT3713a231" w:hAnsi="MxkqpvAdvTT3713a231"/>
          <w:color w:val="131413"/>
          <w:sz w:val="20"/>
          <w:szCs w:val="20"/>
        </w:rPr>
        <w:t xml:space="preserve">world </w:t>
      </w:r>
      <w:r>
        <w:rPr>
          <w:rFonts w:eastAsia="Calibri" w:cs="VptfcqAdvTT50a2f13e.I" w:ascii="VptfcqAdvTT50a2f13e.I" w:hAnsi="VptfcqAdvTT50a2f13e.I"/>
          <w:color w:val="131413"/>
          <w:sz w:val="20"/>
          <w:szCs w:val="20"/>
        </w:rPr>
        <w:t xml:space="preserve">nor </w:t>
      </w:r>
      <w:r>
        <w:rPr>
          <w:rFonts w:eastAsia="Calibri" w:cs="MxkqpvAdvTT3713a231" w:ascii="MxkqpvAdvTT3713a231" w:hAnsi="MxkqpvAdvTT3713a231"/>
          <w:color w:val="131413"/>
          <w:sz w:val="20"/>
          <w:szCs w:val="20"/>
        </w:rPr>
        <w:t>explains how organisms brings forth worlds. Ultimately what the enactive</w:t>
      </w:r>
    </w:p>
    <w:p>
      <w:pPr>
        <w:pStyle w:val="Normal"/>
        <w:spacing w:before="0" w:after="0"/>
        <w:ind w:left="0" w:right="0" w:firstLine="72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account does is multiply perspectives - representations - rather than worlds.</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This </w:t>
      </w:r>
      <w:r>
        <w:rPr>
          <w:rFonts w:eastAsia="Calibri" w:cs="VptfcqAdvTT50a2f13e.I" w:ascii="VptfcqAdvTT50a2f13e.I" w:hAnsi="VptfcqAdvTT50a2f13e.I"/>
          <w:color w:val="131413"/>
          <w:sz w:val="20"/>
          <w:szCs w:val="20"/>
        </w:rPr>
        <w:t xml:space="preserve">representationalism </w:t>
      </w:r>
      <w:r>
        <w:rPr>
          <w:rFonts w:eastAsia="Calibri" w:cs="MxkqpvAdvTT3713a231" w:ascii="MxkqpvAdvTT3713a231" w:hAnsi="MxkqpvAdvTT3713a231"/>
          <w:color w:val="131413"/>
          <w:sz w:val="20"/>
          <w:szCs w:val="20"/>
        </w:rPr>
        <w:t>however makes it rather difficult, if not impossible,</w:t>
      </w:r>
    </w:p>
    <w:p>
      <w:pPr>
        <w:pStyle w:val="Normal"/>
        <w:spacing w:before="0" w:after="0"/>
        <w:contextualSpacing/>
        <w:jc w:val="left"/>
        <w:rPr/>
      </w:pPr>
      <w:r>
        <w:rPr>
          <w:rFonts w:eastAsia="Calibri" w:cs="MxkqpvAdvTT3713a231" w:ascii="MxkqpvAdvTT3713a231" w:hAnsi="MxkqpvAdvTT3713a231"/>
          <w:color w:val="131413"/>
          <w:sz w:val="20"/>
          <w:szCs w:val="20"/>
        </w:rPr>
        <w:t xml:space="preserve">for enactivism to adequately account for the unique </w:t>
      </w:r>
      <w:r>
        <w:rPr>
          <w:rFonts w:eastAsia="Calibri" w:cs="VptfcqAdvTT50a2f13e.I" w:ascii="VptfcqAdvTT50a2f13e.I" w:hAnsi="VptfcqAdvTT50a2f13e.I"/>
          <w:color w:val="131413"/>
          <w:sz w:val="20"/>
          <w:szCs w:val="20"/>
        </w:rPr>
        <w:t>ontological liveliness, agency</w:t>
      </w:r>
    </w:p>
    <w:p>
      <w:pPr>
        <w:pStyle w:val="Normal"/>
        <w:spacing w:before="0" w:after="0"/>
        <w:ind w:left="0" w:right="0" w:firstLine="720"/>
        <w:contextualSpacing/>
        <w:jc w:val="left"/>
        <w:rPr/>
      </w:pPr>
      <w:r>
        <w:rPr>
          <w:rFonts w:eastAsia="Calibri" w:cs="VptfcqAdvTT50a2f13e.I" w:ascii="VptfcqAdvTT50a2f13e.I" w:hAnsi="VptfcqAdvTT50a2f13e.I"/>
          <w:color w:val="131413"/>
          <w:sz w:val="20"/>
          <w:szCs w:val="20"/>
        </w:rPr>
        <w:t>and material worlds of nonhuman organisms.</w:t>
      </w:r>
      <w:r>
        <w:rPr>
          <w:rFonts w:eastAsia="Calibri" w:cs="MxkqpvAdvTT3713a231" w:ascii="MxkqpvAdvTT3713a231" w:hAnsi="MxkqpvAdvTT3713a231"/>
          <w:color w:val="131413"/>
          <w:sz w:val="20"/>
          <w:szCs w:val="20"/>
        </w:rPr>
        <w:t xml:space="preserve"> (874)</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b/>
          <w:b/>
          <w:color w:val="FF0000"/>
          <w:sz w:val="20"/>
          <w:szCs w:val="20"/>
        </w:rPr>
      </w:pPr>
      <w:r>
        <w:rPr>
          <w:rFonts w:eastAsia="Calibri" w:cs="MxkqpvAdvTT3713a231" w:ascii="MxkqpvAdvTT3713a231" w:hAnsi="MxkqpvAdvTT3713a231"/>
          <w:b/>
          <w:color w:val="FF0000"/>
          <w:sz w:val="20"/>
          <w:szCs w:val="20"/>
        </w:rPr>
        <w:t>[is it not VERY CLEAR the UNBELIEVABLE similarities between my EDWs and these ideas?????]</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problem with this type of representationalism is, in a nutshell, that it effectively</w:t>
      </w:r>
    </w:p>
    <w:p>
      <w:pPr>
        <w:pStyle w:val="Normal"/>
        <w:spacing w:before="0" w:after="0"/>
        <w:contextualSpacing/>
        <w:jc w:val="left"/>
        <w:rPr/>
      </w:pPr>
      <w:r>
        <w:rPr>
          <w:rFonts w:eastAsia="Calibri" w:cs="MxkqpvAdvTT3713a231" w:ascii="MxkqpvAdvTT3713a231" w:hAnsi="MxkqpvAdvTT3713a231"/>
          <w:color w:val="131413"/>
          <w:sz w:val="20"/>
          <w:szCs w:val="20"/>
        </w:rPr>
        <w:t xml:space="preserve">renders </w:t>
      </w:r>
      <w:r>
        <w:rPr>
          <w:rFonts w:eastAsia="Calibri" w:cs="VptfcqAdvTT50a2f13e.I" w:ascii="VptfcqAdvTT50a2f13e.I" w:hAnsi="VptfcqAdvTT50a2f13e.I"/>
          <w:color w:val="131413"/>
          <w:sz w:val="20"/>
          <w:szCs w:val="20"/>
        </w:rPr>
        <w:t>material realities not only singular but also inaccessible</w:t>
      </w:r>
      <w:r>
        <w:rPr>
          <w:rFonts w:eastAsia="Calibri" w:cs="MxkqpvAdvTT3713a231" w:ascii="MxkqpvAdvTT3713a231" w:hAnsi="MxkqpvAdvTT3713a231"/>
          <w:color w:val="131413"/>
          <w:sz w:val="20"/>
          <w:szCs w:val="20"/>
        </w:rPr>
        <w:t>. it impedes us and all</w:t>
      </w:r>
    </w:p>
    <w:p>
      <w:pPr>
        <w:pStyle w:val="Normal"/>
        <w:spacing w:before="0" w:after="0"/>
        <w:contextualSpacing/>
        <w:jc w:val="left"/>
        <w:rPr/>
      </w:pPr>
      <w:r>
        <w:rPr>
          <w:rFonts w:eastAsia="Calibri" w:cs="MxkqpvAdvTT3713a231" w:ascii="MxkqpvAdvTT3713a231" w:hAnsi="MxkqpvAdvTT3713a231"/>
          <w:color w:val="131413"/>
          <w:sz w:val="20"/>
          <w:szCs w:val="20"/>
        </w:rPr>
        <w:t>living organisms</w:t>
      </w:r>
      <w:r>
        <w:rPr>
          <w:rFonts w:eastAsia="Calibri" w:cs="MxkqpvAdvTT3713a231" w:ascii="MxkqpvAdvTT3713a231" w:hAnsi="MxkqpvAdvTT3713a231"/>
          <w:color w:val="131413"/>
          <w:sz w:val="13"/>
          <w:szCs w:val="13"/>
        </w:rPr>
        <w:t xml:space="preserve">9 </w:t>
      </w:r>
      <w:r>
        <w:rPr>
          <w:rFonts w:eastAsia="Calibri" w:cs="MxkqpvAdvTT3713a231" w:ascii="MxkqpvAdvTT3713a231" w:hAnsi="MxkqpvAdvTT3713a231"/>
          <w:color w:val="131413"/>
          <w:sz w:val="20"/>
          <w:szCs w:val="20"/>
        </w:rPr>
        <w:t>from dealing with the material world directly and allows us access</w:t>
      </w:r>
    </w:p>
    <w:p>
      <w:pPr>
        <w:pStyle w:val="Normal"/>
        <w:spacing w:before="0" w:after="0"/>
        <w:contextualSpacing/>
        <w:jc w:val="left"/>
        <w:rPr/>
      </w:pPr>
      <w:r>
        <w:rPr>
          <w:rFonts w:eastAsia="Calibri" w:cs="MxkqpvAdvTT3713a231" w:ascii="MxkqpvAdvTT3713a231" w:hAnsi="MxkqpvAdvTT3713a231"/>
          <w:color w:val="131413"/>
          <w:sz w:val="20"/>
          <w:szCs w:val="20"/>
        </w:rPr>
        <w:t xml:space="preserve">only to multiple representations of the world (Barad </w:t>
      </w:r>
      <w:r>
        <w:rPr>
          <w:rFonts w:eastAsia="Calibri" w:cs="MxkqpvAdvTT3713a231" w:ascii="MxkqpvAdvTT3713a231" w:hAnsi="MxkqpvAdvTT3713a231"/>
          <w:color w:val="0000FF"/>
          <w:sz w:val="20"/>
          <w:szCs w:val="20"/>
        </w:rPr>
        <w:t>2007</w:t>
      </w:r>
      <w:r>
        <w:rPr>
          <w:rFonts w:eastAsia="Calibri" w:cs="MxkqpvAdvTT3713a231" w:ascii="MxkqpvAdvTT3713a231" w:hAnsi="MxkqpvAdvTT3713a231"/>
          <w:color w:val="131413"/>
          <w:sz w:val="20"/>
          <w:szCs w:val="20"/>
        </w:rPr>
        <w:t>). Agents and objects are 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process turned into mere shadows of themselves. As Bruno Latour points out,</w:t>
      </w:r>
    </w:p>
    <w:p>
      <w:pPr>
        <w:pStyle w:val="Normal"/>
        <w:spacing w:before="0" w:after="0"/>
        <w:contextualSpacing/>
        <w:jc w:val="left"/>
        <w:rPr/>
      </w:pPr>
      <w:r>
        <w:rPr>
          <w:rFonts w:eastAsia="Calibri" w:cs="MxkqpvAdvTT3713a231" w:ascii="MxkqpvAdvTT3713a231" w:hAnsi="MxkqpvAdvTT3713a231"/>
          <w:color w:val="131413"/>
          <w:sz w:val="20"/>
          <w:szCs w:val="20"/>
        </w:rPr>
        <w:t xml:space="preserve">anyone committed to this type of representationalism inevitably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risk[s] falling back on</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 idea that there is, on one side, that which exists, and, on the other,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representations</w:t>
      </w:r>
      <w:r>
        <w:rPr>
          <w:rFonts w:eastAsia="Calibri" w:cs="RhkwgmAdvP0005" w:ascii="RhkwgmAdvP0005" w:hAnsi="RhkwgmAdvP0005"/>
          <w:color w:val="131413"/>
          <w:sz w:val="20"/>
          <w:szCs w:val="20"/>
        </w:rPr>
        <w: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of that which exists. In this view, existence would always be a unity; representations</w:t>
      </w:r>
    </w:p>
    <w:p>
      <w:pPr>
        <w:pStyle w:val="Normal"/>
        <w:spacing w:before="0" w:after="0"/>
        <w:contextualSpacing/>
        <w:jc w:val="left"/>
        <w:rPr/>
      </w:pPr>
      <w:r>
        <w:rPr>
          <w:rFonts w:eastAsia="Calibri" w:cs="MxkqpvAdvTT3713a231" w:ascii="MxkqpvAdvTT3713a231" w:hAnsi="MxkqpvAdvTT3713a231"/>
          <w:color w:val="131413"/>
          <w:sz w:val="20"/>
          <w:szCs w:val="20"/>
        </w:rPr>
        <w:t>alone would be multiple</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 xml:space="preserve">(Latour </w:t>
      </w:r>
      <w:r>
        <w:rPr>
          <w:rFonts w:eastAsia="Calibri" w:cs="MxkqpvAdvTT3713a231" w:ascii="MxkqpvAdvTT3713a231" w:hAnsi="MxkqpvAdvTT3713a231"/>
          <w:color w:val="0000FF"/>
          <w:sz w:val="20"/>
          <w:szCs w:val="20"/>
        </w:rPr>
        <w:t>2013</w:t>
      </w:r>
      <w:r>
        <w:rPr>
          <w:rFonts w:eastAsia="Calibri" w:cs="MxkqpvAdvTT3713a231" w:ascii="MxkqpvAdvTT3713a231" w:hAnsi="MxkqpvAdvTT3713a231"/>
          <w:color w:val="131413"/>
          <w:sz w:val="20"/>
          <w:szCs w:val="20"/>
        </w:rPr>
        <w:t>, p. 234).</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Even though organisms are regarded as lively sense-making entities with an intrinsic</w:t>
      </w:r>
    </w:p>
    <w:p>
      <w:pPr>
        <w:pStyle w:val="Normal"/>
        <w:spacing w:before="0" w:after="0"/>
        <w:contextualSpacing/>
        <w:jc w:val="left"/>
        <w:rPr/>
      </w:pPr>
      <w:r>
        <w:rPr>
          <w:rFonts w:eastAsia="Calibri" w:cs="MxkqpvAdvTT3713a231" w:ascii="MxkqpvAdvTT3713a231" w:hAnsi="MxkqpvAdvTT3713a231"/>
          <w:color w:val="131413"/>
          <w:sz w:val="20"/>
          <w:szCs w:val="20"/>
        </w:rPr>
        <w:t xml:space="preserve">teleology, self-generated values, purposes etc, they are nevertheless only </w:t>
      </w:r>
      <w:r>
        <w:rPr>
          <w:rFonts w:eastAsia="Calibri" w:cs="VptfcqAdvTT50a2f13e.I" w:ascii="VptfcqAdvTT50a2f13e.I" w:hAnsi="VptfcqAdvTT50a2f13e.I"/>
          <w:color w:val="131413"/>
          <w:sz w:val="20"/>
          <w:szCs w:val="20"/>
        </w:rPr>
        <w:t>epistemically</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represented </w:t>
      </w:r>
      <w:r>
        <w:rPr>
          <w:rFonts w:eastAsia="Calibri" w:cs="MxkqpvAdvTT3713a231" w:ascii="MxkqpvAdvTT3713a231" w:hAnsi="MxkqpvAdvTT3713a231"/>
          <w:color w:val="131413"/>
          <w:sz w:val="20"/>
          <w:szCs w:val="20"/>
        </w:rPr>
        <w:t>in this manner. As such, neither organisms nor the worlds they supposedly</w:t>
      </w:r>
    </w:p>
    <w:p>
      <w:pPr>
        <w:pStyle w:val="Normal"/>
        <w:spacing w:before="0" w:after="0"/>
        <w:contextualSpacing/>
        <w:jc w:val="left"/>
        <w:rPr/>
      </w:pPr>
      <w:r>
        <w:rPr>
          <w:rFonts w:eastAsia="Calibri" w:cs="MxkqpvAdvTT3713a231" w:ascii="MxkqpvAdvTT3713a231" w:hAnsi="MxkqpvAdvTT3713a231"/>
          <w:color w:val="131413"/>
          <w:sz w:val="20"/>
          <w:szCs w:val="20"/>
        </w:rPr>
        <w:t xml:space="preserve">bring forth, despite appearance to the contrary, are accounted for </w:t>
      </w:r>
      <w:r>
        <w:rPr>
          <w:rFonts w:eastAsia="Calibri" w:cs="VptfcqAdvTT50a2f13e.I" w:ascii="VptfcqAdvTT50a2f13e.I" w:hAnsi="VptfcqAdvTT50a2f13e.I"/>
          <w:color w:val="131413"/>
          <w:sz w:val="20"/>
          <w:szCs w:val="20"/>
        </w:rPr>
        <w:t>ontologically in their</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own right </w:t>
      </w:r>
      <w:r>
        <w:rPr>
          <w:rFonts w:eastAsia="Calibri" w:cs="MxkqpvAdvTT3713a231" w:ascii="MxkqpvAdvTT3713a231" w:hAnsi="MxkqpvAdvTT3713a231"/>
          <w:color w:val="131413"/>
          <w:sz w:val="20"/>
          <w:szCs w:val="20"/>
        </w:rPr>
        <w:t>but are instead reduced to abstract epistemic phenomena. The enactive</w:t>
      </w:r>
    </w:p>
    <w:p>
      <w:pPr>
        <w:pStyle w:val="Normal"/>
        <w:spacing w:before="0" w:after="0"/>
        <w:contextualSpacing/>
        <w:jc w:val="left"/>
        <w:rPr/>
      </w:pPr>
      <w:r>
        <w:rPr>
          <w:rFonts w:eastAsia="Calibri" w:cs="MxkqpvAdvTT3713a231" w:ascii="MxkqpvAdvTT3713a231" w:hAnsi="MxkqpvAdvTT3713a231"/>
          <w:color w:val="131413"/>
          <w:sz w:val="20"/>
          <w:szCs w:val="20"/>
        </w:rPr>
        <w:t xml:space="preserve">account thus remains deeply caught up in its </w:t>
      </w:r>
      <w:r>
        <w:rPr>
          <w:rFonts w:eastAsia="Calibri" w:cs="VptfcqAdvTT50a2f13e.I" w:ascii="VptfcqAdvTT50a2f13e.I" w:hAnsi="VptfcqAdvTT50a2f13e.I"/>
          <w:color w:val="131413"/>
          <w:sz w:val="20"/>
          <w:szCs w:val="20"/>
        </w:rPr>
        <w:t>own knowledge</w:t>
      </w:r>
      <w:r>
        <w:rPr>
          <w:rFonts w:eastAsia="Calibri" w:cs="MxkqpvAdvTT3713a231" w:ascii="MxkqpvAdvTT3713a231" w:hAnsi="MxkqpvAdvTT3713a231"/>
          <w:color w:val="131413"/>
          <w:sz w:val="20"/>
          <w:szCs w:val="20"/>
        </w:rPr>
        <w:t>, its manifold representations,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of living organisms and their material worlds. While enactivism recognised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aimed to address the issue of mental representation, it completely overlooked this more</w:t>
      </w:r>
    </w:p>
    <w:p>
      <w:pPr>
        <w:pStyle w:val="Normal"/>
        <w:spacing w:before="0" w:after="0"/>
        <w:contextualSpacing/>
        <w:jc w:val="left"/>
        <w:rPr/>
      </w:pPr>
      <w:r>
        <w:rPr>
          <w:rFonts w:eastAsia="Calibri" w:cs="MxkqpvAdvTT3713a231" w:ascii="MxkqpvAdvTT3713a231" w:hAnsi="MxkqpvAdvTT3713a231"/>
          <w:color w:val="131413"/>
          <w:sz w:val="20"/>
          <w:szCs w:val="20"/>
        </w:rPr>
        <w:t>ubiquitous form of representationalism and its implications.</w:t>
      </w:r>
      <w:r>
        <w:rPr>
          <w:rFonts w:eastAsia="Calibri" w:cs="MxkqpvAdvTT3713a231" w:ascii="MxkqpvAdvTT3713a231" w:hAnsi="MxkqpvAdvTT3713a231"/>
          <w:color w:val="131413"/>
          <w:sz w:val="13"/>
          <w:szCs w:val="13"/>
        </w:rPr>
        <w:t xml:space="preserve">10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sum up, we have argued in this section that enactivism is committed to epistemic</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perspectivalism and that this leads it into two distinct but connected difficulties.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first difficulty is that it generates some internal contradictions within the framework.</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While the second difficulty relates to its underlying epistemic/representationalist nature</w:t>
      </w:r>
    </w:p>
    <w:p>
      <w:pPr>
        <w:pStyle w:val="Normal"/>
        <w:spacing w:before="0" w:after="0"/>
        <w:contextualSpacing/>
        <w:jc w:val="left"/>
        <w:rPr/>
      </w:pPr>
      <w:r>
        <w:rPr>
          <w:rFonts w:eastAsia="Calibri" w:cs="MxkqpvAdvTT3713a231" w:ascii="MxkqpvAdvTT3713a231" w:hAnsi="MxkqpvAdvTT3713a231"/>
          <w:color w:val="131413"/>
          <w:sz w:val="20"/>
          <w:szCs w:val="20"/>
        </w:rPr>
        <w:t xml:space="preserve">which makes it difficult to adequately account for the </w:t>
      </w:r>
      <w:r>
        <w:rPr>
          <w:rFonts w:eastAsia="Calibri" w:cs="VptfcqAdvTT50a2f13e.I" w:ascii="VptfcqAdvTT50a2f13e.I" w:hAnsi="VptfcqAdvTT50a2f13e.I"/>
          <w:color w:val="131413"/>
          <w:sz w:val="20"/>
          <w:szCs w:val="20"/>
        </w:rPr>
        <w:t xml:space="preserve">ontology </w:t>
      </w:r>
      <w:r>
        <w:rPr>
          <w:rFonts w:eastAsia="Calibri" w:cs="MxkqpvAdvTT3713a231" w:ascii="MxkqpvAdvTT3713a231" w:hAnsi="MxkqpvAdvTT3713a231"/>
          <w:color w:val="131413"/>
          <w:sz w:val="20"/>
          <w:szCs w:val="20"/>
        </w:rPr>
        <w:t>of organismic worlds. If</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above analysis is on the right track then enactivism not only fails to show that there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is no pregiven world but also does not deliver the multiple worlds it promised.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But how else could we avoid these tensions and account for the ontological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multiplicity or organismic worlds? In what remains of this paper I will aim 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answer this question by sketching an account that both consistently rejects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notion of a pregiven world and coherently endorses, without falling into the trap</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of perspectivalism, the strong metaphysical thesis that organisms bring forth</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worlds. (875)</w:t>
      </w:r>
    </w:p>
    <w:p>
      <w:pPr>
        <w:pStyle w:val="Normal"/>
        <w:spacing w:before="0" w:after="0"/>
        <w:contextualSpacing/>
        <w:jc w:val="left"/>
        <w:rPr>
          <w:rFonts w:ascii="MxkqpvAdvTT3713a231" w:hAnsi="MxkqpvAdvTT3713a231" w:eastAsia="Calibri" w:cs="MxkqpvAdvTT3713a231"/>
          <w:color w:val="131413"/>
          <w:sz w:val="13"/>
          <w:szCs w:val="13"/>
        </w:rPr>
      </w:pPr>
      <w:r>
        <w:rPr>
          <w:rFonts w:eastAsia="Calibri" w:cs="MxkqpvAdvTT3713a231" w:ascii="MxkqpvAdvTT3713a231" w:hAnsi="MxkqpvAdvTT3713a231"/>
          <w:color w:val="131413"/>
          <w:sz w:val="13"/>
          <w:szCs w:val="13"/>
        </w:rPr>
      </w:r>
    </w:p>
    <w:p>
      <w:pPr>
        <w:pStyle w:val="Normal"/>
        <w:spacing w:before="0" w:after="0"/>
        <w:contextualSpacing/>
        <w:jc w:val="left"/>
        <w:rPr/>
      </w:pPr>
      <w:r>
        <w:rPr>
          <w:rFonts w:eastAsia="Calibri" w:cs="MxkqpvAdvTT3713a231" w:ascii="MxkqpvAdvTT3713a231" w:hAnsi="MxkqpvAdvTT3713a231"/>
          <w:color w:val="131413"/>
          <w:sz w:val="20"/>
          <w:szCs w:val="20"/>
        </w:rPr>
        <w:t>In so doing BE explicitly distances itself from enactivism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reliance on Hans Jonas</w:t>
      </w:r>
    </w:p>
    <w:p>
      <w:pPr>
        <w:pStyle w:val="Normal"/>
        <w:spacing w:before="0" w:after="0"/>
        <w:contextualSpacing/>
        <w:jc w:val="left"/>
        <w:rPr/>
      </w:pPr>
      <w:r>
        <w:rPr>
          <w:rFonts w:eastAsia="Calibri" w:cs="MxkqpvAdvTT3713a231" w:ascii="MxkqpvAdvTT3713a231" w:hAnsi="MxkqpvAdvTT3713a231"/>
          <w:color w:val="131413"/>
          <w:sz w:val="20"/>
          <w:szCs w:val="20"/>
        </w:rPr>
        <w:t>and suggests in its place, following Morten Tønnessen (</w:t>
      </w:r>
      <w:r>
        <w:rPr>
          <w:rFonts w:eastAsia="Calibri" w:cs="MxkqpvAdvTT3713a231" w:ascii="MxkqpvAdvTT3713a231" w:hAnsi="MxkqpvAdvTT3713a231"/>
          <w:color w:val="0000FF"/>
          <w:sz w:val="20"/>
          <w:szCs w:val="20"/>
        </w:rPr>
        <w:t>2011</w:t>
      </w:r>
      <w:r>
        <w:rPr>
          <w:rFonts w:eastAsia="Calibri" w:cs="MxkqpvAdvTT3713a231" w:ascii="MxkqpvAdvTT3713a231" w:hAnsi="MxkqpvAdvTT3713a231"/>
          <w:color w:val="131413"/>
          <w:sz w:val="20"/>
          <w:szCs w:val="20"/>
        </w:rPr>
        <w:t xml:space="preserve">), a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Uexküllian</w:t>
      </w:r>
    </w:p>
    <w:p>
      <w:pPr>
        <w:pStyle w:val="Normal"/>
        <w:spacing w:before="0" w:after="0"/>
        <w:contextualSpacing/>
        <w:jc w:val="left"/>
        <w:rPr/>
      </w:pPr>
      <w:r>
        <w:rPr>
          <w:rFonts w:eastAsia="Calibri" w:cs="MxkqpvAdvTT3713a231" w:ascii="MxkqpvAdvTT3713a231" w:hAnsi="MxkqpvAdvTT3713a231"/>
          <w:color w:val="131413"/>
          <w:sz w:val="20"/>
          <w:szCs w:val="20"/>
        </w:rPr>
        <w:t>phenomenology</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xml:space="preserve">. Which,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is loyal not to Uexküll thought in detail but to the essential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finding that nature is constituted by the intricate relations of all living creatures, which</w:t>
      </w:r>
    </w:p>
    <w:p>
      <w:pPr>
        <w:pStyle w:val="Normal"/>
        <w:spacing w:before="0" w:after="0"/>
        <w:contextualSpacing/>
        <w:jc w:val="left"/>
        <w:rPr/>
      </w:pPr>
      <w:r>
        <w:rPr>
          <w:rFonts w:eastAsia="Calibri" w:cs="MxkqpvAdvTT3713a231" w:ascii="MxkqpvAdvTT3713a231" w:hAnsi="MxkqpvAdvTT3713a231"/>
          <w:color w:val="131413"/>
          <w:sz w:val="20"/>
          <w:szCs w:val="20"/>
        </w:rPr>
        <w:t>are all subjects of the phenomenal world at large</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 xml:space="preserve">(Tønnessen </w:t>
      </w:r>
      <w:r>
        <w:rPr>
          <w:rFonts w:eastAsia="Calibri" w:cs="MxkqpvAdvTT3713a231" w:ascii="MxkqpvAdvTT3713a231" w:hAnsi="MxkqpvAdvTT3713a231"/>
          <w:color w:val="0000FF"/>
          <w:sz w:val="20"/>
          <w:szCs w:val="20"/>
        </w:rPr>
        <w:t>2011</w:t>
      </w:r>
      <w:r>
        <w:rPr>
          <w:rFonts w:eastAsia="Calibri" w:cs="MxkqpvAdvTT3713a231" w:ascii="MxkqpvAdvTT3713a231" w:hAnsi="MxkqpvAdvTT3713a231"/>
          <w:color w:val="131413"/>
          <w:sz w:val="20"/>
          <w:szCs w:val="20"/>
        </w:rPr>
        <w:t>, p. 331). These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relations are in turn conceived as bio-semiotic processes involving, at its most foundational-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level, iconic (similarity-based) or/and indexical (causal) and at its most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developed-level symbolic (conventional) signs. Signs here are not to be confused with</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concepts, mental representations or fixed pregiven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things</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in the world, but as that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which constitutes the relational basis of organismic engagement with their worlds (De</w:t>
      </w:r>
    </w:p>
    <w:p>
      <w:pPr>
        <w:pStyle w:val="Normal"/>
        <w:spacing w:before="0" w:after="0"/>
        <w:contextualSpacing/>
        <w:jc w:val="left"/>
        <w:rPr/>
      </w:pPr>
      <w:r>
        <w:rPr>
          <w:rFonts w:eastAsia="Calibri" w:cs="MxkqpvAdvTT3713a231" w:ascii="MxkqpvAdvTT3713a231" w:hAnsi="MxkqpvAdvTT3713a231"/>
          <w:color w:val="131413"/>
          <w:sz w:val="20"/>
          <w:szCs w:val="20"/>
        </w:rPr>
        <w:t xml:space="preserve">Jesus </w:t>
      </w:r>
      <w:r>
        <w:rPr>
          <w:rFonts w:eastAsia="Calibri" w:cs="MxkqpvAdvTT3713a231" w:ascii="MxkqpvAdvTT3713a231" w:hAnsi="MxkqpvAdvTT3713a231"/>
          <w:color w:val="0000FF"/>
          <w:sz w:val="20"/>
          <w:szCs w:val="20"/>
        </w:rPr>
        <w:t>2016b</w:t>
      </w:r>
      <w:r>
        <w:rPr>
          <w:rFonts w:eastAsia="Calibri" w:cs="MxkqpvAdvTT3713a231" w:ascii="MxkqpvAdvTT3713a231" w:hAnsi="MxkqpvAdvTT3713a231"/>
          <w:color w:val="131413"/>
          <w:sz w:val="20"/>
          <w:szCs w:val="20"/>
        </w:rPr>
        <w:t xml:space="preserve">, Hoffmeyer </w:t>
      </w:r>
      <w:r>
        <w:rPr>
          <w:rFonts w:eastAsia="Calibri" w:cs="MxkqpvAdvTT3713a231" w:ascii="MxkqpvAdvTT3713a231" w:hAnsi="MxkqpvAdvTT3713a231"/>
          <w:color w:val="0000FF"/>
          <w:sz w:val="20"/>
          <w:szCs w:val="20"/>
        </w:rPr>
        <w:t>2012</w:t>
      </w:r>
      <w:r>
        <w:rPr>
          <w:rFonts w:eastAsia="Calibri" w:cs="MxkqpvAdvTT3713a231" w:ascii="MxkqpvAdvTT3713a231" w:hAnsi="MxkqpvAdvTT3713a231"/>
          <w:color w:val="131413"/>
          <w:sz w:val="20"/>
          <w:szCs w:val="20"/>
        </w:rPr>
        <w:t>). This allows De Jesus to propose that living organisms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should be considered in terms of hierarchically structured processes of progressive</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complexification, from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basic</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 xml:space="preserve">single cell organisms to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complex</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multicellular animals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such as humans, on the basis of the different signs these organisms are capable of</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 xml:space="preserve">using and creating. </w:t>
      </w:r>
    </w:p>
    <w:p>
      <w:pPr>
        <w:pStyle w:val="Normal"/>
        <w:spacing w:before="0" w:after="0"/>
        <w:contextualSpacing/>
        <w:jc w:val="left"/>
        <w:rPr/>
      </w:pPr>
      <w:r>
        <w:rPr>
          <w:rFonts w:eastAsia="Calibri" w:cs="MxkqpvAdvTT3713a231" w:ascii="MxkqpvAdvTT3713a231" w:hAnsi="MxkqpvAdvTT3713a231"/>
          <w:color w:val="131413"/>
          <w:sz w:val="20"/>
          <w:szCs w:val="20"/>
        </w:rPr>
        <w:t>For BE cognition is co-extensive with bio-semiosis</w:t>
      </w:r>
      <w:r>
        <w:rPr>
          <w:rFonts w:eastAsia="Calibri" w:cs="MxkqpvAdvTT3713a231" w:ascii="MxkqpvAdvTT3713a231" w:hAnsi="MxkqpvAdvTT3713a231"/>
          <w:color w:val="131413"/>
          <w:sz w:val="13"/>
          <w:szCs w:val="13"/>
        </w:rPr>
        <w:t xml:space="preserve">13 </w:t>
      </w:r>
      <w:r>
        <w:rPr>
          <w:rFonts w:eastAsia="Calibri" w:cs="MxkqpvAdvTT3713a231" w:ascii="MxkqpvAdvTT3713a231" w:hAnsi="MxkqpvAdvTT3713a231"/>
          <w:color w:val="131413"/>
          <w:sz w:val="20"/>
          <w:szCs w:val="20"/>
        </w:rPr>
        <w:t>and thus a</w:t>
      </w:r>
    </w:p>
    <w:p>
      <w:pPr>
        <w:pStyle w:val="Normal"/>
        <w:spacing w:before="0" w:after="0"/>
        <w:contextualSpacing/>
        <w:jc w:val="left"/>
        <w:rPr/>
      </w:pPr>
      <w:r>
        <w:rPr>
          <w:rFonts w:eastAsia="Calibri" w:cs="MxkqpvAdvTT3713a231" w:ascii="MxkqpvAdvTT3713a231" w:hAnsi="MxkqpvAdvTT3713a231"/>
          <w:color w:val="131413"/>
          <w:sz w:val="20"/>
          <w:szCs w:val="20"/>
        </w:rPr>
        <w:t xml:space="preserve">reflection of the organismic ability to both use </w:t>
      </w:r>
      <w:r>
        <w:rPr>
          <w:rFonts w:eastAsia="Calibri" w:cs="VptfcqAdvTT50a2f13e.I" w:ascii="VptfcqAdvTT50a2f13e.I" w:hAnsi="VptfcqAdvTT50a2f13e.I"/>
          <w:color w:val="131413"/>
          <w:sz w:val="20"/>
          <w:szCs w:val="20"/>
        </w:rPr>
        <w:t xml:space="preserve">and </w:t>
      </w:r>
      <w:r>
        <w:rPr>
          <w:rFonts w:eastAsia="Calibri" w:cs="MxkqpvAdvTT3713a231" w:ascii="MxkqpvAdvTT3713a231" w:hAnsi="MxkqpvAdvTT3713a231"/>
          <w:color w:val="131413"/>
          <w:sz w:val="20"/>
          <w:szCs w:val="20"/>
        </w:rPr>
        <w:t>create signs in the heterogenous processes which contribute towards the maintenance of life. Cognition is here understood</w:t>
      </w:r>
    </w:p>
    <w:p>
      <w:pPr>
        <w:pStyle w:val="Normal"/>
        <w:spacing w:before="0" w:after="0"/>
        <w:contextualSpacing/>
        <w:jc w:val="left"/>
        <w:rPr/>
      </w:pPr>
      <w:r>
        <w:rPr>
          <w:rFonts w:eastAsia="Calibri" w:cs="MxkqpvAdvTT3713a231" w:ascii="MxkqpvAdvTT3713a231" w:hAnsi="MxkqpvAdvTT3713a231"/>
          <w:color w:val="131413"/>
          <w:sz w:val="20"/>
          <w:szCs w:val="20"/>
        </w:rPr>
        <w:t xml:space="preserve">as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the active and creative process of bio-semiosis by bio-semiotic systems</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(De</w:t>
      </w:r>
    </w:p>
    <w:p>
      <w:pPr>
        <w:pStyle w:val="Normal"/>
        <w:spacing w:before="0" w:after="0"/>
        <w:contextualSpacing/>
        <w:jc w:val="left"/>
        <w:rPr/>
      </w:pPr>
      <w:r>
        <w:rPr>
          <w:rFonts w:eastAsia="Calibri" w:cs="MxkqpvAdvTT3713a231" w:ascii="MxkqpvAdvTT3713a231" w:hAnsi="MxkqpvAdvTT3713a231"/>
          <w:color w:val="131413"/>
          <w:sz w:val="20"/>
          <w:szCs w:val="20"/>
        </w:rPr>
        <w:t xml:space="preserve">Jesus </w:t>
      </w:r>
      <w:r>
        <w:rPr>
          <w:rFonts w:eastAsia="Calibri" w:cs="MxkqpvAdvTT3713a231" w:ascii="MxkqpvAdvTT3713a231" w:hAnsi="MxkqpvAdvTT3713a231"/>
          <w:color w:val="0000FF"/>
          <w:sz w:val="20"/>
          <w:szCs w:val="20"/>
        </w:rPr>
        <w:t>2016b</w:t>
      </w:r>
      <w:r>
        <w:rPr>
          <w:rFonts w:eastAsia="Calibri" w:cs="MxkqpvAdvTT3713a231" w:ascii="MxkqpvAdvTT3713a231" w:hAnsi="MxkqpvAdvTT3713a231"/>
          <w:color w:val="131413"/>
          <w:sz w:val="20"/>
          <w:szCs w:val="20"/>
        </w:rPr>
        <w:t>, p. 139).</w:t>
      </w:r>
      <w:r>
        <w:rPr>
          <w:rFonts w:eastAsia="Calibri" w:cs="MxkqpvAdvTT3713a231" w:ascii="MxkqpvAdvTT3713a231" w:hAnsi="MxkqpvAdvTT3713a231"/>
          <w:color w:val="131413"/>
          <w:sz w:val="13"/>
          <w:szCs w:val="13"/>
        </w:rPr>
        <w:t>14</w:t>
      </w:r>
      <w:r>
        <w:rPr>
          <w:rFonts w:eastAsia="Calibri" w:cs="MxkqpvAdvTT3713a231" w:ascii="MxkqpvAdvTT3713a231" w:hAnsi="MxkqpvAdvTT3713a231"/>
          <w:color w:val="131413"/>
          <w:sz w:val="20"/>
          <w:szCs w:val="20"/>
        </w:rPr>
        <w:t xml:space="preserve"> (876-7)</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For BE, a nonnegotiable but often overlooked implication of adopting a life-mind</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continuity thesis is that, sociality needs to be taken as a </w:t>
      </w:r>
      <w:r>
        <w:rPr>
          <w:rFonts w:eastAsia="Calibri" w:cs="VptfcqAdvTT50a2f13e.I" w:ascii="VptfcqAdvTT50a2f13e.I" w:hAnsi="VptfcqAdvTT50a2f13e.I"/>
          <w:color w:val="131413"/>
          <w:sz w:val="20"/>
          <w:szCs w:val="20"/>
        </w:rPr>
        <w:t>fundamental ontological</w:t>
      </w:r>
    </w:p>
    <w:p>
      <w:pPr>
        <w:pStyle w:val="Normal"/>
        <w:spacing w:before="0" w:after="0"/>
        <w:contextualSpacing/>
        <w:jc w:val="left"/>
        <w:rPr/>
      </w:pPr>
      <w:r>
        <w:rPr>
          <w:rFonts w:eastAsia="Calibri" w:cs="VptfcqAdvTT50a2f13e.I" w:ascii="VptfcqAdvTT50a2f13e.I" w:hAnsi="VptfcqAdvTT50a2f13e.I"/>
          <w:color w:val="131413"/>
          <w:sz w:val="20"/>
          <w:szCs w:val="20"/>
        </w:rPr>
        <w:t>condition of organismic life itself</w:t>
      </w:r>
      <w:r>
        <w:rPr>
          <w:rFonts w:eastAsia="Calibri" w:cs="MxkqpvAdvTT3713a231" w:ascii="MxkqpvAdvTT3713a231" w:hAnsi="MxkqpvAdvTT3713a231"/>
          <w:color w:val="131413"/>
          <w:sz w:val="20"/>
          <w:szCs w:val="20"/>
        </w:rPr>
        <w:t>. That is, a commitment to life-mind continuity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requires one to acknowledge that sociality is not only to be found in the human domain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but inherent in life itself, beginning already with single cell organisms. There cannot be</w:t>
      </w:r>
    </w:p>
    <w:p>
      <w:pPr>
        <w:pStyle w:val="Normal"/>
        <w:spacing w:before="0" w:after="0"/>
        <w:contextualSpacing/>
        <w:jc w:val="left"/>
        <w:rPr/>
      </w:pPr>
      <w:r>
        <w:rPr>
          <w:rFonts w:eastAsia="Calibri" w:cs="MxkqpvAdvTT3713a231" w:ascii="MxkqpvAdvTT3713a231" w:hAnsi="MxkqpvAdvTT3713a231"/>
          <w:color w:val="131413"/>
          <w:sz w:val="20"/>
          <w:szCs w:val="20"/>
        </w:rPr>
        <w:t xml:space="preserve">sociality without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individual</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organisms but, unlike what the single cell example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strongly suggests, without sociality there cannot be any individual organisms. This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general, but important insight, is by no means new and can already be found 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pragmatism and more recently in biosemiotics and certain strands of anthropology. (877)</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RgsyshAdvTTb8864ccf.B" w:hAnsi="RgsyshAdvTTb8864ccf.B" w:eastAsia="Calibri" w:cs="RgsyshAdvTTb8864ccf.B"/>
          <w:color w:val="131413"/>
          <w:sz w:val="20"/>
          <w:szCs w:val="20"/>
        </w:rPr>
      </w:pPr>
      <w:r>
        <w:rPr>
          <w:rFonts w:eastAsia="Calibri" w:cs="RgsyshAdvTTb8864ccf.B" w:ascii="RgsyshAdvTTb8864ccf.B" w:hAnsi="RgsyshAdvTTb8864ccf.B"/>
          <w:color w:val="131413"/>
          <w:sz w:val="20"/>
          <w:szCs w:val="20"/>
        </w:rPr>
        <w:t>4.2 From epistemic perspectivalism to ontological multiplicity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In order to avoid falling into the trap of epistemologizing ontology as enactivism does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we will need alternative resources to help us coherently account for the multiplicity of</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worlds. We need, first and foremost, a substantially different conception of ontology.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 alternative approach to ontology, developed within science and technology studies</w:t>
      </w:r>
    </w:p>
    <w:p>
      <w:pPr>
        <w:pStyle w:val="Normal"/>
        <w:spacing w:before="0" w:after="0"/>
        <w:contextualSpacing/>
        <w:jc w:val="left"/>
        <w:rPr/>
      </w:pPr>
      <w:r>
        <w:rPr>
          <w:rFonts w:eastAsia="Calibri" w:cs="MxkqpvAdvTT3713a231" w:ascii="MxkqpvAdvTT3713a231" w:hAnsi="MxkqpvAdvTT3713a231"/>
          <w:color w:val="131413"/>
          <w:sz w:val="20"/>
          <w:szCs w:val="20"/>
        </w:rPr>
        <w:t xml:space="preserve">(STS), anthropology and feminist science studies (Barad </w:t>
      </w:r>
      <w:r>
        <w:rPr>
          <w:rFonts w:eastAsia="Calibri" w:cs="MxkqpvAdvTT3713a231" w:ascii="MxkqpvAdvTT3713a231" w:hAnsi="MxkqpvAdvTT3713a231"/>
          <w:color w:val="0000FF"/>
          <w:sz w:val="20"/>
          <w:szCs w:val="20"/>
        </w:rPr>
        <w:t>2007</w:t>
      </w:r>
      <w:r>
        <w:rPr>
          <w:rFonts w:eastAsia="Calibri" w:cs="MxkqpvAdvTT3713a231" w:ascii="MxkqpvAdvTT3713a231" w:hAnsi="MxkqpvAdvTT3713a231"/>
          <w:color w:val="131413"/>
          <w:sz w:val="20"/>
          <w:szCs w:val="20"/>
        </w:rPr>
        <w:t xml:space="preserve">; Kohn </w:t>
      </w:r>
      <w:r>
        <w:rPr>
          <w:rFonts w:eastAsia="Calibri" w:cs="MxkqpvAdvTT3713a231" w:ascii="MxkqpvAdvTT3713a231" w:hAnsi="MxkqpvAdvTT3713a231"/>
          <w:color w:val="0000FF"/>
          <w:sz w:val="20"/>
          <w:szCs w:val="20"/>
        </w:rPr>
        <w:t>2013</w:t>
      </w:r>
      <w:r>
        <w:rPr>
          <w:rFonts w:eastAsia="Calibri" w:cs="MxkqpvAdvTT3713a231" w:ascii="MxkqpvAdvTT3713a231" w:hAnsi="MxkqpvAdvTT3713a231"/>
          <w:color w:val="131413"/>
          <w:sz w:val="20"/>
          <w:szCs w:val="20"/>
        </w:rPr>
        <w:t>; Haraway</w:t>
      </w:r>
    </w:p>
    <w:p>
      <w:pPr>
        <w:pStyle w:val="Normal"/>
        <w:spacing w:before="0" w:after="0"/>
        <w:contextualSpacing/>
        <w:jc w:val="left"/>
        <w:rPr/>
      </w:pPr>
      <w:r>
        <w:rPr>
          <w:rFonts w:eastAsia="Calibri" w:cs="MxkqpvAdvTT3713a231" w:ascii="MxkqpvAdvTT3713a231" w:hAnsi="MxkqpvAdvTT3713a231"/>
          <w:color w:val="0000FF"/>
          <w:sz w:val="20"/>
          <w:szCs w:val="20"/>
        </w:rPr>
        <w:t>2008</w:t>
      </w:r>
      <w:r>
        <w:rPr>
          <w:rFonts w:eastAsia="Calibri" w:cs="MxkqpvAdvTT3713a231" w:ascii="MxkqpvAdvTT3713a231" w:hAnsi="MxkqpvAdvTT3713a231"/>
          <w:color w:val="131413"/>
          <w:sz w:val="20"/>
          <w:szCs w:val="20"/>
        </w:rPr>
        <w:t xml:space="preserve">; Latour </w:t>
      </w:r>
      <w:r>
        <w:rPr>
          <w:rFonts w:eastAsia="Calibri" w:cs="MxkqpvAdvTT3713a231" w:ascii="MxkqpvAdvTT3713a231" w:hAnsi="MxkqpvAdvTT3713a231"/>
          <w:color w:val="0000FF"/>
          <w:sz w:val="20"/>
          <w:szCs w:val="20"/>
        </w:rPr>
        <w:t>2013</w:t>
      </w:r>
      <w:r>
        <w:rPr>
          <w:rFonts w:eastAsia="Calibri" w:cs="MxkqpvAdvTT3713a231" w:ascii="MxkqpvAdvTT3713a231" w:hAnsi="MxkqpvAdvTT3713a231"/>
          <w:color w:val="131413"/>
          <w:sz w:val="20"/>
          <w:szCs w:val="20"/>
        </w:rPr>
        <w:t xml:space="preserve">; Law </w:t>
      </w:r>
      <w:r>
        <w:rPr>
          <w:rFonts w:eastAsia="Calibri" w:cs="MxkqpvAdvTT3713a231" w:ascii="MxkqpvAdvTT3713a231" w:hAnsi="MxkqpvAdvTT3713a231"/>
          <w:color w:val="0000FF"/>
          <w:sz w:val="20"/>
          <w:szCs w:val="20"/>
        </w:rPr>
        <w:t>2004</w:t>
      </w:r>
      <w:r>
        <w:rPr>
          <w:rFonts w:eastAsia="Calibri" w:cs="MxkqpvAdvTT3713a231" w:ascii="MxkqpvAdvTT3713a231" w:hAnsi="MxkqpvAdvTT3713a231"/>
          <w:color w:val="131413"/>
          <w:sz w:val="20"/>
          <w:szCs w:val="20"/>
        </w:rPr>
        <w:t xml:space="preserve">; Mol </w:t>
      </w:r>
      <w:r>
        <w:rPr>
          <w:rFonts w:eastAsia="Calibri" w:cs="MxkqpvAdvTT3713a231" w:ascii="MxkqpvAdvTT3713a231" w:hAnsi="MxkqpvAdvTT3713a231"/>
          <w:color w:val="0000FF"/>
          <w:sz w:val="20"/>
          <w:szCs w:val="20"/>
        </w:rPr>
        <w:t>2002</w:t>
      </w:r>
      <w:r>
        <w:rPr>
          <w:rFonts w:eastAsia="Calibri" w:cs="MxkqpvAdvTT3713a231" w:ascii="MxkqpvAdvTT3713a231" w:hAnsi="MxkqpvAdvTT3713a231"/>
          <w:color w:val="131413"/>
          <w:sz w:val="20"/>
          <w:szCs w:val="20"/>
        </w:rPr>
        <w:t>), provides us with just what we need. These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approaches aim to critically move ontology beyond the epistemic descriptive/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conceptual level and onto the realm of concrete materiality, contingent assemblages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performative enaction. It rejects both overly abstract notions of ontology which</w:t>
      </w:r>
    </w:p>
    <w:p>
      <w:pPr>
        <w:pStyle w:val="Normal"/>
        <w:spacing w:before="0" w:after="0"/>
        <w:contextualSpacing/>
        <w:jc w:val="left"/>
        <w:rPr/>
      </w:pPr>
      <w:r>
        <w:rPr>
          <w:rFonts w:eastAsia="Calibri" w:cs="MxkqpvAdvTT3713a231" w:ascii="MxkqpvAdvTT3713a231" w:hAnsi="MxkqpvAdvTT3713a231"/>
          <w:color w:val="131413"/>
          <w:sz w:val="20"/>
          <w:szCs w:val="20"/>
        </w:rPr>
        <w:t xml:space="preserve">reduce it to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 xml:space="preserve">schemes of clarification and representation" (Pickering </w:t>
      </w:r>
      <w:r>
        <w:rPr>
          <w:rFonts w:eastAsia="Calibri" w:cs="MxkqpvAdvTT3713a231" w:ascii="MxkqpvAdvTT3713a231" w:hAnsi="MxkqpvAdvTT3713a231"/>
          <w:color w:val="0000FF"/>
          <w:sz w:val="20"/>
          <w:szCs w:val="20"/>
        </w:rPr>
        <w:t>2017</w:t>
      </w:r>
      <w:r>
        <w:rPr>
          <w:rFonts w:eastAsia="Calibri" w:cs="MxkqpvAdvTT3713a231" w:ascii="MxkqpvAdvTT3713a231" w:hAnsi="MxkqpvAdvTT3713a231"/>
          <w:color w:val="131413"/>
          <w:sz w:val="20"/>
          <w:szCs w:val="20"/>
        </w:rPr>
        <w:t>), as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enactive account tacitly does, and also more traditional metaphysical synchronic</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notions which take ontology to be a study into the ahistorical and transcendent</w:t>
      </w:r>
    </w:p>
    <w:p>
      <w:pPr>
        <w:pStyle w:val="Normal"/>
        <w:spacing w:before="0" w:after="0"/>
        <w:contextualSpacing/>
        <w:jc w:val="left"/>
        <w:rPr/>
      </w:pPr>
      <w:r>
        <w:rPr>
          <w:rFonts w:eastAsia="Calibri" w:cs="MxkqpvAdvTT3713a231" w:ascii="MxkqpvAdvTT3713a231" w:hAnsi="MxkqpvAdvTT3713a231"/>
          <w:color w:val="131413"/>
          <w:sz w:val="20"/>
          <w:szCs w:val="20"/>
        </w:rPr>
        <w:t xml:space="preserve">universal structure of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Being</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and reality in general.</w:t>
      </w:r>
      <w:r>
        <w:rPr>
          <w:rFonts w:eastAsia="Calibri" w:cs="MxkqpvAdvTT3713a231" w:ascii="MxkqpvAdvTT3713a231" w:hAnsi="MxkqpvAdvTT3713a231"/>
          <w:color w:val="131413"/>
          <w:sz w:val="13"/>
          <w:szCs w:val="13"/>
        </w:rPr>
        <w:t xml:space="preserve">16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Inspired by insights derived from this work, the central thesis to be defended</w:t>
      </w:r>
    </w:p>
    <w:p>
      <w:pPr>
        <w:pStyle w:val="Normal"/>
        <w:spacing w:before="0" w:after="0"/>
        <w:contextualSpacing/>
        <w:jc w:val="left"/>
        <w:rPr/>
      </w:pPr>
      <w:r>
        <w:rPr>
          <w:rFonts w:eastAsia="Calibri" w:cs="MxkqpvAdvTT3713a231" w:ascii="MxkqpvAdvTT3713a231" w:hAnsi="MxkqpvAdvTT3713a231"/>
          <w:color w:val="131413"/>
          <w:sz w:val="20"/>
          <w:szCs w:val="20"/>
        </w:rPr>
        <w:t xml:space="preserve">here is that </w:t>
      </w:r>
      <w:r>
        <w:rPr>
          <w:rFonts w:eastAsia="Calibri" w:cs="VptfcqAdvTT50a2f13e.I" w:ascii="VptfcqAdvTT50a2f13e.I" w:hAnsi="VptfcqAdvTT50a2f13e.I"/>
          <w:color w:val="131413"/>
          <w:sz w:val="20"/>
          <w:szCs w:val="20"/>
        </w:rPr>
        <w:t xml:space="preserve">realities, </w:t>
      </w:r>
      <w:r>
        <w:rPr>
          <w:rFonts w:eastAsia="Calibri" w:cs="MxkqpvAdvTT3713a231" w:ascii="MxkqpvAdvTT3713a231" w:hAnsi="MxkqpvAdvTT3713a231"/>
          <w:color w:val="131413"/>
          <w:sz w:val="20"/>
          <w:szCs w:val="20"/>
        </w:rPr>
        <w:t>note not reality in the singular, is the contingent consequence</w:t>
      </w:r>
    </w:p>
    <w:p>
      <w:pPr>
        <w:pStyle w:val="Normal"/>
        <w:spacing w:before="0" w:after="0"/>
        <w:contextualSpacing/>
        <w:jc w:val="left"/>
        <w:rPr/>
      </w:pPr>
      <w:r>
        <w:rPr>
          <w:rFonts w:eastAsia="Calibri" w:cs="MxkqpvAdvTT3713a231" w:ascii="MxkqpvAdvTT3713a231" w:hAnsi="MxkqpvAdvTT3713a231"/>
          <w:color w:val="131413"/>
          <w:sz w:val="20"/>
          <w:szCs w:val="20"/>
        </w:rPr>
        <w:t xml:space="preserve">of the </w:t>
      </w:r>
      <w:r>
        <w:rPr>
          <w:rFonts w:eastAsia="Calibri" w:cs="VptfcqAdvTT50a2f13e.I" w:ascii="VptfcqAdvTT50a2f13e.I" w:hAnsi="VptfcqAdvTT50a2f13e.I"/>
          <w:color w:val="131413"/>
          <w:sz w:val="20"/>
          <w:szCs w:val="20"/>
        </w:rPr>
        <w:t xml:space="preserve">performative enactments </w:t>
      </w:r>
      <w:r>
        <w:rPr>
          <w:rFonts w:eastAsia="Calibri" w:cs="MxkqpvAdvTT3713a231" w:ascii="MxkqpvAdvTT3713a231" w:hAnsi="MxkqpvAdvTT3713a231"/>
          <w:color w:val="131413"/>
          <w:sz w:val="20"/>
          <w:szCs w:val="20"/>
        </w:rPr>
        <w:t>undertaken by all living organisms. This renders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being itself diachronic, deeply contingent, temporal and always-already in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making. Note moreover that, as it will be used in the rest of the paper, the term</w:t>
      </w:r>
    </w:p>
    <w:p>
      <w:pPr>
        <w:pStyle w:val="Normal"/>
        <w:spacing w:before="0" w:after="0"/>
        <w:contextualSpacing/>
        <w:jc w:val="left"/>
        <w:rPr/>
      </w:pP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ontology</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draws a deliberate contrast not only with representationalist/</w:t>
      </w:r>
    </w:p>
    <w:p>
      <w:pPr>
        <w:pStyle w:val="Normal"/>
        <w:spacing w:before="0" w:after="0"/>
        <w:contextualSpacing/>
        <w:jc w:val="left"/>
        <w:rPr/>
      </w:pPr>
      <w:r>
        <w:rPr>
          <w:rFonts w:eastAsia="Calibri" w:cs="MxkqpvAdvTT3713a231" w:ascii="MxkqpvAdvTT3713a231" w:hAnsi="MxkqpvAdvTT3713a231"/>
          <w:color w:val="131413"/>
          <w:sz w:val="20"/>
          <w:szCs w:val="20"/>
        </w:rPr>
        <w:t xml:space="preserve">perspectivalist epistemology but also </w:t>
      </w:r>
      <w:r>
        <w:rPr>
          <w:rFonts w:eastAsia="Calibri" w:cs="VptfcqAdvTT50a2f13e.I" w:ascii="VptfcqAdvTT50a2f13e.I" w:hAnsi="VptfcqAdvTT50a2f13e.I"/>
          <w:color w:val="131413"/>
          <w:sz w:val="20"/>
          <w:szCs w:val="20"/>
        </w:rPr>
        <w:t>mono-realism</w:t>
      </w:r>
      <w:r>
        <w:rPr>
          <w:rFonts w:eastAsia="Calibri" w:cs="MxkqpvAdvTT3713a231" w:ascii="MxkqpvAdvTT3713a231" w:hAnsi="MxkqpvAdvTT3713a231"/>
          <w:color w:val="131413"/>
          <w:sz w:val="20"/>
          <w:szCs w:val="20"/>
        </w:rPr>
        <w:t>.</w:t>
      </w:r>
      <w:r>
        <w:rPr>
          <w:rFonts w:eastAsia="Calibri" w:cs="MxkqpvAdvTT3713a231" w:ascii="MxkqpvAdvTT3713a231" w:hAnsi="MxkqpvAdvTT3713a231"/>
          <w:color w:val="131413"/>
          <w:sz w:val="13"/>
          <w:szCs w:val="13"/>
        </w:rPr>
        <w:t>17 (878)</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pPr>
      <w:r>
        <w:rPr>
          <w:rFonts w:eastAsia="Calibri" w:cs="MxkqpvAdvTT3713a231" w:ascii="MxkqpvAdvTT3713a231" w:hAnsi="MxkqpvAdvTT3713a231"/>
          <w:color w:val="131413"/>
          <w:sz w:val="20"/>
          <w:szCs w:val="20"/>
        </w:rPr>
        <w:t>What we might call, echoing Pickering (</w:t>
      </w:r>
      <w:r>
        <w:rPr>
          <w:rFonts w:eastAsia="Calibri" w:cs="MxkqpvAdvTT3713a231" w:ascii="MxkqpvAdvTT3713a231" w:hAnsi="MxkqpvAdvTT3713a231"/>
          <w:color w:val="0000FF"/>
          <w:sz w:val="20"/>
          <w:szCs w:val="20"/>
        </w:rPr>
        <w:t>2017</w:t>
      </w:r>
      <w:r>
        <w:rPr>
          <w:rFonts w:eastAsia="Calibri" w:cs="MxkqpvAdvTT3713a231" w:ascii="MxkqpvAdvTT3713a231" w:hAnsi="MxkqpvAdvTT3713a231"/>
          <w:color w:val="131413"/>
          <w:sz w:val="20"/>
          <w:szCs w:val="20"/>
        </w:rPr>
        <w:t xml:space="preserve">), a </w:t>
      </w:r>
      <w:r>
        <w:rPr>
          <w:rFonts w:eastAsia="Calibri" w:cs="VptfcqAdvTT50a2f13e.I" w:ascii="VptfcqAdvTT50a2f13e.I" w:hAnsi="VptfcqAdvTT50a2f13e.I"/>
          <w:color w:val="131413"/>
          <w:sz w:val="20"/>
          <w:szCs w:val="20"/>
        </w:rPr>
        <w:t>performative ontology,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requires first and foremost a shift of focus from our knowledge of the world</w:t>
      </w:r>
    </w:p>
    <w:p>
      <w:pPr>
        <w:pStyle w:val="Normal"/>
        <w:spacing w:before="0" w:after="0"/>
        <w:contextualSpacing/>
        <w:jc w:val="left"/>
        <w:rPr/>
      </w:pPr>
      <w:r>
        <w:rPr>
          <w:rFonts w:eastAsia="Calibri" w:cs="MxkqpvAdvTT3713a231" w:ascii="MxkqpvAdvTT3713a231" w:hAnsi="MxkqpvAdvTT3713a231"/>
          <w:color w:val="131413"/>
          <w:sz w:val="20"/>
          <w:szCs w:val="20"/>
        </w:rPr>
        <w:t xml:space="preserve">to the </w:t>
      </w:r>
      <w:r>
        <w:rPr>
          <w:rFonts w:eastAsia="Calibri" w:cs="VptfcqAdvTT50a2f13e.I" w:ascii="VptfcqAdvTT50a2f13e.I" w:hAnsi="VptfcqAdvTT50a2f13e.I"/>
          <w:color w:val="131413"/>
          <w:sz w:val="20"/>
          <w:szCs w:val="20"/>
        </w:rPr>
        <w:t>materiality of the world(s) itself as it is contingently enacted through</w:t>
      </w:r>
    </w:p>
    <w:p>
      <w:pPr>
        <w:pStyle w:val="Normal"/>
        <w:spacing w:before="0" w:after="0"/>
        <w:contextualSpacing/>
        <w:jc w:val="left"/>
        <w:rPr/>
      </w:pPr>
      <w:r>
        <w:rPr>
          <w:rFonts w:eastAsia="Calibri" w:cs="VptfcqAdvTT50a2f13e.I" w:ascii="VptfcqAdvTT50a2f13e.I" w:hAnsi="VptfcqAdvTT50a2f13e.I"/>
          <w:color w:val="131413"/>
          <w:sz w:val="20"/>
          <w:szCs w:val="20"/>
        </w:rPr>
        <w:t>entanglements of material practices</w:t>
      </w:r>
      <w:r>
        <w:rPr>
          <w:rFonts w:eastAsia="Calibri" w:cs="MxkqpvAdvTT3713a231" w:ascii="MxkqpvAdvTT3713a231" w:hAnsi="MxkqpvAdvTT3713a231"/>
          <w:color w:val="131413"/>
          <w:sz w:val="20"/>
          <w:szCs w:val="20"/>
        </w:rPr>
        <w:t>. To do so requires a deliberate and focused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move away from the apparent inevitability of an epistemology of representing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living organisms and their worlds from a human-centred perspective, towards</w:t>
      </w:r>
    </w:p>
    <w:p>
      <w:pPr>
        <w:pStyle w:val="Normal"/>
        <w:spacing w:before="0" w:after="0"/>
        <w:contextualSpacing/>
        <w:jc w:val="left"/>
        <w:rPr/>
      </w:pPr>
      <w:r>
        <w:rPr>
          <w:rFonts w:eastAsia="Calibri" w:cs="MxkqpvAdvTT3713a231" w:ascii="MxkqpvAdvTT3713a231" w:hAnsi="MxkqpvAdvTT3713a231"/>
          <w:color w:val="131413"/>
          <w:sz w:val="20"/>
          <w:szCs w:val="20"/>
        </w:rPr>
        <w:t xml:space="preserve">acknowledging and accounting for the </w:t>
      </w:r>
      <w:r>
        <w:rPr>
          <w:rFonts w:eastAsia="Calibri" w:cs="VptfcqAdvTT50a2f13e.I" w:ascii="VptfcqAdvTT50a2f13e.I" w:hAnsi="VptfcqAdvTT50a2f13e.I"/>
          <w:color w:val="131413"/>
          <w:sz w:val="20"/>
          <w:szCs w:val="20"/>
        </w:rPr>
        <w:t>concrete ontologically multiple realities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performed by all living organisms themselves. These multiple realities and their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constitutive and ontological new entities are the enactments of organisms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themselves in ever changing temporal contexts, material reconfigurations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concrete practices. Here human reason or knowledge can no longer be taken as</w:t>
      </w:r>
    </w:p>
    <w:p>
      <w:pPr>
        <w:pStyle w:val="Normal"/>
        <w:spacing w:before="0" w:after="0"/>
        <w:contextualSpacing/>
        <w:jc w:val="left"/>
        <w:rPr/>
      </w:pPr>
      <w:r>
        <w:rPr>
          <w:rFonts w:eastAsia="Calibri" w:cs="MxkqpvAdvTT3713a231" w:ascii="MxkqpvAdvTT3713a231" w:hAnsi="MxkqpvAdvTT3713a231"/>
          <w:color w:val="131413"/>
          <w:sz w:val="20"/>
          <w:szCs w:val="20"/>
        </w:rPr>
        <w:t>the ultimate arbiter of reality.</w:t>
      </w:r>
      <w:r>
        <w:rPr>
          <w:rFonts w:eastAsia="Calibri" w:cs="MxkqpvAdvTT3713a231" w:ascii="MxkqpvAdvTT3713a231" w:hAnsi="MxkqpvAdvTT3713a231"/>
          <w:color w:val="131413"/>
          <w:sz w:val="13"/>
          <w:szCs w:val="13"/>
        </w:rPr>
        <w:t>18 (879)</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Drawing inspiration from the ethnographical work done by Annemarie Mol</w:t>
      </w:r>
    </w:p>
    <w:p>
      <w:pPr>
        <w:pStyle w:val="Normal"/>
        <w:spacing w:before="0" w:after="0"/>
        <w:contextualSpacing/>
        <w:jc w:val="left"/>
        <w:rPr/>
      </w:pPr>
      <w:r>
        <w:rPr>
          <w:rFonts w:eastAsia="Calibri" w:cs="MxkqpvAdvTT3713a231" w:ascii="MxkqpvAdvTT3713a231" w:hAnsi="MxkqpvAdvTT3713a231"/>
          <w:color w:val="131413"/>
          <w:sz w:val="20"/>
          <w:szCs w:val="20"/>
        </w:rPr>
        <w:t>(</w:t>
      </w:r>
      <w:r>
        <w:rPr>
          <w:rFonts w:eastAsia="Calibri" w:cs="MxkqpvAdvTT3713a231" w:ascii="MxkqpvAdvTT3713a231" w:hAnsi="MxkqpvAdvTT3713a231"/>
          <w:color w:val="0000FF"/>
          <w:sz w:val="20"/>
          <w:szCs w:val="20"/>
        </w:rPr>
        <w:t>2002</w:t>
      </w:r>
      <w:r>
        <w:rPr>
          <w:rFonts w:eastAsia="Calibri" w:cs="MxkqpvAdvTT3713a231" w:ascii="MxkqpvAdvTT3713a231" w:hAnsi="MxkqpvAdvTT3713a231"/>
          <w:color w:val="131413"/>
          <w:sz w:val="20"/>
          <w:szCs w:val="20"/>
        </w:rPr>
        <w:t>), the performative ontology proposed here rejects the view that we are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mere onlookers of a pregiven reality. As such, all living organisms are actors</w:t>
      </w:r>
    </w:p>
    <w:p>
      <w:pPr>
        <w:pStyle w:val="Normal"/>
        <w:spacing w:before="0" w:after="0"/>
        <w:contextualSpacing/>
        <w:jc w:val="left"/>
        <w:rPr/>
      </w:pPr>
      <w:r>
        <w:rPr>
          <w:rFonts w:eastAsia="Calibri" w:cs="MxkqpvAdvTT3713a231" w:ascii="MxkqpvAdvTT3713a231" w:hAnsi="MxkqpvAdvTT3713a231"/>
          <w:color w:val="131413"/>
          <w:sz w:val="20"/>
          <w:szCs w:val="20"/>
        </w:rPr>
        <w:t xml:space="preserve">who not only impact on how reality is </w:t>
      </w:r>
      <w:r>
        <w:rPr>
          <w:rFonts w:eastAsia="Calibri" w:cs="VptfcqAdvTT50a2f13e.I" w:ascii="VptfcqAdvTT50a2f13e.I" w:hAnsi="VptfcqAdvTT50a2f13e.I"/>
          <w:color w:val="131413"/>
          <w:sz w:val="20"/>
          <w:szCs w:val="20"/>
        </w:rPr>
        <w:t xml:space="preserve">perceived and experienced </w:t>
      </w:r>
      <w:r>
        <w:rPr>
          <w:rFonts w:eastAsia="Calibri" w:cs="MxkqpvAdvTT3713a231" w:ascii="MxkqpvAdvTT3713a231" w:hAnsi="MxkqpvAdvTT3713a231"/>
          <w:color w:val="131413"/>
          <w:sz w:val="20"/>
          <w:szCs w:val="20"/>
        </w:rPr>
        <w:t>(as in the</w:t>
      </w:r>
    </w:p>
    <w:p>
      <w:pPr>
        <w:pStyle w:val="Normal"/>
        <w:spacing w:before="0" w:after="0"/>
        <w:contextualSpacing/>
        <w:jc w:val="left"/>
        <w:rPr/>
      </w:pPr>
      <w:r>
        <w:rPr>
          <w:rFonts w:eastAsia="Calibri" w:cs="MxkqpvAdvTT3713a231" w:ascii="MxkqpvAdvTT3713a231" w:hAnsi="MxkqpvAdvTT3713a231"/>
          <w:color w:val="131413"/>
          <w:sz w:val="20"/>
          <w:szCs w:val="20"/>
        </w:rPr>
        <w:t xml:space="preserve">enactive account explored above), but more importantly on the </w:t>
      </w:r>
      <w:r>
        <w:rPr>
          <w:rFonts w:eastAsia="Calibri" w:cs="VptfcqAdvTT50a2f13e.I" w:ascii="VptfcqAdvTT50a2f13e.I" w:hAnsi="VptfcqAdvTT50a2f13e.I"/>
          <w:color w:val="131413"/>
          <w:sz w:val="20"/>
          <w:szCs w:val="20"/>
        </w:rPr>
        <w:t>materiality of</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reality itself </w:t>
      </w:r>
      <w:r>
        <w:rPr>
          <w:rFonts w:eastAsia="Calibri" w:cs="MxkqpvAdvTT3713a231" w:ascii="MxkqpvAdvTT3713a231" w:hAnsi="MxkqpvAdvTT3713a231"/>
          <w:color w:val="131413"/>
          <w:sz w:val="20"/>
          <w:szCs w:val="20"/>
        </w:rPr>
        <w:t xml:space="preserve">(Barad </w:t>
      </w:r>
      <w:r>
        <w:rPr>
          <w:rFonts w:eastAsia="Calibri" w:cs="MxkqpvAdvTT3713a231" w:ascii="MxkqpvAdvTT3713a231" w:hAnsi="MxkqpvAdvTT3713a231"/>
          <w:color w:val="0000FF"/>
          <w:sz w:val="20"/>
          <w:szCs w:val="20"/>
        </w:rPr>
        <w:t>2007</w:t>
      </w:r>
      <w:r>
        <w:rPr>
          <w:rFonts w:eastAsia="Calibri" w:cs="MxkqpvAdvTT3713a231" w:ascii="MxkqpvAdvTT3713a231" w:hAnsi="MxkqpvAdvTT3713a231"/>
          <w:color w:val="131413"/>
          <w:sz w:val="20"/>
          <w:szCs w:val="20"/>
        </w:rPr>
        <w:t>). To flesh out and contrast it with the enactive view,</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consider how according to Mol (ibid), the objects and phenomena we take as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settled, scientifically quantifiable and observable are not really just objects-inthe-</w:t>
      </w:r>
    </w:p>
    <w:p>
      <w:pPr>
        <w:pStyle w:val="Normal"/>
        <w:spacing w:before="0" w:after="0"/>
        <w:contextualSpacing/>
        <w:jc w:val="left"/>
        <w:rPr/>
      </w:pPr>
      <w:r>
        <w:rPr>
          <w:rFonts w:eastAsia="Calibri" w:cs="MxkqpvAdvTT3713a231" w:ascii="MxkqpvAdvTT3713a231" w:hAnsi="MxkqpvAdvTT3713a231"/>
          <w:color w:val="131413"/>
          <w:sz w:val="20"/>
          <w:szCs w:val="20"/>
        </w:rPr>
        <w:t xml:space="preserve">world; but rather, always </w:t>
      </w:r>
      <w:r>
        <w:rPr>
          <w:rFonts w:eastAsia="Calibri" w:cs="VptfcqAdvTT50a2f13e.I" w:ascii="VptfcqAdvTT50a2f13e.I" w:hAnsi="VptfcqAdvTT50a2f13e.I"/>
          <w:color w:val="131413"/>
          <w:sz w:val="20"/>
          <w:szCs w:val="20"/>
        </w:rPr>
        <w:t>ontologically multiple</w:t>
      </w:r>
      <w:r>
        <w:rPr>
          <w:rFonts w:eastAsia="Calibri" w:cs="MxkqpvAdvTT3713a231" w:ascii="MxkqpvAdvTT3713a231" w:hAnsi="MxkqpvAdvTT3713a231"/>
          <w:color w:val="131413"/>
          <w:sz w:val="20"/>
          <w:szCs w:val="20"/>
        </w:rPr>
        <w:t>. Reality, as enactivists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correctly maintain, is not a pregiven out there which we passively observe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is only fully revealed to us by scientists or astute metaphysicians. But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whereas enactivism epistemologizes ontology and as a consequence fails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truly appreciate let alone address the question of what there </w:t>
      </w:r>
      <w:r>
        <w:rPr>
          <w:rFonts w:eastAsia="Calibri" w:cs="VptfcqAdvTT50a2f13e.I" w:ascii="VptfcqAdvTT50a2f13e.I" w:hAnsi="VptfcqAdvTT50a2f13e.I"/>
          <w:color w:val="131413"/>
          <w:sz w:val="20"/>
          <w:szCs w:val="20"/>
        </w:rPr>
        <w:t xml:space="preserve">is </w:t>
      </w:r>
      <w:r>
        <w:rPr>
          <w:rFonts w:eastAsia="Calibri" w:cs="MxkqpvAdvTT3713a231" w:ascii="MxkqpvAdvTT3713a231" w:hAnsi="MxkqpvAdvTT3713a231"/>
          <w:color w:val="131413"/>
          <w:sz w:val="20"/>
          <w:szCs w:val="20"/>
        </w:rPr>
        <w:t>if not a pregiven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reality, work done by Mol and colleagues, confronts this very question head-on.</w:t>
      </w:r>
    </w:p>
    <w:p>
      <w:pPr>
        <w:pStyle w:val="Normal"/>
        <w:spacing w:before="0" w:after="0"/>
        <w:contextualSpacing/>
        <w:jc w:val="left"/>
        <w:rPr/>
      </w:pPr>
      <w:r>
        <w:rPr>
          <w:rFonts w:eastAsia="Calibri" w:cs="MxkqpvAdvTT3713a231" w:ascii="MxkqpvAdvTT3713a231" w:hAnsi="MxkqpvAdvTT3713a231"/>
          <w:color w:val="131413"/>
          <w:sz w:val="20"/>
          <w:szCs w:val="20"/>
        </w:rPr>
        <w:t xml:space="preserve">Reality, what there is, is </w:t>
      </w:r>
      <w:r>
        <w:rPr>
          <w:rFonts w:eastAsia="Calibri" w:cs="VptfcqAdvTT50a2f13e.I" w:ascii="VptfcqAdvTT50a2f13e.I" w:hAnsi="VptfcqAdvTT50a2f13e.I"/>
          <w:color w:val="131413"/>
          <w:sz w:val="20"/>
          <w:szCs w:val="20"/>
        </w:rPr>
        <w:t xml:space="preserve">worlds in the plural, </w:t>
      </w:r>
      <w:r>
        <w:rPr>
          <w:rFonts w:eastAsia="Calibri" w:cs="MxkqpvAdvTT3713a231" w:ascii="MxkqpvAdvTT3713a231" w:hAnsi="MxkqpvAdvTT3713a231"/>
          <w:color w:val="131413"/>
          <w:sz w:val="20"/>
          <w:szCs w:val="20"/>
        </w:rPr>
        <w:t>and these worlds are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consequence of historical, diachronic, context-dependent, concrete</w:t>
      </w:r>
    </w:p>
    <w:p>
      <w:pPr>
        <w:pStyle w:val="Normal"/>
        <w:spacing w:before="0" w:after="0"/>
        <w:contextualSpacing/>
        <w:jc w:val="left"/>
        <w:rPr/>
      </w:pPr>
      <w:r>
        <w:rPr>
          <w:rFonts w:eastAsia="Calibri" w:cs="MxkqpvAdvTT3713a231" w:ascii="MxkqpvAdvTT3713a231" w:hAnsi="MxkqpvAdvTT3713a231"/>
          <w:color w:val="131413"/>
          <w:sz w:val="20"/>
          <w:szCs w:val="20"/>
        </w:rPr>
        <w:t>but relational, materially contingent practical enactments.</w:t>
      </w:r>
      <w:r>
        <w:rPr>
          <w:rFonts w:eastAsia="Calibri" w:cs="MxkqpvAdvTT3713a231" w:ascii="MxkqpvAdvTT3713a231" w:hAnsi="MxkqpvAdvTT3713a231"/>
          <w:color w:val="131413"/>
          <w:sz w:val="13"/>
          <w:szCs w:val="13"/>
        </w:rPr>
        <w:t xml:space="preserve">19 </w:t>
      </w:r>
      <w:r>
        <w:rPr>
          <w:rFonts w:eastAsia="Calibri" w:cs="MxkqpvAdvTT3713a231" w:ascii="MxkqpvAdvTT3713a231" w:hAnsi="MxkqpvAdvTT3713a231"/>
          <w:color w:val="131413"/>
          <w:sz w:val="20"/>
          <w:szCs w:val="20"/>
        </w:rPr>
        <w:t>As John Law (</w:t>
      </w:r>
      <w:r>
        <w:rPr>
          <w:rFonts w:eastAsia="Calibri" w:cs="MxkqpvAdvTT3713a231" w:ascii="MxkqpvAdvTT3713a231" w:hAnsi="MxkqpvAdvTT3713a231"/>
          <w:color w:val="0000FF"/>
          <w:sz w:val="20"/>
          <w:szCs w:val="20"/>
        </w:rPr>
        <w:t>2015</w:t>
      </w:r>
      <w:r>
        <w:rPr>
          <w:rFonts w:eastAsia="Calibri" w:cs="MxkqpvAdvTT3713a231" w:ascii="MxkqpvAdvTT3713a231" w:hAnsi="MxkqpvAdvTT3713a231"/>
          <w:color w:val="131413"/>
          <w:sz w:val="20"/>
          <w:szCs w:val="20"/>
        </w:rPr>
        <w:t>,</w:t>
      </w:r>
    </w:p>
    <w:p>
      <w:pPr>
        <w:pStyle w:val="Normal"/>
        <w:spacing w:before="0" w:after="0"/>
        <w:contextualSpacing/>
        <w:jc w:val="left"/>
        <w:rPr/>
      </w:pPr>
      <w:r>
        <w:rPr>
          <w:rFonts w:eastAsia="Calibri" w:cs="MxkqpvAdvTT3713a231" w:ascii="MxkqpvAdvTT3713a231" w:hAnsi="MxkqpvAdvTT3713a231"/>
          <w:color w:val="131413"/>
          <w:sz w:val="20"/>
          <w:szCs w:val="20"/>
        </w:rPr>
        <w:t xml:space="preserve">p. 127) argues, the real is simply the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effects of contingent and heterogeneous</w:t>
      </w:r>
    </w:p>
    <w:p>
      <w:pPr>
        <w:pStyle w:val="Normal"/>
        <w:spacing w:before="0" w:after="0"/>
        <w:contextualSpacing/>
        <w:jc w:val="left"/>
        <w:rPr/>
      </w:pPr>
      <w:r>
        <w:rPr>
          <w:rFonts w:eastAsia="Calibri" w:cs="MxkqpvAdvTT3713a231" w:ascii="MxkqpvAdvTT3713a231" w:hAnsi="MxkqpvAdvTT3713a231"/>
          <w:color w:val="131413"/>
          <w:sz w:val="20"/>
          <w:szCs w:val="20"/>
        </w:rPr>
        <w:t>enactments, performances or sets of relations</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xml:space="preserve">.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While perhaps thought provoking, the central point is straightforward: rather than</w:t>
      </w:r>
    </w:p>
    <w:p>
      <w:pPr>
        <w:pStyle w:val="Normal"/>
        <w:spacing w:before="0" w:after="0"/>
        <w:contextualSpacing/>
        <w:jc w:val="left"/>
        <w:rPr/>
      </w:pPr>
      <w:r>
        <w:rPr>
          <w:rFonts w:eastAsia="Calibri" w:cs="MxkqpvAdvTT3713a231" w:ascii="MxkqpvAdvTT3713a231" w:hAnsi="MxkqpvAdvTT3713a231"/>
          <w:color w:val="131413"/>
          <w:sz w:val="20"/>
          <w:szCs w:val="20"/>
        </w:rPr>
        <w:t xml:space="preserve">simply take for granted that there are only many ways of </w:t>
      </w:r>
      <w:r>
        <w:rPr>
          <w:rFonts w:eastAsia="Calibri" w:cs="VptfcqAdvTT50a2f13e.I" w:ascii="VptfcqAdvTT50a2f13e.I" w:hAnsi="VptfcqAdvTT50a2f13e.I"/>
          <w:color w:val="131413"/>
          <w:sz w:val="20"/>
          <w:szCs w:val="20"/>
        </w:rPr>
        <w:t xml:space="preserve">knowing </w:t>
      </w:r>
      <w:r>
        <w:rPr>
          <w:rFonts w:eastAsia="Calibri" w:cs="MxkqpvAdvTT3713a231" w:ascii="MxkqpvAdvTT3713a231" w:hAnsi="MxkqpvAdvTT3713a231"/>
          <w:color w:val="131413"/>
          <w:sz w:val="20"/>
          <w:szCs w:val="20"/>
        </w:rPr>
        <w:t xml:space="preserve">or </w:t>
      </w:r>
      <w:r>
        <w:rPr>
          <w:rFonts w:eastAsia="Calibri" w:cs="VptfcqAdvTT50a2f13e.I" w:ascii="VptfcqAdvTT50a2f13e.I" w:hAnsi="VptfcqAdvTT50a2f13e.I"/>
          <w:color w:val="131413"/>
          <w:sz w:val="20"/>
          <w:szCs w:val="20"/>
        </w:rPr>
        <w:t xml:space="preserve">representing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an</w:t>
      </w:r>
    </w:p>
    <w:p>
      <w:pPr>
        <w:pStyle w:val="Normal"/>
        <w:spacing w:before="0" w:after="0"/>
        <w:contextualSpacing/>
        <w:jc w:val="left"/>
        <w:rPr/>
      </w:pPr>
      <w:r>
        <w:rPr>
          <w:rFonts w:eastAsia="Calibri" w:cs="MxkqpvAdvTT3713a231" w:ascii="MxkqpvAdvTT3713a231" w:hAnsi="MxkqpvAdvTT3713a231"/>
          <w:color w:val="131413"/>
          <w:sz w:val="20"/>
          <w:szCs w:val="20"/>
        </w:rPr>
        <w:t>object</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xml:space="preserve">, it is argued that there are instead many ways of </w:t>
      </w:r>
      <w:r>
        <w:rPr>
          <w:rFonts w:eastAsia="Calibri" w:cs="VptfcqAdvTT50a2f13e.I" w:ascii="VptfcqAdvTT50a2f13e.I" w:hAnsi="VptfcqAdvTT50a2f13e.I"/>
          <w:color w:val="131413"/>
          <w:sz w:val="20"/>
          <w:szCs w:val="20"/>
        </w:rPr>
        <w:t xml:space="preserve">practising/doing/enacting </w:t>
      </w:r>
      <w:r>
        <w:rPr>
          <w:rFonts w:eastAsia="Calibri" w:cs="MxkqpvAdvTT3713a231" w:ascii="MxkqpvAdvTT3713a231" w:hAnsi="MxkqpvAdvTT3713a231"/>
          <w:color w:val="131413"/>
          <w:sz w:val="20"/>
          <w:szCs w:val="20"/>
        </w:rPr>
        <w:t>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object. Thus new forms of objects and indeed agents are formed and reformed shape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are reshaped by and within the diachronically contingent assemblages of other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objects, agents, technologies and other heterogeneous materials with which these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continuously engage. That is to say, concrete material practices with their ever shifting</w:t>
      </w:r>
    </w:p>
    <w:p>
      <w:pPr>
        <w:pStyle w:val="Normal"/>
        <w:spacing w:before="0" w:after="0"/>
        <w:contextualSpacing/>
        <w:jc w:val="left"/>
        <w:rPr/>
      </w:pPr>
      <w:r>
        <w:rPr>
          <w:rFonts w:eastAsia="Calibri" w:cs="MxkqpvAdvTT3713a231" w:ascii="MxkqpvAdvTT3713a231" w:hAnsi="MxkqpvAdvTT3713a231"/>
          <w:color w:val="131413"/>
          <w:sz w:val="20"/>
          <w:szCs w:val="20"/>
        </w:rPr>
        <w:t xml:space="preserve">material reconfigurations, lead to new organism-specific makeshift ontological entities and phenomena. The key to this ontological multiplicity is </w:t>
      </w:r>
      <w:r>
        <w:rPr>
          <w:rFonts w:eastAsia="Calibri" w:cs="VptfcqAdvTT50a2f13e.I" w:ascii="VptfcqAdvTT50a2f13e.I" w:hAnsi="VptfcqAdvTT50a2f13e.I"/>
          <w:color w:val="131413"/>
          <w:sz w:val="20"/>
          <w:szCs w:val="20"/>
        </w:rPr>
        <w:t>concrete material practices.</w:t>
      </w:r>
    </w:p>
    <w:p>
      <w:pPr>
        <w:pStyle w:val="Normal"/>
        <w:spacing w:before="0" w:after="0"/>
        <w:contextualSpacing/>
        <w:jc w:val="left"/>
        <w:rPr/>
      </w:pPr>
      <w:r>
        <w:rPr>
          <w:rFonts w:eastAsia="Calibri" w:cs="MxkqpvAdvTT3713a231" w:ascii="MxkqpvAdvTT3713a231" w:hAnsi="MxkqpvAdvTT3713a231"/>
          <w:color w:val="131413"/>
          <w:sz w:val="13"/>
          <w:szCs w:val="13"/>
        </w:rPr>
        <w:t>20</w:t>
      </w:r>
      <w:r>
        <w:rPr>
          <w:rFonts w:eastAsia="Calibri" w:cs="MxkqpvAdvTT3713a231" w:ascii="MxkqpvAdvTT3713a231" w:hAnsi="MxkqpvAdvTT3713a231"/>
          <w:color w:val="131413"/>
          <w:sz w:val="20"/>
          <w:szCs w:val="20"/>
        </w:rPr>
        <w:t xml:space="preserve"> (879-880)</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brings these various threads together, the performative ontology sketched above</w:t>
      </w:r>
    </w:p>
    <w:p>
      <w:pPr>
        <w:pStyle w:val="Normal"/>
        <w:spacing w:before="0" w:after="0"/>
        <w:contextualSpacing/>
        <w:jc w:val="left"/>
        <w:rPr/>
      </w:pPr>
      <w:r>
        <w:rPr>
          <w:rFonts w:eastAsia="Calibri" w:cs="MxkqpvAdvTT3713a231" w:ascii="MxkqpvAdvTT3713a231" w:hAnsi="MxkqpvAdvTT3713a231"/>
          <w:color w:val="131413"/>
          <w:sz w:val="20"/>
          <w:szCs w:val="20"/>
        </w:rPr>
        <w:t xml:space="preserve">opens up possibilities for </w:t>
      </w:r>
      <w:r>
        <w:rPr>
          <w:rFonts w:eastAsia="Calibri" w:cs="VptfcqAdvTT50a2f13e.I" w:ascii="VptfcqAdvTT50a2f13e.I" w:hAnsi="VptfcqAdvTT50a2f13e.I"/>
          <w:color w:val="131413"/>
          <w:sz w:val="20"/>
          <w:szCs w:val="20"/>
        </w:rPr>
        <w:t xml:space="preserve">difference </w:t>
      </w:r>
      <w:r>
        <w:rPr>
          <w:rFonts w:eastAsia="Calibri" w:cs="MxkqpvAdvTT3713a231" w:ascii="MxkqpvAdvTT3713a231" w:hAnsi="MxkqpvAdvTT3713a231"/>
          <w:color w:val="131413"/>
          <w:sz w:val="20"/>
          <w:szCs w:val="20"/>
        </w:rPr>
        <w:t xml:space="preserve">and </w:t>
      </w:r>
      <w:r>
        <w:rPr>
          <w:rFonts w:eastAsia="Calibri" w:cs="VptfcqAdvTT50a2f13e.I" w:ascii="VptfcqAdvTT50a2f13e.I" w:hAnsi="VptfcqAdvTT50a2f13e.I"/>
          <w:color w:val="131413"/>
          <w:sz w:val="20"/>
          <w:szCs w:val="20"/>
        </w:rPr>
        <w:t xml:space="preserve">multiplicity </w:t>
      </w:r>
      <w:r>
        <w:rPr>
          <w:rFonts w:eastAsia="Calibri" w:cs="MxkqpvAdvTT3713a231" w:ascii="MxkqpvAdvTT3713a231" w:hAnsi="MxkqpvAdvTT3713a231"/>
          <w:color w:val="131413"/>
          <w:sz w:val="20"/>
          <w:szCs w:val="20"/>
        </w:rPr>
        <w:t>rather than provide singular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universal truths about the essence of reality itself. We have argued that reality - no</w:t>
      </w:r>
    </w:p>
    <w:p>
      <w:pPr>
        <w:pStyle w:val="Normal"/>
        <w:spacing w:before="0" w:after="0"/>
        <w:contextualSpacing/>
        <w:jc w:val="left"/>
        <w:rPr/>
      </w:pPr>
      <w:r>
        <w:rPr>
          <w:rFonts w:eastAsia="Calibri" w:cs="MxkqpvAdvTT3713a231" w:ascii="MxkqpvAdvTT3713a231" w:hAnsi="MxkqpvAdvTT3713a231"/>
          <w:color w:val="131413"/>
          <w:sz w:val="20"/>
          <w:szCs w:val="20"/>
        </w:rPr>
        <w:t xml:space="preserve">longer </w:t>
      </w:r>
      <w:r>
        <w:rPr>
          <w:rFonts w:eastAsia="Calibri" w:cs="VptfcqAdvTT50a2f13e.I" w:ascii="VptfcqAdvTT50a2f13e.I" w:hAnsi="VptfcqAdvTT50a2f13e.I"/>
          <w:color w:val="131413"/>
          <w:sz w:val="20"/>
          <w:szCs w:val="20"/>
        </w:rPr>
        <w:t xml:space="preserve">the world </w:t>
      </w:r>
      <w:r>
        <w:rPr>
          <w:rFonts w:eastAsia="Calibri" w:cs="MxkqpvAdvTT3713a231" w:ascii="MxkqpvAdvTT3713a231" w:hAnsi="MxkqpvAdvTT3713a231"/>
          <w:color w:val="131413"/>
          <w:sz w:val="20"/>
          <w:szCs w:val="20"/>
        </w:rPr>
        <w:t xml:space="preserve">but </w:t>
      </w:r>
      <w:r>
        <w:rPr>
          <w:rFonts w:eastAsia="Calibri" w:cs="VptfcqAdvTT50a2f13e.I" w:ascii="VptfcqAdvTT50a2f13e.I" w:hAnsi="VptfcqAdvTT50a2f13e.I"/>
          <w:color w:val="131413"/>
          <w:sz w:val="20"/>
          <w:szCs w:val="20"/>
        </w:rPr>
        <w:t xml:space="preserve">worlds in the plural </w:t>
      </w:r>
      <w:r>
        <w:rPr>
          <w:rFonts w:eastAsia="Calibri" w:cs="MxkqpvAdvTT3713a231" w:ascii="MxkqpvAdvTT3713a231" w:hAnsi="MxkqpvAdvTT3713a231"/>
          <w:color w:val="131413"/>
          <w:sz w:val="20"/>
          <w:szCs w:val="20"/>
        </w:rPr>
        <w:t>- is neither fixed nor pregiven but rather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temporal and diachronic, malleable, fluid and ultimately multiple. This malleability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multiplicity was shown to be creatively realised in a multiplicity of ways under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different interactions and within different contexts, all of which lead to new, often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unpredictable, makeshift organism-specific ontological entities. (881)</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thus we have provided the beginnings of an answer to both enactive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questions; what is there if there is no pregiven world and how can organisms</w:t>
      </w:r>
    </w:p>
    <w:p>
      <w:pPr>
        <w:pStyle w:val="Normal"/>
        <w:spacing w:before="0" w:after="0"/>
        <w:contextualSpacing/>
        <w:jc w:val="left"/>
        <w:rPr/>
      </w:pPr>
      <w:r>
        <w:rPr>
          <w:rFonts w:eastAsia="Calibri" w:cs="MxkqpvAdvTT3713a231" w:ascii="MxkqpvAdvTT3713a231" w:hAnsi="MxkqpvAdvTT3713a231"/>
          <w:color w:val="131413"/>
          <w:sz w:val="20"/>
          <w:szCs w:val="20"/>
        </w:rPr>
        <w:t xml:space="preserve">bring forth </w:t>
      </w:r>
      <w:r>
        <w:rPr>
          <w:rFonts w:eastAsia="Calibri" w:cs="VptfcqAdvTT50a2f13e.I" w:ascii="VptfcqAdvTT50a2f13e.I" w:hAnsi="VptfcqAdvTT50a2f13e.I"/>
          <w:color w:val="131413"/>
          <w:sz w:val="20"/>
          <w:szCs w:val="20"/>
        </w:rPr>
        <w:t xml:space="preserve">worlds </w:t>
      </w:r>
      <w:r>
        <w:rPr>
          <w:rFonts w:eastAsia="Calibri" w:cs="MxkqpvAdvTT3713a231" w:ascii="MxkqpvAdvTT3713a231" w:hAnsi="MxkqpvAdvTT3713a231"/>
          <w:color w:val="131413"/>
          <w:sz w:val="20"/>
          <w:szCs w:val="20"/>
        </w:rPr>
        <w:t>which are not grounded on perspectives. Our proposal was</w:t>
      </w:r>
    </w:p>
    <w:p>
      <w:pPr>
        <w:pStyle w:val="Normal"/>
        <w:spacing w:before="0" w:after="0"/>
        <w:contextualSpacing/>
        <w:jc w:val="left"/>
        <w:rPr/>
      </w:pPr>
      <w:r>
        <w:rPr>
          <w:rFonts w:eastAsia="Calibri" w:cs="MxkqpvAdvTT3713a231" w:ascii="MxkqpvAdvTT3713a231" w:hAnsi="MxkqpvAdvTT3713a231"/>
          <w:color w:val="131413"/>
          <w:sz w:val="20"/>
          <w:szCs w:val="20"/>
        </w:rPr>
        <w:t xml:space="preserve">principally premised on a move from epistemology - from what we </w:t>
      </w:r>
      <w:r>
        <w:rPr>
          <w:rFonts w:eastAsia="Calibri" w:cs="VptfcqAdvTT50a2f13e.I" w:ascii="VptfcqAdvTT50a2f13e.I" w:hAnsi="VptfcqAdvTT50a2f13e.I"/>
          <w:color w:val="131413"/>
          <w:sz w:val="20"/>
          <w:szCs w:val="20"/>
        </w:rPr>
        <w:t xml:space="preserve">know </w:t>
      </w:r>
      <w:r>
        <w:rPr>
          <w:rFonts w:eastAsia="Calibri" w:cs="MxkqpvAdvTT3713a231" w:ascii="MxkqpvAdvTT3713a231" w:hAnsi="MxkqpvAdvTT3713a231"/>
          <w:color w:val="131413"/>
          <w:sz w:val="20"/>
          <w:szCs w:val="20"/>
        </w:rPr>
        <w:t>- to a</w:t>
      </w:r>
    </w:p>
    <w:p>
      <w:pPr>
        <w:pStyle w:val="Normal"/>
        <w:spacing w:before="0" w:after="0"/>
        <w:contextualSpacing/>
        <w:jc w:val="left"/>
        <w:rPr/>
      </w:pPr>
      <w:r>
        <w:rPr>
          <w:rFonts w:eastAsia="Calibri" w:cs="MxkqpvAdvTT3713a231" w:ascii="MxkqpvAdvTT3713a231" w:hAnsi="MxkqpvAdvTT3713a231"/>
          <w:color w:val="131413"/>
          <w:sz w:val="20"/>
          <w:szCs w:val="20"/>
        </w:rPr>
        <w:t xml:space="preserve">practical and deflationary conception of ontology - to what there </w:t>
      </w:r>
      <w:r>
        <w:rPr>
          <w:rFonts w:eastAsia="Calibri" w:cs="VptfcqAdvTT50a2f13e.I" w:ascii="VptfcqAdvTT50a2f13e.I" w:hAnsi="VptfcqAdvTT50a2f13e.I"/>
          <w:color w:val="131413"/>
          <w:sz w:val="20"/>
          <w:szCs w:val="20"/>
        </w:rPr>
        <w:t xml:space="preserve">is </w:t>
      </w:r>
      <w:r>
        <w:rPr>
          <w:rFonts w:eastAsia="Calibri" w:cs="MxkqpvAdvTT3713a231" w:ascii="MxkqpvAdvTT3713a231" w:hAnsi="MxkqpvAdvTT3713a231"/>
          <w:color w:val="131413"/>
          <w:sz w:val="20"/>
          <w:szCs w:val="20"/>
        </w:rPr>
        <w:t>and how it is</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done. </w:t>
      </w:r>
      <w:r>
        <w:rPr>
          <w:rFonts w:eastAsia="Calibri" w:cs="MxkqpvAdvTT3713a231" w:ascii="MxkqpvAdvTT3713a231" w:hAnsi="MxkqpvAdvTT3713a231"/>
          <w:color w:val="131413"/>
          <w:sz w:val="20"/>
          <w:szCs w:val="20"/>
        </w:rPr>
        <w:t>This enabled us to both address some of the potential excesses of 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uncritical representationalism and the pitfalls of inadvertently epistemologizing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ontology. With this we now have all the pieces to assemble our BE account of</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organismic world constitution. (881)</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RgsyshAdvTTb8864ccf.B" w:hAnsi="RgsyshAdvTTb8864ccf.B" w:eastAsia="Calibri" w:cs="RgsyshAdvTTb8864ccf.B"/>
          <w:color w:val="131413"/>
          <w:sz w:val="20"/>
          <w:szCs w:val="20"/>
        </w:rPr>
      </w:pPr>
      <w:r>
        <w:rPr>
          <w:rFonts w:eastAsia="Calibri" w:cs="RgsyshAdvTTb8864ccf.B" w:ascii="RgsyshAdvTTb8864ccf.B" w:hAnsi="RgsyshAdvTTb8864ccf.B"/>
          <w:color w:val="131413"/>
          <w:sz w:val="20"/>
          <w:szCs w:val="20"/>
        </w:rPr>
        <w:t>4.3 Bio-semiosis: Worlds without perspectives</w:t>
      </w:r>
    </w:p>
    <w:p>
      <w:pPr>
        <w:pStyle w:val="Normal"/>
        <w:spacing w:before="0" w:after="0"/>
        <w:contextualSpacing/>
        <w:jc w:val="left"/>
        <w:rPr/>
      </w:pPr>
      <w:r>
        <w:rPr>
          <w:rFonts w:eastAsia="Calibri" w:cs="MxkqpvAdvTT3713a231" w:ascii="MxkqpvAdvTT3713a231" w:hAnsi="MxkqpvAdvTT3713a231"/>
          <w:color w:val="131413"/>
          <w:sz w:val="20"/>
          <w:szCs w:val="20"/>
        </w:rPr>
        <w:t xml:space="preserve">What a performative ontology gives us is </w:t>
      </w:r>
      <w:r>
        <w:rPr>
          <w:rFonts w:eastAsia="Calibri" w:cs="VptfcqAdvTT50a2f13e.I" w:ascii="VptfcqAdvTT50a2f13e.I" w:hAnsi="VptfcqAdvTT50a2f13e.I"/>
          <w:color w:val="131413"/>
          <w:sz w:val="20"/>
          <w:szCs w:val="20"/>
        </w:rPr>
        <w:t>multiple worlds as ontologically constituted</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through concrete material enactive engagements. </w:t>
      </w:r>
      <w:r>
        <w:rPr>
          <w:rFonts w:eastAsia="Calibri" w:cs="MxkqpvAdvTT3713a231" w:ascii="MxkqpvAdvTT3713a231" w:hAnsi="MxkqpvAdvTT3713a231"/>
          <w:color w:val="131413"/>
          <w:sz w:val="20"/>
          <w:szCs w:val="20"/>
        </w:rPr>
        <w:t>What I now want to do is take the</w:t>
      </w:r>
    </w:p>
    <w:p>
      <w:pPr>
        <w:pStyle w:val="Normal"/>
        <w:spacing w:before="0" w:after="0"/>
        <w:contextualSpacing/>
        <w:jc w:val="left"/>
        <w:rPr/>
      </w:pPr>
      <w:r>
        <w:rPr>
          <w:rFonts w:eastAsia="Calibri" w:cs="MxkqpvAdvTT3713a231" w:ascii="MxkqpvAdvTT3713a231" w:hAnsi="MxkqpvAdvTT3713a231"/>
          <w:color w:val="131413"/>
          <w:sz w:val="20"/>
          <w:szCs w:val="20"/>
        </w:rPr>
        <w:t xml:space="preserve">above insights and use them as the basis to argue that </w:t>
      </w:r>
      <w:r>
        <w:rPr>
          <w:rFonts w:eastAsia="Calibri" w:cs="VptfcqAdvTT50a2f13e.I" w:ascii="VptfcqAdvTT50a2f13e.I" w:hAnsi="VptfcqAdvTT50a2f13e.I"/>
          <w:color w:val="131413"/>
          <w:sz w:val="20"/>
          <w:szCs w:val="20"/>
        </w:rPr>
        <w:t xml:space="preserve">all living organisms </w:t>
      </w:r>
      <w:r>
        <w:rPr>
          <w:rFonts w:eastAsia="Calibri" w:cs="MxkqpvAdvTT3713a231" w:ascii="MxkqpvAdvTT3713a231" w:hAnsi="MxkqpvAdvTT3713a231"/>
          <w:color w:val="131413"/>
          <w:sz w:val="20"/>
          <w:szCs w:val="20"/>
        </w:rPr>
        <w:t>enact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ontologically multiple worlds which are immensely richer and more diverse than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epistemic representational artefacts inferred from a human-centred perspective. In other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words, there are other (multiple) realities beyond the human. In order to do so we need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bring BE back to the table.</w:t>
      </w:r>
    </w:p>
    <w:p>
      <w:pPr>
        <w:pStyle w:val="Normal"/>
        <w:spacing w:before="0" w:after="0"/>
        <w:contextualSpacing/>
        <w:jc w:val="left"/>
        <w:rPr/>
      </w:pPr>
      <w:r>
        <w:rPr>
          <w:rFonts w:eastAsia="Calibri" w:cs="MxkqpvAdvTT3713a231" w:ascii="MxkqpvAdvTT3713a231" w:hAnsi="MxkqpvAdvTT3713a231"/>
          <w:color w:val="131413"/>
          <w:sz w:val="20"/>
          <w:szCs w:val="20"/>
        </w:rPr>
        <w:t xml:space="preserve">If we ground BE on a performative ontology, the practices and relations - </w:t>
      </w:r>
      <w:r>
        <w:rPr>
          <w:rFonts w:eastAsia="Calibri" w:cs="VptfcqAdvTT50a2f13e.I" w:ascii="VptfcqAdvTT50a2f13e.I" w:hAnsi="VptfcqAdvTT50a2f13e.I"/>
          <w:color w:val="131413"/>
          <w:sz w:val="20"/>
          <w:szCs w:val="20"/>
        </w:rPr>
        <w:t xml:space="preserve">enactments </w:t>
      </w:r>
      <w:r>
        <w:rPr>
          <w:rFonts w:eastAsia="Calibri" w:cs="MxkqpvAdvTT3713a231" w:ascii="MxkqpvAdvTT3713a231" w:hAnsi="MxkqpvAdvTT3713a231"/>
          <w:color w:val="131413"/>
          <w:sz w:val="20"/>
          <w:szCs w:val="20"/>
        </w:rPr>
        <w:t>- on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basis of whichmultiple realities emerge, can be conceived as (i) meaningful processes of</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bio-semiosis involving signs </w:t>
      </w:r>
      <w:r>
        <w:rPr>
          <w:rFonts w:eastAsia="Calibri" w:cs="MxkqpvAdvTT3713a231" w:ascii="MxkqpvAdvTT3713a231" w:hAnsi="MxkqpvAdvTT3713a231"/>
          <w:color w:val="131413"/>
          <w:sz w:val="20"/>
          <w:szCs w:val="20"/>
        </w:rPr>
        <w:t xml:space="preserve">which (ii) are performed by </w:t>
      </w:r>
      <w:r>
        <w:rPr>
          <w:rFonts w:eastAsia="Calibri" w:cs="VptfcqAdvTT50a2f13e.I" w:ascii="VptfcqAdvTT50a2f13e.I" w:hAnsi="VptfcqAdvTT50a2f13e.I"/>
          <w:color w:val="131413"/>
          <w:sz w:val="20"/>
          <w:szCs w:val="20"/>
        </w:rPr>
        <w:t xml:space="preserve">all living organisms </w:t>
      </w:r>
      <w:r>
        <w:rPr>
          <w:rFonts w:eastAsia="Calibri" w:cs="MxkqpvAdvTT3713a231" w:ascii="MxkqpvAdvTT3713a231" w:hAnsi="MxkqpvAdvTT3713a231"/>
          <w:color w:val="131413"/>
          <w:sz w:val="20"/>
          <w:szCs w:val="20"/>
        </w:rPr>
        <w:t>and not</w:t>
      </w:r>
    </w:p>
    <w:p>
      <w:pPr>
        <w:pStyle w:val="Normal"/>
        <w:spacing w:before="0" w:after="0"/>
        <w:contextualSpacing/>
        <w:jc w:val="left"/>
        <w:rPr/>
      </w:pPr>
      <w:r>
        <w:rPr>
          <w:rFonts w:eastAsia="Calibri" w:cs="MxkqpvAdvTT3713a231" w:ascii="MxkqpvAdvTT3713a231" w:hAnsi="MxkqpvAdvTT3713a231"/>
          <w:color w:val="131413"/>
          <w:sz w:val="20"/>
          <w:szCs w:val="20"/>
        </w:rPr>
        <w:t xml:space="preserve">humans alone. Because bio-semiosis </w:t>
      </w:r>
      <w:r>
        <w:rPr>
          <w:rFonts w:eastAsia="Calibri" w:cs="VptfcqAdvTT50a2f13e.I" w:ascii="VptfcqAdvTT50a2f13e.I" w:hAnsi="VptfcqAdvTT50a2f13e.I"/>
          <w:color w:val="131413"/>
          <w:sz w:val="20"/>
          <w:szCs w:val="20"/>
        </w:rPr>
        <w:t xml:space="preserve">is </w:t>
      </w:r>
      <w:r>
        <w:rPr>
          <w:rFonts w:eastAsia="Calibri" w:cs="MxkqpvAdvTT3713a231" w:ascii="MxkqpvAdvTT3713a231" w:hAnsi="MxkqpvAdvTT3713a231"/>
          <w:color w:val="131413"/>
          <w:sz w:val="20"/>
          <w:szCs w:val="20"/>
        </w:rPr>
        <w:t>a process of signification and because nonhuman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living organisms can also use signs they too need to be regarded as meaning-making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creatures. This enables us to make genuine ontological claims about both meaning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reality beyond the human domain. But unlike enactivism we are not doing so by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epistemologizing ontology, by drawing on our own lived experience or abstract models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representations. Rather we are doing so by ontologically grounding, in the sense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sketched out above, all processes of bio-semiosis. All living organisms, human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nonhumans alike, are spontaneously responsive and creative enactive embodied beings.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All lives inhabit an entangled web of intermingled enacted material realities guided by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natural and artificial signs.Within these dynamic unfolding realities of agential bio-semiotic</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activity, nothing exists in complete separation from anything else. (881)</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illustrate this ontological reformulation of BE, consider for example, the spider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which casts its web in a particular location in order to catch flies or the bird which</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feigns a broken wing so as to lure away a predator from its nest. In both these examples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organism benefits from its creative ability, which is either acquired through</w:t>
      </w:r>
    </w:p>
    <w:p>
      <w:pPr>
        <w:pStyle w:val="Normal"/>
        <w:spacing w:before="0" w:after="0"/>
        <w:contextualSpacing/>
        <w:jc w:val="left"/>
        <w:rPr/>
      </w:pPr>
      <w:r>
        <w:rPr>
          <w:rFonts w:eastAsia="Calibri" w:cs="MxkqpvAdvTT3713a231" w:ascii="MxkqpvAdvTT3713a231" w:hAnsi="MxkqpvAdvTT3713a231"/>
          <w:color w:val="131413"/>
          <w:sz w:val="20"/>
          <w:szCs w:val="20"/>
        </w:rPr>
        <w:t xml:space="preserve">phylogeny or ontogeny, to </w:t>
      </w:r>
      <w:r>
        <w:rPr>
          <w:rFonts w:eastAsia="Calibri" w:cs="VptfcqAdvTT50a2f13e.I" w:ascii="VptfcqAdvTT50a2f13e.I" w:hAnsi="VptfcqAdvTT50a2f13e.I"/>
          <w:color w:val="131413"/>
          <w:sz w:val="20"/>
          <w:szCs w:val="20"/>
        </w:rPr>
        <w:t xml:space="preserve">multiply enact </w:t>
      </w:r>
      <w:r>
        <w:rPr>
          <w:rFonts w:eastAsia="Calibri" w:cs="MxkqpvAdvTT3713a231" w:ascii="MxkqpvAdvTT3713a231" w:hAnsi="MxkqpvAdvTT3713a231"/>
          <w:color w:val="131413"/>
          <w:sz w:val="20"/>
          <w:szCs w:val="20"/>
        </w:rPr>
        <w:t>certain covariant regularities - signs - in its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environment. Insofar as these covarying relations are enacted by the organism they are</w:t>
      </w:r>
    </w:p>
    <w:p>
      <w:pPr>
        <w:pStyle w:val="Normal"/>
        <w:spacing w:before="0" w:after="0"/>
        <w:contextualSpacing/>
        <w:jc w:val="left"/>
        <w:rPr/>
      </w:pPr>
      <w:r>
        <w:rPr>
          <w:rFonts w:eastAsia="Calibri" w:cs="VptfcqAdvTT50a2f13e.I" w:ascii="VptfcqAdvTT50a2f13e.I" w:hAnsi="VptfcqAdvTT50a2f13e.I"/>
          <w:color w:val="131413"/>
          <w:sz w:val="20"/>
          <w:szCs w:val="20"/>
        </w:rPr>
        <w:t>bio-semiotic relations</w:t>
      </w:r>
      <w:r>
        <w:rPr>
          <w:rFonts w:eastAsia="Calibri" w:cs="MxkqpvAdvTT3713a231" w:ascii="MxkqpvAdvTT3713a231" w:hAnsi="MxkqpvAdvTT3713a231"/>
          <w:color w:val="131413"/>
          <w:sz w:val="20"/>
          <w:szCs w:val="20"/>
        </w:rPr>
        <w:t>. (882)</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This should go someway towards further clarifying how it is that organisms in</w:t>
      </w:r>
    </w:p>
    <w:p>
      <w:pPr>
        <w:pStyle w:val="Normal"/>
        <w:spacing w:before="0" w:after="0"/>
        <w:contextualSpacing/>
        <w:jc w:val="left"/>
        <w:rPr/>
      </w:pPr>
      <w:r>
        <w:rPr>
          <w:rFonts w:eastAsia="Calibri" w:cs="MxkqpvAdvTT3713a231" w:ascii="MxkqpvAdvTT3713a231" w:hAnsi="MxkqpvAdvTT3713a231"/>
          <w:color w:val="131413"/>
          <w:sz w:val="20"/>
          <w:szCs w:val="20"/>
        </w:rPr>
        <w:t xml:space="preserve">general and not just human beings alone can have </w:t>
      </w:r>
      <w:r>
        <w:rPr>
          <w:rFonts w:eastAsia="Calibri" w:cs="VptfcqAdvTT50a2f13e.I" w:ascii="VptfcqAdvTT50a2f13e.I" w:hAnsi="VptfcqAdvTT50a2f13e.I"/>
          <w:color w:val="131413"/>
          <w:sz w:val="20"/>
          <w:szCs w:val="20"/>
        </w:rPr>
        <w:t xml:space="preserve">unique worlds </w:t>
      </w:r>
      <w:r>
        <w:rPr>
          <w:rFonts w:eastAsia="Calibri" w:cs="MxkqpvAdvTT3713a231" w:ascii="MxkqpvAdvTT3713a231" w:hAnsi="MxkqpvAdvTT3713a231"/>
          <w:color w:val="131413"/>
          <w:sz w:val="20"/>
          <w:szCs w:val="20"/>
        </w:rPr>
        <w:t>rather than mere</w:t>
      </w:r>
    </w:p>
    <w:p>
      <w:pPr>
        <w:pStyle w:val="Normal"/>
        <w:spacing w:before="0" w:after="0"/>
        <w:contextualSpacing/>
        <w:jc w:val="left"/>
        <w:rPr/>
      </w:pPr>
      <w:r>
        <w:rPr>
          <w:rFonts w:eastAsia="Calibri" w:cs="MxkqpvAdvTT3713a231" w:ascii="MxkqpvAdvTT3713a231" w:hAnsi="MxkqpvAdvTT3713a231"/>
          <w:color w:val="131413"/>
          <w:sz w:val="20"/>
          <w:szCs w:val="20"/>
        </w:rPr>
        <w:t xml:space="preserve">perspectives or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points of view</w:t>
      </w:r>
      <w:r>
        <w:rPr>
          <w:rFonts w:eastAsia="Calibri" w:cs="RhkwgmAdvP0005" w:ascii="RhkwgmAdvP0005" w:hAnsi="RhkwgmAdvP0005"/>
          <w:color w:val="131413"/>
          <w:sz w:val="20"/>
          <w:szCs w:val="20"/>
        </w:rPr>
        <w:t xml:space="preserve">^ </w:t>
      </w:r>
      <w:r>
        <w:rPr>
          <w:rFonts w:eastAsia="Calibri" w:cs="VptfcqAdvTT50a2f13e.I" w:ascii="VptfcqAdvTT50a2f13e.I" w:hAnsi="VptfcqAdvTT50a2f13e.I"/>
          <w:color w:val="131413"/>
          <w:sz w:val="20"/>
          <w:szCs w:val="20"/>
        </w:rPr>
        <w:t xml:space="preserve">on the </w:t>
      </w:r>
      <w:r>
        <w:rPr>
          <w:rFonts w:eastAsia="Calibri" w:cs="MxkqpvAdvTT3713a231" w:ascii="MxkqpvAdvTT3713a231" w:hAnsi="MxkqpvAdvTT3713a231"/>
          <w:color w:val="131413"/>
          <w:sz w:val="20"/>
          <w:szCs w:val="20"/>
        </w:rPr>
        <w:t>world. To try and avoid possible confusion it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will be worth pausing here to further unpack this claim. The first point to note is that, if</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worlds are in fact brought forth as enactivists maintain, then surely no organism can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have a point of view or perspective on it. Enacting something, in the stricter ontological</w:t>
      </w:r>
    </w:p>
    <w:p>
      <w:pPr>
        <w:pStyle w:val="Normal"/>
        <w:spacing w:before="0" w:after="0"/>
        <w:contextualSpacing/>
        <w:jc w:val="left"/>
        <w:rPr/>
      </w:pPr>
      <w:r>
        <w:rPr>
          <w:rFonts w:eastAsia="Calibri" w:cs="MxkqpvAdvTT3713a231" w:ascii="MxkqpvAdvTT3713a231" w:hAnsi="MxkqpvAdvTT3713a231"/>
          <w:color w:val="131413"/>
          <w:sz w:val="20"/>
          <w:szCs w:val="20"/>
        </w:rPr>
        <w:t>sense developed here, precludes the possibility of taking a perspective on it.</w:t>
      </w:r>
      <w:r>
        <w:rPr>
          <w:rFonts w:eastAsia="Calibri" w:cs="MxkqpvAdvTT3713a231" w:ascii="MxkqpvAdvTT3713a231" w:hAnsi="MxkqpvAdvTT3713a231"/>
          <w:color w:val="131413"/>
          <w:sz w:val="13"/>
          <w:szCs w:val="13"/>
        </w:rPr>
        <w:t xml:space="preserve">21 </w:t>
      </w:r>
      <w:r>
        <w:rPr>
          <w:rFonts w:eastAsia="Calibri" w:cs="MxkqpvAdvTT3713a231" w:ascii="MxkqpvAdvTT3713a231" w:hAnsi="MxkqpvAdvTT3713a231"/>
          <w:color w:val="131413"/>
          <w:sz w:val="20"/>
          <w:szCs w:val="20"/>
        </w:rPr>
        <w:t>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 xml:space="preserve">move to a performative ontology should make this point fairly clear.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Putting this aside for the moment, some readers might want to object that, on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surface at least, the alternative BE proposal defended here appears to be committed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precisely such a claim </w:t>
      </w:r>
      <w:r>
        <w:rPr>
          <w:rFonts w:eastAsia="Calibri" w:cs="VptfcqAdvTT50a2f13e.I" w:ascii="VptfcqAdvTT50a2f13e.I" w:hAnsi="VptfcqAdvTT50a2f13e.I"/>
          <w:color w:val="131413"/>
          <w:sz w:val="20"/>
          <w:szCs w:val="20"/>
        </w:rPr>
        <w:t xml:space="preserve">vis-à-vis </w:t>
      </w:r>
      <w:r>
        <w:rPr>
          <w:rFonts w:eastAsia="Calibri" w:cs="MxkqpvAdvTT3713a231" w:ascii="MxkqpvAdvTT3713a231" w:hAnsi="MxkqpvAdvTT3713a231"/>
          <w:color w:val="131413"/>
          <w:sz w:val="20"/>
          <w:szCs w:val="20"/>
        </w:rPr>
        <w:t>the bio-semiosis of the living. Not so. As we saw above</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 enactive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point of view</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 xml:space="preserve">is an epistemic one: different systems have a point of view on </w:t>
      </w:r>
      <w:r>
        <w:rPr>
          <w:rFonts w:eastAsia="Calibri" w:cs="VptfcqAdvTT50a2f13e.I" w:ascii="VptfcqAdvTT50a2f13e.I" w:hAnsi="VptfcqAdvTT50a2f13e.I"/>
          <w:color w:val="131413"/>
          <w:sz w:val="20"/>
          <w:szCs w:val="20"/>
        </w:rPr>
        <w:t xml:space="preserve">the </w:t>
      </w:r>
      <w:r>
        <w:rPr>
          <w:rFonts w:eastAsia="Calibri" w:cs="MxkqpvAdvTT3713a231" w:ascii="MxkqpvAdvTT3713a231" w:hAnsi="MxkqpvAdvTT3713a231"/>
          <w:color w:val="131413"/>
          <w:sz w:val="20"/>
          <w:szCs w:val="20"/>
        </w:rPr>
        <w:t>world, a perceptual schematisation of objects. Although BE is sympathetic 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some of the intuitions motivating aspects of this claim it nonetheless reverses it by, as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we have seen above, ontologizing it. To reiterate, rather than claiming that all living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organisms have unique points of view, BE maintains that all living organisms enact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ontologically unique realities. It is in this sense that realities are argued to be done</w:t>
      </w:r>
    </w:p>
    <w:p>
      <w:pPr>
        <w:pStyle w:val="Normal"/>
        <w:spacing w:before="0" w:after="0"/>
        <w:contextualSpacing/>
        <w:jc w:val="left"/>
        <w:rPr/>
      </w:pPr>
      <w:r>
        <w:rPr>
          <w:rFonts w:eastAsia="Calibri" w:cs="MxkqpvAdvTT3713a231" w:ascii="MxkqpvAdvTT3713a231" w:hAnsi="MxkqpvAdvTT3713a231"/>
          <w:color w:val="131413"/>
          <w:sz w:val="20"/>
          <w:szCs w:val="20"/>
        </w:rPr>
        <w:t xml:space="preserve">rather than just observed. If so, then a living organism's existence is more than a </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point</w:t>
      </w:r>
    </w:p>
    <w:p>
      <w:pPr>
        <w:pStyle w:val="Normal"/>
        <w:spacing w:before="0" w:after="0"/>
        <w:contextualSpacing/>
        <w:jc w:val="left"/>
        <w:rPr/>
      </w:pPr>
      <w:r>
        <w:rPr>
          <w:rFonts w:eastAsia="Calibri" w:cs="MxkqpvAdvTT3713a231" w:ascii="MxkqpvAdvTT3713a231" w:hAnsi="MxkqpvAdvTT3713a231"/>
          <w:color w:val="131413"/>
          <w:sz w:val="20"/>
          <w:szCs w:val="20"/>
        </w:rPr>
        <w:t xml:space="preserve">of view' onto reality, it is a reality in itself (Viveiros de Castro </w:t>
      </w:r>
      <w:r>
        <w:rPr>
          <w:rFonts w:eastAsia="Calibri" w:cs="MxkqpvAdvTT3713a231" w:ascii="MxkqpvAdvTT3713a231" w:hAnsi="MxkqpvAdvTT3713a231"/>
          <w:color w:val="0000FF"/>
          <w:sz w:val="20"/>
          <w:szCs w:val="20"/>
        </w:rPr>
        <w:t>2004</w:t>
      </w:r>
      <w:r>
        <w:rPr>
          <w:rFonts w:eastAsia="Calibri" w:cs="MxkqpvAdvTT3713a231" w:ascii="MxkqpvAdvTT3713a231" w:hAnsi="MxkqpvAdvTT3713a231"/>
          <w:color w:val="131413"/>
          <w:sz w:val="20"/>
          <w:szCs w:val="20"/>
        </w:rPr>
        <w:t>). A kinship analogy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drawn from the anthropologist Viveiros de Castro might help further bring home this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point. (882-3)</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pPr>
      <w:r>
        <w:rPr>
          <w:rFonts w:eastAsia="Calibri" w:cs="MxkqpvAdvTT3713a231" w:ascii="MxkqpvAdvTT3713a231" w:hAnsi="MxkqpvAdvTT3713a231"/>
          <w:color w:val="131413"/>
          <w:sz w:val="20"/>
          <w:szCs w:val="20"/>
        </w:rPr>
        <w:t xml:space="preserve">Finally, note that this ontological approach also helps us to re-inscribe </w:t>
      </w:r>
      <w:r>
        <w:rPr>
          <w:rFonts w:eastAsia="Calibri" w:cs="VptfcqAdvTT50a2f13e.I" w:ascii="VptfcqAdvTT50a2f13e.I" w:hAnsi="VptfcqAdvTT50a2f13e.I"/>
          <w:color w:val="131413"/>
          <w:sz w:val="20"/>
          <w:szCs w:val="20"/>
        </w:rPr>
        <w:t xml:space="preserve">difference </w:t>
      </w:r>
      <w:r>
        <w:rPr>
          <w:rFonts w:eastAsia="Calibri" w:cs="MxkqpvAdvTT3713a231" w:ascii="MxkqpvAdvTT3713a231" w:hAnsi="MxkqpvAdvTT3713a231"/>
          <w:color w:val="131413"/>
          <w:sz w:val="20"/>
          <w:szCs w:val="20"/>
        </w:rPr>
        <w:t>into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very fabric of the living world. There is an inherent diversity to organismic agencies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worlds which cannot be reduced to the disparity of endless perspectives. Enactive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sense-making, in being excessively focused on both the epistemic and phenomenological,</w:t>
      </w:r>
    </w:p>
    <w:p>
      <w:pPr>
        <w:pStyle w:val="Normal"/>
        <w:spacing w:before="0" w:after="0"/>
        <w:contextualSpacing/>
        <w:jc w:val="left"/>
        <w:rPr/>
      </w:pPr>
      <w:r>
        <w:rPr>
          <w:rFonts w:eastAsia="Calibri" w:cs="MxkqpvAdvTT3713a231" w:ascii="MxkqpvAdvTT3713a231" w:hAnsi="MxkqpvAdvTT3713a231"/>
          <w:color w:val="131413"/>
          <w:sz w:val="20"/>
          <w:szCs w:val="20"/>
        </w:rPr>
        <w:t xml:space="preserve">has obscured </w:t>
      </w:r>
      <w:r>
        <w:rPr>
          <w:rFonts w:eastAsia="Calibri" w:cs="VptfcqAdvTT50a2f13e.I" w:ascii="VptfcqAdvTT50a2f13e.I" w:hAnsi="VptfcqAdvTT50a2f13e.I"/>
          <w:color w:val="131413"/>
          <w:sz w:val="20"/>
          <w:szCs w:val="20"/>
        </w:rPr>
        <w:t xml:space="preserve">ontological </w:t>
      </w:r>
      <w:r>
        <w:rPr>
          <w:rFonts w:eastAsia="Calibri" w:cs="MxkqpvAdvTT3713a231" w:ascii="MxkqpvAdvTT3713a231" w:hAnsi="MxkqpvAdvTT3713a231"/>
          <w:color w:val="131413"/>
          <w:sz w:val="20"/>
          <w:szCs w:val="20"/>
        </w:rPr>
        <w:t>difference pertaining to the living world and tends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slide into an unwarranted anthropocentrism (De Jesus </w:t>
      </w:r>
      <w:r>
        <w:rPr>
          <w:rFonts w:eastAsia="Calibri" w:cs="MxkqpvAdvTT3713a231" w:ascii="MxkqpvAdvTT3713a231" w:hAnsi="MxkqpvAdvTT3713a231"/>
          <w:color w:val="0000FF"/>
          <w:sz w:val="20"/>
          <w:szCs w:val="20"/>
        </w:rPr>
        <w:t>2016a</w:t>
      </w:r>
      <w:r>
        <w:rPr>
          <w:rFonts w:eastAsia="Calibri" w:cs="MxkqpvAdvTT3713a231" w:ascii="MxkqpvAdvTT3713a231" w:hAnsi="MxkqpvAdvTT3713a231"/>
          <w:color w:val="131413"/>
          <w:sz w:val="20"/>
          <w:szCs w:val="20"/>
        </w:rPr>
        <w:t>). The approach sketched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out above takes some steps towards rectifying this by opening up a space for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manifestation of the rich diversity of all living organisms which can dignify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multiplicity of their idiosyncratic meaningful worlds. It goes beyond the anthropocentric</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bias of enactivism by providing a means to recognise and appreciate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manifold diversity inherent in nature. But, note again that difference has been cast as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rather than epistemological, so as to ensure the richer ontology of worlds</w:t>
      </w:r>
    </w:p>
    <w:p>
      <w:pPr>
        <w:pStyle w:val="Normal"/>
        <w:spacing w:before="0" w:after="0"/>
        <w:contextualSpacing/>
        <w:jc w:val="left"/>
        <w:rPr/>
      </w:pPr>
      <w:r>
        <w:rPr>
          <w:rFonts w:eastAsia="Calibri" w:cs="MxkqpvAdvTT3713a231" w:ascii="MxkqpvAdvTT3713a231" w:hAnsi="MxkqpvAdvTT3713a231"/>
          <w:color w:val="131413"/>
          <w:sz w:val="20"/>
          <w:szCs w:val="20"/>
        </w:rPr>
        <w:t>and not lapse into world-views or perspectives</w:t>
      </w:r>
      <w:r>
        <w:rPr>
          <w:rFonts w:eastAsia="Calibri" w:cs="VptfcqAdvTT50a2f13e.I" w:ascii="VptfcqAdvTT50a2f13e.I" w:hAnsi="VptfcqAdvTT50a2f13e.I"/>
          <w:color w:val="131413"/>
          <w:sz w:val="20"/>
          <w:szCs w:val="20"/>
        </w:rPr>
        <w:t xml:space="preserve">. </w:t>
      </w:r>
      <w:r>
        <w:rPr>
          <w:rFonts w:eastAsia="Calibri" w:cs="MxkqpvAdvTT3713a231" w:ascii="MxkqpvAdvTT3713a231" w:hAnsi="MxkqpvAdvTT3713a231"/>
          <w:color w:val="131413"/>
          <w:sz w:val="20"/>
          <w:szCs w:val="20"/>
        </w:rPr>
        <w:t xml:space="preserve">As Donna Haraway points out,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we</w:t>
      </w:r>
    </w:p>
    <w:p>
      <w:pPr>
        <w:pStyle w:val="Normal"/>
        <w:spacing w:before="0" w:after="0"/>
        <w:contextualSpacing/>
        <w:jc w:val="left"/>
        <w:rPr/>
      </w:pPr>
      <w:r>
        <w:rPr>
          <w:rFonts w:eastAsia="Calibri" w:cs="MxkqpvAdvTT3713a231" w:ascii="MxkqpvAdvTT3713a231" w:hAnsi="MxkqpvAdvTT3713a231"/>
          <w:color w:val="131413"/>
          <w:sz w:val="20"/>
          <w:szCs w:val="20"/>
        </w:rPr>
        <w:t>learn to be worldly from grappling with, rather than generalizing from, the ordinary</w:t>
      </w:r>
      <w:r>
        <w:rPr>
          <w:rFonts w:eastAsia="Calibri" w:cs="RhkwgmAdvP0005" w:ascii="RhkwgmAdvP0005" w:hAnsi="RhkwgmAdvP0005"/>
          <w:color w:val="131413"/>
          <w:sz w:val="20"/>
          <w:szCs w:val="20"/>
        </w:rPr>
        <w:t>^</w:t>
      </w:r>
    </w:p>
    <w:p>
      <w:pPr>
        <w:pStyle w:val="Normal"/>
        <w:spacing w:before="0" w:after="0"/>
        <w:contextualSpacing/>
        <w:jc w:val="left"/>
        <w:rPr/>
      </w:pPr>
      <w:r>
        <w:rPr>
          <w:rFonts w:eastAsia="Calibri" w:cs="MxkqpvAdvTT3713a231" w:ascii="MxkqpvAdvTT3713a231" w:hAnsi="MxkqpvAdvTT3713a231"/>
          <w:color w:val="131413"/>
          <w:sz w:val="20"/>
          <w:szCs w:val="20"/>
        </w:rPr>
        <w:t xml:space="preserve">(Haraway </w:t>
      </w:r>
      <w:r>
        <w:rPr>
          <w:rFonts w:eastAsia="Calibri" w:cs="MxkqpvAdvTT3713a231" w:ascii="MxkqpvAdvTT3713a231" w:hAnsi="MxkqpvAdvTT3713a231"/>
          <w:color w:val="0000FF"/>
          <w:sz w:val="20"/>
          <w:szCs w:val="20"/>
        </w:rPr>
        <w:t>2008</w:t>
      </w:r>
      <w:r>
        <w:rPr>
          <w:rFonts w:eastAsia="Calibri" w:cs="MxkqpvAdvTT3713a231" w:ascii="MxkqpvAdvTT3713a231" w:hAnsi="MxkqpvAdvTT3713a231"/>
          <w:color w:val="131413"/>
          <w:sz w:val="20"/>
          <w:szCs w:val="20"/>
        </w:rPr>
        <w:t>, p. 4).</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sum up, we have To sum up, we have sketched out an account which has aimed to do justice to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multiplicity of brought forth worlds. In the process we opened the door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 </w:t>
      </w:r>
      <w:r>
        <w:rPr>
          <w:rFonts w:eastAsia="Calibri" w:cs="VptfcqAdvTT50a2f13e.I" w:ascii="VptfcqAdvTT50a2f13e.I" w:hAnsi="VptfcqAdvTT50a2f13e.I"/>
          <w:color w:val="131413"/>
          <w:sz w:val="20"/>
          <w:szCs w:val="20"/>
        </w:rPr>
        <w:t>existence of ontological properties unique to and which form the constitutive</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building blocks of different organismic worlds. </w:t>
      </w:r>
      <w:r>
        <w:rPr>
          <w:rFonts w:eastAsia="Calibri" w:cs="MxkqpvAdvTT3713a231" w:ascii="MxkqpvAdvTT3713a231" w:hAnsi="MxkqpvAdvTT3713a231"/>
          <w:color w:val="131413"/>
          <w:sz w:val="20"/>
          <w:szCs w:val="20"/>
        </w:rPr>
        <w:t>To do so we have had to eschew</w:t>
      </w:r>
    </w:p>
    <w:p>
      <w:pPr>
        <w:pStyle w:val="Normal"/>
        <w:spacing w:before="0" w:after="0"/>
        <w:contextualSpacing/>
        <w:jc w:val="left"/>
        <w:rPr/>
      </w:pPr>
      <w:r>
        <w:rPr>
          <w:rFonts w:eastAsia="Calibri" w:cs="MxkqpvAdvTT3713a231" w:ascii="MxkqpvAdvTT3713a231" w:hAnsi="MxkqpvAdvTT3713a231"/>
          <w:color w:val="131413"/>
          <w:sz w:val="20"/>
          <w:szCs w:val="20"/>
        </w:rPr>
        <w:t>enactivism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proclivity to epistemologize ontology by first shifting focus from our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knowledge of objects to the enactment of objects themselves and thus foregrounding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diachronic and contingent material practices within which new ontological,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organismic-specific properties, were allowed to emerge. (883)</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pPr>
      <w:r>
        <w:rPr>
          <w:rFonts w:eastAsia="Calibri" w:cs="MxkqpvAdvTT3713a231" w:ascii="MxkqpvAdvTT3713a231" w:hAnsi="MxkqpvAdvTT3713a231"/>
          <w:color w:val="131413"/>
          <w:sz w:val="20"/>
          <w:szCs w:val="20"/>
        </w:rPr>
        <w:t xml:space="preserve">Finally it was also argued that through processes of bio-semiosis organisms do </w:t>
      </w:r>
      <w:r>
        <w:rPr>
          <w:rFonts w:eastAsia="Calibri" w:cs="VptfcqAdvTT50a2f13e.I" w:ascii="VptfcqAdvTT50a2f13e.I" w:hAnsi="VptfcqAdvTT50a2f13e.I"/>
          <w:color w:val="131413"/>
          <w:sz w:val="20"/>
          <w:szCs w:val="20"/>
        </w:rPr>
        <w:t xml:space="preserve">not </w:t>
      </w:r>
      <w:r>
        <w:rPr>
          <w:rFonts w:eastAsia="Calibri" w:cs="MxkqpvAdvTT3713a231" w:ascii="MxkqpvAdvTT3713a231" w:hAnsi="MxkqpvAdvTT3713a231"/>
          <w:color w:val="131413"/>
          <w:sz w:val="20"/>
          <w:szCs w:val="20"/>
        </w:rPr>
        <w:t xml:space="preserve">take perspectives </w:t>
      </w:r>
      <w:r>
        <w:rPr>
          <w:rFonts w:eastAsia="Calibri" w:cs="VptfcqAdvTT50a2f13e.I" w:ascii="VptfcqAdvTT50a2f13e.I" w:hAnsi="VptfcqAdvTT50a2f13e.I"/>
          <w:color w:val="131413"/>
          <w:sz w:val="20"/>
          <w:szCs w:val="20"/>
        </w:rPr>
        <w:t xml:space="preserve">on </w:t>
      </w:r>
      <w:r>
        <w:rPr>
          <w:rFonts w:eastAsia="Calibri" w:cs="MxkqpvAdvTT3713a231" w:ascii="MxkqpvAdvTT3713a231" w:hAnsi="MxkqpvAdvTT3713a231"/>
          <w:color w:val="131413"/>
          <w:sz w:val="20"/>
          <w:szCs w:val="20"/>
        </w:rPr>
        <w:t xml:space="preserve">the world, but rather are </w:t>
      </w:r>
      <w:r>
        <w:rPr>
          <w:rFonts w:eastAsia="Calibri" w:cs="VptfcqAdvTT50a2f13e.I" w:ascii="VptfcqAdvTT50a2f13e.I" w:hAnsi="VptfcqAdvTT50a2f13e.I"/>
          <w:color w:val="131413"/>
          <w:sz w:val="20"/>
          <w:szCs w:val="20"/>
        </w:rPr>
        <w:t xml:space="preserve">in </w:t>
      </w:r>
      <w:r>
        <w:rPr>
          <w:rFonts w:eastAsia="Calibri" w:cs="MxkqpvAdvTT3713a231" w:ascii="MxkqpvAdvTT3713a231" w:hAnsi="MxkqpvAdvTT3713a231"/>
          <w:color w:val="131413"/>
          <w:sz w:val="20"/>
          <w:szCs w:val="20"/>
        </w:rPr>
        <w:t xml:space="preserve">and thus </w:t>
      </w:r>
      <w:r>
        <w:rPr>
          <w:rFonts w:eastAsia="Calibri" w:cs="VptfcqAdvTT50a2f13e.I" w:ascii="VptfcqAdvTT50a2f13e.I" w:hAnsi="VptfcqAdvTT50a2f13e.I"/>
          <w:color w:val="131413"/>
          <w:sz w:val="20"/>
          <w:szCs w:val="20"/>
        </w:rPr>
        <w:t xml:space="preserve">have </w:t>
      </w:r>
      <w:r>
        <w:rPr>
          <w:rFonts w:eastAsia="Calibri" w:cs="MxkqpvAdvTT3713a231" w:ascii="MxkqpvAdvTT3713a231" w:hAnsi="MxkqpvAdvTT3713a231"/>
          <w:color w:val="131413"/>
          <w:sz w:val="20"/>
          <w:szCs w:val="20"/>
        </w:rPr>
        <w:t>ontological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worlds unique to their bio-semiotic capacities, material practices and relations. (883-4)</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pPr>
      <w:r>
        <w:rPr>
          <w:rFonts w:eastAsia="Calibri" w:cs="MxkqpvAdvTT3713a231" w:ascii="MxkqpvAdvTT3713a231" w:hAnsi="MxkqpvAdvTT3713a231"/>
          <w:color w:val="131413"/>
          <w:sz w:val="20"/>
          <w:szCs w:val="20"/>
        </w:rPr>
        <w:t>As Vörös et al. (</w:t>
      </w:r>
      <w:r>
        <w:rPr>
          <w:rFonts w:eastAsia="Calibri" w:cs="MxkqpvAdvTT3713a231" w:ascii="MxkqpvAdvTT3713a231" w:hAnsi="MxkqpvAdvTT3713a231"/>
          <w:color w:val="0000FF"/>
          <w:sz w:val="20"/>
          <w:szCs w:val="20"/>
        </w:rPr>
        <w:t>2016</w:t>
      </w:r>
      <w:r>
        <w:rPr>
          <w:rFonts w:eastAsia="Calibri" w:cs="MxkqpvAdvTT3713a231" w:ascii="MxkqpvAdvTT3713a231" w:hAnsi="MxkqpvAdvTT3713a231"/>
          <w:color w:val="131413"/>
          <w:sz w:val="20"/>
          <w:szCs w:val="20"/>
        </w:rPr>
        <w:t xml:space="preserve">) point out, enactivism insists that one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acknowledges the</w:t>
      </w:r>
    </w:p>
    <w:p>
      <w:pPr>
        <w:pStyle w:val="Normal"/>
        <w:spacing w:before="0" w:after="0"/>
        <w:contextualSpacing/>
        <w:jc w:val="left"/>
        <w:rPr/>
      </w:pPr>
      <w:r>
        <w:rPr>
          <w:rFonts w:eastAsia="Calibri" w:cs="MxkqpvAdvTT3713a231" w:ascii="MxkqpvAdvTT3713a231" w:hAnsi="MxkqpvAdvTT3713a231"/>
          <w:color w:val="131413"/>
          <w:sz w:val="20"/>
          <w:szCs w:val="20"/>
        </w:rPr>
        <w:t>ineradicable reflexivity of all our epistemic practices</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Once we do acknowledge this</w:t>
      </w:r>
    </w:p>
    <w:p>
      <w:pPr>
        <w:pStyle w:val="Normal"/>
        <w:spacing w:before="0" w:after="0"/>
        <w:contextualSpacing/>
        <w:jc w:val="left"/>
        <w:rPr/>
      </w:pPr>
      <w:r>
        <w:rPr>
          <w:rFonts w:eastAsia="Calibri" w:cs="MxkqpvAdvTT3713a231" w:ascii="MxkqpvAdvTT3713a231" w:hAnsi="MxkqpvAdvTT3713a231"/>
          <w:color w:val="131413"/>
          <w:sz w:val="20"/>
          <w:szCs w:val="20"/>
        </w:rPr>
        <w:t xml:space="preserve">we soon realise that there is no neutral position, no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view from nowhere</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which 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observer can take on reality. Not unlike the account of agency explored above this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notion of reflexivity is firmly rooted in epistemic/representationalist grounds. This 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particularly evident in the enactive treatment of the single cell bacterium where neither</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 bacterium nor the biologist </w:t>
      </w:r>
      <w:r>
        <w:rPr>
          <w:rFonts w:eastAsia="Calibri" w:cs="VptfcqAdvTT50a2f13e.I" w:ascii="VptfcqAdvTT50a2f13e.I" w:hAnsi="VptfcqAdvTT50a2f13e.I"/>
          <w:color w:val="131413"/>
          <w:sz w:val="20"/>
          <w:szCs w:val="20"/>
        </w:rPr>
        <w:t xml:space="preserve">ontologically </w:t>
      </w:r>
      <w:r>
        <w:rPr>
          <w:rFonts w:eastAsia="Calibri" w:cs="MxkqpvAdvTT3713a231" w:ascii="MxkqpvAdvTT3713a231" w:hAnsi="MxkqpvAdvTT3713a231"/>
          <w:color w:val="131413"/>
          <w:sz w:val="20"/>
          <w:szCs w:val="20"/>
        </w:rPr>
        <w:t>effect each other in any significant way.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bacterium simply gets reduced to a set of abstract representations grounded on</w:t>
      </w:r>
    </w:p>
    <w:p>
      <w:pPr>
        <w:pStyle w:val="Normal"/>
        <w:spacing w:before="0" w:after="0"/>
        <w:contextualSpacing/>
        <w:jc w:val="left"/>
        <w:rPr/>
      </w:pPr>
      <w:r>
        <w:rPr>
          <w:rFonts w:eastAsia="Calibri" w:cs="MxkqpvAdvTT3713a231" w:ascii="MxkqpvAdvTT3713a231" w:hAnsi="MxkqpvAdvTT3713a231"/>
          <w:color w:val="131413"/>
          <w:sz w:val="20"/>
          <w:szCs w:val="20"/>
        </w:rPr>
        <w:t xml:space="preserve">multiple perspectives (e.g. Thompson </w:t>
      </w:r>
      <w:r>
        <w:rPr>
          <w:rFonts w:eastAsia="Calibri" w:cs="MxkqpvAdvTT3713a231" w:ascii="MxkqpvAdvTT3713a231" w:hAnsi="MxkqpvAdvTT3713a231"/>
          <w:color w:val="0000FF"/>
          <w:sz w:val="20"/>
          <w:szCs w:val="20"/>
        </w:rPr>
        <w:t>2007</w:t>
      </w:r>
      <w:r>
        <w:rPr>
          <w:rFonts w:eastAsia="Calibri" w:cs="MxkqpvAdvTT3713a231" w:ascii="MxkqpvAdvTT3713a231" w:hAnsi="MxkqpvAdvTT3713a231"/>
          <w:color w:val="131413"/>
          <w:sz w:val="20"/>
          <w:szCs w:val="20"/>
        </w:rPr>
        <w:t>, p. 154). But, with the collapse of epistemology</w:t>
      </w:r>
    </w:p>
    <w:p>
      <w:pPr>
        <w:pStyle w:val="Normal"/>
        <w:spacing w:before="0" w:after="0"/>
        <w:contextualSpacing/>
        <w:jc w:val="left"/>
        <w:rPr/>
      </w:pPr>
      <w:r>
        <w:rPr>
          <w:rFonts w:eastAsia="Calibri" w:cs="MxkqpvAdvTT3713a231" w:ascii="MxkqpvAdvTT3713a231" w:hAnsi="MxkqpvAdvTT3713a231"/>
          <w:color w:val="131413"/>
          <w:sz w:val="20"/>
          <w:szCs w:val="20"/>
        </w:rPr>
        <w:t xml:space="preserve">into ontology,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ineradicable reflexively</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becomes inevitably ontologically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reconfigured. Consider the case of the bacterium again. (884)</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bring these various threads together, we can sum up by saying that an ontologically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grounded notion of reflexivity takes agencies to be both contingently and</w:t>
      </w:r>
    </w:p>
    <w:p>
      <w:pPr>
        <w:pStyle w:val="Normal"/>
        <w:spacing w:before="0" w:after="0"/>
        <w:contextualSpacing/>
        <w:jc w:val="left"/>
        <w:rPr/>
      </w:pPr>
      <w:r>
        <w:rPr>
          <w:rFonts w:eastAsia="Calibri" w:cs="MxkqpvAdvTT3713a231" w:ascii="MxkqpvAdvTT3713a231" w:hAnsi="MxkqpvAdvTT3713a231"/>
          <w:color w:val="131413"/>
          <w:sz w:val="20"/>
          <w:szCs w:val="20"/>
        </w:rPr>
        <w:t xml:space="preserve">materially </w:t>
      </w:r>
      <w:r>
        <w:rPr>
          <w:rFonts w:eastAsia="Calibri" w:cs="VptfcqAdvTT50a2f13e.I" w:ascii="VptfcqAdvTT50a2f13e.I" w:hAnsi="VptfcqAdvTT50a2f13e.I"/>
          <w:color w:val="131413"/>
          <w:sz w:val="20"/>
          <w:szCs w:val="20"/>
        </w:rPr>
        <w:t>done</w:t>
      </w:r>
      <w:r>
        <w:rPr>
          <w:rFonts w:eastAsia="Calibri" w:cs="MxkqpvAdvTT3713a231" w:ascii="MxkqpvAdvTT3713a231" w:hAnsi="MxkqpvAdvTT3713a231"/>
          <w:color w:val="131413"/>
          <w:sz w:val="20"/>
          <w:szCs w:val="20"/>
        </w:rPr>
        <w:t>. By taking this on board we have subverted the role of the human</w:t>
      </w:r>
    </w:p>
    <w:p>
      <w:pPr>
        <w:pStyle w:val="Normal"/>
        <w:spacing w:before="0" w:after="0"/>
        <w:contextualSpacing/>
        <w:jc w:val="left"/>
        <w:rPr/>
      </w:pPr>
      <w:r>
        <w:rPr>
          <w:rFonts w:eastAsia="Calibri" w:cs="MxkqpvAdvTT3713a231" w:ascii="MxkqpvAdvTT3713a231" w:hAnsi="MxkqpvAdvTT3713a231"/>
          <w:color w:val="131413"/>
          <w:sz w:val="20"/>
          <w:szCs w:val="20"/>
        </w:rPr>
        <w:t xml:space="preserve">observer in the epistemic attribution of agency but recognised her potential </w:t>
      </w:r>
      <w:r>
        <w:rPr>
          <w:rFonts w:eastAsia="Calibri" w:cs="VptfcqAdvTT50a2f13e.I" w:ascii="VptfcqAdvTT50a2f13e.I" w:hAnsi="VptfcqAdvTT50a2f13e.I"/>
          <w:color w:val="131413"/>
          <w:sz w:val="20"/>
          <w:szCs w:val="20"/>
        </w:rPr>
        <w:t>ontological</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entanglement </w:t>
      </w:r>
      <w:r>
        <w:rPr>
          <w:rFonts w:eastAsia="Calibri" w:cs="MxkqpvAdvTT3713a231" w:ascii="MxkqpvAdvTT3713a231" w:hAnsi="MxkqpvAdvTT3713a231"/>
          <w:color w:val="131413"/>
          <w:sz w:val="20"/>
          <w:szCs w:val="20"/>
        </w:rPr>
        <w:t>within organismic worlds. The importance of this is not so much that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when enactivists use the example of a bacterium they are relying on a abstraction which</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purifies the delicate web of relations within which all bacteria make a living and are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made a living of while enacting their respective agencies, which they certainly do, but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rather that they also fail to (i) recognise how agency is itself done and (ii) how the</w:t>
      </w:r>
    </w:p>
    <w:p>
      <w:pPr>
        <w:pStyle w:val="Normal"/>
        <w:spacing w:before="0" w:after="0"/>
        <w:contextualSpacing/>
        <w:jc w:val="left"/>
        <w:rPr/>
      </w:pPr>
      <w:r>
        <w:rPr>
          <w:rFonts w:eastAsia="Calibri" w:cs="MxkqpvAdvTT3713a231" w:ascii="MxkqpvAdvTT3713a231" w:hAnsi="MxkqpvAdvTT3713a231"/>
          <w:color w:val="131413"/>
          <w:sz w:val="20"/>
          <w:szCs w:val="20"/>
        </w:rPr>
        <w:t xml:space="preserve">observer herself can </w:t>
      </w:r>
      <w:r>
        <w:rPr>
          <w:rFonts w:eastAsia="Calibri" w:cs="VptfcqAdvTT50a2f13e.I" w:ascii="VptfcqAdvTT50a2f13e.I" w:hAnsi="VptfcqAdvTT50a2f13e.I"/>
          <w:color w:val="131413"/>
          <w:sz w:val="20"/>
          <w:szCs w:val="20"/>
        </w:rPr>
        <w:t xml:space="preserve">and must </w:t>
      </w:r>
      <w:r>
        <w:rPr>
          <w:rFonts w:eastAsia="Calibri" w:cs="MxkqpvAdvTT3713a231" w:ascii="MxkqpvAdvTT3713a231" w:hAnsi="MxkqpvAdvTT3713a231"/>
          <w:color w:val="131413"/>
          <w:sz w:val="20"/>
          <w:szCs w:val="20"/>
        </w:rPr>
        <w:t>become ontologically rather than merely epistemically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implicated in the enactment of multiple agencies. (885)</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ListParagraph"/>
        <w:numPr>
          <w:ilvl w:val="0"/>
          <w:numId w:val="34"/>
        </w:numPr>
        <w:spacing w:before="0" w:after="0"/>
        <w:ind w:left="0" w:right="0" w:hanging="360"/>
        <w:contextualSpacing/>
        <w:rPr/>
      </w:pPr>
      <w:r>
        <w:rPr>
          <w:rFonts w:eastAsia="Calibri" w:cs="MxkqpvAdvTT3713a231" w:ascii="MxkqpvAdvTT3713a231" w:hAnsi="MxkqpvAdvTT3713a231"/>
          <w:b/>
          <w:color w:val="131413"/>
          <w:sz w:val="28"/>
          <w:szCs w:val="28"/>
        </w:rPr>
        <w:t xml:space="preserve">(2016) </w:t>
      </w:r>
      <w:r>
        <w:rPr>
          <w:rFonts w:eastAsia="Calibri" w:cs="ITCFranklinGothicStd-DmCd" w:ascii="ITCFranklinGothicStd-DmCd" w:hAnsi="ITCFranklinGothicStd-DmCd"/>
          <w:b/>
          <w:bCs/>
          <w:sz w:val="28"/>
          <w:szCs w:val="28"/>
        </w:rPr>
        <w:t xml:space="preserve">TIMOTHY MORTON, </w:t>
      </w:r>
      <w:r>
        <w:rPr>
          <w:rFonts w:eastAsia="Calibri" w:cs="SerifaStd-Bold" w:ascii="SerifaStd-Bold" w:hAnsi="SerifaStd-Bold"/>
          <w:b/>
          <w:bCs/>
          <w:i/>
          <w:sz w:val="28"/>
          <w:szCs w:val="28"/>
        </w:rPr>
        <w:t>For a Logic of Future Coexistence</w:t>
      </w:r>
      <w:r>
        <w:rPr>
          <w:rFonts w:eastAsia="Calibri" w:cs="SerifaStd-Bold" w:ascii="SerifaStd-Bold" w:hAnsi="SerifaStd-Bold"/>
          <w:b/>
          <w:bCs/>
          <w:sz w:val="28"/>
          <w:szCs w:val="28"/>
        </w:rPr>
        <w:t>, (</w:t>
      </w:r>
      <w:r>
        <w:rPr>
          <w:rFonts w:eastAsia="Calibri" w:cs="GaramondPremrPro" w:ascii="GaramondPremrPro" w:hAnsi="GaramondPremrPro"/>
          <w:b/>
          <w:sz w:val="28"/>
          <w:szCs w:val="28"/>
        </w:rPr>
        <w:t>Columbia University Press)</w:t>
      </w:r>
      <w:bookmarkStart w:id="12" w:name="_Hlk194866"/>
      <w:bookmarkEnd w:id="12"/>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We vaguely sense them out of the corner of our eye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while seeing the data in the center of our vision. These “hyperobjects”</w:t>
      </w:r>
    </w:p>
    <w:p>
      <w:pPr>
        <w:pStyle w:val="Normal"/>
        <w:spacing w:before="0" w:after="0"/>
        <w:contextualSpacing/>
        <w:jc w:val="left"/>
        <w:rPr/>
      </w:pPr>
      <w:r>
        <w:rPr>
          <w:rFonts w:eastAsia="Calibri" w:cs="GaramondPremrPro" w:ascii="GaramondPremrPro" w:hAnsi="GaramondPremrPro"/>
          <w:sz w:val="22"/>
          <w:szCs w:val="22"/>
        </w:rPr>
        <w:t xml:space="preserve">remind us that </w:t>
      </w:r>
      <w:r>
        <w:rPr>
          <w:rFonts w:eastAsia="Calibri" w:cs="GaramondPremrPro-It" w:ascii="GaramondPremrPro-It" w:hAnsi="GaramondPremrPro-It"/>
          <w:i/>
          <w:iCs/>
          <w:sz w:val="22"/>
          <w:szCs w:val="22"/>
        </w:rPr>
        <w:t>the local is in fact the uncanny</w:t>
      </w:r>
      <w:r>
        <w:rPr>
          <w:rFonts w:eastAsia="Calibri" w:cs="GaramondPremrPro" w:ascii="GaramondPremrPro" w:hAnsi="GaramondPremrPro"/>
          <w:sz w:val="22"/>
          <w:szCs w:val="22"/>
        </w:rPr>
        <w:t>.</w:t>
      </w:r>
      <w:r>
        <w:rPr>
          <w:rFonts w:eastAsia="Calibri" w:cs="GaramondPremrPro" w:ascii="GaramondPremrPro" w:hAnsi="GaramondPremrPro"/>
          <w:sz w:val="14"/>
          <w:szCs w:val="14"/>
        </w:rPr>
        <w:t xml:space="preserve">23 </w:t>
      </w:r>
      <w:r>
        <w:rPr>
          <w:rFonts w:eastAsia="Calibri" w:cs="GaramondPremrPro" w:ascii="GaramondPremrPro" w:hAnsi="GaramondPremrPro"/>
          <w:sz w:val="22"/>
          <w:szCs w:val="22"/>
        </w:rPr>
        <w:t>Space evaporates.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nice clean box has melted. We are living on a Gaussian sphere where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parallel lines do indeed meet. The empty void of space and the rush of</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infinity have been unmasked as parochial paradigms. (p. 11)</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pPr>
      <w:r>
        <w:rPr>
          <w:rFonts w:eastAsia="Calibri" w:cs="GaramondPremrPro-It" w:ascii="GaramondPremrPro-It" w:hAnsi="GaramondPremrPro-It"/>
          <w:i/>
          <w:iCs/>
          <w:sz w:val="22"/>
          <w:szCs w:val="22"/>
        </w:rPr>
        <w:t>Copyright control</w:t>
      </w:r>
      <w:r>
        <w:rPr>
          <w:rFonts w:eastAsia="Calibri" w:cs="GaramondPremrPro" w:ascii="GaramondPremrPro" w:hAnsi="GaramondPremrPro"/>
          <w:sz w:val="22"/>
          <w:szCs w:val="22"/>
        </w:rPr>
        <w:t>. I am myself a correlationist, by which I mean that I</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accept Kant’s basic argument that when I try to find the thing in itself,</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what I find are thing data, not the thing in itself. And I grasp that data</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 such a way that a thing does not (meaningfully) exist (for me) outside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the way I (or history or economic relations or will or Dasein) correlate</w:t>
      </w:r>
    </w:p>
    <w:p>
      <w:pPr>
        <w:pStyle w:val="Normal"/>
        <w:spacing w:before="0" w:after="0"/>
        <w:contextualSpacing/>
        <w:jc w:val="left"/>
        <w:rPr/>
      </w:pPr>
      <w:r>
        <w:rPr>
          <w:rFonts w:eastAsia="Calibri" w:cs="GaramondPremrPro" w:ascii="GaramondPremrPro" w:hAnsi="GaramondPremrPro"/>
          <w:sz w:val="22"/>
          <w:szCs w:val="22"/>
        </w:rPr>
        <w:t xml:space="preserve">that data. I believe that there is a drastic </w:t>
      </w:r>
      <w:r>
        <w:rPr>
          <w:rFonts w:eastAsia="Calibri" w:cs="GaramondPremrPro-It" w:ascii="GaramondPremrPro-It" w:hAnsi="GaramondPremrPro-It"/>
          <w:i/>
          <w:iCs/>
          <w:sz w:val="22"/>
          <w:szCs w:val="22"/>
        </w:rPr>
        <w:t xml:space="preserve">finitude </w:t>
      </w:r>
      <w:r>
        <w:rPr>
          <w:rFonts w:eastAsia="Calibri" w:cs="GaramondPremrPro" w:ascii="GaramondPremrPro" w:hAnsi="GaramondPremrPro"/>
          <w:sz w:val="22"/>
          <w:szCs w:val="22"/>
        </w:rPr>
        <w:t>that restricts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my access to things in themselves. The finitude is drastic because it is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irreducible. I can’t bust through it. This marks the difference between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some speculative realists, who think you can puncture the finitude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and enter a world of direct access, for instance via science, and those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who don’t think so, for instance the object-oriented ontologists.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Object-oriented ontology, or OOO, developed from a deep consideration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of the implications of Martin Heidegger’s version of modern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Kantian correlationism. These implications would have seemed</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bizarre to Kant and Heidegger themselves, who in their different</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ways (transcendental idealism and fascism) tried to contain the explosive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vision that their thinking unleashed. Ontology doesn’t tell you</w:t>
      </w:r>
    </w:p>
    <w:p>
      <w:pPr>
        <w:pStyle w:val="Normal"/>
        <w:spacing w:before="0" w:after="0"/>
        <w:contextualSpacing/>
        <w:jc w:val="left"/>
        <w:rPr/>
      </w:pPr>
      <w:r>
        <w:rPr>
          <w:rFonts w:eastAsia="Calibri" w:cs="GaramondPremrPro" w:ascii="GaramondPremrPro" w:hAnsi="GaramondPremrPro"/>
          <w:sz w:val="22"/>
          <w:szCs w:val="22"/>
        </w:rPr>
        <w:t xml:space="preserve">exactly what exists but </w:t>
      </w:r>
      <w:r>
        <w:rPr>
          <w:rFonts w:eastAsia="Calibri" w:cs="GaramondPremrPro-It" w:ascii="GaramondPremrPro-It" w:hAnsi="GaramondPremrPro-It"/>
          <w:i/>
          <w:iCs/>
          <w:sz w:val="22"/>
          <w:szCs w:val="22"/>
        </w:rPr>
        <w:t xml:space="preserve">how </w:t>
      </w:r>
      <w:r>
        <w:rPr>
          <w:rFonts w:eastAsia="Calibri" w:cs="GaramondPremrPro" w:ascii="GaramondPremrPro" w:hAnsi="GaramondPremrPro"/>
          <w:sz w:val="22"/>
          <w:szCs w:val="22"/>
        </w:rPr>
        <w:t>things exist. If things exist, they exist in</w:t>
      </w:r>
    </w:p>
    <w:p>
      <w:pPr>
        <w:pStyle w:val="Normal"/>
        <w:spacing w:before="0" w:after="0"/>
        <w:contextualSpacing/>
        <w:jc w:val="left"/>
        <w:rPr/>
      </w:pPr>
      <w:r>
        <w:rPr>
          <w:rFonts w:eastAsia="Calibri" w:cs="GaramondPremrPro-It" w:ascii="GaramondPremrPro-It" w:hAnsi="GaramondPremrPro-It"/>
          <w:i/>
          <w:iCs/>
          <w:sz w:val="22"/>
          <w:szCs w:val="22"/>
        </w:rPr>
        <w:t xml:space="preserve">this </w:t>
      </w:r>
      <w:r>
        <w:rPr>
          <w:rFonts w:eastAsia="Calibri" w:cs="GaramondPremrPro" w:ascii="GaramondPremrPro" w:hAnsi="GaramondPremrPro"/>
          <w:sz w:val="22"/>
          <w:szCs w:val="22"/>
        </w:rPr>
        <w:t xml:space="preserve">way rather than </w:t>
      </w:r>
      <w:r>
        <w:rPr>
          <w:rFonts w:eastAsia="Calibri" w:cs="GaramondPremrPro-It" w:ascii="GaramondPremrPro-It" w:hAnsi="GaramondPremrPro-It"/>
          <w:i/>
          <w:iCs/>
          <w:sz w:val="22"/>
          <w:szCs w:val="22"/>
        </w:rPr>
        <w:t>that</w:t>
      </w:r>
      <w:r>
        <w:rPr>
          <w:rFonts w:eastAsia="Calibri" w:cs="GaramondPremrPro" w:ascii="GaramondPremrPro" w:hAnsi="GaramondPremrPro"/>
          <w:sz w:val="22"/>
          <w:szCs w:val="22"/>
        </w:rPr>
        <w:t>. Object-oriented ontology holds that things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exist in a profoundly “withdrawn” way: they cannot be splayed open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and totally grasped by anything whatsoever, including themselves. (16)</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pPr>
      <w:r>
        <w:rPr>
          <w:rFonts w:eastAsia="Calibri" w:cs="GaramondPremrPro-It" w:ascii="GaramondPremrPro-It" w:hAnsi="GaramondPremrPro-It"/>
          <w:i/>
          <w:iCs/>
          <w:sz w:val="22"/>
          <w:szCs w:val="22"/>
        </w:rPr>
        <w:t xml:space="preserve">Finitude </w:t>
      </w:r>
      <w:r>
        <w:rPr>
          <w:rFonts w:eastAsia="Calibri" w:cs="GaramondPremrPro" w:ascii="GaramondPremrPro" w:hAnsi="GaramondPremrPro"/>
          <w:sz w:val="22"/>
          <w:szCs w:val="22"/>
        </w:rPr>
        <w:t>is the term that describes a world in which entities “withdraw”</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from direct access. Every kind of access—a philosopher thinking</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about a stone, a scientist smashing a particle, a farmer watering a</w:t>
      </w:r>
    </w:p>
    <w:p>
      <w:pPr>
        <w:pStyle w:val="Normal"/>
        <w:spacing w:before="0" w:after="0"/>
        <w:contextualSpacing/>
        <w:jc w:val="left"/>
        <w:rPr/>
      </w:pPr>
      <w:r>
        <w:rPr>
          <w:rFonts w:eastAsia="Calibri" w:cs="GaramondPremrPro" w:ascii="GaramondPremrPro" w:hAnsi="GaramondPremrPro"/>
          <w:sz w:val="22"/>
          <w:szCs w:val="22"/>
        </w:rPr>
        <w:t xml:space="preserve">tree—is profoundly limited and incomplete. And every type of </w:t>
      </w:r>
      <w:r>
        <w:rPr>
          <w:rFonts w:eastAsia="Calibri" w:cs="GaramondPremrPro-It" w:ascii="GaramondPremrPro-It" w:hAnsi="GaramondPremrPro-It"/>
          <w:i/>
          <w:iCs/>
          <w:sz w:val="22"/>
          <w:szCs w:val="22"/>
        </w:rPr>
        <w:t>nonhuman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access—a thrush smashing a snail shell against a stone, an electron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interacting with a photon, a tree absorbing water—is also profoundly</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limited. Kant was the philosopher who argued for this finitude, at least</w:t>
      </w:r>
    </w:p>
    <w:p>
      <w:pPr>
        <w:pStyle w:val="Normal"/>
        <w:spacing w:before="0" w:after="0"/>
        <w:contextualSpacing/>
        <w:jc w:val="left"/>
        <w:rPr/>
      </w:pPr>
      <w:r>
        <w:rPr>
          <w:rFonts w:eastAsia="Calibri" w:cs="GaramondPremrPro" w:ascii="GaramondPremrPro" w:hAnsi="GaramondPremrPro"/>
          <w:sz w:val="22"/>
          <w:szCs w:val="22"/>
        </w:rPr>
        <w:t xml:space="preserve">when it came to how </w:t>
      </w:r>
      <w:r>
        <w:rPr>
          <w:rFonts w:eastAsia="Calibri" w:cs="GaramondPremrPro-It" w:ascii="GaramondPremrPro-It" w:hAnsi="GaramondPremrPro-It"/>
          <w:i/>
          <w:iCs/>
          <w:sz w:val="22"/>
          <w:szCs w:val="22"/>
        </w:rPr>
        <w:t xml:space="preserve">humans </w:t>
      </w:r>
      <w:r>
        <w:rPr>
          <w:rFonts w:eastAsia="Calibri" w:cs="GaramondPremrPro" w:ascii="GaramondPremrPro" w:hAnsi="GaramondPremrPro"/>
          <w:sz w:val="22"/>
          <w:szCs w:val="22"/>
        </w:rPr>
        <w:t>access things. I don’t believe that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finitude of the human-world correlate is incorrect. It can’t be ripped</w:t>
      </w:r>
    </w:p>
    <w:p>
      <w:pPr>
        <w:pStyle w:val="Normal"/>
        <w:spacing w:before="0" w:after="0"/>
        <w:contextualSpacing/>
        <w:jc w:val="left"/>
        <w:rPr/>
      </w:pPr>
      <w:r>
        <w:rPr>
          <w:rFonts w:eastAsia="Calibri" w:cs="GaramondPremrPro" w:ascii="GaramondPremrPro" w:hAnsi="GaramondPremrPro"/>
          <w:sz w:val="22"/>
          <w:szCs w:val="22"/>
        </w:rPr>
        <w:t>open, even by something as seemingly sharp as mathematics.</w:t>
      </w:r>
      <w:r>
        <w:rPr>
          <w:rFonts w:eastAsia="Calibri" w:cs="GaramondPremrPro" w:ascii="GaramondPremrPro" w:hAnsi="GaramondPremrPro"/>
          <w:sz w:val="14"/>
          <w:szCs w:val="14"/>
        </w:rPr>
        <w:t xml:space="preserve">31 </w:t>
      </w:r>
      <w:r>
        <w:rPr>
          <w:rFonts w:eastAsia="Calibri" w:cs="GaramondPremrPro" w:ascii="GaramondPremrPro" w:hAnsi="GaramondPremrPro"/>
          <w:sz w:val="22"/>
          <w:szCs w:val="22"/>
        </w:rPr>
        <w:t>When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 mathematize a thing, there I am, mathematizing it—measuring it,</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for instance. Why this is so different a form of access than eating it or</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using it to paper my room is uncertain. The gap between the human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and everything else can’t be filled in, as racism tries to do.</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There is a tactic we could adopt, a tactic deeply congruent with</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ecological politics. Kant grounded Hume’s argument in synthetic</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judgments a priori in a transcendental subject (not “little me,”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one I can see and touch). Only a correlator such as a (human) subject</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makes reality real. At the very moment at which philosophy says you</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can’t directly access the real, humans are drilling down ever deeper</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into it, and the two phenomena are deeply, weirdly intertwined. Correlationism</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is true, but disastrous if restricted to humans only. (17)</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We should</w:t>
      </w:r>
    </w:p>
    <w:p>
      <w:pPr>
        <w:pStyle w:val="Normal"/>
        <w:spacing w:before="0" w:after="0"/>
        <w:contextualSpacing/>
        <w:jc w:val="left"/>
        <w:rPr/>
      </w:pPr>
      <w:r>
        <w:rPr>
          <w:rFonts w:eastAsia="Calibri" w:cs="GaramondPremrPro" w:ascii="GaramondPremrPro" w:hAnsi="GaramondPremrPro"/>
          <w:sz w:val="22"/>
          <w:szCs w:val="22"/>
        </w:rPr>
        <w:t xml:space="preserve">merely </w:t>
      </w:r>
      <w:r>
        <w:rPr>
          <w:rFonts w:eastAsia="Calibri" w:cs="GaramondPremrPro-It" w:ascii="GaramondPremrPro-It" w:hAnsi="GaramondPremrPro-It"/>
          <w:i/>
          <w:iCs/>
          <w:sz w:val="22"/>
          <w:szCs w:val="22"/>
        </w:rPr>
        <w:t>release the anthropocentric copyright control on correlationism</w:t>
      </w:r>
      <w:r>
        <w:rPr>
          <w:rFonts w:eastAsia="Calibri" w:cs="GaramondPremrPro" w:ascii="GaramondPremrPro" w:hAnsi="GaramondPremrPro"/>
          <w:sz w:val="22"/>
          <w:szCs w:val="22"/>
        </w:rPr>
        <w:t>,</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allowing nonhumans like fish (and perhaps even fish forks) the fun of</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not being able to access the in-itself.</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On this view, whether the thing in itself becomes fish food or</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human food or something a human can measure, the thing remains in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excess of those forms of access, and there is no intrinsic superiority of</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human ways of accessing the thing. This is the basic premise of objectoriented</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ontology: Kant was correct, but his anthropocentrism prevented</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him from seeing the most interesting aspects of his theory. We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will see that these aspects could have a profound influence on the way</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we think the logic of future coexistence. (18)</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Scientists are now beginning to figure out something we’ve known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 the humanities and arts for some time: one is entangled with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data one is studying. Kant grounded Hume’s insight about causality</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 just this thought, which we now call correlationism. We can’t see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things in themselves, we can see human-flavored correlates of those</w:t>
      </w:r>
    </w:p>
    <w:p>
      <w:pPr>
        <w:pStyle w:val="Normal"/>
        <w:spacing w:before="0" w:after="0"/>
        <w:contextualSpacing/>
        <w:jc w:val="left"/>
        <w:rPr/>
      </w:pPr>
      <w:r>
        <w:rPr>
          <w:rFonts w:eastAsia="Calibri" w:cs="GaramondPremrPro" w:ascii="GaramondPremrPro" w:hAnsi="GaramondPremrPro"/>
          <w:sz w:val="22"/>
          <w:szCs w:val="22"/>
        </w:rPr>
        <w:t xml:space="preserve">things. But there </w:t>
      </w:r>
      <w:r>
        <w:rPr>
          <w:rFonts w:eastAsia="Calibri" w:cs="GaramondPremrPro-It" w:ascii="GaramondPremrPro-It" w:hAnsi="GaramondPremrPro-It"/>
          <w:i/>
          <w:iCs/>
          <w:sz w:val="22"/>
          <w:szCs w:val="22"/>
        </w:rPr>
        <w:t xml:space="preserve">are </w:t>
      </w:r>
      <w:r>
        <w:rPr>
          <w:rFonts w:eastAsia="Calibri" w:cs="GaramondPremrPro" w:ascii="GaramondPremrPro" w:hAnsi="GaramondPremrPro"/>
          <w:sz w:val="22"/>
          <w:szCs w:val="22"/>
        </w:rPr>
        <w:t>things in themselves. So we are caught in a</w:t>
      </w:r>
    </w:p>
    <w:p>
      <w:pPr>
        <w:pStyle w:val="Normal"/>
        <w:spacing w:before="0" w:after="0"/>
        <w:contextualSpacing/>
        <w:jc w:val="left"/>
        <w:rPr/>
      </w:pPr>
      <w:r>
        <w:rPr>
          <w:rFonts w:eastAsia="Calibri" w:cs="GaramondPremrPro" w:ascii="GaramondPremrPro" w:hAnsi="GaramondPremrPro"/>
          <w:sz w:val="22"/>
          <w:szCs w:val="22"/>
        </w:rPr>
        <w:t xml:space="preserve">dilemma, whose name is </w:t>
      </w:r>
      <w:r>
        <w:rPr>
          <w:rFonts w:eastAsia="Calibri" w:cs="GaramondPremrPro-It" w:ascii="GaramondPremrPro-It" w:hAnsi="GaramondPremrPro-It"/>
          <w:i/>
          <w:iCs/>
          <w:sz w:val="22"/>
          <w:szCs w:val="22"/>
        </w:rPr>
        <w:t>hermeneutic circle</w:t>
      </w:r>
      <w:r>
        <w:rPr>
          <w:rFonts w:eastAsia="Calibri" w:cs="GaramondPremrPro" w:ascii="GaramondPremrPro" w:hAnsi="GaramondPremrPro"/>
          <w:sz w:val="22"/>
          <w:szCs w:val="22"/>
        </w:rPr>
        <w:t xml:space="preserve">. Scientists call it </w:t>
      </w:r>
      <w:r>
        <w:rPr>
          <w:rFonts w:eastAsia="Calibri" w:cs="GaramondPremrPro-It" w:ascii="GaramondPremrPro-It" w:hAnsi="GaramondPremrPro-It"/>
          <w:i/>
          <w:iCs/>
          <w:sz w:val="22"/>
          <w:szCs w:val="22"/>
        </w:rPr>
        <w:t>confirmation</w:t>
      </w:r>
    </w:p>
    <w:p>
      <w:pPr>
        <w:pStyle w:val="Normal"/>
        <w:spacing w:before="0" w:after="0"/>
        <w:contextualSpacing/>
        <w:jc w:val="left"/>
        <w:rPr/>
      </w:pPr>
      <w:r>
        <w:rPr>
          <w:rFonts w:eastAsia="Calibri" w:cs="GaramondPremrPro-It" w:ascii="GaramondPremrPro-It" w:hAnsi="GaramondPremrPro-It"/>
          <w:i/>
          <w:iCs/>
          <w:sz w:val="22"/>
          <w:szCs w:val="22"/>
        </w:rPr>
        <w:t>bias</w:t>
      </w:r>
      <w:r>
        <w:rPr>
          <w:rFonts w:eastAsia="Calibri" w:cs="GaramondPremrPro" w:ascii="GaramondPremrPro" w:hAnsi="GaramondPremrPro"/>
          <w:sz w:val="22"/>
          <w:szCs w:val="22"/>
        </w:rPr>
        <w:t>, which is why only a small percentage of physicists now think</w:t>
      </w:r>
    </w:p>
    <w:p>
      <w:pPr>
        <w:pStyle w:val="Normal"/>
        <w:spacing w:before="0" w:after="0"/>
        <w:contextualSpacing/>
        <w:jc w:val="left"/>
        <w:rPr/>
      </w:pPr>
      <w:r>
        <w:rPr>
          <w:rFonts w:eastAsia="Calibri" w:cs="GaramondPremrPro" w:ascii="GaramondPremrPro" w:hAnsi="GaramondPremrPro"/>
          <w:sz w:val="22"/>
          <w:szCs w:val="22"/>
        </w:rPr>
        <w:t>that physics is saying anything true at all about reality.</w:t>
      </w:r>
      <w:r>
        <w:rPr>
          <w:rFonts w:eastAsia="Calibri" w:cs="GaramondPremrPro" w:ascii="GaramondPremrPro" w:hAnsi="GaramondPremrPro"/>
          <w:sz w:val="14"/>
          <w:szCs w:val="14"/>
        </w:rPr>
        <w:t>57 (29)</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pPr>
      <w:r>
        <w:rPr>
          <w:rFonts w:eastAsia="Calibri" w:cs="GaramondPremrPro" w:ascii="GaramondPremrPro" w:hAnsi="GaramondPremrPro"/>
          <w:sz w:val="22"/>
          <w:szCs w:val="22"/>
        </w:rPr>
        <w:t xml:space="preserve">The elemental effect is the inverse of what is called </w:t>
      </w:r>
      <w:r>
        <w:rPr>
          <w:rFonts w:eastAsia="Calibri" w:cs="GaramondPremrPro-It" w:ascii="GaramondPremrPro-It" w:hAnsi="GaramondPremrPro-It"/>
          <w:i/>
          <w:iCs/>
          <w:sz w:val="22"/>
          <w:szCs w:val="22"/>
        </w:rPr>
        <w:t>thing theory</w:t>
      </w:r>
      <w:r>
        <w:rPr>
          <w:rFonts w:eastAsia="Calibri" w:cs="GaramondPremrPro" w:ascii="GaramondPremrPro" w:hAnsi="GaramondPremrPro"/>
          <w:sz w:val="22"/>
          <w:szCs w:val="22"/>
        </w:rPr>
        <w:t>.</w:t>
      </w:r>
      <w:r>
        <w:rPr>
          <w:rFonts w:eastAsia="Calibri" w:cs="GaramondPremrPro" w:ascii="GaramondPremrPro" w:hAnsi="GaramondPremrPro"/>
          <w:sz w:val="14"/>
          <w:szCs w:val="14"/>
        </w:rPr>
        <w:t>32</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Thing theory relies on Heidegger’s tool analysis. When a tool breaks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or malfunctions we notice it. This theory of malfunctioning points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out that when things smoothly function, when they just happen,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they withdraw from access. When I’m involved in a task the things I</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involve myself with disappear. Yet the element in which I am involved</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doesn’t disappear. This is a precise definition of the element: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appearance of involvement. It’s just that I only experience this appearance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obliquely, perhaps as goosebumps or a sense of horror or of bliss.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Paradoxically, the inverse of thing theory is not nothing at all, but</w:t>
      </w:r>
    </w:p>
    <w:p>
      <w:pPr>
        <w:pStyle w:val="Normal"/>
        <w:spacing w:before="0" w:after="0"/>
        <w:contextualSpacing/>
        <w:jc w:val="left"/>
        <w:rPr/>
      </w:pPr>
      <w:r>
        <w:rPr>
          <w:rFonts w:eastAsia="Calibri" w:cs="GaramondPremrPro" w:ascii="GaramondPremrPro" w:hAnsi="GaramondPremrPro"/>
          <w:sz w:val="22"/>
          <w:szCs w:val="22"/>
        </w:rPr>
        <w:t xml:space="preserve">what one could call </w:t>
      </w:r>
      <w:r>
        <w:rPr>
          <w:rFonts w:eastAsia="Calibri" w:cs="GaramondPremrPro-It" w:ascii="GaramondPremrPro-It" w:hAnsi="GaramondPremrPro-It"/>
          <w:i/>
          <w:iCs/>
          <w:sz w:val="22"/>
          <w:szCs w:val="22"/>
        </w:rPr>
        <w:t>object theory</w:t>
      </w:r>
      <w:r>
        <w:rPr>
          <w:rFonts w:eastAsia="Calibri" w:cs="GaramondPremrPro" w:ascii="GaramondPremrPro" w:hAnsi="GaramondPremrPro"/>
          <w:sz w:val="22"/>
          <w:szCs w:val="22"/>
        </w:rPr>
        <w:t xml:space="preserve">. I here use the term </w:t>
      </w:r>
      <w:r>
        <w:rPr>
          <w:rFonts w:eastAsia="Calibri" w:cs="GaramondPremrPro-It" w:ascii="GaramondPremrPro-It" w:hAnsi="GaramondPremrPro-It"/>
          <w:i/>
          <w:iCs/>
          <w:sz w:val="22"/>
          <w:szCs w:val="22"/>
        </w:rPr>
        <w:t xml:space="preserve">object </w:t>
      </w:r>
      <w:r>
        <w:rPr>
          <w:rFonts w:eastAsia="Calibri" w:cs="GaramondPremrPro" w:ascii="GaramondPremrPro" w:hAnsi="GaramondPremrPro"/>
          <w:sz w:val="22"/>
          <w:szCs w:val="22"/>
        </w:rPr>
        <w:t>in the sense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described by object-oriented ontology (OOO, introduced in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First Thread), which argues that the malfunctioning tools we notice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depend not only on smoothly functioning without our attention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but also on a far deeper being that is strictly inaccessible no matter</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how deeply we probe or how deeply anything probes—including the</w:t>
      </w:r>
    </w:p>
    <w:p>
      <w:pPr>
        <w:pStyle w:val="Normal"/>
        <w:spacing w:before="0" w:after="0"/>
        <w:contextualSpacing/>
        <w:jc w:val="left"/>
        <w:rPr/>
      </w:pPr>
      <w:r>
        <w:rPr>
          <w:rFonts w:eastAsia="Calibri" w:cs="GaramondPremrPro" w:ascii="GaramondPremrPro" w:hAnsi="GaramondPremrPro"/>
          <w:sz w:val="22"/>
          <w:szCs w:val="22"/>
        </w:rPr>
        <w:t>“</w:t>
      </w:r>
      <w:r>
        <w:rPr>
          <w:rFonts w:eastAsia="Calibri" w:cs="GaramondPremrPro" w:ascii="GaramondPremrPro" w:hAnsi="GaramondPremrPro"/>
          <w:sz w:val="22"/>
          <w:szCs w:val="22"/>
        </w:rPr>
        <w:t xml:space="preserve">tool” in question. But perhaps </w:t>
      </w:r>
      <w:r>
        <w:rPr>
          <w:rFonts w:eastAsia="Calibri" w:cs="GaramondPremrPro-It" w:ascii="GaramondPremrPro-It" w:hAnsi="GaramondPremrPro-It"/>
          <w:i/>
          <w:iCs/>
          <w:sz w:val="22"/>
          <w:szCs w:val="22"/>
        </w:rPr>
        <w:t xml:space="preserve">deeper </w:t>
      </w:r>
      <w:r>
        <w:rPr>
          <w:rFonts w:eastAsia="Calibri" w:cs="GaramondPremrPro" w:ascii="GaramondPremrPro" w:hAnsi="GaramondPremrPro"/>
          <w:sz w:val="22"/>
          <w:szCs w:val="22"/>
        </w:rPr>
        <w:t>isn’t quite the right term. What</w:t>
      </w:r>
    </w:p>
    <w:p>
      <w:pPr>
        <w:pStyle w:val="Normal"/>
        <w:spacing w:before="0" w:after="0"/>
        <w:contextualSpacing/>
        <w:jc w:val="left"/>
        <w:rPr/>
      </w:pPr>
      <w:r>
        <w:rPr>
          <w:rFonts w:eastAsia="Calibri" w:cs="GaramondPremrPro" w:ascii="GaramondPremrPro" w:hAnsi="GaramondPremrPro"/>
          <w:sz w:val="22"/>
          <w:szCs w:val="22"/>
        </w:rPr>
        <w:t xml:space="preserve">we have lost, if anything, is a sense of ourselves exactly as </w:t>
      </w:r>
      <w:r>
        <w:rPr>
          <w:rFonts w:eastAsia="Calibri" w:cs="GaramondPremrPro-It" w:ascii="GaramondPremrPro-It" w:hAnsi="GaramondPremrPro-It"/>
          <w:i/>
          <w:iCs/>
          <w:sz w:val="22"/>
          <w:szCs w:val="22"/>
        </w:rPr>
        <w:t xml:space="preserve">objects </w:t>
      </w:r>
      <w:r>
        <w:rPr>
          <w:rFonts w:eastAsia="Calibri" w:cs="GaramondPremrPro" w:ascii="GaramondPremrPro" w:hAnsi="GaramondPremrPro"/>
          <w:sz w:val="22"/>
          <w:szCs w:val="22"/>
        </w:rPr>
        <w:t>in this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expanded definition. We ward it off or kick it upstairs into the realm</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of esoteric experience. (79)</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The idea that we might be deceived is intrinsic to the agrilogistic</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virus. The possibility of pretense haunts arche-lithic “cultures” of magic</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as a structurally necessary component of those cultures: “The real skill</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of the practitioner [of magic] lies not in skilled concealment but in the</w:t>
      </w:r>
    </w:p>
    <w:p>
      <w:pPr>
        <w:pStyle w:val="Normal"/>
        <w:spacing w:before="0" w:after="0"/>
        <w:contextualSpacing/>
        <w:jc w:val="left"/>
        <w:rPr/>
      </w:pPr>
      <w:r>
        <w:rPr>
          <w:rFonts w:eastAsia="Calibri" w:cs="GaramondPremrPro" w:ascii="GaramondPremrPro" w:hAnsi="GaramondPremrPro"/>
          <w:sz w:val="22"/>
          <w:szCs w:val="22"/>
        </w:rPr>
        <w:t>skilled revelation of skilled concealment.”</w:t>
      </w:r>
      <w:r>
        <w:rPr>
          <w:rFonts w:eastAsia="Calibri" w:cs="GaramondPremrPro" w:ascii="GaramondPremrPro" w:hAnsi="GaramondPremrPro"/>
          <w:sz w:val="14"/>
          <w:szCs w:val="14"/>
        </w:rPr>
        <w:t xml:space="preserve">46 </w:t>
      </w:r>
      <w:r>
        <w:rPr>
          <w:rFonts w:eastAsia="Calibri" w:cs="GaramondPremrPro" w:ascii="GaramondPremrPro" w:hAnsi="GaramondPremrPro"/>
          <w:sz w:val="22"/>
          <w:szCs w:val="22"/>
        </w:rPr>
        <w:t>(I must put “culture” in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quotation marks because the term is hopelessly agrilogistic.) Skepticism</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and faith might not be enemies in every social configuration. In archelithic</w:t>
      </w:r>
    </w:p>
    <w:p>
      <w:pPr>
        <w:pStyle w:val="Normal"/>
        <w:spacing w:before="0" w:after="0"/>
        <w:contextualSpacing/>
        <w:jc w:val="left"/>
        <w:rPr/>
      </w:pPr>
      <w:r>
        <w:rPr>
          <w:rFonts w:eastAsia="Calibri" w:cs="GaramondPremrPro" w:ascii="GaramondPremrPro" w:hAnsi="GaramondPremrPro"/>
          <w:sz w:val="22"/>
          <w:szCs w:val="22"/>
        </w:rPr>
        <w:t xml:space="preserve">space they might be weirdly intertwined. There is an </w:t>
      </w:r>
      <w:r>
        <w:rPr>
          <w:rFonts w:eastAsia="Calibri" w:cs="GaramondPremrPro-It" w:ascii="GaramondPremrPro-It" w:hAnsi="GaramondPremrPro-It"/>
          <w:i/>
          <w:iCs/>
          <w:sz w:val="22"/>
          <w:szCs w:val="22"/>
        </w:rPr>
        <w:t>ontological</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reason why the play of magic involves epistemological panic, giving rise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to hermeneutical spirals of belief and disbelief. The dance of concealing</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and revealing happens because reality as such just does have a magical,</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flickering aspect. It is as if there is an irreducible, storylike hermeneutical</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web that plays around and within all things. An irreducible uncertainty,</w:t>
      </w:r>
    </w:p>
    <w:p>
      <w:pPr>
        <w:pStyle w:val="Normal"/>
        <w:spacing w:before="0" w:after="0"/>
        <w:contextualSpacing/>
        <w:jc w:val="left"/>
        <w:rPr/>
      </w:pPr>
      <w:r>
        <w:rPr>
          <w:rFonts w:eastAsia="Calibri" w:cs="GaramondPremrPro" w:ascii="GaramondPremrPro" w:hAnsi="GaramondPremrPro"/>
          <w:sz w:val="22"/>
          <w:szCs w:val="22"/>
        </w:rPr>
        <w:t xml:space="preserve">not because things are unreal, but because they </w:t>
      </w:r>
      <w:r>
        <w:rPr>
          <w:rFonts w:eastAsia="Calibri" w:cs="GaramondPremrPro-It" w:ascii="GaramondPremrPro-It" w:hAnsi="GaramondPremrPro-It"/>
          <w:i/>
          <w:iCs/>
          <w:sz w:val="22"/>
          <w:szCs w:val="22"/>
        </w:rPr>
        <w:t xml:space="preserve">are </w:t>
      </w:r>
      <w:r>
        <w:rPr>
          <w:rFonts w:eastAsia="Calibri" w:cs="GaramondPremrPro" w:ascii="GaramondPremrPro" w:hAnsi="GaramondPremrPro"/>
          <w:sz w:val="22"/>
          <w:szCs w:val="22"/>
        </w:rPr>
        <w:t>real.</w:t>
      </w:r>
    </w:p>
    <w:p>
      <w:pPr>
        <w:pStyle w:val="Normal"/>
        <w:spacing w:before="0" w:after="0"/>
        <w:contextualSpacing/>
        <w:jc w:val="left"/>
        <w:rPr/>
      </w:pPr>
      <w:r>
        <w:rPr>
          <w:rFonts w:eastAsia="Calibri" w:cs="GaramondPremrPro" w:ascii="GaramondPremrPro" w:hAnsi="GaramondPremrPro"/>
          <w:sz w:val="22"/>
          <w:szCs w:val="22"/>
        </w:rPr>
        <w:t xml:space="preserve">The basic pattern is a trickster. The agrilogistic sentence </w:t>
      </w:r>
      <w:r>
        <w:rPr>
          <w:rFonts w:eastAsia="Calibri" w:cs="GaramondPremrPro-It" w:ascii="GaramondPremrPro-It" w:hAnsi="GaramondPremrPro-It"/>
          <w:i/>
          <w:iCs/>
          <w:sz w:val="22"/>
          <w:szCs w:val="22"/>
        </w:rPr>
        <w:t>This is not</w:t>
      </w:r>
    </w:p>
    <w:p>
      <w:pPr>
        <w:pStyle w:val="Normal"/>
        <w:spacing w:before="0" w:after="0"/>
        <w:contextualSpacing/>
        <w:jc w:val="left"/>
        <w:rPr/>
      </w:pPr>
      <w:r>
        <w:rPr>
          <w:rFonts w:eastAsia="Calibri" w:cs="GaramondPremrPro-It" w:ascii="GaramondPremrPro-It" w:hAnsi="GaramondPremrPro-It"/>
          <w:i/>
          <w:iCs/>
          <w:sz w:val="22"/>
          <w:szCs w:val="22"/>
        </w:rPr>
        <w:t xml:space="preserve">(just) a pattern </w:t>
      </w:r>
      <w:r>
        <w:rPr>
          <w:rFonts w:eastAsia="Calibri" w:cs="GaramondPremrPro" w:ascii="GaramondPremrPro" w:hAnsi="GaramondPremrPro"/>
          <w:sz w:val="22"/>
          <w:szCs w:val="22"/>
        </w:rPr>
        <w:t>forces its hosts to reproduce it as they try to process</w:t>
      </w:r>
    </w:p>
    <w:p>
      <w:pPr>
        <w:pStyle w:val="Normal"/>
        <w:spacing w:before="0" w:after="0"/>
        <w:contextualSpacing/>
        <w:jc w:val="left"/>
        <w:rPr/>
      </w:pPr>
      <w:r>
        <w:rPr>
          <w:rFonts w:eastAsia="Calibri" w:cs="GaramondPremrPro" w:ascii="GaramondPremrPro" w:hAnsi="GaramondPremrPro"/>
          <w:sz w:val="22"/>
          <w:szCs w:val="22"/>
        </w:rPr>
        <w:t xml:space="preserve">the </w:t>
      </w:r>
      <w:r>
        <w:rPr>
          <w:rFonts w:eastAsia="Calibri" w:cs="GaramondPremrPro-It" w:ascii="GaramondPremrPro-It" w:hAnsi="GaramondPremrPro-It"/>
          <w:i/>
          <w:iCs/>
          <w:sz w:val="22"/>
          <w:szCs w:val="22"/>
        </w:rPr>
        <w:t xml:space="preserve">not </w:t>
      </w:r>
      <w:r>
        <w:rPr>
          <w:rFonts w:eastAsia="Calibri" w:cs="GaramondPremrPro" w:ascii="GaramondPremrPro" w:hAnsi="GaramondPremrPro"/>
          <w:sz w:val="22"/>
          <w:szCs w:val="22"/>
        </w:rPr>
        <w:t xml:space="preserve">and the </w:t>
      </w:r>
      <w:r>
        <w:rPr>
          <w:rFonts w:eastAsia="Calibri" w:cs="GaramondPremrPro-It" w:ascii="GaramondPremrPro-It" w:hAnsi="GaramondPremrPro-It"/>
          <w:i/>
          <w:iCs/>
          <w:sz w:val="22"/>
          <w:szCs w:val="22"/>
        </w:rPr>
        <w:t>just</w:t>
      </w:r>
      <w:r>
        <w:rPr>
          <w:rFonts w:eastAsia="Calibri" w:cs="GaramondPremrPro" w:ascii="GaramondPremrPro" w:hAnsi="GaramondPremrPro"/>
          <w:sz w:val="22"/>
          <w:szCs w:val="22"/>
        </w:rPr>
        <w:t xml:space="preserve">. </w:t>
      </w:r>
      <w:r>
        <w:rPr>
          <w:rFonts w:eastAsia="Calibri" w:cs="GaramondPremrPro-It" w:ascii="GaramondPremrPro-It" w:hAnsi="GaramondPremrPro-It"/>
          <w:i/>
          <w:iCs/>
          <w:sz w:val="22"/>
          <w:szCs w:val="22"/>
        </w:rPr>
        <w:t>Agrilogistics is dormant in the arche-lithic</w:t>
      </w:r>
      <w:r>
        <w:rPr>
          <w:rFonts w:eastAsia="Calibri" w:cs="GaramondPremrPro" w:ascii="GaramondPremrPro" w:hAnsi="GaramondPremrPro"/>
          <w:sz w:val="22"/>
          <w:szCs w:val="22"/>
        </w:rPr>
        <w:t>,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continuum of human-nonhuman entailment, waiting for a host to</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download it. In a loop that fascinates, pretense is pretending not to be</w:t>
      </w:r>
    </w:p>
    <w:p>
      <w:pPr>
        <w:pStyle w:val="Normal"/>
        <w:spacing w:before="0" w:after="0"/>
        <w:contextualSpacing/>
        <w:jc w:val="left"/>
        <w:rPr/>
      </w:pPr>
      <w:r>
        <w:rPr>
          <w:rFonts w:eastAsia="Calibri" w:cs="GaramondPremrPro" w:ascii="GaramondPremrPro" w:hAnsi="GaramondPremrPro"/>
          <w:sz w:val="22"/>
          <w:szCs w:val="22"/>
        </w:rPr>
        <w:t xml:space="preserve">pretense. Read one way </w:t>
      </w:r>
      <w:r>
        <w:rPr>
          <w:rFonts w:eastAsia="Calibri" w:cs="GaramondPremrPro-It" w:ascii="GaramondPremrPro-It" w:hAnsi="GaramondPremrPro-It"/>
          <w:i/>
          <w:iCs/>
          <w:sz w:val="22"/>
          <w:szCs w:val="22"/>
        </w:rPr>
        <w:t xml:space="preserve">This is not (just) a pattern </w:t>
      </w:r>
      <w:r>
        <w:rPr>
          <w:rFonts w:eastAsia="Calibri" w:cs="GaramondPremrPro" w:ascii="GaramondPremrPro" w:hAnsi="GaramondPremrPro"/>
          <w:sz w:val="22"/>
          <w:szCs w:val="22"/>
        </w:rPr>
        <w:t>cancels out its loop</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form, but on another interpretation the sentence is forever plagued</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by that loop. Agrilogistics assembles itself from the first interpretation.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This is a loop to end all loops. Perhaps it is entirely uncurled,</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perhaps it is pointing at something. It seems to tie the sentence to</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 (more) constantly present thing putatively “outside” itself, and in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so doing it reduces the sentence to (mere and unnecessary) appearance. (85)</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ListParagraph"/>
        <w:numPr>
          <w:ilvl w:val="0"/>
          <w:numId w:val="31"/>
        </w:numPr>
        <w:spacing w:before="0" w:after="0"/>
        <w:ind w:left="0" w:right="0" w:hanging="360"/>
        <w:contextualSpacing/>
        <w:rPr/>
      </w:pPr>
      <w:r>
        <w:rPr>
          <w:rFonts w:eastAsia="Calibri" w:cs="Times-Bold" w:ascii="Times-Bold" w:hAnsi="Times-Bold"/>
          <w:b/>
          <w:bCs/>
          <w:color w:val="131413"/>
          <w:sz w:val="28"/>
          <w:szCs w:val="28"/>
        </w:rPr>
        <w:t xml:space="preserve">(2017) Andrew Cooper, Two directions for teleology: naturalism and idealism, </w:t>
      </w:r>
      <w:r>
        <w:rPr>
          <w:rFonts w:eastAsia="Calibri" w:cs="Times-Roman" w:ascii="Times-Roman" w:hAnsi="Times-Roman"/>
          <w:color w:val="131413"/>
          <w:sz w:val="28"/>
          <w:szCs w:val="28"/>
        </w:rPr>
        <w:t>Synthese</w:t>
      </w:r>
    </w:p>
    <w:p>
      <w:pPr>
        <w:pStyle w:val="Normal"/>
        <w:spacing w:before="0" w:after="0"/>
        <w:contextualSpacing/>
        <w:jc w:val="left"/>
        <w:rPr>
          <w:rFonts w:ascii="Times-Roman" w:hAnsi="Times-Roman" w:eastAsia="Calibri" w:cs="Times-Roman"/>
          <w:color w:val="131413"/>
          <w:sz w:val="28"/>
          <w:szCs w:val="28"/>
        </w:rPr>
      </w:pPr>
      <w:r>
        <w:rPr>
          <w:rFonts w:eastAsia="Calibri" w:cs="Times-Roman" w:ascii="Times-Roman" w:hAnsi="Times-Roman"/>
          <w:color w:val="131413"/>
          <w:sz w:val="28"/>
          <w:szCs w:val="28"/>
        </w:rPr>
        <w:t>DOI 10.1007/s11229-017-1364-5</w:t>
      </w:r>
    </w:p>
    <w:p>
      <w:pPr>
        <w:pStyle w:val="Normal"/>
        <w:spacing w:before="0" w:after="0"/>
        <w:contextualSpacing/>
        <w:jc w:val="left"/>
        <w:rPr>
          <w:rFonts w:ascii="Times-Roman" w:hAnsi="Times-Roman" w:eastAsia="Calibri" w:cs="Times-Roman"/>
          <w:color w:val="131413"/>
          <w:sz w:val="16"/>
          <w:szCs w:val="16"/>
        </w:rPr>
      </w:pPr>
      <w:r>
        <w:rPr>
          <w:rFonts w:eastAsia="Calibri" w:cs="Times-Roman" w:ascii="Times-Roman" w:hAnsi="Times-Roman"/>
          <w:color w:val="131413"/>
          <w:sz w:val="16"/>
          <w:szCs w:val="16"/>
        </w:rPr>
      </w:r>
    </w:p>
    <w:p>
      <w:pPr>
        <w:pStyle w:val="Normal"/>
        <w:spacing w:before="0" w:after="0"/>
        <w:contextualSpacing/>
        <w:jc w:val="left"/>
        <w:rPr>
          <w:rFonts w:ascii="Times-Roman" w:hAnsi="Times-Roman" w:eastAsia="Calibri" w:cs="Times-Roman"/>
          <w:color w:val="131413"/>
          <w:sz w:val="16"/>
          <w:szCs w:val="16"/>
        </w:rPr>
      </w:pPr>
      <w:r>
        <w:rPr>
          <w:rFonts w:eastAsia="Calibri" w:cs="Times-Roman" w:ascii="Times-Roman" w:hAnsi="Times-Roman"/>
          <w:color w:val="131413"/>
          <w:sz w:val="16"/>
          <w:szCs w:val="16"/>
        </w:rPr>
      </w:r>
    </w:p>
    <w:p>
      <w:pPr>
        <w:pStyle w:val="Normal"/>
        <w:spacing w:before="0" w:after="0"/>
        <w:contextualSpacing/>
        <w:jc w:val="left"/>
        <w:rPr/>
      </w:pPr>
      <w:r>
        <w:rPr>
          <w:rFonts w:eastAsia="Calibri" w:cs="Times-Bold" w:ascii="Times-Bold" w:hAnsi="Times-Bold"/>
          <w:b/>
          <w:bCs/>
          <w:color w:val="131413"/>
          <w:sz w:val="20"/>
          <w:szCs w:val="20"/>
        </w:rPr>
        <w:t xml:space="preserve">Abstract </w:t>
      </w:r>
      <w:r>
        <w:rPr>
          <w:rFonts w:eastAsia="Calibri" w:cs="Times-Roman" w:ascii="Times-Roman" w:hAnsi="Times-Roman"/>
          <w:color w:val="131413"/>
          <w:sz w:val="20"/>
          <w:szCs w:val="20"/>
        </w:rPr>
        <w:t>Philosophers of biology claim that function talk is consistent with natu</w:t>
      </w:r>
      <w:r>
        <w:rPr>
          <w:rFonts w:eastAsia="Calibri" w:cs="Helvetica" w:ascii="Helvetica" w:hAnsi="Helvetica"/>
          <w:color w:val="131413"/>
          <w:sz w:val="10"/>
          <w:szCs w:val="10"/>
        </w:rPr>
        <w:t>2</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ralism. Yet recent work in biology places new pressure on this claim. An increasing</w:t>
      </w:r>
    </w:p>
    <w:p>
      <w:pPr>
        <w:pStyle w:val="Normal"/>
        <w:spacing w:before="0" w:after="0"/>
        <w:contextualSpacing/>
        <w:jc w:val="left"/>
        <w:rPr/>
      </w:pPr>
      <w:r>
        <w:rPr>
          <w:rFonts w:eastAsia="Calibri" w:cs="Helvetica" w:ascii="Helvetica" w:hAnsi="Helvetica"/>
          <w:color w:val="131413"/>
          <w:sz w:val="10"/>
          <w:szCs w:val="10"/>
        </w:rPr>
        <w:t xml:space="preserve">3 </w:t>
      </w:r>
      <w:r>
        <w:rPr>
          <w:rFonts w:eastAsia="Calibri" w:cs="Times-Roman" w:ascii="Times-Roman" w:hAnsi="Times-Roman"/>
          <w:color w:val="131413"/>
          <w:sz w:val="20"/>
          <w:szCs w:val="20"/>
        </w:rPr>
        <w:t>number of biologists propose that the existence of functions depends on the organ</w:t>
      </w:r>
      <w:r>
        <w:rPr>
          <w:rFonts w:eastAsia="Calibri" w:cs="Helvetica" w:ascii="Helvetica" w:hAnsi="Helvetica"/>
          <w:color w:val="131413"/>
          <w:sz w:val="10"/>
          <w:szCs w:val="10"/>
        </w:rPr>
        <w:t>4</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isation of systems. While systems are part of the domain studied by physics, they</w:t>
      </w:r>
    </w:p>
    <w:p>
      <w:pPr>
        <w:pStyle w:val="Normal"/>
        <w:spacing w:before="0" w:after="0"/>
        <w:contextualSpacing/>
        <w:jc w:val="left"/>
        <w:rPr/>
      </w:pPr>
      <w:r>
        <w:rPr>
          <w:rFonts w:eastAsia="Calibri" w:cs="Helvetica" w:ascii="Helvetica" w:hAnsi="Helvetica"/>
          <w:color w:val="131413"/>
          <w:sz w:val="10"/>
          <w:szCs w:val="10"/>
        </w:rPr>
        <w:t xml:space="preserve">5 </w:t>
      </w:r>
      <w:r>
        <w:rPr>
          <w:rFonts w:eastAsia="Calibri" w:cs="Times-Roman" w:ascii="Times-Roman" w:hAnsi="Times-Roman"/>
          <w:color w:val="131413"/>
          <w:sz w:val="20"/>
          <w:szCs w:val="20"/>
        </w:rPr>
        <w:t>are capable of interacting with this domain through organising principles. This is</w:t>
      </w:r>
    </w:p>
    <w:p>
      <w:pPr>
        <w:pStyle w:val="Normal"/>
        <w:spacing w:before="0" w:after="0"/>
        <w:contextualSpacing/>
        <w:jc w:val="left"/>
        <w:rPr/>
      </w:pPr>
      <w:r>
        <w:rPr>
          <w:rFonts w:eastAsia="Calibri" w:cs="Helvetica" w:ascii="Helvetica" w:hAnsi="Helvetica"/>
          <w:color w:val="131413"/>
          <w:sz w:val="10"/>
          <w:szCs w:val="10"/>
        </w:rPr>
        <w:t xml:space="preserve">6 </w:t>
      </w:r>
      <w:r>
        <w:rPr>
          <w:rFonts w:eastAsia="Calibri" w:cs="Times-Roman" w:ascii="Times-Roman" w:hAnsi="Times-Roman"/>
          <w:color w:val="131413"/>
          <w:sz w:val="20"/>
          <w:szCs w:val="20"/>
        </w:rPr>
        <w:t>to say that a full account of biological function requires teleology. Does naturalism</w:t>
      </w:r>
    </w:p>
    <w:p>
      <w:pPr>
        <w:pStyle w:val="Normal"/>
        <w:spacing w:before="0" w:after="0"/>
        <w:contextualSpacing/>
        <w:jc w:val="left"/>
        <w:rPr/>
      </w:pPr>
      <w:r>
        <w:rPr>
          <w:rFonts w:eastAsia="Calibri" w:cs="Helvetica" w:ascii="Helvetica" w:hAnsi="Helvetica"/>
          <w:color w:val="131413"/>
          <w:sz w:val="10"/>
          <w:szCs w:val="10"/>
        </w:rPr>
        <w:t xml:space="preserve">7 </w:t>
      </w:r>
      <w:r>
        <w:rPr>
          <w:rFonts w:eastAsia="Calibri" w:cs="Times-Roman" w:ascii="Times-Roman" w:hAnsi="Times-Roman"/>
          <w:color w:val="131413"/>
          <w:sz w:val="20"/>
          <w:szCs w:val="20"/>
        </w:rPr>
        <w:t>preclude reference to teleological causes? Or are organised systems precisely a natu</w:t>
      </w:r>
      <w:r>
        <w:rPr>
          <w:rFonts w:eastAsia="Calibri" w:cs="Helvetica" w:ascii="Helvetica" w:hAnsi="Helvetica"/>
          <w:color w:val="131413"/>
          <w:sz w:val="10"/>
          <w:szCs w:val="10"/>
        </w:rPr>
        <w:t>8</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ralised form of teleology? In this paper I suggest that the biology of organised systems</w:t>
      </w:r>
    </w:p>
    <w:p>
      <w:pPr>
        <w:pStyle w:val="Normal"/>
        <w:spacing w:before="0" w:after="0"/>
        <w:contextualSpacing/>
        <w:jc w:val="left"/>
        <w:rPr/>
      </w:pPr>
      <w:r>
        <w:rPr>
          <w:rFonts w:eastAsia="Calibri" w:cs="Helvetica" w:ascii="Helvetica" w:hAnsi="Helvetica"/>
          <w:color w:val="131413"/>
          <w:sz w:val="10"/>
          <w:szCs w:val="10"/>
        </w:rPr>
        <w:t xml:space="preserve">9 </w:t>
      </w:r>
      <w:r>
        <w:rPr>
          <w:rFonts w:eastAsia="Calibri" w:cs="Times-Roman" w:ascii="Times-Roman" w:hAnsi="Times-Roman"/>
          <w:color w:val="131413"/>
          <w:sz w:val="20"/>
          <w:szCs w:val="20"/>
        </w:rPr>
        <w:t>reveals several contradictions in the main philosophical conceptions of naturalism.</w:t>
      </w:r>
    </w:p>
    <w:p>
      <w:pPr>
        <w:pStyle w:val="Normal"/>
        <w:spacing w:before="0" w:after="0"/>
        <w:contextualSpacing/>
        <w:jc w:val="left"/>
        <w:rPr/>
      </w:pPr>
      <w:r>
        <w:rPr>
          <w:rFonts w:eastAsia="Calibri" w:cs="Helvetica" w:ascii="Helvetica" w:hAnsi="Helvetica"/>
          <w:color w:val="131413"/>
          <w:sz w:val="10"/>
          <w:szCs w:val="10"/>
        </w:rPr>
        <w:t xml:space="preserve">10 </w:t>
      </w:r>
      <w:r>
        <w:rPr>
          <w:rFonts w:eastAsia="Calibri" w:cs="Times-Roman" w:ascii="Times-Roman" w:hAnsi="Times-Roman"/>
          <w:color w:val="131413"/>
          <w:sz w:val="20"/>
          <w:szCs w:val="20"/>
        </w:rPr>
        <w:t>To integrate organised systems with naturalism’s basic assumptions—that there is no</w:t>
      </w:r>
    </w:p>
    <w:p>
      <w:pPr>
        <w:pStyle w:val="Normal"/>
        <w:spacing w:before="0" w:after="0"/>
        <w:contextualSpacing/>
        <w:jc w:val="left"/>
        <w:rPr/>
      </w:pPr>
      <w:r>
        <w:rPr>
          <w:rFonts w:eastAsia="Calibri" w:cs="Helvetica" w:ascii="Helvetica" w:hAnsi="Helvetica"/>
          <w:color w:val="131413"/>
          <w:sz w:val="10"/>
          <w:szCs w:val="10"/>
        </w:rPr>
        <w:t xml:space="preserve">11 </w:t>
      </w:r>
      <w:r>
        <w:rPr>
          <w:rFonts w:eastAsia="Calibri" w:cs="Times-Roman" w:ascii="Times-Roman" w:hAnsi="Times-Roman"/>
          <w:color w:val="131413"/>
          <w:sz w:val="20"/>
          <w:szCs w:val="20"/>
        </w:rPr>
        <w:t>theory-independent view for metaphysics, and that nature is intelligible—I propose</w:t>
      </w:r>
    </w:p>
    <w:p>
      <w:pPr>
        <w:pStyle w:val="Normal"/>
        <w:spacing w:before="0" w:after="0"/>
        <w:contextualSpacing/>
        <w:jc w:val="left"/>
        <w:rPr/>
      </w:pPr>
      <w:r>
        <w:rPr>
          <w:rFonts w:eastAsia="Calibri" w:cs="Helvetica" w:ascii="Helvetica" w:hAnsi="Helvetica"/>
          <w:color w:val="131413"/>
          <w:sz w:val="10"/>
          <w:szCs w:val="10"/>
        </w:rPr>
        <w:t xml:space="preserve">12 </w:t>
      </w:r>
      <w:r>
        <w:rPr>
          <w:rFonts w:eastAsia="Calibri" w:cs="Times-Roman" w:ascii="Times-Roman" w:hAnsi="Times-Roman"/>
          <w:color w:val="131413"/>
          <w:sz w:val="20"/>
          <w:szCs w:val="20"/>
        </w:rPr>
        <w:t>an idealist solution.</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pPr>
      <w:r>
        <w:rPr>
          <w:rFonts w:eastAsia="Calibri" w:cs="Times-Roman" w:ascii="Times-Roman" w:hAnsi="Times-Roman"/>
          <w:color w:val="131413"/>
          <w:sz w:val="20"/>
          <w:szCs w:val="20"/>
        </w:rPr>
        <w:t>[</w:t>
      </w:r>
      <w:r>
        <w:rPr>
          <w:rFonts w:eastAsia="Calibri" w:cs="Times-Roman" w:ascii="Times-Roman" w:hAnsi="Times-Roman"/>
          <w:color w:val="FF0000"/>
          <w:sz w:val="20"/>
          <w:szCs w:val="20"/>
        </w:rPr>
        <w:t>Everybody can understand the UNBELIEVABLE similarities between naturalism-idealism and (macro-EW—mind/living EW) (EDWs)!!!!]</w:t>
      </w:r>
    </w:p>
    <w:p>
      <w:pPr>
        <w:pStyle w:val="Normal"/>
        <w:spacing w:before="0" w:after="0"/>
        <w:contextualSpacing/>
        <w:jc w:val="left"/>
        <w:rPr>
          <w:rFonts w:ascii="Times-Roman" w:hAnsi="Times-Roman" w:eastAsia="Calibri" w:cs="Times-Roman"/>
          <w:color w:val="FF0000"/>
          <w:sz w:val="20"/>
          <w:szCs w:val="20"/>
        </w:rPr>
      </w:pPr>
      <w:r>
        <w:rPr>
          <w:rFonts w:eastAsia="Calibri" w:cs="Times-Roman" w:ascii="Times-Roman" w:hAnsi="Times-Roman"/>
          <w:color w:val="FF0000"/>
          <w:sz w:val="20"/>
          <w:szCs w:val="20"/>
        </w:rPr>
      </w:r>
    </w:p>
    <w:p>
      <w:pPr>
        <w:pStyle w:val="Normal"/>
        <w:spacing w:before="0" w:after="0"/>
        <w:contextualSpacing/>
        <w:jc w:val="left"/>
        <w:rPr/>
      </w:pPr>
      <w:r>
        <w:rPr>
          <w:rFonts w:eastAsia="Calibri" w:cs="Times-Roman" w:ascii="Times-Roman" w:hAnsi="Times-Roman"/>
          <w:color w:val="0000FF"/>
          <w:sz w:val="20"/>
          <w:szCs w:val="20"/>
        </w:rPr>
        <w:t xml:space="preserve">Barbieri </w:t>
      </w:r>
      <w:r>
        <w:rPr>
          <w:rFonts w:eastAsia="Calibri" w:cs="Times-Roman" w:ascii="Times-Roman" w:hAnsi="Times-Roman"/>
          <w:color w:val="131413"/>
          <w:sz w:val="20"/>
          <w:szCs w:val="20"/>
        </w:rPr>
        <w:t>(</w:t>
      </w:r>
      <w:r>
        <w:rPr>
          <w:rFonts w:eastAsia="Calibri" w:cs="Times-Roman" w:ascii="Times-Roman" w:hAnsi="Times-Roman"/>
          <w:color w:val="0000FF"/>
          <w:sz w:val="20"/>
          <w:szCs w:val="20"/>
        </w:rPr>
        <w:t>2008</w:t>
      </w:r>
      <w:r>
        <w:rPr>
          <w:rFonts w:eastAsia="Calibri" w:cs="Times-Roman" w:ascii="Times-Roman" w:hAnsi="Times-Roman"/>
          <w:color w:val="131413"/>
          <w:sz w:val="20"/>
          <w:szCs w:val="20"/>
        </w:rPr>
        <w:t xml:space="preserve">, p. 578) explains that organic </w:t>
      </w:r>
      <w:r>
        <w:rPr>
          <w:rFonts w:eastAsia="Calibri" w:cs="Helvetica" w:ascii="Helvetica" w:hAnsi="Helvetica"/>
          <w:color w:val="131413"/>
          <w:sz w:val="10"/>
          <w:szCs w:val="10"/>
        </w:rPr>
        <w:t xml:space="preserve">49 </w:t>
      </w:r>
      <w:r>
        <w:rPr>
          <w:rFonts w:eastAsia="Calibri" w:cs="Times-Roman" w:ascii="Times-Roman" w:hAnsi="Times-Roman"/>
          <w:color w:val="131413"/>
          <w:sz w:val="20"/>
          <w:szCs w:val="20"/>
        </w:rPr>
        <w:t>systems are ‘made of two independent worlds,’ one that is physical and sub</w:t>
      </w:r>
      <w:r>
        <w:rPr>
          <w:rFonts w:eastAsia="Calibri" w:cs="Helvetica" w:ascii="Helvetica" w:hAnsi="Helvetica"/>
          <w:color w:val="131413"/>
          <w:sz w:val="10"/>
          <w:szCs w:val="10"/>
        </w:rPr>
        <w:t xml:space="preserve">50 </w:t>
      </w:r>
      <w:r>
        <w:rPr>
          <w:rFonts w:eastAsia="Calibri" w:cs="Times-Roman" w:ascii="Times-Roman" w:hAnsi="Times-Roman"/>
          <w:color w:val="131413"/>
          <w:sz w:val="20"/>
          <w:szCs w:val="20"/>
        </w:rPr>
        <w:t>ject to efficient causality and another that consists of relations and meanings. (pp. 2-3)</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To preserve a space in which we can negotiate, manage, and contest our claims,</w:t>
      </w:r>
    </w:p>
    <w:p>
      <w:pPr>
        <w:pStyle w:val="Normal"/>
        <w:spacing w:before="0" w:after="0"/>
        <w:contextualSpacing/>
        <w:jc w:val="left"/>
        <w:rPr/>
      </w:pPr>
      <w:r>
        <w:rPr>
          <w:rFonts w:eastAsia="Calibri" w:cs="Helvetica" w:ascii="Helvetica" w:hAnsi="Helvetica"/>
          <w:color w:val="131413"/>
          <w:sz w:val="10"/>
          <w:szCs w:val="10"/>
        </w:rPr>
        <w:t xml:space="preserve">369 </w:t>
      </w:r>
      <w:r>
        <w:rPr>
          <w:rFonts w:eastAsia="Calibri" w:cs="Times-Roman" w:ascii="Times-Roman" w:hAnsi="Times-Roman"/>
          <w:color w:val="131413"/>
          <w:sz w:val="20"/>
          <w:szCs w:val="20"/>
        </w:rPr>
        <w:t>Price proposes a version of naturalismhe calls ‘subject naturalism’. Subject naturalism</w:t>
      </w:r>
    </w:p>
    <w:p>
      <w:pPr>
        <w:pStyle w:val="Normal"/>
        <w:spacing w:before="0" w:after="0"/>
        <w:contextualSpacing/>
        <w:jc w:val="left"/>
        <w:rPr/>
      </w:pPr>
      <w:r>
        <w:rPr>
          <w:rFonts w:eastAsia="Calibri" w:cs="Helvetica" w:ascii="Helvetica" w:hAnsi="Helvetica"/>
          <w:color w:val="131413"/>
          <w:sz w:val="10"/>
          <w:szCs w:val="10"/>
        </w:rPr>
        <w:t xml:space="preserve">370 </w:t>
      </w:r>
      <w:r>
        <w:rPr>
          <w:rFonts w:eastAsia="Calibri" w:cs="Times-Roman" w:ascii="Times-Roman" w:hAnsi="Times-Roman"/>
          <w:color w:val="131413"/>
          <w:sz w:val="20"/>
          <w:szCs w:val="20"/>
        </w:rPr>
        <w:t>begins from the freedom of human language and approaches the task of providing a</w:t>
      </w:r>
    </w:p>
    <w:p>
      <w:pPr>
        <w:pStyle w:val="Normal"/>
        <w:spacing w:before="0" w:after="0"/>
        <w:contextualSpacing/>
        <w:jc w:val="left"/>
        <w:rPr/>
      </w:pPr>
      <w:r>
        <w:rPr>
          <w:rFonts w:eastAsia="Calibri" w:cs="Helvetica" w:ascii="Helvetica" w:hAnsi="Helvetica"/>
          <w:color w:val="131413"/>
          <w:sz w:val="10"/>
          <w:szCs w:val="10"/>
        </w:rPr>
        <w:t xml:space="preserve">371 </w:t>
      </w:r>
      <w:r>
        <w:rPr>
          <w:rFonts w:eastAsia="Calibri" w:cs="Times-Roman" w:ascii="Times-Roman" w:hAnsi="Times-Roman"/>
          <w:color w:val="131413"/>
          <w:sz w:val="20"/>
          <w:szCs w:val="20"/>
        </w:rPr>
        <w:t>theory of naturalism on a second-order level. This is not to free theory construction</w:t>
      </w:r>
    </w:p>
    <w:p>
      <w:pPr>
        <w:pStyle w:val="Normal"/>
        <w:spacing w:before="0" w:after="0"/>
        <w:contextualSpacing/>
        <w:jc w:val="left"/>
        <w:rPr/>
      </w:pPr>
      <w:r>
        <w:rPr>
          <w:rFonts w:eastAsia="Calibri" w:cs="Helvetica" w:ascii="Helvetica" w:hAnsi="Helvetica"/>
          <w:color w:val="131413"/>
          <w:sz w:val="10"/>
          <w:szCs w:val="10"/>
        </w:rPr>
        <w:t xml:space="preserve">372 </w:t>
      </w:r>
      <w:r>
        <w:rPr>
          <w:rFonts w:eastAsia="Calibri" w:cs="Times-Roman" w:ascii="Times-Roman" w:hAnsi="Times-Roman"/>
          <w:color w:val="131413"/>
          <w:sz w:val="20"/>
          <w:szCs w:val="20"/>
        </w:rPr>
        <w:t>from science but rather to conceive of the freedom of language alongside the idea that</w:t>
      </w:r>
    </w:p>
    <w:p>
      <w:pPr>
        <w:pStyle w:val="Normal"/>
        <w:spacing w:before="0" w:after="0"/>
        <w:contextualSpacing/>
        <w:jc w:val="left"/>
        <w:rPr/>
      </w:pPr>
      <w:r>
        <w:rPr>
          <w:rFonts w:eastAsia="Calibri" w:cs="Helvetica" w:ascii="Helvetica" w:hAnsi="Helvetica"/>
          <w:color w:val="131413"/>
          <w:sz w:val="10"/>
          <w:szCs w:val="10"/>
        </w:rPr>
        <w:t xml:space="preserve">373 </w:t>
      </w:r>
      <w:r>
        <w:rPr>
          <w:rFonts w:eastAsia="Calibri" w:cs="Times-Roman" w:ascii="Times-Roman" w:hAnsi="Times-Roman"/>
          <w:color w:val="131413"/>
          <w:sz w:val="20"/>
          <w:szCs w:val="20"/>
        </w:rPr>
        <w:t>‘we humans are a part of nature,’ which is to say that wemust ‘begin with what science</w:t>
      </w:r>
    </w:p>
    <w:p>
      <w:pPr>
        <w:pStyle w:val="Normal"/>
        <w:spacing w:before="0" w:after="0"/>
        <w:contextualSpacing/>
        <w:jc w:val="left"/>
        <w:rPr/>
      </w:pPr>
      <w:r>
        <w:rPr>
          <w:rFonts w:eastAsia="Calibri" w:cs="Helvetica" w:ascii="Helvetica" w:hAnsi="Helvetica"/>
          <w:color w:val="131413"/>
          <w:sz w:val="10"/>
          <w:szCs w:val="10"/>
        </w:rPr>
        <w:t xml:space="preserve">374 </w:t>
      </w:r>
      <w:r>
        <w:rPr>
          <w:rFonts w:eastAsia="Calibri" w:cs="Times-Roman" w:ascii="Times-Roman" w:hAnsi="Times-Roman"/>
          <w:color w:val="131413"/>
          <w:sz w:val="20"/>
          <w:szCs w:val="20"/>
        </w:rPr>
        <w:t xml:space="preserve">tells us </w:t>
      </w:r>
      <w:r>
        <w:rPr>
          <w:rFonts w:eastAsia="Calibri" w:cs="Times-Italic" w:ascii="Times-Italic" w:hAnsi="Times-Italic"/>
          <w:i/>
          <w:iCs/>
          <w:color w:val="131413"/>
          <w:sz w:val="20"/>
          <w:szCs w:val="20"/>
        </w:rPr>
        <w:t>about ourselves</w:t>
      </w:r>
      <w:r>
        <w:rPr>
          <w:rFonts w:eastAsia="Calibri" w:cs="Times-Roman" w:ascii="Times-Roman" w:hAnsi="Times-Roman"/>
          <w:color w:val="131413"/>
          <w:sz w:val="20"/>
          <w:szCs w:val="20"/>
        </w:rPr>
        <w:t>’ (</w:t>
      </w:r>
      <w:r>
        <w:rPr>
          <w:rFonts w:eastAsia="Calibri" w:cs="Times-Roman" w:ascii="Times-Roman" w:hAnsi="Times-Roman"/>
          <w:color w:val="0000FF"/>
          <w:sz w:val="20"/>
          <w:szCs w:val="20"/>
        </w:rPr>
        <w:t>Price 2011</w:t>
      </w:r>
      <w:r>
        <w:rPr>
          <w:rFonts w:eastAsia="Calibri" w:cs="Times-Roman" w:ascii="Times-Roman" w:hAnsi="Times-Roman"/>
          <w:color w:val="131413"/>
          <w:sz w:val="20"/>
          <w:szCs w:val="20"/>
        </w:rPr>
        <w:t>, p. 186). In contrast to the object naturalist, who</w:t>
      </w:r>
    </w:p>
    <w:p>
      <w:pPr>
        <w:pStyle w:val="Normal"/>
        <w:spacing w:before="0" w:after="0"/>
        <w:contextualSpacing/>
        <w:jc w:val="left"/>
        <w:rPr/>
      </w:pPr>
      <w:r>
        <w:rPr>
          <w:rFonts w:eastAsia="Calibri" w:cs="Helvetica" w:ascii="Helvetica" w:hAnsi="Helvetica"/>
          <w:color w:val="131413"/>
          <w:sz w:val="10"/>
          <w:szCs w:val="10"/>
        </w:rPr>
        <w:t xml:space="preserve">375 </w:t>
      </w:r>
      <w:r>
        <w:rPr>
          <w:rFonts w:eastAsia="Calibri" w:cs="Times-Roman" w:ascii="Times-Roman" w:hAnsi="Times-Roman"/>
          <w:color w:val="131413"/>
          <w:sz w:val="20"/>
          <w:szCs w:val="20"/>
        </w:rPr>
        <w:t>attempts to free herself fromscience in order tomake a global claimaboutwhat there is</w:t>
      </w:r>
    </w:p>
    <w:p>
      <w:pPr>
        <w:pStyle w:val="Normal"/>
        <w:spacing w:before="0" w:after="0"/>
        <w:contextualSpacing/>
        <w:jc w:val="left"/>
        <w:rPr/>
      </w:pPr>
      <w:r>
        <w:rPr>
          <w:rFonts w:eastAsia="Calibri" w:cs="Helvetica" w:ascii="Helvetica" w:hAnsi="Helvetica"/>
          <w:color w:val="131413"/>
          <w:sz w:val="10"/>
          <w:szCs w:val="10"/>
        </w:rPr>
        <w:t xml:space="preserve">376 </w:t>
      </w:r>
      <w:r>
        <w:rPr>
          <w:rFonts w:eastAsia="Calibri" w:cs="Times-Roman" w:ascii="Times-Roman" w:hAnsi="Times-Roman"/>
          <w:color w:val="131413"/>
          <w:sz w:val="20"/>
          <w:szCs w:val="20"/>
        </w:rPr>
        <w:t xml:space="preserve">in nature, the subject naturalist aims to </w:t>
      </w:r>
      <w:r>
        <w:rPr>
          <w:rFonts w:eastAsia="Calibri" w:cs="Times-Italic" w:ascii="Times-Italic" w:hAnsi="Times-Italic"/>
          <w:i/>
          <w:iCs/>
          <w:color w:val="131413"/>
          <w:sz w:val="20"/>
          <w:szCs w:val="20"/>
        </w:rPr>
        <w:t xml:space="preserve">assimilate </w:t>
      </w:r>
      <w:r>
        <w:rPr>
          <w:rFonts w:eastAsia="Calibri" w:cs="Times-Roman" w:ascii="Times-Roman" w:hAnsi="Times-Roman"/>
          <w:color w:val="131413"/>
          <w:sz w:val="20"/>
          <w:szCs w:val="20"/>
        </w:rPr>
        <w:t>philosophy to science: ‘Science tells</w:t>
      </w:r>
    </w:p>
    <w:p>
      <w:pPr>
        <w:pStyle w:val="Normal"/>
        <w:spacing w:before="0" w:after="0"/>
        <w:contextualSpacing/>
        <w:jc w:val="left"/>
        <w:rPr/>
      </w:pPr>
      <w:r>
        <w:rPr>
          <w:rFonts w:eastAsia="Calibri" w:cs="Helvetica" w:ascii="Helvetica" w:hAnsi="Helvetica"/>
          <w:color w:val="131413"/>
          <w:sz w:val="10"/>
          <w:szCs w:val="10"/>
        </w:rPr>
        <w:t xml:space="preserve">377 </w:t>
      </w:r>
      <w:r>
        <w:rPr>
          <w:rFonts w:eastAsia="Calibri" w:cs="Times-Roman" w:ascii="Times-Roman" w:hAnsi="Times-Roman"/>
          <w:color w:val="131413"/>
          <w:sz w:val="20"/>
          <w:szCs w:val="20"/>
        </w:rPr>
        <w:t>us we humans are natural creatures, and if the claims and ambitions of philosophy</w:t>
      </w:r>
    </w:p>
    <w:p>
      <w:pPr>
        <w:pStyle w:val="Normal"/>
        <w:spacing w:before="0" w:after="0"/>
        <w:contextualSpacing/>
        <w:jc w:val="left"/>
        <w:rPr/>
      </w:pPr>
      <w:r>
        <w:rPr>
          <w:rFonts w:eastAsia="Calibri" w:cs="Helvetica" w:ascii="Helvetica" w:hAnsi="Helvetica"/>
          <w:color w:val="131413"/>
          <w:sz w:val="10"/>
          <w:szCs w:val="10"/>
        </w:rPr>
        <w:t xml:space="preserve">378 </w:t>
      </w:r>
      <w:r>
        <w:rPr>
          <w:rFonts w:eastAsia="Calibri" w:cs="Times-Roman" w:ascii="Times-Roman" w:hAnsi="Times-Roman"/>
          <w:color w:val="131413"/>
          <w:sz w:val="20"/>
          <w:szCs w:val="20"/>
        </w:rPr>
        <w:t>conflict with this view, then philosophy needs to give way.’ From this stance, the</w:t>
      </w:r>
    </w:p>
    <w:p>
      <w:pPr>
        <w:pStyle w:val="Normal"/>
        <w:spacing w:before="0" w:after="0"/>
        <w:contextualSpacing/>
        <w:jc w:val="left"/>
        <w:rPr/>
      </w:pPr>
      <w:r>
        <w:rPr>
          <w:rFonts w:eastAsia="Calibri" w:cs="Helvetica" w:ascii="Helvetica" w:hAnsi="Helvetica"/>
          <w:color w:val="131413"/>
          <w:sz w:val="10"/>
          <w:szCs w:val="10"/>
        </w:rPr>
        <w:t xml:space="preserve">379 </w:t>
      </w:r>
      <w:r>
        <w:rPr>
          <w:rFonts w:eastAsia="Calibri" w:cs="Times-Roman" w:ascii="Times-Roman" w:hAnsi="Times-Roman"/>
          <w:color w:val="131413"/>
          <w:sz w:val="20"/>
          <w:szCs w:val="20"/>
        </w:rPr>
        <w:t>problem with object naturalism is that it is ‘bad science’: in the attempt to secure the</w:t>
      </w:r>
    </w:p>
    <w:p>
      <w:pPr>
        <w:pStyle w:val="Normal"/>
        <w:spacing w:before="0" w:after="0"/>
        <w:contextualSpacing/>
        <w:jc w:val="left"/>
        <w:rPr/>
      </w:pPr>
      <w:r>
        <w:rPr>
          <w:rFonts w:eastAsia="Calibri" w:cs="Helvetica" w:ascii="Helvetica" w:hAnsi="Helvetica"/>
          <w:color w:val="131413"/>
          <w:sz w:val="10"/>
          <w:szCs w:val="10"/>
        </w:rPr>
        <w:t xml:space="preserve">380 </w:t>
      </w:r>
      <w:r>
        <w:rPr>
          <w:rFonts w:eastAsia="Calibri" w:cs="Times-Roman" w:ascii="Times-Roman" w:hAnsi="Times-Roman"/>
          <w:color w:val="131413"/>
          <w:sz w:val="20"/>
          <w:szCs w:val="20"/>
        </w:rPr>
        <w:t>authority of science it forgets that humans are a part of nature and makes a claim from</w:t>
      </w:r>
    </w:p>
    <w:p>
      <w:pPr>
        <w:pStyle w:val="Normal"/>
        <w:spacing w:before="0" w:after="0"/>
        <w:contextualSpacing/>
        <w:jc w:val="left"/>
        <w:rPr/>
      </w:pPr>
      <w:r>
        <w:rPr>
          <w:rFonts w:eastAsia="Calibri" w:cs="Helvetica" w:ascii="Helvetica" w:hAnsi="Helvetica"/>
          <w:color w:val="131413"/>
          <w:sz w:val="10"/>
          <w:szCs w:val="10"/>
        </w:rPr>
        <w:t xml:space="preserve">381 </w:t>
      </w:r>
      <w:r>
        <w:rPr>
          <w:rFonts w:eastAsia="Calibri" w:cs="Times-Roman" w:ascii="Times-Roman" w:hAnsi="Times-Roman"/>
          <w:color w:val="131413"/>
          <w:sz w:val="20"/>
          <w:szCs w:val="20"/>
        </w:rPr>
        <w:t>a supposedly non-theoretical position (</w:t>
      </w:r>
      <w:r>
        <w:rPr>
          <w:rFonts w:eastAsia="Calibri" w:cs="Times-Roman" w:ascii="Times-Roman" w:hAnsi="Times-Roman"/>
          <w:color w:val="0000FF"/>
          <w:sz w:val="20"/>
          <w:szCs w:val="20"/>
        </w:rPr>
        <w:t>Price 2011</w:t>
      </w:r>
      <w:r>
        <w:rPr>
          <w:rFonts w:eastAsia="Calibri" w:cs="Times-Roman" w:ascii="Times-Roman" w:hAnsi="Times-Roman"/>
          <w:color w:val="131413"/>
          <w:sz w:val="20"/>
          <w:szCs w:val="20"/>
        </w:rPr>
        <w:t>, p. 199). Such a claimcannot appear</w:t>
      </w:r>
    </w:p>
    <w:p>
      <w:pPr>
        <w:pStyle w:val="Normal"/>
        <w:spacing w:before="0" w:after="0"/>
        <w:contextualSpacing/>
        <w:jc w:val="left"/>
        <w:rPr/>
      </w:pPr>
      <w:r>
        <w:rPr>
          <w:rFonts w:eastAsia="Calibri" w:cs="Helvetica" w:ascii="Helvetica" w:hAnsi="Helvetica"/>
          <w:color w:val="131413"/>
          <w:sz w:val="10"/>
          <w:szCs w:val="10"/>
        </w:rPr>
        <w:t xml:space="preserve">382 </w:t>
      </w:r>
      <w:r>
        <w:rPr>
          <w:rFonts w:eastAsia="Calibri" w:cs="Times-Roman" w:ascii="Times-Roman" w:hAnsi="Times-Roman"/>
          <w:color w:val="131413"/>
          <w:sz w:val="20"/>
          <w:szCs w:val="20"/>
        </w:rPr>
        <w:t>as an item of natural science. It reaches out beyond the facts to make what Carnap</w:t>
      </w:r>
    </w:p>
    <w:p>
      <w:pPr>
        <w:pStyle w:val="Normal"/>
        <w:spacing w:before="0" w:after="0"/>
        <w:contextualSpacing/>
        <w:jc w:val="left"/>
        <w:rPr/>
      </w:pPr>
      <w:r>
        <w:rPr>
          <w:rFonts w:eastAsia="Calibri" w:cs="Helvetica" w:ascii="Helvetica" w:hAnsi="Helvetica"/>
          <w:color w:val="131413"/>
          <w:sz w:val="10"/>
          <w:szCs w:val="10"/>
        </w:rPr>
        <w:t xml:space="preserve">383 </w:t>
      </w:r>
      <w:r>
        <w:rPr>
          <w:rFonts w:eastAsia="Calibri" w:cs="Times-Roman" w:ascii="Times-Roman" w:hAnsi="Times-Roman"/>
          <w:color w:val="131413"/>
          <w:sz w:val="20"/>
          <w:szCs w:val="20"/>
        </w:rPr>
        <w:t>labels an ‘external’ claim.</w:t>
      </w:r>
    </w:p>
    <w:p>
      <w:pPr>
        <w:pStyle w:val="Normal"/>
        <w:spacing w:before="0" w:after="0"/>
        <w:contextualSpacing/>
        <w:jc w:val="left"/>
        <w:rPr/>
      </w:pPr>
      <w:r>
        <w:rPr>
          <w:rFonts w:eastAsia="Calibri" w:cs="Helvetica" w:ascii="Helvetica" w:hAnsi="Helvetica"/>
          <w:color w:val="131413"/>
          <w:sz w:val="10"/>
          <w:szCs w:val="10"/>
        </w:rPr>
        <w:t xml:space="preserve">384 </w:t>
      </w:r>
      <w:r>
        <w:rPr>
          <w:rFonts w:eastAsia="Calibri" w:cs="Times-Roman" w:ascii="Times-Roman" w:hAnsi="Times-Roman"/>
          <w:color w:val="131413"/>
          <w:sz w:val="20"/>
          <w:szCs w:val="20"/>
        </w:rPr>
        <w:t>To avoid the self-undermining nature of object naturalism, subject naturalists reject</w:t>
      </w:r>
    </w:p>
    <w:p>
      <w:pPr>
        <w:pStyle w:val="Normal"/>
        <w:spacing w:before="0" w:after="0"/>
        <w:contextualSpacing/>
        <w:jc w:val="left"/>
        <w:rPr/>
      </w:pPr>
      <w:r>
        <w:rPr>
          <w:rFonts w:eastAsia="Calibri" w:cs="Helvetica" w:ascii="Helvetica" w:hAnsi="Helvetica"/>
          <w:color w:val="131413"/>
          <w:sz w:val="10"/>
          <w:szCs w:val="10"/>
        </w:rPr>
        <w:t xml:space="preserve">385 </w:t>
      </w:r>
      <w:r>
        <w:rPr>
          <w:rFonts w:eastAsia="Calibri" w:cs="Times-Roman" w:ascii="Times-Roman" w:hAnsi="Times-Roman"/>
          <w:color w:val="131413"/>
          <w:sz w:val="20"/>
          <w:szCs w:val="20"/>
        </w:rPr>
        <w:t>the bifurcation thesis, which entails global physicalism and local expressivism, and</w:t>
      </w:r>
    </w:p>
    <w:p>
      <w:pPr>
        <w:pStyle w:val="Normal"/>
        <w:spacing w:before="0" w:after="0"/>
        <w:contextualSpacing/>
        <w:jc w:val="left"/>
        <w:rPr/>
      </w:pPr>
      <w:r>
        <w:rPr>
          <w:rFonts w:eastAsia="Calibri" w:cs="Helvetica" w:ascii="Helvetica" w:hAnsi="Helvetica"/>
          <w:color w:val="131413"/>
          <w:sz w:val="10"/>
          <w:szCs w:val="10"/>
        </w:rPr>
        <w:t xml:space="preserve">386 </w:t>
      </w:r>
      <w:r>
        <w:rPr>
          <w:rFonts w:eastAsia="Calibri" w:cs="Times-Roman" w:ascii="Times-Roman" w:hAnsi="Times-Roman"/>
          <w:color w:val="131413"/>
          <w:sz w:val="20"/>
          <w:szCs w:val="20"/>
        </w:rPr>
        <w:t xml:space="preserve">posit instead a </w:t>
      </w:r>
      <w:r>
        <w:rPr>
          <w:rFonts w:eastAsia="Calibri" w:cs="Times-Italic" w:ascii="Times-Italic" w:hAnsi="Times-Italic"/>
          <w:i/>
          <w:iCs/>
          <w:color w:val="131413"/>
          <w:sz w:val="20"/>
          <w:szCs w:val="20"/>
        </w:rPr>
        <w:t xml:space="preserve">global </w:t>
      </w:r>
      <w:r>
        <w:rPr>
          <w:rFonts w:eastAsia="Calibri" w:cs="Times-Roman" w:ascii="Times-Roman" w:hAnsi="Times-Roman"/>
          <w:color w:val="131413"/>
          <w:sz w:val="20"/>
          <w:szCs w:val="20"/>
        </w:rPr>
        <w:t>form of expressivism:</w:t>
      </w:r>
    </w:p>
    <w:p>
      <w:pPr>
        <w:pStyle w:val="Normal"/>
        <w:spacing w:before="0" w:after="0"/>
        <w:contextualSpacing/>
        <w:jc w:val="left"/>
        <w:rPr/>
      </w:pPr>
      <w:r>
        <w:rPr>
          <w:rFonts w:eastAsia="Calibri" w:cs="Helvetica" w:ascii="Helvetica" w:hAnsi="Helvetica"/>
          <w:color w:val="131413"/>
          <w:sz w:val="10"/>
          <w:szCs w:val="10"/>
        </w:rPr>
        <w:t xml:space="preserve">387 </w:t>
      </w:r>
      <w:r>
        <w:rPr>
          <w:rFonts w:eastAsia="Calibri" w:cs="Times-Italic" w:ascii="Times-Italic" w:hAnsi="Times-Italic"/>
          <w:i/>
          <w:iCs/>
          <w:color w:val="131413"/>
          <w:sz w:val="20"/>
          <w:szCs w:val="20"/>
        </w:rPr>
        <w:t>Global expressivism</w:t>
      </w:r>
      <w:r>
        <w:rPr>
          <w:rFonts w:eastAsia="Calibri" w:cs="Times-Roman" w:ascii="Times-Roman" w:hAnsi="Times-Roman"/>
          <w:color w:val="131413"/>
          <w:sz w:val="20"/>
          <w:szCs w:val="20"/>
        </w:rPr>
        <w:t>: Global claims about what there is in nature are non</w:t>
      </w:r>
      <w:r>
        <w:rPr>
          <w:rFonts w:eastAsia="Calibri" w:cs="Helvetica" w:ascii="Helvetica" w:hAnsi="Helvetica"/>
          <w:color w:val="131413"/>
          <w:sz w:val="10"/>
          <w:szCs w:val="10"/>
        </w:rPr>
        <w:t>388</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theoretical assertions that are not truth-apt and do not refer to anything in the</w:t>
      </w:r>
    </w:p>
    <w:p>
      <w:pPr>
        <w:pStyle w:val="Normal"/>
        <w:spacing w:before="0" w:after="0"/>
        <w:contextualSpacing/>
        <w:jc w:val="left"/>
        <w:rPr/>
      </w:pPr>
      <w:r>
        <w:rPr>
          <w:rFonts w:eastAsia="Calibri" w:cs="Helvetica" w:ascii="Helvetica" w:hAnsi="Helvetica"/>
          <w:color w:val="131413"/>
          <w:sz w:val="10"/>
          <w:szCs w:val="10"/>
        </w:rPr>
        <w:t xml:space="preserve">389 </w:t>
      </w:r>
      <w:r>
        <w:rPr>
          <w:rFonts w:eastAsia="Calibri" w:cs="Times-Roman" w:ascii="Times-Roman" w:hAnsi="Times-Roman"/>
          <w:color w:val="131413"/>
          <w:sz w:val="20"/>
          <w:szCs w:val="20"/>
        </w:rPr>
        <w:t>world. (10)</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rFonts w:ascii="Times-Roman" w:hAnsi="Times-Roman" w:eastAsia="Calibri" w:cs="Times-Roman"/>
          <w:color w:val="FF0000"/>
          <w:sz w:val="20"/>
          <w:szCs w:val="20"/>
        </w:rPr>
      </w:pPr>
      <w:r>
        <w:rPr>
          <w:rFonts w:eastAsia="Calibri" w:cs="Times-Roman" w:ascii="Times-Roman" w:hAnsi="Times-Roman"/>
          <w:color w:val="FF0000"/>
          <w:sz w:val="20"/>
          <w:szCs w:val="20"/>
        </w:rPr>
        <w:t>[Subjective naturalism is exactly my mind-EW or life-EW!!!!!!!!!!!!]</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Yet if there is a plurality of scientific</w:t>
      </w:r>
    </w:p>
    <w:p>
      <w:pPr>
        <w:pStyle w:val="Normal"/>
        <w:spacing w:before="0" w:after="0"/>
        <w:contextualSpacing/>
        <w:jc w:val="left"/>
        <w:rPr/>
      </w:pPr>
      <w:r>
        <w:rPr>
          <w:rFonts w:eastAsia="Calibri" w:cs="Helvetica" w:ascii="Helvetica" w:hAnsi="Helvetica"/>
          <w:color w:val="131413"/>
          <w:sz w:val="10"/>
          <w:szCs w:val="10"/>
        </w:rPr>
        <w:t xml:space="preserve">437 </w:t>
      </w:r>
      <w:r>
        <w:rPr>
          <w:rFonts w:eastAsia="Calibri" w:cs="Times-Roman" w:ascii="Times-Roman" w:hAnsi="Times-Roman"/>
          <w:color w:val="131413"/>
          <w:sz w:val="20"/>
          <w:szCs w:val="20"/>
        </w:rPr>
        <w:t>domains—and I do not see how subject naturalists could avoid this conclusion—how</w:t>
      </w:r>
    </w:p>
    <w:p>
      <w:pPr>
        <w:pStyle w:val="Normal"/>
        <w:spacing w:before="0" w:after="0"/>
        <w:contextualSpacing/>
        <w:jc w:val="left"/>
        <w:rPr/>
      </w:pPr>
      <w:r>
        <w:rPr>
          <w:rFonts w:eastAsia="Calibri" w:cs="Helvetica" w:ascii="Helvetica" w:hAnsi="Helvetica"/>
          <w:color w:val="131413"/>
          <w:sz w:val="10"/>
          <w:szCs w:val="10"/>
        </w:rPr>
        <w:t xml:space="preserve">438 </w:t>
      </w:r>
      <w:r>
        <w:rPr>
          <w:rFonts w:eastAsia="Calibri" w:cs="Times-Roman" w:ascii="Times-Roman" w:hAnsi="Times-Roman"/>
          <w:color w:val="131413"/>
          <w:sz w:val="20"/>
          <w:szCs w:val="20"/>
        </w:rPr>
        <w:t>do we decide which is most worthy of our attention? By denying the claim that any</w:t>
      </w:r>
    </w:p>
    <w:p>
      <w:pPr>
        <w:pStyle w:val="Normal"/>
        <w:spacing w:before="0" w:after="0"/>
        <w:contextualSpacing/>
        <w:jc w:val="left"/>
        <w:rPr/>
      </w:pPr>
      <w:r>
        <w:rPr>
          <w:rFonts w:eastAsia="Calibri" w:cs="Helvetica" w:ascii="Helvetica" w:hAnsi="Helvetica"/>
          <w:color w:val="131413"/>
          <w:sz w:val="10"/>
          <w:szCs w:val="10"/>
        </w:rPr>
        <w:t xml:space="preserve">439 </w:t>
      </w:r>
      <w:r>
        <w:rPr>
          <w:rFonts w:eastAsia="Calibri" w:cs="Times-Roman" w:ascii="Times-Roman" w:hAnsi="Times-Roman"/>
          <w:color w:val="131413"/>
          <w:sz w:val="20"/>
          <w:szCs w:val="20"/>
        </w:rPr>
        <w:t>domain has ontological priority, and by arguing that semantic analysis is the only</w:t>
      </w:r>
    </w:p>
    <w:p>
      <w:pPr>
        <w:pStyle w:val="Normal"/>
        <w:spacing w:before="0" w:after="0"/>
        <w:contextualSpacing/>
        <w:jc w:val="left"/>
        <w:rPr/>
      </w:pPr>
      <w:r>
        <w:rPr>
          <w:rFonts w:eastAsia="Calibri" w:cs="Helvetica" w:ascii="Helvetica" w:hAnsi="Helvetica"/>
          <w:color w:val="131413"/>
          <w:sz w:val="10"/>
          <w:szCs w:val="10"/>
        </w:rPr>
        <w:t xml:space="preserve">440 </w:t>
      </w:r>
      <w:r>
        <w:rPr>
          <w:rFonts w:eastAsia="Calibri" w:cs="Times-Roman" w:ascii="Times-Roman" w:hAnsi="Times-Roman"/>
          <w:color w:val="131413"/>
          <w:sz w:val="20"/>
          <w:szCs w:val="20"/>
        </w:rPr>
        <w:t>legitimate standpoint from which to reflect on the variety of linguistic uses, subject</w:t>
      </w:r>
    </w:p>
    <w:p>
      <w:pPr>
        <w:pStyle w:val="Normal"/>
        <w:spacing w:before="0" w:after="0"/>
        <w:contextualSpacing/>
        <w:jc w:val="left"/>
        <w:rPr/>
      </w:pPr>
      <w:r>
        <w:rPr>
          <w:rFonts w:eastAsia="Calibri" w:cs="Helvetica" w:ascii="Helvetica" w:hAnsi="Helvetica"/>
          <w:color w:val="131413"/>
          <w:sz w:val="10"/>
          <w:szCs w:val="10"/>
        </w:rPr>
        <w:t xml:space="preserve">441 </w:t>
      </w:r>
      <w:r>
        <w:rPr>
          <w:rFonts w:eastAsia="Calibri" w:cs="Times-Roman" w:ascii="Times-Roman" w:hAnsi="Times-Roman"/>
          <w:color w:val="131413"/>
          <w:sz w:val="20"/>
          <w:szCs w:val="20"/>
        </w:rPr>
        <w:t xml:space="preserve">naturalists remove the possibility of attributing priority to </w:t>
      </w:r>
      <w:r>
        <w:rPr>
          <w:rFonts w:eastAsia="Calibri" w:cs="Times-Italic" w:ascii="Times-Italic" w:hAnsi="Times-Italic"/>
          <w:i/>
          <w:iCs/>
          <w:color w:val="131413"/>
          <w:sz w:val="20"/>
          <w:szCs w:val="20"/>
        </w:rPr>
        <w:t xml:space="preserve">any </w:t>
      </w:r>
      <w:r>
        <w:rPr>
          <w:rFonts w:eastAsia="Calibri" w:cs="Times-Roman" w:ascii="Times-Roman" w:hAnsi="Times-Roman"/>
          <w:color w:val="131413"/>
          <w:sz w:val="20"/>
          <w:szCs w:val="20"/>
        </w:rPr>
        <w:t>domain. (p. 12)</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rFonts w:ascii="Times-Roman" w:hAnsi="Times-Roman" w:eastAsia="Calibri" w:cs="Times-Roman"/>
          <w:color w:val="FF0000"/>
          <w:sz w:val="20"/>
          <w:szCs w:val="20"/>
        </w:rPr>
      </w:pPr>
      <w:r>
        <w:rPr>
          <w:rFonts w:eastAsia="Calibri" w:cs="Times-Roman" w:ascii="Times-Roman" w:hAnsi="Times-Roman"/>
          <w:color w:val="FF0000"/>
          <w:sz w:val="20"/>
          <w:szCs w:val="20"/>
        </w:rPr>
        <w:t>[Exactly one of my principle of echivalence among EDWs!!!!]</w:t>
      </w:r>
    </w:p>
    <w:p>
      <w:pPr>
        <w:pStyle w:val="Normal"/>
        <w:spacing w:before="0" w:after="0"/>
        <w:contextualSpacing/>
        <w:jc w:val="left"/>
        <w:rPr>
          <w:rFonts w:ascii="Times-Bold" w:hAnsi="Times-Bold" w:eastAsia="Calibri" w:cs="Times-Bold"/>
          <w:b/>
          <w:b/>
          <w:bCs/>
          <w:color w:val="FF0000"/>
          <w:sz w:val="26"/>
          <w:szCs w:val="26"/>
        </w:rPr>
      </w:pPr>
      <w:r>
        <w:rPr>
          <w:rFonts w:eastAsia="Calibri" w:cs="Times-Bold" w:ascii="Times-Bold" w:hAnsi="Times-Bold"/>
          <w:b/>
          <w:bCs/>
          <w:color w:val="FF0000"/>
          <w:sz w:val="26"/>
          <w:szCs w:val="26"/>
        </w:rPr>
      </w:r>
    </w:p>
    <w:p>
      <w:pPr>
        <w:pStyle w:val="Normal"/>
        <w:spacing w:before="0" w:after="0"/>
        <w:contextualSpacing/>
        <w:jc w:val="left"/>
        <w:rPr/>
      </w:pPr>
      <w:r>
        <w:rPr>
          <w:rFonts w:eastAsia="Calibri" w:cs="Times-Roman" w:ascii="Times-Roman" w:hAnsi="Times-Roman"/>
          <w:color w:val="131413"/>
          <w:sz w:val="20"/>
          <w:szCs w:val="20"/>
        </w:rPr>
        <w:t>Yet what the idealist approach brings to bear on con</w:t>
      </w:r>
      <w:r>
        <w:rPr>
          <w:rFonts w:eastAsia="Calibri" w:cs="Helvetica" w:ascii="Helvetica" w:hAnsi="Helvetica"/>
          <w:color w:val="131413"/>
          <w:sz w:val="10"/>
          <w:szCs w:val="10"/>
        </w:rPr>
        <w:t>769</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temporary work in the biological sciences is the idea that the organisation proper to</w:t>
      </w:r>
    </w:p>
    <w:p>
      <w:pPr>
        <w:pStyle w:val="Normal"/>
        <w:spacing w:before="0" w:after="0"/>
        <w:contextualSpacing/>
        <w:jc w:val="left"/>
        <w:rPr/>
      </w:pPr>
      <w:r>
        <w:rPr>
          <w:rFonts w:eastAsia="Calibri" w:cs="Helvetica" w:ascii="Helvetica" w:hAnsi="Helvetica"/>
          <w:color w:val="131413"/>
          <w:sz w:val="10"/>
          <w:szCs w:val="10"/>
        </w:rPr>
        <w:t xml:space="preserve">770 </w:t>
      </w:r>
      <w:r>
        <w:rPr>
          <w:rFonts w:eastAsia="Calibri" w:cs="Times-Roman" w:ascii="Times-Roman" w:hAnsi="Times-Roman"/>
          <w:color w:val="131413"/>
          <w:sz w:val="20"/>
          <w:szCs w:val="20"/>
        </w:rPr>
        <w:t>living beings is irreducible tomechanical explanation. This is to say that neither genet</w:t>
      </w:r>
      <w:r>
        <w:rPr>
          <w:rFonts w:eastAsia="Calibri" w:cs="Helvetica" w:ascii="Helvetica" w:hAnsi="Helvetica"/>
          <w:color w:val="131413"/>
          <w:sz w:val="10"/>
          <w:szCs w:val="10"/>
        </w:rPr>
        <w:t>771</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ics nor computational modelling can fully explain organic systems, for neither give</w:t>
      </w:r>
    </w:p>
    <w:p>
      <w:pPr>
        <w:pStyle w:val="Normal"/>
        <w:spacing w:before="0" w:after="0"/>
        <w:contextualSpacing/>
        <w:jc w:val="left"/>
        <w:rPr/>
      </w:pPr>
      <w:r>
        <w:rPr>
          <w:rFonts w:eastAsia="Calibri" w:cs="Helvetica" w:ascii="Helvetica" w:hAnsi="Helvetica"/>
          <w:color w:val="131413"/>
          <w:sz w:val="10"/>
          <w:szCs w:val="10"/>
        </w:rPr>
        <w:t xml:space="preserve">772 </w:t>
      </w:r>
      <w:r>
        <w:rPr>
          <w:rFonts w:eastAsia="Calibri" w:cs="Times-Roman" w:ascii="Times-Roman" w:hAnsi="Times-Roman"/>
          <w:color w:val="131413"/>
          <w:sz w:val="20"/>
          <w:szCs w:val="20"/>
        </w:rPr>
        <w:t>attention to the organisational system in which genes are expressed and behaviour is</w:t>
      </w:r>
    </w:p>
    <w:p>
      <w:pPr>
        <w:pStyle w:val="Normal"/>
        <w:spacing w:before="0" w:after="0"/>
        <w:contextualSpacing/>
        <w:jc w:val="left"/>
        <w:rPr/>
      </w:pPr>
      <w:r>
        <w:rPr>
          <w:rFonts w:eastAsia="Calibri" w:cs="Helvetica" w:ascii="Helvetica" w:hAnsi="Helvetica"/>
          <w:color w:val="131413"/>
          <w:sz w:val="10"/>
          <w:szCs w:val="10"/>
        </w:rPr>
        <w:t xml:space="preserve">773 </w:t>
      </w:r>
      <w:r>
        <w:rPr>
          <w:rFonts w:eastAsia="Calibri" w:cs="Times-Roman" w:ascii="Times-Roman" w:hAnsi="Times-Roman"/>
          <w:color w:val="131413"/>
          <w:sz w:val="20"/>
          <w:szCs w:val="20"/>
        </w:rPr>
        <w:t>actively constrained by inner principles that bias future states. On the idealist view,</w:t>
      </w:r>
    </w:p>
    <w:p>
      <w:pPr>
        <w:pStyle w:val="Normal"/>
        <w:spacing w:before="0" w:after="0"/>
        <w:contextualSpacing/>
        <w:jc w:val="left"/>
        <w:rPr/>
      </w:pPr>
      <w:r>
        <w:rPr>
          <w:rFonts w:eastAsia="Calibri" w:cs="Helvetica" w:ascii="Helvetica" w:hAnsi="Helvetica"/>
          <w:color w:val="131413"/>
          <w:sz w:val="10"/>
          <w:szCs w:val="10"/>
        </w:rPr>
        <w:t xml:space="preserve">774 </w:t>
      </w:r>
      <w:r>
        <w:rPr>
          <w:rFonts w:eastAsia="Calibri" w:cs="Times-Roman" w:ascii="Times-Roman" w:hAnsi="Times-Roman"/>
          <w:color w:val="131413"/>
          <w:sz w:val="20"/>
          <w:szCs w:val="20"/>
        </w:rPr>
        <w:t>natural selection is not the single law that explains organic diversity, but an emergent</w:t>
      </w:r>
    </w:p>
    <w:p>
      <w:pPr>
        <w:pStyle w:val="Normal"/>
        <w:spacing w:before="0" w:after="0"/>
        <w:contextualSpacing/>
        <w:jc w:val="left"/>
        <w:rPr/>
      </w:pPr>
      <w:r>
        <w:rPr>
          <w:rFonts w:eastAsia="Calibri" w:cs="Helvetica" w:ascii="Helvetica" w:hAnsi="Helvetica"/>
          <w:color w:val="131413"/>
          <w:sz w:val="10"/>
          <w:szCs w:val="10"/>
        </w:rPr>
        <w:t xml:space="preserve">775 </w:t>
      </w:r>
      <w:r>
        <w:rPr>
          <w:rFonts w:eastAsia="Calibri" w:cs="Times-Roman" w:ascii="Times-Roman" w:hAnsi="Times-Roman"/>
          <w:color w:val="131413"/>
          <w:sz w:val="20"/>
          <w:szCs w:val="20"/>
        </w:rPr>
        <w:t>consequence of organisation. This is to say that natural selection requires reproduc</w:t>
      </w:r>
      <w:r>
        <w:rPr>
          <w:rFonts w:eastAsia="Calibri" w:cs="Helvetica" w:ascii="Helvetica" w:hAnsi="Helvetica"/>
          <w:color w:val="131413"/>
          <w:sz w:val="10"/>
          <w:szCs w:val="10"/>
        </w:rPr>
        <w:t>776</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tion (whatKant called ‘self-propagation’), and reproduction requires organised beings.</w:t>
      </w:r>
    </w:p>
    <w:p>
      <w:pPr>
        <w:pStyle w:val="Normal"/>
        <w:spacing w:before="0" w:after="0"/>
        <w:contextualSpacing/>
        <w:jc w:val="left"/>
        <w:rPr/>
      </w:pPr>
      <w:r>
        <w:rPr>
          <w:rFonts w:eastAsia="Calibri" w:cs="Helvetica" w:ascii="Helvetica" w:hAnsi="Helvetica"/>
          <w:color w:val="131413"/>
          <w:sz w:val="10"/>
          <w:szCs w:val="10"/>
        </w:rPr>
        <w:t xml:space="preserve">777 </w:t>
      </w:r>
      <w:r>
        <w:rPr>
          <w:rFonts w:eastAsia="Calibri" w:cs="Times-Roman" w:ascii="Times-Roman" w:hAnsi="Times-Roman"/>
          <w:color w:val="131413"/>
          <w:sz w:val="20"/>
          <w:szCs w:val="20"/>
        </w:rPr>
        <w:t>The idealist view allows us to maintain the principle of intelligibility that governs our</w:t>
      </w:r>
    </w:p>
    <w:p>
      <w:pPr>
        <w:pStyle w:val="Normal"/>
        <w:spacing w:before="0" w:after="0"/>
        <w:contextualSpacing/>
        <w:jc w:val="left"/>
        <w:rPr/>
      </w:pPr>
      <w:r>
        <w:rPr>
          <w:rFonts w:eastAsia="Calibri" w:cs="Helvetica" w:ascii="Helvetica" w:hAnsi="Helvetica"/>
          <w:color w:val="131413"/>
          <w:sz w:val="10"/>
          <w:szCs w:val="10"/>
        </w:rPr>
        <w:t xml:space="preserve">778 </w:t>
      </w:r>
      <w:r>
        <w:rPr>
          <w:rFonts w:eastAsia="Calibri" w:cs="Times-Roman" w:ascii="Times-Roman" w:hAnsi="Times-Roman"/>
          <w:color w:val="131413"/>
          <w:sz w:val="20"/>
          <w:szCs w:val="20"/>
        </w:rPr>
        <w:t>search for the best causal theory, yet this principle features as part of our second-order</w:t>
      </w:r>
    </w:p>
    <w:p>
      <w:pPr>
        <w:pStyle w:val="Normal"/>
        <w:spacing w:before="0" w:after="0"/>
        <w:contextualSpacing/>
        <w:jc w:val="left"/>
        <w:rPr/>
      </w:pPr>
      <w:r>
        <w:rPr>
          <w:rFonts w:eastAsia="Calibri" w:cs="Helvetica" w:ascii="Helvetica" w:hAnsi="Helvetica"/>
          <w:color w:val="131413"/>
          <w:sz w:val="10"/>
          <w:szCs w:val="10"/>
        </w:rPr>
        <w:t xml:space="preserve">779 </w:t>
      </w:r>
      <w:r>
        <w:rPr>
          <w:rFonts w:eastAsia="Calibri" w:cs="Times-Roman" w:ascii="Times-Roman" w:hAnsi="Times-Roman"/>
          <w:color w:val="131413"/>
          <w:sz w:val="20"/>
          <w:szCs w:val="20"/>
        </w:rPr>
        <w:t>inquiry, the order of our theory construction, and does not warrant a global claim. On</w:t>
      </w:r>
    </w:p>
    <w:p>
      <w:pPr>
        <w:pStyle w:val="Normal"/>
        <w:spacing w:before="0" w:after="0"/>
        <w:contextualSpacing/>
        <w:jc w:val="left"/>
        <w:rPr/>
      </w:pPr>
      <w:r>
        <w:rPr>
          <w:rFonts w:eastAsia="Calibri" w:cs="Helvetica" w:ascii="Helvetica" w:hAnsi="Helvetica"/>
          <w:color w:val="131413"/>
          <w:sz w:val="10"/>
          <w:szCs w:val="10"/>
        </w:rPr>
        <w:t xml:space="preserve">780 </w:t>
      </w:r>
      <w:r>
        <w:rPr>
          <w:rFonts w:eastAsia="Calibri" w:cs="Times-Roman" w:ascii="Times-Roman" w:hAnsi="Times-Roman"/>
          <w:color w:val="131413"/>
          <w:sz w:val="20"/>
          <w:szCs w:val="20"/>
        </w:rPr>
        <w:t>the first-order level—whenwe are engaged inmolecular biology or function analysis—</w:t>
      </w:r>
    </w:p>
    <w:p>
      <w:pPr>
        <w:pStyle w:val="Normal"/>
        <w:spacing w:before="0" w:after="0"/>
        <w:contextualSpacing/>
        <w:jc w:val="left"/>
        <w:rPr/>
      </w:pPr>
      <w:r>
        <w:rPr>
          <w:rFonts w:eastAsia="Calibri" w:cs="Helvetica" w:ascii="Helvetica" w:hAnsi="Helvetica"/>
          <w:color w:val="131413"/>
          <w:sz w:val="10"/>
          <w:szCs w:val="10"/>
        </w:rPr>
        <w:t xml:space="preserve">781 </w:t>
      </w:r>
      <w:r>
        <w:rPr>
          <w:rFonts w:eastAsia="Calibri" w:cs="Times-Roman" w:ascii="Times-Roman" w:hAnsi="Times-Roman"/>
          <w:color w:val="131413"/>
          <w:sz w:val="20"/>
          <w:szCs w:val="20"/>
        </w:rPr>
        <w:t>we are not concerned with nature as a whole. Rather, we examine discrete features of</w:t>
      </w:r>
    </w:p>
    <w:p>
      <w:pPr>
        <w:pStyle w:val="Normal"/>
        <w:spacing w:before="0" w:after="0"/>
        <w:contextualSpacing/>
        <w:jc w:val="left"/>
        <w:rPr/>
      </w:pPr>
      <w:r>
        <w:rPr>
          <w:rFonts w:eastAsia="Calibri" w:cs="Helvetica" w:ascii="Helvetica" w:hAnsi="Helvetica"/>
          <w:color w:val="131413"/>
          <w:sz w:val="10"/>
          <w:szCs w:val="10"/>
        </w:rPr>
        <w:t xml:space="preserve">782 </w:t>
      </w:r>
      <w:r>
        <w:rPr>
          <w:rFonts w:eastAsia="Calibri" w:cs="Times-Roman" w:ascii="Times-Roman" w:hAnsi="Times-Roman"/>
          <w:color w:val="131413"/>
          <w:sz w:val="20"/>
          <w:szCs w:val="20"/>
        </w:rPr>
        <w:t>a particular domain bounded by our best investigative methodology in conversation</w:t>
      </w:r>
    </w:p>
    <w:p>
      <w:pPr>
        <w:pStyle w:val="Normal"/>
        <w:spacing w:before="0" w:after="0"/>
        <w:contextualSpacing/>
        <w:jc w:val="left"/>
        <w:rPr/>
      </w:pPr>
      <w:r>
        <w:rPr>
          <w:rFonts w:eastAsia="Calibri" w:cs="Helvetica" w:ascii="Helvetica" w:hAnsi="Helvetica"/>
          <w:color w:val="131413"/>
          <w:sz w:val="10"/>
          <w:szCs w:val="10"/>
        </w:rPr>
        <w:t xml:space="preserve">783 </w:t>
      </w:r>
      <w:r>
        <w:rPr>
          <w:rFonts w:eastAsia="Calibri" w:cs="Times-Roman" w:ascii="Times-Roman" w:hAnsi="Times-Roman"/>
          <w:color w:val="131413"/>
          <w:sz w:val="20"/>
          <w:szCs w:val="20"/>
        </w:rPr>
        <w:t>with theory. (p. 20)</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Idealismdenies the possibility of a theory-independent viewformetaphysics and yet</w:t>
      </w:r>
    </w:p>
    <w:p>
      <w:pPr>
        <w:pStyle w:val="Normal"/>
        <w:spacing w:before="0" w:after="0"/>
        <w:contextualSpacing/>
        <w:jc w:val="left"/>
        <w:rPr/>
      </w:pPr>
      <w:r>
        <w:rPr>
          <w:rFonts w:eastAsia="Calibri" w:cs="Helvetica" w:ascii="Helvetica" w:hAnsi="Helvetica"/>
          <w:color w:val="131413"/>
          <w:sz w:val="10"/>
          <w:szCs w:val="10"/>
        </w:rPr>
        <w:t xml:space="preserve">805 </w:t>
      </w:r>
      <w:r>
        <w:rPr>
          <w:rFonts w:eastAsia="Calibri" w:cs="Times-Roman" w:ascii="Times-Roman" w:hAnsi="Times-Roman"/>
          <w:color w:val="131413"/>
          <w:sz w:val="20"/>
          <w:szCs w:val="20"/>
        </w:rPr>
        <w:t>maintains the principle of intelligibility. It shows us that no single science can provide</w:t>
      </w:r>
    </w:p>
    <w:p>
      <w:pPr>
        <w:pStyle w:val="Normal"/>
        <w:spacing w:before="0" w:after="0"/>
        <w:contextualSpacing/>
        <w:jc w:val="left"/>
        <w:rPr/>
      </w:pPr>
      <w:r>
        <w:rPr>
          <w:rFonts w:eastAsia="Calibri" w:cs="Helvetica" w:ascii="Helvetica" w:hAnsi="Helvetica"/>
          <w:color w:val="131413"/>
          <w:sz w:val="10"/>
          <w:szCs w:val="10"/>
        </w:rPr>
        <w:t xml:space="preserve">806 </w:t>
      </w:r>
      <w:r>
        <w:rPr>
          <w:rFonts w:eastAsia="Calibri" w:cs="Times-Roman" w:ascii="Times-Roman" w:hAnsi="Times-Roman"/>
          <w:color w:val="131413"/>
          <w:sz w:val="20"/>
          <w:szCs w:val="20"/>
        </w:rPr>
        <w:t>an exhaustive account of what there is in the world, for experience discloses the world</w:t>
      </w:r>
    </w:p>
    <w:p>
      <w:pPr>
        <w:pStyle w:val="Normal"/>
        <w:spacing w:before="0" w:after="0"/>
        <w:contextualSpacing/>
        <w:jc w:val="left"/>
        <w:rPr/>
      </w:pPr>
      <w:r>
        <w:rPr>
          <w:rFonts w:eastAsia="Calibri" w:cs="Helvetica" w:ascii="Helvetica" w:hAnsi="Helvetica"/>
          <w:color w:val="131413"/>
          <w:sz w:val="10"/>
          <w:szCs w:val="10"/>
        </w:rPr>
        <w:t xml:space="preserve">807 </w:t>
      </w:r>
      <w:r>
        <w:rPr>
          <w:rFonts w:eastAsia="Calibri" w:cs="Times-Roman" w:ascii="Times-Roman" w:hAnsi="Times-Roman"/>
          <w:color w:val="131413"/>
          <w:sz w:val="20"/>
          <w:szCs w:val="20"/>
        </w:rPr>
        <w:t>in different ways. Idealism does not entail that all modes of inquiry are equally valid</w:t>
      </w:r>
    </w:p>
    <w:p>
      <w:pPr>
        <w:pStyle w:val="Normal"/>
        <w:spacing w:before="0" w:after="0"/>
        <w:contextualSpacing/>
        <w:jc w:val="left"/>
        <w:rPr/>
      </w:pPr>
      <w:r>
        <w:rPr>
          <w:rFonts w:eastAsia="Calibri" w:cs="Helvetica" w:ascii="Helvetica" w:hAnsi="Helvetica"/>
          <w:color w:val="131413"/>
          <w:sz w:val="10"/>
          <w:szCs w:val="10"/>
        </w:rPr>
        <w:t xml:space="preserve">808 </w:t>
      </w:r>
      <w:r>
        <w:rPr>
          <w:rFonts w:eastAsia="Calibri" w:cs="Times-Roman" w:ascii="Times-Roman" w:hAnsi="Times-Roman"/>
          <w:color w:val="131413"/>
          <w:sz w:val="20"/>
          <w:szCs w:val="20"/>
        </w:rPr>
        <w:t>or correct, but rather that the selection of the best mode of inquiry depends on what</w:t>
      </w:r>
    </w:p>
    <w:p>
      <w:pPr>
        <w:pStyle w:val="Normal"/>
        <w:spacing w:before="0" w:after="0"/>
        <w:contextualSpacing/>
        <w:jc w:val="left"/>
        <w:rPr/>
      </w:pPr>
      <w:r>
        <w:rPr>
          <w:rFonts w:eastAsia="Calibri" w:cs="Helvetica" w:ascii="Helvetica" w:hAnsi="Helvetica"/>
          <w:color w:val="131413"/>
          <w:sz w:val="10"/>
          <w:szCs w:val="10"/>
        </w:rPr>
        <w:t xml:space="preserve">809 </w:t>
      </w:r>
      <w:r>
        <w:rPr>
          <w:rFonts w:eastAsia="Calibri" w:cs="Times-Roman" w:ascii="Times-Roman" w:hAnsi="Times-Roman"/>
          <w:color w:val="131413"/>
          <w:sz w:val="20"/>
          <w:szCs w:val="20"/>
        </w:rPr>
        <w:t>aspect of nature is under examination. Multiple inquiries might be correct in different</w:t>
      </w:r>
    </w:p>
    <w:p>
      <w:pPr>
        <w:pStyle w:val="Normal"/>
        <w:spacing w:before="0" w:after="0"/>
        <w:contextualSpacing/>
        <w:jc w:val="left"/>
        <w:rPr/>
      </w:pPr>
      <w:r>
        <w:rPr>
          <w:rFonts w:eastAsia="Calibri" w:cs="Helvetica" w:ascii="Helvetica" w:hAnsi="Helvetica"/>
          <w:color w:val="131413"/>
          <w:sz w:val="10"/>
          <w:szCs w:val="10"/>
        </w:rPr>
        <w:t xml:space="preserve">810 </w:t>
      </w:r>
      <w:r>
        <w:rPr>
          <w:rFonts w:eastAsia="Calibri" w:cs="Times-Roman" w:ascii="Times-Roman" w:hAnsi="Times-Roman"/>
          <w:color w:val="131413"/>
          <w:sz w:val="20"/>
          <w:szCs w:val="20"/>
        </w:rPr>
        <w:t>ways; they need to be evaluated according to their specific principles. Unlike object</w:t>
      </w:r>
    </w:p>
    <w:p>
      <w:pPr>
        <w:pStyle w:val="Normal"/>
        <w:spacing w:before="0" w:after="0"/>
        <w:contextualSpacing/>
        <w:jc w:val="left"/>
        <w:rPr/>
      </w:pPr>
      <w:r>
        <w:rPr>
          <w:rFonts w:eastAsia="Calibri" w:cs="Helvetica" w:ascii="Helvetica" w:hAnsi="Helvetica"/>
          <w:color w:val="131413"/>
          <w:sz w:val="10"/>
          <w:szCs w:val="10"/>
        </w:rPr>
        <w:t xml:space="preserve">811 </w:t>
      </w:r>
      <w:r>
        <w:rPr>
          <w:rFonts w:eastAsia="Calibri" w:cs="Times-Roman" w:ascii="Times-Roman" w:hAnsi="Times-Roman"/>
          <w:color w:val="131413"/>
          <w:sz w:val="20"/>
          <w:szCs w:val="20"/>
        </w:rPr>
        <w:t>naturalism, which reduces function talk to physics, and subjective naturalism, which</w:t>
      </w:r>
    </w:p>
    <w:p>
      <w:pPr>
        <w:pStyle w:val="Normal"/>
        <w:spacing w:before="0" w:after="0"/>
        <w:contextualSpacing/>
        <w:jc w:val="left"/>
        <w:rPr/>
      </w:pPr>
      <w:r>
        <w:rPr>
          <w:rFonts w:eastAsia="Calibri" w:cs="Helvetica" w:ascii="Helvetica" w:hAnsi="Helvetica"/>
          <w:color w:val="131413"/>
          <w:sz w:val="10"/>
          <w:szCs w:val="10"/>
        </w:rPr>
        <w:t xml:space="preserve">812 </w:t>
      </w:r>
      <w:r>
        <w:rPr>
          <w:rFonts w:eastAsia="Calibri" w:cs="Times-Roman" w:ascii="Times-Roman" w:hAnsi="Times-Roman"/>
          <w:color w:val="131413"/>
          <w:sz w:val="20"/>
          <w:szCs w:val="20"/>
        </w:rPr>
        <w:t>views function as a useful mode of description, idealism rests on and is governed</w:t>
      </w:r>
    </w:p>
    <w:p>
      <w:pPr>
        <w:pStyle w:val="Normal"/>
        <w:spacing w:before="0" w:after="0"/>
        <w:contextualSpacing/>
        <w:jc w:val="left"/>
        <w:rPr/>
      </w:pPr>
      <w:r>
        <w:rPr>
          <w:rFonts w:eastAsia="Calibri" w:cs="Helvetica" w:ascii="Helvetica" w:hAnsi="Helvetica"/>
          <w:color w:val="131413"/>
          <w:sz w:val="10"/>
          <w:szCs w:val="10"/>
        </w:rPr>
        <w:t xml:space="preserve">813 </w:t>
      </w:r>
      <w:r>
        <w:rPr>
          <w:rFonts w:eastAsia="Calibri" w:cs="Times-Roman" w:ascii="Times-Roman" w:hAnsi="Times-Roman"/>
          <w:color w:val="131413"/>
          <w:sz w:val="20"/>
          <w:szCs w:val="20"/>
        </w:rPr>
        <w:t>by the view that things are intelligible in terms of properties specific to a domain of</w:t>
      </w:r>
    </w:p>
    <w:p>
      <w:pPr>
        <w:pStyle w:val="Normal"/>
        <w:spacing w:before="0" w:after="0"/>
        <w:contextualSpacing/>
        <w:jc w:val="left"/>
        <w:rPr/>
      </w:pPr>
      <w:r>
        <w:rPr>
          <w:rFonts w:eastAsia="Calibri" w:cs="Helvetica" w:ascii="Helvetica" w:hAnsi="Helvetica"/>
          <w:color w:val="131413"/>
          <w:sz w:val="10"/>
          <w:szCs w:val="10"/>
        </w:rPr>
        <w:t xml:space="preserve">814 </w:t>
      </w:r>
      <w:r>
        <w:rPr>
          <w:rFonts w:eastAsia="Calibri" w:cs="Times-Roman" w:ascii="Times-Roman" w:hAnsi="Times-Roman"/>
          <w:color w:val="131413"/>
          <w:sz w:val="20"/>
          <w:szCs w:val="20"/>
        </w:rPr>
        <w:t>experience. In this sense idealism provides the best theoretical framework to account</w:t>
      </w:r>
    </w:p>
    <w:p>
      <w:pPr>
        <w:pStyle w:val="Normal"/>
        <w:spacing w:before="0" w:after="0"/>
        <w:contextualSpacing/>
        <w:jc w:val="left"/>
        <w:rPr/>
      </w:pPr>
      <w:r>
        <w:rPr>
          <w:rFonts w:eastAsia="Calibri" w:cs="Helvetica" w:ascii="Helvetica" w:hAnsi="Helvetica"/>
          <w:color w:val="131413"/>
          <w:sz w:val="10"/>
          <w:szCs w:val="10"/>
        </w:rPr>
        <w:t xml:space="preserve">815 </w:t>
      </w:r>
      <w:r>
        <w:rPr>
          <w:rFonts w:eastAsia="Calibri" w:cs="Times-Roman" w:ascii="Times-Roman" w:hAnsi="Times-Roman"/>
          <w:color w:val="131413"/>
          <w:sz w:val="20"/>
          <w:szCs w:val="20"/>
        </w:rPr>
        <w:t>for function talk: it entails that we do not begin with a single domain of facts but rather</w:t>
      </w:r>
    </w:p>
    <w:p>
      <w:pPr>
        <w:pStyle w:val="Normal"/>
        <w:spacing w:before="0" w:after="0"/>
        <w:contextualSpacing/>
        <w:jc w:val="left"/>
        <w:rPr/>
      </w:pPr>
      <w:r>
        <w:rPr>
          <w:rFonts w:eastAsia="Calibri" w:cs="Helvetica" w:ascii="Helvetica" w:hAnsi="Helvetica"/>
          <w:color w:val="131413"/>
          <w:sz w:val="10"/>
          <w:szCs w:val="10"/>
        </w:rPr>
        <w:t xml:space="preserve">816 </w:t>
      </w:r>
      <w:r>
        <w:rPr>
          <w:rFonts w:eastAsia="Calibri" w:cs="Times-Roman" w:ascii="Times-Roman" w:hAnsi="Times-Roman"/>
          <w:color w:val="131413"/>
          <w:sz w:val="20"/>
          <w:szCs w:val="20"/>
        </w:rPr>
        <w:t>an origin wherein metaphysics and science are dynamically entangled. (21)</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rFonts w:ascii="Times-Roman" w:hAnsi="Times-Roman" w:eastAsia="Calibri" w:cs="Times-Roman"/>
          <w:b/>
          <w:b/>
          <w:color w:val="FF0000"/>
          <w:sz w:val="20"/>
          <w:szCs w:val="20"/>
        </w:rPr>
      </w:pPr>
      <w:r>
        <w:rPr>
          <w:rFonts w:eastAsia="Calibri" w:cs="Times-Roman" w:ascii="Times-Roman" w:hAnsi="Times-Roman"/>
          <w:b/>
          <w:color w:val="FF0000"/>
          <w:sz w:val="20"/>
          <w:szCs w:val="20"/>
        </w:rPr>
        <w:t>[EXACTLY my EDWs!!!!!!!!!!!!!!!!!!!!!!!!!!!!!!!!!!!! My question: Comparing with my already published books, what is new in this article????]</w:t>
      </w:r>
    </w:p>
    <w:p>
      <w:pPr>
        <w:pStyle w:val="Normal"/>
        <w:spacing w:before="0" w:after="0"/>
        <w:contextualSpacing/>
        <w:jc w:val="left"/>
        <w:rPr>
          <w:rFonts w:ascii="Times-Bold" w:hAnsi="Times-Bold" w:eastAsia="Calibri" w:cs="Times-Bold"/>
          <w:b/>
          <w:b/>
          <w:bCs/>
          <w:color w:val="FF0000"/>
          <w:sz w:val="26"/>
          <w:szCs w:val="26"/>
        </w:rPr>
      </w:pPr>
      <w:r>
        <w:rPr>
          <w:rFonts w:eastAsia="Calibri" w:cs="Times-Bold" w:ascii="Times-Bold" w:hAnsi="Times-Bold"/>
          <w:b/>
          <w:bCs/>
          <w:color w:val="FF0000"/>
          <w:sz w:val="26"/>
          <w:szCs w:val="26"/>
        </w:rPr>
      </w:r>
    </w:p>
    <w:p>
      <w:pPr>
        <w:pStyle w:val="Normal"/>
        <w:spacing w:before="0" w:after="0"/>
        <w:contextualSpacing/>
        <w:jc w:val="left"/>
        <w:rPr>
          <w:rFonts w:ascii="Times-Bold" w:hAnsi="Times-Bold" w:eastAsia="Calibri" w:cs="Times-Bold"/>
          <w:b/>
          <w:b/>
          <w:bCs/>
          <w:color w:val="FF0000"/>
          <w:sz w:val="26"/>
          <w:szCs w:val="26"/>
        </w:rPr>
      </w:pPr>
      <w:r>
        <w:rPr>
          <w:rFonts w:eastAsia="Calibri" w:cs="Times-Bold" w:ascii="Times-Bold" w:hAnsi="Times-Bold"/>
          <w:b/>
          <w:bCs/>
          <w:color w:val="FF0000"/>
          <w:sz w:val="26"/>
          <w:szCs w:val="26"/>
        </w:rPr>
      </w:r>
    </w:p>
    <w:p>
      <w:pPr>
        <w:pStyle w:val="Normal"/>
        <w:spacing w:before="0" w:after="0"/>
        <w:ind w:left="0" w:right="0" w:hanging="360"/>
        <w:contextualSpacing/>
        <w:jc w:val="left"/>
        <w:rPr>
          <w:rFonts w:ascii="SFBX1200" w:hAnsi="SFBX1200" w:cs="SFBX1200"/>
          <w:b/>
          <w:b/>
          <w:sz w:val="32"/>
          <w:szCs w:val="32"/>
        </w:rPr>
      </w:pPr>
      <w:r>
        <w:rPr>
          <w:rFonts w:cs="SFBX1200" w:ascii="SFBX1200" w:hAnsi="SFBX1200"/>
          <w:b/>
          <w:sz w:val="32"/>
          <w:szCs w:val="32"/>
        </w:rPr>
        <w:t>MARCH 2019</w:t>
      </w:r>
    </w:p>
    <w:p>
      <w:pPr>
        <w:pStyle w:val="Normal"/>
        <w:spacing w:before="0" w:after="0"/>
        <w:contextualSpacing/>
        <w:jc w:val="left"/>
        <w:rPr>
          <w:rFonts w:ascii="SFBX1200" w:hAnsi="SFBX1200" w:cs="SFBX1200"/>
          <w:b/>
          <w:b/>
          <w:sz w:val="28"/>
          <w:szCs w:val="28"/>
        </w:rPr>
      </w:pPr>
      <w:r>
        <w:rPr>
          <w:rFonts w:cs="SFBX1200" w:ascii="SFBX1200" w:hAnsi="SFBX1200"/>
          <w:b/>
          <w:sz w:val="28"/>
          <w:szCs w:val="28"/>
        </w:rPr>
      </w:r>
    </w:p>
    <w:p>
      <w:pPr>
        <w:pStyle w:val="ListParagraph"/>
        <w:numPr>
          <w:ilvl w:val="0"/>
          <w:numId w:val="31"/>
        </w:numPr>
        <w:spacing w:before="0" w:after="0"/>
        <w:ind w:left="0" w:right="0" w:hanging="360"/>
        <w:contextualSpacing/>
        <w:rPr>
          <w:rFonts w:ascii="SFBX1200" w:hAnsi="SFBX1200" w:cs="SFBX1200"/>
          <w:b/>
          <w:b/>
          <w:sz w:val="28"/>
          <w:szCs w:val="28"/>
        </w:rPr>
      </w:pPr>
      <w:r>
        <w:rPr>
          <w:rFonts w:cs="SFBX1200" w:ascii="SFBX1200" w:hAnsi="SFBX1200"/>
          <w:b/>
          <w:sz w:val="28"/>
          <w:szCs w:val="28"/>
        </w:rPr>
        <w:t>(2019) UNBELIEVALBE similar ideas, UNBELIEVABLE similar framework of the article on “quantum mechanics” written by Proietti et al (2019) with my EDWs (2002-2008)</w:t>
      </w:r>
    </w:p>
    <w:p>
      <w:pPr>
        <w:pStyle w:val="Normal"/>
        <w:spacing w:before="0" w:after="0"/>
        <w:contextualSpacing/>
        <w:rPr>
          <w:rFonts w:ascii="SFBX1200" w:hAnsi="SFBX1200" w:cs="SFBX1200"/>
          <w:b/>
          <w:b/>
          <w:sz w:val="28"/>
          <w:szCs w:val="28"/>
        </w:rPr>
      </w:pPr>
      <w:r>
        <w:rPr>
          <w:rFonts w:cs="SFBX1200" w:ascii="SFBX1200" w:hAnsi="SFBX1200"/>
          <w:b/>
          <w:sz w:val="28"/>
          <w:szCs w:val="28"/>
        </w:rPr>
      </w:r>
    </w:p>
    <w:p>
      <w:pPr>
        <w:pStyle w:val="Normal"/>
        <w:spacing w:before="0" w:after="0"/>
        <w:contextualSpacing/>
        <w:jc w:val="left"/>
        <w:rPr>
          <w:rFonts w:ascii="SFBX1200" w:hAnsi="SFBX1200" w:cs="SFBX1200"/>
          <w:b/>
          <w:b/>
          <w:color w:val="FF0000"/>
        </w:rPr>
      </w:pPr>
      <w:r>
        <w:rPr>
          <w:rFonts w:cs="SFBX1200" w:ascii="SFBX1200" w:hAnsi="SFBX1200"/>
          <w:b/>
          <w:color w:val="FF0000"/>
        </w:rPr>
      </w:r>
    </w:p>
    <w:p>
      <w:pPr>
        <w:pStyle w:val="Normal"/>
        <w:spacing w:before="0" w:after="0"/>
        <w:contextualSpacing/>
        <w:jc w:val="left"/>
        <w:rPr>
          <w:rFonts w:ascii="SFBX1200" w:hAnsi="SFBX1200" w:cs="SFBX1200"/>
          <w:b/>
          <w:b/>
          <w:color w:val="FF0000"/>
        </w:rPr>
      </w:pPr>
      <w:r>
        <w:rPr>
          <w:rFonts w:cs="SFBX1200" w:ascii="SFBX1200" w:hAnsi="SFBX1200"/>
          <w:b/>
          <w:color w:val="FF0000"/>
        </w:rPr>
        <w:t xml:space="preserve">The article that I investigate in this section is </w:t>
      </w:r>
    </w:p>
    <w:p>
      <w:pPr>
        <w:pStyle w:val="Normal"/>
        <w:spacing w:before="0" w:after="0"/>
        <w:contextualSpacing/>
        <w:jc w:val="left"/>
        <w:rPr>
          <w:rFonts w:ascii="SFBX1200" w:hAnsi="SFBX1200" w:cs="SFBX1200"/>
          <w:b/>
          <w:b/>
        </w:rPr>
      </w:pPr>
      <w:r>
        <w:rPr>
          <w:rFonts w:cs="SFBX1200" w:ascii="SFBX1200" w:hAnsi="SFBX1200"/>
          <w:b/>
        </w:rPr>
      </w:r>
    </w:p>
    <w:p>
      <w:pPr>
        <w:pStyle w:val="Normal"/>
        <w:spacing w:before="0" w:after="0"/>
        <w:contextualSpacing/>
        <w:jc w:val="left"/>
        <w:rPr>
          <w:rFonts w:ascii="SFBX1200" w:hAnsi="SFBX1200" w:cs="SFBX1200"/>
          <w:b/>
          <w:b/>
        </w:rPr>
      </w:pPr>
      <w:r>
        <w:rPr>
          <w:rFonts w:cs="SFBX1200" w:ascii="SFBX1200" w:hAnsi="SFBX1200"/>
          <w:b/>
        </w:rPr>
        <w:t>(2019) Experimental rejection of observer-independence in the quantum world</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pPr>
      <w:r>
        <w:rPr>
          <w:rFonts w:cs="SFRM1000" w:ascii="SFRM1000" w:hAnsi="SFRM1000"/>
          <w:sz w:val="22"/>
          <w:szCs w:val="22"/>
        </w:rPr>
        <w:t>Massimiliano Proietti,</w:t>
      </w:r>
      <w:r>
        <w:rPr>
          <w:rFonts w:cs="SFRM0700" w:ascii="SFRM0700" w:hAnsi="SFRM0700"/>
          <w:sz w:val="22"/>
          <w:szCs w:val="22"/>
        </w:rPr>
        <w:t xml:space="preserve">1 </w:t>
      </w:r>
      <w:r>
        <w:rPr>
          <w:rFonts w:cs="SFRM1000" w:ascii="SFRM1000" w:hAnsi="SFRM1000"/>
          <w:sz w:val="22"/>
          <w:szCs w:val="22"/>
        </w:rPr>
        <w:t>Alexander Pickston,</w:t>
      </w:r>
      <w:r>
        <w:rPr>
          <w:rFonts w:cs="SFRM0700" w:ascii="SFRM0700" w:hAnsi="SFRM0700"/>
          <w:sz w:val="22"/>
          <w:szCs w:val="22"/>
        </w:rPr>
        <w:t xml:space="preserve">1 </w:t>
      </w:r>
      <w:r>
        <w:rPr>
          <w:rFonts w:cs="SFRM1000" w:ascii="SFRM1000" w:hAnsi="SFRM1000"/>
          <w:sz w:val="22"/>
          <w:szCs w:val="22"/>
        </w:rPr>
        <w:t>Francesco Graffitti,</w:t>
      </w:r>
      <w:r>
        <w:rPr>
          <w:rFonts w:cs="SFRM0700" w:ascii="SFRM0700" w:hAnsi="SFRM0700"/>
          <w:sz w:val="22"/>
          <w:szCs w:val="22"/>
        </w:rPr>
        <w:t xml:space="preserve">1 </w:t>
      </w:r>
      <w:r>
        <w:rPr>
          <w:rFonts w:cs="SFRM1000" w:ascii="SFRM1000" w:hAnsi="SFRM1000"/>
          <w:sz w:val="22"/>
          <w:szCs w:val="22"/>
        </w:rPr>
        <w:t>Peter Barrow,</w:t>
      </w:r>
      <w:r>
        <w:rPr>
          <w:rFonts w:cs="SFRM0700" w:ascii="SFRM0700" w:hAnsi="SFRM0700"/>
          <w:sz w:val="22"/>
          <w:szCs w:val="22"/>
        </w:rPr>
        <w:t>1</w:t>
      </w:r>
    </w:p>
    <w:p>
      <w:pPr>
        <w:pStyle w:val="Normal"/>
        <w:spacing w:before="0" w:after="0"/>
        <w:contextualSpacing/>
        <w:jc w:val="left"/>
        <w:rPr/>
      </w:pPr>
      <w:r>
        <w:rPr>
          <w:rFonts w:cs="SFRM1000" w:ascii="SFRM1000" w:hAnsi="SFRM1000"/>
          <w:sz w:val="22"/>
          <w:szCs w:val="22"/>
        </w:rPr>
        <w:t>Dmytro Kundys,</w:t>
      </w:r>
      <w:r>
        <w:rPr>
          <w:rFonts w:cs="SFRM0700" w:ascii="SFRM0700" w:hAnsi="SFRM0700"/>
          <w:sz w:val="22"/>
          <w:szCs w:val="22"/>
        </w:rPr>
        <w:t xml:space="preserve">1 </w:t>
      </w:r>
      <w:r>
        <w:rPr>
          <w:rFonts w:cs="SFRM1000" w:ascii="SFRM1000" w:hAnsi="SFRM1000"/>
          <w:sz w:val="22"/>
          <w:szCs w:val="22"/>
        </w:rPr>
        <w:t>Cyril Branciard,</w:t>
      </w:r>
      <w:r>
        <w:rPr>
          <w:rFonts w:cs="SFRM0700" w:ascii="SFRM0700" w:hAnsi="SFRM0700"/>
          <w:sz w:val="22"/>
          <w:szCs w:val="22"/>
        </w:rPr>
        <w:t xml:space="preserve">2 </w:t>
      </w:r>
      <w:r>
        <w:rPr>
          <w:rFonts w:cs="SFRM1000" w:ascii="SFRM1000" w:hAnsi="SFRM1000"/>
          <w:sz w:val="22"/>
          <w:szCs w:val="22"/>
        </w:rPr>
        <w:t>Martin Ringbauer,</w:t>
      </w:r>
      <w:r>
        <w:rPr>
          <w:rFonts w:cs="SFRM0700" w:ascii="SFRM0700" w:hAnsi="SFRM0700"/>
          <w:sz w:val="22"/>
          <w:szCs w:val="22"/>
        </w:rPr>
        <w:t xml:space="preserve">1, 3 </w:t>
      </w:r>
      <w:r>
        <w:rPr>
          <w:rFonts w:cs="SFRM1000" w:ascii="SFRM1000" w:hAnsi="SFRM1000"/>
          <w:sz w:val="22"/>
          <w:szCs w:val="22"/>
        </w:rPr>
        <w:t>and Alessandro Fedrizzi</w:t>
      </w:r>
      <w:r>
        <w:rPr>
          <w:rFonts w:cs="SFRM0700" w:ascii="SFRM0700" w:hAnsi="SFRM0700"/>
          <w:sz w:val="22"/>
          <w:szCs w:val="22"/>
        </w:rPr>
        <w:t>1</w:t>
      </w:r>
    </w:p>
    <w:p>
      <w:pPr>
        <w:pStyle w:val="Normal"/>
        <w:spacing w:before="0" w:after="0"/>
        <w:contextualSpacing/>
        <w:jc w:val="left"/>
        <w:rPr>
          <w:rFonts w:ascii="SFRM0700" w:hAnsi="SFRM0700" w:cs="SFRM0700"/>
          <w:sz w:val="22"/>
          <w:szCs w:val="22"/>
        </w:rPr>
      </w:pPr>
      <w:r>
        <w:rPr>
          <w:rFonts w:cs="SFRM0700" w:ascii="SFRM0700" w:hAnsi="SFRM0700"/>
          <w:sz w:val="22"/>
          <w:szCs w:val="22"/>
        </w:rPr>
        <w:t>at</w:t>
      </w:r>
    </w:p>
    <w:p>
      <w:pPr>
        <w:pStyle w:val="Normal"/>
        <w:spacing w:before="0" w:after="0"/>
        <w:contextualSpacing/>
        <w:jc w:val="left"/>
        <w:rPr>
          <w:sz w:val="40"/>
          <w:szCs w:val="40"/>
        </w:rPr>
      </w:pPr>
      <w:r>
        <w:rPr>
          <w:sz w:val="40"/>
          <w:szCs w:val="40"/>
        </w:rPr>
        <w:t>arXiv:1902.05080v1 [quant-ph] 13 Feb 2019</w:t>
      </w:r>
    </w:p>
    <w:p>
      <w:pPr>
        <w:pStyle w:val="Normal"/>
        <w:spacing w:before="0" w:after="0"/>
        <w:contextualSpacing/>
        <w:jc w:val="left"/>
        <w:rPr>
          <w:rFonts w:ascii="SFBX1200" w:hAnsi="SFBX1200" w:cs="SFBX1200"/>
          <w:b/>
          <w:b/>
          <w:color w:val="FF0000"/>
        </w:rPr>
      </w:pPr>
      <w:r>
        <w:rPr>
          <w:rFonts w:cs="SFBX1200" w:ascii="SFBX1200" w:hAnsi="SFBX1200"/>
          <w:b/>
          <w:color w:val="FF0000"/>
        </w:rPr>
      </w:r>
    </w:p>
    <w:p>
      <w:pPr>
        <w:pStyle w:val="Normal"/>
        <w:spacing w:before="0" w:after="0"/>
        <w:contextualSpacing/>
        <w:jc w:val="left"/>
        <w:rPr>
          <w:rFonts w:ascii="SFBX1200" w:hAnsi="SFBX1200" w:cs="SFBX1200"/>
          <w:color w:val="FF0000"/>
        </w:rPr>
      </w:pPr>
      <w:r>
        <w:rPr>
          <w:rFonts w:cs="SFBX1200" w:ascii="SFBX1200" w:hAnsi="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pStyle w:val="Normal"/>
        <w:spacing w:before="0" w:after="0"/>
        <w:contextualSpacing/>
        <w:jc w:val="left"/>
        <w:rPr>
          <w:rFonts w:ascii="SFBX1200" w:hAnsi="SFBX1200" w:cs="SFBX1200"/>
          <w:color w:val="FF0000"/>
        </w:rPr>
      </w:pPr>
      <w:r>
        <w:rPr>
          <w:rFonts w:cs="SFBX1200" w:ascii="SFBX1200" w:hAnsi="SFBX1200"/>
          <w:color w:val="FF0000"/>
        </w:rPr>
      </w:r>
    </w:p>
    <w:p>
      <w:pPr>
        <w:pStyle w:val="Normal"/>
        <w:spacing w:before="0" w:after="0"/>
        <w:contextualSpacing/>
        <w:jc w:val="left"/>
        <w:rPr/>
      </w:pPr>
      <w:r>
        <w:rPr>
          <w:rFonts w:cs="SFBX1200" w:ascii="SFBX1200" w:hAnsi="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cs="SFRM1000" w:ascii="SFRM1000" w:hAnsi="SFRM1000"/>
          <w:b/>
          <w:color w:val="000000"/>
          <w:sz w:val="22"/>
          <w:szCs w:val="22"/>
        </w:rPr>
        <w:t xml:space="preserve">observer-independent “facts of the world” </w:t>
      </w:r>
      <w:r>
        <w:rPr>
          <w:rFonts w:cs="SFRM1000" w:ascii="SFRM1000" w:hAnsi="SFRM1000"/>
          <w:b/>
          <w:color w:val="FF0000"/>
          <w:sz w:val="22"/>
          <w:szCs w:val="22"/>
        </w:rPr>
        <w:t xml:space="preserve">(that are exactly my EDWs!!!). </w:t>
      </w:r>
      <w:r>
        <w:rPr>
          <w:rFonts w:cs="SFRM1000" w:ascii="SFRM1000" w:hAnsi="SFRM1000"/>
          <w:color w:val="FF0000"/>
          <w:sz w:val="22"/>
          <w:szCs w:val="22"/>
        </w:rPr>
        <w:t>Obviously, the authors are geniuses like sean carroll, markus Gabriel, carolo rovelli, and so many from my manuscript referring to UNBELIEVABLE similarities (see the bibliography at the end of this article!)</w:t>
      </w:r>
    </w:p>
    <w:p>
      <w:pPr>
        <w:pStyle w:val="Normal"/>
        <w:spacing w:before="0" w:after="0"/>
        <w:contextualSpacing/>
        <w:jc w:val="left"/>
        <w:rPr>
          <w:rFonts w:ascii="SFBX1200" w:hAnsi="SFBX1200" w:cs="SFBX1200"/>
          <w:color w:val="FF0000"/>
        </w:rPr>
      </w:pPr>
      <w:r>
        <w:rPr>
          <w:rFonts w:cs="SFBX1200" w:ascii="SFBX1200" w:hAnsi="SFBX1200"/>
          <w:color w:val="FF0000"/>
        </w:rPr>
      </w:r>
    </w:p>
    <w:p>
      <w:pPr>
        <w:pStyle w:val="Normal"/>
        <w:spacing w:before="0" w:after="0"/>
        <w:contextualSpacing/>
        <w:jc w:val="left"/>
        <w:rPr>
          <w:rFonts w:ascii="SFBX1200" w:hAnsi="SFBX1200" w:cs="SFBX1200"/>
          <w:color w:val="FF0000"/>
        </w:rPr>
      </w:pPr>
      <w:r>
        <w:rPr>
          <w:rFonts w:cs="SFBX1200" w:ascii="SFBX1200" w:hAnsi="SFBX1200"/>
          <w:color w:val="FF0000"/>
        </w:rPr>
        <w:t>I investigated some paragraphs of this article below:</w:t>
      </w:r>
    </w:p>
    <w:p>
      <w:pPr>
        <w:pStyle w:val="Normal"/>
        <w:spacing w:before="0" w:after="0"/>
        <w:contextualSpacing/>
        <w:jc w:val="left"/>
        <w:rPr>
          <w:rFonts w:ascii="SFBX1200" w:hAnsi="SFBX1200" w:cs="SFBX1200"/>
          <w:b/>
          <w:b/>
        </w:rPr>
      </w:pPr>
      <w:r>
        <w:rPr>
          <w:rFonts w:cs="SFBX1200" w:ascii="SFBX1200" w:hAnsi="SFBX1200"/>
          <w:b/>
        </w:rPr>
      </w:r>
    </w:p>
    <w:p>
      <w:pPr>
        <w:pStyle w:val="Normal"/>
        <w:spacing w:before="0" w:after="0"/>
        <w:contextualSpacing/>
        <w:jc w:val="left"/>
        <w:rPr>
          <w:rFonts w:ascii="SFBX1200" w:hAnsi="SFBX1200" w:cs="SFBX1200"/>
          <w:b/>
          <w:b/>
        </w:rPr>
      </w:pPr>
      <w:r>
        <w:rPr>
          <w:rFonts w:cs="SFBX1200" w:ascii="SFBX1200" w:hAnsi="SFBX1200"/>
          <w:b/>
        </w:rPr>
        <w:t>(2019) Experimental rejection of observer-independence in the quantum world</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pPr>
      <w:r>
        <w:rPr>
          <w:rFonts w:cs="SFRM1000" w:ascii="SFRM1000" w:hAnsi="SFRM1000"/>
          <w:sz w:val="22"/>
          <w:szCs w:val="22"/>
        </w:rPr>
        <w:t>Massimiliano Proietti,</w:t>
      </w:r>
      <w:r>
        <w:rPr>
          <w:rFonts w:cs="SFRM0700" w:ascii="SFRM0700" w:hAnsi="SFRM0700"/>
          <w:sz w:val="22"/>
          <w:szCs w:val="22"/>
        </w:rPr>
        <w:t xml:space="preserve">1 </w:t>
      </w:r>
      <w:r>
        <w:rPr>
          <w:rFonts w:cs="SFRM1000" w:ascii="SFRM1000" w:hAnsi="SFRM1000"/>
          <w:sz w:val="22"/>
          <w:szCs w:val="22"/>
        </w:rPr>
        <w:t>Alexander Pickston,</w:t>
      </w:r>
      <w:r>
        <w:rPr>
          <w:rFonts w:cs="SFRM0700" w:ascii="SFRM0700" w:hAnsi="SFRM0700"/>
          <w:sz w:val="22"/>
          <w:szCs w:val="22"/>
        </w:rPr>
        <w:t xml:space="preserve">1 </w:t>
      </w:r>
      <w:r>
        <w:rPr>
          <w:rFonts w:cs="SFRM1000" w:ascii="SFRM1000" w:hAnsi="SFRM1000"/>
          <w:sz w:val="22"/>
          <w:szCs w:val="22"/>
        </w:rPr>
        <w:t>Francesco Graffitti,</w:t>
      </w:r>
      <w:r>
        <w:rPr>
          <w:rFonts w:cs="SFRM0700" w:ascii="SFRM0700" w:hAnsi="SFRM0700"/>
          <w:sz w:val="22"/>
          <w:szCs w:val="22"/>
        </w:rPr>
        <w:t xml:space="preserve">1 </w:t>
      </w:r>
      <w:r>
        <w:rPr>
          <w:rFonts w:cs="SFRM1000" w:ascii="SFRM1000" w:hAnsi="SFRM1000"/>
          <w:sz w:val="22"/>
          <w:szCs w:val="22"/>
        </w:rPr>
        <w:t>Peter Barrow,</w:t>
      </w:r>
      <w:r>
        <w:rPr>
          <w:rFonts w:cs="SFRM0700" w:ascii="SFRM0700" w:hAnsi="SFRM0700"/>
          <w:sz w:val="22"/>
          <w:szCs w:val="22"/>
        </w:rPr>
        <w:t>1</w:t>
      </w:r>
    </w:p>
    <w:p>
      <w:pPr>
        <w:pStyle w:val="Normal"/>
        <w:spacing w:before="0" w:after="0"/>
        <w:contextualSpacing/>
        <w:jc w:val="left"/>
        <w:rPr/>
      </w:pPr>
      <w:r>
        <w:rPr>
          <w:rFonts w:cs="SFRM1000" w:ascii="SFRM1000" w:hAnsi="SFRM1000"/>
          <w:sz w:val="22"/>
          <w:szCs w:val="22"/>
        </w:rPr>
        <w:t>Dmytro Kundys,</w:t>
      </w:r>
      <w:r>
        <w:rPr>
          <w:rFonts w:cs="SFRM0700" w:ascii="SFRM0700" w:hAnsi="SFRM0700"/>
          <w:sz w:val="22"/>
          <w:szCs w:val="22"/>
        </w:rPr>
        <w:t xml:space="preserve">1 </w:t>
      </w:r>
      <w:r>
        <w:rPr>
          <w:rFonts w:cs="SFRM1000" w:ascii="SFRM1000" w:hAnsi="SFRM1000"/>
          <w:sz w:val="22"/>
          <w:szCs w:val="22"/>
        </w:rPr>
        <w:t>Cyril Branciard,</w:t>
      </w:r>
      <w:r>
        <w:rPr>
          <w:rFonts w:cs="SFRM0700" w:ascii="SFRM0700" w:hAnsi="SFRM0700"/>
          <w:sz w:val="22"/>
          <w:szCs w:val="22"/>
        </w:rPr>
        <w:t xml:space="preserve">2 </w:t>
      </w:r>
      <w:r>
        <w:rPr>
          <w:rFonts w:cs="SFRM1000" w:ascii="SFRM1000" w:hAnsi="SFRM1000"/>
          <w:sz w:val="22"/>
          <w:szCs w:val="22"/>
        </w:rPr>
        <w:t>Martin Ringbauer,</w:t>
      </w:r>
      <w:r>
        <w:rPr>
          <w:rFonts w:cs="SFRM0700" w:ascii="SFRM0700" w:hAnsi="SFRM0700"/>
          <w:sz w:val="22"/>
          <w:szCs w:val="22"/>
        </w:rPr>
        <w:t xml:space="preserve">1, 3 </w:t>
      </w:r>
      <w:r>
        <w:rPr>
          <w:rFonts w:cs="SFRM1000" w:ascii="SFRM1000" w:hAnsi="SFRM1000"/>
          <w:sz w:val="22"/>
          <w:szCs w:val="22"/>
        </w:rPr>
        <w:t>and Alessandro Fedrizzi</w:t>
      </w:r>
      <w:r>
        <w:rPr>
          <w:rFonts w:cs="SFRM0700" w:ascii="SFRM0700" w:hAnsi="SFRM0700"/>
          <w:sz w:val="22"/>
          <w:szCs w:val="22"/>
        </w:rPr>
        <w:t>1</w:t>
      </w:r>
    </w:p>
    <w:p>
      <w:pPr>
        <w:pStyle w:val="Normal"/>
        <w:spacing w:before="0" w:after="0"/>
        <w:contextualSpacing/>
        <w:jc w:val="left"/>
        <w:rPr>
          <w:rFonts w:ascii="SFRM0600" w:hAnsi="SFRM0600" w:cs="SFRM0600"/>
          <w:sz w:val="22"/>
          <w:szCs w:val="22"/>
        </w:rPr>
      </w:pPr>
      <w:r>
        <w:rPr>
          <w:rFonts w:cs="SFRM0600" w:ascii="SFRM0600" w:hAnsi="SFRM0600"/>
          <w:sz w:val="22"/>
          <w:szCs w:val="22"/>
        </w:rPr>
      </w:r>
    </w:p>
    <w:p>
      <w:pPr>
        <w:pStyle w:val="Normal"/>
        <w:spacing w:before="0" w:after="0"/>
        <w:contextualSpacing/>
        <w:jc w:val="left"/>
        <w:rPr/>
      </w:pPr>
      <w:r>
        <w:rPr>
          <w:rFonts w:cs="SFRM0600" w:ascii="SFRM0600" w:hAnsi="SFRM0600"/>
          <w:sz w:val="22"/>
          <w:szCs w:val="22"/>
        </w:rPr>
        <w:t>1</w:t>
      </w:r>
      <w:r>
        <w:rPr>
          <w:rFonts w:cs="SFTI0900" w:ascii="SFTI0900" w:hAnsi="SFTI0900"/>
          <w:sz w:val="22"/>
          <w:szCs w:val="22"/>
        </w:rPr>
        <w:t>Scottish Universities Physics Alliance (SUPA), Institute of Photonics and Quantum Sciences,</w:t>
      </w:r>
    </w:p>
    <w:p>
      <w:pPr>
        <w:pStyle w:val="Normal"/>
        <w:spacing w:before="0" w:after="0"/>
        <w:contextualSpacing/>
        <w:jc w:val="left"/>
        <w:rPr>
          <w:rFonts w:ascii="SFTI0900" w:hAnsi="SFTI0900" w:cs="SFTI0900"/>
          <w:sz w:val="22"/>
          <w:szCs w:val="22"/>
        </w:rPr>
      </w:pPr>
      <w:r>
        <w:rPr>
          <w:rFonts w:cs="SFTI0900" w:ascii="SFTI0900" w:hAnsi="SFTI0900"/>
          <w:sz w:val="22"/>
          <w:szCs w:val="22"/>
        </w:rPr>
        <w:t>School of Engineering and Physical Sciences, Heriot-Watt University, Edinburgh EH14 4AS, UK</w:t>
      </w:r>
    </w:p>
    <w:p>
      <w:pPr>
        <w:pStyle w:val="Normal"/>
        <w:spacing w:before="0" w:after="0"/>
        <w:contextualSpacing/>
        <w:jc w:val="left"/>
        <w:rPr/>
      </w:pPr>
      <w:r>
        <w:rPr>
          <w:rFonts w:cs="SFRM0600" w:ascii="SFRM0600" w:hAnsi="SFRM0600"/>
          <w:sz w:val="22"/>
          <w:szCs w:val="22"/>
        </w:rPr>
        <w:t>2</w:t>
      </w:r>
      <w:r>
        <w:rPr>
          <w:rFonts w:cs="SFTI0900" w:ascii="SFTI0900" w:hAnsi="SFTI0900"/>
          <w:sz w:val="22"/>
          <w:szCs w:val="22"/>
        </w:rPr>
        <w:t>Université Grenoble Alpes, CNRS, Grenoble INP, Institut Néel, 38000 Grenoble, France.</w:t>
      </w:r>
    </w:p>
    <w:p>
      <w:pPr>
        <w:pStyle w:val="Normal"/>
        <w:spacing w:before="0" w:after="0"/>
        <w:contextualSpacing/>
        <w:jc w:val="left"/>
        <w:rPr/>
      </w:pPr>
      <w:r>
        <w:rPr>
          <w:rFonts w:cs="SFRM0600" w:ascii="SFRM0600" w:hAnsi="SFRM0600"/>
          <w:sz w:val="22"/>
          <w:szCs w:val="22"/>
        </w:rPr>
        <w:t>3</w:t>
      </w:r>
      <w:r>
        <w:rPr>
          <w:rFonts w:cs="SFTI0900" w:ascii="SFTI0900" w:hAnsi="SFTI0900"/>
          <w:sz w:val="22"/>
          <w:szCs w:val="22"/>
        </w:rPr>
        <w:t>Institut für Experimentalphysik, Universität Innsbruck, 6020 Innsbruck, Austria</w:t>
      </w:r>
    </w:p>
    <w:p>
      <w:pPr>
        <w:pStyle w:val="Normal"/>
        <w:spacing w:before="0" w:after="0"/>
        <w:contextualSpacing/>
        <w:jc w:val="left"/>
        <w:rPr>
          <w:rFonts w:ascii="SFRM0900" w:hAnsi="SFRM0900" w:cs="SFRM0900"/>
          <w:sz w:val="22"/>
          <w:szCs w:val="22"/>
        </w:rPr>
      </w:pPr>
      <w:r>
        <w:rPr>
          <w:rFonts w:cs="SFRM0900" w:ascii="SFRM0900" w:hAnsi="SFRM0900"/>
          <w:sz w:val="22"/>
          <w:szCs w:val="22"/>
        </w:rPr>
      </w:r>
    </w:p>
    <w:p>
      <w:pPr>
        <w:pStyle w:val="Normal"/>
        <w:spacing w:before="0" w:after="0"/>
        <w:contextualSpacing/>
        <w:jc w:val="left"/>
        <w:rPr>
          <w:color w:val="808080"/>
          <w:sz w:val="40"/>
          <w:szCs w:val="40"/>
        </w:rPr>
      </w:pPr>
      <w:r>
        <w:rPr>
          <w:color w:val="808080"/>
          <w:sz w:val="40"/>
          <w:szCs w:val="40"/>
        </w:rPr>
        <w:t>arXiv:1902.05080v1 [quant-ph] 13 Feb 2019</w:t>
      </w:r>
    </w:p>
    <w:p>
      <w:pPr>
        <w:pStyle w:val="Normal"/>
        <w:spacing w:before="0" w:after="0"/>
        <w:contextualSpacing/>
        <w:jc w:val="left"/>
        <w:rPr>
          <w:rFonts w:ascii="SFRM0900" w:hAnsi="SFRM0900" w:cs="SFRM0900"/>
          <w:sz w:val="22"/>
          <w:szCs w:val="22"/>
        </w:rPr>
      </w:pPr>
      <w:r>
        <w:rPr>
          <w:rFonts w:cs="SFRM0900" w:ascii="SFRM0900" w:hAnsi="SFRM0900"/>
          <w:sz w:val="22"/>
          <w:szCs w:val="22"/>
        </w:rPr>
      </w:r>
    </w:p>
    <w:p>
      <w:pPr>
        <w:pStyle w:val="Normal"/>
        <w:spacing w:before="0" w:after="0"/>
        <w:contextualSpacing/>
        <w:jc w:val="left"/>
        <w:rPr>
          <w:rFonts w:ascii="SFRM0900" w:hAnsi="SFRM0900" w:cs="SFRM0900"/>
          <w:sz w:val="22"/>
          <w:szCs w:val="22"/>
        </w:rPr>
      </w:pPr>
      <w:r>
        <w:rPr>
          <w:rFonts w:cs="SFRM0900" w:ascii="SFRM0900" w:hAnsi="SFRM0900"/>
          <w:sz w:val="22"/>
          <w:szCs w:val="22"/>
        </w:rPr>
        <w:t>The scientific method relies on facts, established through repeated measurements and agreed upon</w:t>
      </w:r>
    </w:p>
    <w:p>
      <w:pPr>
        <w:pStyle w:val="Normal"/>
        <w:spacing w:before="0" w:after="0"/>
        <w:contextualSpacing/>
        <w:jc w:val="left"/>
        <w:rPr>
          <w:rFonts w:ascii="SFRM0900" w:hAnsi="SFRM0900" w:cs="SFRM0900"/>
          <w:sz w:val="22"/>
          <w:szCs w:val="22"/>
        </w:rPr>
      </w:pPr>
      <w:r>
        <w:rPr>
          <w:rFonts w:cs="SFRM0900" w:ascii="SFRM0900" w:hAnsi="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pStyle w:val="Normal"/>
        <w:spacing w:before="0" w:after="0"/>
        <w:contextualSpacing/>
        <w:jc w:val="left"/>
        <w:rPr>
          <w:rFonts w:ascii="SFRM0900" w:hAnsi="SFRM0900" w:cs="SFRM0900"/>
          <w:sz w:val="22"/>
          <w:szCs w:val="22"/>
        </w:rPr>
      </w:pPr>
      <w:r>
        <w:rPr>
          <w:rFonts w:cs="SFRM0900" w:ascii="SFRM0900" w:hAnsi="SFRM09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The friend can even tell Wigner that she recorded a definite outcome (without revealing the</w:t>
      </w:r>
    </w:p>
    <w:p>
      <w:pPr>
        <w:pStyle w:val="Normal"/>
        <w:spacing w:before="0" w:after="0"/>
        <w:contextualSpacing/>
        <w:jc w:val="left"/>
        <w:rPr/>
      </w:pPr>
      <w:r>
        <w:rPr>
          <w:rFonts w:cs="SFRM1000" w:ascii="SFRM1000" w:hAnsi="SFRM1000"/>
          <w:color w:val="000000"/>
          <w:sz w:val="22"/>
          <w:szCs w:val="22"/>
        </w:rPr>
        <w:t>result), yet Wigner and his friend’s respective descriptions remain unchanged [</w:t>
      </w:r>
      <w:r>
        <w:rPr>
          <w:rFonts w:cs="SFRM1000" w:ascii="SFRM1000" w:hAnsi="SFRM1000"/>
          <w:color w:val="0000FF"/>
          <w:sz w:val="22"/>
          <w:szCs w:val="22"/>
        </w:rPr>
        <w:t>6</w:t>
      </w:r>
      <w:r>
        <w:rPr>
          <w:rFonts w:cs="SFRM1000" w:ascii="SFRM1000" w:hAnsi="SFRM1000"/>
          <w:color w:val="000000"/>
          <w:sz w:val="22"/>
          <w:szCs w:val="22"/>
        </w:rPr>
        <w:t xml:space="preserve">]. This calls into question the </w:t>
      </w:r>
      <w:r>
        <w:rPr>
          <w:rFonts w:cs="SFRM1000" w:ascii="SFRM1000" w:hAnsi="SFRM1000"/>
          <w:sz w:val="22"/>
          <w:szCs w:val="22"/>
        </w:rPr>
        <w:t>objective status of the facts established by the two observers.</w:t>
      </w:r>
    </w:p>
    <w:p>
      <w:pPr>
        <w:pStyle w:val="Normal"/>
        <w:spacing w:before="0" w:after="0"/>
        <w:contextualSpacing/>
        <w:jc w:val="left"/>
        <w:rPr>
          <w:rFonts w:ascii="SFRM1000" w:hAnsi="SFRM1000" w:cs="SFRM1000"/>
          <w:sz w:val="22"/>
          <w:szCs w:val="22"/>
        </w:rPr>
      </w:pPr>
      <w:r>
        <w:rPr>
          <w:rFonts w:cs="SFRM1000" w:ascii="SFRM1000" w:hAnsi="SFRM1000"/>
          <w:sz w:val="22"/>
          <w:szCs w:val="22"/>
        </w:rPr>
        <w:t>Can one reconcile their different records, or are they fundamentally incompatible—so that they cannot</w:t>
      </w:r>
    </w:p>
    <w:p>
      <w:pPr>
        <w:pStyle w:val="Normal"/>
        <w:spacing w:before="0" w:after="0"/>
        <w:contextualSpacing/>
        <w:jc w:val="left"/>
        <w:rPr/>
      </w:pPr>
      <w:r>
        <w:rPr>
          <w:rFonts w:cs="SFRM1000" w:ascii="SFRM1000" w:hAnsi="SFRM1000"/>
          <w:sz w:val="22"/>
          <w:szCs w:val="22"/>
        </w:rPr>
        <w:t xml:space="preserve">be considered </w:t>
      </w:r>
      <w:r>
        <w:rPr>
          <w:rFonts w:cs="SFRM1000" w:ascii="SFRM1000" w:hAnsi="SFRM1000"/>
          <w:b/>
          <w:sz w:val="22"/>
          <w:szCs w:val="22"/>
        </w:rPr>
        <w:t>ob</w:t>
      </w:r>
      <w:r>
        <w:rPr>
          <w:rFonts w:cs="SFRM1000" w:ascii="SFRM1000" w:hAnsi="SFRM1000"/>
          <w:b/>
          <w:color w:val="000000"/>
          <w:sz w:val="22"/>
          <w:szCs w:val="22"/>
        </w:rPr>
        <w:t>jective</w:t>
      </w:r>
      <w:r>
        <w:rPr>
          <w:rFonts w:cs="SFRM1000" w:ascii="SFRM1000" w:hAnsi="SFRM1000"/>
          <w:color w:val="000000"/>
          <w:sz w:val="22"/>
          <w:szCs w:val="22"/>
        </w:rPr>
        <w:t xml:space="preserve">, </w:t>
      </w:r>
      <w:r>
        <w:rPr>
          <w:rFonts w:cs="SFRM1000" w:ascii="SFRM1000" w:hAnsi="SFRM1000"/>
          <w:b/>
          <w:color w:val="000000"/>
          <w:sz w:val="22"/>
          <w:szCs w:val="22"/>
        </w:rPr>
        <w:t>observer-independent “facts of the world”</w:t>
      </w:r>
      <w:r>
        <w:rPr>
          <w:rFonts w:cs="SFRM1000" w:ascii="SFRM1000" w:hAnsi="SFRM1000"/>
          <w:color w:val="000000"/>
          <w:sz w:val="22"/>
          <w:szCs w:val="22"/>
        </w:rPr>
        <w:t xml:space="preserve"> [</w:t>
      </w:r>
      <w:r>
        <w:rPr>
          <w:rFonts w:cs="SFRM1000" w:ascii="SFRM1000" w:hAnsi="SFRM1000"/>
          <w:color w:val="0000FF"/>
          <w:sz w:val="22"/>
          <w:szCs w:val="22"/>
        </w:rPr>
        <w:t>3</w:t>
      </w:r>
      <w:r>
        <w:rPr>
          <w:rFonts w:cs="SFRM1000" w:ascii="SFRM1000" w:hAnsi="SFRM1000"/>
          <w:color w:val="000000"/>
          <w:sz w:val="22"/>
          <w:szCs w:val="22"/>
        </w:rPr>
        <w:t xml:space="preserve">, </w:t>
      </w:r>
      <w:r>
        <w:rPr>
          <w:rFonts w:cs="SFRM1000" w:ascii="SFRM1000" w:hAnsi="SFRM1000"/>
          <w:color w:val="0000FF"/>
          <w:sz w:val="22"/>
          <w:szCs w:val="22"/>
        </w:rPr>
        <w:t>4</w:t>
      </w:r>
      <w:r>
        <w:rPr>
          <w:rFonts w:cs="SFRM1000" w:ascii="SFRM1000" w:hAnsi="SFRM1000"/>
          <w:color w:val="000000"/>
          <w:sz w:val="22"/>
          <w:szCs w:val="22"/>
        </w:rPr>
        <w: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pPr>
      <w:r>
        <w:rPr>
          <w:rFonts w:cs="SFRM1000" w:ascii="SFRM1000" w:hAnsi="SFRM1000"/>
          <w:color w:val="FF0000"/>
          <w:sz w:val="22"/>
          <w:szCs w:val="22"/>
        </w:rPr>
        <w:t>[Obviously, these “</w:t>
      </w:r>
      <w:r>
        <w:rPr>
          <w:rFonts w:cs="SFRM1000" w:ascii="SFRM1000" w:hAnsi="SFRM1000"/>
          <w:b/>
          <w:sz w:val="22"/>
          <w:szCs w:val="22"/>
        </w:rPr>
        <w:t>ob</w:t>
      </w:r>
      <w:r>
        <w:rPr>
          <w:rFonts w:cs="SFRM1000" w:ascii="SFRM1000" w:hAnsi="SFRM1000"/>
          <w:b/>
          <w:color w:val="000000"/>
          <w:sz w:val="22"/>
          <w:szCs w:val="22"/>
        </w:rPr>
        <w:t>jective</w:t>
      </w:r>
      <w:r>
        <w:rPr>
          <w:rFonts w:cs="SFRM1000" w:ascii="SFRM1000" w:hAnsi="SFRM1000"/>
          <w:color w:val="000000"/>
          <w:sz w:val="22"/>
          <w:szCs w:val="22"/>
        </w:rPr>
        <w:t xml:space="preserve">, </w:t>
      </w:r>
      <w:r>
        <w:rPr>
          <w:rFonts w:cs="SFRM1000" w:ascii="SFRM1000" w:hAnsi="SFRM1000"/>
          <w:b/>
          <w:color w:val="000000"/>
          <w:sz w:val="22"/>
          <w:szCs w:val="22"/>
        </w:rPr>
        <w:t xml:space="preserve">observer-independent “facts of the world’ ” </w:t>
      </w:r>
      <w:r>
        <w:rPr>
          <w:rFonts w:cs="SFRM1000" w:ascii="SFRM1000" w:hAnsi="SFRM1000"/>
          <w:color w:val="FF0000"/>
          <w:sz w:val="22"/>
          <w:szCs w:val="22"/>
        </w:rPr>
        <w:t>sends directly to the EDWs!!!! What else it would mean “objective” in this expression????]</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pPr>
      <w:r>
        <w:rPr>
          <w:rFonts w:cs="SFRM1000" w:ascii="SFRM1000" w:hAnsi="SFRM1000"/>
          <w:color w:val="000000"/>
          <w:sz w:val="22"/>
          <w:szCs w:val="22"/>
        </w:rPr>
        <w:t>It was recently shown [</w:t>
      </w:r>
      <w:r>
        <w:rPr>
          <w:rFonts w:cs="SFRM1000" w:ascii="SFRM1000" w:hAnsi="SFRM1000"/>
          <w:color w:val="0000FF"/>
          <w:sz w:val="22"/>
          <w:szCs w:val="22"/>
        </w:rPr>
        <w:t>4</w:t>
      </w:r>
      <w:r>
        <w:rPr>
          <w:rFonts w:cs="SFRM1000" w:ascii="SFRM1000" w:hAnsi="SFRM1000"/>
          <w:color w:val="000000"/>
          <w:sz w:val="22"/>
          <w:szCs w:val="22"/>
        </w:rPr>
        <w:t>] that this question can be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addressed formally, by considering an extension of the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Wigner’s friend scenario as follows. Consider a pair of</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physical systems, shared between two separate laboratories</w:t>
      </w:r>
    </w:p>
    <w:p>
      <w:pPr>
        <w:pStyle w:val="Normal"/>
        <w:spacing w:before="0" w:after="0"/>
        <w:contextualSpacing/>
        <w:jc w:val="left"/>
        <w:rPr/>
      </w:pPr>
      <w:r>
        <w:rPr>
          <w:rFonts w:cs="SFRM1000" w:ascii="SFRM1000" w:hAnsi="SFRM1000"/>
          <w:color w:val="000000"/>
          <w:sz w:val="22"/>
          <w:szCs w:val="22"/>
        </w:rPr>
        <w:t xml:space="preserve">controlled by Alice and Bob, respectively, see Fig. </w:t>
      </w:r>
      <w:r>
        <w:rPr>
          <w:rFonts w:cs="SFRM1000" w:ascii="SFRM1000" w:hAnsi="SFRM1000"/>
          <w:color w:val="FF0000"/>
          <w:sz w:val="22"/>
          <w:szCs w:val="22"/>
        </w:rPr>
        <w:t>1</w:t>
      </w:r>
      <w:r>
        <w:rPr>
          <w:rFonts w:cs="SFBX1000" w:ascii="SFBX1000" w:hAnsi="SFBX1000"/>
          <w:color w:val="FF0000"/>
          <w:sz w:val="22"/>
          <w:szCs w:val="22"/>
        </w:rPr>
        <w:t>c</w:t>
      </w:r>
      <w:r>
        <w:rPr>
          <w:rFonts w:cs="SFRM1000" w:ascii="SFRM1000" w:hAnsi="SFRM1000"/>
          <w:color w:val="000000"/>
          <w:sz w:val="22"/>
          <w:szCs w:val="22"/>
        </w:rPr>
        <w: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Inside these laboratories, Alice’s friend and Bob’s friend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measure their respective system non-destructively and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record the outcomes in some memory. Outside these laboratories,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in each run of the experiment Alice and Bob</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can choose to either measure the state of their friend’s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record—i.e. to attest the “facts” established by their</w:t>
      </w:r>
    </w:p>
    <w:p>
      <w:pPr>
        <w:pStyle w:val="Normal"/>
        <w:spacing w:before="0" w:after="0"/>
        <w:contextualSpacing/>
        <w:jc w:val="left"/>
        <w:rPr/>
      </w:pPr>
      <w:r>
        <w:rPr>
          <w:rFonts w:cs="SFRM1000" w:ascii="SFRM1000" w:hAnsi="SFRM1000"/>
          <w:color w:val="000000"/>
          <w:sz w:val="22"/>
          <w:szCs w:val="22"/>
        </w:rPr>
        <w:t xml:space="preserve">friend, and whose results define the random variables </w:t>
      </w:r>
      <w:r>
        <w:rPr>
          <w:rFonts w:cs="CMMI10" w:ascii="CMMI10" w:hAnsi="CMMI10"/>
          <w:color w:val="000000"/>
          <w:sz w:val="22"/>
          <w:szCs w:val="22"/>
        </w:rPr>
        <w:t>A</w:t>
      </w:r>
      <w:r>
        <w:rPr>
          <w:rFonts w:cs="CMR7" w:ascii="CMR7" w:hAnsi="CMR7"/>
          <w:color w:val="000000"/>
          <w:sz w:val="22"/>
          <w:szCs w:val="22"/>
        </w:rPr>
        <w:t>0</w:t>
      </w:r>
    </w:p>
    <w:p>
      <w:pPr>
        <w:pStyle w:val="Normal"/>
        <w:spacing w:before="0" w:after="0"/>
        <w:contextualSpacing/>
        <w:jc w:val="left"/>
        <w:rPr/>
      </w:pPr>
      <w:r>
        <w:rPr>
          <w:rFonts w:cs="SFRM1000" w:ascii="SFRM1000" w:hAnsi="SFRM1000"/>
          <w:color w:val="000000"/>
          <w:sz w:val="22"/>
          <w:szCs w:val="22"/>
        </w:rPr>
        <w:t xml:space="preserve">(for Alice’s friend) and </w:t>
      </w:r>
      <w:r>
        <w:rPr>
          <w:rFonts w:cs="CMMI10" w:ascii="CMMI10" w:hAnsi="CMMI10"/>
          <w:color w:val="000000"/>
          <w:sz w:val="22"/>
          <w:szCs w:val="22"/>
        </w:rPr>
        <w:t>B</w:t>
      </w:r>
      <w:r>
        <w:rPr>
          <w:rFonts w:cs="CMR7" w:ascii="CMR7" w:hAnsi="CMR7"/>
          <w:color w:val="000000"/>
          <w:sz w:val="22"/>
          <w:szCs w:val="22"/>
        </w:rPr>
        <w:t xml:space="preserve">0 </w:t>
      </w:r>
      <w:r>
        <w:rPr>
          <w:rFonts w:cs="SFRM1000" w:ascii="SFRM1000" w:hAnsi="SFRM1000"/>
          <w:color w:val="000000"/>
          <w:sz w:val="22"/>
          <w:szCs w:val="22"/>
        </w:rPr>
        <w:t>(for Bob’s friend); or to jointly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measure the friend’s record and the system held by the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friend—to establish their own “facts”, defining variables</w:t>
      </w:r>
    </w:p>
    <w:p>
      <w:pPr>
        <w:pStyle w:val="Normal"/>
        <w:spacing w:before="0" w:after="0"/>
        <w:contextualSpacing/>
        <w:jc w:val="left"/>
        <w:rPr/>
      </w:pPr>
      <w:r>
        <w:rPr>
          <w:rFonts w:cs="CMMI10" w:ascii="CMMI10" w:hAnsi="CMMI10"/>
          <w:color w:val="000000"/>
          <w:sz w:val="22"/>
          <w:szCs w:val="22"/>
        </w:rPr>
        <w:t>A</w:t>
      </w:r>
      <w:r>
        <w:rPr>
          <w:rFonts w:cs="CMR7" w:ascii="CMR7" w:hAnsi="CMR7"/>
          <w:color w:val="000000"/>
          <w:sz w:val="22"/>
          <w:szCs w:val="22"/>
        </w:rPr>
        <w:t xml:space="preserve">1 </w:t>
      </w:r>
      <w:r>
        <w:rPr>
          <w:rFonts w:cs="SFRM1000" w:ascii="SFRM1000" w:hAnsi="SFRM1000"/>
          <w:color w:val="000000"/>
          <w:sz w:val="22"/>
          <w:szCs w:val="22"/>
        </w:rPr>
        <w:t xml:space="preserve">(for Alice) and </w:t>
      </w:r>
      <w:r>
        <w:rPr>
          <w:rFonts w:cs="CMMI10" w:ascii="CMMI10" w:hAnsi="CMMI10"/>
          <w:color w:val="000000"/>
          <w:sz w:val="22"/>
          <w:szCs w:val="22"/>
        </w:rPr>
        <w:t>B</w:t>
      </w:r>
      <w:r>
        <w:rPr>
          <w:rFonts w:cs="CMR7" w:ascii="CMR7" w:hAnsi="CMR7"/>
          <w:color w:val="000000"/>
          <w:sz w:val="22"/>
          <w:szCs w:val="22"/>
        </w:rPr>
        <w:t xml:space="preserve">1 </w:t>
      </w:r>
      <w:r>
        <w:rPr>
          <w:rFonts w:cs="SFRM1000" w:ascii="SFRM1000" w:hAnsi="SFRM1000"/>
          <w:color w:val="000000"/>
          <w:sz w:val="22"/>
          <w:szCs w:val="22"/>
        </w:rPr>
        <w:t>(for Bob). After comparing their</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results, Alice and Bob can estimate the probability distributions</w:t>
      </w:r>
    </w:p>
    <w:p>
      <w:pPr>
        <w:pStyle w:val="Normal"/>
        <w:spacing w:before="0" w:after="0"/>
        <w:contextualSpacing/>
        <w:jc w:val="left"/>
        <w:rPr/>
      </w:pPr>
      <w:r>
        <w:rPr>
          <w:rFonts w:cs="CMMI10" w:ascii="CMMI10" w:hAnsi="CMMI10"/>
          <w:color w:val="000000"/>
          <w:sz w:val="22"/>
          <w:szCs w:val="22"/>
        </w:rPr>
        <w:t>P</w:t>
      </w:r>
      <w:r>
        <w:rPr>
          <w:rFonts w:eastAsia="CMR10" w:cs="CMR10" w:ascii="CMR10" w:hAnsi="CMR10"/>
          <w:color w:val="000000"/>
          <w:sz w:val="22"/>
          <w:szCs w:val="22"/>
        </w:rPr>
        <w:t>(</w:t>
      </w:r>
      <w:r>
        <w:rPr>
          <w:rFonts w:cs="CMMI10" w:ascii="CMMI10" w:hAnsi="CMMI10"/>
          <w:color w:val="000000"/>
          <w:sz w:val="22"/>
          <w:szCs w:val="22"/>
        </w:rPr>
        <w:t>A</w:t>
      </w:r>
      <w:r>
        <w:rPr>
          <w:rFonts w:cs="CMMI7" w:ascii="CMMI7" w:hAnsi="CMMI7"/>
          <w:color w:val="000000"/>
          <w:sz w:val="22"/>
          <w:szCs w:val="22"/>
        </w:rPr>
        <w:t>x</w:t>
      </w:r>
      <w:r>
        <w:rPr>
          <w:rFonts w:cs="CMMI10" w:ascii="CMMI10" w:hAnsi="CMMI10"/>
          <w:color w:val="000000"/>
          <w:sz w:val="22"/>
          <w:szCs w:val="22"/>
        </w:rPr>
        <w:t>;B</w:t>
      </w:r>
      <w:r>
        <w:rPr>
          <w:rFonts w:cs="CMMI7" w:ascii="CMMI7" w:hAnsi="CMMI7"/>
          <w:color w:val="000000"/>
          <w:sz w:val="22"/>
          <w:szCs w:val="22"/>
        </w:rPr>
        <w:t>y</w:t>
      </w:r>
      <w:r>
        <w:rPr>
          <w:rFonts w:eastAsia="CMR10" w:cs="CMR10" w:ascii="CMR10" w:hAnsi="CMR10"/>
          <w:color w:val="000000"/>
          <w:sz w:val="22"/>
          <w:szCs w:val="22"/>
        </w:rPr>
        <w:t xml:space="preserve">) </w:t>
      </w:r>
      <w:r>
        <w:rPr>
          <w:rFonts w:cs="SFRM1000" w:ascii="SFRM1000" w:hAnsi="SFRM1000"/>
          <w:color w:val="000000"/>
          <w:sz w:val="22"/>
          <w:szCs w:val="22"/>
        </w:rPr>
        <w:t xml:space="preserve">for all four combinations of </w:t>
      </w:r>
      <w:r>
        <w:rPr>
          <w:rFonts w:cs="CMMI10" w:ascii="CMMI10" w:hAnsi="CMMI10"/>
          <w:color w:val="000000"/>
          <w:sz w:val="22"/>
          <w:szCs w:val="22"/>
        </w:rPr>
        <w:t xml:space="preserve">x; y </w:t>
      </w:r>
      <w:r>
        <w:rPr>
          <w:rFonts w:eastAsia="CMR10" w:cs="CMR10" w:ascii="CMR10" w:hAnsi="CMR10"/>
          <w:color w:val="000000"/>
          <w:sz w:val="22"/>
          <w:szCs w:val="22"/>
        </w:rPr>
        <w:t>= 0</w:t>
      </w:r>
      <w:r>
        <w:rPr>
          <w:rFonts w:cs="CMMI10" w:ascii="CMMI10" w:hAnsi="CMMI10"/>
          <w:color w:val="000000"/>
          <w:sz w:val="22"/>
          <w:szCs w:val="22"/>
        </w:rPr>
        <w:t xml:space="preserve">; </w:t>
      </w:r>
      <w:r>
        <w:rPr>
          <w:rFonts w:eastAsia="CMR10" w:cs="CMR10" w:ascii="CMR10" w:hAnsi="CMR10"/>
          <w:color w:val="000000"/>
          <w:sz w:val="22"/>
          <w:szCs w:val="22"/>
        </w:rPr>
        <w:t>1</w:t>
      </w:r>
      <w:r>
        <w:rPr>
          <w:rFonts w:cs="SFRM1000" w:ascii="SFRM1000" w:hAnsi="SFRM1000"/>
          <w:color w:val="000000"/>
          <w:sz w:val="22"/>
          <w:szCs w:val="22"/>
        </w:rPr>
        <w: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As in the original Wigner’s friend Gedankenexperiment,</w:t>
      </w:r>
    </w:p>
    <w:p>
      <w:pPr>
        <w:pStyle w:val="Normal"/>
        <w:spacing w:before="0" w:after="0"/>
        <w:contextualSpacing/>
        <w:jc w:val="left"/>
        <w:rPr/>
      </w:pPr>
      <w:r>
        <w:rPr>
          <w:rFonts w:cs="SFRM1000" w:ascii="SFRM1000" w:hAnsi="SFRM1000"/>
          <w:color w:val="000000"/>
          <w:sz w:val="22"/>
          <w:szCs w:val="22"/>
        </w:rPr>
        <w:t xml:space="preserve">the facts </w:t>
      </w:r>
      <w:r>
        <w:rPr>
          <w:rFonts w:cs="CMMI10" w:ascii="CMMI10" w:hAnsi="CMMI10"/>
          <w:color w:val="000000"/>
          <w:sz w:val="22"/>
          <w:szCs w:val="22"/>
        </w:rPr>
        <w:t>A</w:t>
      </w:r>
      <w:r>
        <w:rPr>
          <w:rFonts w:cs="CMR7" w:ascii="CMR7" w:hAnsi="CMR7"/>
          <w:color w:val="000000"/>
          <w:sz w:val="22"/>
          <w:szCs w:val="22"/>
        </w:rPr>
        <w:t>1</w:t>
      </w:r>
      <w:r>
        <w:rPr>
          <w:rFonts w:cs="CMMI10" w:ascii="CMMI10" w:hAnsi="CMMI10"/>
          <w:color w:val="000000"/>
          <w:sz w:val="22"/>
          <w:szCs w:val="22"/>
        </w:rPr>
        <w:t>;B</w:t>
      </w:r>
      <w:r>
        <w:rPr>
          <w:rFonts w:cs="CMR7" w:ascii="CMR7" w:hAnsi="CMR7"/>
          <w:color w:val="000000"/>
          <w:sz w:val="22"/>
          <w:szCs w:val="22"/>
        </w:rPr>
        <w:t xml:space="preserve">1 </w:t>
      </w:r>
      <w:r>
        <w:rPr>
          <w:rFonts w:cs="SFRM1000" w:ascii="SFRM1000" w:hAnsi="SFRM1000"/>
          <w:color w:val="000000"/>
          <w:sz w:val="22"/>
          <w:szCs w:val="22"/>
        </w:rPr>
        <w:t xml:space="preserve">attributed to Alice and Bob and </w:t>
      </w:r>
      <w:r>
        <w:rPr>
          <w:rFonts w:cs="CMMI10" w:ascii="CMMI10" w:hAnsi="CMMI10"/>
          <w:color w:val="000000"/>
          <w:sz w:val="22"/>
          <w:szCs w:val="22"/>
        </w:rPr>
        <w:t>A</w:t>
      </w:r>
      <w:r>
        <w:rPr>
          <w:rFonts w:cs="CMR7" w:ascii="CMR7" w:hAnsi="CMR7"/>
          <w:color w:val="000000"/>
          <w:sz w:val="22"/>
          <w:szCs w:val="22"/>
        </w:rPr>
        <w:t>0</w:t>
      </w:r>
      <w:r>
        <w:rPr>
          <w:rFonts w:cs="CMMI10" w:ascii="CMMI10" w:hAnsi="CMMI10"/>
          <w:color w:val="000000"/>
          <w:sz w:val="22"/>
          <w:szCs w:val="22"/>
        </w:rPr>
        <w:t>;B</w:t>
      </w:r>
      <w:r>
        <w:rPr>
          <w:rFonts w:cs="CMR7" w:ascii="CMR7" w:hAnsi="CMR7"/>
          <w:color w:val="000000"/>
          <w:sz w:val="22"/>
          <w:szCs w:val="22"/>
        </w:rPr>
        <w:t>0</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attributed to their friends’ measurements may be inconsistent.</w:t>
      </w:r>
    </w:p>
    <w:p>
      <w:pPr>
        <w:pStyle w:val="Normal"/>
        <w:spacing w:before="0" w:after="0"/>
        <w:contextualSpacing/>
        <w:jc w:val="left"/>
        <w:rPr>
          <w:rFonts w:ascii="SFRM1000" w:hAnsi="SFRM1000" w:cs="SFRM1000"/>
          <w:b/>
          <w:b/>
          <w:sz w:val="22"/>
          <w:szCs w:val="22"/>
        </w:rPr>
      </w:pPr>
      <w:r>
        <w:rPr>
          <w:rFonts w:cs="SFRM1000" w:ascii="SFRM1000" w:hAnsi="SFRM1000"/>
          <w:b/>
          <w:sz w:val="22"/>
          <w:szCs w:val="22"/>
        </w:rPr>
        <w:t>This raises the question whether a more general framework</w:t>
      </w:r>
    </w:p>
    <w:p>
      <w:pPr>
        <w:pStyle w:val="Normal"/>
        <w:spacing w:before="0" w:after="0"/>
        <w:contextualSpacing/>
        <w:jc w:val="left"/>
        <w:rPr>
          <w:rFonts w:ascii="SFRM1000" w:hAnsi="SFRM1000" w:cs="SFRM1000"/>
          <w:b/>
          <w:b/>
          <w:sz w:val="22"/>
          <w:szCs w:val="22"/>
        </w:rPr>
      </w:pPr>
      <w:r>
        <w:rPr>
          <w:rFonts w:cs="SFRM1000" w:ascii="SFRM1000" w:hAnsi="SFRM1000"/>
          <w:b/>
          <w:sz w:val="22"/>
          <w:szCs w:val="22"/>
        </w:rPr>
        <w:t>exists in which all observers can reconcile their</w:t>
      </w:r>
    </w:p>
    <w:p>
      <w:pPr>
        <w:pStyle w:val="Normal"/>
        <w:spacing w:before="0" w:after="0"/>
        <w:contextualSpacing/>
        <w:jc w:val="left"/>
        <w:rPr/>
      </w:pPr>
      <w:r>
        <w:rPr>
          <w:rFonts w:cs="SFRM1000" w:ascii="SFRM1000" w:hAnsi="SFRM1000"/>
          <w:b/>
          <w:sz w:val="22"/>
          <w:szCs w:val="22"/>
        </w:rPr>
        <w:t>recorded facts.</w:t>
      </w:r>
      <w:r>
        <w:rPr>
          <w:rFonts w:cs="SFRM1000" w:ascii="SFRM1000" w:hAnsi="SFRM1000"/>
          <w:sz w:val="22"/>
          <w:szCs w:val="22"/>
        </w:rPr>
        <w:t xml:space="preserve"> </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pPr>
      <w:r>
        <w:rPr>
          <w:rFonts w:cs="SFRM1000" w:ascii="SFRM1000" w:hAnsi="SFRM1000"/>
          <w:sz w:val="22"/>
          <w:szCs w:val="22"/>
        </w:rPr>
        <w:t xml:space="preserve">If this is the case (assumption </w:t>
      </w:r>
      <w:r>
        <w:rPr>
          <w:rFonts w:cs="SFTI1000" w:ascii="SFTI1000" w:hAnsi="SFTI1000"/>
          <w:sz w:val="22"/>
          <w:szCs w:val="22"/>
        </w:rPr>
        <w:t>O</w:t>
      </w:r>
      <w:r>
        <w:rPr>
          <w:rFonts w:cs="SFRM1000" w:ascii="SFRM1000" w:hAnsi="SFRM1000"/>
          <w:sz w:val="22"/>
          <w:szCs w:val="22"/>
        </w:rPr>
        <w:t>,</w:t>
      </w:r>
    </w:p>
    <w:p>
      <w:pPr>
        <w:pStyle w:val="Normal"/>
        <w:spacing w:before="0" w:after="0"/>
        <w:contextualSpacing/>
        <w:jc w:val="left"/>
        <w:rPr/>
      </w:pPr>
      <w:r>
        <w:rPr>
          <w:rFonts w:cs="SFTI1000" w:ascii="SFTI1000" w:hAnsi="SFTI1000"/>
          <w:sz w:val="22"/>
          <w:szCs w:val="22"/>
        </w:rPr>
        <w:t>observer-independent facts</w:t>
      </w:r>
      <w:r>
        <w:rPr>
          <w:rFonts w:cs="SFRM1000" w:ascii="SFRM1000" w:hAnsi="SFRM1000"/>
          <w:sz w:val="22"/>
          <w:szCs w:val="22"/>
        </w:rPr>
        <w:t>, stating that a record or piece</w:t>
      </w:r>
    </w:p>
    <w:p>
      <w:pPr>
        <w:pStyle w:val="Normal"/>
        <w:spacing w:before="0" w:after="0"/>
        <w:contextualSpacing/>
        <w:jc w:val="left"/>
        <w:rPr>
          <w:rFonts w:ascii="SFRM1000" w:hAnsi="SFRM1000" w:cs="SFRM1000"/>
          <w:sz w:val="22"/>
          <w:szCs w:val="22"/>
        </w:rPr>
      </w:pPr>
      <w:r>
        <w:rPr>
          <w:rFonts w:cs="SFRM1000" w:ascii="SFRM1000" w:hAnsi="SFRM1000"/>
          <w:sz w:val="22"/>
          <w:szCs w:val="22"/>
        </w:rPr>
        <w:t>of information obtained from a measurement should be a</w:t>
      </w:r>
    </w:p>
    <w:p>
      <w:pPr>
        <w:pStyle w:val="Normal"/>
        <w:spacing w:before="0" w:after="0"/>
        <w:contextualSpacing/>
        <w:jc w:val="left"/>
        <w:rPr>
          <w:rFonts w:ascii="SFRM1000" w:hAnsi="SFRM1000" w:cs="SFRM1000"/>
          <w:sz w:val="22"/>
          <w:szCs w:val="22"/>
        </w:rPr>
      </w:pPr>
      <w:r>
        <w:rPr>
          <w:rFonts w:cs="SFRM1000" w:ascii="SFRM1000" w:hAnsi="SFRM1000"/>
          <w:sz w:val="22"/>
          <w:szCs w:val="22"/>
        </w:rPr>
        <w:t>“</w:t>
      </w:r>
      <w:r>
        <w:rPr>
          <w:rFonts w:cs="SFRM1000" w:ascii="SFRM1000" w:hAnsi="SFRM1000"/>
          <w:sz w:val="22"/>
          <w:szCs w:val="22"/>
        </w:rPr>
        <w:t>fact of the world” that all observers can agree on), and</w:t>
      </w:r>
    </w:p>
    <w:p>
      <w:pPr>
        <w:pStyle w:val="Normal"/>
        <w:spacing w:before="0" w:after="0"/>
        <w:contextualSpacing/>
        <w:jc w:val="left"/>
        <w:rPr>
          <w:rFonts w:ascii="SFRM1000" w:hAnsi="SFRM1000" w:cs="SFRM1000"/>
          <w:sz w:val="22"/>
          <w:szCs w:val="22"/>
        </w:rPr>
      </w:pPr>
      <w:r>
        <w:rPr>
          <w:rFonts w:cs="SFRM1000" w:ascii="SFRM1000" w:hAnsi="SFRM1000"/>
          <w:sz w:val="22"/>
          <w:szCs w:val="22"/>
        </w:rPr>
        <w:t>under the additional assumptions that Alice and Bob can</w:t>
      </w:r>
    </w:p>
    <w:p>
      <w:pPr>
        <w:pStyle w:val="Normal"/>
        <w:spacing w:before="0" w:after="0"/>
        <w:contextualSpacing/>
        <w:jc w:val="left"/>
        <w:rPr/>
      </w:pPr>
      <w:r>
        <w:rPr>
          <w:rFonts w:cs="SFRM1000" w:ascii="SFRM1000" w:hAnsi="SFRM1000"/>
          <w:sz w:val="22"/>
          <w:szCs w:val="22"/>
        </w:rPr>
        <w:t xml:space="preserve">freely choose their measurements </w:t>
      </w:r>
      <w:r>
        <w:rPr>
          <w:rFonts w:cs="CMMI10" w:ascii="CMMI10" w:hAnsi="CMMI10"/>
          <w:sz w:val="22"/>
          <w:szCs w:val="22"/>
        </w:rPr>
        <w:t>A</w:t>
      </w:r>
      <w:r>
        <w:rPr>
          <w:rFonts w:cs="CMR7" w:ascii="CMR7" w:hAnsi="CMR7"/>
          <w:sz w:val="22"/>
          <w:szCs w:val="22"/>
        </w:rPr>
        <w:t>0</w:t>
      </w:r>
      <w:r>
        <w:rPr>
          <w:rFonts w:cs="CMMI10" w:ascii="CMMI10" w:hAnsi="CMMI10"/>
          <w:sz w:val="22"/>
          <w:szCs w:val="22"/>
        </w:rPr>
        <w:t>;A</w:t>
      </w:r>
      <w:r>
        <w:rPr>
          <w:rFonts w:cs="CMR7" w:ascii="CMR7" w:hAnsi="CMR7"/>
          <w:sz w:val="22"/>
          <w:szCs w:val="22"/>
        </w:rPr>
        <w:t xml:space="preserve">1 </w:t>
      </w:r>
      <w:r>
        <w:rPr>
          <w:rFonts w:cs="SFRM1000" w:ascii="SFRM1000" w:hAnsi="SFRM1000"/>
          <w:sz w:val="22"/>
          <w:szCs w:val="22"/>
        </w:rPr>
        <w:t xml:space="preserve">and </w:t>
      </w:r>
      <w:r>
        <w:rPr>
          <w:rFonts w:cs="CMMI10" w:ascii="CMMI10" w:hAnsi="CMMI10"/>
          <w:sz w:val="22"/>
          <w:szCs w:val="22"/>
        </w:rPr>
        <w:t>B</w:t>
      </w:r>
      <w:r>
        <w:rPr>
          <w:rFonts w:cs="CMR7" w:ascii="CMR7" w:hAnsi="CMR7"/>
          <w:sz w:val="22"/>
          <w:szCs w:val="22"/>
        </w:rPr>
        <w:t>0</w:t>
      </w:r>
      <w:r>
        <w:rPr>
          <w:rFonts w:cs="CMMI10" w:ascii="CMMI10" w:hAnsi="CMMI10"/>
          <w:sz w:val="22"/>
          <w:szCs w:val="22"/>
        </w:rPr>
        <w:t>;B</w:t>
      </w:r>
      <w:r>
        <w:rPr>
          <w:rFonts w:cs="CMR7" w:ascii="CMR7" w:hAnsi="CMR7"/>
          <w:sz w:val="22"/>
          <w:szCs w:val="22"/>
        </w:rPr>
        <w:t xml:space="preserve">1 </w:t>
      </w:r>
      <w:r>
        <w:rPr>
          <w:rFonts w:cs="SFRM1000" w:ascii="SFRM1000" w:hAnsi="SFRM1000"/>
          <w:sz w:val="22"/>
          <w:szCs w:val="22"/>
        </w:rPr>
        <w:t>(assumption</w:t>
      </w:r>
    </w:p>
    <w:p>
      <w:pPr>
        <w:pStyle w:val="Normal"/>
        <w:spacing w:before="0" w:after="0"/>
        <w:contextualSpacing/>
        <w:jc w:val="left"/>
        <w:rPr/>
      </w:pPr>
      <w:r>
        <w:rPr>
          <w:rFonts w:cs="SFRM1000" w:ascii="SFRM1000" w:hAnsi="SFRM1000"/>
          <w:sz w:val="22"/>
          <w:szCs w:val="22"/>
        </w:rPr>
        <w:t xml:space="preserve">F, </w:t>
      </w:r>
      <w:r>
        <w:rPr>
          <w:rFonts w:cs="SFTI1000" w:ascii="SFTI1000" w:hAnsi="SFTI1000"/>
          <w:sz w:val="22"/>
          <w:szCs w:val="22"/>
        </w:rPr>
        <w:t>free-choice</w:t>
      </w:r>
      <w:r>
        <w:rPr>
          <w:rFonts w:cs="SFRM1000" w:ascii="SFRM1000" w:hAnsi="SFRM1000"/>
          <w:sz w:val="22"/>
          <w:szCs w:val="22"/>
        </w:rPr>
        <w:t xml:space="preserve">), and that their choices do not </w:t>
      </w:r>
      <w:r>
        <w:rPr>
          <w:rFonts w:cs="SFRM1000" w:ascii="SFRM1000" w:hAnsi="SFRM1000"/>
          <w:color w:val="000000"/>
          <w:sz w:val="22"/>
          <w:szCs w:val="22"/>
        </w:rPr>
        <w:t xml:space="preserve">influence each others outcome (assumption L, </w:t>
      </w:r>
      <w:r>
        <w:rPr>
          <w:rFonts w:cs="SFTI1000" w:ascii="SFTI1000" w:hAnsi="SFTI1000"/>
          <w:color w:val="000000"/>
          <w:sz w:val="22"/>
          <w:szCs w:val="22"/>
        </w:rPr>
        <w:t>locality</w:t>
      </w:r>
      <w:r>
        <w:rPr>
          <w:rFonts w:cs="SFRM1000" w:ascii="SFRM1000" w:hAnsi="SFRM1000"/>
          <w:color w:val="000000"/>
          <w:sz w:val="22"/>
          <w:szCs w:val="22"/>
        </w:rPr>
        <w: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then it should be possible to construct a single probability</w:t>
      </w:r>
    </w:p>
    <w:p>
      <w:pPr>
        <w:pStyle w:val="Normal"/>
        <w:spacing w:before="0" w:after="0"/>
        <w:contextualSpacing/>
        <w:jc w:val="left"/>
        <w:rPr/>
      </w:pPr>
      <w:r>
        <w:rPr>
          <w:rFonts w:cs="SFRM1000" w:ascii="SFRM1000" w:hAnsi="SFRM1000"/>
          <w:color w:val="000000"/>
          <w:sz w:val="22"/>
          <w:szCs w:val="22"/>
        </w:rPr>
        <w:t xml:space="preserve">distribution </w:t>
      </w:r>
      <w:r>
        <w:rPr>
          <w:rFonts w:cs="CMMI10" w:ascii="CMMI10" w:hAnsi="CMMI10"/>
          <w:color w:val="000000"/>
          <w:sz w:val="22"/>
          <w:szCs w:val="22"/>
        </w:rPr>
        <w:t>P</w:t>
      </w:r>
      <w:r>
        <w:rPr>
          <w:rFonts w:eastAsia="CMR10" w:cs="CMR10" w:ascii="CMR10" w:hAnsi="CMR10"/>
          <w:color w:val="000000"/>
          <w:sz w:val="22"/>
          <w:szCs w:val="22"/>
        </w:rPr>
        <w:t>(</w:t>
      </w:r>
      <w:r>
        <w:rPr>
          <w:rFonts w:cs="CMMI10" w:ascii="CMMI10" w:hAnsi="CMMI10"/>
          <w:color w:val="000000"/>
          <w:sz w:val="22"/>
          <w:szCs w:val="22"/>
        </w:rPr>
        <w:t>A</w:t>
      </w:r>
      <w:r>
        <w:rPr>
          <w:rFonts w:cs="CMR7" w:ascii="CMR7" w:hAnsi="CMR7"/>
          <w:color w:val="000000"/>
          <w:sz w:val="22"/>
          <w:szCs w:val="22"/>
        </w:rPr>
        <w:t>0</w:t>
      </w:r>
      <w:r>
        <w:rPr>
          <w:rFonts w:cs="CMMI10" w:ascii="CMMI10" w:hAnsi="CMMI10"/>
          <w:color w:val="000000"/>
          <w:sz w:val="22"/>
          <w:szCs w:val="22"/>
        </w:rPr>
        <w:t>;A</w:t>
      </w:r>
      <w:r>
        <w:rPr>
          <w:rFonts w:cs="CMR7" w:ascii="CMR7" w:hAnsi="CMR7"/>
          <w:color w:val="000000"/>
          <w:sz w:val="22"/>
          <w:szCs w:val="22"/>
        </w:rPr>
        <w:t>1</w:t>
      </w:r>
      <w:r>
        <w:rPr>
          <w:rFonts w:cs="CMMI10" w:ascii="CMMI10" w:hAnsi="CMMI10"/>
          <w:color w:val="000000"/>
          <w:sz w:val="22"/>
          <w:szCs w:val="22"/>
        </w:rPr>
        <w:t>;B</w:t>
      </w:r>
      <w:r>
        <w:rPr>
          <w:rFonts w:cs="CMR7" w:ascii="CMR7" w:hAnsi="CMR7"/>
          <w:color w:val="000000"/>
          <w:sz w:val="22"/>
          <w:szCs w:val="22"/>
        </w:rPr>
        <w:t>0</w:t>
      </w:r>
      <w:r>
        <w:rPr>
          <w:rFonts w:cs="CMMI10" w:ascii="CMMI10" w:hAnsi="CMMI10"/>
          <w:color w:val="000000"/>
          <w:sz w:val="22"/>
          <w:szCs w:val="22"/>
        </w:rPr>
        <w:t>;B</w:t>
      </w:r>
      <w:r>
        <w:rPr>
          <w:rFonts w:cs="CMR7" w:ascii="CMR7" w:hAnsi="CMR7"/>
          <w:color w:val="000000"/>
          <w:sz w:val="22"/>
          <w:szCs w:val="22"/>
        </w:rPr>
        <w:t>1</w:t>
      </w:r>
      <w:r>
        <w:rPr>
          <w:rFonts w:eastAsia="CMR10" w:cs="CMR10" w:ascii="CMR10" w:hAnsi="CMR10"/>
          <w:color w:val="000000"/>
          <w:sz w:val="22"/>
          <w:szCs w:val="22"/>
        </w:rPr>
        <w:t xml:space="preserve">) </w:t>
      </w:r>
      <w:r>
        <w:rPr>
          <w:rFonts w:cs="SFRM1000" w:ascii="SFRM1000" w:hAnsi="SFRM1000"/>
          <w:color w:val="000000"/>
          <w:sz w:val="22"/>
          <w:szCs w:val="22"/>
        </w:rPr>
        <w:t>for the four individual</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facts under consideration, whose marginals match the</w:t>
      </w:r>
    </w:p>
    <w:p>
      <w:pPr>
        <w:pStyle w:val="Normal"/>
        <w:spacing w:before="0" w:after="0"/>
        <w:contextualSpacing/>
        <w:jc w:val="left"/>
        <w:rPr/>
      </w:pPr>
      <w:r>
        <w:rPr>
          <w:rFonts w:cs="SFRM1000" w:ascii="SFRM1000" w:hAnsi="SFRM1000"/>
          <w:color w:val="000000"/>
          <w:sz w:val="22"/>
          <w:szCs w:val="22"/>
        </w:rPr>
        <w:t xml:space="preserve">probabilities </w:t>
      </w:r>
      <w:r>
        <w:rPr>
          <w:rFonts w:cs="CMMI10" w:ascii="CMMI10" w:hAnsi="CMMI10"/>
          <w:color w:val="000000"/>
          <w:sz w:val="22"/>
          <w:szCs w:val="22"/>
        </w:rPr>
        <w:t>P</w:t>
      </w:r>
      <w:r>
        <w:rPr>
          <w:rFonts w:eastAsia="CMR10" w:cs="CMR10" w:ascii="CMR10" w:hAnsi="CMR10"/>
          <w:color w:val="000000"/>
          <w:sz w:val="22"/>
          <w:szCs w:val="22"/>
        </w:rPr>
        <w:t>(</w:t>
      </w:r>
      <w:r>
        <w:rPr>
          <w:rFonts w:cs="CMMI10" w:ascii="CMMI10" w:hAnsi="CMMI10"/>
          <w:color w:val="000000"/>
          <w:sz w:val="22"/>
          <w:szCs w:val="22"/>
        </w:rPr>
        <w:t>A</w:t>
      </w:r>
      <w:r>
        <w:rPr>
          <w:rFonts w:cs="CMMI7" w:ascii="CMMI7" w:hAnsi="CMMI7"/>
          <w:color w:val="000000"/>
          <w:sz w:val="22"/>
          <w:szCs w:val="22"/>
        </w:rPr>
        <w:t>x</w:t>
      </w:r>
      <w:r>
        <w:rPr>
          <w:rFonts w:cs="CMMI10" w:ascii="CMMI10" w:hAnsi="CMMI10"/>
          <w:color w:val="000000"/>
          <w:sz w:val="22"/>
          <w:szCs w:val="22"/>
        </w:rPr>
        <w:t>;B</w:t>
      </w:r>
      <w:r>
        <w:rPr>
          <w:rFonts w:cs="CMMI7" w:ascii="CMMI7" w:hAnsi="CMMI7"/>
          <w:color w:val="000000"/>
          <w:sz w:val="22"/>
          <w:szCs w:val="22"/>
        </w:rPr>
        <w:t>y</w:t>
      </w:r>
      <w:r>
        <w:rPr>
          <w:rFonts w:eastAsia="CMR10" w:cs="CMR10" w:ascii="CMR10" w:hAnsi="CMR10"/>
          <w:color w:val="000000"/>
          <w:sz w:val="22"/>
          <w:szCs w:val="22"/>
        </w:rPr>
        <w:t xml:space="preserve">) </w:t>
      </w:r>
      <w:r>
        <w:rPr>
          <w:rFonts w:cs="SFRM1000" w:ascii="SFRM1000" w:hAnsi="SFRM1000"/>
          <w:color w:val="000000"/>
          <w:sz w:val="22"/>
          <w:szCs w:val="22"/>
        </w:rPr>
        <w:t>[</w:t>
      </w:r>
      <w:r>
        <w:rPr>
          <w:rFonts w:cs="SFRM1000" w:ascii="SFRM1000" w:hAnsi="SFRM1000"/>
          <w:color w:val="0000FF"/>
          <w:sz w:val="22"/>
          <w:szCs w:val="22"/>
        </w:rPr>
        <w:t>3</w:t>
      </w:r>
      <w:r>
        <w:rPr>
          <w:rFonts w:cs="SFRM1000" w:ascii="SFRM1000" w:hAnsi="SFRM1000"/>
          <w:color w:val="000000"/>
          <w:sz w:val="22"/>
          <w:szCs w:val="22"/>
        </w:rPr>
        <w:t xml:space="preserve">, </w:t>
      </w:r>
      <w:r>
        <w:rPr>
          <w:rFonts w:cs="SFRM1000" w:ascii="SFRM1000" w:hAnsi="SFRM1000"/>
          <w:color w:val="0000FF"/>
          <w:sz w:val="22"/>
          <w:szCs w:val="22"/>
        </w:rPr>
        <w:t>4</w:t>
      </w:r>
      <w:r>
        <w:rPr>
          <w:rFonts w:cs="SFRM1000" w:ascii="SFRM1000" w:hAnsi="SFRM1000"/>
          <w:color w:val="000000"/>
          <w:sz w:val="22"/>
          <w:szCs w:val="22"/>
        </w:rPr>
        <w:t xml:space="preserve">]. (p. 2)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pPr>
      <w:r>
        <w:rPr>
          <w:rFonts w:cs="SFRM1000" w:ascii="SFRM1000" w:hAnsi="SFRM1000"/>
          <w:color w:val="000000"/>
          <w:sz w:val="22"/>
          <w:szCs w:val="22"/>
        </w:rPr>
        <w:t>In contrast to standard Bell inequalities, Eq. (</w:t>
      </w:r>
      <w:r>
        <w:rPr>
          <w:rFonts w:cs="SFRM1000" w:ascii="SFRM1000" w:hAnsi="SFRM1000"/>
          <w:color w:val="FF0000"/>
          <w:sz w:val="22"/>
          <w:szCs w:val="22"/>
        </w:rPr>
        <w:t>2</w:t>
      </w:r>
      <w:r>
        <w:rPr>
          <w:rFonts w:cs="SFRM1000" w:ascii="SFRM1000" w:hAnsi="SFRM1000"/>
          <w:color w:val="000000"/>
          <w:sz w:val="22"/>
          <w:szCs w:val="22"/>
        </w:rPr>
        <w:t>) is not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concerned with the coexistence of local properties for two</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separate physical systems, but rather with the coexistence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 xml:space="preserve">of facts with respect to different observers. (p. 2)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[This mean clearly EDWs!!!]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pPr>
      <w:r>
        <w:rPr>
          <w:rFonts w:cs="SFRM1000" w:ascii="SFRM1000" w:hAnsi="SFRM1000"/>
          <w:color w:val="000000"/>
          <w:sz w:val="22"/>
          <w:szCs w:val="22"/>
        </w:rPr>
        <w:t>As shown in Refs. [</w:t>
      </w:r>
      <w:r>
        <w:rPr>
          <w:rFonts w:cs="SFRM1000" w:ascii="SFRM1000" w:hAnsi="SFRM1000"/>
          <w:color w:val="0000FF"/>
          <w:sz w:val="22"/>
          <w:szCs w:val="22"/>
        </w:rPr>
        <w:t>3</w:t>
      </w:r>
      <w:r>
        <w:rPr>
          <w:rFonts w:cs="SFRM1000" w:ascii="SFRM1000" w:hAnsi="SFRM1000"/>
          <w:color w:val="000000"/>
          <w:sz w:val="22"/>
          <w:szCs w:val="22"/>
        </w:rPr>
        <w:t xml:space="preserve">, </w:t>
      </w:r>
      <w:r>
        <w:rPr>
          <w:rFonts w:cs="SFRM1000" w:ascii="SFRM1000" w:hAnsi="SFRM1000"/>
          <w:color w:val="0000FF"/>
          <w:sz w:val="22"/>
          <w:szCs w:val="22"/>
        </w:rPr>
        <w:t>4</w:t>
      </w:r>
      <w:r>
        <w:rPr>
          <w:rFonts w:cs="SFRM1000" w:ascii="SFRM1000" w:hAnsi="SFRM1000"/>
          <w:color w:val="000000"/>
          <w:sz w:val="22"/>
          <w:szCs w:val="22"/>
        </w:rPr>
        <w:t>], a violation of the inequality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above is however possible in a physical world described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by quantum theory. Such a violation would demonstrate</w:t>
      </w:r>
    </w:p>
    <w:p>
      <w:pPr>
        <w:pStyle w:val="Normal"/>
        <w:spacing w:before="0" w:after="0"/>
        <w:contextualSpacing/>
        <w:jc w:val="left"/>
        <w:rPr/>
      </w:pPr>
      <w:r>
        <w:rPr>
          <w:rFonts w:cs="SFRM1000" w:ascii="SFRM1000" w:hAnsi="SFRM1000"/>
          <w:color w:val="000000"/>
          <w:sz w:val="22"/>
          <w:szCs w:val="22"/>
        </w:rPr>
        <w:t xml:space="preserve">that the joint probability distribution </w:t>
      </w:r>
      <w:r>
        <w:rPr>
          <w:rFonts w:cs="CMMI10" w:ascii="CMMI10" w:hAnsi="CMMI10"/>
          <w:color w:val="000000"/>
          <w:sz w:val="22"/>
          <w:szCs w:val="22"/>
        </w:rPr>
        <w:t>P</w:t>
      </w:r>
      <w:r>
        <w:rPr>
          <w:rFonts w:eastAsia="CMR10" w:cs="CMR10" w:ascii="CMR10" w:hAnsi="CMR10"/>
          <w:color w:val="000000"/>
          <w:sz w:val="22"/>
          <w:szCs w:val="22"/>
        </w:rPr>
        <w:t>(</w:t>
      </w:r>
      <w:r>
        <w:rPr>
          <w:rFonts w:cs="CMMI10" w:ascii="CMMI10" w:hAnsi="CMMI10"/>
          <w:color w:val="000000"/>
          <w:sz w:val="22"/>
          <w:szCs w:val="22"/>
        </w:rPr>
        <w:t>A</w:t>
      </w:r>
      <w:r>
        <w:rPr>
          <w:rFonts w:cs="CMR7" w:ascii="CMR7" w:hAnsi="CMR7"/>
          <w:color w:val="000000"/>
          <w:sz w:val="22"/>
          <w:szCs w:val="22"/>
        </w:rPr>
        <w:t>0</w:t>
      </w:r>
      <w:r>
        <w:rPr>
          <w:rFonts w:cs="CMMI10" w:ascii="CMMI10" w:hAnsi="CMMI10"/>
          <w:color w:val="000000"/>
          <w:sz w:val="22"/>
          <w:szCs w:val="22"/>
        </w:rPr>
        <w:t>;A</w:t>
      </w:r>
      <w:r>
        <w:rPr>
          <w:rFonts w:cs="CMR7" w:ascii="CMR7" w:hAnsi="CMR7"/>
          <w:color w:val="000000"/>
          <w:sz w:val="22"/>
          <w:szCs w:val="22"/>
        </w:rPr>
        <w:t>1</w:t>
      </w:r>
      <w:r>
        <w:rPr>
          <w:rFonts w:cs="CMMI10" w:ascii="CMMI10" w:hAnsi="CMMI10"/>
          <w:color w:val="000000"/>
          <w:sz w:val="22"/>
          <w:szCs w:val="22"/>
        </w:rPr>
        <w:t>;B</w:t>
      </w:r>
      <w:r>
        <w:rPr>
          <w:rFonts w:cs="CMR7" w:ascii="CMR7" w:hAnsi="CMR7"/>
          <w:color w:val="000000"/>
          <w:sz w:val="22"/>
          <w:szCs w:val="22"/>
        </w:rPr>
        <w:t>0</w:t>
      </w:r>
      <w:r>
        <w:rPr>
          <w:rFonts w:cs="CMMI10" w:ascii="CMMI10" w:hAnsi="CMMI10"/>
          <w:color w:val="000000"/>
          <w:sz w:val="22"/>
          <w:szCs w:val="22"/>
        </w:rPr>
        <w:t>;B</w:t>
      </w:r>
      <w:r>
        <w:rPr>
          <w:rFonts w:cs="CMR7" w:ascii="CMR7" w:hAnsi="CMR7"/>
          <w:color w:val="000000"/>
          <w:sz w:val="22"/>
          <w:szCs w:val="22"/>
        </w:rPr>
        <w:t>1</w:t>
      </w:r>
      <w:r>
        <w:rPr>
          <w:rFonts w:eastAsia="CMR10" w:cs="CMR10" w:ascii="CMR10" w:hAnsi="CMR10"/>
          <w:color w:val="000000"/>
          <w:sz w:val="22"/>
          <w:szCs w:val="22"/>
        </w:rPr>
        <w: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is incompatible with assumptions F, L, and O. Therefore,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if we accept F and L, it follows that the pieces of information</w:t>
      </w:r>
    </w:p>
    <w:p>
      <w:pPr>
        <w:pStyle w:val="Normal"/>
        <w:spacing w:before="0" w:after="0"/>
        <w:contextualSpacing/>
        <w:jc w:val="left"/>
        <w:rPr/>
      </w:pPr>
      <w:r>
        <w:rPr>
          <w:rFonts w:cs="SFRM1000" w:ascii="SFRM1000" w:hAnsi="SFRM1000"/>
          <w:b/>
          <w:color w:val="000000"/>
          <w:sz w:val="22"/>
          <w:szCs w:val="22"/>
        </w:rPr>
        <w:t>corresponding</w:t>
      </w:r>
      <w:r>
        <w:rPr>
          <w:rFonts w:cs="SFRM1000" w:ascii="SFRM1000" w:hAnsi="SFRM1000"/>
          <w:color w:val="000000"/>
          <w:sz w:val="22"/>
          <w:szCs w:val="22"/>
        </w:rPr>
        <w:t xml:space="preserve"> to facts established by Alice, Bob</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and their friends cannot coexist within a single, observerindependent</w:t>
      </w:r>
    </w:p>
    <w:p>
      <w:pPr>
        <w:pStyle w:val="Normal"/>
        <w:spacing w:before="0" w:after="0"/>
        <w:contextualSpacing/>
        <w:jc w:val="left"/>
        <w:rPr/>
      </w:pPr>
      <w:r>
        <w:rPr>
          <w:rFonts w:cs="SFRM1000" w:ascii="SFRM1000" w:hAnsi="SFRM1000"/>
          <w:color w:val="000000"/>
          <w:sz w:val="22"/>
          <w:szCs w:val="22"/>
        </w:rPr>
        <w:t>framework [</w:t>
      </w:r>
      <w:r>
        <w:rPr>
          <w:rFonts w:cs="SFRM1000" w:ascii="SFRM1000" w:hAnsi="SFRM1000"/>
          <w:color w:val="0000FF"/>
          <w:sz w:val="22"/>
          <w:szCs w:val="22"/>
        </w:rPr>
        <w:t>3</w:t>
      </w:r>
      <w:r>
        <w:rPr>
          <w:rFonts w:cs="SFRM1000" w:ascii="SFRM1000" w:hAnsi="SFRM1000"/>
          <w:color w:val="000000"/>
          <w:sz w:val="22"/>
          <w:szCs w:val="22"/>
        </w:rPr>
        <w:t xml:space="preserve">, </w:t>
      </w:r>
      <w:r>
        <w:rPr>
          <w:rFonts w:cs="SFRM1000" w:ascii="SFRM1000" w:hAnsi="SFRM1000"/>
          <w:color w:val="0000FF"/>
          <w:sz w:val="22"/>
          <w:szCs w:val="22"/>
        </w:rPr>
        <w:t>4</w:t>
      </w:r>
      <w:r>
        <w:rPr>
          <w:rFonts w:cs="SFRM1000" w:ascii="SFRM1000" w:hAnsi="SFRM1000"/>
          <w:color w:val="000000"/>
          <w:sz w:val="22"/>
          <w:szCs w:val="22"/>
        </w:rPr>
        <w:t xml:space="preserve">].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pPr>
      <w:r>
        <w:rPr>
          <w:rFonts w:cs="SFRM1000" w:ascii="SFRM1000" w:hAnsi="SFRM1000"/>
          <w:color w:val="FF0000"/>
          <w:sz w:val="22"/>
          <w:szCs w:val="22"/>
        </w:rPr>
        <w:t xml:space="preserve">[Corresponding is the main notion in my EDWs perspective! This idea involves, of course, the rejection of the “world” and its replacement with </w:t>
      </w:r>
      <w:r>
        <w:rPr>
          <w:rFonts w:cs="SFRM1000" w:ascii="SFRM1000" w:hAnsi="SFRM1000"/>
          <w:sz w:val="22"/>
          <w:szCs w:val="22"/>
        </w:rPr>
        <w:t>ob</w:t>
      </w:r>
      <w:r>
        <w:rPr>
          <w:rFonts w:cs="SFRM1000" w:ascii="SFRM1000" w:hAnsi="SFRM1000"/>
          <w:color w:val="000000"/>
          <w:sz w:val="22"/>
          <w:szCs w:val="22"/>
        </w:rPr>
        <w:t>jective</w:t>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it with EDWs!!!]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Notably this is the case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even though Alice and Bob can acknowledge the occurrence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of a definite outcome in their friend’s closed laboratory.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We note that, although Bell’s mathematical machinery</w:t>
      </w:r>
    </w:p>
    <w:p>
      <w:pPr>
        <w:pStyle w:val="Normal"/>
        <w:spacing w:before="0" w:after="0"/>
        <w:contextualSpacing/>
        <w:jc w:val="left"/>
        <w:rPr/>
      </w:pPr>
      <w:r>
        <w:rPr>
          <w:rFonts w:cs="SFRM1000" w:ascii="SFRM1000" w:hAnsi="SFRM1000"/>
          <w:color w:val="000000"/>
          <w:sz w:val="22"/>
          <w:szCs w:val="22"/>
        </w:rPr>
        <w:t>[</w:t>
      </w:r>
      <w:r>
        <w:rPr>
          <w:rFonts w:cs="SFRM1000" w:ascii="SFRM1000" w:hAnsi="SFRM1000"/>
          <w:color w:val="0000FF"/>
          <w:sz w:val="22"/>
          <w:szCs w:val="22"/>
        </w:rPr>
        <w:t>9</w:t>
      </w:r>
      <w:r>
        <w:rPr>
          <w:rFonts w:cs="SFRM1000" w:ascii="SFRM1000" w:hAnsi="SFRM1000"/>
          <w:color w:val="000000"/>
          <w:sz w:val="22"/>
          <w:szCs w:val="22"/>
        </w:rPr>
        <w:t>] is used to show the result, the set of assumptions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considered here—and therefore the conclusions that</w:t>
      </w:r>
    </w:p>
    <w:p>
      <w:pPr>
        <w:pStyle w:val="Normal"/>
        <w:spacing w:before="0" w:after="0"/>
        <w:contextualSpacing/>
        <w:jc w:val="left"/>
        <w:rPr/>
      </w:pPr>
      <w:r>
        <w:rPr>
          <w:rFonts w:cs="SFRM1000" w:ascii="SFRM1000" w:hAnsi="SFRM1000"/>
          <w:color w:val="000000"/>
          <w:sz w:val="22"/>
          <w:szCs w:val="22"/>
        </w:rPr>
        <w:t>can be drawn from a violation of inequality (</w:t>
      </w:r>
      <w:r>
        <w:rPr>
          <w:rFonts w:cs="SFRM1000" w:ascii="SFRM1000" w:hAnsi="SFRM1000"/>
          <w:color w:val="FF0000"/>
          <w:sz w:val="22"/>
          <w:szCs w:val="22"/>
        </w:rPr>
        <w:t>2</w:t>
      </w:r>
      <w:r>
        <w:rPr>
          <w:rFonts w:cs="SFRM1000" w:ascii="SFRM1000" w:hAnsi="SFRM1000"/>
          <w:color w:val="000000"/>
          <w:sz w:val="22"/>
          <w:szCs w:val="22"/>
        </w:rPr>
        <w:t>)—are different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from those in standard Bell tests.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Before we describe our experiment in which we test</w:t>
      </w:r>
    </w:p>
    <w:p>
      <w:pPr>
        <w:pStyle w:val="Normal"/>
        <w:spacing w:before="0" w:after="0"/>
        <w:contextualSpacing/>
        <w:jc w:val="left"/>
        <w:rPr/>
      </w:pPr>
      <w:r>
        <w:rPr>
          <w:rFonts w:cs="SFRM1000" w:ascii="SFRM1000" w:hAnsi="SFRM1000"/>
          <w:color w:val="000000"/>
          <w:sz w:val="22"/>
          <w:szCs w:val="22"/>
        </w:rPr>
        <w:t>and indeed violate inequality (</w:t>
      </w:r>
      <w:r>
        <w:rPr>
          <w:rFonts w:cs="SFRM1000" w:ascii="SFRM1000" w:hAnsi="SFRM1000"/>
          <w:color w:val="FF0000"/>
          <w:sz w:val="22"/>
          <w:szCs w:val="22"/>
        </w:rPr>
        <w:t>2</w:t>
      </w:r>
      <w:r>
        <w:rPr>
          <w:rFonts w:cs="SFRM1000" w:ascii="SFRM1000" w:hAnsi="SFRM1000"/>
          <w:color w:val="000000"/>
          <w:sz w:val="22"/>
          <w:szCs w:val="22"/>
        </w:rPr>
        <w:t>), let us first clarify our</w:t>
      </w:r>
    </w:p>
    <w:p>
      <w:pPr>
        <w:pStyle w:val="Normal"/>
        <w:spacing w:before="0" w:after="0"/>
        <w:contextualSpacing/>
        <w:jc w:val="left"/>
        <w:rPr/>
      </w:pPr>
      <w:r>
        <w:rPr>
          <w:rFonts w:cs="SFRM1000" w:ascii="SFRM1000" w:hAnsi="SFRM1000"/>
          <w:color w:val="000000"/>
          <w:sz w:val="22"/>
          <w:szCs w:val="22"/>
        </w:rPr>
        <w:t xml:space="preserve">notion of an observer. Formally, an observation is the act  </w:t>
      </w:r>
      <w:r>
        <w:rPr>
          <w:rFonts w:cs="SFRM1000" w:ascii="SFRM1000" w:hAnsi="SFRM1000"/>
          <w:sz w:val="22"/>
          <w:szCs w:val="22"/>
        </w:rPr>
        <w:t>of extracting and storing information about an observed</w:t>
      </w:r>
    </w:p>
    <w:p>
      <w:pPr>
        <w:pStyle w:val="Normal"/>
        <w:spacing w:before="0" w:after="0"/>
        <w:contextualSpacing/>
        <w:jc w:val="left"/>
        <w:rPr/>
      </w:pPr>
      <w:r>
        <w:rPr>
          <w:rFonts w:cs="SFRM1000" w:ascii="SFRM1000" w:hAnsi="SFRM1000"/>
          <w:sz w:val="22"/>
          <w:szCs w:val="22"/>
        </w:rPr>
        <w:t xml:space="preserve">system. Accordingly, </w:t>
      </w:r>
      <w:r>
        <w:rPr>
          <w:rFonts w:cs="SFRM1000" w:ascii="SFRM1000" w:hAnsi="SFRM1000"/>
          <w:b/>
          <w:sz w:val="22"/>
          <w:szCs w:val="22"/>
        </w:rPr>
        <w:t>we define as observer any physical</w:t>
      </w:r>
    </w:p>
    <w:p>
      <w:pPr>
        <w:pStyle w:val="Normal"/>
        <w:spacing w:before="0" w:after="0"/>
        <w:contextualSpacing/>
        <w:jc w:val="left"/>
        <w:rPr>
          <w:rFonts w:ascii="SFRM1000" w:hAnsi="SFRM1000" w:cs="SFRM1000"/>
          <w:b/>
          <w:b/>
          <w:sz w:val="22"/>
          <w:szCs w:val="22"/>
        </w:rPr>
      </w:pPr>
      <w:r>
        <w:rPr>
          <w:rFonts w:cs="SFRM1000" w:ascii="SFRM1000" w:hAnsi="SFRM1000"/>
          <w:b/>
          <w:sz w:val="22"/>
          <w:szCs w:val="22"/>
        </w:rPr>
        <w:t>system that can extract information from another</w:t>
      </w:r>
    </w:p>
    <w:p>
      <w:pPr>
        <w:pStyle w:val="Normal"/>
        <w:spacing w:before="0" w:after="0"/>
        <w:contextualSpacing/>
        <w:jc w:val="left"/>
        <w:rPr/>
      </w:pPr>
      <w:r>
        <w:rPr>
          <w:rFonts w:cs="SFRM1000" w:ascii="SFRM1000" w:hAnsi="SFRM1000"/>
          <w:b/>
          <w:sz w:val="22"/>
          <w:szCs w:val="22"/>
        </w:rPr>
        <w:t>system by means of some interaction</w:t>
      </w:r>
      <w:r>
        <w:rPr>
          <w:rFonts w:cs="SFRM1000" w:ascii="SFRM1000" w:hAnsi="SFRM1000"/>
          <w:sz w:val="22"/>
          <w:szCs w:val="22"/>
        </w:rPr>
        <w:t>, and store that information</w:t>
      </w:r>
    </w:p>
    <w:p>
      <w:pPr>
        <w:pStyle w:val="Normal"/>
        <w:spacing w:before="0" w:after="0"/>
        <w:contextualSpacing/>
        <w:jc w:val="left"/>
        <w:rPr>
          <w:rFonts w:ascii="SFRM1000" w:hAnsi="SFRM1000" w:cs="SFRM1000"/>
          <w:sz w:val="22"/>
          <w:szCs w:val="22"/>
        </w:rPr>
      </w:pPr>
      <w:r>
        <w:rPr>
          <w:rFonts w:cs="SFRM1000" w:ascii="SFRM1000" w:hAnsi="SFRM1000"/>
          <w:sz w:val="22"/>
          <w:szCs w:val="22"/>
        </w:rPr>
        <w:t>in a physical memory. Such an observer can</w:t>
      </w:r>
    </w:p>
    <w:p>
      <w:pPr>
        <w:pStyle w:val="Normal"/>
        <w:spacing w:before="0" w:after="0"/>
        <w:contextualSpacing/>
        <w:jc w:val="left"/>
        <w:rPr>
          <w:rFonts w:ascii="SFRM1000" w:hAnsi="SFRM1000" w:cs="SFRM1000"/>
          <w:sz w:val="22"/>
          <w:szCs w:val="22"/>
        </w:rPr>
      </w:pPr>
      <w:r>
        <w:rPr>
          <w:rFonts w:cs="SFRM1000" w:ascii="SFRM1000" w:hAnsi="SFRM1000"/>
          <w:sz w:val="22"/>
          <w:szCs w:val="22"/>
        </w:rPr>
        <w:t>establish “facts”, to which we assign the value recorded in</w:t>
      </w:r>
    </w:p>
    <w:p>
      <w:pPr>
        <w:pStyle w:val="Normal"/>
        <w:spacing w:before="0" w:after="0"/>
        <w:contextualSpacing/>
        <w:jc w:val="left"/>
        <w:rPr>
          <w:rFonts w:ascii="SFRM1000" w:hAnsi="SFRM1000" w:cs="SFRM1000"/>
          <w:sz w:val="22"/>
          <w:szCs w:val="22"/>
        </w:rPr>
      </w:pPr>
      <w:r>
        <w:rPr>
          <w:rFonts w:cs="SFRM1000" w:ascii="SFRM1000" w:hAnsi="SFRM1000"/>
          <w:sz w:val="22"/>
          <w:szCs w:val="22"/>
        </w:rPr>
        <w:t xml:space="preserve">their memory. </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[It would mean EDWs!!!!!]</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rFonts w:ascii="SFRM1000" w:hAnsi="SFRM1000" w:cs="SFRM1000"/>
          <w:sz w:val="22"/>
          <w:szCs w:val="22"/>
        </w:rPr>
      </w:pPr>
      <w:r>
        <w:rPr>
          <w:rFonts w:cs="SFRM1000" w:ascii="SFRM1000" w:hAnsi="SFRM1000"/>
          <w:sz w:val="22"/>
          <w:szCs w:val="22"/>
        </w:rPr>
        <w:t>Notably, the formalism of quantum mechanics</w:t>
      </w:r>
    </w:p>
    <w:p>
      <w:pPr>
        <w:pStyle w:val="Normal"/>
        <w:spacing w:before="0" w:after="0"/>
        <w:contextualSpacing/>
        <w:jc w:val="left"/>
        <w:rPr>
          <w:rFonts w:ascii="SFRM1000" w:hAnsi="SFRM1000" w:cs="SFRM1000"/>
          <w:sz w:val="22"/>
          <w:szCs w:val="22"/>
        </w:rPr>
      </w:pPr>
      <w:r>
        <w:rPr>
          <w:rFonts w:cs="SFRM1000" w:ascii="SFRM1000" w:hAnsi="SFRM1000"/>
          <w:sz w:val="22"/>
          <w:szCs w:val="22"/>
        </w:rPr>
        <w:t>does not make a distinction between large (even</w:t>
      </w:r>
    </w:p>
    <w:p>
      <w:pPr>
        <w:pStyle w:val="Normal"/>
        <w:spacing w:before="0" w:after="0"/>
        <w:contextualSpacing/>
        <w:jc w:val="left"/>
        <w:rPr>
          <w:rFonts w:ascii="SFRM1000" w:hAnsi="SFRM1000" w:cs="SFRM1000"/>
          <w:sz w:val="22"/>
          <w:szCs w:val="22"/>
        </w:rPr>
      </w:pPr>
      <w:r>
        <w:rPr>
          <w:rFonts w:cs="SFRM1000" w:ascii="SFRM1000" w:hAnsi="SFRM1000"/>
          <w:sz w:val="22"/>
          <w:szCs w:val="22"/>
        </w:rPr>
        <w:t>conscious) and small physical system, which is sometimes</w:t>
      </w:r>
    </w:p>
    <w:p>
      <w:pPr>
        <w:pStyle w:val="Normal"/>
        <w:spacing w:before="0" w:after="0"/>
        <w:contextualSpacing/>
        <w:jc w:val="left"/>
        <w:rPr/>
      </w:pPr>
      <w:r>
        <w:rPr>
          <w:rFonts w:cs="SFRM1000" w:ascii="SFRM1000" w:hAnsi="SFRM1000"/>
          <w:sz w:val="22"/>
          <w:szCs w:val="22"/>
        </w:rPr>
        <w:t xml:space="preserve">referred to as universality. </w:t>
      </w:r>
      <w:r>
        <w:rPr>
          <w:rFonts w:cs="SFRM1000" w:ascii="SFRM1000" w:hAnsi="SFRM1000"/>
          <w:b/>
          <w:sz w:val="22"/>
          <w:szCs w:val="22"/>
        </w:rPr>
        <w:t>Hence, our definition covers</w:t>
      </w:r>
    </w:p>
    <w:p>
      <w:pPr>
        <w:pStyle w:val="Normal"/>
        <w:spacing w:before="0" w:after="0"/>
        <w:contextualSpacing/>
        <w:jc w:val="left"/>
        <w:rPr>
          <w:rFonts w:ascii="SFRM1000" w:hAnsi="SFRM1000" w:cs="SFRM1000"/>
          <w:b/>
          <w:b/>
          <w:sz w:val="22"/>
          <w:szCs w:val="22"/>
        </w:rPr>
      </w:pPr>
      <w:r>
        <w:rPr>
          <w:rFonts w:cs="SFRM1000" w:ascii="SFRM1000" w:hAnsi="SFRM1000"/>
          <w:b/>
          <w:sz w:val="22"/>
          <w:szCs w:val="22"/>
        </w:rPr>
        <w:t>human observers, as well as more commonly used nonconscious</w:t>
      </w:r>
    </w:p>
    <w:p>
      <w:pPr>
        <w:pStyle w:val="Normal"/>
        <w:spacing w:before="0" w:after="0"/>
        <w:contextualSpacing/>
        <w:jc w:val="left"/>
        <w:rPr>
          <w:rFonts w:ascii="SFRM1000" w:hAnsi="SFRM1000" w:cs="SFRM1000"/>
          <w:b/>
          <w:b/>
          <w:sz w:val="22"/>
          <w:szCs w:val="22"/>
        </w:rPr>
      </w:pPr>
      <w:r>
        <w:rPr>
          <w:rFonts w:cs="SFRM1000" w:ascii="SFRM1000" w:hAnsi="SFRM1000"/>
          <w:b/>
          <w:sz w:val="22"/>
          <w:szCs w:val="22"/>
        </w:rPr>
        <w:t>observers such as (classical or quantum) computers</w:t>
      </w:r>
    </w:p>
    <w:p>
      <w:pPr>
        <w:pStyle w:val="Normal"/>
        <w:spacing w:before="0" w:after="0"/>
        <w:contextualSpacing/>
        <w:jc w:val="left"/>
        <w:rPr>
          <w:rFonts w:ascii="SFRM1000" w:hAnsi="SFRM1000" w:cs="SFRM1000"/>
          <w:b/>
          <w:b/>
          <w:sz w:val="22"/>
          <w:szCs w:val="22"/>
        </w:rPr>
      </w:pPr>
      <w:r>
        <w:rPr>
          <w:rFonts w:cs="SFRM1000" w:ascii="SFRM1000" w:hAnsi="SFRM1000"/>
          <w:b/>
          <w:sz w:val="22"/>
          <w:szCs w:val="22"/>
        </w:rPr>
        <w:t>and other measurement devices—even the simplest</w:t>
      </w:r>
    </w:p>
    <w:p>
      <w:pPr>
        <w:pStyle w:val="Normal"/>
        <w:spacing w:before="0" w:after="0"/>
        <w:contextualSpacing/>
        <w:jc w:val="left"/>
        <w:rPr/>
      </w:pPr>
      <w:r>
        <w:rPr>
          <w:rFonts w:cs="SFRM1000" w:ascii="SFRM1000" w:hAnsi="SFRM1000"/>
          <w:b/>
          <w:sz w:val="22"/>
          <w:szCs w:val="22"/>
        </w:rPr>
        <w:t>possible ones, as long as they satisfy the above requirements.</w:t>
      </w:r>
      <w:r>
        <w:rPr>
          <w:rFonts w:cs="SFRM1000" w:ascii="SFRM1000" w:hAnsi="SFRM1000"/>
          <w:sz w:val="22"/>
          <w:szCs w:val="22"/>
        </w:rPr>
        <w:t xml:space="preserve"> (pp 2-3) </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pPr>
      <w:r>
        <w:rPr>
          <w:rFonts w:cs="SFTI1000" w:ascii="SFTI1000" w:hAnsi="SFTI1000"/>
          <w:color w:val="000000"/>
          <w:sz w:val="22"/>
          <w:szCs w:val="22"/>
        </w:rPr>
        <w:t xml:space="preserve">Discussion.— </w:t>
      </w:r>
      <w:r>
        <w:rPr>
          <w:rFonts w:cs="SFRM1000" w:ascii="SFRM1000" w:hAnsi="SFRM1000"/>
          <w:color w:val="000000"/>
          <w:sz w:val="22"/>
          <w:szCs w:val="22"/>
        </w:rPr>
        <w:t>In principle, “Bell-Wigner tests” like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ours are subject to similar loopholes as tests of conventional</w:t>
      </w:r>
    </w:p>
    <w:p>
      <w:pPr>
        <w:pStyle w:val="Normal"/>
        <w:spacing w:before="0" w:after="0"/>
        <w:contextualSpacing/>
        <w:jc w:val="left"/>
        <w:rPr/>
      </w:pPr>
      <w:r>
        <w:rPr>
          <w:rFonts w:cs="SFRM1000" w:ascii="SFRM1000" w:hAnsi="SFRM1000"/>
          <w:color w:val="000000"/>
          <w:sz w:val="22"/>
          <w:szCs w:val="22"/>
        </w:rPr>
        <w:t>Bell inequalities [</w:t>
      </w:r>
      <w:r>
        <w:rPr>
          <w:rFonts w:cs="SFRM1000" w:ascii="SFRM1000" w:hAnsi="SFRM1000"/>
          <w:color w:val="0000FF"/>
          <w:sz w:val="22"/>
          <w:szCs w:val="22"/>
        </w:rPr>
        <w:t>15</w:t>
      </w:r>
      <w:r>
        <w:rPr>
          <w:rFonts w:cs="SFRM1000" w:ascii="SFRM1000" w:hAnsi="SFRM1000"/>
          <w:color w:val="000000"/>
          <w:sz w:val="22"/>
          <w:szCs w:val="22"/>
        </w:rPr>
        <w:t>]. To address the detection</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and space-time loopholes, we make the physically reasonable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assumption of fair sampling and rely on the empirical</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absence of signalling between our measurement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devices (which experimentally we verified to be in agreement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with the expectation from Poissonian statistics), respectively.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[“space-time loopholes”??? I emphasize that in my book 2016, I indicated that spacetime do not exist. What does it mean  “space-time loopholes”???]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Another loophole may arise if the observables</w:t>
      </w:r>
    </w:p>
    <w:p>
      <w:pPr>
        <w:pStyle w:val="Normal"/>
        <w:spacing w:before="0" w:after="0"/>
        <w:contextualSpacing/>
        <w:jc w:val="left"/>
        <w:rPr/>
      </w:pPr>
      <w:r>
        <w:rPr>
          <w:rFonts w:cs="CMMI10" w:ascii="CMMI10" w:hAnsi="CMMI10"/>
          <w:color w:val="000000"/>
          <w:sz w:val="22"/>
          <w:szCs w:val="22"/>
        </w:rPr>
        <w:t>A</w:t>
      </w:r>
      <w:r>
        <w:rPr>
          <w:rFonts w:cs="CMR7" w:ascii="CMR7" w:hAnsi="CMR7"/>
          <w:color w:val="000000"/>
          <w:sz w:val="22"/>
          <w:szCs w:val="22"/>
        </w:rPr>
        <w:t>0</w:t>
      </w:r>
      <w:r>
        <w:rPr>
          <w:rFonts w:cs="CMMI10" w:ascii="CMMI10" w:hAnsi="CMMI10"/>
          <w:color w:val="000000"/>
          <w:sz w:val="22"/>
          <w:szCs w:val="22"/>
        </w:rPr>
        <w:t>;B</w:t>
      </w:r>
      <w:r>
        <w:rPr>
          <w:rFonts w:cs="CMR7" w:ascii="CMR7" w:hAnsi="CMR7"/>
          <w:color w:val="000000"/>
          <w:sz w:val="22"/>
          <w:szCs w:val="22"/>
        </w:rPr>
        <w:t xml:space="preserve">0 </w:t>
      </w:r>
      <w:r>
        <w:rPr>
          <w:rFonts w:cs="SFRM1000" w:ascii="SFRM1000" w:hAnsi="SFRM1000"/>
          <w:color w:val="000000"/>
          <w:sz w:val="22"/>
          <w:szCs w:val="22"/>
        </w:rPr>
        <w:t xml:space="preserve">that are measured in practice do not strictly </w:t>
      </w:r>
      <w:r>
        <w:rPr>
          <w:rFonts w:cs="SFRM1000" w:ascii="SFRM1000" w:hAnsi="SFRM1000"/>
          <w:b/>
          <w:color w:val="000000"/>
          <w:sz w:val="22"/>
          <w:szCs w:val="22"/>
        </w:rPr>
        <w:t>correspond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 xml:space="preserve">to a measurement of the friends’ memories.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[The word “correspondence” is the main concept in my EDWs!!!!]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Here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we assume (with reasonable confidence, up to negligible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experimental deviations) that the measured observables</w:t>
      </w:r>
    </w:p>
    <w:p>
      <w:pPr>
        <w:pStyle w:val="Normal"/>
        <w:spacing w:before="0" w:after="0"/>
        <w:contextualSpacing/>
        <w:jc w:val="left"/>
        <w:rPr/>
      </w:pPr>
      <w:r>
        <w:rPr>
          <w:rFonts w:cs="SFRM1000" w:ascii="SFRM1000" w:hAnsi="SFRM1000"/>
          <w:color w:val="000000"/>
          <w:sz w:val="22"/>
          <w:szCs w:val="22"/>
        </w:rPr>
        <w:t>indeed factorise as in Eq. (</w:t>
      </w:r>
      <w:r>
        <w:rPr>
          <w:rFonts w:cs="SFRM1000" w:ascii="SFRM1000" w:hAnsi="SFRM1000"/>
          <w:color w:val="FF0000"/>
          <w:sz w:val="22"/>
          <w:szCs w:val="22"/>
        </w:rPr>
        <w:t>4</w:t>
      </w:r>
      <w:r>
        <w:rPr>
          <w:rFonts w:cs="SFRM1000" w:ascii="SFRM1000" w:hAnsi="SFRM1000"/>
          <w:color w:val="000000"/>
          <w:sz w:val="22"/>
          <w:szCs w:val="22"/>
        </w:rPr>
        <w:t>), with the identity on the</w:t>
      </w:r>
    </w:p>
    <w:p>
      <w:pPr>
        <w:pStyle w:val="Normal"/>
        <w:spacing w:before="0" w:after="0"/>
        <w:contextualSpacing/>
        <w:jc w:val="left"/>
        <w:rPr/>
      </w:pPr>
      <w:r>
        <w:rPr>
          <w:rFonts w:cs="SFRM1000" w:ascii="SFRM1000" w:hAnsi="SFRM1000"/>
          <w:color w:val="000000"/>
          <w:sz w:val="22"/>
          <w:szCs w:val="22"/>
        </w:rPr>
        <w:t xml:space="preserve">photon system, so that the above interpretation for </w:t>
      </w:r>
      <w:r>
        <w:rPr>
          <w:rFonts w:cs="CMMI10" w:ascii="CMMI10" w:hAnsi="CMMI10"/>
          <w:color w:val="000000"/>
          <w:sz w:val="22"/>
          <w:szCs w:val="22"/>
        </w:rPr>
        <w:t>A</w:t>
      </w:r>
      <w:r>
        <w:rPr>
          <w:rFonts w:cs="CMR7" w:ascii="CMR7" w:hAnsi="CMR7"/>
          <w:color w:val="000000"/>
          <w:sz w:val="22"/>
          <w:szCs w:val="22"/>
        </w:rPr>
        <w:t>0</w:t>
      </w:r>
      <w:r>
        <w:rPr>
          <w:rFonts w:cs="SFRM1000" w:ascii="SFRM1000" w:hAnsi="SFRM1000"/>
          <w:color w:val="000000"/>
          <w:sz w:val="22"/>
          <w:szCs w:val="22"/>
        </w:rPr>
        <w:t>,</w:t>
      </w:r>
    </w:p>
    <w:p>
      <w:pPr>
        <w:pStyle w:val="Normal"/>
        <w:spacing w:before="0" w:after="0"/>
        <w:contextualSpacing/>
        <w:jc w:val="left"/>
        <w:rPr/>
      </w:pPr>
      <w:r>
        <w:rPr>
          <w:rFonts w:cs="CMMI10" w:ascii="CMMI10" w:hAnsi="CMMI10"/>
          <w:color w:val="000000"/>
          <w:sz w:val="22"/>
          <w:szCs w:val="22"/>
        </w:rPr>
        <w:t>B</w:t>
      </w:r>
      <w:r>
        <w:rPr>
          <w:rFonts w:cs="CMR7" w:ascii="CMR7" w:hAnsi="CMR7"/>
          <w:color w:val="000000"/>
          <w:sz w:val="22"/>
          <w:szCs w:val="22"/>
        </w:rPr>
        <w:t xml:space="preserve">0 </w:t>
      </w:r>
      <w:r>
        <w:rPr>
          <w:rFonts w:cs="SFRM1000" w:ascii="SFRM1000" w:hAnsi="SFRM1000"/>
          <w:color w:val="000000"/>
          <w:sz w:val="22"/>
          <w:szCs w:val="22"/>
        </w:rPr>
        <w:t>can be trusted. As discussed in the Supplementary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materials, closing all loopholes in full will be considerable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more challenging than for Bell tests.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One might further be tempted to deny our photonic</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memories the status of “observer”. This, however, would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require a convincing revision of our minimal definition</w:t>
      </w:r>
    </w:p>
    <w:p>
      <w:pPr>
        <w:pStyle w:val="Normal"/>
        <w:spacing w:before="0" w:after="0"/>
        <w:contextualSpacing/>
        <w:jc w:val="left"/>
        <w:rPr/>
      </w:pPr>
      <w:r>
        <w:rPr>
          <w:rFonts w:cs="SFRM1000" w:ascii="SFRM1000" w:hAnsi="SFRM1000"/>
          <w:color w:val="000000"/>
          <w:sz w:val="22"/>
          <w:szCs w:val="22"/>
        </w:rPr>
        <w:t xml:space="preserve">of what qualifies as an observer, </w:t>
      </w:r>
      <w:r>
        <w:rPr>
          <w:rFonts w:cs="SFRM1000" w:ascii="SFRM1000" w:hAnsi="SFRM1000"/>
          <w:b/>
          <w:color w:val="000000"/>
          <w:sz w:val="22"/>
          <w:szCs w:val="22"/>
        </w:rPr>
        <w:t>which typically comes</w:t>
      </w:r>
    </w:p>
    <w:p>
      <w:pPr>
        <w:pStyle w:val="Normal"/>
        <w:spacing w:before="0" w:after="0"/>
        <w:contextualSpacing/>
        <w:jc w:val="left"/>
        <w:rPr>
          <w:rFonts w:ascii="SFRM1000" w:hAnsi="SFRM1000" w:cs="SFRM1000"/>
          <w:b/>
          <w:b/>
          <w:color w:val="000000"/>
          <w:sz w:val="22"/>
          <w:szCs w:val="22"/>
        </w:rPr>
      </w:pPr>
      <w:r>
        <w:rPr>
          <w:rFonts w:cs="SFRM1000" w:ascii="SFRM1000" w:hAnsi="SFRM1000"/>
          <w:b/>
          <w:color w:val="000000"/>
          <w:sz w:val="22"/>
          <w:szCs w:val="22"/>
        </w:rPr>
        <w:t>at the cost of introducing new physics that is not described</w:t>
      </w:r>
    </w:p>
    <w:p>
      <w:pPr>
        <w:pStyle w:val="Normal"/>
        <w:spacing w:before="0" w:after="0"/>
        <w:contextualSpacing/>
        <w:jc w:val="left"/>
        <w:rPr>
          <w:rFonts w:ascii="SFRM1000" w:hAnsi="SFRM1000" w:cs="SFRM1000"/>
          <w:b/>
          <w:b/>
          <w:color w:val="000000"/>
          <w:sz w:val="22"/>
          <w:szCs w:val="22"/>
        </w:rPr>
      </w:pPr>
      <w:r>
        <w:rPr>
          <w:rFonts w:cs="SFRM1000" w:ascii="SFRM1000" w:hAnsi="SFRM1000"/>
          <w:b/>
          <w:color w:val="000000"/>
          <w:sz w:val="22"/>
          <w:szCs w:val="22"/>
        </w:rPr>
        <w:t xml:space="preserve">by standard quantum theory. </w:t>
      </w:r>
    </w:p>
    <w:p>
      <w:pPr>
        <w:pStyle w:val="Normal"/>
        <w:spacing w:before="0" w:after="0"/>
        <w:contextualSpacing/>
        <w:jc w:val="left"/>
        <w:rPr>
          <w:rFonts w:ascii="SFRM1000" w:hAnsi="SFRM1000" w:cs="SFRM1000"/>
          <w:b/>
          <w:b/>
          <w:color w:val="000000"/>
          <w:sz w:val="22"/>
          <w:szCs w:val="22"/>
        </w:rPr>
      </w:pPr>
      <w:r>
        <w:rPr>
          <w:rFonts w:cs="SFRM1000" w:ascii="SFRM1000" w:hAnsi="SFRM1000"/>
          <w:b/>
          <w:color w:val="000000"/>
          <w:sz w:val="22"/>
          <w:szCs w:val="22"/>
        </w:rPr>
      </w:r>
    </w:p>
    <w:p>
      <w:pPr>
        <w:pStyle w:val="Normal"/>
        <w:spacing w:before="0" w:after="0"/>
        <w:contextualSpacing/>
        <w:jc w:val="left"/>
        <w:rPr>
          <w:rFonts w:ascii="SFRM1000" w:hAnsi="SFRM1000" w:cs="SFRM1000"/>
          <w:b/>
          <w:b/>
          <w:color w:val="FF0000"/>
          <w:sz w:val="22"/>
          <w:szCs w:val="22"/>
        </w:rPr>
      </w:pPr>
      <w:r>
        <w:rPr>
          <w:rFonts w:cs="SFRM1000" w:ascii="SFRM1000" w:hAnsi="SFRM1000"/>
          <w:b/>
          <w:color w:val="FF0000"/>
          <w:sz w:val="22"/>
          <w:szCs w:val="22"/>
        </w:rPr>
        <w:t>[of course, my EDWs perspective is a new Physics!!!]</w:t>
      </w:r>
    </w:p>
    <w:p>
      <w:pPr>
        <w:pStyle w:val="Normal"/>
        <w:spacing w:before="0" w:after="0"/>
        <w:contextualSpacing/>
        <w:jc w:val="left"/>
        <w:rPr>
          <w:rFonts w:ascii="SFRM1000" w:hAnsi="SFRM1000" w:cs="SFRM1000"/>
          <w:b/>
          <w:b/>
          <w:color w:val="000000"/>
          <w:sz w:val="22"/>
          <w:szCs w:val="22"/>
        </w:rPr>
      </w:pPr>
      <w:r>
        <w:rPr>
          <w:rFonts w:cs="SFRM1000" w:ascii="SFRM1000" w:hAnsi="SFRM1000"/>
          <w:b/>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Eugene Wigner,</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for example, argued that the disagreement with his hypothetical</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friend could not arise due to a supposed impossibility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for conscious observers to be in a superposition</w:t>
      </w:r>
    </w:p>
    <w:p>
      <w:pPr>
        <w:pStyle w:val="Normal"/>
        <w:spacing w:before="0" w:after="0"/>
        <w:contextualSpacing/>
        <w:jc w:val="left"/>
        <w:rPr/>
      </w:pPr>
      <w:r>
        <w:rPr>
          <w:rFonts w:cs="SFRM1000" w:ascii="SFRM1000" w:hAnsi="SFRM1000"/>
          <w:color w:val="000000"/>
          <w:sz w:val="22"/>
          <w:szCs w:val="22"/>
        </w:rPr>
        <w:t>state [</w:t>
      </w:r>
      <w:r>
        <w:rPr>
          <w:rFonts w:cs="SFRM1000" w:ascii="SFRM1000" w:hAnsi="SFRM1000"/>
          <w:color w:val="0000FF"/>
          <w:sz w:val="22"/>
          <w:szCs w:val="22"/>
        </w:rPr>
        <w:t>2</w:t>
      </w:r>
      <w:r>
        <w:rPr>
          <w:rFonts w:cs="SFRM1000" w:ascii="SFRM1000" w:hAnsi="SFRM1000"/>
          <w:color w:val="000000"/>
          <w:sz w:val="22"/>
          <w:szCs w:val="22"/>
        </w:rPr>
        <w:t>]. However, the lack of objectivity revealed by a</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Bell-Wigner test does not arise in anyone’s consciousness,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but between the recorded facts. Since quantum theory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does not distinguish between information recorded in a</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microscopic system (such as our photonic memory) and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in a macroscopic system the conclusions are the same for</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both: the measurement records are in conflict regardless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of the size or complexity of the observer that records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 xml:space="preserve">them.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[again, we have here exactly EDWs: the micro-EW, the wave-EW, the macro-EW!!!!!! – see my works since 2002-2008 and later with all these ideas, word by word!!!!!]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Implementing the experiment with more complex</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observers would not necessarily lead to new insights into</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the specific issue of observer-independence in quantum</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theory. It would however serve to show that quantum</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mechanics still holds at larger scales, ruling out alternative</w:t>
      </w:r>
    </w:p>
    <w:p>
      <w:pPr>
        <w:pStyle w:val="Normal"/>
        <w:spacing w:before="0" w:after="0"/>
        <w:contextualSpacing/>
        <w:jc w:val="left"/>
        <w:rPr/>
      </w:pPr>
      <w:r>
        <w:rPr>
          <w:rFonts w:cs="SFRM1000" w:ascii="SFRM1000" w:hAnsi="SFRM1000"/>
          <w:color w:val="000000"/>
          <w:sz w:val="22"/>
          <w:szCs w:val="22"/>
        </w:rPr>
        <w:t>(collapse) models [</w:t>
      </w:r>
      <w:r>
        <w:rPr>
          <w:rFonts w:cs="SFRM1000" w:ascii="SFRM1000" w:hAnsi="SFRM1000"/>
          <w:color w:val="0000FF"/>
          <w:sz w:val="22"/>
          <w:szCs w:val="22"/>
        </w:rPr>
        <w:t>16</w:t>
      </w:r>
      <w:r>
        <w:rPr>
          <w:rFonts w:cs="SFRM1000" w:ascii="SFRM1000" w:hAnsi="SFRM1000"/>
          <w:color w:val="000000"/>
          <w:sz w:val="22"/>
          <w:szCs w:val="22"/>
        </w:rPr>
        <w:t>]. However, this is not the point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of a Bell-Wigner test—less demanding tests could show</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that.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Modulo the potential loopholes and accepting the photons’</w:t>
      </w:r>
    </w:p>
    <w:p>
      <w:pPr>
        <w:pStyle w:val="Normal"/>
        <w:spacing w:before="0" w:after="0"/>
        <w:contextualSpacing/>
        <w:jc w:val="left"/>
        <w:rPr/>
      </w:pPr>
      <w:r>
        <w:rPr>
          <w:rFonts w:cs="SFRM1000" w:ascii="SFRM1000" w:hAnsi="SFRM1000"/>
          <w:color w:val="000000"/>
          <w:sz w:val="22"/>
          <w:szCs w:val="22"/>
        </w:rPr>
        <w:t>status as observers, the violation of inequality (</w:t>
      </w:r>
      <w:r>
        <w:rPr>
          <w:rFonts w:cs="SFRM1000" w:ascii="SFRM1000" w:hAnsi="SFRM1000"/>
          <w:color w:val="FF0000"/>
          <w:sz w:val="22"/>
          <w:szCs w:val="22"/>
        </w:rPr>
        <w:t>2</w:t>
      </w:r>
      <w:r>
        <w:rPr>
          <w:rFonts w:cs="SFRM1000" w:ascii="SFRM1000" w:hAnsi="SFRM1000"/>
          <w:color w:val="000000"/>
          <w:sz w:val="22"/>
          <w:szCs w:val="22"/>
        </w:rPr>
        <w: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implies that at least one of the three assumptions of free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choice, locality, and observer-independent facts must fail.</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Since abandoning free choice and locality might not resolve</w:t>
      </w:r>
    </w:p>
    <w:p>
      <w:pPr>
        <w:pStyle w:val="Normal"/>
        <w:spacing w:before="0" w:after="0"/>
        <w:contextualSpacing/>
        <w:jc w:val="left"/>
        <w:rPr/>
      </w:pPr>
      <w:r>
        <w:rPr>
          <w:rFonts w:cs="SFRM1000" w:ascii="SFRM1000" w:hAnsi="SFRM1000"/>
          <w:color w:val="000000"/>
          <w:sz w:val="22"/>
          <w:szCs w:val="22"/>
        </w:rPr>
        <w:t>the contradiction [</w:t>
      </w:r>
      <w:r>
        <w:rPr>
          <w:rFonts w:cs="SFRM1000" w:ascii="SFRM1000" w:hAnsi="SFRM1000"/>
          <w:color w:val="0000FF"/>
          <w:sz w:val="22"/>
          <w:szCs w:val="22"/>
        </w:rPr>
        <w:t>5</w:t>
      </w:r>
      <w:r>
        <w:rPr>
          <w:rFonts w:cs="SFRM1000" w:ascii="SFRM1000" w:hAnsi="SFRM1000"/>
          <w:color w:val="000000"/>
          <w:sz w:val="22"/>
          <w:szCs w:val="22"/>
        </w:rPr>
        <w:t>], one way to accommodate our</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result is by proclaiming that “facts of the world” can</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only be established by a privileged observer—e.g., one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that would have access to the “global wavefunction” in</w:t>
      </w:r>
    </w:p>
    <w:p>
      <w:pPr>
        <w:pStyle w:val="Normal"/>
        <w:spacing w:before="0" w:after="0"/>
        <w:contextualSpacing/>
        <w:jc w:val="left"/>
        <w:rPr/>
      </w:pPr>
      <w:r>
        <w:rPr>
          <w:rFonts w:cs="SFRM1000" w:ascii="SFRM1000" w:hAnsi="SFRM1000"/>
          <w:color w:val="000000"/>
          <w:sz w:val="22"/>
          <w:szCs w:val="22"/>
        </w:rPr>
        <w:t>the many worlds interpretation [</w:t>
      </w:r>
      <w:r>
        <w:rPr>
          <w:rFonts w:cs="SFRM1000" w:ascii="SFRM1000" w:hAnsi="SFRM1000"/>
          <w:color w:val="0000FF"/>
          <w:sz w:val="22"/>
          <w:szCs w:val="22"/>
        </w:rPr>
        <w:t>17</w:t>
      </w:r>
      <w:r>
        <w:rPr>
          <w:rFonts w:cs="SFRM1000" w:ascii="SFRM1000" w:hAnsi="SFRM1000"/>
          <w:color w:val="000000"/>
          <w:sz w:val="22"/>
          <w:szCs w:val="22"/>
        </w:rPr>
        <w:t>] or Bohmian mechanics</w:t>
      </w:r>
    </w:p>
    <w:p>
      <w:pPr>
        <w:pStyle w:val="Normal"/>
        <w:spacing w:before="0" w:after="0"/>
        <w:contextualSpacing/>
        <w:jc w:val="left"/>
        <w:rPr/>
      </w:pPr>
      <w:r>
        <w:rPr>
          <w:rFonts w:cs="SFRM1000" w:ascii="SFRM1000" w:hAnsi="SFRM1000"/>
          <w:color w:val="000000"/>
          <w:sz w:val="22"/>
          <w:szCs w:val="22"/>
        </w:rPr>
        <w:t>[</w:t>
      </w:r>
      <w:r>
        <w:rPr>
          <w:rFonts w:cs="SFRM1000" w:ascii="SFRM1000" w:hAnsi="SFRM1000"/>
          <w:color w:val="0000FF"/>
          <w:sz w:val="22"/>
          <w:szCs w:val="22"/>
        </w:rPr>
        <w:t>18</w:t>
      </w:r>
      <w:r>
        <w:rPr>
          <w:rFonts w:cs="SFRM1000" w:ascii="SFRM1000" w:hAnsi="SFRM1000"/>
          <w:color w:val="000000"/>
          <w:sz w:val="22"/>
          <w:szCs w:val="22"/>
        </w:rPr>
        <w:t>]. Another option is to give up observer independence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completely by considering facts only relative to</w:t>
      </w:r>
    </w:p>
    <w:p>
      <w:pPr>
        <w:pStyle w:val="Normal"/>
        <w:spacing w:before="0" w:after="0"/>
        <w:contextualSpacing/>
        <w:jc w:val="left"/>
        <w:rPr/>
      </w:pPr>
      <w:r>
        <w:rPr>
          <w:rFonts w:cs="SFRM1000" w:ascii="SFRM1000" w:hAnsi="SFRM1000"/>
          <w:color w:val="000000"/>
          <w:sz w:val="22"/>
          <w:szCs w:val="22"/>
        </w:rPr>
        <w:t>observers [</w:t>
      </w:r>
      <w:r>
        <w:rPr>
          <w:rFonts w:cs="SFRM1000" w:ascii="SFRM1000" w:hAnsi="SFRM1000"/>
          <w:color w:val="0000FF"/>
          <w:sz w:val="22"/>
          <w:szCs w:val="22"/>
        </w:rPr>
        <w:t>19</w:t>
      </w:r>
      <w:r>
        <w:rPr>
          <w:rFonts w:cs="SFRM1000" w:ascii="SFRM1000" w:hAnsi="SFRM1000"/>
          <w:color w:val="000000"/>
          <w:sz w:val="22"/>
          <w:szCs w:val="22"/>
        </w:rPr>
        <w:t>], or by adopting an interpretation such as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QBism, where quantum mechanics is just a a tool that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captures an agent’s subjective prediction of future measurement</w:t>
      </w:r>
    </w:p>
    <w:p>
      <w:pPr>
        <w:pStyle w:val="Normal"/>
        <w:spacing w:before="0" w:after="0"/>
        <w:contextualSpacing/>
        <w:jc w:val="left"/>
        <w:rPr/>
      </w:pPr>
      <w:r>
        <w:rPr>
          <w:rFonts w:cs="SFRM1000" w:ascii="SFRM1000" w:hAnsi="SFRM1000"/>
          <w:color w:val="000000"/>
          <w:sz w:val="22"/>
          <w:szCs w:val="22"/>
        </w:rPr>
        <w:t>outcomes [</w:t>
      </w:r>
      <w:r>
        <w:rPr>
          <w:rFonts w:cs="SFRM1000" w:ascii="SFRM1000" w:hAnsi="SFRM1000"/>
          <w:color w:val="0000FF"/>
          <w:sz w:val="22"/>
          <w:szCs w:val="22"/>
        </w:rPr>
        <w:t>20</w:t>
      </w:r>
      <w:r>
        <w:rPr>
          <w:rFonts w:cs="SFRM1000" w:ascii="SFRM1000" w:hAnsi="SFRM1000"/>
          <w:color w:val="000000"/>
          <w:sz w:val="22"/>
          <w:szCs w:val="22"/>
        </w:rPr>
        <w:t>]. This choice, however, requires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us to embrace the possibility that different observers irreconcilably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 xml:space="preserve">disagree about what happened in an experiment. (p. 4)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[again, the last sentence indicates exactly my EDWs!!!!</w:t>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r>
    </w:p>
    <w:p>
      <w:pPr>
        <w:pStyle w:val="Normal"/>
        <w:keepNext w:val="false"/>
        <w:keepLines w:val="false"/>
        <w:widowControl/>
        <w:jc w:val="left"/>
        <w:rPr>
          <w:lang w:val="en-US"/>
        </w:rPr>
      </w:pPr>
      <w:r>
        <w:rPr>
          <w:rFonts w:eastAsia="SFRM1000" w:cs="SFRM1000" w:ascii="SFRM1000" w:hAnsi="SFRM1000"/>
          <w:color w:val="000000"/>
          <w:kern w:val="0"/>
          <w:sz w:val="19"/>
          <w:szCs w:val="19"/>
          <w:lang w:val="en-US" w:eastAsia="zh-CN" w:bidi="ar"/>
        </w:rPr>
        <w:t>[Amazing, the authors of this article transmit “acknowledgment” to another person from my list, Č. Brukner!</w:t>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r>
    </w:p>
    <w:p>
      <w:pPr>
        <w:pStyle w:val="Normal"/>
        <w:spacing w:before="0" w:after="0"/>
        <w:contextualSpacing/>
        <w:jc w:val="left"/>
        <w:rPr/>
      </w:pPr>
      <w:r>
        <w:rPr>
          <w:rFonts w:cs="SFRM1000" w:ascii="SFRM1000" w:hAnsi="SFRM1000"/>
          <w:b/>
          <w:color w:val="FF0000"/>
        </w:rPr>
        <w:t xml:space="preserve">CONCLUSION: The main ideas of these article can be found in my works (2002-2008). The main framework of this article is UNBELIEVABLE similar to my EDWs perspective!!!! </w:t>
      </w:r>
      <w:r>
        <w:rPr>
          <w:rFonts w:cs="SFRM1000" w:ascii="SFRM1000" w:hAnsi="SFRM1000"/>
          <w:color w:val="FF0000"/>
          <w:sz w:val="22"/>
          <w:szCs w:val="22"/>
        </w:rPr>
        <w:t xml:space="preserve"> </w:t>
      </w:r>
      <w:r>
        <w:rPr>
          <w:rFonts w:cs="SFRM1000" w:ascii="SFRM1000" w:hAnsi="SFRM1000"/>
          <w:b/>
          <w:color w:val="FF0000"/>
          <w:sz w:val="22"/>
          <w:szCs w:val="22"/>
        </w:rPr>
        <w:t>Does the reader want more? Go and read my works 2002-2005-2006-2008!!!!! I emphasize that Wigner, Bohn,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r>
    </w:p>
    <w:p>
      <w:pPr>
        <w:pStyle w:val="Normal"/>
        <w:spacing w:before="0" w:after="0"/>
        <w:contextualSpacing/>
        <w:jc w:val="left"/>
        <w:rPr>
          <w:rFonts w:ascii="Arial" w:hAnsi="Arial" w:eastAsia="Times New Roman" w:cs="Arial"/>
          <w:kern w:val="2"/>
          <w:sz w:val="22"/>
          <w:szCs w:val="22"/>
        </w:rPr>
      </w:pPr>
      <w:r>
        <w:rPr>
          <w:rFonts w:eastAsia="Times New Roman" w:cs="Arial" w:ascii="Arial" w:hAnsi="Arial"/>
          <w:kern w:val="2"/>
          <w:sz w:val="22"/>
          <w:szCs w:val="22"/>
        </w:rPr>
      </w:r>
    </w:p>
    <w:p>
      <w:pPr>
        <w:pStyle w:val="Normal"/>
        <w:numPr>
          <w:ilvl w:val="0"/>
          <w:numId w:val="0"/>
        </w:numPr>
        <w:shd w:val="clear" w:fill="FFFFFF"/>
        <w:spacing w:before="0" w:after="0"/>
        <w:contextualSpacing/>
        <w:jc w:val="left"/>
        <w:textAlignment w:val="baseline"/>
        <w:outlineLvl w:val="0"/>
        <w:rPr>
          <w:rFonts w:ascii="Arial" w:hAnsi="Arial" w:eastAsia="Times New Roman" w:cs="Arial"/>
          <w:b/>
          <w:b/>
          <w:kern w:val="2"/>
          <w:sz w:val="22"/>
          <w:szCs w:val="22"/>
        </w:rPr>
      </w:pPr>
      <w:r>
        <w:rPr>
          <w:rFonts w:eastAsia="Times New Roman" w:cs="Arial" w:ascii="Arial" w:hAnsi="Arial"/>
          <w:b/>
          <w:kern w:val="2"/>
          <w:sz w:val="22"/>
          <w:szCs w:val="22"/>
        </w:rPr>
        <w:t>[Below an article in which Weinberger’s comments on the above article]</w:t>
      </w:r>
    </w:p>
    <w:p>
      <w:pPr>
        <w:pStyle w:val="Normal"/>
        <w:numPr>
          <w:ilvl w:val="0"/>
          <w:numId w:val="0"/>
        </w:numPr>
        <w:shd w:val="clear" w:fill="FFFFFF"/>
        <w:spacing w:before="0" w:after="0"/>
        <w:contextualSpacing/>
        <w:jc w:val="left"/>
        <w:textAlignment w:val="baseline"/>
        <w:outlineLvl w:val="0"/>
        <w:rPr/>
      </w:pPr>
      <w:r>
        <w:rPr>
          <w:rFonts w:eastAsia="Times New Roman" w:cs="Arial" w:ascii="Arial" w:hAnsi="Arial"/>
          <w:b/>
          <w:kern w:val="2"/>
          <w:sz w:val="22"/>
          <w:szCs w:val="22"/>
        </w:rPr>
        <w:t xml:space="preserve">More Than One Reality Exists (in Quantum Physics) </w:t>
      </w:r>
      <w:r>
        <w:rPr>
          <w:rFonts w:eastAsia="Times New Roman" w:cs="Helvetica" w:ascii="Helvetica" w:hAnsi="Helvetica"/>
          <w:sz w:val="22"/>
          <w:szCs w:val="22"/>
        </w:rPr>
        <w:t>By </w:t>
      </w:r>
      <w:hyperlink r:id="rId444">
        <w:r>
          <w:rPr>
            <w:rStyle w:val="ListLabel305"/>
            <w:rFonts w:eastAsia="Times New Roman" w:cs="Helvetica" w:ascii="inherit" w:hAnsi="inherit"/>
            <w:sz w:val="22"/>
            <w:szCs w:val="22"/>
            <w:u w:val="single"/>
          </w:rPr>
          <w:t>Mindy Weisberger, Senior Writer </w:t>
        </w:r>
      </w:hyperlink>
      <w:r>
        <w:rPr>
          <w:rFonts w:eastAsia="Times New Roman" w:cs="Helvetica" w:ascii="Helvetica" w:hAnsi="Helvetica"/>
          <w:sz w:val="22"/>
          <w:szCs w:val="22"/>
        </w:rPr>
        <w:t>| March 20, 2019 07:00am ET</w:t>
      </w:r>
    </w:p>
    <w:p>
      <w:pPr>
        <w:pStyle w:val="Normal"/>
        <w:numPr>
          <w:ilvl w:val="0"/>
          <w:numId w:val="0"/>
        </w:numPr>
        <w:shd w:val="clear" w:fill="FFFFFF"/>
        <w:spacing w:before="0" w:after="0"/>
        <w:contextualSpacing/>
        <w:jc w:val="left"/>
        <w:textAlignment w:val="baseline"/>
        <w:outlineLvl w:val="0"/>
        <w:rPr/>
      </w:pPr>
      <w:hyperlink r:id="rId445">
        <w:r>
          <w:rPr>
            <w:rStyle w:val="InternetLink"/>
            <w:rFonts w:eastAsia="Times New Roman" w:cs="Helvetica" w:ascii="Helvetica" w:hAnsi="Helvetica"/>
            <w:sz w:val="22"/>
            <w:szCs w:val="22"/>
          </w:rPr>
          <w:t>https://www.livescience.com/65029-dueling-reality-photons.html?fbclid=IwAR1uR89mEP9MLZmlgLx9OkgvCrLRxZw56BeBJl94mIn5dFn-_hCt0rcc7k4</w:t>
        </w:r>
      </w:hyperlink>
    </w:p>
    <w:p>
      <w:pPr>
        <w:pStyle w:val="Normal"/>
        <w:spacing w:before="0" w:after="0"/>
        <w:contextualSpacing/>
        <w:rPr>
          <w:sz w:val="22"/>
          <w:szCs w:val="22"/>
        </w:rPr>
      </w:pPr>
      <w:r>
        <w:rPr>
          <w:sz w:val="22"/>
          <w:szCs w:val="22"/>
        </w:rPr>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Can two versions of reality exist at the same time? Physicists say they can — at the quantum level, that is.</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pStyle w:val="NormalWeb"/>
        <w:shd w:val="clear" w:fill="FFFFFF"/>
        <w:spacing w:before="0" w:after="0"/>
        <w:contextualSpacing/>
        <w:textAlignment w:val="baseline"/>
        <w:rPr/>
      </w:pPr>
      <w:r>
        <w:rPr>
          <w:rFonts w:cs="Arial" w:ascii="Arial" w:hAnsi="Arial"/>
          <w:sz w:val="22"/>
          <w:szCs w:val="22"/>
        </w:rPr>
        <w:t>For the first time, scientists have replicated conditions described in the thought experiment. Their results, published Feb. 13 in the </w:t>
      </w:r>
      <w:hyperlink r:id="rId446">
        <w:r>
          <w:rPr>
            <w:rStyle w:val="InternetLink"/>
            <w:rFonts w:cs="Arial" w:ascii="inherit" w:hAnsi="inherit"/>
            <w:sz w:val="22"/>
            <w:szCs w:val="22"/>
          </w:rPr>
          <w:t>preprint journal arXiv</w:t>
        </w:r>
      </w:hyperlink>
      <w:r>
        <w:rPr>
          <w:rFonts w:cs="Arial" w:ascii="Arial" w:hAnsi="Arial"/>
          <w:sz w:val="22"/>
          <w:szCs w:val="22"/>
        </w:rPr>
        <w:t>, confirmed that even when observers described different states in the same photon, the two conflicting realities could both be true. [</w:t>
      </w:r>
      <w:hyperlink r:id="rId447">
        <w:r>
          <w:rPr>
            <w:rStyle w:val="InternetLink"/>
            <w:rFonts w:cs="Arial" w:ascii="inherit" w:hAnsi="inherit"/>
            <w:sz w:val="22"/>
            <w:szCs w:val="22"/>
          </w:rPr>
          <w:t>The Biggest Unsolved Mysteries in Physics</w:t>
        </w:r>
      </w:hyperlink>
      <w:r>
        <w:rPr>
          <w:rFonts w:cs="Arial" w:ascii="Arial" w:hAnsi="Arial"/>
          <w:sz w:val="22"/>
          <w:szCs w:val="22"/>
        </w:rPr>
        <w:t>]</w:t>
      </w:r>
    </w:p>
    <w:p>
      <w:pPr>
        <w:pStyle w:val="NormalWeb"/>
        <w:shd w:val="clear" w:fill="FFFFFF"/>
        <w:spacing w:before="0" w:after="0"/>
        <w:contextualSpacing/>
        <w:textAlignment w:val="baseline"/>
        <w:rPr>
          <w:rFonts w:ascii="Arial" w:hAnsi="Arial" w:cs="Arial"/>
          <w:color w:val="5B5B5B"/>
          <w:sz w:val="22"/>
          <w:szCs w:val="22"/>
        </w:rPr>
      </w:pPr>
      <w:r>
        <w:rPr>
          <w:rFonts w:cs="Arial" w:ascii="Arial" w:hAnsi="Arial"/>
          <w:color w:val="5B5B5B"/>
          <w:sz w:val="22"/>
          <w:szCs w:val="22"/>
        </w:rPr>
      </w:r>
    </w:p>
    <w:p>
      <w:pPr>
        <w:pStyle w:val="NormalWeb"/>
        <w:shd w:val="clear" w:fill="FFFFFF"/>
        <w:spacing w:before="0" w:after="0"/>
        <w:contextualSpacing/>
        <w:textAlignment w:val="baseline"/>
        <w:rPr>
          <w:rFonts w:ascii="Arial" w:hAnsi="Arial" w:cs="Arial"/>
          <w:color w:val="FF0000"/>
          <w:sz w:val="22"/>
          <w:szCs w:val="22"/>
        </w:rPr>
      </w:pPr>
      <w:r>
        <w:rPr>
          <w:rFonts w:cs="Arial" w:ascii="Arial" w:hAnsi="Arial"/>
          <w:color w:val="FF0000"/>
          <w:sz w:val="22"/>
          <w:szCs w:val="22"/>
        </w:rPr>
        <w:t>[of course, it is about my EDWs!!!!]</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"You can verify both of them," study co-author Martin Ringbauer, a postdoctoral researcher with the Department of Experimental Physics at the University of Innsbrück in Austria, told Live Science.</w:t>
      </w:r>
    </w:p>
    <w:p>
      <w:pPr>
        <w:pStyle w:val="Heading2"/>
        <w:shd w:val="clear" w:fill="FFFFFF"/>
        <w:spacing w:before="0" w:after="0"/>
        <w:contextualSpacing/>
        <w:textAlignment w:val="baseline"/>
        <w:rPr>
          <w:rFonts w:ascii="Arial" w:hAnsi="Arial" w:cs="Arial"/>
          <w:color w:val="auto"/>
          <w:sz w:val="22"/>
          <w:szCs w:val="22"/>
        </w:rPr>
      </w:pPr>
      <w:r>
        <w:rPr>
          <w:rFonts w:cs="Arial" w:ascii="Arial" w:hAnsi="Arial"/>
          <w:color w:val="auto"/>
          <w:sz w:val="22"/>
          <w:szCs w:val="22"/>
        </w:rPr>
        <w:t>Wigner's friend</w:t>
      </w:r>
    </w:p>
    <w:p>
      <w:pPr>
        <w:pStyle w:val="NormalWeb"/>
        <w:shd w:val="clear" w:fill="FFFFFF"/>
        <w:spacing w:before="0" w:after="0"/>
        <w:contextualSpacing/>
        <w:textAlignment w:val="baseline"/>
        <w:rPr/>
      </w:pPr>
      <w:r>
        <w:rPr>
          <w:rFonts w:cs="Arial" w:ascii="Arial" w:hAnsi="Arial"/>
          <w:sz w:val="22"/>
          <w:szCs w:val="22"/>
        </w:rPr>
        <w:t>This perplexing idea was the brainchild of Eugene Wigner, winner of the Nobel Prize for Physics in 1963. In 1961, Wigner had introduced a thought experiment that became known as "Wigner's friend." It begins with a photon — </w:t>
      </w:r>
      <w:hyperlink r:id="rId448">
        <w:r>
          <w:rPr>
            <w:rStyle w:val="InternetLink"/>
            <w:rFonts w:cs="Arial" w:ascii="inherit" w:hAnsi="inherit"/>
            <w:sz w:val="22"/>
            <w:szCs w:val="22"/>
          </w:rPr>
          <w:t>a particle of light</w:t>
        </w:r>
      </w:hyperlink>
      <w:r>
        <w:rPr>
          <w:rFonts w:cs="Arial" w:ascii="Arial" w:hAnsi="Arial"/>
          <w:sz w:val="22"/>
          <w:szCs w:val="22"/>
        </w:rPr>
        <w:t>. When an observer in an isolated laboratory measures the photon, they find that the particle's polarization — the axis on which it spins — is either vertical or horizontal.</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However, before the photon is measured, the photon displays both polarizations at once, as dictated by the laws of quantum mechanics; it exists in a "superposition" of two possible states.</w:t>
      </w:r>
    </w:p>
    <w:p>
      <w:pPr>
        <w:pStyle w:val="NormalWeb"/>
        <w:shd w:val="clear" w:fill="FFFFFF"/>
        <w:spacing w:before="0" w:after="0"/>
        <w:contextualSpacing/>
        <w:textAlignment w:val="baseline"/>
        <w:rPr/>
      </w:pPr>
      <w:r>
        <w:rPr>
          <w:rFonts w:cs="Arial" w:ascii="Arial" w:hAnsi="Arial"/>
          <w:color w:val="FF0000"/>
          <w:sz w:val="22"/>
          <w:szCs w:val="22"/>
        </w:rPr>
        <w:t xml:space="preserve">[of course, the “superpostion” is a wrong notion within the “world” (i.e., the unicorn world); therefore the authors need to introduce, in their words, </w:t>
      </w:r>
      <w:r>
        <w:rPr>
          <w:rFonts w:cs="SFRM1000" w:ascii="SFRM1000" w:hAnsi="SFRM1000"/>
          <w:color w:val="000000"/>
          <w:sz w:val="22"/>
          <w:szCs w:val="22"/>
        </w:rPr>
        <w:t>observer-independent “facts of the world”</w:t>
      </w:r>
      <w:r>
        <w:rPr>
          <w:rFonts w:cs="SFRM1000" w:ascii="SFRM1000" w:hAnsi="SFRM1000"/>
          <w:color w:val="FF0000"/>
          <w:sz w:val="22"/>
          <w:szCs w:val="22"/>
        </w:rPr>
        <w:t>, i.e., my EDWs!!!!!!]</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pStyle w:val="NormalWeb"/>
        <w:shd w:val="clear" w:fill="FFFFFF"/>
        <w:spacing w:before="0" w:after="0"/>
        <w:contextualSpacing/>
        <w:textAlignment w:val="baseline"/>
        <w:rPr/>
      </w:pPr>
      <w:r>
        <w:rPr>
          <w:rFonts w:cs="Arial" w:ascii="Arial" w:hAnsi="Arial"/>
          <w:sz w:val="22"/>
          <w:szCs w:val="22"/>
        </w:rPr>
        <w:t>That outsider's observation — their reality — therefore diverges from the reality of the person in the lab who measured the photon. Yet, neither of those conflicting observations is thought to be wrong, </w:t>
      </w:r>
      <w:hyperlink r:id="rId449">
        <w:r>
          <w:rPr>
            <w:rStyle w:val="InternetLink"/>
            <w:rFonts w:cs="Arial" w:ascii="inherit" w:hAnsi="inherit"/>
            <w:sz w:val="22"/>
            <w:szCs w:val="22"/>
          </w:rPr>
          <w:t>according to quantum mechanics</w:t>
        </w:r>
      </w:hyperlink>
      <w:r>
        <w:rPr>
          <w:rFonts w:cs="Arial" w:ascii="Arial" w:hAnsi="Arial"/>
          <w:sz w:val="22"/>
          <w:szCs w:val="22"/>
        </w:rPr>
        <w:t>.</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r>
    </w:p>
    <w:p>
      <w:pPr>
        <w:pStyle w:val="NormalWeb"/>
        <w:shd w:val="clear" w:fill="FFFFFF"/>
        <w:spacing w:before="0" w:after="0"/>
        <w:contextualSpacing/>
        <w:textAlignment w:val="baseline"/>
        <w:rPr>
          <w:rFonts w:ascii="Arial" w:hAnsi="Arial" w:cs="Arial"/>
          <w:color w:val="FF0000"/>
          <w:sz w:val="22"/>
          <w:szCs w:val="22"/>
        </w:rPr>
      </w:pPr>
      <w:r>
        <w:rPr>
          <w:rFonts w:cs="Arial" w:ascii="Arial" w:hAnsi="Arial"/>
          <w:color w:val="FF0000"/>
          <w:sz w:val="22"/>
          <w:szCs w:val="22"/>
        </w:rPr>
        <w:t>[Of course, within the unicorn world, there would be strong ontological contradictions! I resolved all these ontological contradictions in my works 2002-2006-2008!!!!]</w:t>
      </w:r>
    </w:p>
    <w:p>
      <w:pPr>
        <w:pStyle w:val="Heading2"/>
        <w:shd w:val="clear" w:fill="FFFFFF"/>
        <w:spacing w:before="0" w:after="0"/>
        <w:contextualSpacing/>
        <w:textAlignment w:val="baseline"/>
        <w:rPr>
          <w:rFonts w:ascii="Arial" w:hAnsi="Arial" w:cs="Arial"/>
          <w:color w:val="auto"/>
          <w:sz w:val="22"/>
          <w:szCs w:val="22"/>
        </w:rPr>
      </w:pPr>
      <w:r>
        <w:rPr>
          <w:rFonts w:cs="Arial" w:ascii="Arial" w:hAnsi="Arial"/>
          <w:color w:val="auto"/>
          <w:sz w:val="22"/>
          <w:szCs w:val="22"/>
        </w:rPr>
        <w:t>Altered states</w:t>
      </w:r>
    </w:p>
    <w:p>
      <w:pPr>
        <w:pStyle w:val="NormalWeb"/>
        <w:shd w:val="clear" w:fill="FFFFFF"/>
        <w:spacing w:before="0" w:after="0"/>
        <w:contextualSpacing/>
        <w:textAlignment w:val="baseline"/>
        <w:rPr/>
      </w:pPr>
      <w:r>
        <w:rPr>
          <w:rFonts w:cs="Arial" w:ascii="Arial" w:hAnsi="Arial"/>
          <w:sz w:val="22"/>
          <w:szCs w:val="22"/>
        </w:rPr>
        <w:t>For decades, Wigner's mind-bending proposal was just an interesting thought experiment. But in recent years, </w:t>
      </w:r>
      <w:hyperlink r:id="rId450">
        <w:r>
          <w:rPr>
            <w:rStyle w:val="InternetLink"/>
            <w:rFonts w:cs="Arial" w:ascii="inherit" w:hAnsi="inherit"/>
            <w:sz w:val="22"/>
            <w:szCs w:val="22"/>
          </w:rPr>
          <w:t>important advances in physics</w:t>
        </w:r>
      </w:hyperlink>
      <w:r>
        <w:rPr>
          <w:rFonts w:cs="Arial" w:ascii="Arial" w:hAnsi="Arial"/>
          <w:sz w:val="22"/>
          <w:szCs w:val="22"/>
        </w:rPr>
        <w:t> finally enabled experts to put Wigner's proposal to the test, Ringbauer said.</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"Theoretical advances were needed to formulate the problem in a way that is testable. Then, the experimental side needed developments on the control of quantum systems to implement something like that," he explained.</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 xml:space="preserve">Ringbauer and his colleagues tested Wigner's original idea with an even more rigorous experiment which doubled the scenario. </w:t>
      </w:r>
    </w:p>
    <w:p>
      <w:pPr>
        <w:pStyle w:val="NormalWeb"/>
        <w:shd w:val="clear" w:fill="FFFFFF"/>
        <w:spacing w:before="0" w:after="0"/>
        <w:contextualSpacing/>
        <w:textAlignment w:val="baseline"/>
        <w:rPr>
          <w:rFonts w:ascii="Arial" w:hAnsi="Arial" w:cs="Arial"/>
          <w:color w:val="FF0000"/>
          <w:sz w:val="22"/>
          <w:szCs w:val="22"/>
        </w:rPr>
      </w:pPr>
      <w:r>
        <w:rPr>
          <w:rFonts w:cs="Arial" w:ascii="Arial" w:hAnsi="Arial"/>
          <w:color w:val="FF0000"/>
          <w:sz w:val="22"/>
          <w:szCs w:val="22"/>
        </w:rPr>
        <w:t>[really their “original idea”???? I don’t believe it is “original”!!!!]</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pStyle w:val="NormalWeb"/>
        <w:shd w:val="clear" w:fill="FFFFFF"/>
        <w:spacing w:before="0" w:after="0"/>
        <w:contextualSpacing/>
        <w:textAlignment w:val="baseline"/>
        <w:rPr/>
      </w:pPr>
      <w:r>
        <w:rPr>
          <w:rFonts w:cs="Arial" w:ascii="Arial" w:hAnsi="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hyperlink r:id="rId451">
        <w:r>
          <w:rPr>
            <w:rStyle w:val="InternetLink"/>
            <w:rFonts w:cs="Arial" w:ascii="inherit" w:hAnsi="inherit"/>
            <w:sz w:val="22"/>
            <w:szCs w:val="22"/>
          </w:rPr>
          <w:t>the polarized photons</w:t>
        </w:r>
      </w:hyperlink>
      <w:r>
        <w:rPr>
          <w:rFonts w:cs="Arial" w:ascii="Arial" w:hAnsi="Arial"/>
          <w:sz w:val="22"/>
          <w:szCs w:val="22"/>
        </w:rPr>
        <w:t>.</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pStyle w:val="NormalWeb"/>
        <w:shd w:val="clear" w:fill="FFFFFF"/>
        <w:spacing w:before="0" w:after="0"/>
        <w:contextualSpacing/>
        <w:textAlignment w:val="baseline"/>
        <w:rPr/>
      </w:pPr>
      <w:hyperlink r:id="rId452">
        <w:r>
          <w:rPr>
            <w:rStyle w:val="InternetLink"/>
            <w:rFonts w:cs="Arial" w:ascii="inherit" w:hAnsi="inherit"/>
            <w:sz w:val="22"/>
            <w:szCs w:val="22"/>
          </w:rPr>
          <w:t>Quantum mechanics</w:t>
        </w:r>
      </w:hyperlink>
      <w:r>
        <w:rPr>
          <w:rFonts w:cs="Arial" w:ascii="Arial" w:hAnsi="Arial"/>
          <w:sz w:val="22"/>
          <w:szCs w:val="22"/>
        </w:rPr>
        <w:t> describes how the world works at a scale so small that the normal rules of physics no longer apply; over many decades, experts who study the field have offered numerous interpretations of what that means, Ringbauer said.</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r>
    </w:p>
    <w:p>
      <w:pPr>
        <w:pStyle w:val="NormalWeb"/>
        <w:shd w:val="clear" w:fill="FFFFFF"/>
        <w:spacing w:before="0" w:after="0"/>
        <w:contextualSpacing/>
        <w:textAlignment w:val="baseline"/>
        <w:rPr>
          <w:rFonts w:ascii="Arial" w:hAnsi="Arial" w:cs="Arial"/>
          <w:color w:val="FF0000"/>
          <w:sz w:val="22"/>
          <w:szCs w:val="22"/>
        </w:rPr>
      </w:pPr>
      <w:r>
        <w:rPr>
          <w:rFonts w:cs="Arial" w:ascii="Arial" w:hAnsi="Arial"/>
          <w:color w:val="FF0000"/>
          <w:sz w:val="22"/>
          <w:szCs w:val="22"/>
        </w:rPr>
        <w:t>[In my book from 2008, (that it is my PhD thesis from UNSW, Sydney, Australia that can be found on internet at the university page posted FREE by the staff from this university in 2007!!!]</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However, if measurements themselves aren't absolutes — as these new findings suggest — that challenges the very meaning of quantum mechanics.</w:t>
      </w:r>
    </w:p>
    <w:p>
      <w:pPr>
        <w:pStyle w:val="NormalWeb"/>
        <w:shd w:val="clear" w:fill="FFFFFF"/>
        <w:spacing w:before="0" w:after="0"/>
        <w:contextualSpacing/>
        <w:textAlignment w:val="baseline"/>
        <w:rPr>
          <w:rFonts w:ascii="Arial" w:hAnsi="Arial" w:cs="Arial"/>
          <w:color w:val="FF0000"/>
          <w:sz w:val="22"/>
          <w:szCs w:val="22"/>
        </w:rPr>
      </w:pPr>
      <w:r>
        <w:rPr>
          <w:rFonts w:cs="Arial" w:ascii="Arial" w:hAnsi="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"It seems that, in contrast to classical physics, measurement results cannot be considered absolute truth but must be understood relative to the observer who performed the measurement," Ringbauer said.</w:t>
      </w:r>
    </w:p>
    <w:p>
      <w:pPr>
        <w:pStyle w:val="NormalWeb"/>
        <w:shd w:val="clear" w:fill="FFFFFF"/>
        <w:spacing w:before="0" w:after="0"/>
        <w:contextualSpacing/>
        <w:textAlignment w:val="baseline"/>
        <w:rPr>
          <w:rFonts w:ascii="Arial" w:hAnsi="Arial" w:cs="Arial"/>
          <w:color w:val="FF0000"/>
          <w:sz w:val="22"/>
          <w:szCs w:val="22"/>
        </w:rPr>
      </w:pPr>
      <w:r>
        <w:rPr>
          <w:rFonts w:cs="Arial" w:ascii="Arial" w:hAnsi="Arial"/>
          <w:color w:val="FF0000"/>
          <w:sz w:val="22"/>
          <w:szCs w:val="22"/>
        </w:rPr>
        <w:t>[Again, of course, my EDWs!!!]</w:t>
      </w:r>
    </w:p>
    <w:p>
      <w:pPr>
        <w:pStyle w:val="NormalWeb"/>
        <w:shd w:val="clear" w:fill="FFFFFF"/>
        <w:spacing w:before="0" w:after="0"/>
        <w:contextualSpacing/>
        <w:textAlignment w:val="baseline"/>
        <w:rPr>
          <w:rFonts w:ascii="Arial" w:hAnsi="Arial" w:cs="Arial"/>
          <w:sz w:val="22"/>
          <w:szCs w:val="22"/>
        </w:rPr>
      </w:pPr>
      <w:r>
        <w:rPr>
          <w:rFonts w:cs="Arial" w:ascii="Arial" w:hAnsi="Arial"/>
          <w:sz w:val="22"/>
          <w:szCs w:val="22"/>
        </w:rPr>
        <w:t>"The stories we tell about quantum mechanics have to adapt to that," he said.</w:t>
      </w:r>
    </w:p>
    <w:p>
      <w:pPr>
        <w:pStyle w:val="Normal"/>
        <w:spacing w:before="0" w:after="0"/>
        <w:contextualSpacing/>
        <w:rPr>
          <w:color w:val="FF0000"/>
          <w:sz w:val="22"/>
          <w:szCs w:val="22"/>
        </w:rPr>
      </w:pPr>
      <w:r>
        <w:rPr>
          <w:color w:val="FF0000"/>
          <w:sz w:val="22"/>
          <w:szCs w:val="22"/>
        </w:rPr>
        <w:t>[Indeed, the adaption to EDWs!!!!!]</w:t>
      </w:r>
    </w:p>
    <w:p>
      <w:pPr>
        <w:pStyle w:val="Normal"/>
        <w:spacing w:before="0" w:after="0"/>
        <w:contextualSpacing/>
        <w:rPr>
          <w:color w:val="FF0000"/>
          <w:sz w:val="22"/>
          <w:szCs w:val="22"/>
        </w:rPr>
      </w:pPr>
      <w:r>
        <w:rPr>
          <w:color w:val="FF0000"/>
          <w:sz w:val="22"/>
          <w:szCs w:val="22"/>
        </w:rPr>
      </w:r>
    </w:p>
    <w:p>
      <w:pPr>
        <w:pStyle w:val="Normal"/>
        <w:spacing w:before="0" w:after="0"/>
        <w:contextualSpacing/>
        <w:rPr>
          <w:b/>
          <w:b/>
          <w:sz w:val="22"/>
          <w:szCs w:val="22"/>
        </w:rPr>
      </w:pPr>
      <w:r>
        <w:rPr>
          <w:b/>
          <w:sz w:val="22"/>
          <w:szCs w:val="22"/>
        </w:rPr>
        <w:t>Bibliography</w:t>
      </w:r>
    </w:p>
    <w:p>
      <w:pPr>
        <w:pStyle w:val="Normal"/>
        <w:spacing w:before="0" w:after="0"/>
        <w:contextualSpacing/>
        <w:rPr/>
      </w:pPr>
      <w:hyperlink r:id="rId453">
        <w:r>
          <w:rPr>
            <w:rStyle w:val="InternetLink"/>
            <w:sz w:val="22"/>
            <w:szCs w:val="22"/>
          </w:rPr>
          <w:t>https://sites.google.com/view/gabriel-vacariu-philosophy/home</w:t>
        </w:r>
      </w:hyperlink>
    </w:p>
    <w:p>
      <w:pPr>
        <w:pStyle w:val="Normal"/>
        <w:spacing w:before="0" w:after="0"/>
        <w:contextualSpacing/>
        <w:rPr/>
      </w:pPr>
      <w:hyperlink r:id="rId454">
        <w:r>
          <w:rPr>
            <w:rStyle w:val="InternetLink"/>
            <w:sz w:val="22"/>
            <w:szCs w:val="22"/>
          </w:rPr>
          <w:t>http://filosofie.unibuc.ro/cv_gabriel_vacariu/</w:t>
        </w:r>
      </w:hyperlink>
    </w:p>
    <w:p>
      <w:pPr>
        <w:pStyle w:val="Normal"/>
        <w:spacing w:before="0" w:after="0"/>
        <w:contextualSpacing/>
        <w:rPr/>
      </w:pPr>
      <w:hyperlink r:id="rId455">
        <w:r>
          <w:rPr>
            <w:rStyle w:val="InternetLink"/>
            <w:sz w:val="22"/>
            <w:szCs w:val="22"/>
          </w:rPr>
          <w:t>https://www.youtube.com/channel/UC_3I96MSwXpUjm2x6f6SaUA?view_as=subscriber</w:t>
        </w:r>
      </w:hyperlink>
    </w:p>
    <w:p>
      <w:pPr>
        <w:pStyle w:val="Normal"/>
        <w:spacing w:before="0" w:after="0"/>
        <w:contextualSpacing/>
        <w:rPr>
          <w:sz w:val="22"/>
          <w:szCs w:val="22"/>
        </w:rPr>
      </w:pPr>
      <w:r>
        <w:rPr>
          <w:sz w:val="22"/>
          <w:szCs w:val="22"/>
        </w:rPr>
      </w:r>
    </w:p>
    <w:p>
      <w:pPr>
        <w:pStyle w:val="Normal"/>
        <w:spacing w:before="0" w:after="0"/>
        <w:contextualSpacing/>
        <w:rPr/>
      </w:pPr>
      <w:r>
        <w:rPr/>
      </w:r>
    </w:p>
    <w:p>
      <w:pPr>
        <w:pStyle w:val="ListParagraph"/>
        <w:numPr>
          <w:ilvl w:val="0"/>
          <w:numId w:val="31"/>
        </w:numPr>
        <w:spacing w:before="0" w:after="0"/>
        <w:ind w:left="0" w:right="0" w:hanging="360"/>
        <w:contextualSpacing/>
        <w:rPr/>
      </w:pPr>
      <w:r>
        <w:rPr>
          <w:rFonts w:cs="NimbusRomNo9L-Regu" w:ascii="NimbusRomNo9L-Regu" w:hAnsi="NimbusRomNo9L-Regu"/>
          <w:b/>
          <w:sz w:val="28"/>
          <w:szCs w:val="28"/>
        </w:rPr>
        <w:t xml:space="preserve">(March 2019) Gabriel Vacariu: UNBELIEVABLE similar ideas of </w:t>
      </w:r>
      <w:r>
        <w:rPr>
          <w:rFonts w:ascii="Times New Roman" w:hAnsi="Times New Roman"/>
          <w:b/>
          <w:sz w:val="24"/>
          <w:szCs w:val="24"/>
        </w:rPr>
        <w:t>Cˇaslav</w:t>
      </w:r>
      <w:r>
        <w:rPr>
          <w:rFonts w:cs="NimbusRomNo9L-Regu" w:ascii="NimbusRomNo9L-Regu" w:hAnsi="NimbusRomNo9L-Regu"/>
          <w:b/>
          <w:sz w:val="24"/>
          <w:szCs w:val="24"/>
        </w:rPr>
        <w:t xml:space="preserve"> </w:t>
      </w:r>
      <w:r>
        <w:rPr>
          <w:rFonts w:cs="NimbusRomNo9L-Regu" w:ascii="NimbusRomNo9L-Regu" w:hAnsi="NimbusRomNo9L-Regu"/>
          <w:b/>
          <w:sz w:val="28"/>
          <w:szCs w:val="28"/>
        </w:rPr>
        <w:t xml:space="preserve">Brukner (2015) on quantum mechanics and my ideas (2002-2006) </w:t>
      </w:r>
    </w:p>
    <w:p>
      <w:pPr>
        <w:pStyle w:val="Normal"/>
        <w:spacing w:before="0" w:after="0"/>
        <w:contextualSpacing/>
        <w:jc w:val="left"/>
        <w:rPr>
          <w:rFonts w:ascii="NimbusRomNo9L-Regu" w:hAnsi="NimbusRomNo9L-Regu" w:cs="NimbusRomNo9L-Regu"/>
          <w:b/>
          <w:b/>
          <w:sz w:val="28"/>
          <w:szCs w:val="28"/>
        </w:rPr>
      </w:pPr>
      <w:r>
        <w:rPr>
          <w:rFonts w:cs="NimbusRomNo9L-Regu" w:ascii="NimbusRomNo9L-Regu" w:hAnsi="NimbusRomNo9L-Regu"/>
          <w:b/>
          <w:sz w:val="28"/>
          <w:szCs w:val="28"/>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[In this article, I investigate the UNBELIEVABLE similar ideas of Brukner’s article (2015) and my ideas (2002-2008)]</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b/>
          <w:b/>
          <w:sz w:val="28"/>
          <w:szCs w:val="28"/>
        </w:rPr>
      </w:pPr>
      <w:r>
        <w:rPr>
          <w:rFonts w:cs="NimbusRomNo9L-Regu" w:ascii="NimbusRomNo9L-Regu" w:hAnsi="NimbusRomNo9L-Regu"/>
          <w:b/>
          <w:sz w:val="28"/>
          <w:szCs w:val="28"/>
        </w:rPr>
        <w:t>Cˇaslav Brukner (2015) On the quantum measurement problem</w:t>
      </w:r>
      <w:bookmarkStart w:id="13" w:name="_Hlk4081567"/>
      <w:bookmarkEnd w:id="13"/>
    </w:p>
    <w:p>
      <w:pPr>
        <w:pStyle w:val="Normal"/>
        <w:spacing w:before="0" w:after="0"/>
        <w:contextualSpacing/>
        <w:jc w:val="left"/>
        <w:rPr/>
      </w:pPr>
      <w:r>
        <w:rPr>
          <w:rFonts w:cs="NimbusRomNo9L-Regu" w:ascii="NimbusRomNo9L-Regu" w:hAnsi="NimbusRomNo9L-Regu"/>
        </w:rPr>
        <w:t>1</w:t>
      </w:r>
      <w:r>
        <w:rPr>
          <w:rFonts w:cs="rtxmi" w:ascii="rtxmi" w:hAnsi="rtxmi"/>
        </w:rPr>
        <w:t>;</w:t>
      </w:r>
      <w:r>
        <w:rPr>
          <w:rFonts w:cs="NimbusRomNo9L-Regu" w:ascii="NimbusRomNo9L-Regu" w:hAnsi="NimbusRomNo9L-Regu"/>
        </w:rPr>
        <w:t>2</w:t>
      </w:r>
    </w:p>
    <w:p>
      <w:pPr>
        <w:pStyle w:val="Normal"/>
        <w:spacing w:before="0" w:after="0"/>
        <w:contextualSpacing/>
        <w:jc w:val="left"/>
        <w:rPr/>
      </w:pPr>
      <w:r>
        <w:rPr>
          <w:rFonts w:cs="NimbusRomNo9L-Regu" w:ascii="NimbusRomNo9L-Regu" w:hAnsi="NimbusRomNo9L-Regu"/>
        </w:rPr>
        <w:t>1</w:t>
      </w:r>
      <w:r>
        <w:rPr>
          <w:rFonts w:cs="NimbusRomNo9L-ReguItal" w:ascii="NimbusRomNo9L-ReguItal" w:hAnsi="NimbusRomNo9L-ReguItal"/>
        </w:rPr>
        <w:t>Faculty of Physics, University of Vienna, Boltzmanngasse 5, A-1090 Vienna,</w:t>
      </w:r>
    </w:p>
    <w:p>
      <w:pPr>
        <w:pStyle w:val="Normal"/>
        <w:spacing w:before="0" w:after="0"/>
        <w:contextualSpacing/>
        <w:jc w:val="left"/>
        <w:rPr>
          <w:rFonts w:ascii="NimbusRomNo9L-ReguItal" w:hAnsi="NimbusRomNo9L-ReguItal" w:cs="NimbusRomNo9L-ReguItal"/>
        </w:rPr>
      </w:pPr>
      <w:r>
        <w:rPr>
          <w:rFonts w:cs="NimbusRomNo9L-ReguItal" w:ascii="NimbusRomNo9L-ReguItal" w:hAnsi="NimbusRomNo9L-ReguItal"/>
        </w:rPr>
        <w:t>Austria.</w:t>
      </w:r>
    </w:p>
    <w:p>
      <w:pPr>
        <w:pStyle w:val="Normal"/>
        <w:spacing w:before="0" w:after="0"/>
        <w:contextualSpacing/>
        <w:jc w:val="left"/>
        <w:rPr/>
      </w:pPr>
      <w:r>
        <w:rPr>
          <w:rFonts w:cs="NimbusRomNo9L-Regu" w:ascii="NimbusRomNo9L-Regu" w:hAnsi="NimbusRomNo9L-Regu"/>
        </w:rPr>
        <w:t>2</w:t>
      </w:r>
      <w:r>
        <w:rPr>
          <w:rFonts w:cs="NimbusRomNo9L-ReguItal" w:ascii="NimbusRomNo9L-ReguItal" w:hAnsi="NimbusRomNo9L-ReguItal"/>
        </w:rPr>
        <w:t>Institute of Quantum Optics and Quantum Information, Austrian Academy of</w:t>
      </w:r>
    </w:p>
    <w:p>
      <w:pPr>
        <w:pStyle w:val="Normal"/>
        <w:spacing w:before="0" w:after="0"/>
        <w:contextualSpacing/>
        <w:rPr>
          <w:rFonts w:ascii="NimbusRomNo9L-ReguItal" w:hAnsi="NimbusRomNo9L-ReguItal" w:cs="NimbusRomNo9L-ReguItal"/>
        </w:rPr>
      </w:pPr>
      <w:r>
        <w:rPr>
          <w:rFonts w:cs="NimbusRomNo9L-ReguItal" w:ascii="NimbusRomNo9L-ReguItal" w:hAnsi="NimbusRomNo9L-ReguItal"/>
        </w:rPr>
        <w:t>Sciences, Boltzmanngasse 3, A-1090 Vienna, Austria.</w:t>
      </w:r>
    </w:p>
    <w:p>
      <w:pPr>
        <w:pStyle w:val="Normal"/>
        <w:spacing w:before="0" w:after="0"/>
        <w:contextualSpacing/>
        <w:rPr>
          <w:rFonts w:ascii="NimbusRomNo9L-ReguItal" w:hAnsi="NimbusRomNo9L-ReguItal" w:cs="NimbusRomNo9L-ReguItal"/>
        </w:rPr>
      </w:pPr>
      <w:r>
        <w:rPr>
          <w:rFonts w:cs="NimbusRomNo9L-ReguItal" w:ascii="NimbusRomNo9L-ReguItal" w:hAnsi="NimbusRomNo9L-ReguItal"/>
        </w:rPr>
      </w:r>
    </w:p>
    <w:p>
      <w:pPr>
        <w:pStyle w:val="Normal"/>
        <w:spacing w:before="0" w:after="0"/>
        <w:contextualSpacing/>
        <w:rPr>
          <w:color w:val="808080"/>
        </w:rPr>
      </w:pPr>
      <w:r>
        <w:rPr>
          <w:color w:val="808080"/>
        </w:rPr>
        <w:t>arXiv:1507.05255v1 [quant-ph] 19 Jul 2015</w:t>
      </w:r>
      <w:bookmarkStart w:id="14" w:name="_Hlk4081631"/>
      <w:bookmarkEnd w:id="14"/>
    </w:p>
    <w:p>
      <w:pPr>
        <w:pStyle w:val="Normal"/>
        <w:spacing w:before="0" w:after="0"/>
        <w:contextualSpacing/>
        <w:rPr>
          <w:color w:val="808080"/>
          <w:sz w:val="40"/>
          <w:szCs w:val="40"/>
        </w:rPr>
      </w:pPr>
      <w:r>
        <w:rPr>
          <w:color w:val="808080"/>
          <w:sz w:val="40"/>
          <w:szCs w:val="40"/>
        </w:rPr>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 xml:space="preserve">Abstract </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In this paper, I attempt a personal account of my understanding of the</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measurement problem in quantum mechanics, which has been largely in the</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tradition of the Copenhagen interpretation. I assume that (i) the quantum</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state is a representation of knowledge of a (real or hypothetical) observer</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relative to her experimental capabilities; (ii) measurements have definite</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outcomes in the sense that only one outcome occurs; (iii) quantum theory</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is universal and the irreversibility of the measurement process is only “for</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all practical purposes”. These assumptions are analyzed within quantum</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theory and their consistency is tested in Deutsch’s version of the Wigner’s</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friend gedanken experiment, where the friend reveals toWigner whether she</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observes a definite outcome without revealing which outcome she observes.</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The view that holds the coexistence of the “facts of the world” common both</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for Wigner and his friend runs into the problem of the hidden variable program.</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The solution lies in understanding that “facts” can only exist relative</w:t>
      </w:r>
    </w:p>
    <w:p>
      <w:pPr>
        <w:pStyle w:val="Normal"/>
        <w:spacing w:before="0" w:after="0"/>
        <w:contextualSpacing/>
        <w:rPr>
          <w:rFonts w:ascii="NimbusRomNo9L-Regu" w:hAnsi="NimbusRomNo9L-Regu" w:cs="NimbusRomNo9L-Regu"/>
          <w:sz w:val="22"/>
          <w:szCs w:val="22"/>
        </w:rPr>
      </w:pPr>
      <w:r>
        <w:rPr>
          <w:rFonts w:cs="NimbusRomNo9L-Regu" w:ascii="NimbusRomNo9L-Regu" w:hAnsi="NimbusRomNo9L-Regu"/>
          <w:sz w:val="22"/>
          <w:szCs w:val="22"/>
        </w:rPr>
        <w:t>to the observer.</w:t>
      </w:r>
    </w:p>
    <w:p>
      <w:pPr>
        <w:pStyle w:val="Normal"/>
        <w:spacing w:before="0" w:after="0"/>
        <w:contextualSpacing/>
        <w:rPr>
          <w:rFonts w:ascii="NimbusRomNo9L-Regu" w:hAnsi="NimbusRomNo9L-Regu" w:cs="NimbusRomNo9L-Regu"/>
          <w:sz w:val="22"/>
          <w:szCs w:val="22"/>
        </w:rPr>
      </w:pPr>
      <w:r>
        <w:rPr>
          <w:rFonts w:cs="NimbusRomNo9L-Regu" w:ascii="NimbusRomNo9L-Regu" w:hAnsi="NimbusRomNo9L-Regu"/>
          <w:sz w:val="22"/>
          <w:szCs w:val="22"/>
        </w:rPr>
      </w:r>
    </w:p>
    <w:p>
      <w:pPr>
        <w:pStyle w:val="Normal"/>
        <w:spacing w:before="0" w:after="0"/>
        <w:contextualSpacing/>
        <w:rPr>
          <w:rFonts w:ascii="NimbusRomNo9L-Regu" w:hAnsi="NimbusRomNo9L-Regu" w:cs="NimbusRomNo9L-Regu"/>
          <w:color w:val="FF0000"/>
          <w:sz w:val="22"/>
          <w:szCs w:val="22"/>
        </w:rPr>
      </w:pPr>
      <w:r>
        <w:rPr>
          <w:rFonts w:cs="NimbusRomNo9L-Regu" w:ascii="NimbusRomNo9L-Regu" w:hAnsi="NimbusRomNo9L-Regu"/>
          <w:color w:val="FF0000"/>
          <w:sz w:val="22"/>
          <w:szCs w:val="22"/>
        </w:rPr>
        <w:t>[The reader can already notice the UNBELIVABLE similarities between my ideas referring to QM and Brukner’s ideas!!]</w:t>
      </w:r>
    </w:p>
    <w:p>
      <w:pPr>
        <w:pStyle w:val="Normal"/>
        <w:spacing w:before="0" w:after="0"/>
        <w:contextualSpacing/>
        <w:rPr>
          <w:rFonts w:ascii="NimbusRomNo9L-Regu" w:hAnsi="NimbusRomNo9L-Regu" w:cs="NimbusRomNo9L-Regu"/>
          <w:color w:val="FF0000"/>
          <w:sz w:val="22"/>
          <w:szCs w:val="22"/>
        </w:rPr>
      </w:pPr>
      <w:r>
        <w:rPr>
          <w:rFonts w:cs="NimbusRomNo9L-Regu" w:ascii="NimbusRomNo9L-Regu" w:hAnsi="NimbusRomNo9L-Regu"/>
          <w:color w:val="FF0000"/>
          <w:sz w:val="22"/>
          <w:szCs w:val="22"/>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the following, I would like to present a personal account of my understanding</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the measurement problems in quantum mechanics. My intention is not to</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argue that the approach I chose is the “best” way in any particular sense, but rather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demonstrate its logical consistency and to investigate what consequences the requirement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for its consistency have for our understanding of physical reality. I will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first present a probabilistic argument that explains why the measurement process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is irreversible “for all practical purposes”. Furthermore, by analyzing Deutsch’s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version of the Wigner’s friend gedanken experiment, I will show that any attempt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assume that the measurement records (or “facts” or experiences) that coexist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for both Wigner and his friend will run into the problems of the hidden variable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program, for which I propose a Bell-type experiment. The conclusion is that these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records can have meaning only relative to the observers; there are no “facts of the</w:t>
      </w:r>
    </w:p>
    <w:p>
      <w:pPr>
        <w:pStyle w:val="Normal"/>
        <w:spacing w:before="0" w:after="0"/>
        <w:contextualSpacing/>
        <w:rPr/>
      </w:pPr>
      <w:r>
        <w:rPr>
          <w:rFonts w:cs="NimbusRomNo9L-Regu" w:ascii="NimbusRomNo9L-Regu" w:hAnsi="NimbusRomNo9L-Regu"/>
          <w:sz w:val="20"/>
          <w:szCs w:val="20"/>
        </w:rPr>
        <w:t xml:space="preserve">world </w:t>
      </w:r>
      <w:r>
        <w:rPr>
          <w:rFonts w:cs="NimbusRomNo9L-ReguItal" w:ascii="NimbusRomNo9L-ReguItal" w:hAnsi="NimbusRomNo9L-ReguItal"/>
          <w:sz w:val="20"/>
          <w:szCs w:val="20"/>
        </w:rPr>
        <w:t>per se</w:t>
      </w:r>
      <w:r>
        <w:rPr>
          <w:rFonts w:cs="NimbusRomNo9L-Regu" w:ascii="NimbusRomNo9L-Regu" w:hAnsi="NimbusRomNo9L-Regu"/>
          <w:sz w:val="20"/>
          <w:szCs w:val="20"/>
        </w:rPr>
        <w:t xml:space="preserve">”. </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Although I see my view of the quantum measurement problem broadly in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tradition of the Copenhagen interpretation, particularly within the informationtheoretical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approach to quantum mechanics [4], it contains elements from Qbism [5],</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the relative interpretation of Rovelli [6] and even the many-worlds interpretation. (p. 2)</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 </w:t>
      </w:r>
    </w:p>
    <w:p>
      <w:pPr>
        <w:pStyle w:val="Normal"/>
        <w:spacing w:before="0" w:after="0"/>
        <w:contextualSpacing/>
        <w:jc w:val="left"/>
        <w:rPr>
          <w:rFonts w:ascii="NimbusRomNo9L-Regu" w:hAnsi="NimbusRomNo9L-Regu" w:cs="NimbusRomNo9L-Regu"/>
          <w:color w:val="FF0000"/>
          <w:sz w:val="20"/>
          <w:szCs w:val="20"/>
        </w:rPr>
      </w:pPr>
      <w:r>
        <w:rPr>
          <w:rFonts w:cs="NimbusRomNo9L-Regu" w:ascii="NimbusRomNo9L-Regu" w:hAnsi="NimbusRomNo9L-Regu"/>
          <w:color w:val="FF0000"/>
          <w:sz w:val="20"/>
          <w:szCs w:val="20"/>
        </w:rPr>
        <w:t>[Clearly we have here the framework of my EDWs since there are no “facts of the</w:t>
      </w:r>
    </w:p>
    <w:p>
      <w:pPr>
        <w:pStyle w:val="Normal"/>
        <w:spacing w:before="0" w:after="0"/>
        <w:contextualSpacing/>
        <w:rPr/>
      </w:pPr>
      <w:r>
        <w:rPr>
          <w:rFonts w:cs="NimbusRomNo9L-Regu" w:ascii="NimbusRomNo9L-Regu" w:hAnsi="NimbusRomNo9L-Regu"/>
          <w:color w:val="FF0000"/>
          <w:sz w:val="20"/>
          <w:szCs w:val="20"/>
        </w:rPr>
        <w:t xml:space="preserve">world </w:t>
      </w:r>
      <w:r>
        <w:rPr>
          <w:rFonts w:cs="NimbusRomNo9L-ReguItal" w:ascii="NimbusRomNo9L-ReguItal" w:hAnsi="NimbusRomNo9L-ReguItal"/>
          <w:color w:val="FF0000"/>
          <w:sz w:val="20"/>
          <w:szCs w:val="20"/>
        </w:rPr>
        <w:t>per se</w:t>
      </w:r>
      <w:r>
        <w:rPr>
          <w:rFonts w:cs="NimbusRomNo9L-Regu" w:ascii="NimbusRomNo9L-Regu" w:hAnsi="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pPr>
      <w:r>
        <w:rPr>
          <w:rFonts w:cs="NimbusRomNo9L-Regu" w:ascii="NimbusRomNo9L-Regu" w:hAnsi="NimbusRomNo9L-Regu"/>
          <w:sz w:val="20"/>
          <w:szCs w:val="20"/>
        </w:rPr>
        <w:t>The solutions to the small measurement problem which have been o</w:t>
      </w:r>
      <w:r>
        <w:rPr>
          <w:rFonts w:cs="rtxr" w:ascii="rtxr" w:hAnsi="rtxr"/>
          <w:sz w:val="20"/>
          <w:szCs w:val="20"/>
        </w:rPr>
        <w:t>_</w:t>
      </w:r>
      <w:r>
        <w:rPr>
          <w:rFonts w:cs="NimbusRomNo9L-Regu" w:ascii="NimbusRomNo9L-Regu" w:hAnsi="NimbusRomNo9L-Regu"/>
          <w:sz w:val="20"/>
          <w:szCs w:val="20"/>
        </w:rPr>
        <w:t>ered to</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date basically present two underlying premisses. They either introduce “hidden”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causes that determine which outcome will occur in a given experimental run (as in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Bohm’s hidden-variables theory), or they refute the basic notion of measurements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resulting in definite outcomes (as in the Everett interpretation). None of that is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really necessary. My position is that measurements have definite outcomes in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sense that only one outcome can be the result of a single experimental run.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This is rather obvious. If it were otherwise, the notion of measurement would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become ambiguous. If the outcome is not definitive, then no observation has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occurred. This, however, does not exclude the possibility that the conditions that</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define a measurement are fulfilled for one observer but not for another. (p. 2) </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[I draw the attention to the reader this paragraph is not from my works! UNBELIEVABLE similar ideas to my ideas from 2002-2008!]</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 would like to express clearly that I do agree with the Qbists and the Copenhagenists</w:t>
      </w:r>
    </w:p>
    <w:p>
      <w:pPr>
        <w:pStyle w:val="Normal"/>
        <w:spacing w:before="0" w:after="0"/>
        <w:contextualSpacing/>
        <w:jc w:val="left"/>
        <w:rPr/>
      </w:pPr>
      <w:r>
        <w:rPr>
          <w:rFonts w:cs="NimbusRomNo9L-Regu" w:ascii="NimbusRomNo9L-Regu" w:hAnsi="NimbusRomNo9L-Regu"/>
          <w:sz w:val="20"/>
          <w:szCs w:val="20"/>
        </w:rPr>
        <w:t xml:space="preserve">on the necessity of a </w:t>
      </w:r>
      <w:r>
        <w:rPr>
          <w:rFonts w:cs="NimbusRomNo9L-ReguItal" w:ascii="NimbusRomNo9L-ReguItal" w:hAnsi="NimbusRomNo9L-ReguItal"/>
          <w:sz w:val="20"/>
          <w:szCs w:val="20"/>
        </w:rPr>
        <w:t xml:space="preserve">functional </w:t>
      </w:r>
      <w:r>
        <w:rPr>
          <w:rFonts w:cs="NimbusRomNo9L-Regu" w:ascii="NimbusRomNo9L-Regu" w:hAnsi="NimbusRomNo9L-Regu"/>
          <w:sz w:val="20"/>
          <w:szCs w:val="20"/>
        </w:rPr>
        <w:t>distinction between the object and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subject of observation. This distinction is at the heart of Bohr’s epistemological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argument that measurement instruments lie outside the domain of the theory,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insofar as they serve their purpose of acquiring empirical knowledge. Regretfully,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this argument has repeatedly been misinterpreted in textbooks and articles and “replaced by the crude physical assumption that macroscopic systems behave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classically, which would introduce an artificial split of the physical world into</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 quantum microcosms and a classical macrocosms.” [14]. The “cut” is not between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macro and micro worlds but between the measuring apparatus and the</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observed quantum system. It is of epistemic, not of ontic origin. (p. 4)</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[in my works 2002-2005-2006, etc. I investigate exactly the same distinction in exactly the same framework. However, I talked about epistemologic-ontologic distinctions!]</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Bohr and Heisenberg seem to have disagreed about the movability of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cut [15]. As Heisenberg recalls in his letter to Heelan [16] (quoted in Ref. [15]):</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t>
      </w:r>
      <w:r>
        <w:rPr>
          <w:rFonts w:cs="NimbusRomNo9L-Regu" w:ascii="NimbusRomNo9L-Regu" w:hAnsi="NimbusRomNo9L-Regu"/>
          <w:sz w:val="20"/>
          <w:szCs w:val="20"/>
        </w:rPr>
        <w:t>I argued that a cut could be moved around to some extent while Bohr preferred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think that the position is uniquely defined in every experiment”. In my understanding,</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the two views are not conflicting and can be brought into accordance. (p. 5) </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[Really? Under what framework? Under the unicorn world? Or the EDWs????]</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“wave function of the universe” that would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include the observer is a problematic concept, as it negates the necessity of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object–subject cut.). This is compatible with Malin’s view [19] that “quantum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states represent the available knowledge about the potentialities of a quantum system,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knowledge from the perspective of a particular location in space”, not of any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actual observer.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 share Malin’s view on the meaning of the quantum state, which is essentially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one supported by Copenhagenists and Qbists. I would like to add just one, but</w:t>
      </w:r>
    </w:p>
    <w:p>
      <w:pPr>
        <w:pStyle w:val="Normal"/>
        <w:spacing w:before="0" w:after="0"/>
        <w:contextualSpacing/>
        <w:jc w:val="left"/>
        <w:rPr/>
      </w:pPr>
      <w:r>
        <w:rPr>
          <w:rFonts w:cs="NimbusRomNo9L-Regu" w:ascii="NimbusRomNo9L-Regu" w:hAnsi="NimbusRomNo9L-Regu"/>
          <w:sz w:val="20"/>
          <w:szCs w:val="20"/>
        </w:rPr>
        <w:t xml:space="preserve">an important, aspect to this view: </w:t>
      </w:r>
      <w:r>
        <w:rPr>
          <w:rFonts w:cs="NimbusRomNo9L-ReguItal" w:ascii="NimbusRomNo9L-ReguItal" w:hAnsi="NimbusRomNo9L-ReguItal"/>
          <w:sz w:val="20"/>
          <w:szCs w:val="20"/>
        </w:rPr>
        <w:t>The quantum state is a representation of knowledge</w:t>
      </w:r>
    </w:p>
    <w:p>
      <w:pPr>
        <w:pStyle w:val="Normal"/>
        <w:spacing w:before="0" w:after="0"/>
        <w:contextualSpacing/>
        <w:jc w:val="left"/>
        <w:rPr>
          <w:rFonts w:ascii="NimbusRomNo9L-ReguItal" w:hAnsi="NimbusRomNo9L-ReguItal" w:cs="NimbusRomNo9L-ReguItal"/>
          <w:sz w:val="20"/>
          <w:szCs w:val="20"/>
        </w:rPr>
      </w:pPr>
      <w:r>
        <w:rPr>
          <w:rFonts w:cs="NimbusRomNo9L-ReguItal" w:ascii="NimbusRomNo9L-ReguItal" w:hAnsi="NimbusRomNo9L-ReguItal"/>
          <w:sz w:val="20"/>
          <w:szCs w:val="20"/>
        </w:rPr>
        <w:t>necessary for a hypothetical observer – respecting her experimental capabilities</w:t>
      </w:r>
    </w:p>
    <w:p>
      <w:pPr>
        <w:pStyle w:val="Normal"/>
        <w:spacing w:before="0" w:after="0"/>
        <w:contextualSpacing/>
        <w:jc w:val="left"/>
        <w:rPr/>
      </w:pPr>
      <w:r>
        <w:rPr>
          <w:rFonts w:cs="NimbusRomNo9L-ReguItal" w:ascii="NimbusRomNo9L-ReguItal" w:hAnsi="NimbusRomNo9L-ReguItal"/>
          <w:sz w:val="20"/>
          <w:szCs w:val="20"/>
        </w:rPr>
        <w:t xml:space="preserve">– </w:t>
      </w:r>
      <w:r>
        <w:rPr>
          <w:rFonts w:cs="NimbusRomNo9L-ReguItal" w:ascii="NimbusRomNo9L-ReguItal" w:hAnsi="NimbusRomNo9L-ReguItal"/>
          <w:sz w:val="20"/>
          <w:szCs w:val="20"/>
        </w:rPr>
        <w:t>to compute probabilities of outcomes of all possible future experiments</w:t>
      </w:r>
      <w:r>
        <w:rPr>
          <w:rFonts w:cs="NimbusRomNo9L-Regu" w:ascii="NimbusRomNo9L-Regu" w:hAnsi="NimbusRomNo9L-Regu"/>
          <w:sz w:val="20"/>
          <w:szCs w:val="20"/>
        </w:rPr>
        <w:t>. An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explicit reference to the observer’s experimental capabilities is crucial to address</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the big measurement problem. (p. 6)</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[Clearly, we have here the EDWs perspective!!! Does the reader want more details? See below…]</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pPr>
      <w:r>
        <w:rPr>
          <w:rFonts w:cs="NimbusRomNo9L-Regu" w:ascii="NimbusRomNo9L-Regu" w:hAnsi="NimbusRomNo9L-Regu"/>
          <w:sz w:val="20"/>
          <w:szCs w:val="20"/>
        </w:rPr>
        <w:t xml:space="preserve">Since </w:t>
      </w:r>
      <w:r>
        <w:rPr>
          <w:rFonts w:cs="NimbusRomNo9L-ReguItal" w:ascii="NimbusRomNo9L-ReguItal" w:hAnsi="NimbusRomNo9L-ReguItal"/>
          <w:sz w:val="20"/>
          <w:szCs w:val="20"/>
        </w:rPr>
        <w:t>Q</w:t>
      </w:r>
      <w:r>
        <w:rPr>
          <w:rFonts w:cs="NimbusRomNo9L-Regu" w:ascii="NimbusRomNo9L-Regu" w:hAnsi="NimbusRomNo9L-Regu"/>
          <w:sz w:val="20"/>
          <w:szCs w:val="20"/>
        </w:rPr>
        <w:t>() represents a complete description of the system under coarse-grained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measurements, I will call it the “macroscopic state”. This approach to classicality</w:t>
      </w:r>
    </w:p>
    <w:p>
      <w:pPr>
        <w:pStyle w:val="Normal"/>
        <w:spacing w:before="0" w:after="0"/>
        <w:contextualSpacing/>
        <w:jc w:val="left"/>
        <w:rPr/>
      </w:pPr>
      <w:r>
        <w:rPr>
          <w:rFonts w:cs="NimbusRomNo9L-Regu" w:ascii="NimbusRomNo9L-Regu" w:hAnsi="NimbusRomNo9L-Regu"/>
          <w:sz w:val="20"/>
          <w:szCs w:val="20"/>
        </w:rPr>
        <w:t>di</w:t>
      </w:r>
      <w:r>
        <w:rPr>
          <w:rFonts w:cs="rtxr" w:ascii="rtxr" w:hAnsi="rtxr"/>
          <w:sz w:val="20"/>
          <w:szCs w:val="20"/>
        </w:rPr>
        <w:t>_</w:t>
      </w:r>
      <w:r>
        <w:rPr>
          <w:rFonts w:cs="NimbusRomNo9L-Regu" w:ascii="NimbusRomNo9L-Regu" w:hAnsi="NimbusRomNo9L-Regu"/>
          <w:sz w:val="20"/>
          <w:szCs w:val="20"/>
        </w:rPr>
        <w:t>ers conceptually from and is complementary to the decoherence program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that is dynamical and describes correlations of the system with other degrees of</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freedom which are integrated out [28]. (p. 7)…… </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 xml:space="preserve">… </w:t>
      </w:r>
      <w:r>
        <w:rPr>
          <w:rFonts w:cs="NimbusRomNo9L-Regu" w:ascii="NimbusRomNo9L-Regu" w:hAnsi="NimbusRomNo9L-Regu"/>
          <w:sz w:val="20"/>
          <w:szCs w:val="20"/>
        </w:rPr>
        <w:t>The macroscopic states are robust. This means that they are stable against perturbations,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which may for example be caused by repeated coarse-grained observations.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other words, the Q-function before and after a coarse-grained measurement</w:t>
      </w:r>
    </w:p>
    <w:p>
      <w:pPr>
        <w:pStyle w:val="Normal"/>
        <w:spacing w:before="0" w:after="0"/>
        <w:contextualSpacing/>
        <w:jc w:val="left"/>
        <w:rPr/>
      </w:pPr>
      <w:r>
        <w:rPr>
          <w:rFonts w:cs="NimbusRomNo9L-Regu" w:ascii="NimbusRomNo9L-Regu" w:hAnsi="NimbusRomNo9L-Regu"/>
          <w:sz w:val="20"/>
          <w:szCs w:val="20"/>
        </w:rPr>
        <w:t>is approximately the same [29]. It therefore becomes possible for di</w:t>
      </w:r>
      <w:r>
        <w:rPr>
          <w:rFonts w:cs="rtxr" w:ascii="rtxr" w:hAnsi="rtxr"/>
          <w:sz w:val="20"/>
          <w:szCs w:val="20"/>
        </w:rPr>
        <w:t>ff</w:t>
      </w:r>
      <w:r>
        <w:rPr>
          <w:rFonts w:cs="NimbusRomNo9L-Regu" w:ascii="NimbusRomNo9L-Regu" w:hAnsi="NimbusRomNo9L-Regu"/>
          <w:sz w:val="20"/>
          <w:szCs w:val="20"/>
        </w:rPr>
        <w:t>erent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observers to repeatedly observe the same macroscopic state. The result is a certain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level of intersubjectivity among them. If we assume, however, that quantum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mechanics is universally valid, then it is in principle possible to undo the entire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measurement process. Imagine a superobserver who has full control over the degrees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freedom of the measuring apparatus. Such a superobserver would be able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decorrelate the apparatus from the measured system. In this process, the information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about the measurement result would be erased. Seen from this perspective,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t>
      </w:r>
      <w:r>
        <w:rPr>
          <w:rFonts w:cs="NimbusRomNo9L-Regu" w:ascii="NimbusRomNo9L-Regu" w:hAnsi="NimbusRomNo9L-Regu"/>
          <w:sz w:val="20"/>
          <w:szCs w:val="20"/>
        </w:rPr>
        <w:t>irreversibility” in the quantum measurement process merely stands for the fact</w:t>
      </w:r>
    </w:p>
    <w:p>
      <w:pPr>
        <w:pStyle w:val="Normal"/>
        <w:spacing w:before="0" w:after="0"/>
        <w:contextualSpacing/>
        <w:rPr/>
      </w:pPr>
      <w:r>
        <w:rPr>
          <w:rFonts w:cs="NimbusRomNo9L-Regu" w:ascii="NimbusRomNo9L-Regu" w:hAnsi="NimbusRomNo9L-Regu"/>
          <w:sz w:val="20"/>
          <w:szCs w:val="20"/>
        </w:rPr>
        <w:t>that it is extremely di</w:t>
      </w:r>
      <w:r>
        <w:rPr>
          <w:rFonts w:cs="rtxr" w:ascii="rtxr" w:hAnsi="rtxr"/>
          <w:sz w:val="20"/>
          <w:szCs w:val="20"/>
        </w:rPr>
        <w:t>ffi</w:t>
      </w:r>
      <w:r>
        <w:rPr>
          <w:rFonts w:cs="NimbusRomNo9L-Regu" w:ascii="NimbusRomNo9L-Regu" w:hAnsi="NimbusRomNo9L-Regu"/>
          <w:sz w:val="20"/>
          <w:szCs w:val="20"/>
        </w:rPr>
        <w:t xml:space="preserve">cult – but not impossible! – to reverse the process. It is irreversible “for all practical purposes” (or “FAPP,” to use Bell’s acronym). </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 have often heard the following objection to FAPP: No matter how low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probability is to reverse the evolution in the measurement process, it is still there.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How is it possible to settle the question of what actually exists by an approximation?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my eyes, such questions do not take into consideration the simple fact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that quantum theory cannot be both, universal and not irreversible merely FAPP.</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While on the one hand, measurements have to result in irreversible facts (otherwise,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notion of measurement itself would become meaningless, as no measurement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would ever be conclusive), this irreversibility on the other hand must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be merely FAPP if quantum theory is in principle applicable to any system. Any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system means that the measuring apparatus itself can also be subject to the laws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quantum theory. My main point is the following. While it is obviously possible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describe the subject as an object, it then has to be the object for another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subject. In my eyes, not enough thought has gone into the fundamental nature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FAPP. More research on the philosophy of FAPP, if you like, should be done by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philosophers of physics. This, in my eyes, would contribute to the resolution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problem in a much deeper way than the perpetual attempts to expel this term</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from the foundations of physics based on presupposed philosophical doctrine. (pp. 9-10) </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[of course, we are here within the macro-EW, as I called it! All the main ideas from this paragraph can be found in my works! It is about the EDWs, no more or less!]</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Detection devices, such as photographic plates or photo-diodes, consist of a</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large number of constituents in a certain “metastable state”. Their interaction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with the observed quantum systems brings them into a “stable state” that can be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distinguished from the initial one even under coarse-grained observations. This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transition is signified by the “click” in the detector or a new position of the pointer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label. In both the metastable and the stable state, the constituents of the instrument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can be in any of a large number of quantum states that correspond to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respective macroscopic states. In order to understand how irreversibility FAPP is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possible, it is crucial to realize that not only the initial and final quantum states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the instrument are imprecisely known, but also the full details of the interactions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(i.e. Hamiltonian) among its constituents and with the environment. Even if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it were possible to know the initial and final states precisely, the lack of precise</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knowledge of these interactions prevents us from reversing the measurement process. (p. 10) </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What will be written in the message? Will the superobserver see the interference?</w:t>
      </w:r>
    </w:p>
    <w:p>
      <w:pPr>
        <w:pStyle w:val="Normal"/>
        <w:spacing w:before="0" w:after="0"/>
        <w:contextualSpacing/>
        <w:jc w:val="left"/>
        <w:rPr/>
      </w:pPr>
      <w:r>
        <w:rPr>
          <w:rFonts w:cs="NimbusRomNo9L-Regu" w:ascii="NimbusRomNo9L-Regu" w:hAnsi="NimbusRomNo9L-Regu"/>
          <w:sz w:val="20"/>
          <w:szCs w:val="20"/>
        </w:rPr>
        <w:t>Three di</w:t>
      </w:r>
      <w:r>
        <w:rPr>
          <w:rFonts w:cs="rtxr" w:ascii="rtxr" w:hAnsi="rtxr"/>
          <w:sz w:val="20"/>
          <w:szCs w:val="20"/>
        </w:rPr>
        <w:t>_</w:t>
      </w:r>
      <w:r>
        <w:rPr>
          <w:rFonts w:cs="NimbusRomNo9L-Regu" w:ascii="NimbusRomNo9L-Regu" w:hAnsi="NimbusRomNo9L-Regu"/>
          <w:sz w:val="20"/>
          <w:szCs w:val="20"/>
        </w:rPr>
        <w:t>erent results of the experiment are possible9:</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1. The quantum state collapses due to a breakdown of the quantum-mechanical</w:t>
      </w:r>
    </w:p>
    <w:p>
      <w:pPr>
        <w:pStyle w:val="Normal"/>
        <w:spacing w:before="0" w:after="0"/>
        <w:contextualSpacing/>
        <w:jc w:val="left"/>
        <w:rPr/>
      </w:pPr>
      <w:r>
        <w:rPr>
          <w:rFonts w:cs="NimbusRomNo9L-Regu" w:ascii="NimbusRomNo9L-Regu" w:hAnsi="NimbusRomNo9L-Regu"/>
          <w:sz w:val="20"/>
          <w:szCs w:val="20"/>
        </w:rPr>
        <w:t>laws when applied to states of brain or to systems of su</w:t>
      </w:r>
      <w:r>
        <w:rPr>
          <w:rFonts w:cs="rtxr" w:ascii="rtxr" w:hAnsi="rtxr"/>
          <w:sz w:val="20"/>
          <w:szCs w:val="20"/>
        </w:rPr>
        <w:t>_</w:t>
      </w:r>
      <w:r>
        <w:rPr>
          <w:rFonts w:cs="NimbusRomNo9L-Regu" w:ascii="NimbusRomNo9L-Regu" w:hAnsi="NimbusRomNo9L-Regu"/>
          <w:sz w:val="20"/>
          <w:szCs w:val="20"/>
        </w:rPr>
        <w:t>ciently large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size, mass, complexity, and the like. The collapse models Ghirardi-Rimini-</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Weber [8] or Diosi-Penrose [9, 10] fall into this category. One could also</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argue in favor of the collapse within the view according to which a quantum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state is a representation of the observer’s knowledge. Every measurement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yields new information, and the representation of this knowledge update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is the state projection. Since the new information about the outcome is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available somewhere – specifically in the observer’s brain – the state has to</w:t>
      </w:r>
    </w:p>
    <w:p>
      <w:pPr>
        <w:pStyle w:val="Normal"/>
        <w:spacing w:before="0" w:after="0"/>
        <w:contextualSpacing/>
        <w:jc w:val="left"/>
        <w:rPr/>
      </w:pPr>
      <w:r>
        <w:rPr>
          <w:rFonts w:cs="NimbusRomNo9L-Regu" w:ascii="NimbusRomNo9L-Regu" w:hAnsi="NimbusRomNo9L-Regu"/>
          <w:sz w:val="20"/>
          <w:szCs w:val="20"/>
        </w:rPr>
        <w:t xml:space="preserve">collapse for </w:t>
      </w:r>
      <w:r>
        <w:rPr>
          <w:rFonts w:cs="NimbusRomNo9L-ReguItal" w:ascii="NimbusRomNo9L-ReguItal" w:hAnsi="NimbusRomNo9L-ReguItal"/>
          <w:sz w:val="20"/>
          <w:szCs w:val="20"/>
        </w:rPr>
        <w:t xml:space="preserve">all </w:t>
      </w:r>
      <w:r>
        <w:rPr>
          <w:rFonts w:cs="NimbusRomNo9L-Regu" w:ascii="NimbusRomNo9L-Regu" w:hAnsi="NimbusRomNo9L-Regu"/>
          <w:sz w:val="20"/>
          <w:szCs w:val="20"/>
        </w:rPr>
        <w:t>observers, including the superobserver10. Independently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specific rationale behind the state collapse, the observer sends the message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that she observers a definite outcome. The superobserver concludes</w:t>
      </w:r>
    </w:p>
    <w:p>
      <w:pPr>
        <w:pStyle w:val="Normal"/>
        <w:spacing w:before="0" w:after="0"/>
        <w:contextualSpacing/>
        <w:jc w:val="left"/>
        <w:rPr/>
      </w:pPr>
      <w:r>
        <w:rPr>
          <w:rFonts w:cs="NimbusRomNo9L-Regu" w:ascii="NimbusRomNo9L-Regu" w:hAnsi="NimbusRomNo9L-Regu"/>
          <w:sz w:val="20"/>
          <w:szCs w:val="20"/>
        </w:rPr>
        <w:t>that although he could exclude all known e</w:t>
      </w:r>
      <w:r>
        <w:rPr>
          <w:rFonts w:cs="rtxr" w:ascii="rtxr" w:hAnsi="rtxr"/>
          <w:sz w:val="20"/>
          <w:szCs w:val="20"/>
        </w:rPr>
        <w:t>_</w:t>
      </w:r>
      <w:r>
        <w:rPr>
          <w:rFonts w:cs="NimbusRomNo9L-Regu" w:ascii="NimbusRomNo9L-Regu" w:hAnsi="NimbusRomNo9L-Regu"/>
          <w:sz w:val="20"/>
          <w:szCs w:val="20"/>
        </w:rPr>
        <w:t>ects caused by conventional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decoherence, the state is not in the superposition. This he can confirm in the interference experiment by observing that both outputs in the interference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experiments occur with equal probability.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2. The superobserver’s state assignment is the superposition state, and the observer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perceives a “blurred reality” that she associates with not seeing a</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definite outcome. She sends a message: “I observe no definite outcome”.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superobserver confirms the superposition state in the interference experiment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by observing a single output state in the interference experiment.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 personally have trouble to make sense of this option. If quantum theory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describes an observer’s probability assignments in well-defined experimental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procedures, where, to quote Bohr [41] “... by the word ’experiment’ we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refer to a situation where we can tell others what we have done and what we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have learned ...”, then experience of “blurred reality” seems to be outside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standard quantum framework. Moreover, such a situation would install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 fundamental asymmetry between the observers, those who see and those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who do not see “blurred reality”.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3. The quantum laws are unmodified. The superobserver’s state assignment is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superposition state. And yet, the observer observes a definite outcome.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assigned superposition state can be confirmed in the interference experiment.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my eyes, outcomes 1 and 2 would indicate fundamentally new physics. I</w:t>
      </w:r>
    </w:p>
    <w:p>
      <w:pPr>
        <w:pStyle w:val="Normal"/>
        <w:spacing w:before="0" w:after="0"/>
        <w:contextualSpacing/>
        <w:jc w:val="left"/>
        <w:rPr/>
      </w:pPr>
      <w:r>
        <w:rPr>
          <w:rFonts w:cs="NimbusRomNo9L-Regu" w:ascii="NimbusRomNo9L-Regu" w:hAnsi="NimbusRomNo9L-Regu"/>
          <w:sz w:val="20"/>
          <w:szCs w:val="20"/>
        </w:rPr>
        <w:t xml:space="preserve">will not consider these cases further and regard quantum theory to be a </w:t>
      </w:r>
      <w:r>
        <w:rPr>
          <w:rFonts w:cs="NimbusRomNo9L-ReguItal" w:ascii="NimbusRomNo9L-ReguItal" w:hAnsi="NimbusRomNo9L-ReguItal"/>
          <w:sz w:val="20"/>
          <w:szCs w:val="20"/>
        </w:rPr>
        <w:t>universal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physical theory. This leaves us with situation 3 as the only possible outcome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Deutsch’s thought experiment. The outcome is compatible with the Everett</w:t>
      </w:r>
    </w:p>
    <w:p>
      <w:pPr>
        <w:pStyle w:val="Normal"/>
        <w:spacing w:before="0" w:after="0"/>
        <w:contextualSpacing/>
        <w:jc w:val="left"/>
        <w:rPr/>
      </w:pPr>
      <w:r>
        <w:rPr>
          <w:rFonts w:cs="NimbusRomNo9L-Regu" w:ascii="NimbusRomNo9L-Regu" w:hAnsi="NimbusRomNo9L-Regu"/>
          <w:sz w:val="20"/>
          <w:szCs w:val="20"/>
        </w:rPr>
        <w:t>interpretation: each copy of the observer observes a definite but di</w:t>
      </w:r>
      <w:r>
        <w:rPr>
          <w:rFonts w:cs="rtxr" w:ascii="rtxr" w:hAnsi="rtxr"/>
          <w:sz w:val="20"/>
          <w:szCs w:val="20"/>
        </w:rPr>
        <w:t>_</w:t>
      </w:r>
      <w:r>
        <w:rPr>
          <w:rFonts w:cs="NimbusRomNo9L-Regu" w:ascii="NimbusRomNo9L-Regu" w:hAnsi="NimbusRomNo9L-Regu"/>
          <w:sz w:val="20"/>
          <w:szCs w:val="20"/>
        </w:rPr>
        <w:t>erent outcome</w:t>
      </w:r>
    </w:p>
    <w:p>
      <w:pPr>
        <w:pStyle w:val="Normal"/>
        <w:spacing w:before="0" w:after="0"/>
        <w:contextualSpacing/>
        <w:jc w:val="left"/>
        <w:rPr/>
      </w:pPr>
      <w:r>
        <w:rPr>
          <w:rFonts w:cs="NimbusRomNo9L-Regu" w:ascii="NimbusRomNo9L-Regu" w:hAnsi="NimbusRomNo9L-Regu"/>
          <w:sz w:val="20"/>
          <w:szCs w:val="20"/>
        </w:rPr>
        <w:t>in di</w:t>
      </w:r>
      <w:r>
        <w:rPr>
          <w:rFonts w:cs="rtxr" w:ascii="rtxr" w:hAnsi="rtxr"/>
          <w:sz w:val="20"/>
          <w:szCs w:val="20"/>
        </w:rPr>
        <w:t>_</w:t>
      </w:r>
      <w:r>
        <w:rPr>
          <w:rFonts w:cs="NimbusRomNo9L-Regu" w:ascii="NimbusRomNo9L-Regu" w:hAnsi="NimbusRomNo9L-Regu"/>
          <w:sz w:val="20"/>
          <w:szCs w:val="20"/>
        </w:rPr>
        <w:t>erent branches of the (multi)universe. The outcome is compatible with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Copenhagen interpretation too, but it is rarely discussed what the implications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this claim are for our understanding of physical reality within the interpretation.</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The rest of the current manuscript is devoted to this problem. </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Note that in situation 3 of the thought experiment, the two observers have complementary</w:t>
      </w:r>
    </w:p>
    <w:p>
      <w:pPr>
        <w:pStyle w:val="Normal"/>
        <w:spacing w:before="0" w:after="0"/>
        <w:contextualSpacing/>
        <w:jc w:val="left"/>
        <w:rPr/>
      </w:pPr>
      <w:r>
        <w:rPr>
          <w:rFonts w:cs="NimbusRomNo9L-Regu" w:ascii="NimbusRomNo9L-Regu" w:hAnsi="NimbusRomNo9L-Regu"/>
          <w:sz w:val="20"/>
          <w:szCs w:val="20"/>
        </w:rPr>
        <w:t xml:space="preserve">pieces of information. </w:t>
      </w:r>
      <w:r>
        <w:rPr>
          <w:rFonts w:cs="NimbusRomNo9L-ReguItal" w:ascii="NimbusRomNo9L-ReguItal" w:hAnsi="NimbusRomNo9L-ReguItal"/>
          <w:sz w:val="20"/>
          <w:szCs w:val="20"/>
        </w:rPr>
        <w:t>Taken together</w:t>
      </w:r>
      <w:r>
        <w:rPr>
          <w:rFonts w:cs="NimbusRomNo9L-Regu" w:ascii="NimbusRomNo9L-Regu" w:hAnsi="NimbusRomNo9L-Regu"/>
          <w:sz w:val="20"/>
          <w:szCs w:val="20"/>
        </w:rPr>
        <w:t>, they would violate the complementarity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principle of quantum physics. The observer has complete knowledge</w:t>
      </w:r>
    </w:p>
    <w:p>
      <w:pPr>
        <w:pStyle w:val="Normal"/>
        <w:spacing w:before="0" w:after="0"/>
        <w:contextualSpacing/>
        <w:jc w:val="left"/>
        <w:rPr/>
      </w:pPr>
      <w:r>
        <w:rPr>
          <w:rFonts w:cs="NimbusRomNo9L-Regu" w:ascii="NimbusRomNo9L-Regu" w:hAnsi="NimbusRomNo9L-Regu"/>
          <w:sz w:val="20"/>
          <w:szCs w:val="20"/>
        </w:rPr>
        <w:t xml:space="preserve">about the value of observable </w:t>
      </w:r>
      <w:r>
        <w:rPr>
          <w:rFonts w:cs="NimbusRomNo9L-ReguItal" w:ascii="NimbusRomNo9L-ReguItal" w:hAnsi="NimbusRomNo9L-ReguItal"/>
          <w:sz w:val="20"/>
          <w:szCs w:val="20"/>
        </w:rPr>
        <w:t>A</w:t>
      </w:r>
      <w:r>
        <w:rPr>
          <w:rFonts w:cs="NimbusRomNo9L-Regu" w:ascii="NimbusRomNo9L-Regu" w:hAnsi="NimbusRomNo9L-Regu"/>
          <w:sz w:val="20"/>
          <w:szCs w:val="20"/>
        </w:rPr>
        <w:t xml:space="preserve">1 with eigenstates </w:t>
      </w:r>
      <w:r>
        <w:rPr>
          <w:rFonts w:cs="txsy" w:ascii="txsy" w:hAnsi="txsy"/>
          <w:sz w:val="20"/>
          <w:szCs w:val="20"/>
        </w:rPr>
        <w:t>j</w:t>
      </w:r>
      <w:r>
        <w:rPr>
          <w:rFonts w:cs="NimbusRomNo9L-ReguItal" w:ascii="NimbusRomNo9L-ReguItal" w:hAnsi="NimbusRomNo9L-ReguItal"/>
          <w:sz w:val="20"/>
          <w:szCs w:val="20"/>
        </w:rPr>
        <w:t>z</w:t>
      </w:r>
      <w:r>
        <w:rPr>
          <w:rFonts w:cs="rtxr" w:ascii="rtxr" w:hAnsi="rtxr"/>
          <w:sz w:val="20"/>
          <w:szCs w:val="20"/>
        </w:rPr>
        <w:t>+</w:t>
      </w:r>
      <w:r>
        <w:rPr>
          <w:rFonts w:cs="txsy" w:ascii="txsy" w:hAnsi="txsy"/>
          <w:sz w:val="20"/>
          <w:szCs w:val="20"/>
        </w:rPr>
        <w:t>i</w:t>
      </w:r>
      <w:r>
        <w:rPr>
          <w:rFonts w:cs="NimbusRomNo9L-Regu" w:ascii="NimbusRomNo9L-Regu" w:hAnsi="NimbusRomNo9L-Regu"/>
          <w:sz w:val="20"/>
          <w:szCs w:val="20"/>
        </w:rPr>
        <w:t>1</w:t>
      </w:r>
      <w:r>
        <w:rPr>
          <w:rFonts w:cs="txsy" w:ascii="txsy" w:hAnsi="txsy"/>
          <w:sz w:val="20"/>
          <w:szCs w:val="20"/>
        </w:rPr>
        <w:t>j</w:t>
      </w:r>
      <w:r>
        <w:rPr>
          <w:rFonts w:cs="NimbusRomNo9L-ReguItal" w:ascii="NimbusRomNo9L-ReguItal" w:hAnsi="NimbusRomNo9L-ReguItal"/>
          <w:sz w:val="20"/>
          <w:szCs w:val="20"/>
        </w:rPr>
        <w:t>z</w:t>
      </w:r>
      <w:r>
        <w:rPr>
          <w:rFonts w:cs="rtxr" w:ascii="rtxr" w:hAnsi="rtxr"/>
          <w:sz w:val="20"/>
          <w:szCs w:val="20"/>
        </w:rPr>
        <w:t>+</w:t>
      </w:r>
      <w:r>
        <w:rPr>
          <w:rFonts w:cs="txsy" w:ascii="txsy" w:hAnsi="txsy"/>
          <w:sz w:val="20"/>
          <w:szCs w:val="20"/>
        </w:rPr>
        <w:t>i</w:t>
      </w:r>
      <w:r>
        <w:rPr>
          <w:rFonts w:cs="NimbusRomNo9L-Regu" w:ascii="NimbusRomNo9L-Regu" w:hAnsi="NimbusRomNo9L-Regu"/>
          <w:sz w:val="20"/>
          <w:szCs w:val="20"/>
        </w:rPr>
        <w:t>2</w:t>
      </w:r>
      <w:r>
        <w:rPr>
          <w:rFonts w:cs="txsy" w:ascii="txsy" w:hAnsi="txsy"/>
          <w:sz w:val="20"/>
          <w:szCs w:val="20"/>
        </w:rPr>
        <w:t>j</w:t>
      </w:r>
      <w:r>
        <w:rPr>
          <w:rFonts w:cs="NimbusRomNo9L-ReguItal" w:ascii="NimbusRomNo9L-ReguItal" w:hAnsi="NimbusRomNo9L-ReguItal"/>
          <w:sz w:val="20"/>
          <w:szCs w:val="20"/>
        </w:rPr>
        <w:t>z</w:t>
      </w:r>
      <w:r>
        <w:rPr>
          <w:rFonts w:cs="Calibri" w:ascii="Calibri" w:hAnsi="Calibri"/>
          <w:sz w:val="20"/>
          <w:szCs w:val="20"/>
        </w:rPr>
        <w:t>􀀀</w:t>
      </w:r>
      <w:r>
        <w:rPr>
          <w:rFonts w:cs="txsy" w:ascii="txsy" w:hAnsi="txsy"/>
          <w:sz w:val="20"/>
          <w:szCs w:val="20"/>
        </w:rPr>
        <w:t>i</w:t>
      </w:r>
      <w:r>
        <w:rPr>
          <w:rFonts w:cs="NimbusRomNo9L-Regu" w:ascii="NimbusRomNo9L-Regu" w:hAnsi="NimbusRomNo9L-Regu"/>
          <w:sz w:val="20"/>
          <w:szCs w:val="20"/>
        </w:rPr>
        <w:t>3</w:t>
      </w:r>
      <w:r>
        <w:rPr>
          <w:rFonts w:cs="txsy" w:ascii="txsy" w:hAnsi="txsy"/>
          <w:sz w:val="20"/>
          <w:szCs w:val="20"/>
        </w:rPr>
        <w:t>j</w:t>
      </w:r>
      <w:r>
        <w:rPr>
          <w:rFonts w:cs="NimbusRomNo9L-Regu" w:ascii="NimbusRomNo9L-Regu" w:hAnsi="NimbusRomNo9L-Regu"/>
          <w:sz w:val="20"/>
          <w:szCs w:val="20"/>
        </w:rPr>
        <w:t>knows “up”</w:t>
      </w:r>
      <w:r>
        <w:rPr>
          <w:rFonts w:cs="txsy" w:ascii="txsy" w:hAnsi="txsy"/>
          <w:sz w:val="20"/>
          <w:szCs w:val="20"/>
        </w:rPr>
        <w:t>i</w:t>
      </w:r>
      <w:r>
        <w:rPr>
          <w:rFonts w:cs="NimbusRomNo9L-Regu" w:ascii="NimbusRomNo9L-Regu" w:hAnsi="NimbusRomNo9L-Regu"/>
          <w:sz w:val="20"/>
          <w:szCs w:val="20"/>
        </w:rPr>
        <w:t>4</w:t>
      </w:r>
    </w:p>
    <w:p>
      <w:pPr>
        <w:pStyle w:val="Normal"/>
        <w:spacing w:before="0" w:after="0"/>
        <w:contextualSpacing/>
        <w:jc w:val="left"/>
        <w:rPr/>
      </w:pPr>
      <w:r>
        <w:rPr>
          <w:rFonts w:cs="NimbusRomNo9L-Regu" w:ascii="NimbusRomNo9L-Regu" w:hAnsi="NimbusRomNo9L-Regu"/>
          <w:sz w:val="20"/>
          <w:szCs w:val="20"/>
        </w:rPr>
        <w:t xml:space="preserve">and </w:t>
      </w:r>
      <w:r>
        <w:rPr>
          <w:rFonts w:cs="txsy" w:ascii="txsy" w:hAnsi="txsy"/>
          <w:sz w:val="20"/>
          <w:szCs w:val="20"/>
        </w:rPr>
        <w:t>j</w:t>
      </w:r>
      <w:r>
        <w:rPr>
          <w:rFonts w:cs="NimbusRomNo9L-ReguItal" w:ascii="NimbusRomNo9L-ReguItal" w:hAnsi="NimbusRomNo9L-ReguItal"/>
          <w:sz w:val="20"/>
          <w:szCs w:val="20"/>
        </w:rPr>
        <w:t>z</w:t>
      </w:r>
      <w:r>
        <w:rPr>
          <w:rFonts w:cs="Calibri" w:ascii="Calibri" w:hAnsi="Calibri"/>
          <w:sz w:val="20"/>
          <w:szCs w:val="20"/>
        </w:rPr>
        <w:t>􀀀</w:t>
      </w:r>
      <w:r>
        <w:rPr>
          <w:rFonts w:cs="txsy" w:ascii="txsy" w:hAnsi="txsy"/>
          <w:sz w:val="20"/>
          <w:szCs w:val="20"/>
        </w:rPr>
        <w:t>i</w:t>
      </w:r>
      <w:r>
        <w:rPr>
          <w:rFonts w:cs="NimbusRomNo9L-Regu" w:ascii="NimbusRomNo9L-Regu" w:hAnsi="NimbusRomNo9L-Regu"/>
          <w:sz w:val="20"/>
          <w:szCs w:val="20"/>
        </w:rPr>
        <w:t>1</w:t>
      </w:r>
      <w:r>
        <w:rPr>
          <w:rFonts w:cs="txsy" w:ascii="txsy" w:hAnsi="txsy"/>
          <w:sz w:val="20"/>
          <w:szCs w:val="20"/>
        </w:rPr>
        <w:t>j</w:t>
      </w:r>
      <w:r>
        <w:rPr>
          <w:rFonts w:cs="NimbusRomNo9L-ReguItal" w:ascii="NimbusRomNo9L-ReguItal" w:hAnsi="NimbusRomNo9L-ReguItal"/>
          <w:sz w:val="20"/>
          <w:szCs w:val="20"/>
        </w:rPr>
        <w:t>z</w:t>
      </w:r>
      <w:r>
        <w:rPr>
          <w:rFonts w:cs="Calibri" w:ascii="Calibri" w:hAnsi="Calibri"/>
          <w:sz w:val="20"/>
          <w:szCs w:val="20"/>
        </w:rPr>
        <w:t>􀀀</w:t>
      </w:r>
      <w:r>
        <w:rPr>
          <w:rFonts w:cs="txsy" w:ascii="txsy" w:hAnsi="txsy"/>
          <w:sz w:val="20"/>
          <w:szCs w:val="20"/>
        </w:rPr>
        <w:t>i</w:t>
      </w:r>
      <w:r>
        <w:rPr>
          <w:rFonts w:cs="NimbusRomNo9L-Regu" w:ascii="NimbusRomNo9L-Regu" w:hAnsi="NimbusRomNo9L-Regu"/>
          <w:sz w:val="20"/>
          <w:szCs w:val="20"/>
        </w:rPr>
        <w:t>2</w:t>
      </w:r>
      <w:r>
        <w:rPr>
          <w:rFonts w:cs="txsy" w:ascii="txsy" w:hAnsi="txsy"/>
          <w:sz w:val="20"/>
          <w:szCs w:val="20"/>
        </w:rPr>
        <w:t>j</w:t>
      </w:r>
      <w:r>
        <w:rPr>
          <w:rFonts w:cs="NimbusRomNo9L-ReguItal" w:ascii="NimbusRomNo9L-ReguItal" w:hAnsi="NimbusRomNo9L-ReguItal"/>
          <w:sz w:val="20"/>
          <w:szCs w:val="20"/>
        </w:rPr>
        <w:t>z</w:t>
      </w:r>
      <w:r>
        <w:rPr>
          <w:rFonts w:cs="rtxr" w:ascii="rtxr" w:hAnsi="rtxr"/>
          <w:sz w:val="20"/>
          <w:szCs w:val="20"/>
        </w:rPr>
        <w:t>+</w:t>
      </w:r>
      <w:r>
        <w:rPr>
          <w:rFonts w:cs="txsy" w:ascii="txsy" w:hAnsi="txsy"/>
          <w:sz w:val="20"/>
          <w:szCs w:val="20"/>
        </w:rPr>
        <w:t>i</w:t>
      </w:r>
      <w:r>
        <w:rPr>
          <w:rFonts w:cs="NimbusRomNo9L-Regu" w:ascii="NimbusRomNo9L-Regu" w:hAnsi="NimbusRomNo9L-Regu"/>
          <w:sz w:val="20"/>
          <w:szCs w:val="20"/>
        </w:rPr>
        <w:t xml:space="preserve">3 </w:t>
      </w:r>
      <w:r>
        <w:rPr>
          <w:rFonts w:cs="txsy" w:ascii="txsy" w:hAnsi="txsy"/>
          <w:sz w:val="20"/>
          <w:szCs w:val="20"/>
        </w:rPr>
        <w:t>j</w:t>
      </w:r>
      <w:r>
        <w:rPr>
          <w:rFonts w:cs="NimbusRomNo9L-Regu" w:ascii="NimbusRomNo9L-Regu" w:hAnsi="NimbusRomNo9L-Regu"/>
          <w:sz w:val="20"/>
          <w:szCs w:val="20"/>
        </w:rPr>
        <w:t>knows “down”</w:t>
      </w:r>
      <w:r>
        <w:rPr>
          <w:rFonts w:cs="txsy" w:ascii="txsy" w:hAnsi="txsy"/>
          <w:sz w:val="20"/>
          <w:szCs w:val="20"/>
        </w:rPr>
        <w:t>i</w:t>
      </w:r>
      <w:r>
        <w:rPr>
          <w:rFonts w:cs="NimbusRomNo9L-Regu" w:ascii="NimbusRomNo9L-Regu" w:hAnsi="NimbusRomNo9L-Regu"/>
          <w:sz w:val="20"/>
          <w:szCs w:val="20"/>
        </w:rPr>
        <w:t>4, whereas the superobserver has complete</w:t>
      </w:r>
    </w:p>
    <w:p>
      <w:pPr>
        <w:pStyle w:val="Normal"/>
        <w:spacing w:before="0" w:after="0"/>
        <w:contextualSpacing/>
        <w:jc w:val="left"/>
        <w:rPr/>
      </w:pPr>
      <w:r>
        <w:rPr>
          <w:rFonts w:cs="NimbusRomNo9L-Regu" w:ascii="NimbusRomNo9L-Regu" w:hAnsi="NimbusRomNo9L-Regu"/>
          <w:sz w:val="20"/>
          <w:szCs w:val="20"/>
        </w:rPr>
        <w:t xml:space="preserve">knowledge about the value of observable </w:t>
      </w:r>
      <w:r>
        <w:rPr>
          <w:rFonts w:cs="NimbusRomNo9L-ReguItal" w:ascii="NimbusRomNo9L-ReguItal" w:hAnsi="NimbusRomNo9L-ReguItal"/>
          <w:sz w:val="20"/>
          <w:szCs w:val="20"/>
        </w:rPr>
        <w:t>A</w:t>
      </w:r>
      <w:r>
        <w:rPr>
          <w:rFonts w:cs="NimbusRomNo9L-Regu" w:ascii="NimbusRomNo9L-Regu" w:hAnsi="NimbusRomNo9L-Regu"/>
          <w:sz w:val="20"/>
          <w:szCs w:val="20"/>
        </w:rPr>
        <w:t xml:space="preserve">2 with eigenstates </w:t>
      </w:r>
      <w:r>
        <w:rPr>
          <w:rFonts w:cs="txsy" w:ascii="txsy" w:hAnsi="txsy"/>
          <w:sz w:val="20"/>
          <w:szCs w:val="20"/>
        </w:rPr>
        <w:t>j</w:t>
      </w:r>
      <w:r>
        <w:rPr>
          <w:rFonts w:cs="rtxmi" w:ascii="rtxmi" w:hAnsi="rtxmi"/>
          <w:sz w:val="20"/>
          <w:szCs w:val="20"/>
        </w:rPr>
        <w:t xml:space="preserve"> </w:t>
      </w:r>
      <w:r>
        <w:rPr>
          <w:rFonts w:cs="rtxr" w:ascii="rtxr" w:hAnsi="rtxr"/>
          <w:sz w:val="20"/>
          <w:szCs w:val="20"/>
        </w:rPr>
        <w:t>+</w:t>
      </w:r>
      <w:r>
        <w:rPr>
          <w:rFonts w:cs="txsy" w:ascii="txsy" w:hAnsi="txsy"/>
          <w:sz w:val="20"/>
          <w:szCs w:val="20"/>
        </w:rPr>
        <w:t xml:space="preserve">i </w:t>
      </w:r>
      <w:r>
        <w:rPr>
          <w:rFonts w:cs="NimbusRomNo9L-Regu" w:ascii="NimbusRomNo9L-Regu" w:hAnsi="NimbusRomNo9L-Regu"/>
          <w:sz w:val="20"/>
          <w:szCs w:val="20"/>
        </w:rPr>
        <w:t xml:space="preserve">and </w:t>
      </w:r>
      <w:r>
        <w:rPr>
          <w:rFonts w:cs="txsy" w:ascii="txsy" w:hAnsi="txsy"/>
          <w:sz w:val="20"/>
          <w:szCs w:val="20"/>
        </w:rPr>
        <w:t>j</w:t>
      </w:r>
      <w:r>
        <w:rPr>
          <w:rFonts w:cs="rtxmi" w:ascii="rtxmi" w:hAnsi="rtxmi"/>
          <w:sz w:val="20"/>
          <w:szCs w:val="20"/>
        </w:rPr>
        <w:t xml:space="preserve"> </w:t>
      </w:r>
      <w:r>
        <w:rPr>
          <w:rFonts w:cs="Calibri" w:ascii="Calibri" w:hAnsi="Calibri"/>
          <w:sz w:val="20"/>
          <w:szCs w:val="20"/>
        </w:rPr>
        <w:t>􀀀</w:t>
      </w:r>
      <w:r>
        <w:rPr>
          <w:rFonts w:cs="txsy" w:ascii="txsy" w:hAnsi="txsy"/>
          <w:sz w:val="20"/>
          <w:szCs w:val="20"/>
        </w:rPr>
        <w:t>i</w:t>
      </w:r>
      <w:r>
        <w:rPr>
          <w:rFonts w:cs="NimbusRomNo9L-Regu" w:ascii="NimbusRomNo9L-Regu" w:hAnsi="NimbusRomNo9L-Regu"/>
          <w:sz w:val="20"/>
          <w:szCs w:val="20"/>
        </w:rPr>
        <w:t>.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two observables are non-commuting. One might be tempted to interpret outcome 3 of Deutsch’s experiment as implying that the two pieces of information coexist.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After all, the superobserver has evidence – in form of the message – that the</w:t>
      </w:r>
    </w:p>
    <w:p>
      <w:pPr>
        <w:pStyle w:val="Normal"/>
        <w:spacing w:before="0" w:after="0"/>
        <w:contextualSpacing/>
        <w:jc w:val="left"/>
        <w:rPr/>
      </w:pPr>
      <w:r>
        <w:rPr>
          <w:rFonts w:cs="NimbusRomNo9L-Regu" w:ascii="NimbusRomNo9L-Regu" w:hAnsi="NimbusRomNo9L-Regu"/>
          <w:sz w:val="20"/>
          <w:szCs w:val="20"/>
        </w:rPr>
        <w:t xml:space="preserve">observer had perfect knowledge about </w:t>
      </w:r>
      <w:r>
        <w:rPr>
          <w:rFonts w:cs="NimbusRomNo9L-ReguItal" w:ascii="NimbusRomNo9L-ReguItal" w:hAnsi="NimbusRomNo9L-ReguItal"/>
          <w:sz w:val="20"/>
          <w:szCs w:val="20"/>
        </w:rPr>
        <w:t>A</w:t>
      </w:r>
      <w:r>
        <w:rPr>
          <w:rFonts w:cs="NimbusRomNo9L-Regu" w:ascii="NimbusRomNo9L-Regu" w:hAnsi="NimbusRomNo9L-Regu"/>
          <w:sz w:val="20"/>
          <w:szCs w:val="20"/>
        </w:rPr>
        <w:t>1. And yet, on the very same state (13),</w:t>
      </w:r>
    </w:p>
    <w:p>
      <w:pPr>
        <w:pStyle w:val="Normal"/>
        <w:spacing w:before="0" w:after="0"/>
        <w:contextualSpacing/>
        <w:jc w:val="left"/>
        <w:rPr/>
      </w:pPr>
      <w:r>
        <w:rPr>
          <w:rFonts w:cs="NimbusRomNo9L-Regu" w:ascii="NimbusRomNo9L-Regu" w:hAnsi="NimbusRomNo9L-Regu"/>
          <w:sz w:val="20"/>
          <w:szCs w:val="20"/>
        </w:rPr>
        <w:t xml:space="preserve">he can learn the value of </w:t>
      </w:r>
      <w:r>
        <w:rPr>
          <w:rFonts w:cs="NimbusRomNo9L-ReguItal" w:ascii="NimbusRomNo9L-ReguItal" w:hAnsi="NimbusRomNo9L-ReguItal"/>
          <w:sz w:val="20"/>
          <w:szCs w:val="20"/>
        </w:rPr>
        <w:t>A</w:t>
      </w:r>
      <w:r>
        <w:rPr>
          <w:rFonts w:cs="NimbusRomNo9L-Regu" w:ascii="NimbusRomNo9L-Regu" w:hAnsi="NimbusRomNo9L-Regu"/>
          <w:sz w:val="20"/>
          <w:szCs w:val="20"/>
        </w:rPr>
        <w:t>2. Even the observer herself, retrospectively, after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completion of the interference experiment, can be convinced that there is a discrepancy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between her message and the fact that she always ends up in one output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state in the interference experiment (thereby forgetting which outcomes she had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observed). This is because, if she previously were in a state observing a definite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outcome, then by applying standard quantum mechanical predictions on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systems and herself (which in itself is a problematic step because it ignores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necessity of the object-subject cut), she should have equal probability to end up in</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either of the two output states. (pp. 18-20)</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[again, we can see here UNBELIEVABLE similar ideas to my EDWs!!! Many such UNBELIEVABLE similar ideas can be found in my works 2002-2008!]</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What consequences does outcome 3 of Deutsch’s thought experiment have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for our understanding of physical reality? Let us assume that the observers’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and superobservers’ laboratories contain a large number of degrees of freedom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which allow the information about respective measurement records to be FAPP redundantly imprinted in their respective “environments”. I will call these records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t>
      </w:r>
      <w:r>
        <w:rPr>
          <w:rFonts w:cs="NimbusRomNo9L-Regu" w:ascii="NimbusRomNo9L-Regu" w:hAnsi="NimbusRomNo9L-Regu"/>
          <w:sz w:val="20"/>
          <w:szCs w:val="20"/>
        </w:rPr>
        <w:t>facts”. This could be a click in a photodetector, a certain position of a pointer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device, a printout of a computer or a written page in the lab-book, or a definite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human brain state of a colleague who read the lab-book. If we assume that all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these records in the observer’s laboratory get correlated with the spin atoms and</w:t>
      </w:r>
    </w:p>
    <w:p>
      <w:pPr>
        <w:pStyle w:val="Normal"/>
        <w:spacing w:before="0" w:after="0"/>
        <w:contextualSpacing/>
        <w:jc w:val="left"/>
        <w:rPr/>
      </w:pPr>
      <w:r>
        <w:rPr>
          <w:rFonts w:cs="NimbusRomNo9L-Regu" w:ascii="NimbusRomNo9L-Regu" w:hAnsi="NimbusRomNo9L-Regu"/>
          <w:sz w:val="20"/>
          <w:szCs w:val="20"/>
        </w:rPr>
        <w:t xml:space="preserve">her brain state, </w:t>
      </w:r>
      <w:r>
        <w:rPr>
          <w:rFonts w:cs="NimbusRomNo9L-ReguItal" w:ascii="NimbusRomNo9L-ReguItal" w:hAnsi="NimbusRomNo9L-ReguItal"/>
          <w:sz w:val="20"/>
          <w:szCs w:val="20"/>
        </w:rPr>
        <w:t xml:space="preserve">and </w:t>
      </w:r>
      <w:r>
        <w:rPr>
          <w:rFonts w:cs="NimbusRomNo9L-Regu" w:ascii="NimbusRomNo9L-Regu" w:hAnsi="NimbusRomNo9L-Regu"/>
          <w:sz w:val="20"/>
          <w:szCs w:val="20"/>
        </w:rPr>
        <w:t>the superobserver can still perform the interference experiment,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result of which is also recorded in his laboratory, one has to accept that</w:t>
      </w:r>
    </w:p>
    <w:p>
      <w:pPr>
        <w:pStyle w:val="Normal"/>
        <w:spacing w:before="0" w:after="0"/>
        <w:contextualSpacing/>
        <w:jc w:val="left"/>
        <w:rPr/>
      </w:pPr>
      <w:r>
        <w:rPr>
          <w:rFonts w:cs="NimbusRomNo9L-Regu" w:ascii="NimbusRomNo9L-Regu" w:hAnsi="NimbusRomNo9L-Regu"/>
          <w:sz w:val="20"/>
          <w:szCs w:val="20"/>
        </w:rPr>
        <w:t xml:space="preserve">the two pieces of information can redundantly be imprinted in </w:t>
      </w:r>
      <w:r>
        <w:rPr>
          <w:rFonts w:cs="NimbusRomNo9L-ReguItal" w:ascii="NimbusRomNo9L-ReguItal" w:hAnsi="NimbusRomNo9L-ReguItal"/>
          <w:sz w:val="20"/>
          <w:szCs w:val="20"/>
        </w:rPr>
        <w:t xml:space="preserve">two </w:t>
      </w:r>
      <w:r>
        <w:rPr>
          <w:rFonts w:cs="NimbusRomNo9L-Regu" w:ascii="NimbusRomNo9L-Regu" w:hAnsi="NimbusRomNo9L-Regu"/>
          <w:sz w:val="20"/>
          <w:szCs w:val="20"/>
        </w:rPr>
        <w:t>environments: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sealed laboratory and the outside, respectively. As long as there is no communication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on the relevant information (the actual measurement outcome) between</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the two laboratories, they will remain separate. </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If we respect that there should be no preferred observers, then there is no</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reason to assume that the “facts” of one of them are more fundamental than those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the other12. But then, the observers’ records cannot be comprised as “facts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world”, independent of the “environment” in which they have occurred. Any</w:t>
      </w:r>
    </w:p>
    <w:p>
      <w:pPr>
        <w:pStyle w:val="Normal"/>
        <w:spacing w:before="0" w:after="0"/>
        <w:contextualSpacing/>
        <w:jc w:val="left"/>
        <w:rPr/>
      </w:pPr>
      <w:r>
        <w:rPr>
          <w:rFonts w:cs="NimbusRomNo9L-Regu" w:ascii="NimbusRomNo9L-Regu" w:hAnsi="NimbusRomNo9L-Regu"/>
          <w:sz w:val="20"/>
          <w:szCs w:val="20"/>
        </w:rPr>
        <w:t xml:space="preserve">attempt to introduce “facts of the world </w:t>
      </w:r>
      <w:r>
        <w:rPr>
          <w:rFonts w:cs="NimbusRomNo9L-ReguItal" w:ascii="NimbusRomNo9L-ReguItal" w:hAnsi="NimbusRomNo9L-ReguItal"/>
          <w:sz w:val="20"/>
          <w:szCs w:val="20"/>
        </w:rPr>
        <w:t>per se</w:t>
      </w:r>
      <w:r>
        <w:rPr>
          <w:rFonts w:cs="NimbusRomNo9L-Regu" w:ascii="NimbusRomNo9L-Regu" w:hAnsi="NimbusRomNo9L-Regu"/>
          <w:sz w:val="20"/>
          <w:szCs w:val="20"/>
        </w:rPr>
        <w:t>” would run into problems of the</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hidden variable program. (pp. 21-22)</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[It is clearly UNBELIEVABLE similar to my EDWs!!!!]</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[The author continues:]</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implications of the present Bell experiment are stronger than those of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standard Bell test. In the latter, we can exclude the view according to which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outcomes for measurements are (locally) predetermined, no matter if any measurement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 xml:space="preserve">– </w:t>
      </w:r>
      <w:r>
        <w:rPr>
          <w:rFonts w:cs="NimbusRomNo9L-Regu" w:ascii="NimbusRomNo9L-Regu" w:hAnsi="NimbusRomNo9L-Regu"/>
          <w:sz w:val="20"/>
          <w:szCs w:val="20"/>
        </w:rPr>
        <w:t>and no matter which measurement – is actually performed. Still, between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partners there is no ambiguity with respect to whether measurements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take place and about the coexistence of their records. The records can be accomplished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as “facts of the world”, which they share and even need to communicate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order to evaluate the experimental bound of the Bell expression. This is no</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longer the case in the present Bell experiment. What the Bell experiment excludes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is the coexistence of the “facts” themselves. Everettians solve this by assuming</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that mutually complementary facts never coexist in between two branchings</w:t>
      </w:r>
    </w:p>
    <w:p>
      <w:pPr>
        <w:pStyle w:val="Normal"/>
        <w:spacing w:before="0" w:after="0"/>
        <w:contextualSpacing/>
        <w:jc w:val="left"/>
        <w:rPr/>
      </w:pPr>
      <w:r>
        <w:rPr>
          <w:rFonts w:cs="NimbusRomNo9L-Regu" w:ascii="NimbusRomNo9L-Regu" w:hAnsi="NimbusRomNo9L-Regu"/>
          <w:sz w:val="20"/>
          <w:szCs w:val="20"/>
        </w:rPr>
        <w:t xml:space="preserve">of the (multi)universe. Copenhagenists (can) take the position that </w:t>
      </w:r>
      <w:r>
        <w:rPr>
          <w:rFonts w:cs="NimbusRomNo9L-ReguItal" w:ascii="NimbusRomNo9L-ReguItal" w:hAnsi="NimbusRomNo9L-ReguItal"/>
          <w:sz w:val="20"/>
          <w:szCs w:val="20"/>
        </w:rPr>
        <w:t>there are no</w:t>
      </w:r>
    </w:p>
    <w:p>
      <w:pPr>
        <w:pStyle w:val="Normal"/>
        <w:spacing w:before="0" w:after="0"/>
        <w:contextualSpacing/>
        <w:jc w:val="left"/>
        <w:rPr/>
      </w:pPr>
      <w:r>
        <w:rPr>
          <w:rFonts w:cs="NimbusRomNo9L-ReguItal" w:ascii="NimbusRomNo9L-ReguItal" w:hAnsi="NimbusRomNo9L-ReguItal"/>
          <w:sz w:val="20"/>
          <w:szCs w:val="20"/>
        </w:rPr>
        <w:t>facts of the world per se, but only relative to observers</w:t>
      </w:r>
      <w:r>
        <w:rPr>
          <w:rFonts w:cs="NimbusRomNo9L-Regu" w:ascii="NimbusRomNo9L-Regu" w:hAnsi="NimbusRomNo9L-Regu"/>
          <w:sz w:val="20"/>
          <w:szCs w:val="20"/>
        </w:rPr>
        <w:t>. This is similar to Quantum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Bayesianism, which treats the state of a quantum system as being observerdependent,</w:t>
      </w:r>
    </w:p>
    <w:p>
      <w:pPr>
        <w:pStyle w:val="Normal"/>
        <w:spacing w:before="0" w:after="0"/>
        <w:contextualSpacing/>
        <w:jc w:val="left"/>
        <w:rPr/>
      </w:pPr>
      <w:r>
        <w:rPr>
          <w:rFonts w:cs="NimbusRomNo9L-Regu" w:ascii="NimbusRomNo9L-Regu" w:hAnsi="NimbusRomNo9L-Regu"/>
          <w:sz w:val="20"/>
          <w:szCs w:val="20"/>
        </w:rPr>
        <w:t>and to Rovelli’s relational quantum mechanics [6], according to which “quantum mechanics is a theory about the physical description of physical systems relative to other systems ...” There are, however, important di</w:t>
      </w:r>
      <w:r>
        <w:rPr>
          <w:rFonts w:cs="rtxr" w:ascii="rtxr" w:hAnsi="rtxr"/>
          <w:sz w:val="20"/>
          <w:szCs w:val="20"/>
        </w:rPr>
        <w:t>ff</w:t>
      </w:r>
      <w:r>
        <w:rPr>
          <w:rFonts w:cs="NimbusRomNo9L-Regu" w:ascii="NimbusRomNo9L-Regu" w:hAnsi="NimbusRomNo9L-Regu"/>
          <w:sz w:val="20"/>
          <w:szCs w:val="20"/>
        </w:rPr>
        <w:t xml:space="preserve">erences. </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Rovelli’s relational interpretation, the “observer” does not “make any reference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a conscious, animate, or computing, or in any other manner special,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system” [6] – each system provides its own frame of reference relative to which</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states of other systems can be assigned. Taking this position and outcome 3 of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Deutsch’s experiment and applying them to, for example, the interference phenomenon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the double-slit experiment with single electrons, one would conclude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that, although the observer has no path information, the electron itself “knows”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which path it takes. Relative to the electron, a definite path is taken, although we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as observers observe an interference pattern. Obviously, we are here encountering</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limits of meaningful language when we associate the terms “knowledge”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or “taken” to single electrons. In this respect, quantum theory (in my eyes) remains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 fundamental theory of observations in which a (hypothetical) observer,</w:t>
      </w:r>
    </w:p>
    <w:p>
      <w:pPr>
        <w:pStyle w:val="Normal"/>
        <w:spacing w:before="0" w:after="0"/>
        <w:ind w:left="0" w:right="0" w:firstLine="720"/>
        <w:contextualSpacing/>
        <w:jc w:val="left"/>
        <w:rPr>
          <w:rFonts w:ascii="NimbusRomNo9L-Regu" w:hAnsi="NimbusRomNo9L-Regu" w:cs="NimbusRomNo9L-Regu"/>
          <w:sz w:val="20"/>
          <w:szCs w:val="20"/>
        </w:rPr>
      </w:pPr>
      <w:r>
        <w:rPr>
          <w:rFonts w:cs="NimbusRomNo9L-Regu" w:ascii="NimbusRomNo9L-Regu" w:hAnsi="NimbusRomNo9L-Regu"/>
          <w:sz w:val="20"/>
          <w:szCs w:val="20"/>
        </w:rPr>
        <w:t>measurement and probabilities play a central role. (pp. 22-23)</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jc w:val="left"/>
        <w:rPr>
          <w:rFonts w:ascii="NimbusRomNo9L-Regu" w:hAnsi="NimbusRomNo9L-Regu" w:cs="NimbusRomNo9L-Regu"/>
          <w:color w:val="FF0000"/>
          <w:sz w:val="20"/>
          <w:szCs w:val="20"/>
        </w:rPr>
      </w:pPr>
      <w:r>
        <w:rPr>
          <w:rFonts w:cs="NimbusRomNo9L-Regu" w:ascii="NimbusRomNo9L-Regu" w:hAnsi="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pStyle w:val="Normal"/>
        <w:spacing w:before="0" w:after="0"/>
        <w:contextualSpacing/>
        <w:jc w:val="left"/>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pPr>
      <w:r>
        <w:rPr>
          <w:rFonts w:cs="NimbusRomNo9L-Regu" w:ascii="NimbusRomNo9L-Regu" w:hAnsi="NimbusRomNo9L-Regu"/>
          <w:sz w:val="20"/>
          <w:szCs w:val="20"/>
        </w:rPr>
        <w:t>The di</w:t>
      </w:r>
      <w:r>
        <w:rPr>
          <w:rFonts w:cs="rtxr" w:ascii="rtxr" w:hAnsi="rtxr"/>
          <w:sz w:val="20"/>
          <w:szCs w:val="20"/>
        </w:rPr>
        <w:t>_</w:t>
      </w:r>
      <w:r>
        <w:rPr>
          <w:rFonts w:cs="NimbusRomNo9L-Regu" w:ascii="NimbusRomNo9L-Regu" w:hAnsi="NimbusRomNo9L-Regu"/>
          <w:sz w:val="20"/>
          <w:szCs w:val="20"/>
        </w:rPr>
        <w:t>erence to the Everett interpretation is more evident. In the view adopted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here, no meaning is given to “the universal wave function”, nor is there an attempt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arrive at the probabilities from within such a concept alone. Here, the probabilities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are always given by the Born rule, which is part of the formalism. This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applies also to superobservers of any order: probabilities acquire meaning only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when the measurement arrangement is specified, in which these probabilities are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observed. (p. 24)</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jc w:val="left"/>
        <w:rPr>
          <w:rFonts w:ascii="NimbusRomNo9L-Regu" w:hAnsi="NimbusRomNo9L-Regu" w:cs="NimbusRomNo9L-Regu"/>
          <w:color w:val="FF0000"/>
          <w:sz w:val="20"/>
          <w:szCs w:val="20"/>
        </w:rPr>
      </w:pPr>
      <w:r>
        <w:rPr>
          <w:rFonts w:cs="NimbusRomNo9L-Regu" w:ascii="NimbusRomNo9L-Regu" w:hAnsi="NimbusRomNo9L-Regu"/>
          <w:color w:val="FF0000"/>
          <w:sz w:val="20"/>
          <w:szCs w:val="20"/>
        </w:rPr>
        <w:t>[Obvisouly, there are strong differences between Everett’s many words and my EDWs!!!! See my works!]</w:t>
      </w:r>
    </w:p>
    <w:p>
      <w:pPr>
        <w:pStyle w:val="Normal"/>
        <w:spacing w:before="0" w:after="0"/>
        <w:contextualSpacing/>
        <w:jc w:val="left"/>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Finally, I comment on the view [45] that the cut cannot be moved to include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measurement instruments, observers etc. as objects under observation, since an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object can never grow up to the point that it includes measurement contexts that, in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turn, are unavoidably given in terms of classical concepts in accordance to Bohr’s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doctrine [39]: “However far the (quantum) phenomena transcend the scope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classical physical explanation, the account of all evidence must be expressed in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classical terms.” According to this view [45], the necessity of unambiguous usage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classical concepts fixes the object-subject cut whose position is therefore fundamental</w:t>
      </w:r>
    </w:p>
    <w:p>
      <w:pPr>
        <w:pStyle w:val="Normal"/>
        <w:spacing w:before="0" w:after="0"/>
        <w:contextualSpacing/>
        <w:jc w:val="left"/>
        <w:rPr/>
      </w:pPr>
      <w:r>
        <w:rPr>
          <w:rFonts w:cs="NimbusRomNo9L-Regu" w:ascii="NimbusRomNo9L-Regu" w:hAnsi="NimbusRomNo9L-Regu"/>
          <w:sz w:val="20"/>
          <w:szCs w:val="20"/>
        </w:rPr>
        <w:t xml:space="preserve">and equal for </w:t>
      </w:r>
      <w:r>
        <w:rPr>
          <w:rFonts w:cs="NimbusRomNo9L-ReguItal" w:ascii="NimbusRomNo9L-ReguItal" w:hAnsi="NimbusRomNo9L-ReguItal"/>
          <w:sz w:val="20"/>
          <w:szCs w:val="20"/>
        </w:rPr>
        <w:t xml:space="preserve">all </w:t>
      </w:r>
      <w:r>
        <w:rPr>
          <w:rFonts w:cs="NimbusRomNo9L-Regu" w:ascii="NimbusRomNo9L-Regu" w:hAnsi="NimbusRomNo9L-Regu"/>
          <w:sz w:val="20"/>
          <w:szCs w:val="20"/>
        </w:rPr>
        <w:t>observers. Consequently, one can retain the objectivity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“facts of the world”. I do not think that this view stands up to closer scrutiny.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description of any quantum mechanical experiment is expressed “in common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language supplemented with the terminology of classical physics” [46]. Although</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this observation has played an important role in clarifying misconceptions in debates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over the interpretation of quantum theory, it is in retrospective rather selfevident.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For example, the description of a double-slit experiment with atoms, includes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depiction of the source of atoms directed towards the diaphragm normal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the beam, where the diaphragm contains two slits and a photographic plate with</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 characteristic interference pattern on the plate where the atoms are deposited. By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extending the experiment to larger and larger systems, eventually as large as measurement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instruments, nothing should change in the epistemic basis of the theory: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we will still give an unambiguous account of the phenomenon in terms of classical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language including a suitable “source”, “beam” and “observation screen”.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This should not be confused with the impossibility of giving a classical explanation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the phenomenon, e.g. in terms of well-defined classical trajectories, which</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is present both for atoms and for macroscopic objects. To conclude, the cut can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be shifted with no change in the epistemic foundation of the theory. Negating</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this would either mean negating Wigner-type experiments as legitimate quantum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mechanical experiments or predicting outcome 1 in Deutsch’s experiment. Both</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choices indicate an acceptance that quantum theory is not universal. (p. 24)</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ListParagraph"/>
        <w:numPr>
          <w:ilvl w:val="0"/>
          <w:numId w:val="31"/>
        </w:numPr>
        <w:spacing w:before="0" w:after="0"/>
        <w:ind w:left="0" w:right="0" w:hanging="360"/>
        <w:contextualSpacing/>
        <w:rPr>
          <w:b/>
          <w:b/>
          <w:sz w:val="28"/>
          <w:szCs w:val="28"/>
        </w:rPr>
      </w:pPr>
      <w:r>
        <w:rPr>
          <w:b/>
          <w:sz w:val="28"/>
          <w:szCs w:val="28"/>
        </w:rPr>
        <w:t>UNBELIEVABLE similarities between Mateus Araújo et al’s ideas (2015) on quantum mechanics and my ideas (2002-2008)</w:t>
      </w:r>
    </w:p>
    <w:p>
      <w:pPr>
        <w:pStyle w:val="Normal"/>
        <w:spacing w:before="0" w:after="0"/>
        <w:contextualSpacing/>
        <w:jc w:val="center"/>
        <w:rPr>
          <w:sz w:val="28"/>
          <w:szCs w:val="28"/>
        </w:rPr>
      </w:pPr>
      <w:r>
        <w:rPr>
          <w:sz w:val="28"/>
          <w:szCs w:val="28"/>
        </w:rPr>
      </w:r>
    </w:p>
    <w:p>
      <w:pPr>
        <w:pStyle w:val="Normal"/>
        <w:spacing w:before="0" w:after="0"/>
        <w:contextualSpacing/>
        <w:rPr>
          <w:sz w:val="28"/>
          <w:szCs w:val="28"/>
        </w:rPr>
      </w:pPr>
      <w:r>
        <w:rPr>
          <w:sz w:val="28"/>
          <w:szCs w:val="28"/>
        </w:rPr>
        <w:t>[I investigate this article here]</w:t>
      </w:r>
    </w:p>
    <w:p>
      <w:pPr>
        <w:pStyle w:val="Normal"/>
        <w:spacing w:before="0" w:after="0"/>
        <w:contextualSpacing/>
        <w:rPr>
          <w:sz w:val="28"/>
          <w:szCs w:val="28"/>
        </w:rPr>
      </w:pPr>
      <w:r>
        <w:rPr>
          <w:sz w:val="28"/>
          <w:szCs w:val="28"/>
        </w:rPr>
      </w:r>
    </w:p>
    <w:p>
      <w:pPr>
        <w:pStyle w:val="Normal"/>
        <w:spacing w:before="0" w:after="0"/>
        <w:contextualSpacing/>
        <w:rPr/>
      </w:pPr>
      <w:r>
        <w:rPr>
          <w:b/>
          <w:sz w:val="28"/>
          <w:szCs w:val="28"/>
        </w:rPr>
        <w:t xml:space="preserve">(2015) </w:t>
      </w:r>
      <w:hyperlink r:id="rId456">
        <w:r>
          <w:rPr>
            <w:rStyle w:val="InternetLink"/>
            <w:b/>
            <w:color w:val="auto"/>
            <w:sz w:val="28"/>
            <w:szCs w:val="28"/>
            <w:highlight w:val="white"/>
            <w:u w:val="none"/>
          </w:rPr>
          <w:t>Mateus Araújo</w:t>
        </w:r>
      </w:hyperlink>
      <w:r>
        <w:rPr>
          <w:b/>
          <w:sz w:val="28"/>
          <w:szCs w:val="28"/>
          <w:highlight w:val="white"/>
        </w:rPr>
        <w:t>, </w:t>
      </w:r>
      <w:hyperlink r:id="rId457">
        <w:r>
          <w:rPr>
            <w:rStyle w:val="InternetLink"/>
            <w:b/>
            <w:color w:val="auto"/>
            <w:sz w:val="28"/>
            <w:szCs w:val="28"/>
            <w:highlight w:val="white"/>
            <w:u w:val="none"/>
          </w:rPr>
          <w:t>Cyril Branciard</w:t>
        </w:r>
      </w:hyperlink>
      <w:r>
        <w:rPr>
          <w:b/>
          <w:sz w:val="28"/>
          <w:szCs w:val="28"/>
          <w:highlight w:val="white"/>
        </w:rPr>
        <w:t>, </w:t>
      </w:r>
      <w:hyperlink r:id="rId458">
        <w:r>
          <w:rPr>
            <w:rStyle w:val="InternetLink"/>
            <w:b/>
            <w:color w:val="auto"/>
            <w:sz w:val="28"/>
            <w:szCs w:val="28"/>
            <w:highlight w:val="white"/>
            <w:u w:val="none"/>
          </w:rPr>
          <w:t>Fabio Costa</w:t>
        </w:r>
      </w:hyperlink>
      <w:r>
        <w:rPr>
          <w:b/>
          <w:sz w:val="28"/>
          <w:szCs w:val="28"/>
          <w:highlight w:val="white"/>
        </w:rPr>
        <w:t>, </w:t>
      </w:r>
      <w:hyperlink r:id="rId459">
        <w:r>
          <w:rPr>
            <w:rStyle w:val="InternetLink"/>
            <w:b/>
            <w:color w:val="auto"/>
            <w:sz w:val="28"/>
            <w:szCs w:val="28"/>
            <w:highlight w:val="white"/>
            <w:u w:val="none"/>
          </w:rPr>
          <w:t>Adrien Feix</w:t>
        </w:r>
      </w:hyperlink>
      <w:r>
        <w:rPr>
          <w:b/>
          <w:sz w:val="28"/>
          <w:szCs w:val="28"/>
          <w:highlight w:val="white"/>
        </w:rPr>
        <w:t>, </w:t>
      </w:r>
      <w:hyperlink r:id="rId460">
        <w:r>
          <w:rPr>
            <w:rStyle w:val="InternetLink"/>
            <w:b/>
            <w:color w:val="auto"/>
            <w:sz w:val="28"/>
            <w:szCs w:val="28"/>
            <w:highlight w:val="white"/>
            <w:u w:val="none"/>
          </w:rPr>
          <w:t>Christina Giarmatzi</w:t>
        </w:r>
      </w:hyperlink>
      <w:r>
        <w:rPr>
          <w:b/>
          <w:sz w:val="28"/>
          <w:szCs w:val="28"/>
          <w:highlight w:val="white"/>
        </w:rPr>
        <w:t>, </w:t>
      </w:r>
      <w:hyperlink r:id="rId461">
        <w:r>
          <w:rPr>
            <w:rStyle w:val="InternetLink"/>
            <w:b/>
            <w:color w:val="auto"/>
            <w:sz w:val="28"/>
            <w:szCs w:val="28"/>
            <w:highlight w:val="white"/>
            <w:u w:val="none"/>
          </w:rPr>
          <w:t>Časlav Brukner</w:t>
        </w:r>
      </w:hyperlink>
      <w:r>
        <w:rPr>
          <w:b/>
          <w:sz w:val="28"/>
          <w:szCs w:val="28"/>
        </w:rPr>
        <w:t xml:space="preserve">, </w:t>
      </w:r>
      <w:r>
        <w:rPr>
          <w:b/>
          <w:i/>
          <w:sz w:val="28"/>
          <w:szCs w:val="28"/>
        </w:rPr>
        <w:t>Witnessing causal nonseparability</w:t>
      </w:r>
      <w:r>
        <w:rPr>
          <w:b/>
          <w:sz w:val="28"/>
          <w:szCs w:val="28"/>
        </w:rPr>
        <w:t xml:space="preserve">, at </w:t>
      </w:r>
      <w:hyperlink r:id="rId462">
        <w:r>
          <w:rPr>
            <w:rStyle w:val="InternetLink"/>
            <w:b/>
            <w:color w:val="auto"/>
            <w:sz w:val="28"/>
            <w:szCs w:val="28"/>
            <w:u w:val="none"/>
          </w:rPr>
          <w:t>https://arxiv.org/abs/1506.03776v2</w:t>
        </w:r>
      </w:hyperlink>
    </w:p>
    <w:p>
      <w:pPr>
        <w:pStyle w:val="Normal"/>
        <w:spacing w:before="0" w:after="0"/>
        <w:contextualSpacing/>
        <w:rPr/>
      </w:pPr>
      <w:r>
        <w:rPr/>
      </w:r>
    </w:p>
    <w:p>
      <w:pPr>
        <w:pStyle w:val="Normal"/>
        <w:spacing w:before="0" w:after="0"/>
        <w:contextualSpacing/>
        <w:rPr>
          <w:color w:val="FF0000"/>
        </w:rPr>
      </w:pPr>
      <w:r>
        <w:rPr>
          <w:color w:val="FF0000"/>
        </w:rPr>
        <w:t>In this paper, I investigate UNBELIEVABLE similarities between Araujo et al.’s idea (2015) and my ideas (2002-2008)</w:t>
      </w:r>
    </w:p>
    <w:p>
      <w:pPr>
        <w:pStyle w:val="Normal"/>
        <w:spacing w:before="0" w:after="0"/>
        <w:contextualSpacing/>
        <w:rPr>
          <w:color w:val="FF0000"/>
        </w:rPr>
      </w:pPr>
      <w:r>
        <w:rPr>
          <w:color w:val="FF0000"/>
        </w:rPr>
      </w:r>
    </w:p>
    <w:p>
      <w:pPr>
        <w:pStyle w:val="Normal"/>
        <w:spacing w:before="0" w:after="0"/>
        <w:contextualSpacing/>
        <w:rPr>
          <w:color w:val="FF0000"/>
        </w:rPr>
      </w:pPr>
      <w:r>
        <w:rPr>
          <w:color w:val="FF0000"/>
        </w:rPr>
        <w:t>Their abstract</w:t>
      </w:r>
    </w:p>
    <w:p>
      <w:pPr>
        <w:pStyle w:val="Normal"/>
        <w:spacing w:before="0" w:after="0"/>
        <w:contextualSpacing/>
        <w:rPr/>
      </w:pPr>
      <w:r>
        <w:rPr/>
      </w:r>
    </w:p>
    <w:p>
      <w:pPr>
        <w:pStyle w:val="Normal"/>
        <w:spacing w:before="0" w:after="0"/>
        <w:contextualSpacing/>
        <w:rPr>
          <w:rFonts w:ascii="Helvetica" w:hAnsi="Helvetica" w:cs="Helvetica"/>
          <w:color w:val="000000"/>
          <w:sz w:val="23"/>
          <w:szCs w:val="23"/>
          <w:highlight w:val="white"/>
        </w:rPr>
      </w:pPr>
      <w:r>
        <w:rPr>
          <w:rFonts w:cs="Helvetica" w:ascii="Helvetica" w:hAnsi="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pStyle w:val="Normal"/>
        <w:spacing w:before="0" w:after="0"/>
        <w:contextualSpacing/>
        <w:rPr>
          <w:rFonts w:ascii="Helvetica" w:hAnsi="Helvetica" w:cs="Helvetica"/>
          <w:color w:val="000000"/>
          <w:sz w:val="23"/>
          <w:szCs w:val="23"/>
          <w:highlight w:val="white"/>
        </w:rPr>
      </w:pPr>
      <w:r>
        <w:rPr>
          <w:rFonts w:cs="Helvetica" w:ascii="Helvetica" w:hAnsi="Helvetica"/>
          <w:color w:val="000000"/>
          <w:sz w:val="23"/>
          <w:szCs w:val="23"/>
          <w:highlight w:val="white"/>
        </w:rPr>
      </w:r>
    </w:p>
    <w:p>
      <w:pPr>
        <w:pStyle w:val="Normal"/>
        <w:spacing w:before="0" w:after="0"/>
        <w:contextualSpacing/>
        <w:rPr>
          <w:rFonts w:ascii="Helvetica" w:hAnsi="Helvetica" w:cs="Helvetica"/>
          <w:color w:val="000000"/>
          <w:sz w:val="23"/>
          <w:szCs w:val="23"/>
          <w:highlight w:val="white"/>
        </w:rPr>
      </w:pPr>
      <w:r>
        <w:rPr>
          <w:rFonts w:cs="Helvetica" w:ascii="Helvetica" w:hAnsi="Helvetica"/>
          <w:color w:val="000000"/>
          <w:sz w:val="23"/>
          <w:szCs w:val="23"/>
          <w:highlight w:val="white"/>
        </w:rPr>
      </w:r>
    </w:p>
    <w:p>
      <w:pPr>
        <w:pStyle w:val="Normal"/>
        <w:spacing w:before="0" w:after="0"/>
        <w:contextualSpacing/>
        <w:rPr>
          <w:rFonts w:ascii="Helvetica" w:hAnsi="Helvetica" w:cs="Helvetica"/>
          <w:color w:val="FF0000"/>
          <w:sz w:val="23"/>
          <w:szCs w:val="23"/>
          <w:highlight w:val="white"/>
        </w:rPr>
      </w:pPr>
      <w:r>
        <w:rPr>
          <w:rFonts w:cs="Helvetica" w:ascii="Helvetica" w:hAnsi="Helvetica"/>
          <w:color w:val="FF0000"/>
          <w:sz w:val="23"/>
          <w:szCs w:val="23"/>
          <w:highlight w:val="white"/>
        </w:rPr>
        <w:t>[The reader can already see UNBELIEVABLE similarity between the framework of their approach and my EDWs!!!]</w:t>
      </w:r>
    </w:p>
    <w:p>
      <w:pPr>
        <w:pStyle w:val="Normal"/>
        <w:spacing w:before="0" w:after="0"/>
        <w:contextualSpacing/>
        <w:rPr>
          <w:rFonts w:ascii="Helvetica" w:hAnsi="Helvetica" w:cs="Helvetica"/>
          <w:color w:val="FF0000"/>
          <w:sz w:val="23"/>
          <w:szCs w:val="23"/>
          <w:highlight w:val="white"/>
        </w:rPr>
      </w:pPr>
      <w:r>
        <w:rPr>
          <w:rFonts w:cs="Helvetica" w:ascii="Helvetica" w:hAnsi="Helvetica"/>
          <w:color w:val="FF0000"/>
          <w:sz w:val="23"/>
          <w:szCs w:val="23"/>
          <w:highlight w:val="white"/>
        </w:rPr>
      </w:r>
    </w:p>
    <w:p>
      <w:pPr>
        <w:pStyle w:val="Normal"/>
        <w:spacing w:before="0" w:after="0"/>
        <w:contextualSpacing/>
        <w:rPr>
          <w:rFonts w:ascii="Helvetica" w:hAnsi="Helvetica" w:cs="Helvetica"/>
          <w:color w:val="000000"/>
          <w:sz w:val="23"/>
          <w:szCs w:val="23"/>
          <w:highlight w:val="white"/>
        </w:rPr>
      </w:pPr>
      <w:r>
        <w:rPr>
          <w:rFonts w:cs="Helvetica" w:ascii="Helvetica" w:hAnsi="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pStyle w:val="Normal"/>
        <w:spacing w:before="0" w:after="0"/>
        <w:contextualSpacing/>
        <w:rPr>
          <w:rFonts w:ascii="Helvetica" w:hAnsi="Helvetica" w:cs="Helvetica"/>
          <w:color w:val="000000"/>
          <w:sz w:val="23"/>
          <w:szCs w:val="23"/>
          <w:highlight w:val="white"/>
        </w:rPr>
      </w:pPr>
      <w:r>
        <w:rPr>
          <w:rFonts w:cs="Helvetica" w:ascii="Helvetica" w:hAnsi="Helvetica"/>
          <w:color w:val="000000"/>
          <w:sz w:val="23"/>
          <w:szCs w:val="23"/>
          <w:highlight w:val="white"/>
        </w:rPr>
      </w:r>
    </w:p>
    <w:p>
      <w:pPr>
        <w:pStyle w:val="Normal"/>
        <w:spacing w:before="0" w:after="0"/>
        <w:contextualSpacing/>
        <w:rPr>
          <w:rFonts w:ascii="Helvetica" w:hAnsi="Helvetica" w:cs="Helvetica"/>
          <w:color w:val="FF0000"/>
          <w:sz w:val="23"/>
          <w:szCs w:val="23"/>
          <w:highlight w:val="white"/>
        </w:rPr>
      </w:pPr>
      <w:r>
        <w:rPr>
          <w:rFonts w:cs="Helvetica" w:ascii="Helvetica" w:hAnsi="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pStyle w:val="Normal"/>
        <w:spacing w:before="0" w:after="0"/>
        <w:contextualSpacing/>
        <w:rPr>
          <w:rFonts w:ascii="Helvetica" w:hAnsi="Helvetica" w:cs="Helvetica"/>
          <w:color w:val="FF0000"/>
          <w:sz w:val="23"/>
          <w:szCs w:val="23"/>
          <w:highlight w:val="white"/>
        </w:rPr>
      </w:pPr>
      <w:r>
        <w:rPr>
          <w:rFonts w:cs="Helvetica" w:ascii="Helvetica" w:hAnsi="Helvetica"/>
          <w:color w:val="FF0000"/>
          <w:sz w:val="23"/>
          <w:szCs w:val="23"/>
          <w:highlight w:val="white"/>
        </w:rPr>
      </w:r>
    </w:p>
    <w:p>
      <w:pPr>
        <w:pStyle w:val="Normal"/>
        <w:spacing w:before="0" w:after="0"/>
        <w:contextualSpacing/>
        <w:jc w:val="left"/>
        <w:rPr>
          <w:rFonts w:ascii="Palatino-Roman" w:hAnsi="Palatino-Roman" w:cs="Palatino-Roman"/>
        </w:rPr>
      </w:pPr>
      <w:r>
        <w:rPr>
          <w:rFonts w:cs="Palatino-Roman" w:ascii="Palatino-Roman" w:hAnsi="Palatino-Roman"/>
        </w:rPr>
        <w:t>It is therefore not completely clear what is the precise</w:t>
      </w:r>
    </w:p>
    <w:p>
      <w:pPr>
        <w:pStyle w:val="Normal"/>
        <w:spacing w:before="0" w:after="0"/>
        <w:contextualSpacing/>
        <w:jc w:val="left"/>
        <w:rPr>
          <w:rFonts w:ascii="Palatino-Roman" w:hAnsi="Palatino-Roman" w:cs="Palatino-Roman"/>
        </w:rPr>
      </w:pPr>
      <w:r>
        <w:rPr>
          <w:rFonts w:cs="Palatino-Roman" w:ascii="Palatino-Roman" w:hAnsi="Palatino-Roman"/>
        </w:rPr>
        <w:t>relation between “quantum correlations with no</w:t>
      </w:r>
    </w:p>
    <w:p>
      <w:pPr>
        <w:pStyle w:val="Normal"/>
        <w:spacing w:before="0" w:after="0"/>
        <w:contextualSpacing/>
        <w:jc w:val="left"/>
        <w:rPr>
          <w:rFonts w:ascii="Palatino-Roman" w:hAnsi="Palatino-Roman" w:cs="Palatino-Roman"/>
        </w:rPr>
      </w:pPr>
      <w:r>
        <w:rPr>
          <w:rFonts w:cs="Palatino-Roman" w:ascii="Palatino-Roman" w:hAnsi="Palatino-Roman"/>
        </w:rPr>
        <w:t>causal order”, which violate causal inequalities, and</w:t>
      </w:r>
    </w:p>
    <w:p>
      <w:pPr>
        <w:pStyle w:val="Normal"/>
        <w:spacing w:before="0" w:after="0"/>
        <w:contextualSpacing/>
        <w:jc w:val="left"/>
        <w:rPr>
          <w:rFonts w:ascii="Palatino-Roman" w:hAnsi="Palatino-Roman" w:cs="Palatino-Roman"/>
        </w:rPr>
      </w:pPr>
      <w:r>
        <w:rPr>
          <w:rFonts w:cs="Palatino-Roman" w:ascii="Palatino-Roman" w:hAnsi="Palatino-Roman"/>
        </w:rPr>
        <w:t>physically implementable resources, such as the quantum</w:t>
      </w:r>
    </w:p>
    <w:p>
      <w:pPr>
        <w:pStyle w:val="Normal"/>
        <w:spacing w:before="0" w:after="0"/>
        <w:contextualSpacing/>
        <w:jc w:val="left"/>
        <w:rPr>
          <w:rFonts w:ascii="Palatino-Roman" w:hAnsi="Palatino-Roman" w:cs="Palatino-Roman"/>
        </w:rPr>
      </w:pPr>
      <w:r>
        <w:rPr>
          <w:rFonts w:cs="Palatino-Roman" w:ascii="Palatino-Roman" w:hAnsi="Palatino-Roman"/>
        </w:rPr>
        <w:t>switch, which outperform causally ordered ones.</w:t>
      </w:r>
    </w:p>
    <w:p>
      <w:pPr>
        <w:pStyle w:val="Normal"/>
        <w:spacing w:before="0" w:after="0"/>
        <w:contextualSpacing/>
        <w:jc w:val="left"/>
        <w:rPr>
          <w:rFonts w:ascii="Palatino-Roman" w:hAnsi="Palatino-Roman" w:cs="Palatino-Roman"/>
        </w:rPr>
      </w:pPr>
      <w:r>
        <w:rPr>
          <w:rFonts w:cs="Palatino-Roman" w:ascii="Palatino-Roman" w:hAnsi="Palatino-Roman"/>
        </w:rPr>
        <w:t>To understand this relation, a crucial observation is that</w:t>
      </w:r>
    </w:p>
    <w:p>
      <w:pPr>
        <w:pStyle w:val="Normal"/>
        <w:spacing w:before="0" w:after="0"/>
        <w:contextualSpacing/>
        <w:jc w:val="left"/>
        <w:rPr/>
      </w:pPr>
      <w:r>
        <w:rPr>
          <w:rFonts w:cs="Palatino-Roman" w:ascii="Palatino-Roman" w:hAnsi="Palatino-Roman"/>
        </w:rPr>
        <w:t xml:space="preserve">the causal inequalities are </w:t>
      </w:r>
      <w:r>
        <w:rPr>
          <w:rFonts w:cs="Palatino-Italic" w:ascii="Palatino-Italic" w:hAnsi="Palatino-Italic"/>
          <w:i/>
          <w:iCs/>
        </w:rPr>
        <w:t xml:space="preserve">device-independent </w:t>
      </w:r>
      <w:r>
        <w:rPr>
          <w:rFonts w:cs="Palatino-Roman" w:ascii="Palatino-Roman" w:hAnsi="Palatino-Roman"/>
        </w:rPr>
        <w:t>constraints:</w:t>
      </w:r>
    </w:p>
    <w:p>
      <w:pPr>
        <w:pStyle w:val="Normal"/>
        <w:spacing w:before="0" w:after="0"/>
        <w:contextualSpacing/>
        <w:jc w:val="left"/>
        <w:rPr>
          <w:rFonts w:ascii="Palatino-Roman" w:hAnsi="Palatino-Roman" w:cs="Palatino-Roman"/>
        </w:rPr>
      </w:pPr>
      <w:r>
        <w:rPr>
          <w:rFonts w:cs="Palatino-Roman" w:ascii="Palatino-Roman" w:hAnsi="Palatino-Roman"/>
        </w:rPr>
        <w:t>they are formulated independently of the physics of the</w:t>
      </w:r>
    </w:p>
    <w:p>
      <w:pPr>
        <w:pStyle w:val="Normal"/>
        <w:spacing w:before="0" w:after="0"/>
        <w:contextualSpacing/>
        <w:jc w:val="left"/>
        <w:rPr/>
      </w:pPr>
      <w:r>
        <w:rPr>
          <w:rFonts w:cs="Palatino-Roman" w:ascii="Palatino-Roman" w:hAnsi="Palatino-Roman"/>
        </w:rPr>
        <w:t xml:space="preserve">systems or the specific apparatuses employed. </w:t>
      </w:r>
      <w:r>
        <w:rPr>
          <w:rFonts w:cs="Palatino-Roman" w:ascii="Palatino-Roman" w:hAnsi="Palatino-Roman"/>
          <w:color w:val="000000"/>
        </w:rPr>
        <w:t>On the</w:t>
      </w:r>
    </w:p>
    <w:p>
      <w:pPr>
        <w:pStyle w:val="Normal"/>
        <w:spacing w:before="0" w:after="0"/>
        <w:contextualSpacing/>
        <w:jc w:val="left"/>
        <w:rPr/>
      </w:pPr>
      <w:r>
        <w:rPr>
          <w:rFonts w:cs="Palatino-Roman" w:ascii="Palatino-Roman" w:hAnsi="Palatino-Roman"/>
          <w:color w:val="000000"/>
        </w:rPr>
        <w:t>other hand, the tasks discussed in Refs. [</w:t>
      </w:r>
      <w:r>
        <w:rPr>
          <w:rFonts w:cs="TeXPalladioL-SC" w:ascii="TeXPalladioL-SC" w:hAnsi="TeXPalladioL-SC"/>
          <w:color w:val="00FF00"/>
        </w:rPr>
        <w:t>7</w:t>
      </w:r>
      <w:r>
        <w:rPr>
          <w:rFonts w:cs="Palatino-Roman" w:ascii="Palatino-Roman" w:hAnsi="Palatino-Roman"/>
          <w:color w:val="000000"/>
        </w:rPr>
        <w:t xml:space="preserve">, </w:t>
      </w:r>
      <w:r>
        <w:rPr>
          <w:rFonts w:cs="TeXPalladioL-SC" w:ascii="TeXPalladioL-SC" w:hAnsi="TeXPalladioL-SC"/>
          <w:color w:val="00FF00"/>
        </w:rPr>
        <w:t>8</w:t>
      </w:r>
      <w:r>
        <w:rPr>
          <w:rFonts w:cs="Palatino-Roman" w:ascii="Palatino-Roman" w:hAnsi="Palatino-Roman"/>
          <w:color w:val="000000"/>
        </w:rPr>
        <w:t>] include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additional assumptions, as for example that in each laboratory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quantum systems of a definite dimension have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to be used. It is clear that, given additional restrictions,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it is more difficult for causally-ordered agents to perform</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certain tasks and, consequently, it can be easier to</w:t>
      </w:r>
    </w:p>
    <w:p>
      <w:pPr>
        <w:pStyle w:val="Normal"/>
        <w:spacing w:before="0" w:after="0"/>
        <w:contextualSpacing/>
        <w:rPr/>
      </w:pPr>
      <w:r>
        <w:rPr>
          <w:rFonts w:cs="Palatino-Roman" w:ascii="Palatino-Roman" w:hAnsi="Palatino-Roman"/>
          <w:color w:val="000000"/>
        </w:rPr>
        <w:t>detect the lack of causal order in a physical resource.</w:t>
      </w:r>
      <w:r>
        <w:rPr>
          <w:rFonts w:cs="Palatino-Roman" w:ascii="Palatino-Roman" w:hAnsi="Palatino-Roman"/>
        </w:rPr>
        <w:t xml:space="preserve"> (p. 2)</w:t>
      </w:r>
    </w:p>
    <w:p>
      <w:pPr>
        <w:pStyle w:val="Normal"/>
        <w:spacing w:before="0" w:after="0"/>
        <w:contextualSpacing/>
        <w:rPr>
          <w:rFonts w:ascii="Palatino-Roman" w:hAnsi="Palatino-Roman" w:cs="Palatino-Roman"/>
        </w:rPr>
      </w:pPr>
      <w:r>
        <w:rPr>
          <w:rFonts w:cs="Palatino-Roman" w:ascii="Palatino-Roman" w:hAnsi="Palatino-Roman"/>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[It is clear that the authors wants to replace the unicorn world with EDWs!]</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jc w:val="left"/>
        <w:rPr>
          <w:rFonts w:ascii="Palatino-Roman" w:hAnsi="Palatino-Roman" w:cs="Palatino-Roman"/>
        </w:rPr>
      </w:pPr>
      <w:r>
        <w:rPr>
          <w:rFonts w:cs="Palatino-Roman" w:ascii="Palatino-Roman" w:hAnsi="Palatino-Roman"/>
        </w:rPr>
        <w:t>The aim of the present work is to develop a general</w:t>
      </w:r>
    </w:p>
    <w:p>
      <w:pPr>
        <w:pStyle w:val="Normal"/>
        <w:spacing w:before="0" w:after="0"/>
        <w:contextualSpacing/>
        <w:jc w:val="left"/>
        <w:rPr/>
      </w:pPr>
      <w:r>
        <w:rPr>
          <w:rFonts w:cs="Palatino-Roman" w:ascii="Palatino-Roman" w:hAnsi="Palatino-Roman"/>
        </w:rPr>
        <w:t>framework for the device-</w:t>
      </w:r>
      <w:r>
        <w:rPr>
          <w:rFonts w:cs="Palatino-Italic" w:ascii="Palatino-Italic" w:hAnsi="Palatino-Italic"/>
          <w:i/>
          <w:iCs/>
        </w:rPr>
        <w:t xml:space="preserve">dependent </w:t>
      </w:r>
      <w:r>
        <w:rPr>
          <w:rFonts w:cs="Palatino-Roman" w:ascii="Palatino-Roman" w:hAnsi="Palatino-Roman"/>
        </w:rPr>
        <w:t>detection of causal</w:t>
      </w:r>
    </w:p>
    <w:p>
      <w:pPr>
        <w:pStyle w:val="Normal"/>
        <w:spacing w:before="0" w:after="0"/>
        <w:contextualSpacing/>
        <w:jc w:val="left"/>
        <w:rPr>
          <w:rFonts w:ascii="Palatino-Roman" w:hAnsi="Palatino-Roman" w:cs="Palatino-Roman"/>
        </w:rPr>
      </w:pPr>
      <w:r>
        <w:rPr>
          <w:rFonts w:cs="Palatino-Roman" w:ascii="Palatino-Roman" w:hAnsi="Palatino-Roman"/>
        </w:rPr>
        <w:t>nonseparability. The central tool we introduce is what</w:t>
      </w:r>
    </w:p>
    <w:p>
      <w:pPr>
        <w:pStyle w:val="Normal"/>
        <w:spacing w:before="0" w:after="0"/>
        <w:contextualSpacing/>
        <w:jc w:val="left"/>
        <w:rPr/>
      </w:pPr>
      <w:r>
        <w:rPr>
          <w:rFonts w:cs="Palatino-Roman" w:ascii="Palatino-Roman" w:hAnsi="Palatino-Roman"/>
        </w:rPr>
        <w:t xml:space="preserve">we call a </w:t>
      </w:r>
      <w:r>
        <w:rPr>
          <w:rFonts w:cs="Palatino-Italic" w:ascii="Palatino-Italic" w:hAnsi="Palatino-Italic"/>
          <w:i/>
          <w:iCs/>
        </w:rPr>
        <w:t>causal witness</w:t>
      </w:r>
      <w:r>
        <w:rPr>
          <w:rFonts w:cs="Palatino-Roman" w:ascii="Palatino-Roman" w:hAnsi="Palatino-Roman"/>
        </w:rPr>
        <w:t>, which represents a set of quantum</w:t>
      </w:r>
    </w:p>
    <w:p>
      <w:pPr>
        <w:pStyle w:val="Normal"/>
        <w:spacing w:before="0" w:after="0"/>
        <w:contextualSpacing/>
        <w:jc w:val="left"/>
        <w:rPr>
          <w:rFonts w:ascii="Palatino-Roman" w:hAnsi="Palatino-Roman" w:cs="Palatino-Roman"/>
        </w:rPr>
      </w:pPr>
      <w:r>
        <w:rPr>
          <w:rFonts w:cs="Palatino-Roman" w:ascii="Palatino-Roman" w:hAnsi="Palatino-Roman"/>
        </w:rPr>
        <w:t>operations, such as unitaries, channels, state preparations,</w:t>
      </w:r>
    </w:p>
    <w:p>
      <w:pPr>
        <w:pStyle w:val="Normal"/>
        <w:spacing w:before="0" w:after="0"/>
        <w:contextualSpacing/>
        <w:jc w:val="left"/>
        <w:rPr>
          <w:rFonts w:ascii="Palatino-Roman" w:hAnsi="Palatino-Roman" w:cs="Palatino-Roman"/>
        </w:rPr>
      </w:pPr>
      <w:r>
        <w:rPr>
          <w:rFonts w:cs="Palatino-Roman" w:ascii="Palatino-Roman" w:hAnsi="Palatino-Roman"/>
        </w:rPr>
        <w:t>and measurements, whose expectation value</w:t>
      </w:r>
    </w:p>
    <w:p>
      <w:pPr>
        <w:pStyle w:val="Normal"/>
        <w:spacing w:before="0" w:after="0"/>
        <w:contextualSpacing/>
        <w:jc w:val="left"/>
        <w:rPr>
          <w:rFonts w:ascii="Palatino-Roman" w:hAnsi="Palatino-Roman" w:cs="Palatino-Roman"/>
        </w:rPr>
      </w:pPr>
      <w:r>
        <w:rPr>
          <w:rFonts w:cs="Palatino-Roman" w:ascii="Palatino-Roman" w:hAnsi="Palatino-Roman"/>
        </w:rPr>
        <w:t>is non-negative as long as all the operations are performed</w:t>
      </w:r>
    </w:p>
    <w:p>
      <w:pPr>
        <w:pStyle w:val="Normal"/>
        <w:spacing w:before="0" w:after="0"/>
        <w:contextualSpacing/>
        <w:jc w:val="left"/>
        <w:rPr>
          <w:rFonts w:ascii="Palatino-Roman" w:hAnsi="Palatino-Roman" w:cs="Palatino-Roman"/>
        </w:rPr>
      </w:pPr>
      <w:r>
        <w:rPr>
          <w:rFonts w:cs="Palatino-Roman" w:ascii="Palatino-Roman" w:hAnsi="Palatino-Roman"/>
        </w:rPr>
        <w:t>in a definite causal order, i.e., as long as only</w:t>
      </w:r>
    </w:p>
    <w:p>
      <w:pPr>
        <w:pStyle w:val="Normal"/>
        <w:spacing w:before="0" w:after="0"/>
        <w:contextualSpacing/>
        <w:jc w:val="left"/>
        <w:rPr>
          <w:rFonts w:ascii="Palatino-Roman" w:hAnsi="Palatino-Roman" w:cs="Palatino-Roman"/>
        </w:rPr>
      </w:pPr>
      <w:r>
        <w:rPr>
          <w:rFonts w:cs="Palatino-Roman" w:ascii="Palatino-Roman" w:hAnsi="Palatino-Roman"/>
        </w:rPr>
        <w:t>causally separable resources are used. The observation</w:t>
      </w:r>
    </w:p>
    <w:p>
      <w:pPr>
        <w:pStyle w:val="Normal"/>
        <w:spacing w:before="0" w:after="0"/>
        <w:contextualSpacing/>
        <w:jc w:val="left"/>
        <w:rPr>
          <w:rFonts w:ascii="Palatino-Roman" w:hAnsi="Palatino-Roman" w:cs="Palatino-Roman"/>
        </w:rPr>
      </w:pPr>
      <w:r>
        <w:rPr>
          <w:rFonts w:cs="Palatino-Roman" w:ascii="Palatino-Roman" w:hAnsi="Palatino-Roman"/>
        </w:rPr>
        <w:t>of a negative expectation value is thus sufficient to conclude</w:t>
      </w:r>
    </w:p>
    <w:p>
      <w:pPr>
        <w:pStyle w:val="Normal"/>
        <w:spacing w:before="0" w:after="0"/>
        <w:contextualSpacing/>
        <w:jc w:val="left"/>
        <w:rPr>
          <w:rFonts w:ascii="Palatino-Roman" w:hAnsi="Palatino-Roman" w:cs="Palatino-Roman"/>
        </w:rPr>
      </w:pPr>
      <w:r>
        <w:rPr>
          <w:rFonts w:cs="Palatino-Roman" w:ascii="Palatino-Roman" w:hAnsi="Palatino-Roman"/>
        </w:rPr>
        <w:t>that the operations were not performed in a definite</w:t>
      </w:r>
    </w:p>
    <w:p>
      <w:pPr>
        <w:pStyle w:val="Normal"/>
        <w:spacing w:before="0" w:after="0"/>
        <w:contextualSpacing/>
        <w:jc w:val="left"/>
        <w:rPr>
          <w:rFonts w:ascii="Palatino-Roman" w:hAnsi="Palatino-Roman" w:cs="Palatino-Roman"/>
        </w:rPr>
      </w:pPr>
      <w:r>
        <w:rPr>
          <w:rFonts w:cs="Palatino-Roman" w:ascii="Palatino-Roman" w:hAnsi="Palatino-Roman"/>
        </w:rPr>
        <w:t>order. The concept is analogous to that of entanglement witness: an observable that has a non-negative</w:t>
      </w:r>
    </w:p>
    <w:p>
      <w:pPr>
        <w:pStyle w:val="Normal"/>
        <w:spacing w:before="0" w:after="0"/>
        <w:contextualSpacing/>
        <w:jc w:val="left"/>
        <w:rPr>
          <w:rFonts w:ascii="Palatino-Roman" w:hAnsi="Palatino-Roman" w:cs="Palatino-Roman"/>
        </w:rPr>
      </w:pPr>
      <w:r>
        <w:rPr>
          <w:rFonts w:cs="Palatino-Roman" w:ascii="Palatino-Roman" w:hAnsi="Palatino-Roman"/>
        </w:rPr>
        <w:t>expectation value for separable states but can have a</w:t>
      </w:r>
    </w:p>
    <w:p>
      <w:pPr>
        <w:pStyle w:val="Normal"/>
        <w:spacing w:before="0" w:after="0"/>
        <w:contextualSpacing/>
        <w:jc w:val="left"/>
        <w:rPr>
          <w:rFonts w:ascii="Palatino-Roman" w:hAnsi="Palatino-Roman" w:cs="Palatino-Roman"/>
        </w:rPr>
      </w:pPr>
      <w:r>
        <w:rPr>
          <w:rFonts w:cs="Palatino-Roman" w:ascii="Palatino-Roman" w:hAnsi="Palatino-Roman"/>
        </w:rPr>
        <w:t>negative expectation value for specific entangled states.</w:t>
      </w:r>
    </w:p>
    <w:p>
      <w:pPr>
        <w:pStyle w:val="Normal"/>
        <w:spacing w:before="0" w:after="0"/>
        <w:contextualSpacing/>
        <w:jc w:val="left"/>
        <w:rPr>
          <w:rFonts w:ascii="Palatino-Roman" w:hAnsi="Palatino-Roman" w:cs="Palatino-Roman"/>
        </w:rPr>
      </w:pPr>
      <w:r>
        <w:rPr>
          <w:rFonts w:cs="Palatino-Roman" w:ascii="Palatino-Roman" w:hAnsi="Palatino-Roman"/>
        </w:rPr>
        <w:t>We find that, for every causally nonseparable process,</w:t>
      </w:r>
    </w:p>
    <w:p>
      <w:pPr>
        <w:pStyle w:val="Normal"/>
        <w:spacing w:before="0" w:after="0"/>
        <w:contextualSpacing/>
        <w:jc w:val="left"/>
        <w:rPr>
          <w:rFonts w:ascii="Palatino-Roman" w:hAnsi="Palatino-Roman" w:cs="Palatino-Roman"/>
        </w:rPr>
      </w:pPr>
      <w:r>
        <w:rPr>
          <w:rFonts w:cs="Palatino-Roman" w:ascii="Palatino-Roman" w:hAnsi="Palatino-Roman"/>
        </w:rPr>
        <w:t>it is possible to construct a causal witness that detects</w:t>
      </w:r>
    </w:p>
    <w:p>
      <w:pPr>
        <w:pStyle w:val="Normal"/>
        <w:spacing w:before="0" w:after="0"/>
        <w:contextualSpacing/>
        <w:jc w:val="left"/>
        <w:rPr>
          <w:rFonts w:ascii="Palatino-Roman" w:hAnsi="Palatino-Roman" w:cs="Palatino-Roman"/>
        </w:rPr>
      </w:pPr>
      <w:r>
        <w:rPr>
          <w:rFonts w:cs="Palatino-Roman" w:ascii="Palatino-Roman" w:hAnsi="Palatino-Roman"/>
        </w:rPr>
        <w:t>it. Importantly, and differently from the case of entanglement</w:t>
      </w:r>
    </w:p>
    <w:p>
      <w:pPr>
        <w:pStyle w:val="Normal"/>
        <w:spacing w:before="0" w:after="0"/>
        <w:contextualSpacing/>
        <w:jc w:val="left"/>
        <w:rPr>
          <w:rFonts w:ascii="Palatino-Roman" w:hAnsi="Palatino-Roman" w:cs="Palatino-Roman"/>
        </w:rPr>
      </w:pPr>
      <w:r>
        <w:rPr>
          <w:rFonts w:cs="Palatino-Roman" w:ascii="Palatino-Roman" w:hAnsi="Palatino-Roman"/>
        </w:rPr>
        <w:t>witnesses, it is possible to use this method to</w:t>
      </w:r>
    </w:p>
    <w:p>
      <w:pPr>
        <w:pStyle w:val="Normal"/>
        <w:spacing w:before="0" w:after="0"/>
        <w:contextualSpacing/>
        <w:jc w:val="left"/>
        <w:rPr>
          <w:rFonts w:ascii="Palatino-Roman" w:hAnsi="Palatino-Roman" w:cs="Palatino-Roman"/>
        </w:rPr>
      </w:pPr>
      <w:r>
        <w:rPr>
          <w:rFonts w:cs="Palatino-Roman" w:ascii="Palatino-Roman" w:hAnsi="Palatino-Roman"/>
        </w:rPr>
        <w:t>write necessary and sufficient conditions for causal separability</w:t>
      </w:r>
    </w:p>
    <w:p>
      <w:pPr>
        <w:pStyle w:val="Normal"/>
        <w:spacing w:before="0" w:after="0"/>
        <w:contextualSpacing/>
        <w:jc w:val="left"/>
        <w:rPr>
          <w:rFonts w:ascii="Palatino-Roman" w:hAnsi="Palatino-Roman" w:cs="Palatino-Roman"/>
        </w:rPr>
      </w:pPr>
      <w:r>
        <w:rPr>
          <w:rFonts w:cs="Palatino-Roman" w:ascii="Palatino-Roman" w:hAnsi="Palatino-Roman"/>
        </w:rPr>
        <w:t>in a form that can be checked efficiently using</w:t>
      </w:r>
    </w:p>
    <w:p>
      <w:pPr>
        <w:pStyle w:val="Normal"/>
        <w:spacing w:before="0" w:after="0"/>
        <w:contextualSpacing/>
        <w:rPr>
          <w:rFonts w:ascii="Palatino-Roman" w:hAnsi="Palatino-Roman" w:cs="Palatino-Roman"/>
        </w:rPr>
      </w:pPr>
      <w:r>
        <w:rPr>
          <w:rFonts w:cs="Palatino-Roman" w:ascii="Palatino-Roman" w:hAnsi="Palatino-Roman"/>
        </w:rPr>
        <w:t>semidefinite programming (SDP).</w:t>
      </w:r>
    </w:p>
    <w:p>
      <w:pPr>
        <w:pStyle w:val="Normal"/>
        <w:spacing w:before="0" w:after="0"/>
        <w:contextualSpacing/>
        <w:jc w:val="left"/>
        <w:rPr/>
      </w:pPr>
      <w:r>
        <w:rPr>
          <w:rFonts w:cs="Palatino-Roman" w:ascii="Palatino-Roman" w:hAnsi="Palatino-Roman"/>
        </w:rPr>
        <w:tab/>
      </w:r>
      <w:r>
        <w:rPr>
          <w:rFonts w:cs="Palatino-Roman" w:ascii="Palatino-Roman" w:hAnsi="Palatino-Roman"/>
          <w:color w:val="000000"/>
        </w:rPr>
        <w:t>The tools developed are applied to the study of the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quantum switch as a resource within the process matrix</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formalism. We show that, indeed, the quantum</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switch corresponds to a causally nonseparable process.</w:t>
      </w:r>
    </w:p>
    <w:p>
      <w:pPr>
        <w:pStyle w:val="Normal"/>
        <w:spacing w:before="0" w:after="0"/>
        <w:contextualSpacing/>
        <w:jc w:val="left"/>
        <w:rPr/>
      </w:pPr>
      <w:r>
        <w:rPr>
          <w:rFonts w:cs="Palatino-Roman" w:ascii="Palatino-Roman" w:hAnsi="Palatino-Roman"/>
          <w:color w:val="000000"/>
        </w:rPr>
        <w:t>We show that the protocol of Ref. [</w:t>
      </w:r>
      <w:r>
        <w:rPr>
          <w:rFonts w:cs="TeXPalladioL-SC" w:ascii="TeXPalladioL-SC" w:hAnsi="TeXPalladioL-SC"/>
          <w:color w:val="00FF00"/>
        </w:rPr>
        <w:t>7</w:t>
      </w:r>
      <w:r>
        <w:rPr>
          <w:rFonts w:cs="Palatino-Roman" w:ascii="Palatino-Roman" w:hAnsi="Palatino-Roman"/>
          <w:color w:val="000000"/>
        </w:rPr>
        <w:t>] can be reformulated</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as a causal witness which detects the causal nonseparability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of the quantum switch. We also find new,</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more efficient witnesses, which could be useful for experimental</w:t>
      </w:r>
    </w:p>
    <w:p>
      <w:pPr>
        <w:pStyle w:val="Normal"/>
        <w:spacing w:before="0" w:after="0"/>
        <w:contextualSpacing/>
        <w:rPr>
          <w:rFonts w:ascii="Palatino-Roman" w:hAnsi="Palatino-Roman" w:cs="Palatino-Roman"/>
          <w:color w:val="000000"/>
        </w:rPr>
      </w:pPr>
      <w:r>
        <w:rPr>
          <w:rFonts w:cs="Palatino-Roman" w:ascii="Palatino-Roman" w:hAnsi="Palatino-Roman"/>
          <w:color w:val="000000"/>
        </w:rPr>
        <w:t>implementations.</w:t>
      </w:r>
    </w:p>
    <w:p>
      <w:pPr>
        <w:pStyle w:val="Normal"/>
        <w:spacing w:before="0" w:after="0"/>
        <w:contextualSpacing/>
        <w:rPr>
          <w:rFonts w:ascii="Palatino-Roman" w:hAnsi="Palatino-Roman" w:cs="Palatino-Roman"/>
        </w:rPr>
      </w:pPr>
      <w:r>
        <w:rPr>
          <w:rFonts w:cs="Palatino-Roman" w:ascii="Palatino-Roman" w:hAnsi="Palatino-Roman"/>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[The reader can already seen the UNBELIEVABLE similarity between the “causal witness” and my ED interactions!!! “Quantum switch corresponds to a causally nonseparables process” means EDWs!!!!]</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jc w:val="left"/>
        <w:rPr/>
      </w:pPr>
      <w:r>
        <w:rPr>
          <w:rFonts w:cs="Palatino-Roman" w:ascii="Palatino-Roman" w:hAnsi="Palatino-Roman"/>
        </w:rPr>
        <w:t xml:space="preserve">In the general scenario we consider in this paper, </w:t>
      </w:r>
      <w:r>
        <w:rPr>
          <w:rFonts w:cs="Palatino-Italic" w:ascii="Palatino-Italic" w:hAnsi="Palatino-Italic"/>
          <w:i/>
          <w:iCs/>
        </w:rPr>
        <w:t>N</w:t>
      </w:r>
    </w:p>
    <w:p>
      <w:pPr>
        <w:pStyle w:val="Normal"/>
        <w:spacing w:before="0" w:after="0"/>
        <w:contextualSpacing/>
        <w:jc w:val="left"/>
        <w:rPr/>
      </w:pPr>
      <w:r>
        <w:rPr>
          <w:rFonts w:cs="Palatino-Roman" w:ascii="Palatino-Roman" w:hAnsi="Palatino-Roman"/>
        </w:rPr>
        <w:t xml:space="preserve">parties </w:t>
      </w:r>
      <w:r>
        <w:rPr>
          <w:rFonts w:cs="Palatino-Italic" w:ascii="Palatino-Italic" w:hAnsi="Palatino-Italic"/>
          <w:i/>
          <w:iCs/>
        </w:rPr>
        <w:t>A</w:t>
      </w:r>
      <w:r>
        <w:rPr>
          <w:rFonts w:cs="Palatino-Italic" w:ascii="Palatino-Italic" w:hAnsi="Palatino-Italic"/>
          <w:i/>
          <w:iCs/>
          <w:sz w:val="15"/>
          <w:szCs w:val="15"/>
        </w:rPr>
        <w:t xml:space="preserve">i </w:t>
      </w:r>
      <w:r>
        <w:rPr>
          <w:rFonts w:cs="Palatino-Roman" w:ascii="Palatino-Roman" w:hAnsi="Palatino-Roman"/>
        </w:rPr>
        <w:t>establish correlations by exchanging physical</w:t>
      </w:r>
    </w:p>
    <w:p>
      <w:pPr>
        <w:pStyle w:val="Normal"/>
        <w:spacing w:before="0" w:after="0"/>
        <w:contextualSpacing/>
        <w:jc w:val="left"/>
        <w:rPr>
          <w:rFonts w:ascii="Palatino-Roman" w:hAnsi="Palatino-Roman" w:cs="Palatino-Roman"/>
        </w:rPr>
      </w:pPr>
      <w:r>
        <w:rPr>
          <w:rFonts w:cs="Palatino-Roman" w:ascii="Palatino-Roman" w:hAnsi="Palatino-Roman"/>
        </w:rPr>
        <w:t>systems between their laboratories. Each party opens</w:t>
      </w:r>
    </w:p>
    <w:p>
      <w:pPr>
        <w:pStyle w:val="Normal"/>
        <w:spacing w:before="0" w:after="0"/>
        <w:contextualSpacing/>
        <w:jc w:val="left"/>
        <w:rPr>
          <w:rFonts w:ascii="Palatino-Roman" w:hAnsi="Palatino-Roman" w:cs="Palatino-Roman"/>
        </w:rPr>
      </w:pPr>
      <w:r>
        <w:rPr>
          <w:rFonts w:cs="Palatino-Roman" w:ascii="Palatino-Roman" w:hAnsi="Palatino-Roman"/>
        </w:rPr>
        <w:t>their laboratory only once to let an incoming system</w:t>
      </w:r>
    </w:p>
    <w:p>
      <w:pPr>
        <w:pStyle w:val="Normal"/>
        <w:spacing w:before="0" w:after="0"/>
        <w:contextualSpacing/>
        <w:jc w:val="left"/>
        <w:rPr>
          <w:rFonts w:ascii="Palatino-Roman" w:hAnsi="Palatino-Roman" w:cs="Palatino-Roman"/>
        </w:rPr>
      </w:pPr>
      <w:r>
        <w:rPr>
          <w:rFonts w:cs="Palatino-Roman" w:ascii="Palatino-Roman" w:hAnsi="Palatino-Roman"/>
        </w:rPr>
        <w:t>enter and to send an outgoing system out; they can</w:t>
      </w:r>
    </w:p>
    <w:p>
      <w:pPr>
        <w:pStyle w:val="Normal"/>
        <w:spacing w:before="0" w:after="0"/>
        <w:contextualSpacing/>
        <w:jc w:val="left"/>
        <w:rPr>
          <w:rFonts w:ascii="Palatino-Roman" w:hAnsi="Palatino-Roman" w:cs="Palatino-Roman"/>
        </w:rPr>
      </w:pPr>
      <w:r>
        <w:rPr>
          <w:rFonts w:cs="Palatino-Roman" w:ascii="Palatino-Roman" w:hAnsi="Palatino-Roman"/>
        </w:rPr>
        <w:t>act on these systems by performing an arbitrary operation</w:t>
      </w:r>
    </w:p>
    <w:p>
      <w:pPr>
        <w:pStyle w:val="Normal"/>
        <w:spacing w:before="0" w:after="0"/>
        <w:contextualSpacing/>
        <w:jc w:val="left"/>
        <w:rPr>
          <w:rFonts w:ascii="Palatino-Roman" w:hAnsi="Palatino-Roman" w:cs="Palatino-Roman"/>
        </w:rPr>
      </w:pPr>
      <w:r>
        <w:rPr>
          <w:rFonts w:cs="Palatino-Roman" w:ascii="Palatino-Roman" w:hAnsi="Palatino-Roman"/>
        </w:rPr>
        <w:t>in their local laboratory, which can yield different</w:t>
      </w:r>
    </w:p>
    <w:p>
      <w:pPr>
        <w:pStyle w:val="Normal"/>
        <w:spacing w:before="0" w:after="0"/>
        <w:contextualSpacing/>
        <w:jc w:val="left"/>
        <w:rPr>
          <w:rFonts w:ascii="Palatino-Roman" w:hAnsi="Palatino-Roman" w:cs="Palatino-Roman"/>
        </w:rPr>
      </w:pPr>
      <w:r>
        <w:rPr>
          <w:rFonts w:cs="Palatino-Roman" w:ascii="Palatino-Roman" w:hAnsi="Palatino-Roman"/>
        </w:rPr>
        <w:t>measurement outcomes. The causal relations between</w:t>
      </w:r>
    </w:p>
    <w:p>
      <w:pPr>
        <w:pStyle w:val="Normal"/>
        <w:spacing w:before="0" w:after="0"/>
        <w:contextualSpacing/>
        <w:jc w:val="left"/>
        <w:rPr/>
      </w:pPr>
      <w:r>
        <w:rPr>
          <w:rFonts w:cs="Palatino-Roman" w:ascii="Palatino-Roman" w:hAnsi="Palatino-Roman"/>
        </w:rPr>
        <w:t xml:space="preserve">the parties (i.e., the ordering of events) are not </w:t>
      </w:r>
      <w:r>
        <w:rPr>
          <w:rFonts w:cs="Palatino-Italic" w:ascii="Palatino-Italic" w:hAnsi="Palatino-Italic"/>
          <w:i/>
          <w:iCs/>
        </w:rPr>
        <w:t>a priori</w:t>
      </w:r>
    </w:p>
    <w:p>
      <w:pPr>
        <w:pStyle w:val="Normal"/>
        <w:spacing w:before="0" w:after="0"/>
        <w:contextualSpacing/>
        <w:jc w:val="left"/>
        <w:rPr/>
      </w:pPr>
      <w:r>
        <w:rPr>
          <w:rFonts w:cs="Palatino-Roman" w:ascii="Palatino-Roman" w:hAnsi="Palatino-Roman"/>
        </w:rPr>
        <w:t xml:space="preserve">specified. The most general situation compatible with </w:t>
      </w:r>
      <w:r>
        <w:rPr>
          <w:rFonts w:cs="Palatino-Roman" w:ascii="Palatino-Roman" w:hAnsi="Palatino-Roman"/>
          <w:color w:val="000000"/>
        </w:rPr>
        <w:t xml:space="preserve">the assumption that </w:t>
      </w:r>
      <w:r>
        <w:rPr>
          <w:rFonts w:cs="Palatino-Italic" w:ascii="Palatino-Italic" w:hAnsi="Palatino-Italic"/>
          <w:i/>
          <w:iCs/>
          <w:color w:val="000000"/>
        </w:rPr>
        <w:t>the operations performed in each local</w:t>
      </w:r>
    </w:p>
    <w:p>
      <w:pPr>
        <w:pStyle w:val="Normal"/>
        <w:spacing w:before="0" w:after="0"/>
        <w:contextualSpacing/>
        <w:jc w:val="left"/>
        <w:rPr>
          <w:rFonts w:ascii="Palatino-Italic" w:hAnsi="Palatino-Italic" w:cs="Palatino-Italic"/>
          <w:i/>
          <w:i/>
          <w:iCs/>
          <w:color w:val="000000"/>
        </w:rPr>
      </w:pPr>
      <w:r>
        <w:rPr>
          <w:rFonts w:cs="Palatino-Italic" w:ascii="Palatino-Italic" w:hAnsi="Palatino-Italic"/>
          <w:i/>
          <w:iCs/>
          <w:color w:val="000000"/>
        </w:rPr>
        <w:t>laboratory can be described by the quantum formalism</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can be conveniently represented in the “process matrix”</w:t>
      </w:r>
    </w:p>
    <w:p>
      <w:pPr>
        <w:pStyle w:val="Normal"/>
        <w:spacing w:before="0" w:after="0"/>
        <w:contextualSpacing/>
        <w:jc w:val="left"/>
        <w:rPr/>
      </w:pPr>
      <w:r>
        <w:rPr>
          <w:rFonts w:cs="Palatino-Roman" w:ascii="Palatino-Roman" w:hAnsi="Palatino-Roman"/>
          <w:color w:val="000000"/>
        </w:rPr>
        <w:t>formalism introduced in Ref. [</w:t>
      </w:r>
      <w:r>
        <w:rPr>
          <w:rFonts w:cs="TeXPalladioL-SC" w:ascii="TeXPalladioL-SC" w:hAnsi="TeXPalladioL-SC"/>
          <w:color w:val="00FF00"/>
        </w:rPr>
        <w:t>13</w:t>
      </w:r>
      <w:r>
        <w:rPr>
          <w:rFonts w:cs="Palatino-Roman" w:ascii="Palatino-Roman" w:hAnsi="Palatino-Roman"/>
          <w:color w:val="000000"/>
        </w:rPr>
        <w:t>]. This extends the</w:t>
      </w:r>
    </w:p>
    <w:p>
      <w:pPr>
        <w:pStyle w:val="Normal"/>
        <w:spacing w:before="0" w:after="0"/>
        <w:contextualSpacing/>
        <w:jc w:val="left"/>
        <w:rPr/>
      </w:pPr>
      <w:r>
        <w:rPr>
          <w:rFonts w:cs="Palatino-Roman" w:ascii="Palatino-Roman" w:hAnsi="Palatino-Roman"/>
          <w:color w:val="000000"/>
        </w:rPr>
        <w:t>“</w:t>
      </w:r>
      <w:r>
        <w:rPr>
          <w:rFonts w:cs="Palatino-Roman" w:ascii="Palatino-Roman" w:hAnsi="Palatino-Roman"/>
          <w:color w:val="000000"/>
        </w:rPr>
        <w:t>comb” formalism of Ref. [</w:t>
      </w:r>
      <w:r>
        <w:rPr>
          <w:rFonts w:cs="TeXPalladioL-SC" w:ascii="TeXPalladioL-SC" w:hAnsi="TeXPalladioL-SC"/>
          <w:color w:val="00FF00"/>
        </w:rPr>
        <w:t>14</w:t>
      </w:r>
      <w:r>
        <w:rPr>
          <w:rFonts w:cs="Palatino-Roman" w:ascii="Palatino-Roman" w:hAnsi="Palatino-Roman"/>
          <w:color w:val="000000"/>
        </w:rPr>
        <w:t>], which describes causally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ordered quantum networks. The aim of the formalism</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is to characterize all possible probability distributions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that can be obtained in our general scenario. The key</w:t>
      </w:r>
    </w:p>
    <w:p>
      <w:pPr>
        <w:pStyle w:val="Normal"/>
        <w:spacing w:before="0" w:after="0"/>
        <w:contextualSpacing/>
        <w:jc w:val="left"/>
        <w:rPr/>
      </w:pPr>
      <w:r>
        <w:rPr>
          <w:rFonts w:cs="Palatino-Roman" w:ascii="Palatino-Roman" w:hAnsi="Palatino-Roman"/>
          <w:color w:val="000000"/>
        </w:rPr>
        <w:t xml:space="preserve">concept is that of a </w:t>
      </w:r>
      <w:r>
        <w:rPr>
          <w:rFonts w:cs="Palatino-Italic" w:ascii="Palatino-Italic" w:hAnsi="Palatino-Italic"/>
          <w:i/>
          <w:iCs/>
          <w:color w:val="000000"/>
        </w:rPr>
        <w:t>process</w:t>
      </w:r>
      <w:r>
        <w:rPr>
          <w:rFonts w:cs="Palatino-Roman" w:ascii="Palatino-Roman" w:hAnsi="Palatino-Roman"/>
          <w:color w:val="000000"/>
        </w:rPr>
        <w:t>, which can be understood as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external resource determining the statistics of the local</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operations, and which generalizes both the notions</w:t>
      </w:r>
    </w:p>
    <w:p>
      <w:pPr>
        <w:pStyle w:val="Normal"/>
        <w:spacing w:before="0" w:after="0"/>
        <w:contextualSpacing/>
        <w:jc w:val="left"/>
        <w:rPr/>
      </w:pPr>
      <w:r>
        <w:rPr>
          <w:rFonts w:cs="Palatino-Roman" w:ascii="Palatino-Roman" w:hAnsi="Palatino-Roman"/>
          <w:color w:val="000000"/>
        </w:rPr>
        <w:t xml:space="preserve">of quantum state and of quantum channel. The </w:t>
      </w:r>
      <w:r>
        <w:rPr>
          <w:rFonts w:cs="Palatino-Italic" w:ascii="Palatino-Italic" w:hAnsi="Palatino-Italic"/>
          <w:i/>
          <w:iCs/>
          <w:color w:val="000000"/>
        </w:rPr>
        <w:t>process</w:t>
      </w:r>
    </w:p>
    <w:p>
      <w:pPr>
        <w:pStyle w:val="Normal"/>
        <w:spacing w:before="0" w:after="0"/>
        <w:contextualSpacing/>
        <w:jc w:val="left"/>
        <w:rPr/>
      </w:pPr>
      <w:r>
        <w:rPr>
          <w:rFonts w:cs="Palatino-Italic" w:ascii="Palatino-Italic" w:hAnsi="Palatino-Italic"/>
          <w:i/>
          <w:iCs/>
          <w:color w:val="000000"/>
        </w:rPr>
        <w:t xml:space="preserve">matrix </w:t>
      </w:r>
      <w:r>
        <w:rPr>
          <w:rFonts w:cs="Palatino-Roman" w:ascii="Palatino-Roman" w:hAnsi="Palatino-Roman"/>
          <w:color w:val="000000"/>
        </w:rPr>
        <w:t>is a useful mathematical representation of such a</w:t>
      </w:r>
    </w:p>
    <w:p>
      <w:pPr>
        <w:pStyle w:val="Normal"/>
        <w:spacing w:before="0" w:after="0"/>
        <w:contextualSpacing/>
        <w:rPr>
          <w:rFonts w:ascii="Palatino-Roman" w:hAnsi="Palatino-Roman" w:cs="Palatino-Roman"/>
          <w:color w:val="000000"/>
        </w:rPr>
      </w:pPr>
      <w:r>
        <w:rPr>
          <w:rFonts w:cs="Palatino-Roman" w:ascii="Palatino-Roman" w:hAnsi="Palatino-Roman"/>
          <w:color w:val="000000"/>
        </w:rPr>
        <w:t>concept. We shall use these two terms interchangeably. (pp. 2-3)</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[the reader can understand now that we have been already placed within the EDWs!]</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The authors continue:</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jc w:val="left"/>
        <w:rPr>
          <w:rFonts w:ascii="Palatino-Bold" w:hAnsi="Palatino-Bold" w:cs="Palatino-Bold"/>
          <w:b/>
          <w:b/>
          <w:bCs/>
          <w:sz w:val="18"/>
          <w:szCs w:val="18"/>
        </w:rPr>
      </w:pPr>
      <w:r>
        <w:rPr>
          <w:rFonts w:cs="Palatino-Bold" w:ascii="Palatino-Bold" w:hAnsi="Palatino-Bold"/>
          <w:b/>
          <w:bCs/>
          <w:sz w:val="18"/>
          <w:szCs w:val="18"/>
        </w:rPr>
        <w:t>A. Local operations</w:t>
      </w:r>
    </w:p>
    <w:p>
      <w:pPr>
        <w:pStyle w:val="Normal"/>
        <w:spacing w:before="0" w:after="0"/>
        <w:contextualSpacing/>
        <w:jc w:val="left"/>
        <w:rPr/>
      </w:pPr>
      <w:r>
        <w:rPr>
          <w:rFonts w:cs="Palatino-Roman" w:ascii="Palatino-Roman" w:hAnsi="Palatino-Roman"/>
        </w:rPr>
        <w:t xml:space="preserve">Each party </w:t>
      </w:r>
      <w:r>
        <w:rPr>
          <w:rFonts w:cs="Palatino-Italic" w:ascii="Palatino-Italic" w:hAnsi="Palatino-Italic"/>
          <w:i/>
          <w:iCs/>
        </w:rPr>
        <w:t xml:space="preserve">A </w:t>
      </w:r>
      <w:r>
        <w:rPr>
          <w:rFonts w:cs="Palatino-Roman" w:ascii="Palatino-Roman" w:hAnsi="Palatino-Roman"/>
        </w:rPr>
        <w:t xml:space="preserve">acts in a </w:t>
      </w:r>
      <w:r>
        <w:rPr>
          <w:rFonts w:cs="Palatino-Italic" w:ascii="Palatino-Italic" w:hAnsi="Palatino-Italic"/>
          <w:i/>
          <w:iCs/>
        </w:rPr>
        <w:t>local quantum laboratory</w:t>
      </w:r>
      <w:r>
        <w:rPr>
          <w:rFonts w:cs="Palatino-Roman" w:ascii="Palatino-Roman" w:hAnsi="Palatino-Roman"/>
        </w:rPr>
        <w:t>, which</w:t>
      </w:r>
    </w:p>
    <w:p>
      <w:pPr>
        <w:pStyle w:val="Normal"/>
        <w:spacing w:before="0" w:after="0"/>
        <w:contextualSpacing/>
        <w:jc w:val="left"/>
        <w:rPr/>
      </w:pPr>
      <w:r>
        <w:rPr>
          <w:rFonts w:cs="Palatino-Roman" w:ascii="Palatino-Roman" w:hAnsi="Palatino-Roman"/>
        </w:rPr>
        <w:t xml:space="preserve">can be identified by an input Hilbert space </w:t>
      </w:r>
      <w:r>
        <w:rPr>
          <w:rFonts w:eastAsia="CMSY10" w:cs="CMSY10" w:ascii="CMSY10" w:hAnsi="CMSY10"/>
          <w:sz w:val="21"/>
          <w:szCs w:val="21"/>
        </w:rPr>
        <w:t>H</w:t>
      </w:r>
      <w:r>
        <w:rPr>
          <w:rFonts w:cs="Palatino-Italic" w:ascii="Palatino-Italic" w:hAnsi="Palatino-Italic"/>
          <w:i/>
          <w:iCs/>
          <w:sz w:val="15"/>
          <w:szCs w:val="15"/>
        </w:rPr>
        <w:t>A</w:t>
      </w:r>
      <w:r>
        <w:rPr>
          <w:rFonts w:cs="Palatino-Italic" w:ascii="Palatino-Italic" w:hAnsi="Palatino-Italic"/>
          <w:i/>
          <w:iCs/>
          <w:sz w:val="12"/>
          <w:szCs w:val="12"/>
        </w:rPr>
        <w:t xml:space="preserve">I </w:t>
      </w:r>
      <w:r>
        <w:rPr>
          <w:rFonts w:cs="Palatino-Roman" w:ascii="Palatino-Roman" w:hAnsi="Palatino-Roman"/>
        </w:rPr>
        <w:t>and</w:t>
      </w:r>
    </w:p>
    <w:p>
      <w:pPr>
        <w:pStyle w:val="Normal"/>
        <w:spacing w:before="0" w:after="0"/>
        <w:contextualSpacing/>
        <w:rPr/>
      </w:pPr>
      <w:r>
        <w:rPr>
          <w:rFonts w:cs="Palatino-Roman" w:ascii="Palatino-Roman" w:hAnsi="Palatino-Roman"/>
        </w:rPr>
        <w:t xml:space="preserve">an output Hilbert space </w:t>
      </w:r>
      <w:r>
        <w:rPr>
          <w:rFonts w:eastAsia="CMSY10" w:cs="CMSY10" w:ascii="CMSY10" w:hAnsi="CMSY10"/>
          <w:sz w:val="21"/>
          <w:szCs w:val="21"/>
        </w:rPr>
        <w:t>H</w:t>
      </w:r>
      <w:r>
        <w:rPr>
          <w:rFonts w:cs="Palatino-Italic" w:ascii="Palatino-Italic" w:hAnsi="Palatino-Italic"/>
          <w:i/>
          <w:iCs/>
          <w:sz w:val="15"/>
          <w:szCs w:val="15"/>
        </w:rPr>
        <w:t>A</w:t>
      </w:r>
      <w:r>
        <w:rPr>
          <w:rFonts w:cs="Palatino-Italic" w:ascii="Palatino-Italic" w:hAnsi="Palatino-Italic"/>
          <w:i/>
          <w:iCs/>
          <w:sz w:val="12"/>
          <w:szCs w:val="12"/>
        </w:rPr>
        <w:t>O</w:t>
      </w:r>
      <w:r>
        <w:rPr>
          <w:rFonts w:cs="Palatino-Roman" w:ascii="Palatino-Roman" w:hAnsi="Palatino-Roman"/>
        </w:rPr>
        <w:t xml:space="preserve">. (p. 3) </w:t>
      </w:r>
    </w:p>
    <w:p>
      <w:pPr>
        <w:pStyle w:val="Normal"/>
        <w:spacing w:before="0" w:after="0"/>
        <w:contextualSpacing/>
        <w:rPr>
          <w:rFonts w:ascii="Palatino-Roman" w:hAnsi="Palatino-Roman" w:cs="Palatino-Roman"/>
        </w:rPr>
      </w:pPr>
      <w:r>
        <w:rPr>
          <w:rFonts w:cs="Palatino-Roman" w:ascii="Palatino-Roman" w:hAnsi="Palatino-Roman"/>
        </w:rPr>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generalization of the notion of causal separability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to a larger number of parties, with arbitrary dimensions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of the output spaces, is not trivial. The reason is that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one can consider situations in which an agent, through</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her local operations, could modify a classical variable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that determines the causal order of agents in her future.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In such a “classical switch”, operations would still be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causally ordered in each run of an experiment, but it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wouldn’t be possible to write the corresponding process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matrix as a mixture of causally ordered ones. As this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issue does not affect the cases treated here, we shall not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consider it further. A more detailed analysis will be</w:t>
      </w:r>
    </w:p>
    <w:p>
      <w:pPr>
        <w:pStyle w:val="Normal"/>
        <w:spacing w:before="0" w:after="0"/>
        <w:contextualSpacing/>
        <w:rPr/>
      </w:pPr>
      <w:r>
        <w:rPr>
          <w:rFonts w:cs="Palatino-Roman" w:ascii="Palatino-Roman" w:hAnsi="Palatino-Roman"/>
          <w:color w:val="000000"/>
        </w:rPr>
        <w:t>presented in an upcoming work [</w:t>
      </w:r>
      <w:r>
        <w:rPr>
          <w:rFonts w:cs="TeXPalladioL-SC" w:ascii="TeXPalladioL-SC" w:hAnsi="TeXPalladioL-SC"/>
          <w:color w:val="00FF00"/>
        </w:rPr>
        <w:t>19</w:t>
      </w:r>
      <w:r>
        <w:rPr>
          <w:rFonts w:cs="Palatino-Roman" w:ascii="Palatino-Roman" w:hAnsi="Palatino-Roman"/>
          <w:color w:val="000000"/>
        </w:rPr>
        <w:t>]. (p. 5)</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 xml:space="preserve">[we are here placed in one EW where we can find “causalities”!] </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In this section we developmathematical tools to identify,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in the bipartite case, which process matrices are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causally separable and which are not. In analogy with</w:t>
      </w:r>
    </w:p>
    <w:p>
      <w:pPr>
        <w:pStyle w:val="Normal"/>
        <w:spacing w:before="0" w:after="0"/>
        <w:contextualSpacing/>
        <w:jc w:val="left"/>
        <w:rPr/>
      </w:pPr>
      <w:r>
        <w:rPr>
          <w:rFonts w:cs="Palatino-Roman" w:ascii="Palatino-Roman" w:hAnsi="Palatino-Roman"/>
          <w:color w:val="000000"/>
        </w:rPr>
        <w:t>entanglement witnesses [</w:t>
      </w:r>
      <w:r>
        <w:rPr>
          <w:rFonts w:cs="TeXPalladioL-SC" w:ascii="TeXPalladioL-SC" w:hAnsi="TeXPalladioL-SC"/>
          <w:color w:val="00FF00"/>
        </w:rPr>
        <w:t>20</w:t>
      </w:r>
      <w:r>
        <w:rPr>
          <w:rFonts w:cs="Palatino-Roman" w:ascii="Palatino-Roman" w:hAnsi="Palatino-Roman"/>
          <w:color w:val="000000"/>
        </w:rPr>
        <w:t>], we call a hermitian operator</w:t>
      </w:r>
    </w:p>
    <w:p>
      <w:pPr>
        <w:pStyle w:val="Normal"/>
        <w:spacing w:before="0" w:after="0"/>
        <w:contextualSpacing/>
        <w:jc w:val="left"/>
        <w:rPr/>
      </w:pPr>
      <w:r>
        <w:rPr>
          <w:rFonts w:cs="Palatino-Italic" w:ascii="Palatino-Italic" w:hAnsi="Palatino-Italic"/>
          <w:i/>
          <w:iCs/>
          <w:color w:val="000000"/>
        </w:rPr>
        <w:t xml:space="preserve">S </w:t>
      </w:r>
      <w:r>
        <w:rPr>
          <w:rFonts w:cs="Palatino-Roman" w:ascii="Palatino-Roman" w:hAnsi="Palatino-Roman"/>
          <w:color w:val="000000"/>
        </w:rPr>
        <w:t xml:space="preserve">a </w:t>
      </w:r>
      <w:r>
        <w:rPr>
          <w:rFonts w:cs="Palatino-Italic" w:ascii="Palatino-Italic" w:hAnsi="Palatino-Italic"/>
          <w:i/>
          <w:iCs/>
          <w:color w:val="000000"/>
        </w:rPr>
        <w:t xml:space="preserve">causal witness </w:t>
      </w:r>
      <w:r>
        <w:rPr>
          <w:rFonts w:cs="Palatino-Roman" w:ascii="Palatino-Roman" w:hAnsi="Palatino-Roman"/>
          <w:color w:val="000000"/>
        </w:rPr>
        <w:t xml:space="preserve">(or </w:t>
      </w:r>
      <w:r>
        <w:rPr>
          <w:rFonts w:cs="Palatino-Italic" w:ascii="Palatino-Italic" w:hAnsi="Palatino-Italic"/>
          <w:i/>
          <w:iCs/>
          <w:color w:val="000000"/>
        </w:rPr>
        <w:t>witness</w:t>
      </w:r>
      <w:r>
        <w:rPr>
          <w:rFonts w:cs="Palatino-Roman" w:ascii="Palatino-Roman" w:hAnsi="Palatino-Roman"/>
          <w:color w:val="000000"/>
        </w:rPr>
        <w:t>, simply) if</w:t>
      </w:r>
      <w:r>
        <w:rPr>
          <w:rFonts w:cs="TeXPalladioL-SC" w:ascii="TeXPalladioL-SC" w:hAnsi="TeXPalladioL-SC"/>
          <w:color w:val="FF0000"/>
          <w:sz w:val="15"/>
          <w:szCs w:val="15"/>
        </w:rPr>
        <w:t>1</w:t>
      </w:r>
    </w:p>
    <w:p>
      <w:pPr>
        <w:pStyle w:val="Normal"/>
        <w:spacing w:before="0" w:after="0"/>
        <w:contextualSpacing/>
        <w:jc w:val="left"/>
        <w:rPr/>
      </w:pPr>
      <w:r>
        <w:rPr>
          <w:rFonts w:cs="Palatino-Roman" w:ascii="Palatino-Roman" w:hAnsi="Palatino-Roman"/>
          <w:color w:val="000000"/>
        </w:rPr>
        <w:t>tr</w:t>
      </w:r>
      <w:r>
        <w:rPr>
          <w:rFonts w:cs="CMR10" w:ascii="CMR10" w:hAnsi="CMR10"/>
          <w:color w:val="000000"/>
          <w:sz w:val="21"/>
          <w:szCs w:val="21"/>
        </w:rPr>
        <w:t>[</w:t>
      </w:r>
      <w:r>
        <w:rPr>
          <w:rFonts w:cs="Palatino-Italic" w:ascii="Palatino-Italic" w:hAnsi="Palatino-Italic"/>
          <w:i/>
          <w:iCs/>
          <w:color w:val="000000"/>
        </w:rPr>
        <w:t>SW</w:t>
      </w:r>
      <w:r>
        <w:rPr>
          <w:rFonts w:cs="Palatino-Roman" w:ascii="Palatino-Roman" w:hAnsi="Palatino-Roman"/>
          <w:color w:val="000000"/>
          <w:sz w:val="15"/>
          <w:szCs w:val="15"/>
        </w:rPr>
        <w:t>sep</w:t>
      </w:r>
      <w:r>
        <w:rPr>
          <w:rFonts w:cs="CMR10" w:ascii="CMR10" w:hAnsi="CMR10"/>
          <w:color w:val="000000"/>
          <w:sz w:val="21"/>
          <w:szCs w:val="21"/>
        </w:rPr>
        <w:t xml:space="preserve">] </w:t>
      </w:r>
      <w:r>
        <w:rPr>
          <w:rFonts w:eastAsia="CMSY10" w:cs="CMSY10" w:ascii="CMSY10" w:hAnsi="CMSY10"/>
          <w:color w:val="000000"/>
          <w:sz w:val="21"/>
          <w:szCs w:val="21"/>
        </w:rPr>
        <w:t xml:space="preserve">≥ </w:t>
      </w:r>
      <w:r>
        <w:rPr>
          <w:rFonts w:cs="Palatino-Roman" w:ascii="Palatino-Roman" w:hAnsi="Palatino-Roman"/>
          <w:color w:val="000000"/>
        </w:rPr>
        <w:t>0 (</w:t>
      </w:r>
      <w:r>
        <w:rPr>
          <w:rFonts w:cs="TeXPalladioL-SC" w:ascii="TeXPalladioL-SC" w:hAnsi="TeXPalladioL-SC"/>
          <w:color w:val="000000"/>
        </w:rPr>
        <w:t>28</w:t>
      </w:r>
      <w:r>
        <w:rPr>
          <w:rFonts w:cs="Palatino-Roman" w:ascii="Palatino-Roman" w:hAnsi="Palatino-Roman"/>
          <w:color w:val="000000"/>
        </w:rPr>
        <w:t>)</w:t>
      </w:r>
    </w:p>
    <w:p>
      <w:pPr>
        <w:pStyle w:val="Normal"/>
        <w:spacing w:before="0" w:after="0"/>
        <w:contextualSpacing/>
        <w:jc w:val="left"/>
        <w:rPr/>
      </w:pPr>
      <w:r>
        <w:rPr>
          <w:rFonts w:cs="Palatino-Roman" w:ascii="Palatino-Roman" w:hAnsi="Palatino-Roman"/>
          <w:color w:val="000000"/>
        </w:rPr>
        <w:t xml:space="preserve">for every causally separable process matrix </w:t>
      </w:r>
      <w:r>
        <w:rPr>
          <w:rFonts w:cs="Palatino-Italic" w:ascii="Palatino-Italic" w:hAnsi="Palatino-Italic"/>
          <w:i/>
          <w:iCs/>
          <w:color w:val="000000"/>
        </w:rPr>
        <w:t>W</w:t>
      </w:r>
      <w:r>
        <w:rPr>
          <w:rFonts w:cs="Palatino-Roman" w:ascii="Palatino-Roman" w:hAnsi="Palatino-Roman"/>
          <w:color w:val="000000"/>
          <w:sz w:val="15"/>
          <w:szCs w:val="15"/>
        </w:rPr>
        <w:t>sep</w:t>
      </w:r>
      <w:r>
        <w:rPr>
          <w:rFonts w:cs="Palatino-Roman" w:ascii="Palatino-Roman" w:hAnsi="Palatino-Roman"/>
          <w:color w:val="000000"/>
        </w:rPr>
        <w:t>. This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definition is motivated by the separating hyperplane</w:t>
      </w:r>
    </w:p>
    <w:p>
      <w:pPr>
        <w:pStyle w:val="Normal"/>
        <w:spacing w:before="0" w:after="0"/>
        <w:contextualSpacing/>
        <w:jc w:val="left"/>
        <w:rPr/>
      </w:pPr>
      <w:r>
        <w:rPr>
          <w:rFonts w:cs="Palatino-Roman" w:ascii="Palatino-Roman" w:hAnsi="Palatino-Roman"/>
          <w:color w:val="000000"/>
        </w:rPr>
        <w:t>theorem [</w:t>
      </w:r>
      <w:r>
        <w:rPr>
          <w:rFonts w:cs="TeXPalladioL-SC" w:ascii="TeXPalladioL-SC" w:hAnsi="TeXPalladioL-SC"/>
          <w:color w:val="00FF00"/>
        </w:rPr>
        <w:t>21</w:t>
      </w:r>
      <w:r>
        <w:rPr>
          <w:rFonts w:cs="Palatino-Roman" w:ascii="Palatino-Roman" w:hAnsi="Palatino-Roman"/>
          <w:color w:val="000000"/>
        </w:rPr>
        <w:t>]: since the set of causally separable processes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is closed and convex, for every causally nonseparable</w:t>
      </w:r>
    </w:p>
    <w:p>
      <w:pPr>
        <w:pStyle w:val="Normal"/>
        <w:spacing w:before="0" w:after="0"/>
        <w:contextualSpacing/>
        <w:jc w:val="left"/>
        <w:rPr/>
      </w:pPr>
      <w:r>
        <w:rPr>
          <w:rFonts w:cs="Palatino-Roman" w:ascii="Palatino-Roman" w:hAnsi="Palatino-Roman"/>
          <w:color w:val="000000"/>
        </w:rPr>
        <w:t xml:space="preserve">process matrix </w:t>
      </w:r>
      <w:r>
        <w:rPr>
          <w:rFonts w:cs="Palatino-Italic" w:ascii="Palatino-Italic" w:hAnsi="Palatino-Italic"/>
          <w:i/>
          <w:iCs/>
          <w:color w:val="000000"/>
        </w:rPr>
        <w:t>W</w:t>
      </w:r>
      <w:r>
        <w:rPr>
          <w:rFonts w:cs="Palatino-Roman" w:ascii="Palatino-Roman" w:hAnsi="Palatino-Roman"/>
          <w:color w:val="000000"/>
          <w:sz w:val="15"/>
          <w:szCs w:val="15"/>
        </w:rPr>
        <w:t xml:space="preserve">ns </w:t>
      </w:r>
      <w:r>
        <w:rPr>
          <w:rFonts w:cs="Palatino-Roman" w:ascii="Palatino-Roman" w:hAnsi="Palatino-Roman"/>
          <w:color w:val="000000"/>
        </w:rPr>
        <w:t>there exists a causal witness</w:t>
      </w:r>
    </w:p>
    <w:p>
      <w:pPr>
        <w:pStyle w:val="Normal"/>
        <w:spacing w:before="0" w:after="0"/>
        <w:contextualSpacing/>
        <w:jc w:val="left"/>
        <w:rPr/>
      </w:pPr>
      <w:r>
        <w:rPr>
          <w:rFonts w:cs="Palatino-Italic" w:ascii="Palatino-Italic" w:hAnsi="Palatino-Italic"/>
          <w:i/>
          <w:iCs/>
          <w:color w:val="000000"/>
        </w:rPr>
        <w:t>S</w:t>
      </w:r>
      <w:r>
        <w:rPr>
          <w:rFonts w:cs="Palatino-Italic" w:ascii="Palatino-Italic" w:hAnsi="Palatino-Italic"/>
          <w:i/>
          <w:iCs/>
          <w:color w:val="000000"/>
          <w:sz w:val="15"/>
          <w:szCs w:val="15"/>
        </w:rPr>
        <w:t>W</w:t>
      </w:r>
      <w:r>
        <w:rPr>
          <w:rFonts w:cs="Palatino-Roman" w:ascii="Palatino-Roman" w:hAnsi="Palatino-Roman"/>
          <w:color w:val="000000"/>
          <w:sz w:val="12"/>
          <w:szCs w:val="12"/>
        </w:rPr>
        <w:t xml:space="preserve">ns </w:t>
      </w:r>
      <w:r>
        <w:rPr>
          <w:rFonts w:cs="Palatino-Roman" w:ascii="Palatino-Roman" w:hAnsi="Palatino-Roman"/>
          <w:color w:val="000000"/>
        </w:rPr>
        <w:t>such that tr</w:t>
      </w:r>
      <w:r>
        <w:rPr>
          <w:rFonts w:cs="CMR10" w:ascii="CMR10" w:hAnsi="CMR10"/>
          <w:color w:val="000000"/>
          <w:sz w:val="21"/>
          <w:szCs w:val="21"/>
        </w:rPr>
        <w:t>[</w:t>
      </w:r>
      <w:r>
        <w:rPr>
          <w:rFonts w:cs="Palatino-Italic" w:ascii="Palatino-Italic" w:hAnsi="Palatino-Italic"/>
          <w:i/>
          <w:iCs/>
          <w:color w:val="000000"/>
        </w:rPr>
        <w:t>S</w:t>
      </w:r>
      <w:r>
        <w:rPr>
          <w:rFonts w:cs="Palatino-Italic" w:ascii="Palatino-Italic" w:hAnsi="Palatino-Italic"/>
          <w:i/>
          <w:iCs/>
          <w:color w:val="000000"/>
          <w:sz w:val="15"/>
          <w:szCs w:val="15"/>
        </w:rPr>
        <w:t>W</w:t>
      </w:r>
      <w:r>
        <w:rPr>
          <w:rFonts w:cs="Palatino-Roman" w:ascii="Palatino-Roman" w:hAnsi="Palatino-Roman"/>
          <w:color w:val="000000"/>
          <w:sz w:val="12"/>
          <w:szCs w:val="12"/>
        </w:rPr>
        <w:t>ns</w:t>
      </w:r>
      <w:r>
        <w:rPr>
          <w:rFonts w:cs="Palatino-Italic" w:ascii="Palatino-Italic" w:hAnsi="Palatino-Italic"/>
          <w:i/>
          <w:iCs/>
          <w:color w:val="000000"/>
        </w:rPr>
        <w:t>W</w:t>
      </w:r>
      <w:r>
        <w:rPr>
          <w:rFonts w:cs="Palatino-Roman" w:ascii="Palatino-Roman" w:hAnsi="Palatino-Roman"/>
          <w:color w:val="000000"/>
          <w:sz w:val="15"/>
          <w:szCs w:val="15"/>
        </w:rPr>
        <w:t>ns</w:t>
      </w:r>
      <w:r>
        <w:rPr>
          <w:rFonts w:cs="CMR10" w:ascii="CMR10" w:hAnsi="CMR10"/>
          <w:color w:val="000000"/>
          <w:sz w:val="21"/>
          <w:szCs w:val="21"/>
        </w:rPr>
        <w:t xml:space="preserve">] </w:t>
      </w:r>
      <w:r>
        <w:rPr>
          <w:rFonts w:cs="CMMI10" w:ascii="CMMI10" w:hAnsi="CMMI10"/>
          <w:color w:val="000000"/>
          <w:sz w:val="21"/>
          <w:szCs w:val="21"/>
        </w:rPr>
        <w:t xml:space="preserve">&lt; </w:t>
      </w:r>
      <w:r>
        <w:rPr>
          <w:rFonts w:cs="Palatino-Roman" w:ascii="Palatino-Roman" w:hAnsi="Palatino-Roman"/>
          <w:color w:val="000000"/>
        </w:rPr>
        <w:t>0.</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To construct a witness for a given nonseparable process,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we will start by characterizing the set of all causal</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witnesses in terms of linear constraints on a convex</w:t>
      </w:r>
    </w:p>
    <w:p>
      <w:pPr>
        <w:pStyle w:val="Normal"/>
        <w:spacing w:before="0" w:after="0"/>
        <w:contextualSpacing/>
        <w:rPr>
          <w:rFonts w:ascii="Palatino-Roman" w:hAnsi="Palatino-Roman" w:cs="Palatino-Roman"/>
          <w:color w:val="000000"/>
        </w:rPr>
      </w:pPr>
      <w:r>
        <w:rPr>
          <w:rFonts w:cs="Palatino-Roman" w:ascii="Palatino-Roman" w:hAnsi="Palatino-Roman"/>
          <w:color w:val="000000"/>
        </w:rPr>
        <w:t>cone. (p. 5)</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rPr/>
      </w:pPr>
      <w:r>
        <w:rPr>
          <w:rFonts w:cs="Palatino-Roman" w:ascii="Palatino-Roman" w:hAnsi="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cs="Palatino-Bold" w:ascii="Palatino-Bold" w:hAnsi="Palatino-Bold"/>
          <w:bCs/>
          <w:sz w:val="18"/>
          <w:szCs w:val="18"/>
        </w:rPr>
        <w:t xml:space="preserve">B. Chiribella’s witness” – </w:t>
      </w:r>
      <w:r>
        <w:rPr>
          <w:rFonts w:cs="Palatino-Bold" w:ascii="Palatino-Bold" w:hAnsi="Palatino-Bold"/>
          <w:bCs/>
          <w:color w:val="FF0000"/>
          <w:sz w:val="18"/>
          <w:szCs w:val="18"/>
        </w:rPr>
        <w:t>therefore I have of investigate this article too!]</w:t>
      </w:r>
    </w:p>
    <w:p>
      <w:pPr>
        <w:pStyle w:val="Normal"/>
        <w:spacing w:before="0" w:after="0"/>
        <w:contextualSpacing/>
        <w:jc w:val="left"/>
        <w:rPr>
          <w:rFonts w:ascii="Palatino-Bold" w:hAnsi="Palatino-Bold" w:cs="Palatino-Bold"/>
          <w:b/>
          <w:b/>
          <w:bCs/>
          <w:color w:val="000000"/>
          <w:sz w:val="18"/>
          <w:szCs w:val="18"/>
        </w:rPr>
      </w:pPr>
      <w:r>
        <w:rPr>
          <w:rFonts w:cs="Palatino-Bold" w:ascii="Palatino-Bold" w:hAnsi="Palatino-Bold"/>
          <w:b/>
          <w:bCs/>
          <w:color w:val="000000"/>
          <w:sz w:val="18"/>
          <w:szCs w:val="18"/>
        </w:rPr>
        <w:t>A. Device-independent causal relations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We still consider a multipartite scenario in which a set</w:t>
      </w:r>
    </w:p>
    <w:p>
      <w:pPr>
        <w:pStyle w:val="Normal"/>
        <w:spacing w:before="0" w:after="0"/>
        <w:contextualSpacing/>
        <w:jc w:val="left"/>
        <w:rPr/>
      </w:pPr>
      <w:r>
        <w:rPr>
          <w:rFonts w:cs="Palatino-Roman" w:ascii="Palatino-Roman" w:hAnsi="Palatino-Roman"/>
          <w:color w:val="000000"/>
        </w:rPr>
        <w:t xml:space="preserve">of </w:t>
      </w:r>
      <w:r>
        <w:rPr>
          <w:rFonts w:cs="Palatino-Italic" w:ascii="Palatino-Italic" w:hAnsi="Palatino-Italic"/>
          <w:i/>
          <w:iCs/>
          <w:color w:val="000000"/>
        </w:rPr>
        <w:t xml:space="preserve">N </w:t>
      </w:r>
      <w:r>
        <w:rPr>
          <w:rFonts w:cs="Palatino-Roman" w:ascii="Palatino-Roman" w:hAnsi="Palatino-Roman"/>
          <w:color w:val="000000"/>
        </w:rPr>
        <w:t xml:space="preserve">parties </w:t>
      </w:r>
      <w:r>
        <w:rPr>
          <w:rFonts w:eastAsia="CMSY10" w:cs="CMSY10" w:ascii="CMSY10" w:hAnsi="CMSY10"/>
          <w:color w:val="000000"/>
          <w:sz w:val="21"/>
          <w:szCs w:val="21"/>
        </w:rPr>
        <w:t>{</w:t>
      </w:r>
      <w:r>
        <w:rPr>
          <w:rFonts w:cs="Palatino-Italic" w:ascii="Palatino-Italic" w:hAnsi="Palatino-Italic"/>
          <w:i/>
          <w:iCs/>
          <w:color w:val="000000"/>
        </w:rPr>
        <w:t>A</w:t>
      </w:r>
      <w:r>
        <w:rPr>
          <w:rFonts w:cs="Palatino-Italic" w:ascii="Palatino-Italic" w:hAnsi="Palatino-Italic"/>
          <w:i/>
          <w:iCs/>
          <w:color w:val="000000"/>
          <w:sz w:val="15"/>
          <w:szCs w:val="15"/>
        </w:rPr>
        <w:t>i</w:t>
      </w:r>
      <w:r>
        <w:rPr>
          <w:rFonts w:eastAsia="CMSY10" w:cs="CMSY10" w:ascii="CMSY10" w:hAnsi="CMSY10"/>
          <w:color w:val="000000"/>
          <w:sz w:val="21"/>
          <w:szCs w:val="21"/>
        </w:rPr>
        <w:t>}</w:t>
      </w:r>
      <w:r>
        <w:rPr>
          <w:rFonts w:cs="Palatino-Italic" w:ascii="Palatino-Italic" w:hAnsi="Palatino-Italic"/>
          <w:i/>
          <w:iCs/>
          <w:color w:val="000000"/>
          <w:sz w:val="15"/>
          <w:szCs w:val="15"/>
        </w:rPr>
        <w:t>N</w:t>
      </w:r>
    </w:p>
    <w:p>
      <w:pPr>
        <w:pStyle w:val="Normal"/>
        <w:spacing w:before="0" w:after="0"/>
        <w:contextualSpacing/>
        <w:jc w:val="left"/>
        <w:rPr/>
      </w:pPr>
      <w:r>
        <w:rPr>
          <w:rFonts w:cs="Palatino-Italic" w:ascii="Palatino-Italic" w:hAnsi="Palatino-Italic"/>
          <w:i/>
          <w:iCs/>
          <w:color w:val="000000"/>
          <w:sz w:val="15"/>
          <w:szCs w:val="15"/>
        </w:rPr>
        <w:t>i</w:t>
      </w:r>
      <w:r>
        <w:rPr>
          <w:rFonts w:cs="CMR10" w:ascii="CMR10" w:hAnsi="CMR10"/>
          <w:color w:val="000000"/>
          <w:sz w:val="16"/>
          <w:szCs w:val="16"/>
        </w:rPr>
        <w:t>=</w:t>
      </w:r>
      <w:r>
        <w:rPr>
          <w:rFonts w:cs="Palatino-Roman" w:ascii="Palatino-Roman" w:hAnsi="Palatino-Roman"/>
          <w:color w:val="000000"/>
          <w:sz w:val="15"/>
          <w:szCs w:val="15"/>
        </w:rPr>
        <w:t xml:space="preserve">1 </w:t>
      </w:r>
      <w:r>
        <w:rPr>
          <w:rFonts w:cs="Palatino-Roman" w:ascii="Palatino-Roman" w:hAnsi="Palatino-Roman"/>
          <w:color w:val="000000"/>
        </w:rPr>
        <w:t>are located in different, separated</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laboratories. Each party can perform operations and</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obtain measurement outcomes. Contrary to the previous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case however, we do not consider here any particular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physical description of what happens in each lab;</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“settings” for the operations in the different laboratories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and the measurement outcomes are labelled by</w:t>
      </w:r>
    </w:p>
    <w:p>
      <w:pPr>
        <w:pStyle w:val="Normal"/>
        <w:spacing w:before="0" w:after="0"/>
        <w:contextualSpacing/>
        <w:jc w:val="left"/>
        <w:rPr/>
      </w:pPr>
      <w:r>
        <w:rPr>
          <w:rFonts w:cs="Palatino-Roman" w:ascii="Palatino-Roman" w:hAnsi="Palatino-Roman"/>
          <w:color w:val="000000"/>
        </w:rPr>
        <w:t xml:space="preserve">some classical variables </w:t>
      </w:r>
      <w:r>
        <w:rPr>
          <w:rFonts w:cs="Palatino-Italic" w:ascii="Palatino-Italic" w:hAnsi="Palatino-Italic"/>
          <w:i/>
          <w:iCs/>
          <w:color w:val="000000"/>
        </w:rPr>
        <w:t>x</w:t>
      </w:r>
      <w:r>
        <w:rPr>
          <w:rFonts w:cs="Palatino-Italic" w:ascii="Palatino-Italic" w:hAnsi="Palatino-Italic"/>
          <w:i/>
          <w:iCs/>
          <w:color w:val="000000"/>
          <w:sz w:val="15"/>
          <w:szCs w:val="15"/>
        </w:rPr>
        <w:t xml:space="preserve">i </w:t>
      </w:r>
      <w:r>
        <w:rPr>
          <w:rFonts w:cs="Palatino-Roman" w:ascii="Palatino-Roman" w:hAnsi="Palatino-Roman"/>
          <w:color w:val="000000"/>
        </w:rPr>
        <w:t xml:space="preserve">and </w:t>
      </w:r>
      <w:r>
        <w:rPr>
          <w:rFonts w:cs="Palatino-Italic" w:ascii="Palatino-Italic" w:hAnsi="Palatino-Italic"/>
          <w:i/>
          <w:iCs/>
          <w:color w:val="000000"/>
        </w:rPr>
        <w:t>a</w:t>
      </w:r>
      <w:r>
        <w:rPr>
          <w:rFonts w:cs="Palatino-Italic" w:ascii="Palatino-Italic" w:hAnsi="Palatino-Italic"/>
          <w:i/>
          <w:iCs/>
          <w:color w:val="000000"/>
          <w:sz w:val="15"/>
          <w:szCs w:val="15"/>
        </w:rPr>
        <w:t xml:space="preserve">i </w:t>
      </w:r>
      <w:r>
        <w:rPr>
          <w:rFonts w:cs="Palatino-Roman" w:ascii="Palatino-Roman" w:hAnsi="Palatino-Roman"/>
          <w:color w:val="000000"/>
        </w:rPr>
        <w:t xml:space="preserve">(with 1 </w:t>
      </w:r>
      <w:r>
        <w:rPr>
          <w:rFonts w:eastAsia="CMSY10" w:cs="CMSY10" w:ascii="CMSY10" w:hAnsi="CMSY10"/>
          <w:color w:val="000000"/>
          <w:sz w:val="21"/>
          <w:szCs w:val="21"/>
        </w:rPr>
        <w:t xml:space="preserve">≤ </w:t>
      </w:r>
      <w:r>
        <w:rPr>
          <w:rFonts w:cs="Palatino-Italic" w:ascii="Palatino-Italic" w:hAnsi="Palatino-Italic"/>
          <w:i/>
          <w:iCs/>
          <w:color w:val="000000"/>
        </w:rPr>
        <w:t xml:space="preserve">i </w:t>
      </w:r>
      <w:r>
        <w:rPr>
          <w:rFonts w:eastAsia="CMSY10" w:cs="CMSY10" w:ascii="CMSY10" w:hAnsi="CMSY10"/>
          <w:color w:val="000000"/>
          <w:sz w:val="21"/>
          <w:szCs w:val="21"/>
        </w:rPr>
        <w:t xml:space="preserve">≤ </w:t>
      </w:r>
      <w:r>
        <w:rPr>
          <w:rFonts w:cs="Palatino-Italic" w:ascii="Palatino-Italic" w:hAnsi="Palatino-Italic"/>
          <w:i/>
          <w:iCs/>
          <w:color w:val="000000"/>
        </w:rPr>
        <w:t>N</w:t>
      </w:r>
      <w:r>
        <w:rPr>
          <w:rFonts w:cs="Palatino-Roman" w:ascii="Palatino-Roman" w:hAnsi="Palatino-Roman"/>
          <w:color w:val="000000"/>
        </w:rPr>
        <w:t>), respectively;</w:t>
      </w:r>
    </w:p>
    <w:p>
      <w:pPr>
        <w:pStyle w:val="Normal"/>
        <w:spacing w:before="0" w:after="0"/>
        <w:contextualSpacing/>
        <w:jc w:val="left"/>
        <w:rPr/>
      </w:pPr>
      <w:r>
        <w:rPr>
          <w:rFonts w:cs="Palatino-Roman" w:ascii="Palatino-Roman" w:hAnsi="Palatino-Roman"/>
          <w:color w:val="000000"/>
        </w:rPr>
        <w:t xml:space="preserve">for simplicity we assume that the </w:t>
      </w:r>
      <w:r>
        <w:rPr>
          <w:rFonts w:cs="Palatino-Italic" w:ascii="Palatino-Italic" w:hAnsi="Palatino-Italic"/>
          <w:i/>
          <w:iCs/>
          <w:color w:val="000000"/>
        </w:rPr>
        <w:t>x</w:t>
      </w:r>
      <w:r>
        <w:rPr>
          <w:rFonts w:cs="Palatino-Italic" w:ascii="Palatino-Italic" w:hAnsi="Palatino-Italic"/>
          <w:i/>
          <w:iCs/>
          <w:color w:val="000000"/>
          <w:sz w:val="15"/>
          <w:szCs w:val="15"/>
        </w:rPr>
        <w:t>i</w:t>
      </w:r>
      <w:r>
        <w:rPr>
          <w:rFonts w:cs="Palatino-Roman" w:ascii="Palatino-Roman" w:hAnsi="Palatino-Roman"/>
          <w:color w:val="000000"/>
        </w:rPr>
        <w:t>’s and</w:t>
      </w:r>
    </w:p>
    <w:p>
      <w:pPr>
        <w:pStyle w:val="Normal"/>
        <w:spacing w:before="0" w:after="0"/>
        <w:contextualSpacing/>
        <w:jc w:val="left"/>
        <w:rPr/>
      </w:pPr>
      <w:r>
        <w:rPr>
          <w:rFonts w:cs="Palatino-Italic" w:ascii="Palatino-Italic" w:hAnsi="Palatino-Italic"/>
          <w:i/>
          <w:iCs/>
          <w:color w:val="000000"/>
        </w:rPr>
        <w:t>a</w:t>
      </w:r>
      <w:r>
        <w:rPr>
          <w:rFonts w:cs="Palatino-Italic" w:ascii="Palatino-Italic" w:hAnsi="Palatino-Italic"/>
          <w:i/>
          <w:iCs/>
          <w:color w:val="000000"/>
          <w:sz w:val="15"/>
          <w:szCs w:val="15"/>
        </w:rPr>
        <w:t>i</w:t>
      </w:r>
      <w:r>
        <w:rPr>
          <w:rFonts w:cs="Palatino-Roman" w:ascii="Palatino-Roman" w:hAnsi="Palatino-Roman"/>
          <w:color w:val="000000"/>
        </w:rPr>
        <w:t>’s take a finite number of values. Defining the vector</w:t>
      </w:r>
    </w:p>
    <w:p>
      <w:pPr>
        <w:pStyle w:val="Normal"/>
        <w:spacing w:before="0" w:after="0"/>
        <w:contextualSpacing/>
        <w:jc w:val="left"/>
        <w:rPr/>
      </w:pPr>
      <w:r>
        <w:rPr>
          <w:rFonts w:cs="Palatino-Roman" w:ascii="Palatino-Roman" w:hAnsi="Palatino-Roman"/>
          <w:color w:val="000000"/>
        </w:rPr>
        <w:t xml:space="preserve">of settings </w:t>
      </w:r>
      <w:r>
        <w:rPr>
          <w:rFonts w:cs="CMMI10" w:ascii="CMMI10" w:hAnsi="CMMI10"/>
          <w:color w:val="000000"/>
          <w:sz w:val="21"/>
          <w:szCs w:val="21"/>
        </w:rPr>
        <w:t>~</w:t>
      </w:r>
      <w:r>
        <w:rPr>
          <w:rFonts w:cs="Palatino-Italic" w:ascii="Palatino-Italic" w:hAnsi="Palatino-Italic"/>
          <w:i/>
          <w:iCs/>
          <w:color w:val="000000"/>
        </w:rPr>
        <w:t xml:space="preserve">x </w:t>
      </w:r>
      <w:r>
        <w:rPr>
          <w:rFonts w:cs="CMR10" w:ascii="CMR10" w:hAnsi="CMR10"/>
          <w:color w:val="000000"/>
          <w:sz w:val="21"/>
          <w:szCs w:val="21"/>
        </w:rPr>
        <w:t>= (</w:t>
      </w:r>
      <w:r>
        <w:rPr>
          <w:rFonts w:cs="Palatino-Italic" w:ascii="Palatino-Italic" w:hAnsi="Palatino-Italic"/>
          <w:i/>
          <w:iCs/>
          <w:color w:val="000000"/>
        </w:rPr>
        <w:t>x</w:t>
      </w:r>
      <w:r>
        <w:rPr>
          <w:rFonts w:cs="Palatino-Roman" w:ascii="Palatino-Roman" w:hAnsi="Palatino-Roman"/>
          <w:color w:val="000000"/>
          <w:sz w:val="15"/>
          <w:szCs w:val="15"/>
        </w:rPr>
        <w:t>1</w:t>
      </w:r>
      <w:r>
        <w:rPr>
          <w:rFonts w:cs="Palatino-Roman" w:ascii="Palatino-Roman" w:hAnsi="Palatino-Roman"/>
          <w:color w:val="000000"/>
        </w:rPr>
        <w:t xml:space="preserve">, . . . </w:t>
      </w:r>
      <w:r>
        <w:rPr>
          <w:rFonts w:cs="Palatino-Italic" w:ascii="Palatino-Italic" w:hAnsi="Palatino-Italic"/>
          <w:i/>
          <w:iCs/>
          <w:color w:val="000000"/>
        </w:rPr>
        <w:t>x</w:t>
      </w:r>
      <w:r>
        <w:rPr>
          <w:rFonts w:cs="Palatino-Italic" w:ascii="Palatino-Italic" w:hAnsi="Palatino-Italic"/>
          <w:i/>
          <w:iCs/>
          <w:color w:val="000000"/>
          <w:sz w:val="15"/>
          <w:szCs w:val="15"/>
        </w:rPr>
        <w:t>N</w:t>
      </w:r>
      <w:r>
        <w:rPr>
          <w:rFonts w:cs="CMR10" w:ascii="CMR10" w:hAnsi="CMR10"/>
          <w:color w:val="000000"/>
          <w:sz w:val="21"/>
          <w:szCs w:val="21"/>
        </w:rPr>
        <w:t xml:space="preserve">) </w:t>
      </w:r>
      <w:r>
        <w:rPr>
          <w:rFonts w:cs="Palatino-Roman" w:ascii="Palatino-Roman" w:hAnsi="Palatino-Roman"/>
          <w:color w:val="000000"/>
        </w:rPr>
        <w:t>and the vector of outcomes</w:t>
      </w:r>
    </w:p>
    <w:p>
      <w:pPr>
        <w:pStyle w:val="Normal"/>
        <w:spacing w:before="0" w:after="0"/>
        <w:contextualSpacing/>
        <w:jc w:val="left"/>
        <w:rPr/>
      </w:pPr>
      <w:r>
        <w:rPr>
          <w:rFonts w:cs="CMMI10" w:ascii="CMMI10" w:hAnsi="CMMI10"/>
          <w:color w:val="000000"/>
          <w:sz w:val="21"/>
          <w:szCs w:val="21"/>
        </w:rPr>
        <w:t>~</w:t>
      </w:r>
      <w:r>
        <w:rPr>
          <w:rFonts w:cs="Palatino-Italic" w:ascii="Palatino-Italic" w:hAnsi="Palatino-Italic"/>
          <w:i/>
          <w:iCs/>
          <w:color w:val="000000"/>
        </w:rPr>
        <w:t xml:space="preserve">a </w:t>
      </w:r>
      <w:r>
        <w:rPr>
          <w:rFonts w:cs="CMR10" w:ascii="CMR10" w:hAnsi="CMR10"/>
          <w:color w:val="000000"/>
          <w:sz w:val="21"/>
          <w:szCs w:val="21"/>
        </w:rPr>
        <w:t>= (</w:t>
      </w:r>
      <w:r>
        <w:rPr>
          <w:rFonts w:cs="Palatino-Italic" w:ascii="Palatino-Italic" w:hAnsi="Palatino-Italic"/>
          <w:i/>
          <w:iCs/>
          <w:color w:val="000000"/>
        </w:rPr>
        <w:t>a</w:t>
      </w:r>
      <w:r>
        <w:rPr>
          <w:rFonts w:cs="Palatino-Roman" w:ascii="Palatino-Roman" w:hAnsi="Palatino-Roman"/>
          <w:color w:val="000000"/>
          <w:sz w:val="15"/>
          <w:szCs w:val="15"/>
        </w:rPr>
        <w:t>1</w:t>
      </w:r>
      <w:r>
        <w:rPr>
          <w:rFonts w:cs="Palatino-Roman" w:ascii="Palatino-Roman" w:hAnsi="Palatino-Roman"/>
          <w:color w:val="000000"/>
        </w:rPr>
        <w:t xml:space="preserve">, . . . , </w:t>
      </w:r>
      <w:r>
        <w:rPr>
          <w:rFonts w:cs="Palatino-Italic" w:ascii="Palatino-Italic" w:hAnsi="Palatino-Italic"/>
          <w:i/>
          <w:iCs/>
          <w:color w:val="000000"/>
        </w:rPr>
        <w:t>a</w:t>
      </w:r>
      <w:r>
        <w:rPr>
          <w:rFonts w:cs="Palatino-Italic" w:ascii="Palatino-Italic" w:hAnsi="Palatino-Italic"/>
          <w:i/>
          <w:iCs/>
          <w:color w:val="000000"/>
          <w:sz w:val="15"/>
          <w:szCs w:val="15"/>
        </w:rPr>
        <w:t>N</w:t>
      </w:r>
      <w:r>
        <w:rPr>
          <w:rFonts w:cs="CMR10" w:ascii="CMR10" w:hAnsi="CMR10"/>
          <w:color w:val="000000"/>
          <w:sz w:val="21"/>
          <w:szCs w:val="21"/>
        </w:rPr>
        <w:t>)</w:t>
      </w:r>
      <w:r>
        <w:rPr>
          <w:rFonts w:cs="Palatino-Roman" w:ascii="Palatino-Roman" w:hAnsi="Palatino-Roman"/>
          <w:color w:val="000000"/>
        </w:rPr>
        <w:t>, the device-independent description of</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correlations established in such an experiment is encoded</w:t>
      </w:r>
    </w:p>
    <w:p>
      <w:pPr>
        <w:pStyle w:val="Normal"/>
        <w:spacing w:before="0" w:after="0"/>
        <w:contextualSpacing/>
        <w:jc w:val="left"/>
        <w:rPr/>
      </w:pPr>
      <w:r>
        <w:rPr>
          <w:rFonts w:cs="Palatino-Roman" w:ascii="Palatino-Roman" w:hAnsi="Palatino-Roman"/>
          <w:color w:val="000000"/>
        </w:rPr>
        <w:t xml:space="preserve">in the conditional probability </w:t>
      </w:r>
      <w:r>
        <w:rPr>
          <w:rFonts w:cs="Palatino-Italic" w:ascii="Palatino-Italic" w:hAnsi="Palatino-Italic"/>
          <w:i/>
          <w:iCs/>
          <w:color w:val="000000"/>
        </w:rPr>
        <w:t>P</w:t>
      </w:r>
      <w:r>
        <w:rPr>
          <w:rFonts w:cs="CMR10" w:ascii="CMR10" w:hAnsi="CMR10"/>
          <w:color w:val="000000"/>
          <w:sz w:val="21"/>
          <w:szCs w:val="21"/>
        </w:rPr>
        <w:t>(</w:t>
      </w:r>
      <w:r>
        <w:rPr>
          <w:rFonts w:cs="CMMI10" w:ascii="CMMI10" w:hAnsi="CMMI10"/>
          <w:color w:val="000000"/>
          <w:sz w:val="21"/>
          <w:szCs w:val="21"/>
        </w:rPr>
        <w:t>~</w:t>
      </w:r>
      <w:r>
        <w:rPr>
          <w:rFonts w:cs="Palatino-Italic" w:ascii="Palatino-Italic" w:hAnsi="Palatino-Italic"/>
          <w:i/>
          <w:iCs/>
          <w:color w:val="000000"/>
        </w:rPr>
        <w:t>a</w:t>
      </w:r>
      <w:r>
        <w:rPr>
          <w:rFonts w:eastAsia="CMSY10" w:cs="CMSY10" w:ascii="CMSY10" w:hAnsi="CMSY10"/>
          <w:color w:val="000000"/>
          <w:sz w:val="21"/>
          <w:szCs w:val="21"/>
        </w:rPr>
        <w:t>|</w:t>
      </w:r>
      <w:r>
        <w:rPr>
          <w:rFonts w:cs="CMMI10" w:ascii="CMMI10" w:hAnsi="CMMI10"/>
          <w:color w:val="000000"/>
          <w:sz w:val="21"/>
          <w:szCs w:val="21"/>
        </w:rPr>
        <w:t>~</w:t>
      </w:r>
      <w:r>
        <w:rPr>
          <w:rFonts w:cs="Palatino-Italic" w:ascii="Palatino-Italic" w:hAnsi="Palatino-Italic"/>
          <w:i/>
          <w:iCs/>
          <w:color w:val="000000"/>
        </w:rPr>
        <w:t>x</w:t>
      </w:r>
      <w:r>
        <w:rPr>
          <w:rFonts w:cs="CMR10" w:ascii="CMR10" w:hAnsi="CMR10"/>
          <w:color w:val="000000"/>
          <w:sz w:val="21"/>
          <w:szCs w:val="21"/>
        </w:rPr>
        <w:t>)</w:t>
      </w:r>
      <w:r>
        <w:rPr>
          <w:rFonts w:cs="Palatino-Roman" w:ascii="Palatino-Roman" w:hAnsi="Palatino-Roman"/>
          <w:color w:val="000000"/>
        </w:rPr>
        <w:t>.</w:t>
      </w:r>
    </w:p>
    <w:p>
      <w:pPr>
        <w:pStyle w:val="Normal"/>
        <w:spacing w:before="0" w:after="0"/>
        <w:contextualSpacing/>
        <w:jc w:val="left"/>
        <w:rPr/>
      </w:pPr>
      <w:r>
        <w:rPr>
          <w:rFonts w:cs="Palatino-Roman" w:ascii="Palatino-Roman" w:hAnsi="Palatino-Roman"/>
          <w:color w:val="000000"/>
        </w:rPr>
        <w:t>Causal inequalities [</w:t>
      </w:r>
      <w:r>
        <w:rPr>
          <w:rFonts w:cs="TeXPalladioL-SC" w:ascii="TeXPalladioL-SC" w:hAnsi="TeXPalladioL-SC"/>
          <w:color w:val="00FF00"/>
        </w:rPr>
        <w:t>13</w:t>
      </w:r>
      <w:r>
        <w:rPr>
          <w:rFonts w:cs="Palatino-Roman" w:ascii="Palatino-Roman" w:hAnsi="Palatino-Roman"/>
          <w:color w:val="000000"/>
        </w:rPr>
        <w:t xml:space="preserve">] are constraints on </w:t>
      </w:r>
      <w:r>
        <w:rPr>
          <w:rFonts w:cs="Palatino-Italic" w:ascii="Palatino-Italic" w:hAnsi="Palatino-Italic"/>
          <w:i/>
          <w:iCs/>
          <w:color w:val="000000"/>
        </w:rPr>
        <w:t>P</w:t>
      </w:r>
      <w:r>
        <w:rPr>
          <w:rFonts w:cs="CMR10" w:ascii="CMR10" w:hAnsi="CMR10"/>
          <w:color w:val="000000"/>
          <w:sz w:val="21"/>
          <w:szCs w:val="21"/>
        </w:rPr>
        <w:t>(</w:t>
      </w:r>
      <w:r>
        <w:rPr>
          <w:rFonts w:cs="CMMI10" w:ascii="CMMI10" w:hAnsi="CMMI10"/>
          <w:color w:val="000000"/>
          <w:sz w:val="21"/>
          <w:szCs w:val="21"/>
        </w:rPr>
        <w:t>~</w:t>
      </w:r>
      <w:r>
        <w:rPr>
          <w:rFonts w:cs="Palatino-Italic" w:ascii="Palatino-Italic" w:hAnsi="Palatino-Italic"/>
          <w:i/>
          <w:iCs/>
          <w:color w:val="000000"/>
        </w:rPr>
        <w:t>a</w:t>
      </w:r>
      <w:r>
        <w:rPr>
          <w:rFonts w:eastAsia="CMSY10" w:cs="CMSY10" w:ascii="CMSY10" w:hAnsi="CMSY10"/>
          <w:color w:val="000000"/>
          <w:sz w:val="21"/>
          <w:szCs w:val="21"/>
        </w:rPr>
        <w:t>|</w:t>
      </w:r>
      <w:r>
        <w:rPr>
          <w:rFonts w:cs="CMMI10" w:ascii="CMMI10" w:hAnsi="CMMI10"/>
          <w:color w:val="000000"/>
          <w:sz w:val="21"/>
          <w:szCs w:val="21"/>
        </w:rPr>
        <w:t>~</w:t>
      </w:r>
      <w:r>
        <w:rPr>
          <w:rFonts w:cs="Palatino-Italic" w:ascii="Palatino-Italic" w:hAnsi="Palatino-Italic"/>
          <w:i/>
          <w:iCs/>
          <w:color w:val="000000"/>
        </w:rPr>
        <w:t>x</w:t>
      </w:r>
      <w:r>
        <w:rPr>
          <w:rFonts w:cs="CMR10" w:ascii="CMR10" w:hAnsi="CMR10"/>
          <w:color w:val="000000"/>
          <w:sz w:val="21"/>
          <w:szCs w:val="21"/>
        </w:rPr>
        <w:t xml:space="preserve">) </w:t>
      </w:r>
      <w:r>
        <w:rPr>
          <w:rFonts w:cs="Palatino-Roman" w:ascii="Palatino-Roman" w:hAnsi="Palatino-Roman"/>
          <w:color w:val="000000"/>
        </w:rPr>
        <w:t>derived</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from the assumption that there exists an underlying</w:t>
      </w:r>
    </w:p>
    <w:p>
      <w:pPr>
        <w:pStyle w:val="Normal"/>
        <w:spacing w:before="0" w:after="0"/>
        <w:contextualSpacing/>
        <w:rPr>
          <w:rFonts w:ascii="Palatino-Roman" w:hAnsi="Palatino-Roman" w:cs="Palatino-Roman"/>
          <w:color w:val="000000"/>
        </w:rPr>
      </w:pPr>
      <w:r>
        <w:rPr>
          <w:rFonts w:cs="Palatino-Roman" w:ascii="Palatino-Roman" w:hAnsi="Palatino-Roman"/>
          <w:color w:val="000000"/>
        </w:rPr>
        <w:t>causal structure defining the order between parties. (p. 13)</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[we are already in EDWs!]</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jc w:val="left"/>
        <w:rPr>
          <w:rFonts w:ascii="Palatino-Bold" w:hAnsi="Palatino-Bold" w:cs="Palatino-Bold"/>
          <w:b/>
          <w:b/>
          <w:bCs/>
          <w:color w:val="000000"/>
          <w:sz w:val="18"/>
          <w:szCs w:val="18"/>
        </w:rPr>
      </w:pPr>
      <w:r>
        <w:rPr>
          <w:rFonts w:cs="Palatino-Bold" w:ascii="Palatino-Bold" w:hAnsi="Palatino-Bold"/>
          <w:b/>
          <w:bCs/>
          <w:color w:val="000000"/>
          <w:sz w:val="18"/>
          <w:szCs w:val="18"/>
        </w:rPr>
        <w:t>VI. CAUSAL INEQUALITIES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notion of causal separability considered above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relies on the quantum description of the local laboratories.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One may ask what are the constraints imposed by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 definite causal structure regardless of the specific description,</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or even the physics governing the devices performing</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local operations. To study such restrictions,</w:t>
      </w:r>
    </w:p>
    <w:p>
      <w:pPr>
        <w:pStyle w:val="Normal"/>
        <w:spacing w:before="0" w:after="0"/>
        <w:contextualSpacing/>
        <w:jc w:val="left"/>
        <w:rPr/>
      </w:pPr>
      <w:r>
        <w:rPr>
          <w:rFonts w:cs="Palatino-Roman" w:ascii="Palatino-Roman" w:hAnsi="Palatino-Roman"/>
          <w:color w:val="000000"/>
        </w:rPr>
        <w:t xml:space="preserve">we will make use of so-called </w:t>
      </w:r>
      <w:r>
        <w:rPr>
          <w:rFonts w:cs="Palatino-Italic" w:ascii="Palatino-Italic" w:hAnsi="Palatino-Italic"/>
          <w:i/>
          <w:iCs/>
          <w:color w:val="000000"/>
        </w:rPr>
        <w:t xml:space="preserve">causal inequalities </w:t>
      </w:r>
      <w:r>
        <w:rPr>
          <w:rFonts w:cs="Palatino-Roman" w:ascii="Palatino-Roman" w:hAnsi="Palatino-Roman"/>
          <w:color w:val="000000"/>
        </w:rPr>
        <w:t>[</w:t>
      </w:r>
      <w:r>
        <w:rPr>
          <w:rFonts w:cs="TeXPalladioL-SC" w:ascii="TeXPalladioL-SC" w:hAnsi="TeXPalladioL-SC"/>
          <w:color w:val="00FF00"/>
        </w:rPr>
        <w:t>13</w:t>
      </w:r>
      <w:r>
        <w:rPr>
          <w:rFonts w:cs="Palatino-Roman" w:ascii="Palatino-Roman" w:hAnsi="Palatino-Roman"/>
          <w:color w:val="000000"/>
        </w:rPr>
        <w: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which bound the possible correlations that can be established</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between events following a definite causal order.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violation of a causal inequality gives a stronger,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device-independent signature of lack of causal order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than the measurement of a witness. It is natural to ask</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whether it is possible to use the quantum switch to violate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 causal inequality; we show below that this is not</w:t>
      </w:r>
    </w:p>
    <w:p>
      <w:pPr>
        <w:pStyle w:val="Normal"/>
        <w:spacing w:before="0" w:after="0"/>
        <w:contextualSpacing/>
        <w:rPr>
          <w:rFonts w:ascii="Palatino-Roman" w:hAnsi="Palatino-Roman" w:cs="Palatino-Roman"/>
          <w:color w:val="000000"/>
        </w:rPr>
      </w:pPr>
      <w:r>
        <w:rPr>
          <w:rFonts w:cs="Palatino-Roman" w:ascii="Palatino-Roman" w:hAnsi="Palatino-Roman"/>
          <w:color w:val="000000"/>
        </w:rPr>
        <w:t>the case. (p. 13)</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As causally separable processes can only generate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causal correlations, the violation of a causal inequality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can also be used to detect the causal nonseparability of</w:t>
      </w:r>
    </w:p>
    <w:p>
      <w:pPr>
        <w:pStyle w:val="Normal"/>
        <w:spacing w:before="0" w:after="0"/>
        <w:contextualSpacing/>
        <w:jc w:val="left"/>
        <w:rPr/>
      </w:pPr>
      <w:r>
        <w:rPr>
          <w:rFonts w:cs="Palatino-Roman" w:ascii="Palatino-Roman" w:hAnsi="Palatino-Roman"/>
          <w:color w:val="000000"/>
        </w:rPr>
        <w:t xml:space="preserve">a process. While causal witnesses are </w:t>
      </w:r>
      <w:r>
        <w:rPr>
          <w:rFonts w:cs="Palatino-Italic" w:ascii="Palatino-Italic" w:hAnsi="Palatino-Italic"/>
          <w:i/>
          <w:iCs/>
          <w:color w:val="000000"/>
        </w:rPr>
        <w:t>device-dependent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and can only detect causal nonseparability if each party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trusts her operation’s implementation, causal inequalities</w:t>
      </w:r>
    </w:p>
    <w:p>
      <w:pPr>
        <w:pStyle w:val="Normal"/>
        <w:spacing w:before="0" w:after="0"/>
        <w:contextualSpacing/>
        <w:jc w:val="left"/>
        <w:rPr/>
      </w:pPr>
      <w:r>
        <w:rPr>
          <w:rFonts w:cs="Palatino-Roman" w:ascii="Palatino-Roman" w:hAnsi="Palatino-Roman"/>
          <w:color w:val="000000"/>
        </w:rPr>
        <w:t xml:space="preserve">are completely </w:t>
      </w:r>
      <w:r>
        <w:rPr>
          <w:rFonts w:cs="Palatino-Italic" w:ascii="Palatino-Italic" w:hAnsi="Palatino-Italic"/>
          <w:i/>
          <w:iCs/>
          <w:color w:val="000000"/>
        </w:rPr>
        <w:t>device-independent</w:t>
      </w:r>
      <w:r>
        <w:rPr>
          <w:rFonts w:cs="Palatino-Roman" w:ascii="Palatino-Roman" w:hAnsi="Palatino-Roman"/>
          <w:color w:val="000000"/>
        </w:rPr>
        <w:t>: even if each party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distrusts her laboratory, they can still detect causal nonseparability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from the statistics of their experimental</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outcomes, if those violate a causal inequality. While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for every causally nonseparable process there is causal</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witness that will detect its nonseparability, there are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causally nonseparable processes cannot be used to violate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any causal inequalities: in the next subsection</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we will prove that the quantum switch provides such</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an example. There is an analogy here with entanglement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witnesses, which allow for a device-dependent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way of detecting entanglement, and Bell inequalities,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which provide a device-independent entanglement certification</w:t>
      </w:r>
    </w:p>
    <w:p>
      <w:pPr>
        <w:pStyle w:val="Normal"/>
        <w:spacing w:before="0" w:after="0"/>
        <w:contextualSpacing/>
        <w:jc w:val="left"/>
        <w:rPr/>
      </w:pPr>
      <w:r>
        <w:rPr>
          <w:rFonts w:cs="Palatino-Roman" w:ascii="Palatino-Roman" w:hAnsi="Palatino-Roman"/>
          <w:color w:val="000000"/>
        </w:rPr>
        <w:t>– “</w:t>
      </w:r>
      <w:r>
        <w:rPr>
          <w:rFonts w:cs="Palatino-Roman" w:ascii="Palatino-Roman" w:hAnsi="Palatino-Roman"/>
          <w:color w:val="000000"/>
        </w:rPr>
        <w:t>nonlocality” [</w:t>
      </w:r>
      <w:r>
        <w:rPr>
          <w:rFonts w:cs="TeXPalladioL-SC" w:ascii="TeXPalladioL-SC" w:hAnsi="TeXPalladioL-SC"/>
          <w:color w:val="00FF00"/>
        </w:rPr>
        <w:t>27</w:t>
      </w:r>
      <w:r>
        <w:rPr>
          <w:rFonts w:cs="Palatino-Roman" w:ascii="Palatino-Roman" w:hAnsi="Palatino-Roman"/>
          <w:color w:val="000000"/>
        </w:rPr>
        <w:t>]. The important difference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is that states violating Bell inequalities are physically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implementable, while no example of a physically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implementable process violating causal inequalities is</w:t>
      </w:r>
    </w:p>
    <w:p>
      <w:pPr>
        <w:pStyle w:val="Normal"/>
        <w:spacing w:before="0" w:after="0"/>
        <w:contextualSpacing/>
        <w:rPr>
          <w:rFonts w:ascii="Palatino-Roman" w:hAnsi="Palatino-Roman" w:cs="Palatino-Roman"/>
          <w:color w:val="000000"/>
        </w:rPr>
      </w:pPr>
      <w:r>
        <w:rPr>
          <w:rFonts w:cs="Palatino-Roman" w:ascii="Palatino-Roman" w:hAnsi="Palatino-Roman"/>
          <w:color w:val="000000"/>
        </w:rPr>
        <w:t>known. (p. 14)</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[UNBELIEVABLE, but this is the relationship between EDWs!!!]</w:t>
      </w:r>
    </w:p>
    <w:p>
      <w:pPr>
        <w:pStyle w:val="Normal"/>
        <w:spacing w:before="0" w:after="0"/>
        <w:contextualSpacing/>
        <w:rPr>
          <w:rFonts w:ascii="Palatino-Roman" w:hAnsi="Palatino-Roman" w:cs="Palatino-Roman"/>
          <w:color w:val="FF0000"/>
        </w:rPr>
      </w:pPr>
      <w:r>
        <w:rPr>
          <w:rFonts w:cs="Palatino-Roman" w:ascii="Palatino-Roman" w:hAnsi="Palatino-Roman"/>
          <w:color w:val="FF0000"/>
        </w:rPr>
        <w:t xml:space="preserve"> </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Therefore, the quantum switch represents an example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of a causally nonseparable process that can only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generate causal correlations, and hence cannot be used</w:t>
      </w:r>
    </w:p>
    <w:p>
      <w:pPr>
        <w:pStyle w:val="Normal"/>
        <w:spacing w:before="0" w:after="0"/>
        <w:contextualSpacing/>
        <w:jc w:val="left"/>
        <w:rPr/>
      </w:pPr>
      <w:r>
        <w:rPr>
          <w:rFonts w:cs="Palatino-Roman" w:ascii="Palatino-Roman" w:hAnsi="Palatino-Roman"/>
          <w:color w:val="000000"/>
        </w:rPr>
        <w:t>to violate any causal inequality</w:t>
      </w:r>
      <w:r>
        <w:rPr>
          <w:rFonts w:cs="TeXPalladioL-SC" w:ascii="TeXPalladioL-SC" w:hAnsi="TeXPalladioL-SC"/>
          <w:color w:val="FF0000"/>
          <w:sz w:val="15"/>
          <w:szCs w:val="15"/>
        </w:rPr>
        <w:t>12</w:t>
      </w:r>
      <w:r>
        <w:rPr>
          <w:rFonts w:cs="Palatino-Roman" w:ascii="Palatino-Roman" w:hAnsi="Palatino-Roman"/>
          <w:color w:val="000000"/>
        </w:rPr>
        <w:t>. It is noteworthy that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all the examples of causally nonseparable processes for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which a physical interpretation is known, including</w:t>
      </w:r>
    </w:p>
    <w:p>
      <w:pPr>
        <w:pStyle w:val="Normal"/>
        <w:spacing w:before="0" w:after="0"/>
        <w:contextualSpacing/>
        <w:jc w:val="left"/>
        <w:rPr/>
      </w:pPr>
      <w:r>
        <w:rPr>
          <w:rFonts w:cs="Palatino-Roman" w:ascii="Palatino-Roman" w:hAnsi="Palatino-Roman"/>
          <w:color w:val="000000"/>
        </w:rPr>
        <w:t>those generated by space-time superpositions [</w:t>
      </w:r>
      <w:r>
        <w:rPr>
          <w:rFonts w:cs="TeXPalladioL-SC" w:ascii="TeXPalladioL-SC" w:hAnsi="TeXPalladioL-SC"/>
          <w:color w:val="00FF00"/>
        </w:rPr>
        <w:t>32</w:t>
      </w:r>
      <w:r>
        <w:rPr>
          <w:rFonts w:cs="Palatino-Roman" w:ascii="Palatino-Roman" w:hAnsi="Palatino-Roman"/>
          <w:color w:val="000000"/>
        </w:rPr>
        <w:t>], fall</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into this category. This raises the question of whether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causally nonseparable processes that do violate causal</w:t>
      </w:r>
    </w:p>
    <w:p>
      <w:pPr>
        <w:pStyle w:val="Normal"/>
        <w:spacing w:before="0" w:after="0"/>
        <w:contextualSpacing/>
        <w:rPr>
          <w:rFonts w:ascii="Palatino-Roman" w:hAnsi="Palatino-Roman" w:cs="Palatino-Roman"/>
          <w:color w:val="000000"/>
        </w:rPr>
      </w:pPr>
      <w:r>
        <w:rPr>
          <w:rFonts w:cs="Palatino-Roman" w:ascii="Palatino-Roman" w:hAnsi="Palatino-Roman"/>
          <w:color w:val="000000"/>
        </w:rPr>
        <w:t xml:space="preserve">inequalities can be physically implemented at all. (p. 15) </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jc w:val="left"/>
        <w:rPr/>
      </w:pPr>
      <w:r>
        <w:rPr>
          <w:rFonts w:cs="Palatino-Bold" w:ascii="Palatino-Bold" w:hAnsi="Palatino-Bold"/>
          <w:b/>
          <w:bCs/>
          <w:sz w:val="18"/>
          <w:szCs w:val="18"/>
        </w:rPr>
        <w:t>VII. CONCLUSION</w:t>
      </w:r>
      <w:r>
        <w:rPr>
          <w:rFonts w:cs="Palatino-Roman" w:ascii="Palatino-Roman" w:hAnsi="Palatino-Roman"/>
          <w:color w:val="000000"/>
        </w:rPr>
        <w:t xml:space="preserve"> </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process matrix formalism was originally conceived</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as a rather speculative extension of quantum mechanics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to possibly include the indefinite causal structures</w:t>
      </w:r>
    </w:p>
    <w:p>
      <w:pPr>
        <w:pStyle w:val="Normal"/>
        <w:spacing w:before="0" w:after="0"/>
        <w:contextualSpacing/>
        <w:jc w:val="left"/>
        <w:rPr/>
      </w:pPr>
      <w:r>
        <w:rPr>
          <w:rFonts w:cs="Palatino-Roman" w:ascii="Palatino-Roman" w:hAnsi="Palatino-Roman"/>
          <w:color w:val="000000"/>
        </w:rPr>
        <w:t>expected in a quantized theory of gravity [</w:t>
      </w:r>
      <w:r>
        <w:rPr>
          <w:rFonts w:cs="TeXPalladioL-SC" w:ascii="TeXPalladioL-SC" w:hAnsi="TeXPalladioL-SC"/>
          <w:color w:val="00FF00"/>
        </w:rPr>
        <w:t>10</w:t>
      </w:r>
      <w:r>
        <w:rPr>
          <w:rFonts w:cs="Palatino-Roman" w:ascii="Palatino-Roman" w:hAnsi="Palatino-Roman"/>
          <w:color w:val="000000"/>
        </w:rPr>
        <w: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results of this work show that, in fact, it is a natural</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framework to study a class of quantum resources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which cannot be captured by the circuit model, but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nonetheless are physically realizable and can provide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powerful computational advantages. We have shown</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that the quantum switch, a recently demonstrated resource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for quantum computation, can be conveniently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represented as a causally non-separable process matrix.</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We have also presented causal witnesses that can verify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causal nonseparability of the switch. As they only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require performing unitaries in a “superposition of order”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and a final measurement of a control qubit, such</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witnesses can be easily implemented in quantum-optics</w:t>
      </w:r>
    </w:p>
    <w:p>
      <w:pPr>
        <w:pStyle w:val="Normal"/>
        <w:spacing w:before="0" w:after="0"/>
        <w:contextualSpacing/>
        <w:rPr/>
      </w:pPr>
      <w:r>
        <w:rPr>
          <w:rFonts w:cs="Palatino-Roman" w:ascii="Palatino-Roman" w:hAnsi="Palatino-Roman"/>
          <w:color w:val="000000"/>
        </w:rPr>
        <w:t>setups, as the one employed in Ref. [</w:t>
      </w:r>
      <w:r>
        <w:rPr>
          <w:rFonts w:cs="TeXPalladioL-SC" w:ascii="TeXPalladioL-SC" w:hAnsi="TeXPalladioL-SC"/>
          <w:color w:val="00FF00"/>
        </w:rPr>
        <w:t>9</w:t>
      </w:r>
      <w:r>
        <w:rPr>
          <w:rFonts w:cs="Palatino-Roman" w:ascii="Palatino-Roman" w:hAnsi="Palatino-Roman"/>
          <w:color w:val="000000"/>
        </w:rPr>
        <w:t xml:space="preserve">]. (p. 15) </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jc w:val="left"/>
        <w:rPr>
          <w:rFonts w:ascii="Palatino-Roman" w:hAnsi="Palatino-Roman" w:cs="Palatino-Roman"/>
        </w:rPr>
      </w:pPr>
      <w:r>
        <w:rPr>
          <w:rFonts w:cs="Palatino-Roman" w:ascii="Palatino-Roman" w:hAnsi="Palatino-Roman"/>
        </w:rPr>
        <w:t>The theory of causal witnesses developed here has</w:t>
      </w:r>
    </w:p>
    <w:p>
      <w:pPr>
        <w:pStyle w:val="Normal"/>
        <w:spacing w:before="0" w:after="0"/>
        <w:contextualSpacing/>
        <w:jc w:val="left"/>
        <w:rPr>
          <w:rFonts w:ascii="Palatino-Roman" w:hAnsi="Palatino-Roman" w:cs="Palatino-Roman"/>
        </w:rPr>
      </w:pPr>
      <w:r>
        <w:rPr>
          <w:rFonts w:cs="Palatino-Roman" w:ascii="Palatino-Roman" w:hAnsi="Palatino-Roman"/>
        </w:rPr>
        <w:t>close resemblances with the theory of entanglement</w:t>
      </w:r>
    </w:p>
    <w:p>
      <w:pPr>
        <w:pStyle w:val="Normal"/>
        <w:spacing w:before="0" w:after="0"/>
        <w:contextualSpacing/>
        <w:jc w:val="left"/>
        <w:rPr>
          <w:rFonts w:ascii="Palatino-Roman" w:hAnsi="Palatino-Roman" w:cs="Palatino-Roman"/>
        </w:rPr>
      </w:pPr>
      <w:r>
        <w:rPr>
          <w:rFonts w:cs="Palatino-Roman" w:ascii="Palatino-Roman" w:hAnsi="Palatino-Roman"/>
        </w:rPr>
        <w:t>witnesses. In both cases, one is interested in finding</w:t>
      </w:r>
    </w:p>
    <w:p>
      <w:pPr>
        <w:pStyle w:val="Normal"/>
        <w:spacing w:before="0" w:after="0"/>
        <w:contextualSpacing/>
        <w:jc w:val="left"/>
        <w:rPr>
          <w:rFonts w:ascii="Palatino-Roman" w:hAnsi="Palatino-Roman" w:cs="Palatino-Roman"/>
        </w:rPr>
      </w:pPr>
      <w:r>
        <w:rPr>
          <w:rFonts w:cs="Palatino-Roman" w:ascii="Palatino-Roman" w:hAnsi="Palatino-Roman"/>
        </w:rPr>
        <w:t>ways to certify that a resource is outside some convex</w:t>
      </w:r>
    </w:p>
    <w:p>
      <w:pPr>
        <w:pStyle w:val="Normal"/>
        <w:spacing w:before="0" w:after="0"/>
        <w:contextualSpacing/>
        <w:jc w:val="left"/>
        <w:rPr>
          <w:rFonts w:ascii="Palatino-Roman" w:hAnsi="Palatino-Roman" w:cs="Palatino-Roman"/>
        </w:rPr>
      </w:pPr>
      <w:r>
        <w:rPr>
          <w:rFonts w:cs="Palatino-Roman" w:ascii="Palatino-Roman" w:hAnsi="Palatino-Roman"/>
        </w:rPr>
        <w:t>set, the set of separable states in the latter case, that</w:t>
      </w:r>
    </w:p>
    <w:p>
      <w:pPr>
        <w:pStyle w:val="Normal"/>
        <w:spacing w:before="0" w:after="0"/>
        <w:contextualSpacing/>
        <w:jc w:val="left"/>
        <w:rPr>
          <w:rFonts w:ascii="Palatino-Roman" w:hAnsi="Palatino-Roman" w:cs="Palatino-Roman"/>
        </w:rPr>
      </w:pPr>
      <w:r>
        <w:rPr>
          <w:rFonts w:cs="Palatino-Roman" w:ascii="Palatino-Roman" w:hAnsi="Palatino-Roman"/>
        </w:rPr>
        <w:t>of causally nonseparable process matrices in the former</w:t>
      </w:r>
    </w:p>
    <w:p>
      <w:pPr>
        <w:pStyle w:val="Normal"/>
        <w:spacing w:before="0" w:after="0"/>
        <w:contextualSpacing/>
        <w:jc w:val="left"/>
        <w:rPr>
          <w:rFonts w:ascii="Palatino-Roman" w:hAnsi="Palatino-Roman" w:cs="Palatino-Roman"/>
        </w:rPr>
      </w:pPr>
      <w:r>
        <w:rPr>
          <w:rFonts w:cs="Palatino-Roman" w:ascii="Palatino-Roman" w:hAnsi="Palatino-Roman"/>
        </w:rPr>
        <w:t>case. Following this analogy, causal inequalities</w:t>
      </w:r>
    </w:p>
    <w:p>
      <w:pPr>
        <w:pStyle w:val="Normal"/>
        <w:spacing w:before="0" w:after="0"/>
        <w:contextualSpacing/>
        <w:jc w:val="left"/>
        <w:rPr>
          <w:rFonts w:ascii="Palatino-Roman" w:hAnsi="Palatino-Roman" w:cs="Palatino-Roman"/>
        </w:rPr>
      </w:pPr>
      <w:r>
        <w:rPr>
          <w:rFonts w:cs="Palatino-Roman" w:ascii="Palatino-Roman" w:hAnsi="Palatino-Roman"/>
        </w:rPr>
        <w:t>can be seen as the counterpart to the Bell inequalities,</w:t>
      </w:r>
    </w:p>
    <w:p>
      <w:pPr>
        <w:pStyle w:val="Normal"/>
        <w:spacing w:before="0" w:after="0"/>
        <w:contextualSpacing/>
        <w:jc w:val="left"/>
        <w:rPr>
          <w:rFonts w:ascii="Palatino-Roman" w:hAnsi="Palatino-Roman" w:cs="Palatino-Roman"/>
        </w:rPr>
      </w:pPr>
      <w:r>
        <w:rPr>
          <w:rFonts w:cs="Palatino-Roman" w:ascii="Palatino-Roman" w:hAnsi="Palatino-Roman"/>
        </w:rPr>
        <w:t>as they both provide device-independent tests regarding</w:t>
      </w:r>
    </w:p>
    <w:p>
      <w:pPr>
        <w:pStyle w:val="Normal"/>
        <w:spacing w:before="0" w:after="0"/>
        <w:contextualSpacing/>
        <w:jc w:val="left"/>
        <w:rPr>
          <w:rFonts w:ascii="Palatino-Roman" w:hAnsi="Palatino-Roman" w:cs="Palatino-Roman"/>
        </w:rPr>
      </w:pPr>
      <w:r>
        <w:rPr>
          <w:rFonts w:cs="Palatino-Roman" w:ascii="Palatino-Roman" w:hAnsi="Palatino-Roman"/>
        </w:rPr>
        <w:t>the existence of some classical variable: local hidden</w:t>
      </w:r>
    </w:p>
    <w:p>
      <w:pPr>
        <w:pStyle w:val="Normal"/>
        <w:spacing w:before="0" w:after="0"/>
        <w:contextualSpacing/>
        <w:jc w:val="left"/>
        <w:rPr/>
      </w:pPr>
      <w:r>
        <w:rPr>
          <w:rFonts w:cs="Palatino-Roman" w:ascii="Palatino-Roman" w:hAnsi="Palatino-Roman"/>
        </w:rPr>
        <w:t xml:space="preserve">variables for measurement outcomes in one case, </w:t>
      </w:r>
      <w:r>
        <w:rPr>
          <w:rFonts w:cs="Palatino-Roman" w:ascii="Palatino-Roman" w:hAnsi="Palatino-Roman"/>
          <w:color w:val="000000"/>
        </w:rPr>
        <w:t>classical variables determining the causal order in the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other. A significant difference between the two frameworks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is that the problem of determining causal separability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can be solved numerically with efficient algorithms,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whereas characterizing entanglement has been</w:t>
      </w:r>
    </w:p>
    <w:p>
      <w:pPr>
        <w:pStyle w:val="Normal"/>
        <w:spacing w:before="0" w:after="0"/>
        <w:contextualSpacing/>
        <w:jc w:val="left"/>
        <w:rPr/>
      </w:pPr>
      <w:r>
        <w:rPr>
          <w:rFonts w:cs="Palatino-Roman" w:ascii="Palatino-Roman" w:hAnsi="Palatino-Roman"/>
          <w:color w:val="000000"/>
        </w:rPr>
        <w:t>proven to be an NP-hard problem [</w:t>
      </w:r>
      <w:r>
        <w:rPr>
          <w:rFonts w:cs="TeXPalladioL-SC" w:ascii="TeXPalladioL-SC" w:hAnsi="TeXPalladioL-SC"/>
          <w:color w:val="00FF00"/>
        </w:rPr>
        <w:t>33</w:t>
      </w:r>
      <w:r>
        <w:rPr>
          <w:rFonts w:cs="Palatino-Roman" w:ascii="Palatino-Roman" w:hAnsi="Palatino-Roman"/>
          <w:color w:val="000000"/>
        </w:rPr>
        <w: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As one could expect from the analogy with entanglement,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there exist causally nonseparable processes that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cannot violate causal inequalities. What is striking, in</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case of process matrices, is that a physical interpretation</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is known only for resources in this category. As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one of the main open problems in this field is the characterization</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of physical process matrices, it is tempting</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to speculate whether the (im)possibility to violate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causal inequalities could provide a useful guidance in</w:t>
      </w:r>
    </w:p>
    <w:p>
      <w:pPr>
        <w:pStyle w:val="Normal"/>
        <w:spacing w:before="0" w:after="0"/>
        <w:contextualSpacing/>
        <w:rPr>
          <w:rFonts w:ascii="Palatino-Roman" w:hAnsi="Palatino-Roman" w:cs="Palatino-Roman"/>
          <w:color w:val="000000"/>
        </w:rPr>
      </w:pPr>
      <w:r>
        <w:rPr>
          <w:rFonts w:cs="Palatino-Roman" w:ascii="Palatino-Roman" w:hAnsi="Palatino-Roman"/>
          <w:color w:val="000000"/>
        </w:rPr>
        <w:t>this respect.</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ListParagraph"/>
        <w:numPr>
          <w:ilvl w:val="0"/>
          <w:numId w:val="31"/>
        </w:numPr>
        <w:spacing w:before="0" w:after="0"/>
        <w:ind w:left="0" w:right="0" w:hanging="360"/>
        <w:contextualSpacing/>
        <w:rPr>
          <w:b/>
          <w:b/>
          <w:sz w:val="28"/>
          <w:szCs w:val="28"/>
        </w:rPr>
      </w:pPr>
      <w:r>
        <w:rPr>
          <w:b/>
          <w:sz w:val="28"/>
          <w:szCs w:val="28"/>
        </w:rPr>
        <w:t>(2019) UNBELEVABLE similarities between Giulio Chiribella et al. (2008, 2013)’s ideas/framework and my ideas/framework (i.e., the EDWs)</w:t>
      </w:r>
    </w:p>
    <w:p>
      <w:pPr>
        <w:pStyle w:val="Normal"/>
        <w:spacing w:before="0" w:after="0"/>
        <w:contextualSpacing/>
        <w:jc w:val="center"/>
        <w:rPr>
          <w:b/>
          <w:b/>
        </w:rPr>
      </w:pPr>
      <w:r>
        <w:rPr>
          <w:b/>
        </w:rPr>
      </w:r>
    </w:p>
    <w:p>
      <w:pPr>
        <w:pStyle w:val="Normal"/>
        <w:spacing w:before="0" w:after="0"/>
        <w:contextualSpacing/>
        <w:jc w:val="center"/>
        <w:rPr>
          <w:b/>
          <w:b/>
        </w:rPr>
      </w:pPr>
      <w:r>
        <w:rPr>
          <w:b/>
        </w:rPr>
        <w:t>Gabriel Vacariu</w:t>
      </w:r>
    </w:p>
    <w:p>
      <w:pPr>
        <w:pStyle w:val="Normal"/>
        <w:spacing w:before="0" w:after="0"/>
        <w:contextualSpacing/>
        <w:rPr>
          <w:b/>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pStyle w:val="Normal"/>
        <w:spacing w:before="0" w:after="0"/>
        <w:contextualSpacing/>
        <w:rPr>
          <w:b/>
          <w:b/>
        </w:rPr>
      </w:pPr>
      <w:r>
        <w:rPr>
          <w:b/>
        </w:rPr>
      </w:r>
    </w:p>
    <w:p>
      <w:pPr>
        <w:pStyle w:val="Normal"/>
        <w:spacing w:before="0" w:after="0"/>
        <w:contextualSpacing/>
        <w:rPr/>
      </w:pPr>
      <w:r>
        <w:rPr>
          <w:b/>
        </w:rPr>
        <w:t>Giulio Chiribella,</w:t>
      </w:r>
      <w:r>
        <w:rPr>
          <w:rFonts w:cs="Cambria Math" w:ascii="Cambria Math" w:hAnsi="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pStyle w:val="Normal"/>
        <w:spacing w:before="0" w:after="0"/>
        <w:contextualSpacing/>
        <w:rPr/>
      </w:pPr>
      <w:r>
        <w:rPr/>
      </w:r>
    </w:p>
    <w:p>
      <w:pPr>
        <w:pStyle w:val="Normal"/>
        <w:spacing w:before="0" w:after="0"/>
        <w:contextualSpacing/>
        <w:rPr/>
      </w:pPr>
      <w:r>
        <w:rPr/>
        <w:t xml:space="preserve">Abstract </w:t>
      </w:r>
    </w:p>
    <w:p>
      <w:pPr>
        <w:pStyle w:val="Normal"/>
        <w:spacing w:before="0" w:after="0"/>
        <w:contextualSpacing/>
        <w:rPr/>
      </w:pPr>
      <w:r>
        <w:rP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pStyle w:val="Normal"/>
        <w:spacing w:before="0" w:after="0"/>
        <w:contextualSpacing/>
        <w:rPr>
          <w:rFonts w:ascii="CMR10" w:hAnsi="CMR10" w:eastAsia="CMR10" w:cs="CMR10"/>
        </w:rPr>
      </w:pPr>
      <w:r>
        <w:rPr>
          <w:rFonts w:eastAsia="CMR10" w:cs="CMR10" w:ascii="CMR10" w:hAnsi="CMR10"/>
        </w:rPr>
      </w:r>
    </w:p>
    <w:p>
      <w:pPr>
        <w:pStyle w:val="Normal"/>
        <w:spacing w:before="0" w:after="0"/>
        <w:contextualSpacing/>
        <w:rPr/>
      </w:pPr>
      <w:r>
        <w:rP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pStyle w:val="Normal"/>
        <w:spacing w:before="0" w:after="0"/>
        <w:contextualSpacing/>
        <w:rPr/>
      </w:pPr>
      <w:r>
        <w:rPr/>
      </w:r>
    </w:p>
    <w:p>
      <w:pPr>
        <w:pStyle w:val="Normal"/>
        <w:spacing w:before="0" w:after="0"/>
        <w:contextualSpacing/>
        <w:rPr/>
      </w:pPr>
      <w:r>
        <w:rPr/>
        <w:t xml:space="preserve">Corollary 1 (Delayed reading principle) Every probabilistic quantum circuit is equivalent to a unitary circuit with a single orthogonal measurement at the output. </w:t>
      </w:r>
    </w:p>
    <w:p>
      <w:pPr>
        <w:pStyle w:val="Normal"/>
        <w:spacing w:before="0" w:after="0"/>
        <w:contextualSpacing/>
        <w:rPr/>
      </w:pPr>
      <w:r>
        <w:rP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pStyle w:val="Normal"/>
        <w:spacing w:before="0" w:after="0"/>
        <w:contextualSpacing/>
        <w:rPr/>
      </w:pPr>
      <w:r>
        <w:rPr/>
      </w:r>
    </w:p>
    <w:p>
      <w:pPr>
        <w:pStyle w:val="Normal"/>
        <w:spacing w:before="0" w:after="0"/>
        <w:contextualSpacing/>
        <w:rPr/>
      </w:pPr>
      <w:r>
        <w:rP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pStyle w:val="Normal"/>
        <w:spacing w:before="0" w:after="0"/>
        <w:contextualSpacing/>
        <w:rPr/>
      </w:pPr>
      <w:r>
        <w:rPr/>
      </w:r>
    </w:p>
    <w:p>
      <w:pPr>
        <w:pStyle w:val="Normal"/>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pStyle w:val="Normal"/>
        <w:spacing w:before="0" w:after="0"/>
        <w:contextualSpacing/>
        <w:rPr>
          <w:rFonts w:ascii="CMR10" w:hAnsi="CMR10" w:eastAsia="CMR10" w:cs="CMR10"/>
        </w:rPr>
      </w:pPr>
      <w:r>
        <w:rPr>
          <w:rFonts w:eastAsia="CMR10" w:cs="CMR10" w:ascii="CMR10" w:hAnsi="CMR10"/>
        </w:rPr>
      </w:r>
    </w:p>
    <w:p>
      <w:pPr>
        <w:pStyle w:val="ListParagraph"/>
        <w:numPr>
          <w:ilvl w:val="0"/>
          <w:numId w:val="31"/>
        </w:numPr>
        <w:spacing w:before="0" w:after="0"/>
        <w:ind w:left="0" w:right="0" w:hanging="360"/>
        <w:contextualSpacing/>
        <w:rPr/>
      </w:pPr>
      <w:r>
        <w:rPr>
          <w:rFonts w:eastAsia="CMR10" w:cs="CMR10" w:ascii="CMR10" w:hAnsi="CMR10"/>
          <w:b/>
          <w:sz w:val="28"/>
          <w:szCs w:val="28"/>
        </w:rPr>
        <w:t>Giulio Chiribella,</w:t>
      </w:r>
      <w:r>
        <w:rPr>
          <w:rFonts w:cs="CMR7" w:ascii="CMR7" w:hAnsi="CMR7"/>
          <w:b/>
          <w:sz w:val="28"/>
          <w:szCs w:val="28"/>
        </w:rPr>
        <w:t xml:space="preserve">1, </w:t>
      </w:r>
      <w:r>
        <w:rPr>
          <w:rFonts w:eastAsia="MS Gothic" w:cs="MS Gothic" w:ascii="MS Gothic" w:hAnsi="MS Gothic"/>
          <w:b/>
          <w:sz w:val="28"/>
          <w:szCs w:val="28"/>
        </w:rPr>
        <w:t>∗</w:t>
      </w:r>
      <w:r>
        <w:rPr>
          <w:rFonts w:eastAsia="CMSY7" w:cs="CMSY7" w:ascii="CMSY7" w:hAnsi="CMSY7"/>
          <w:b/>
          <w:sz w:val="28"/>
          <w:szCs w:val="28"/>
        </w:rPr>
        <w:t xml:space="preserve"> </w:t>
      </w:r>
      <w:r>
        <w:rPr>
          <w:rFonts w:eastAsia="CMR10" w:cs="CMR10" w:ascii="CMR10" w:hAnsi="CMR10"/>
          <w:b/>
          <w:sz w:val="28"/>
          <w:szCs w:val="28"/>
        </w:rPr>
        <w:t>Giacomo Mauro D’Ariano,</w:t>
      </w:r>
      <w:r>
        <w:rPr>
          <w:rFonts w:cs="CMR7" w:ascii="CMR7" w:hAnsi="CMR7"/>
          <w:b/>
          <w:sz w:val="28"/>
          <w:szCs w:val="28"/>
        </w:rPr>
        <w:t xml:space="preserve">2, </w:t>
      </w:r>
      <w:r>
        <w:rPr>
          <w:rFonts w:eastAsia="CMSY7" w:cs="CMSY7" w:ascii="CMSY7" w:hAnsi="CMSY7"/>
          <w:b/>
          <w:sz w:val="28"/>
          <w:szCs w:val="28"/>
        </w:rPr>
        <w:t xml:space="preserve">† </w:t>
      </w:r>
      <w:r>
        <w:rPr>
          <w:rFonts w:eastAsia="CMR10" w:cs="CMR10" w:ascii="CMR10" w:hAnsi="CMR10"/>
          <w:b/>
          <w:sz w:val="28"/>
          <w:szCs w:val="28"/>
        </w:rPr>
        <w:t>Paolo Perinotti,</w:t>
      </w:r>
      <w:r>
        <w:rPr>
          <w:rFonts w:cs="CMR7" w:ascii="CMR7" w:hAnsi="CMR7"/>
          <w:b/>
          <w:sz w:val="28"/>
          <w:szCs w:val="28"/>
        </w:rPr>
        <w:t xml:space="preserve">2, </w:t>
      </w:r>
      <w:r>
        <w:rPr>
          <w:rFonts w:eastAsia="CMSY7" w:cs="CMSY7" w:ascii="CMSY7" w:hAnsi="CMSY7"/>
          <w:b/>
          <w:sz w:val="28"/>
          <w:szCs w:val="28"/>
        </w:rPr>
        <w:t xml:space="preserve">‡ </w:t>
      </w:r>
      <w:r>
        <w:rPr>
          <w:rFonts w:eastAsia="CMR10" w:cs="CMR10" w:ascii="CMR10" w:hAnsi="CMR10"/>
          <w:b/>
          <w:sz w:val="28"/>
          <w:szCs w:val="28"/>
        </w:rPr>
        <w:t>and Benoit Valiron</w:t>
      </w:r>
      <w:r>
        <w:rPr>
          <w:rFonts w:cs="CMR7" w:ascii="CMR7" w:hAnsi="CMR7"/>
          <w:b/>
          <w:sz w:val="28"/>
          <w:szCs w:val="28"/>
        </w:rPr>
        <w:t xml:space="preserve">3, </w:t>
      </w:r>
      <w:r>
        <w:rPr>
          <w:rFonts w:eastAsia="CMSY7" w:cs="CMSY7" w:ascii="CMSY7" w:hAnsi="CMSY7"/>
          <w:b/>
          <w:sz w:val="28"/>
          <w:szCs w:val="28"/>
        </w:rPr>
        <w:t xml:space="preserve">§ </w:t>
      </w:r>
      <w:r>
        <w:rPr>
          <w:rFonts w:cs="CMBX12" w:ascii="CMBX12" w:hAnsi="CMBX12"/>
          <w:b/>
          <w:sz w:val="28"/>
          <w:szCs w:val="28"/>
        </w:rPr>
        <w:t xml:space="preserve">(2013), Quantum computations without definite causal structure, at </w:t>
      </w:r>
      <w:hyperlink r:id="rId463">
        <w:r>
          <w:rPr>
            <w:rStyle w:val="InternetLink"/>
            <w:rFonts w:cs="CMBX12" w:ascii="CMBX12" w:hAnsi="CMBX12"/>
            <w:sz w:val="28"/>
            <w:szCs w:val="28"/>
          </w:rPr>
          <w:t>https://arxiv.org/abs/0912.0195v4</w:t>
        </w:r>
      </w:hyperlink>
    </w:p>
    <w:p>
      <w:pPr>
        <w:pStyle w:val="Normal"/>
        <w:spacing w:before="0" w:after="0"/>
        <w:contextualSpacing/>
        <w:rPr>
          <w:rFonts w:ascii="CMBX12" w:hAnsi="CMBX12" w:cs="CMBX12"/>
        </w:rPr>
      </w:pPr>
      <w:r>
        <w:rPr>
          <w:rFonts w:cs="CMBX12" w:ascii="CMBX12" w:hAnsi="CMBX12"/>
        </w:rPr>
      </w:r>
    </w:p>
    <w:p>
      <w:pPr>
        <w:pStyle w:val="Normal"/>
        <w:spacing w:before="0" w:after="0"/>
        <w:contextualSpacing/>
        <w:jc w:val="left"/>
        <w:rPr>
          <w:rFonts w:ascii="CMR10" w:hAnsi="CMR10" w:eastAsia="CMR10" w:cs="CMR10"/>
        </w:rPr>
      </w:pPr>
      <w:r>
        <w:rPr>
          <w:rFonts w:eastAsia="CMR10" w:cs="CMR10" w:ascii="CMR10" w:hAnsi="CMR10"/>
        </w:rPr>
        <w:t>In this paper we provide a counterexample, showing</w:t>
      </w:r>
    </w:p>
    <w:p>
      <w:pPr>
        <w:pStyle w:val="Normal"/>
        <w:spacing w:before="0" w:after="0"/>
        <w:contextualSpacing/>
        <w:jc w:val="left"/>
        <w:rPr>
          <w:rFonts w:ascii="CMR10" w:hAnsi="CMR10" w:eastAsia="CMR10" w:cs="CMR10"/>
        </w:rPr>
      </w:pPr>
      <w:r>
        <w:rPr>
          <w:rFonts w:eastAsia="CMR10" w:cs="CMR10" w:ascii="CMR10" w:hAnsi="CMR10"/>
        </w:rPr>
        <w:t>that there exist higher-order computations that are admissible</w:t>
      </w:r>
    </w:p>
    <w:p>
      <w:pPr>
        <w:pStyle w:val="Normal"/>
        <w:spacing w:before="0" w:after="0"/>
        <w:contextualSpacing/>
        <w:jc w:val="left"/>
        <w:rPr>
          <w:rFonts w:ascii="CMR10" w:hAnsi="CMR10" w:eastAsia="CMR10" w:cs="CMR10"/>
        </w:rPr>
      </w:pPr>
      <w:r>
        <w:rPr>
          <w:rFonts w:eastAsia="CMR10" w:cs="CMR10" w:ascii="CMR10" w:hAnsi="CMR10"/>
        </w:rPr>
        <w:t>in principle—i.e. their existence does not lead to</w:t>
      </w:r>
    </w:p>
    <w:p>
      <w:pPr>
        <w:pStyle w:val="Normal"/>
        <w:spacing w:before="0" w:after="0"/>
        <w:contextualSpacing/>
        <w:jc w:val="left"/>
        <w:rPr>
          <w:rFonts w:ascii="CMR10" w:hAnsi="CMR10" w:eastAsia="CMR10" w:cs="CMR10"/>
        </w:rPr>
      </w:pPr>
      <w:r>
        <w:rPr>
          <w:rFonts w:eastAsia="CMR10" w:cs="CMR10" w:ascii="CMR10" w:hAnsi="CMR10"/>
        </w:rPr>
        <w:t>any paradoxical or unphysical effect—and yet cannot be</w:t>
      </w:r>
    </w:p>
    <w:p>
      <w:pPr>
        <w:pStyle w:val="Normal"/>
        <w:spacing w:before="0" w:after="0"/>
        <w:contextualSpacing/>
        <w:jc w:val="left"/>
        <w:rPr>
          <w:rFonts w:ascii="CMR10" w:hAnsi="CMR10" w:eastAsia="CMR10" w:cs="CMR10"/>
        </w:rPr>
      </w:pPr>
      <w:r>
        <w:rPr>
          <w:rFonts w:eastAsia="CMR10" w:cs="CMR10" w:ascii="CMR10" w:hAnsi="CMR10"/>
        </w:rPr>
        <w:t>realized by inserting a single use of the input black box in</w:t>
      </w:r>
    </w:p>
    <w:p>
      <w:pPr>
        <w:pStyle w:val="Normal"/>
        <w:spacing w:before="0" w:after="0"/>
        <w:contextualSpacing/>
        <w:jc w:val="left"/>
        <w:rPr>
          <w:rFonts w:ascii="CMR10" w:hAnsi="CMR10" w:eastAsia="CMR10" w:cs="CMR10"/>
        </w:rPr>
      </w:pPr>
      <w:r>
        <w:rPr>
          <w:rFonts w:eastAsia="CMR10" w:cs="CMR10" w:ascii="CMR10" w:hAnsi="CMR10"/>
        </w:rPr>
        <w:t>a quantum circuit with fixed causal ordering of the gates.</w:t>
      </w:r>
    </w:p>
    <w:p>
      <w:pPr>
        <w:pStyle w:val="Normal"/>
        <w:spacing w:before="0" w:after="0"/>
        <w:contextualSpacing/>
        <w:jc w:val="left"/>
        <w:rPr>
          <w:rFonts w:ascii="CMR10" w:hAnsi="CMR10" w:eastAsia="CMR10" w:cs="CMR10"/>
        </w:rPr>
      </w:pPr>
      <w:r>
        <w:rPr>
          <w:rFonts w:eastAsia="CMR10" w:cs="CMR10" w:ascii="CMR10" w:hAnsi="CMR10"/>
        </w:rPr>
        <w:t>Our counterexample consists in the execution of the program</w:t>
      </w:r>
    </w:p>
    <w:p>
      <w:pPr>
        <w:pStyle w:val="Normal"/>
        <w:spacing w:before="0" w:after="0"/>
        <w:contextualSpacing/>
        <w:jc w:val="left"/>
        <w:rPr/>
      </w:pPr>
      <w:r>
        <w:rPr>
          <w:rFonts w:eastAsia="CMR10" w:cs="CMTT10" w:ascii="CMTT10" w:hAnsi="CMTT10"/>
        </w:rPr>
        <w:t>SWITCH</w:t>
      </w:r>
      <w:r>
        <w:rPr>
          <w:rFonts w:eastAsia="CMR10" w:cs="CMR10" w:ascii="CMR10" w:hAnsi="CMR10"/>
        </w:rPr>
        <w:t xml:space="preserve">, where a pair of input black boxes </w:t>
      </w:r>
      <w:r>
        <w:rPr>
          <w:rFonts w:eastAsia="CMSY10" w:cs="CMSY10" w:ascii="CMSY10" w:hAnsi="CMSY10"/>
        </w:rPr>
        <w:t xml:space="preserve">A </w:t>
      </w:r>
      <w:r>
        <w:rPr>
          <w:rFonts w:eastAsia="CMR10" w:cs="CMR10" w:ascii="CMR10" w:hAnsi="CMR10"/>
        </w:rPr>
        <w:t xml:space="preserve">and </w:t>
      </w:r>
      <w:r>
        <w:rPr>
          <w:rFonts w:eastAsia="CMSY10" w:cs="CMSY10" w:ascii="CMSY10" w:hAnsi="CMSY10"/>
        </w:rPr>
        <w:t xml:space="preserve">B </w:t>
      </w:r>
      <w:r>
        <w:rPr>
          <w:rFonts w:eastAsia="CMR10" w:cs="CMR10" w:ascii="CMR10" w:hAnsi="CMR10"/>
        </w:rPr>
        <w:t>are connected in two different orders (</w:t>
      </w:r>
      <w:r>
        <w:rPr>
          <w:rFonts w:eastAsia="CMSY10" w:cs="CMSY10" w:ascii="CMSY10" w:hAnsi="CMSY10"/>
        </w:rPr>
        <w:t xml:space="preserve">BA </w:t>
      </w:r>
      <w:r>
        <w:rPr>
          <w:rFonts w:eastAsia="CMR10" w:cs="CMR10" w:ascii="CMR10" w:hAnsi="CMR10"/>
        </w:rPr>
        <w:t xml:space="preserve">vs. </w:t>
      </w:r>
      <w:r>
        <w:rPr>
          <w:rFonts w:eastAsia="CMSY10" w:cs="CMSY10" w:ascii="CMSY10" w:hAnsi="CMSY10"/>
        </w:rPr>
        <w:t>AB</w:t>
      </w:r>
      <w:r>
        <w:rPr>
          <w:rFonts w:eastAsia="CMR10" w:cs="CMR10" w:ascii="CMR10" w:hAnsi="CMR10"/>
        </w:rPr>
        <w:t>) conditionally</w:t>
      </w:r>
    </w:p>
    <w:p>
      <w:pPr>
        <w:pStyle w:val="Normal"/>
        <w:spacing w:before="0" w:after="0"/>
        <w:contextualSpacing/>
        <w:jc w:val="left"/>
        <w:rPr>
          <w:rFonts w:ascii="CMR10" w:hAnsi="CMR10" w:eastAsia="CMR10" w:cs="CMR10"/>
        </w:rPr>
      </w:pPr>
      <w:r>
        <w:rPr>
          <w:rFonts w:eastAsia="CMR10" w:cs="CMR10" w:ascii="CMR10" w:hAnsi="CMR10"/>
        </w:rPr>
        <w:t>on the value of an input bit. The impossibility</w:t>
      </w:r>
    </w:p>
    <w:p>
      <w:pPr>
        <w:pStyle w:val="Normal"/>
        <w:spacing w:before="0" w:after="0"/>
        <w:contextualSpacing/>
        <w:jc w:val="left"/>
        <w:rPr>
          <w:rFonts w:ascii="CMR10" w:hAnsi="CMR10" w:eastAsia="CMR10" w:cs="CMR10"/>
        </w:rPr>
      </w:pPr>
      <w:r>
        <w:rPr>
          <w:rFonts w:eastAsia="CMR10" w:cs="CMR10" w:ascii="CMR10" w:hAnsi="CMR10"/>
        </w:rPr>
        <w:t>of realizing the switch by simple insertion of the black</w:t>
      </w:r>
    </w:p>
    <w:p>
      <w:pPr>
        <w:pStyle w:val="Normal"/>
        <w:spacing w:before="0" w:after="0"/>
        <w:contextualSpacing/>
        <w:jc w:val="left"/>
        <w:rPr/>
      </w:pPr>
      <w:r>
        <w:rPr>
          <w:rFonts w:eastAsia="CMR10" w:cs="CMR10" w:ascii="CMR10" w:hAnsi="CMR10"/>
        </w:rPr>
        <w:t xml:space="preserve">boxes </w:t>
      </w:r>
      <w:r>
        <w:rPr>
          <w:rFonts w:eastAsia="CMSY10" w:cs="CMSY10" w:ascii="CMSY10" w:hAnsi="CMSY10"/>
        </w:rPr>
        <w:t>A</w:t>
      </w:r>
      <w:r>
        <w:rPr>
          <w:rFonts w:eastAsia="CMR10" w:cs="CMMI10" w:ascii="CMMI10" w:hAnsi="CMMI10"/>
        </w:rPr>
        <w:t xml:space="preserve">, </w:t>
      </w:r>
      <w:r>
        <w:rPr>
          <w:rFonts w:eastAsia="CMSY10" w:cs="CMSY10" w:ascii="CMSY10" w:hAnsi="CMSY10"/>
        </w:rPr>
        <w:t xml:space="preserve">B </w:t>
      </w:r>
      <w:r>
        <w:rPr>
          <w:rFonts w:eastAsia="CMR10" w:cs="CMR10" w:ascii="CMR10" w:hAnsi="CMR10"/>
        </w:rPr>
        <w:t>in a quantum circuit is based on the fact that</w:t>
      </w:r>
    </w:p>
    <w:p>
      <w:pPr>
        <w:pStyle w:val="Normal"/>
        <w:spacing w:before="0" w:after="0"/>
        <w:contextualSpacing/>
        <w:jc w:val="left"/>
        <w:rPr>
          <w:rFonts w:ascii="CMR10" w:hAnsi="CMR10" w:eastAsia="CMR10" w:cs="CMR10"/>
        </w:rPr>
      </w:pPr>
      <w:r>
        <w:rPr>
          <w:rFonts w:eastAsia="CMR10" w:cs="CMR10" w:ascii="CMR10" w:hAnsi="CMR10"/>
        </w:rPr>
        <w:t>such a realization would be equivalent the realization of a</w:t>
      </w:r>
    </w:p>
    <w:p>
      <w:pPr>
        <w:pStyle w:val="Normal"/>
        <w:spacing w:before="0" w:after="0"/>
        <w:contextualSpacing/>
        <w:jc w:val="left"/>
        <w:rPr>
          <w:rFonts w:ascii="CMR10" w:hAnsi="CMR10" w:eastAsia="CMR10" w:cs="CMR10"/>
        </w:rPr>
      </w:pPr>
      <w:r>
        <w:rPr>
          <w:rFonts w:eastAsia="CMR10" w:cs="CMR10" w:ascii="CMR10" w:hAnsi="CMR10"/>
        </w:rPr>
        <w:t>time-travel machine, and therefore would violate causality.</w:t>
      </w:r>
    </w:p>
    <w:p>
      <w:pPr>
        <w:pStyle w:val="Normal"/>
        <w:spacing w:before="0" w:after="0"/>
        <w:contextualSpacing/>
        <w:jc w:val="left"/>
        <w:rPr>
          <w:rFonts w:ascii="CMR10" w:hAnsi="CMR10" w:eastAsia="CMR10" w:cs="CMR10"/>
        </w:rPr>
      </w:pPr>
      <w:r>
        <w:rPr>
          <w:rFonts w:eastAsia="CMR10" w:cs="CMR10" w:ascii="CMR10" w:hAnsi="CMR10"/>
        </w:rPr>
        <w:t>On the other hand, if we give up the requirement</w:t>
      </w:r>
    </w:p>
    <w:p>
      <w:pPr>
        <w:pStyle w:val="Normal"/>
        <w:spacing w:before="0" w:after="0"/>
        <w:contextualSpacing/>
        <w:jc w:val="left"/>
        <w:rPr>
          <w:rFonts w:ascii="CMR10" w:hAnsi="CMR10" w:eastAsia="CMR10" w:cs="CMR10"/>
        </w:rPr>
      </w:pPr>
      <w:r>
        <w:rPr>
          <w:rFonts w:eastAsia="CMR10" w:cs="CMR10" w:ascii="CMR10" w:hAnsi="CMR10"/>
        </w:rPr>
        <w:t>that the computation be realized by inserting the boxes</w:t>
      </w:r>
    </w:p>
    <w:p>
      <w:pPr>
        <w:pStyle w:val="Normal"/>
        <w:spacing w:before="0" w:after="0"/>
        <w:contextualSpacing/>
        <w:jc w:val="left"/>
        <w:rPr/>
      </w:pPr>
      <w:r>
        <w:rPr>
          <w:rFonts w:eastAsia="CMSY10" w:cs="CMSY10" w:ascii="CMSY10" w:hAnsi="CMSY10"/>
        </w:rPr>
        <w:t>A</w:t>
      </w:r>
      <w:r>
        <w:rPr>
          <w:rFonts w:eastAsia="CMR10" w:cs="CMMI10" w:ascii="CMMI10" w:hAnsi="CMMI10"/>
        </w:rPr>
        <w:t xml:space="preserve">, </w:t>
      </w:r>
      <w:r>
        <w:rPr>
          <w:rFonts w:eastAsia="CMSY10" w:cs="CMSY10" w:ascii="CMSY10" w:hAnsi="CMSY10"/>
        </w:rPr>
        <w:t xml:space="preserve">B </w:t>
      </w:r>
      <w:r>
        <w:rPr>
          <w:rFonts w:eastAsia="CMR10" w:cs="CMR10" w:ascii="CMR10" w:hAnsi="CMR10"/>
        </w:rPr>
        <w:t xml:space="preserve">in a circuit </w:t>
      </w:r>
      <w:r>
        <w:rPr>
          <w:rFonts w:eastAsia="CMR10" w:cs="CMTI10" w:ascii="CMTI10" w:hAnsi="CMTI10"/>
        </w:rPr>
        <w:t>in a definite order</w:t>
      </w:r>
      <w:r>
        <w:rPr>
          <w:rFonts w:eastAsia="CMR10" w:cs="CMR10" w:ascii="CMR10" w:hAnsi="CMR10"/>
        </w:rPr>
        <w:t>, then there are quite</w:t>
      </w:r>
    </w:p>
    <w:p>
      <w:pPr>
        <w:pStyle w:val="Normal"/>
        <w:spacing w:before="0" w:after="0"/>
        <w:contextualSpacing/>
        <w:jc w:val="left"/>
        <w:rPr>
          <w:rFonts w:ascii="CMR10" w:hAnsi="CMR10" w:eastAsia="CMR10" w:cs="CMR10"/>
        </w:rPr>
      </w:pPr>
      <w:r>
        <w:rPr>
          <w:rFonts w:eastAsia="CMR10" w:cs="CMR10" w:ascii="CMR10" w:hAnsi="CMR10"/>
        </w:rPr>
        <w:t>simple ways to realize the switch in a quantum laboratory,</w:t>
      </w:r>
    </w:p>
    <w:p>
      <w:pPr>
        <w:pStyle w:val="Normal"/>
        <w:spacing w:before="0" w:after="0"/>
        <w:contextualSpacing/>
        <w:jc w:val="left"/>
        <w:rPr>
          <w:rFonts w:ascii="CMR10" w:hAnsi="CMR10" w:eastAsia="CMR10" w:cs="CMR10"/>
        </w:rPr>
      </w:pPr>
      <w:r>
        <w:rPr>
          <w:rFonts w:eastAsia="CMR10" w:cs="CMR10" w:ascii="CMR10" w:hAnsi="CMR10"/>
        </w:rPr>
        <w:t>designing quantum circuits where the geometry of</w:t>
      </w:r>
    </w:p>
    <w:p>
      <w:pPr>
        <w:pStyle w:val="Normal"/>
        <w:spacing w:before="0" w:after="0"/>
        <w:contextualSpacing/>
        <w:jc w:val="left"/>
        <w:rPr>
          <w:rFonts w:ascii="CMR10" w:hAnsi="CMR10" w:eastAsia="CMR10" w:cs="CMR10"/>
        </w:rPr>
      </w:pPr>
      <w:r>
        <w:rPr>
          <w:rFonts w:eastAsia="CMR10" w:cs="CMR10" w:ascii="CMR10" w:hAnsi="CMR10"/>
        </w:rPr>
        <w:t>the connections can be entangled with the state of a control</w:t>
      </w:r>
    </w:p>
    <w:p>
      <w:pPr>
        <w:pStyle w:val="Normal"/>
        <w:spacing w:before="0" w:after="0"/>
        <w:contextualSpacing/>
        <w:jc w:val="left"/>
        <w:rPr>
          <w:rFonts w:ascii="CMR10" w:hAnsi="CMR10" w:eastAsia="CMR10" w:cs="CMR10"/>
        </w:rPr>
      </w:pPr>
      <w:r>
        <w:rPr>
          <w:rFonts w:eastAsia="CMR10" w:cs="CMR10" w:ascii="CMR10" w:hAnsi="CMR10"/>
        </w:rPr>
        <w:t>qubit. A similar kind of macroscopic entanglement</w:t>
      </w:r>
    </w:p>
    <w:p>
      <w:pPr>
        <w:pStyle w:val="Normal"/>
        <w:spacing w:before="0" w:after="0"/>
        <w:contextualSpacing/>
        <w:jc w:val="left"/>
        <w:rPr>
          <w:rFonts w:ascii="CMR10" w:hAnsi="CMR10" w:eastAsia="CMR10" w:cs="CMR10"/>
        </w:rPr>
      </w:pPr>
      <w:r>
        <w:rPr>
          <w:rFonts w:eastAsia="CMR10" w:cs="CMR10" w:ascii="CMR10" w:hAnsi="CMR10"/>
        </w:rPr>
        <w:t>is receiving increasing attention thanks to recent experimental</w:t>
      </w:r>
    </w:p>
    <w:p>
      <w:pPr>
        <w:pStyle w:val="Normal"/>
        <w:spacing w:before="0" w:after="0"/>
        <w:contextualSpacing/>
        <w:jc w:val="left"/>
        <w:rPr>
          <w:rFonts w:ascii="CMR10" w:hAnsi="CMR10" w:eastAsia="CMR10" w:cs="CMR10"/>
        </w:rPr>
      </w:pPr>
      <w:r>
        <w:rPr>
          <w:rFonts w:eastAsia="CMR10" w:cs="CMR10" w:ascii="CMR10" w:hAnsi="CMR10"/>
        </w:rPr>
        <w:t>breakthroughs in optomechanics [14–16] and in</w:t>
      </w:r>
    </w:p>
    <w:p>
      <w:pPr>
        <w:pStyle w:val="Normal"/>
        <w:spacing w:before="0" w:after="0"/>
        <w:contextualSpacing/>
        <w:rPr>
          <w:rFonts w:ascii="CMR10" w:hAnsi="CMR10" w:eastAsia="CMR10" w:cs="CMR10"/>
        </w:rPr>
      </w:pPr>
      <w:r>
        <w:rPr>
          <w:rFonts w:eastAsia="CMR10" w:cs="CMR10" w:ascii="CMR10" w:hAnsi="CMR10"/>
        </w:rPr>
        <w:t>quantum optics [17]. (p. 1)</w:t>
      </w:r>
    </w:p>
    <w:p>
      <w:pPr>
        <w:pStyle w:val="Normal"/>
        <w:spacing w:before="0" w:after="0"/>
        <w:contextualSpacing/>
        <w:rPr>
          <w:rFonts w:ascii="CMR10" w:hAnsi="CMR10" w:eastAsia="CMR10" w:cs="CMR10"/>
        </w:rPr>
      </w:pPr>
      <w:r>
        <w:rPr>
          <w:rFonts w:eastAsia="CMR10" w:cs="CMR10" w:ascii="CMR10" w:hAnsi="CMR10"/>
        </w:rPr>
      </w:r>
    </w:p>
    <w:p>
      <w:pPr>
        <w:pStyle w:val="Normal"/>
        <w:spacing w:before="0" w:after="0"/>
        <w:contextualSpacing/>
        <w:rPr>
          <w:rFonts w:ascii="CMR10" w:hAnsi="CMR10" w:eastAsia="CMR10" w:cs="CMR10"/>
          <w:color w:val="FF0000"/>
        </w:rPr>
      </w:pPr>
      <w:r>
        <w:rPr>
          <w:rFonts w:eastAsia="CMR10" w:cs="CMR10" w:ascii="CMR10" w:hAnsi="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pStyle w:val="Normal"/>
        <w:spacing w:before="0" w:after="0"/>
        <w:contextualSpacing/>
        <w:rPr>
          <w:rFonts w:ascii="CMR10" w:hAnsi="CMR10" w:eastAsia="CMR10" w:cs="CMR10"/>
          <w:color w:val="FF0000"/>
        </w:rPr>
      </w:pPr>
      <w:r>
        <w:rPr>
          <w:rFonts w:eastAsia="CMR10" w:cs="CMR10" w:ascii="CMR10" w:hAnsi="CMR10"/>
          <w:color w:val="FF0000"/>
        </w:rPr>
      </w:r>
    </w:p>
    <w:p>
      <w:pPr>
        <w:pStyle w:val="Normal"/>
        <w:spacing w:before="0" w:after="0"/>
        <w:contextualSpacing/>
        <w:rPr>
          <w:rFonts w:ascii="CMR10" w:hAnsi="CMR10" w:eastAsia="CMR10" w:cs="CMR10"/>
          <w:color w:val="FF0000"/>
        </w:rPr>
      </w:pPr>
      <w:r>
        <w:rPr>
          <w:rFonts w:eastAsia="CMR10" w:cs="CMR10" w:ascii="CMR10" w:hAnsi="CMR10"/>
          <w:color w:val="FF0000"/>
        </w:rPr>
      </w:r>
    </w:p>
    <w:p>
      <w:pPr>
        <w:pStyle w:val="Normal"/>
        <w:spacing w:before="0" w:after="0"/>
        <w:contextualSpacing/>
        <w:jc w:val="left"/>
        <w:rPr>
          <w:rFonts w:ascii="CMR10" w:hAnsi="CMR10" w:eastAsia="CMR10" w:cs="CMR10"/>
        </w:rPr>
      </w:pPr>
      <w:r>
        <w:rPr>
          <w:rFonts w:eastAsia="CMR10" w:cs="CMR10" w:ascii="CMR10" w:hAnsi="CMR10"/>
        </w:rPr>
        <w:t>The first concrete example of a task that can be accomplished</w:t>
      </w:r>
    </w:p>
    <w:p>
      <w:pPr>
        <w:pStyle w:val="Normal"/>
        <w:spacing w:before="0" w:after="0"/>
        <w:contextualSpacing/>
        <w:jc w:val="left"/>
        <w:rPr>
          <w:rFonts w:ascii="CMR10" w:hAnsi="CMR10" w:eastAsia="CMR10" w:cs="CMR10"/>
        </w:rPr>
      </w:pPr>
      <w:r>
        <w:rPr>
          <w:rFonts w:eastAsia="CMR10" w:cs="CMR10" w:ascii="CMR10" w:hAnsi="CMR10"/>
        </w:rPr>
        <w:t>only in the absence of a pre-defined causal</w:t>
      </w:r>
    </w:p>
    <w:p>
      <w:pPr>
        <w:pStyle w:val="Normal"/>
        <w:spacing w:before="0" w:after="0"/>
        <w:contextualSpacing/>
        <w:jc w:val="left"/>
        <w:rPr/>
      </w:pPr>
      <w:r>
        <w:rPr>
          <w:rFonts w:eastAsia="CMR10" w:cs="CMR10" w:ascii="CMR10" w:hAnsi="CMR10"/>
        </w:rPr>
        <w:t xml:space="preserve">structure has been the execution of the program </w:t>
      </w:r>
      <w:r>
        <w:rPr>
          <w:rFonts w:eastAsia="CMR10" w:cs="CMTT10" w:ascii="CMTT10" w:hAnsi="CMTT10"/>
        </w:rPr>
        <w:t>SWITCH</w:t>
      </w:r>
      <w:r>
        <w:rPr>
          <w:rFonts w:eastAsia="CMR10" w:cs="CMR10" w:ascii="CMR10" w:hAnsi="CMR10"/>
        </w:rPr>
        <w:t>,</w:t>
      </w:r>
    </w:p>
    <w:p>
      <w:pPr>
        <w:pStyle w:val="Normal"/>
        <w:spacing w:before="0" w:after="0"/>
        <w:contextualSpacing/>
        <w:jc w:val="left"/>
        <w:rPr>
          <w:rFonts w:ascii="CMR10" w:hAnsi="CMR10" w:eastAsia="CMR10" w:cs="CMR10"/>
        </w:rPr>
      </w:pPr>
      <w:r>
        <w:rPr>
          <w:rFonts w:eastAsia="CMR10" w:cs="CMR10" w:ascii="CMR10" w:hAnsi="CMR10"/>
        </w:rPr>
        <w:t>which was introduced in Ref. [19], of which the present</w:t>
      </w:r>
    </w:p>
    <w:p>
      <w:pPr>
        <w:pStyle w:val="Normal"/>
        <w:spacing w:before="0" w:after="0"/>
        <w:contextualSpacing/>
        <w:jc w:val="left"/>
        <w:rPr>
          <w:rFonts w:ascii="CMR10" w:hAnsi="CMR10" w:eastAsia="CMR10" w:cs="CMR10"/>
        </w:rPr>
      </w:pPr>
      <w:r>
        <w:rPr>
          <w:rFonts w:eastAsia="CMR10" w:cs="CMR10" w:ascii="CMR10" w:hAnsi="CMR10"/>
        </w:rPr>
        <w:t>paper is an extended elaboration. It is important to note,</w:t>
      </w:r>
    </w:p>
    <w:p>
      <w:pPr>
        <w:pStyle w:val="Normal"/>
        <w:spacing w:before="0" w:after="0"/>
        <w:contextualSpacing/>
        <w:jc w:val="left"/>
        <w:rPr/>
      </w:pPr>
      <w:r>
        <w:rPr>
          <w:rFonts w:eastAsia="CMR10" w:cs="CMR10" w:ascii="CMR10" w:hAnsi="CMR10"/>
        </w:rPr>
        <w:t xml:space="preserve">however, that the program </w:t>
      </w:r>
      <w:r>
        <w:rPr>
          <w:rFonts w:eastAsia="CMR10" w:cs="CMTT10" w:ascii="CMTT10" w:hAnsi="CMTT10"/>
        </w:rPr>
        <w:t xml:space="preserve">SWITCH </w:t>
      </w:r>
      <w:r>
        <w:rPr>
          <w:rFonts w:eastAsia="CMR10" w:cs="CMR10" w:ascii="CMR10" w:hAnsi="CMR10"/>
        </w:rPr>
        <w:t>can be simulated by</w:t>
      </w:r>
    </w:p>
    <w:p>
      <w:pPr>
        <w:pStyle w:val="Normal"/>
        <w:spacing w:before="0" w:after="0"/>
        <w:contextualSpacing/>
        <w:jc w:val="left"/>
        <w:rPr>
          <w:rFonts w:ascii="CMR10" w:hAnsi="CMR10" w:eastAsia="CMR10" w:cs="CMR10"/>
        </w:rPr>
      </w:pPr>
      <w:r>
        <w:rPr>
          <w:rFonts w:eastAsia="CMR10" w:cs="CMR10" w:ascii="CMR10" w:hAnsi="CMR10"/>
        </w:rPr>
        <w:t>using one extra query to the input black boxes (cf. section</w:t>
      </w:r>
    </w:p>
    <w:p>
      <w:pPr>
        <w:pStyle w:val="Normal"/>
        <w:spacing w:before="0" w:after="0"/>
        <w:contextualSpacing/>
        <w:jc w:val="left"/>
        <w:rPr>
          <w:rFonts w:ascii="CMR10" w:hAnsi="CMR10" w:eastAsia="CMR10" w:cs="CMR10"/>
        </w:rPr>
      </w:pPr>
      <w:r>
        <w:rPr>
          <w:rFonts w:eastAsia="CMR10" w:cs="CMR10" w:ascii="CMR10" w:hAnsi="CMR10"/>
        </w:rPr>
        <w:t>V of this paper). This means that quantum circuits</w:t>
      </w:r>
    </w:p>
    <w:p>
      <w:pPr>
        <w:pStyle w:val="Normal"/>
        <w:spacing w:before="0" w:after="0"/>
        <w:contextualSpacing/>
        <w:jc w:val="left"/>
        <w:rPr/>
      </w:pPr>
      <w:r>
        <w:rPr>
          <w:rFonts w:eastAsia="CMR10" w:cs="CMR10" w:ascii="CMR10" w:hAnsi="CMR10"/>
        </w:rPr>
        <w:t xml:space="preserve">powered by the quantum </w:t>
      </w:r>
      <w:r>
        <w:rPr>
          <w:rFonts w:eastAsia="CMR10" w:cs="CMTT10" w:ascii="CMTT10" w:hAnsi="CMTT10"/>
        </w:rPr>
        <w:t xml:space="preserve">SWITCH </w:t>
      </w:r>
      <w:r>
        <w:rPr>
          <w:rFonts w:eastAsia="CMR10" w:cs="CMR10" w:ascii="CMR10" w:hAnsi="CMR10"/>
        </w:rPr>
        <w:t>are equivalent to ordinary</w:t>
      </w:r>
    </w:p>
    <w:p>
      <w:pPr>
        <w:pStyle w:val="Normal"/>
        <w:spacing w:before="0" w:after="0"/>
        <w:contextualSpacing/>
        <w:jc w:val="left"/>
        <w:rPr>
          <w:rFonts w:ascii="CMR10" w:hAnsi="CMR10" w:eastAsia="CMR10" w:cs="CMR10"/>
        </w:rPr>
      </w:pPr>
      <w:r>
        <w:rPr>
          <w:rFonts w:eastAsia="CMR10" w:cs="CMR10" w:ascii="CMR10" w:hAnsi="CMR10"/>
        </w:rPr>
        <w:t>quantum circuits in the complexity-theoretic sense.</w:t>
      </w:r>
    </w:p>
    <w:p>
      <w:pPr>
        <w:pStyle w:val="Normal"/>
        <w:spacing w:before="0" w:after="0"/>
        <w:contextualSpacing/>
        <w:jc w:val="left"/>
        <w:rPr/>
      </w:pPr>
      <w:r>
        <w:rPr>
          <w:rFonts w:eastAsia="CMR10" w:cs="CMR10" w:ascii="CMR10" w:hAnsi="CMR10"/>
        </w:rPr>
        <w:t xml:space="preserve">Nevertheless, having access to the quantum </w:t>
      </w:r>
      <w:r>
        <w:rPr>
          <w:rFonts w:eastAsia="CMR10" w:cs="CMTT10" w:ascii="CMTT10" w:hAnsi="CMTT10"/>
        </w:rPr>
        <w:t xml:space="preserve">SWITCH </w:t>
      </w:r>
      <w:r>
        <w:rPr>
          <w:rFonts w:eastAsia="CMR10" w:cs="CMR10" w:ascii="CMR10" w:hAnsi="CMR10"/>
        </w:rPr>
        <w:t>of fers advantages in information processing: for example,</w:t>
      </w:r>
    </w:p>
    <w:p>
      <w:pPr>
        <w:pStyle w:val="Normal"/>
        <w:spacing w:before="0" w:after="0"/>
        <w:contextualSpacing/>
        <w:jc w:val="left"/>
        <w:rPr>
          <w:rFonts w:ascii="CMR10" w:hAnsi="CMR10" w:eastAsia="CMR10" w:cs="CMR10"/>
        </w:rPr>
      </w:pPr>
      <w:r>
        <w:rPr>
          <w:rFonts w:eastAsia="CMR10" w:cs="CMR10" w:ascii="CMR10" w:hAnsi="CMR10"/>
        </w:rPr>
        <w:t>Ref. [20] demonstrated such an advantage in a black</w:t>
      </w:r>
    </w:p>
    <w:p>
      <w:pPr>
        <w:pStyle w:val="Normal"/>
        <w:spacing w:before="0" w:after="0"/>
        <w:contextualSpacing/>
        <w:jc w:val="left"/>
        <w:rPr>
          <w:rFonts w:ascii="CMR10" w:hAnsi="CMR10" w:eastAsia="CMR10" w:cs="CMR10"/>
        </w:rPr>
      </w:pPr>
      <w:r>
        <w:rPr>
          <w:rFonts w:eastAsia="CMR10" w:cs="CMR10" w:ascii="CMR10" w:hAnsi="CMR10"/>
        </w:rPr>
        <w:t>box discrimination problem, while Ref. [21] exhibited a</w:t>
      </w:r>
    </w:p>
    <w:p>
      <w:pPr>
        <w:pStyle w:val="Normal"/>
        <w:spacing w:before="0" w:after="0"/>
        <w:contextualSpacing/>
        <w:jc w:val="left"/>
        <w:rPr/>
      </w:pPr>
      <w:r>
        <w:rPr>
          <w:rFonts w:eastAsia="CMR10" w:cs="CMR10" w:ascii="CMR10" w:hAnsi="CMR10"/>
        </w:rPr>
        <w:t xml:space="preserve">task where the use of the quantum </w:t>
      </w:r>
      <w:r>
        <w:rPr>
          <w:rFonts w:eastAsia="CMR10" w:cs="CMTT10" w:ascii="CMTT10" w:hAnsi="CMTT10"/>
        </w:rPr>
        <w:t xml:space="preserve">SWITCH </w:t>
      </w:r>
      <w:r>
        <w:rPr>
          <w:rFonts w:eastAsia="CMR10" w:cs="CMR10" w:ascii="CMR10" w:hAnsi="CMR10"/>
        </w:rPr>
        <w:t>provides a</w:t>
      </w:r>
    </w:p>
    <w:p>
      <w:pPr>
        <w:pStyle w:val="Normal"/>
        <w:spacing w:before="0" w:after="0"/>
        <w:contextualSpacing/>
        <w:jc w:val="left"/>
        <w:rPr>
          <w:rFonts w:ascii="CMR10" w:hAnsi="CMR10" w:eastAsia="CMR10" w:cs="CMR10"/>
        </w:rPr>
      </w:pPr>
      <w:r>
        <w:rPr>
          <w:rFonts w:eastAsia="CMR10" w:cs="CMR10" w:ascii="CMR10" w:hAnsi="CMR10"/>
        </w:rPr>
        <w:t>quadratic improvement in the number of queries to the</w:t>
      </w:r>
    </w:p>
    <w:p>
      <w:pPr>
        <w:pStyle w:val="Normal"/>
        <w:spacing w:before="0" w:after="0"/>
        <w:contextualSpacing/>
        <w:jc w:val="left"/>
        <w:rPr>
          <w:rFonts w:ascii="CMR10" w:hAnsi="CMR10" w:eastAsia="CMR10" w:cs="CMR10"/>
        </w:rPr>
      </w:pPr>
      <w:r>
        <w:rPr>
          <w:rFonts w:eastAsia="CMR10" w:cs="CMR10" w:ascii="CMR10" w:hAnsi="CMR10"/>
        </w:rPr>
        <w:t>unknown black boxes. Another concrete advantage coming</w:t>
      </w:r>
    </w:p>
    <w:p>
      <w:pPr>
        <w:pStyle w:val="Normal"/>
        <w:spacing w:before="0" w:after="0"/>
        <w:contextualSpacing/>
        <w:jc w:val="left"/>
        <w:rPr>
          <w:rFonts w:ascii="CMR10" w:hAnsi="CMR10" w:eastAsia="CMR10" w:cs="CMR10"/>
        </w:rPr>
      </w:pPr>
      <w:r>
        <w:rPr>
          <w:rFonts w:eastAsia="CMR10" w:cs="CMR10" w:ascii="CMR10" w:hAnsi="CMR10"/>
        </w:rPr>
        <w:t>from undefined causal structure came shortly after</w:t>
      </w:r>
    </w:p>
    <w:p>
      <w:pPr>
        <w:pStyle w:val="Normal"/>
        <w:spacing w:before="0" w:after="0"/>
        <w:contextualSpacing/>
        <w:jc w:val="left"/>
        <w:rPr>
          <w:rFonts w:ascii="CMR10" w:hAnsi="CMR10" w:eastAsia="CMR10" w:cs="CMR10"/>
        </w:rPr>
      </w:pPr>
      <w:r>
        <w:rPr>
          <w:rFonts w:eastAsia="CMR10" w:cs="CMR10" w:ascii="CMR10" w:hAnsi="CMR10"/>
        </w:rPr>
        <w:t>Ref. [19], when Oreshkov, Costa and Brukner presented</w:t>
      </w:r>
    </w:p>
    <w:p>
      <w:pPr>
        <w:pStyle w:val="Normal"/>
        <w:spacing w:before="0" w:after="0"/>
        <w:contextualSpacing/>
        <w:jc w:val="left"/>
        <w:rPr>
          <w:rFonts w:ascii="CMR10" w:hAnsi="CMR10" w:eastAsia="CMR10" w:cs="CMR10"/>
        </w:rPr>
      </w:pPr>
      <w:r>
        <w:rPr>
          <w:rFonts w:eastAsia="CMR10" w:cs="CMR10" w:ascii="CMR10" w:hAnsi="CMR10"/>
        </w:rPr>
        <w:t>a non-local game where a causally unordered strategy</w:t>
      </w:r>
    </w:p>
    <w:p>
      <w:pPr>
        <w:pStyle w:val="Normal"/>
        <w:spacing w:before="0" w:after="0"/>
        <w:contextualSpacing/>
        <w:jc w:val="left"/>
        <w:rPr>
          <w:rFonts w:ascii="CMR10" w:hAnsi="CMR10" w:eastAsia="CMR10" w:cs="CMR10"/>
        </w:rPr>
      </w:pPr>
      <w:r>
        <w:rPr>
          <w:rFonts w:eastAsia="CMR10" w:cs="CMR10" w:ascii="CMR10" w:hAnsi="CMR10"/>
        </w:rPr>
        <w:t>offers an advantage over causally ordered [22]. The noncausal</w:t>
      </w:r>
    </w:p>
    <w:p>
      <w:pPr>
        <w:pStyle w:val="Normal"/>
        <w:spacing w:before="0" w:after="0"/>
        <w:contextualSpacing/>
        <w:jc w:val="left"/>
        <w:rPr>
          <w:rFonts w:ascii="CMR10" w:hAnsi="CMR10" w:eastAsia="CMR10" w:cs="CMR10"/>
        </w:rPr>
      </w:pPr>
      <w:r>
        <w:rPr>
          <w:rFonts w:eastAsia="CMR10" w:cs="CMR10" w:ascii="CMR10" w:hAnsi="CMR10"/>
        </w:rPr>
        <w:t>strategy is described by a legitimate transformation</w:t>
      </w:r>
    </w:p>
    <w:p>
      <w:pPr>
        <w:pStyle w:val="Normal"/>
        <w:spacing w:before="0" w:after="0"/>
        <w:contextualSpacing/>
        <w:jc w:val="left"/>
        <w:rPr>
          <w:rFonts w:ascii="CMR10" w:hAnsi="CMR10" w:eastAsia="CMR10" w:cs="CMR10"/>
        </w:rPr>
      </w:pPr>
      <w:r>
        <w:rPr>
          <w:rFonts w:eastAsia="CMR10" w:cs="CMR10" w:ascii="CMR10" w:hAnsi="CMR10"/>
        </w:rPr>
        <w:t>of boxes, of the kind analyzed in this paper, but such</w:t>
      </w:r>
    </w:p>
    <w:p>
      <w:pPr>
        <w:pStyle w:val="Normal"/>
        <w:spacing w:before="0" w:after="0"/>
        <w:contextualSpacing/>
        <w:jc w:val="left"/>
        <w:rPr>
          <w:rFonts w:ascii="CMR10" w:hAnsi="CMR10" w:eastAsia="CMR10" w:cs="CMR10"/>
        </w:rPr>
      </w:pPr>
      <w:r>
        <w:rPr>
          <w:rFonts w:eastAsia="CMR10" w:cs="CMR10" w:ascii="CMR10" w:hAnsi="CMR10"/>
        </w:rPr>
        <w:t>strategy does not have a clear operational interpretation</w:t>
      </w:r>
    </w:p>
    <w:p>
      <w:pPr>
        <w:pStyle w:val="Normal"/>
        <w:spacing w:before="0" w:after="0"/>
        <w:contextualSpacing/>
        <w:jc w:val="left"/>
        <w:rPr>
          <w:rFonts w:ascii="CMR10" w:hAnsi="CMR10" w:eastAsia="CMR10" w:cs="CMR10"/>
        </w:rPr>
      </w:pPr>
      <w:r>
        <w:rPr>
          <w:rFonts w:eastAsia="CMR10" w:cs="CMR10" w:ascii="CMR10" w:hAnsi="CMR10"/>
        </w:rPr>
        <w:t>in terms of circuits with quantum control on the connections.</w:t>
      </w:r>
    </w:p>
    <w:p>
      <w:pPr>
        <w:pStyle w:val="Normal"/>
        <w:spacing w:before="0" w:after="0"/>
        <w:contextualSpacing/>
        <w:jc w:val="left"/>
        <w:rPr>
          <w:rFonts w:ascii="CMR10" w:hAnsi="CMR10" w:eastAsia="CMR10" w:cs="CMR10"/>
        </w:rPr>
      </w:pPr>
      <w:r>
        <w:rPr>
          <w:rFonts w:eastAsia="CMR10" w:cs="CMR10" w:ascii="CMR10" w:hAnsi="CMR10"/>
        </w:rPr>
        <w:t>As a consequence, it is currently unclear whether</w:t>
      </w:r>
    </w:p>
    <w:p>
      <w:pPr>
        <w:pStyle w:val="Normal"/>
        <w:spacing w:before="0" w:after="0"/>
        <w:contextualSpacing/>
        <w:jc w:val="left"/>
        <w:rPr>
          <w:rFonts w:ascii="CMR10" w:hAnsi="CMR10" w:eastAsia="CMR10" w:cs="CMR10"/>
        </w:rPr>
      </w:pPr>
      <w:r>
        <w:rPr>
          <w:rFonts w:eastAsia="CMR10" w:cs="CMR10" w:ascii="CMR10" w:hAnsi="CMR10"/>
        </w:rPr>
        <w:t>the higher-order transformation of Ref. [22] can be also</w:t>
      </w:r>
    </w:p>
    <w:p>
      <w:pPr>
        <w:pStyle w:val="Normal"/>
        <w:spacing w:before="0" w:after="0"/>
        <w:contextualSpacing/>
        <w:jc w:val="left"/>
        <w:rPr>
          <w:rFonts w:ascii="CMR10" w:hAnsi="CMR10" w:eastAsia="CMR10" w:cs="CMR10"/>
        </w:rPr>
      </w:pPr>
      <w:r>
        <w:rPr>
          <w:rFonts w:eastAsia="CMR10" w:cs="CMR10" w:ascii="CMR10" w:hAnsi="CMR10"/>
        </w:rPr>
        <w:t>implemented by doubling the number of queries to the</w:t>
      </w:r>
    </w:p>
    <w:p>
      <w:pPr>
        <w:pStyle w:val="Normal"/>
        <w:spacing w:before="0" w:after="0"/>
        <w:contextualSpacing/>
        <w:jc w:val="left"/>
        <w:rPr>
          <w:rFonts w:ascii="CMR10" w:hAnsi="CMR10" w:eastAsia="CMR10" w:cs="CMR10"/>
        </w:rPr>
      </w:pPr>
      <w:r>
        <w:rPr>
          <w:rFonts w:eastAsia="CMR10" w:cs="CMR10" w:ascii="CMR10" w:hAnsi="CMR10"/>
        </w:rPr>
        <w:t>input boxes. More generally, the physical realization of</w:t>
      </w:r>
    </w:p>
    <w:p>
      <w:pPr>
        <w:pStyle w:val="Normal"/>
        <w:spacing w:before="0" w:after="0"/>
        <w:contextualSpacing/>
        <w:jc w:val="left"/>
        <w:rPr>
          <w:rFonts w:ascii="CMR10" w:hAnsi="CMR10" w:eastAsia="CMR10" w:cs="CMR10"/>
        </w:rPr>
      </w:pPr>
      <w:r>
        <w:rPr>
          <w:rFonts w:eastAsia="CMR10" w:cs="CMR10" w:ascii="CMR10" w:hAnsi="CMR10"/>
        </w:rPr>
        <w:t>the higher-order computations described mathematically</w:t>
      </w:r>
    </w:p>
    <w:p>
      <w:pPr>
        <w:pStyle w:val="Normal"/>
        <w:spacing w:before="0" w:after="0"/>
        <w:contextualSpacing/>
        <w:jc w:val="left"/>
        <w:rPr>
          <w:rFonts w:ascii="CMR10" w:hAnsi="CMR10" w:eastAsia="CMR10" w:cs="CMR10"/>
        </w:rPr>
      </w:pPr>
      <w:r>
        <w:rPr>
          <w:rFonts w:eastAsia="CMR10" w:cs="CMR10" w:ascii="CMR10" w:hAnsi="CMR10"/>
        </w:rPr>
        <w:t>in this paper is an important open problem for future</w:t>
      </w:r>
    </w:p>
    <w:p>
      <w:pPr>
        <w:pStyle w:val="Normal"/>
        <w:spacing w:before="0" w:after="0"/>
        <w:contextualSpacing/>
        <w:jc w:val="left"/>
        <w:rPr>
          <w:rFonts w:ascii="CMR10" w:hAnsi="CMR10" w:eastAsia="CMR10" w:cs="CMR10"/>
        </w:rPr>
      </w:pPr>
      <w:r>
        <w:rPr>
          <w:rFonts w:eastAsia="CMR10" w:cs="CMR10" w:ascii="CMR10" w:hAnsi="CMR10"/>
        </w:rPr>
        <w:t>research. Having such a characterization is indeed the</w:t>
      </w:r>
    </w:p>
    <w:p>
      <w:pPr>
        <w:pStyle w:val="Normal"/>
        <w:spacing w:before="0" w:after="0"/>
        <w:contextualSpacing/>
        <w:jc w:val="left"/>
        <w:rPr>
          <w:rFonts w:ascii="CMR10" w:hAnsi="CMR10" w:eastAsia="CMR10" w:cs="CMR10"/>
        </w:rPr>
      </w:pPr>
      <w:r>
        <w:rPr>
          <w:rFonts w:eastAsia="CMR10" w:cs="CMR10" w:ascii="CMR10" w:hAnsi="CMR10"/>
        </w:rPr>
        <w:t>crucial step needed to assess the computational power of</w:t>
      </w:r>
    </w:p>
    <w:p>
      <w:pPr>
        <w:pStyle w:val="Normal"/>
        <w:spacing w:before="0" w:after="0"/>
        <w:contextualSpacing/>
        <w:rPr>
          <w:rFonts w:ascii="CMR10" w:hAnsi="CMR10" w:eastAsia="CMR10" w:cs="CMR10"/>
        </w:rPr>
      </w:pPr>
      <w:r>
        <w:rPr>
          <w:rFonts w:eastAsia="CMR10" w:cs="CMR10" w:ascii="CMR10" w:hAnsi="CMR10"/>
        </w:rPr>
        <w:t xml:space="preserve">the higher-order model of quantum computation. </w:t>
      </w:r>
    </w:p>
    <w:p>
      <w:pPr>
        <w:pStyle w:val="Normal"/>
        <w:spacing w:before="0" w:after="0"/>
        <w:contextualSpacing/>
        <w:jc w:val="left"/>
        <w:rPr>
          <w:rFonts w:ascii="CMR10" w:hAnsi="CMR10" w:eastAsia="CMR10" w:cs="CMR10"/>
        </w:rPr>
      </w:pPr>
      <w:r>
        <w:rPr>
          <w:rFonts w:eastAsia="CMR10" w:cs="CMR10" w:ascii="CMR10" w:hAnsi="CMR10"/>
        </w:rPr>
        <w:t>The paper is structured as follows: in Section II we</w:t>
      </w:r>
    </w:p>
    <w:p>
      <w:pPr>
        <w:pStyle w:val="Normal"/>
        <w:spacing w:before="0" w:after="0"/>
        <w:contextualSpacing/>
        <w:jc w:val="left"/>
        <w:rPr>
          <w:rFonts w:ascii="CMR10" w:hAnsi="CMR10" w:eastAsia="CMR10" w:cs="CMR10"/>
        </w:rPr>
      </w:pPr>
      <w:r>
        <w:rPr>
          <w:rFonts w:eastAsia="CMR10" w:cs="CMR10" w:ascii="CMR10" w:hAnsi="CMR10"/>
        </w:rPr>
        <w:t>briefly recall the framework of quantum circuits. In</w:t>
      </w:r>
    </w:p>
    <w:p>
      <w:pPr>
        <w:pStyle w:val="Normal"/>
        <w:spacing w:before="0" w:after="0"/>
        <w:contextualSpacing/>
        <w:jc w:val="left"/>
        <w:rPr>
          <w:rFonts w:ascii="CMR10" w:hAnsi="CMR10" w:eastAsia="CMR10" w:cs="CMR10"/>
        </w:rPr>
      </w:pPr>
      <w:r>
        <w:rPr>
          <w:rFonts w:eastAsia="CMR10" w:cs="CMR10" w:ascii="CMR10" w:hAnsi="CMR10"/>
        </w:rPr>
        <w:t>Section III we expose the mathematical framework of</w:t>
      </w:r>
    </w:p>
    <w:p>
      <w:pPr>
        <w:pStyle w:val="Normal"/>
        <w:spacing w:before="0" w:after="0"/>
        <w:contextualSpacing/>
        <w:jc w:val="left"/>
        <w:rPr>
          <w:rFonts w:ascii="CMR10" w:hAnsi="CMR10" w:eastAsia="CMR10" w:cs="CMR10"/>
        </w:rPr>
      </w:pPr>
      <w:r>
        <w:rPr>
          <w:rFonts w:eastAsia="CMR10" w:cs="CMR10" w:ascii="CMR10" w:hAnsi="CMR10"/>
        </w:rPr>
        <w:t>higher-order quantum transformations (a.k.a. supermaps</w:t>
      </w:r>
    </w:p>
    <w:p>
      <w:pPr>
        <w:pStyle w:val="Normal"/>
        <w:spacing w:before="0" w:after="0"/>
        <w:contextualSpacing/>
        <w:jc w:val="left"/>
        <w:rPr/>
      </w:pPr>
      <w:r>
        <w:rPr>
          <w:rFonts w:eastAsia="CMR10" w:cs="CMR10" w:ascii="CMR10" w:hAnsi="CMR10"/>
        </w:rPr>
        <w:t xml:space="preserve">[10, 12]), introducing the notions of </w:t>
      </w:r>
      <w:r>
        <w:rPr>
          <w:rFonts w:eastAsia="CMR10" w:cs="CMTI10" w:ascii="CMTI10" w:hAnsi="CMTI10"/>
        </w:rPr>
        <w:t>transformations on</w:t>
      </w:r>
    </w:p>
    <w:p>
      <w:pPr>
        <w:pStyle w:val="Normal"/>
        <w:spacing w:before="0" w:after="0"/>
        <w:contextualSpacing/>
        <w:jc w:val="left"/>
        <w:rPr/>
      </w:pPr>
      <w:r>
        <w:rPr>
          <w:rFonts w:eastAsia="CMR10" w:cs="CMTI10" w:ascii="CMTI10" w:hAnsi="CMTI10"/>
        </w:rPr>
        <w:t xml:space="preserve">no-signalling channels </w:t>
      </w:r>
      <w:r>
        <w:rPr>
          <w:rFonts w:eastAsia="CMR10" w:cs="CMR10" w:ascii="CMR10" w:hAnsi="CMR10"/>
        </w:rPr>
        <w:t xml:space="preserve">and </w:t>
      </w:r>
      <w:r>
        <w:rPr>
          <w:rFonts w:eastAsia="CMR10" w:cs="CMTI10" w:ascii="CMTI10" w:hAnsi="CMTI10"/>
        </w:rPr>
        <w:t>transformations on product</w:t>
      </w:r>
    </w:p>
    <w:p>
      <w:pPr>
        <w:pStyle w:val="Normal"/>
        <w:spacing w:before="0" w:after="0"/>
        <w:contextualSpacing/>
        <w:jc w:val="left"/>
        <w:rPr/>
      </w:pPr>
      <w:r>
        <w:rPr>
          <w:rFonts w:eastAsia="CMR10" w:cs="CMTI10" w:ascii="CMTI10" w:hAnsi="CMTI10"/>
        </w:rPr>
        <w:t>channels</w:t>
      </w:r>
      <w:r>
        <w:rPr>
          <w:rFonts w:eastAsia="CMR10" w:cs="CMR10" w:ascii="CMR10" w:hAnsi="CMR10"/>
        </w:rPr>
        <w:t xml:space="preserve">, and providing as an example the </w:t>
      </w:r>
      <w:r>
        <w:rPr>
          <w:rFonts w:eastAsia="CMR10" w:cs="CMTT10" w:ascii="CMTT10" w:hAnsi="CMTT10"/>
        </w:rPr>
        <w:t xml:space="preserve">SWITCH </w:t>
      </w:r>
      <w:r>
        <w:rPr>
          <w:rFonts w:eastAsia="CMR10" w:cs="CMR10" w:ascii="CMR10" w:hAnsi="CMR10"/>
        </w:rPr>
        <w:t>transformation.</w:t>
      </w:r>
    </w:p>
    <w:p>
      <w:pPr>
        <w:pStyle w:val="Normal"/>
        <w:spacing w:before="0" w:after="0"/>
        <w:contextualSpacing/>
        <w:jc w:val="left"/>
        <w:rPr/>
      </w:pPr>
      <w:r>
        <w:rPr>
          <w:rFonts w:eastAsia="CMR10" w:cs="CMR10" w:ascii="CMR10" w:hAnsi="CMR10"/>
        </w:rPr>
        <w:t xml:space="preserve">In section IV we show that the </w:t>
      </w:r>
      <w:r>
        <w:rPr>
          <w:rFonts w:eastAsia="CMR10" w:cs="CMTT10" w:ascii="CMTT10" w:hAnsi="CMTT10"/>
        </w:rPr>
        <w:t xml:space="preserve">SWITCH </w:t>
      </w:r>
      <w:r>
        <w:rPr>
          <w:rFonts w:eastAsia="CMR10" w:cs="CMR10" w:ascii="CMR10" w:hAnsi="CMR10"/>
        </w:rPr>
        <w:t>transformation</w:t>
      </w:r>
    </w:p>
    <w:p>
      <w:pPr>
        <w:pStyle w:val="Normal"/>
        <w:spacing w:before="0" w:after="0"/>
        <w:contextualSpacing/>
        <w:jc w:val="left"/>
        <w:rPr>
          <w:rFonts w:ascii="CMR10" w:hAnsi="CMR10" w:eastAsia="CMR10" w:cs="CMR10"/>
        </w:rPr>
      </w:pPr>
      <w:r>
        <w:rPr>
          <w:rFonts w:eastAsia="CMR10" w:cs="CMR10" w:ascii="CMR10" w:hAnsi="CMR10"/>
        </w:rPr>
        <w:t>cannot be realized by inserting the input channels</w:t>
      </w:r>
    </w:p>
    <w:p>
      <w:pPr>
        <w:pStyle w:val="Normal"/>
        <w:spacing w:before="0" w:after="0"/>
        <w:contextualSpacing/>
        <w:jc w:val="left"/>
        <w:rPr>
          <w:rFonts w:ascii="CMR10" w:hAnsi="CMR10" w:eastAsia="CMR10" w:cs="CMR10"/>
        </w:rPr>
      </w:pPr>
      <w:r>
        <w:rPr>
          <w:rFonts w:eastAsia="CMR10" w:cs="CMR10" w:ascii="CMR10" w:hAnsi="CMR10"/>
        </w:rPr>
        <w:t>in a circuit, showing that such a realization would be</w:t>
      </w:r>
    </w:p>
    <w:p>
      <w:pPr>
        <w:pStyle w:val="Normal"/>
        <w:spacing w:before="0" w:after="0"/>
        <w:contextualSpacing/>
        <w:jc w:val="left"/>
        <w:rPr>
          <w:rFonts w:ascii="CMR10" w:hAnsi="CMR10" w:eastAsia="CMR10" w:cs="CMR10"/>
        </w:rPr>
      </w:pPr>
      <w:r>
        <w:rPr>
          <w:rFonts w:eastAsia="CMR10" w:cs="CMR10" w:ascii="CMR10" w:hAnsi="CMR10"/>
        </w:rPr>
        <w:t>a equivalent to the realization of a time machine. In section</w:t>
      </w:r>
    </w:p>
    <w:p>
      <w:pPr>
        <w:pStyle w:val="Normal"/>
        <w:spacing w:before="0" w:after="0"/>
        <w:contextualSpacing/>
        <w:jc w:val="left"/>
        <w:rPr>
          <w:rFonts w:ascii="CMR10" w:hAnsi="CMR10" w:eastAsia="CMR10" w:cs="CMR10"/>
        </w:rPr>
      </w:pPr>
      <w:r>
        <w:rPr>
          <w:rFonts w:eastAsia="CMR10" w:cs="CMR10" w:ascii="CMR10" w:hAnsi="CMR10"/>
        </w:rPr>
        <w:t>V we discuss four ways around the no-go theorem:</w:t>
      </w:r>
    </w:p>
    <w:p>
      <w:pPr>
        <w:pStyle w:val="Normal"/>
        <w:spacing w:before="0" w:after="0"/>
        <w:contextualSpacing/>
        <w:jc w:val="left"/>
        <w:rPr>
          <w:rFonts w:ascii="CMR10" w:hAnsi="CMR10" w:eastAsia="CMR10" w:cs="CMR10"/>
        </w:rPr>
      </w:pPr>
      <w:r>
        <w:rPr>
          <w:rFonts w:eastAsia="CMR10" w:cs="CMR10" w:ascii="CMR10" w:hAnsi="CMR10"/>
        </w:rPr>
        <w:t>having access to program states for the black boxes, using</w:t>
      </w:r>
    </w:p>
    <w:p>
      <w:pPr>
        <w:pStyle w:val="Normal"/>
        <w:spacing w:before="0" w:after="0"/>
        <w:contextualSpacing/>
        <w:jc w:val="left"/>
        <w:rPr>
          <w:rFonts w:ascii="CMR10" w:hAnsi="CMR10" w:eastAsia="CMR10" w:cs="CMR10"/>
        </w:rPr>
      </w:pPr>
      <w:r>
        <w:rPr>
          <w:rFonts w:eastAsia="CMR10" w:cs="CMR10" w:ascii="CMR10" w:hAnsi="CMR10"/>
        </w:rPr>
        <w:t>extra queries, having access to closed timelike curves, and</w:t>
      </w:r>
    </w:p>
    <w:p>
      <w:pPr>
        <w:pStyle w:val="Normal"/>
        <w:spacing w:before="0" w:after="0"/>
        <w:contextualSpacing/>
        <w:jc w:val="left"/>
        <w:rPr>
          <w:rFonts w:ascii="CMR10" w:hAnsi="CMR10" w:eastAsia="CMR10" w:cs="CMR10"/>
        </w:rPr>
      </w:pPr>
      <w:r>
        <w:rPr>
          <w:rFonts w:eastAsia="CMR10" w:cs="CMR10" w:ascii="CMR10" w:hAnsi="CMR10"/>
        </w:rPr>
        <w:t>considering probabilistic implementations of the transformation</w:t>
      </w:r>
    </w:p>
    <w:p>
      <w:pPr>
        <w:pStyle w:val="Normal"/>
        <w:spacing w:before="0" w:after="0"/>
        <w:contextualSpacing/>
        <w:jc w:val="left"/>
        <w:rPr/>
      </w:pPr>
      <w:r>
        <w:rPr>
          <w:rFonts w:eastAsia="CMR10" w:cs="CMTT10" w:ascii="CMTT10" w:hAnsi="CMTT10"/>
        </w:rPr>
        <w:t>SWITCH</w:t>
      </w:r>
      <w:r>
        <w:rPr>
          <w:rFonts w:eastAsia="CMR10" w:cs="CMR10" w:ascii="CMR10" w:hAnsi="CMR10"/>
        </w:rPr>
        <w:t>. The possibility of re-modelling the resource</w:t>
      </w:r>
    </w:p>
    <w:p>
      <w:pPr>
        <w:pStyle w:val="Normal"/>
        <w:spacing w:before="0" w:after="0"/>
        <w:contextualSpacing/>
        <w:jc w:val="left"/>
        <w:rPr>
          <w:rFonts w:ascii="CMR10" w:hAnsi="CMR10" w:eastAsia="CMR10" w:cs="CMR10"/>
        </w:rPr>
      </w:pPr>
      <w:r>
        <w:rPr>
          <w:rFonts w:eastAsia="CMR10" w:cs="CMR10" w:ascii="CMR10" w:hAnsi="CMR10"/>
        </w:rPr>
        <w:t>of two input black boxes with control on the ordering</w:t>
      </w:r>
    </w:p>
    <w:p>
      <w:pPr>
        <w:pStyle w:val="Normal"/>
        <w:spacing w:before="0" w:after="0"/>
        <w:contextualSpacing/>
        <w:jc w:val="left"/>
        <w:rPr>
          <w:rFonts w:ascii="CMR10" w:hAnsi="CMR10" w:eastAsia="CMR10" w:cs="CMR10"/>
        </w:rPr>
      </w:pPr>
      <w:r>
        <w:rPr>
          <w:rFonts w:eastAsia="CMR10" w:cs="CMR10" w:ascii="CMR10" w:hAnsi="CMR10"/>
        </w:rPr>
        <w:t>is discussed in section VI. Before concluding, in</w:t>
      </w:r>
    </w:p>
    <w:p>
      <w:pPr>
        <w:pStyle w:val="Normal"/>
        <w:spacing w:before="0" w:after="0"/>
        <w:contextualSpacing/>
        <w:jc w:val="left"/>
        <w:rPr/>
      </w:pPr>
      <w:r>
        <w:rPr>
          <w:rFonts w:eastAsia="CMR10" w:cs="CMR10" w:ascii="CMR10" w:hAnsi="CMR10"/>
        </w:rPr>
        <w:t xml:space="preserve">section VII we define the quantum version of the </w:t>
      </w:r>
      <w:r>
        <w:rPr>
          <w:rFonts w:eastAsia="CMR10" w:cs="CMTT10" w:ascii="CMTT10" w:hAnsi="CMTT10"/>
        </w:rPr>
        <w:t>SWITCH</w:t>
      </w:r>
    </w:p>
    <w:p>
      <w:pPr>
        <w:pStyle w:val="Normal"/>
        <w:spacing w:before="0" w:after="0"/>
        <w:contextualSpacing/>
        <w:jc w:val="left"/>
        <w:rPr/>
      </w:pPr>
      <w:r>
        <w:rPr>
          <w:rFonts w:eastAsia="CMR10" w:cs="CMR10" w:ascii="CMR10" w:hAnsi="CMR10"/>
        </w:rPr>
        <w:t xml:space="preserve">transformation, where the input channels </w:t>
      </w:r>
      <w:r>
        <w:rPr>
          <w:rFonts w:eastAsia="CMSY10" w:cs="CMSY10" w:ascii="CMSY10" w:hAnsi="CMSY10"/>
        </w:rPr>
        <w:t xml:space="preserve">A </w:t>
      </w:r>
      <w:r>
        <w:rPr>
          <w:rFonts w:eastAsia="CMR10" w:cs="CMR10" w:ascii="CMR10" w:hAnsi="CMR10"/>
        </w:rPr>
        <w:t xml:space="preserve">and </w:t>
      </w:r>
      <w:r>
        <w:rPr>
          <w:rFonts w:eastAsia="CMSY10" w:cs="CMSY10" w:ascii="CMSY10" w:hAnsi="CMSY10"/>
        </w:rPr>
        <w:t xml:space="preserve">B </w:t>
      </w:r>
      <w:r>
        <w:rPr>
          <w:rFonts w:eastAsia="CMR10" w:cs="CMR10" w:ascii="CMR10" w:hAnsi="CMR10"/>
        </w:rPr>
        <w:t>are</w:t>
      </w:r>
    </w:p>
    <w:p>
      <w:pPr>
        <w:pStyle w:val="Normal"/>
        <w:spacing w:before="0" w:after="0"/>
        <w:contextualSpacing/>
        <w:jc w:val="left"/>
        <w:rPr>
          <w:rFonts w:ascii="CMR10" w:hAnsi="CMR10" w:eastAsia="CMR10" w:cs="CMR10"/>
        </w:rPr>
      </w:pPr>
      <w:r>
        <w:rPr>
          <w:rFonts w:eastAsia="CMR10" w:cs="CMR10" w:ascii="CMR10" w:hAnsi="CMR10"/>
        </w:rPr>
        <w:t>transformed in an output quantum channel implementing</w:t>
      </w:r>
    </w:p>
    <w:p>
      <w:pPr>
        <w:pStyle w:val="Normal"/>
        <w:spacing w:before="0" w:after="0"/>
        <w:contextualSpacing/>
        <w:jc w:val="left"/>
        <w:rPr/>
      </w:pPr>
      <w:r>
        <w:rPr>
          <w:rFonts w:eastAsia="CMR10" w:cs="CMR10" w:ascii="CMR10" w:hAnsi="CMR10"/>
        </w:rPr>
        <w:t xml:space="preserve">a “quantum superposition of the two circuits” </w:t>
      </w:r>
      <w:r>
        <w:rPr>
          <w:rFonts w:eastAsia="CMSY10" w:cs="CMSY10" w:ascii="CMSY10" w:hAnsi="CMSY10"/>
        </w:rPr>
        <w:t xml:space="preserve">AB </w:t>
      </w:r>
      <w:r>
        <w:rPr>
          <w:rFonts w:eastAsia="CMR10" w:cs="CMR10" w:ascii="CMR10" w:hAnsi="CMR10"/>
        </w:rPr>
        <w:t>and</w:t>
      </w:r>
    </w:p>
    <w:p>
      <w:pPr>
        <w:pStyle w:val="Normal"/>
        <w:spacing w:before="0" w:after="0"/>
        <w:contextualSpacing/>
        <w:jc w:val="left"/>
        <w:rPr/>
      </w:pPr>
      <w:r>
        <w:rPr>
          <w:rFonts w:eastAsia="CMSY10" w:cs="CMSY10" w:ascii="CMSY10" w:hAnsi="CMSY10"/>
        </w:rPr>
        <w:t>BA</w:t>
      </w:r>
      <w:r>
        <w:rPr>
          <w:rFonts w:eastAsia="CMR10" w:cs="CMR10" w:ascii="CMR10" w:hAnsi="CMR10"/>
        </w:rPr>
        <w:t>. Finally, we summarize the results of the paper in</w:t>
      </w:r>
    </w:p>
    <w:p>
      <w:pPr>
        <w:pStyle w:val="Normal"/>
        <w:spacing w:before="0" w:after="0"/>
        <w:contextualSpacing/>
        <w:jc w:val="left"/>
        <w:rPr>
          <w:rFonts w:ascii="CMR10" w:hAnsi="CMR10" w:eastAsia="CMR10" w:cs="CMR10"/>
        </w:rPr>
      </w:pPr>
      <w:r>
        <w:rPr>
          <w:rFonts w:eastAsia="CMR10" w:cs="CMR10" w:ascii="CMR10" w:hAnsi="CMR10"/>
        </w:rPr>
        <w:t>section VIII, providing a discussion of their implications</w:t>
      </w:r>
    </w:p>
    <w:p>
      <w:pPr>
        <w:pStyle w:val="Normal"/>
        <w:spacing w:before="0" w:after="0"/>
        <w:contextualSpacing/>
        <w:rPr>
          <w:rFonts w:ascii="CMR10" w:hAnsi="CMR10" w:eastAsia="CMR10" w:cs="CMR10"/>
        </w:rPr>
      </w:pPr>
      <w:r>
        <w:rPr>
          <w:rFonts w:eastAsia="CMR10" w:cs="CMR10" w:ascii="CMR10" w:hAnsi="CMR10"/>
        </w:rPr>
        <w:t xml:space="preserve">and of their relation with other works in the literature. (pp. 1-2) </w:t>
      </w:r>
    </w:p>
    <w:p>
      <w:pPr>
        <w:pStyle w:val="Normal"/>
        <w:spacing w:before="0" w:after="0"/>
        <w:contextualSpacing/>
        <w:rPr>
          <w:rFonts w:ascii="CMR10" w:hAnsi="CMR10" w:eastAsia="CMR10" w:cs="CMR10"/>
        </w:rPr>
      </w:pPr>
      <w:r>
        <w:rPr>
          <w:rFonts w:eastAsia="CMR10" w:cs="CMR10" w:ascii="CMR10" w:hAnsi="CMR10"/>
        </w:rPr>
      </w:r>
    </w:p>
    <w:p>
      <w:pPr>
        <w:pStyle w:val="Normal"/>
        <w:spacing w:before="0" w:after="0"/>
        <w:contextualSpacing/>
        <w:jc w:val="left"/>
        <w:rPr/>
      </w:pPr>
      <w:r>
        <w:rPr>
          <w:rFonts w:eastAsia="CMR10" w:cs="CMR10" w:ascii="CMR10" w:hAnsi="CMR10"/>
          <w:color w:val="FF0000"/>
        </w:rPr>
        <w:t>[for instance: “</w:t>
      </w:r>
      <w:r>
        <w:rPr>
          <w:rFonts w:cs="CMTI10" w:ascii="CMTI10" w:hAnsi="CMTI10"/>
        </w:rPr>
        <w:t xml:space="preserve">transformations on no-signalling channels </w:t>
      </w:r>
      <w:r>
        <w:rPr>
          <w:rFonts w:eastAsia="CMR10" w:cs="CMR10" w:ascii="CMR10" w:hAnsi="CMR10"/>
        </w:rPr>
        <w:t xml:space="preserve">and </w:t>
      </w:r>
      <w:r>
        <w:rPr>
          <w:rFonts w:cs="CMTI10" w:ascii="CMTI10" w:hAnsi="CMTI10"/>
        </w:rPr>
        <w:t>transformations on product channels</w:t>
      </w:r>
      <w:r>
        <w:rPr>
          <w:rFonts w:eastAsia="CMR10" w:cs="CMR10" w:ascii="CMR10" w:hAnsi="CMR10"/>
        </w:rPr>
        <w:t xml:space="preserve">, and providing as an example the </w:t>
      </w:r>
      <w:r>
        <w:rPr>
          <w:rFonts w:cs="CMTT10" w:ascii="CMTT10" w:hAnsi="CMTT10"/>
        </w:rPr>
        <w:t xml:space="preserve">SWITCH </w:t>
      </w:r>
      <w:r>
        <w:rPr>
          <w:rFonts w:eastAsia="CMR10" w:cs="CMR10" w:ascii="CMR10" w:hAnsi="CMR10"/>
        </w:rPr>
        <w:t xml:space="preserve">transformation. Or “quantum superposition of the two circuits” </w:t>
      </w:r>
      <w:r>
        <w:rPr>
          <w:rFonts w:eastAsia="CMSY10" w:cs="CMSY10" w:ascii="CMSY10" w:hAnsi="CMSY10"/>
        </w:rPr>
        <w:t xml:space="preserve">AB </w:t>
      </w:r>
      <w:r>
        <w:rPr>
          <w:rFonts w:eastAsia="CMR10" w:cs="CMR10" w:ascii="CMR10" w:hAnsi="CMR10"/>
        </w:rPr>
        <w:t>and</w:t>
      </w:r>
    </w:p>
    <w:p>
      <w:pPr>
        <w:pStyle w:val="Normal"/>
        <w:spacing w:before="0" w:after="0"/>
        <w:contextualSpacing/>
        <w:jc w:val="left"/>
        <w:rPr/>
      </w:pPr>
      <w:r>
        <w:rPr>
          <w:rFonts w:eastAsia="CMSY10" w:cs="CMSY10" w:ascii="CMSY10" w:hAnsi="CMSY10"/>
        </w:rPr>
        <w:t>BA</w:t>
      </w:r>
      <w:r>
        <w:rPr>
          <w:rFonts w:eastAsia="CMR10" w:cs="CMR10" w:ascii="CMR10" w:hAnsi="CMR10"/>
        </w:rPr>
        <w:t xml:space="preserve">.” </w:t>
      </w:r>
      <w:r>
        <w:rPr>
          <w:rFonts w:eastAsia="CMR10" w:cs="CMR10" w:ascii="CMR10" w:hAnsi="CMR10"/>
          <w:color w:val="FF0000"/>
        </w:rPr>
        <w:t>What do these expression mean? Nothing more than my EDWs!!! Again, these statements send directly to their missing ontological background, that is the EDWs! (even if they mention that: “</w:t>
      </w:r>
      <w:r>
        <w:rPr>
          <w:rFonts w:eastAsia="CMR10" w:cs="CMR10" w:ascii="CMR10" w:hAnsi="CMR10"/>
        </w:rPr>
        <w:t xml:space="preserve">It is worth stressing that the quantum circuit is a </w:t>
      </w:r>
      <w:r>
        <w:rPr>
          <w:rFonts w:eastAsia="CMR10" w:cs="CMTI10" w:ascii="CMTI10" w:hAnsi="CMTI10"/>
        </w:rPr>
        <w:t>com-</w:t>
      </w:r>
    </w:p>
    <w:p>
      <w:pPr>
        <w:pStyle w:val="Normal"/>
        <w:spacing w:before="0" w:after="0"/>
        <w:contextualSpacing/>
        <w:jc w:val="left"/>
        <w:rPr/>
      </w:pPr>
      <w:r>
        <w:rPr>
          <w:rFonts w:eastAsia="CMR10" w:cs="CMTI10" w:ascii="CMTI10" w:hAnsi="CMTI10"/>
        </w:rPr>
        <w:t xml:space="preserve">putational </w:t>
      </w:r>
      <w:r>
        <w:rPr>
          <w:rFonts w:eastAsia="CMR10" w:cs="CMR10" w:ascii="CMR10" w:hAnsi="CMR10"/>
        </w:rPr>
        <w:t>circuit—not a physical one: While in the physical</w:t>
      </w:r>
    </w:p>
    <w:p>
      <w:pPr>
        <w:pStyle w:val="Normal"/>
        <w:spacing w:before="0" w:after="0"/>
        <w:contextualSpacing/>
        <w:jc w:val="left"/>
        <w:rPr>
          <w:rFonts w:ascii="CMR10" w:hAnsi="CMR10" w:eastAsia="CMR10" w:cs="CMR10"/>
        </w:rPr>
      </w:pPr>
      <w:r>
        <w:rPr>
          <w:rFonts w:eastAsia="CMR10" w:cs="CMR10" w:ascii="CMR10" w:hAnsi="CMR10"/>
        </w:rPr>
        <w:t>circuit we can have loops (e.g. when a system passes</w:t>
      </w:r>
    </w:p>
    <w:p>
      <w:pPr>
        <w:pStyle w:val="Normal"/>
        <w:spacing w:before="0" w:after="0"/>
        <w:contextualSpacing/>
        <w:jc w:val="left"/>
        <w:rPr>
          <w:rFonts w:ascii="CMR10" w:hAnsi="CMR10" w:eastAsia="CMR10" w:cs="CMR10"/>
        </w:rPr>
      </w:pPr>
      <w:r>
        <w:rPr>
          <w:rFonts w:eastAsia="CMR10" w:cs="CMR10" w:ascii="CMR10" w:hAnsi="CMR10"/>
        </w:rPr>
        <w:t>twice through the same physical device), in the computational</w:t>
      </w:r>
    </w:p>
    <w:p>
      <w:pPr>
        <w:pStyle w:val="Normal"/>
        <w:spacing w:before="0" w:after="0"/>
        <w:contextualSpacing/>
        <w:jc w:val="left"/>
        <w:rPr>
          <w:rFonts w:ascii="CMR10" w:hAnsi="CMR10" w:eastAsia="CMR10" w:cs="CMR10"/>
        </w:rPr>
      </w:pPr>
      <w:r>
        <w:rPr>
          <w:rFonts w:eastAsia="CMR10" w:cs="CMR10" w:ascii="CMR10" w:hAnsi="CMR10"/>
        </w:rPr>
        <w:t>circuit there are no loops (when we apply twice</w:t>
      </w:r>
    </w:p>
    <w:p>
      <w:pPr>
        <w:pStyle w:val="Normal"/>
        <w:spacing w:before="0" w:after="0"/>
        <w:contextualSpacing/>
        <w:jc w:val="left"/>
        <w:rPr>
          <w:rFonts w:ascii="CMR10" w:hAnsi="CMR10" w:eastAsia="CMR10" w:cs="CMR10"/>
        </w:rPr>
      </w:pPr>
      <w:r>
        <w:rPr>
          <w:rFonts w:eastAsia="CMR10" w:cs="CMR10" w:ascii="CMR10" w:hAnsi="CMR10"/>
        </w:rPr>
        <w:t>a transformation to the same system we just draw two</w:t>
      </w:r>
    </w:p>
    <w:p>
      <w:pPr>
        <w:pStyle w:val="Normal"/>
        <w:spacing w:before="0" w:after="0"/>
        <w:contextualSpacing/>
        <w:jc w:val="left"/>
        <w:rPr>
          <w:rFonts w:ascii="CMR10" w:hAnsi="CMR10" w:eastAsia="CMR10" w:cs="CMR10"/>
        </w:rPr>
      </w:pPr>
      <w:r>
        <w:rPr>
          <w:rFonts w:eastAsia="CMR10" w:cs="CMR10" w:ascii="CMR10" w:hAnsi="CMR10"/>
        </w:rPr>
        <w:t>times the same box).” (p. 2)</w:t>
      </w:r>
    </w:p>
    <w:p>
      <w:pPr>
        <w:pStyle w:val="Normal"/>
        <w:spacing w:before="0" w:after="0"/>
        <w:contextualSpacing/>
        <w:jc w:val="left"/>
        <w:rPr>
          <w:rFonts w:ascii="CMR10" w:hAnsi="CMR10" w:eastAsia="CMR10" w:cs="CMR10"/>
          <w:color w:val="FF0000"/>
        </w:rPr>
      </w:pPr>
      <w:r>
        <w:rPr>
          <w:rFonts w:eastAsia="CMR10" w:cs="CMR10" w:ascii="CMR10" w:hAnsi="CMR10"/>
          <w:color w:val="FF0000"/>
        </w:rPr>
      </w:r>
    </w:p>
    <w:p>
      <w:pPr>
        <w:pStyle w:val="Normal"/>
        <w:spacing w:before="0" w:after="0"/>
        <w:contextualSpacing/>
        <w:jc w:val="left"/>
        <w:rPr>
          <w:rFonts w:ascii="CMR10" w:hAnsi="CMR10" w:eastAsia="CMR10" w:cs="CMR10"/>
          <w:color w:val="FF0000"/>
        </w:rPr>
      </w:pPr>
      <w:r>
        <w:rPr>
          <w:rFonts w:eastAsia="CMR10" w:cs="CMR10" w:ascii="CMR10" w:hAnsi="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pStyle w:val="Normal"/>
        <w:spacing w:before="0" w:after="0"/>
        <w:contextualSpacing/>
        <w:jc w:val="left"/>
        <w:rPr>
          <w:rFonts w:ascii="CMR10" w:hAnsi="CMR10" w:eastAsia="CMR10" w:cs="CMR10"/>
          <w:color w:val="FF0000"/>
        </w:rPr>
      </w:pPr>
      <w:r>
        <w:rPr>
          <w:rFonts w:eastAsia="CMR10" w:cs="CMR10" w:ascii="CMR10" w:hAnsi="CMR10"/>
          <w:color w:val="FF0000"/>
        </w:rPr>
      </w:r>
    </w:p>
    <w:p>
      <w:pPr>
        <w:pStyle w:val="Normal"/>
        <w:spacing w:before="0" w:after="0"/>
        <w:contextualSpacing/>
        <w:jc w:val="left"/>
        <w:rPr/>
      </w:pPr>
      <w:r>
        <w:rPr>
          <w:rFonts w:eastAsia="CMR10" w:cs="CMR10" w:ascii="CMR10" w:hAnsi="CMR10"/>
        </w:rPr>
        <w:t xml:space="preserve">From now on, the expression </w:t>
      </w:r>
      <w:r>
        <w:rPr>
          <w:rFonts w:eastAsia="CMR10" w:cs="CMTI10" w:ascii="CMTI10" w:hAnsi="CMTI10"/>
        </w:rPr>
        <w:t>computational circuit</w:t>
      </w:r>
    </w:p>
    <w:p>
      <w:pPr>
        <w:pStyle w:val="Normal"/>
        <w:spacing w:before="0" w:after="0"/>
        <w:contextualSpacing/>
        <w:jc w:val="left"/>
        <w:rPr>
          <w:rFonts w:ascii="CMR10" w:hAnsi="CMR10" w:eastAsia="CMR10" w:cs="CMR10"/>
        </w:rPr>
      </w:pPr>
      <w:r>
        <w:rPr>
          <w:rFonts w:eastAsia="CMR10" w:cs="CMR10" w:ascii="CMR10" w:hAnsi="CMR10"/>
        </w:rPr>
        <w:t>will be referred to a circuit satisfying this set of rules:</w:t>
      </w:r>
    </w:p>
    <w:p>
      <w:pPr>
        <w:pStyle w:val="Normal"/>
        <w:spacing w:before="0" w:after="0"/>
        <w:contextualSpacing/>
        <w:jc w:val="left"/>
        <w:rPr>
          <w:rFonts w:ascii="CMR10" w:hAnsi="CMR10" w:eastAsia="CMR10" w:cs="CMR10"/>
        </w:rPr>
      </w:pPr>
      <w:r>
        <w:rPr>
          <w:rFonts w:eastAsia="CMR10" w:cs="CMR10" w:ascii="CMR10" w:hAnsi="CMR10"/>
        </w:rPr>
        <w:t>1. quantum systems are represented by wires;</w:t>
      </w:r>
    </w:p>
    <w:p>
      <w:pPr>
        <w:pStyle w:val="Normal"/>
        <w:spacing w:before="0" w:after="0"/>
        <w:contextualSpacing/>
        <w:jc w:val="left"/>
        <w:rPr>
          <w:rFonts w:ascii="CMR10" w:hAnsi="CMR10" w:eastAsia="CMR10" w:cs="CMR10"/>
        </w:rPr>
      </w:pPr>
      <w:r>
        <w:rPr>
          <w:rFonts w:eastAsia="CMR10" w:cs="CMR10" w:ascii="CMR10" w:hAnsi="CMR10"/>
        </w:rPr>
        <w:t>2. a box on a single wire represents a transformation</w:t>
      </w:r>
    </w:p>
    <w:p>
      <w:pPr>
        <w:pStyle w:val="Normal"/>
        <w:spacing w:before="0" w:after="0"/>
        <w:contextualSpacing/>
        <w:jc w:val="left"/>
        <w:rPr>
          <w:rFonts w:ascii="CMR10" w:hAnsi="CMR10" w:eastAsia="CMR10" w:cs="CMR10"/>
        </w:rPr>
      </w:pPr>
      <w:r>
        <w:rPr>
          <w:rFonts w:eastAsia="CMR10" w:cs="CMR10" w:ascii="CMR10" w:hAnsi="CMR10"/>
        </w:rPr>
        <w:t>(quantum channel) on the corresponding system, a</w:t>
      </w:r>
    </w:p>
    <w:p>
      <w:pPr>
        <w:pStyle w:val="Normal"/>
        <w:spacing w:before="0" w:after="0"/>
        <w:contextualSpacing/>
        <w:jc w:val="left"/>
        <w:rPr>
          <w:rFonts w:ascii="CMR10" w:hAnsi="CMR10" w:eastAsia="CMR10" w:cs="CMR10"/>
        </w:rPr>
      </w:pPr>
      <w:r>
        <w:rPr>
          <w:rFonts w:eastAsia="CMR10" w:cs="CMR10" w:ascii="CMR10" w:hAnsi="CMR10"/>
        </w:rPr>
        <w:t>box on multiple wires generally describes an interaction</w:t>
      </w:r>
    </w:p>
    <w:p>
      <w:pPr>
        <w:pStyle w:val="Normal"/>
        <w:spacing w:before="0" w:after="0"/>
        <w:contextualSpacing/>
        <w:jc w:val="left"/>
        <w:rPr>
          <w:rFonts w:ascii="CMR10" w:hAnsi="CMR10" w:eastAsia="CMR10" w:cs="CMR10"/>
        </w:rPr>
      </w:pPr>
      <w:r>
        <w:rPr>
          <w:rFonts w:eastAsia="CMR10" w:cs="CMR10" w:ascii="CMR10" w:hAnsi="CMR10"/>
        </w:rPr>
        <w:t>between the corresponding systems;</w:t>
      </w:r>
    </w:p>
    <w:p>
      <w:pPr>
        <w:pStyle w:val="Normal"/>
        <w:spacing w:before="0" w:after="0"/>
        <w:contextualSpacing/>
        <w:jc w:val="left"/>
        <w:rPr>
          <w:rFonts w:ascii="CMR10" w:hAnsi="CMR10" w:eastAsia="CMR10" w:cs="CMR10"/>
        </w:rPr>
      </w:pPr>
      <w:r>
        <w:rPr>
          <w:rFonts w:eastAsia="CMR10" w:cs="CMR10" w:ascii="CMR10" w:hAnsi="CMR10"/>
        </w:rPr>
        <w:t>3. input/output relations proceed from left to right</w:t>
      </w:r>
    </w:p>
    <w:p>
      <w:pPr>
        <w:pStyle w:val="Normal"/>
        <w:spacing w:before="0" w:after="0"/>
        <w:contextualSpacing/>
        <w:jc w:val="left"/>
        <w:rPr>
          <w:rFonts w:ascii="CMR10" w:hAnsi="CMR10" w:eastAsia="CMR10" w:cs="CMR10"/>
        </w:rPr>
      </w:pPr>
      <w:r>
        <w:rPr>
          <w:rFonts w:eastAsia="CMR10" w:cs="CMR10" w:ascii="CMR10" w:hAnsi="CMR10"/>
        </w:rPr>
        <w:t>and there are no loops in the circuit;</w:t>
      </w:r>
    </w:p>
    <w:p>
      <w:pPr>
        <w:pStyle w:val="Normal"/>
        <w:spacing w:before="0" w:after="0"/>
        <w:contextualSpacing/>
        <w:jc w:val="left"/>
        <w:rPr>
          <w:rFonts w:ascii="CMR10" w:hAnsi="CMR10" w:eastAsia="CMR10" w:cs="CMR10"/>
        </w:rPr>
      </w:pPr>
      <w:r>
        <w:rPr>
          <w:rFonts w:eastAsia="CMR10" w:cs="CMR10" w:ascii="CMR10" w:hAnsi="CMR10"/>
        </w:rPr>
        <w:t>4. each box represents a single use of the corresponding</w:t>
      </w:r>
    </w:p>
    <w:p>
      <w:pPr>
        <w:pStyle w:val="Normal"/>
        <w:spacing w:before="0" w:after="0"/>
        <w:contextualSpacing/>
        <w:jc w:val="left"/>
        <w:rPr>
          <w:rFonts w:ascii="CMR10" w:hAnsi="CMR10" w:eastAsia="CMR10" w:cs="CMR10"/>
        </w:rPr>
      </w:pPr>
      <w:r>
        <w:rPr>
          <w:rFonts w:eastAsia="CMR10" w:cs="CMR10" w:ascii="CMR10" w:hAnsi="CMR10"/>
        </w:rPr>
        <w:t xml:space="preserve">transformation. (p. 2) </w:t>
      </w:r>
    </w:p>
    <w:p>
      <w:pPr>
        <w:pStyle w:val="Normal"/>
        <w:spacing w:before="0" w:after="0"/>
        <w:contextualSpacing/>
        <w:jc w:val="left"/>
        <w:rPr>
          <w:rFonts w:ascii="CMR10" w:hAnsi="CMR10" w:eastAsia="CMR10" w:cs="CMR10"/>
        </w:rPr>
      </w:pPr>
      <w:r>
        <w:rPr>
          <w:rFonts w:eastAsia="CMR10" w:cs="CMR10" w:ascii="CMR10" w:hAnsi="CMR10"/>
        </w:rPr>
      </w:r>
    </w:p>
    <w:p>
      <w:pPr>
        <w:pStyle w:val="Normal"/>
        <w:spacing w:before="0" w:after="0"/>
        <w:contextualSpacing/>
        <w:jc w:val="left"/>
        <w:rPr>
          <w:rFonts w:ascii="CMR10" w:hAnsi="CMR10" w:eastAsia="CMR10" w:cs="CMR10"/>
          <w:color w:val="FF0000"/>
        </w:rPr>
      </w:pPr>
      <w:r>
        <w:rPr>
          <w:rFonts w:eastAsia="CMR10" w:cs="CMR10" w:ascii="CMR10" w:hAnsi="CMR10"/>
          <w:color w:val="FF0000"/>
        </w:rPr>
        <w:t>[Obviously, these maps send directly to the EDWs!!!!]</w:t>
      </w:r>
    </w:p>
    <w:p>
      <w:pPr>
        <w:pStyle w:val="Normal"/>
        <w:spacing w:before="0" w:after="0"/>
        <w:contextualSpacing/>
        <w:jc w:val="left"/>
        <w:rPr>
          <w:rFonts w:ascii="CMR10" w:hAnsi="CMR10" w:eastAsia="CMR10" w:cs="CMR10"/>
          <w:color w:val="FF0000"/>
        </w:rPr>
      </w:pPr>
      <w:r>
        <w:rPr>
          <w:rFonts w:eastAsia="CMR10" w:cs="CMR10" w:ascii="CMR10" w:hAnsi="CMR10"/>
          <w:color w:val="FF0000"/>
        </w:rPr>
      </w:r>
    </w:p>
    <w:p>
      <w:pPr>
        <w:pStyle w:val="Normal"/>
        <w:spacing w:before="0" w:after="0"/>
        <w:contextualSpacing/>
        <w:jc w:val="left"/>
        <w:rPr>
          <w:rFonts w:ascii="CMR10" w:hAnsi="CMR10" w:eastAsia="CMR10" w:cs="CMR10"/>
        </w:rPr>
      </w:pPr>
      <w:r>
        <w:rPr>
          <w:rFonts w:eastAsia="CMR10" w:cs="CMR10" w:ascii="CMR10" w:hAnsi="CMR10"/>
        </w:rPr>
        <w:t>In the rest of the paper we will focus on supermaps that</w:t>
      </w:r>
    </w:p>
    <w:p>
      <w:pPr>
        <w:pStyle w:val="Normal"/>
        <w:spacing w:before="0" w:after="0"/>
        <w:contextualSpacing/>
        <w:jc w:val="left"/>
        <w:rPr>
          <w:rFonts w:ascii="CMR10" w:hAnsi="CMR10" w:eastAsia="CMR10" w:cs="CMR10"/>
        </w:rPr>
      </w:pPr>
      <w:r>
        <w:rPr>
          <w:rFonts w:eastAsia="CMR10" w:cs="CMR10" w:ascii="CMR10" w:hAnsi="CMR10"/>
        </w:rPr>
        <w:t>transform a restricted set of quantum channels, namely</w:t>
      </w:r>
    </w:p>
    <w:p>
      <w:pPr>
        <w:pStyle w:val="Normal"/>
        <w:spacing w:before="0" w:after="0"/>
        <w:contextualSpacing/>
        <w:jc w:val="left"/>
        <w:rPr/>
      </w:pPr>
      <w:r>
        <w:rPr>
          <w:rFonts w:eastAsia="CMR10" w:cs="CMR10" w:ascii="CMR10" w:hAnsi="CMR10"/>
        </w:rPr>
        <w:t xml:space="preserve">the set of (bipartite) </w:t>
      </w:r>
      <w:r>
        <w:rPr>
          <w:rFonts w:eastAsia="CMR10" w:cs="CMTI10" w:ascii="CMTI10" w:hAnsi="CMTI10"/>
        </w:rPr>
        <w:t>no-signalling channels</w:t>
      </w:r>
      <w:r>
        <w:rPr>
          <w:rFonts w:eastAsia="CMR10" w:cs="CMR10" w:ascii="CMR10" w:hAnsi="CMR10"/>
        </w:rPr>
        <w:t>. (p. 5)</w:t>
      </w:r>
    </w:p>
    <w:p>
      <w:pPr>
        <w:pStyle w:val="Normal"/>
        <w:spacing w:before="0" w:after="0"/>
        <w:contextualSpacing/>
        <w:jc w:val="left"/>
        <w:rPr>
          <w:rFonts w:ascii="CMR10" w:hAnsi="CMR10" w:eastAsia="CMR10" w:cs="CMR10"/>
        </w:rPr>
      </w:pPr>
      <w:r>
        <w:rPr>
          <w:rFonts w:eastAsia="CMR10" w:cs="CMR10" w:ascii="CMR10" w:hAnsi="CMR10"/>
        </w:rPr>
      </w:r>
    </w:p>
    <w:p>
      <w:pPr>
        <w:pStyle w:val="Normal"/>
        <w:spacing w:before="0" w:after="0"/>
        <w:contextualSpacing/>
        <w:jc w:val="left"/>
        <w:rPr/>
      </w:pPr>
      <w:r>
        <w:rPr>
          <w:rFonts w:cs="CMBX10" w:ascii="CMBX10" w:hAnsi="CMBX10"/>
        </w:rPr>
        <w:t xml:space="preserve">Theorem 3 (No classical switch of boxes) </w:t>
      </w:r>
      <w:r>
        <w:rPr>
          <w:rFonts w:cs="CMTI10" w:ascii="CMTI10" w:hAnsi="CMTI10"/>
        </w:rPr>
        <w:t>The</w:t>
      </w:r>
    </w:p>
    <w:p>
      <w:pPr>
        <w:pStyle w:val="Normal"/>
        <w:spacing w:before="0" w:after="0"/>
        <w:contextualSpacing/>
        <w:jc w:val="left"/>
        <w:rPr/>
      </w:pPr>
      <w:r>
        <w:rPr>
          <w:rFonts w:cs="CMTI10" w:ascii="CMTI10" w:hAnsi="CMTI10"/>
        </w:rPr>
        <w:t xml:space="preserve">function </w:t>
      </w:r>
      <w:r>
        <w:rPr>
          <w:rFonts w:cs="CMTT10" w:ascii="CMTT10" w:hAnsi="CMTT10"/>
        </w:rPr>
        <w:t xml:space="preserve">SWITCH </w:t>
      </w:r>
      <w:r>
        <w:rPr>
          <w:rFonts w:cs="CMTI10" w:ascii="CMTI10" w:hAnsi="CMTI10"/>
        </w:rPr>
        <w:t>defined in Eq. (13) cannot be computed</w:t>
      </w:r>
    </w:p>
    <w:p>
      <w:pPr>
        <w:pStyle w:val="Normal"/>
        <w:spacing w:before="0" w:after="0"/>
        <w:contextualSpacing/>
        <w:jc w:val="left"/>
        <w:rPr>
          <w:rFonts w:ascii="CMTI10" w:hAnsi="CMTI10" w:cs="CMTI10"/>
        </w:rPr>
      </w:pPr>
      <w:r>
        <w:rPr>
          <w:rFonts w:cs="CMTI10" w:ascii="CMTI10" w:hAnsi="CMTI10"/>
        </w:rPr>
        <w:t>deterministically by a circuit in which the two unknown</w:t>
      </w:r>
    </w:p>
    <w:p>
      <w:pPr>
        <w:pStyle w:val="Normal"/>
        <w:spacing w:before="0" w:after="0"/>
        <w:contextualSpacing/>
        <w:jc w:val="left"/>
        <w:rPr/>
      </w:pPr>
      <w:r>
        <w:rPr>
          <w:rFonts w:cs="CMTI10" w:ascii="CMTI10" w:hAnsi="CMTI10"/>
        </w:rPr>
        <w:t xml:space="preserve">oracles </w:t>
      </w:r>
      <w:r>
        <w:rPr>
          <w:rFonts w:cs="CMMI10" w:ascii="CMMI10" w:hAnsi="CMMI10"/>
        </w:rPr>
        <w:t xml:space="preserve">f </w:t>
      </w:r>
      <w:r>
        <w:rPr>
          <w:rFonts w:cs="CMTI10" w:ascii="CMTI10" w:hAnsi="CMTI10"/>
        </w:rPr>
        <w:t xml:space="preserve">and </w:t>
      </w:r>
      <w:r>
        <w:rPr>
          <w:rFonts w:cs="CMMI10" w:ascii="CMMI10" w:hAnsi="CMMI10"/>
        </w:rPr>
        <w:t xml:space="preserve">g </w:t>
      </w:r>
      <w:r>
        <w:rPr>
          <w:rFonts w:cs="CMTI10" w:ascii="CMTI10" w:hAnsi="CMTI10"/>
        </w:rPr>
        <w:t>are called a single time in a fixed</w:t>
      </w:r>
    </w:p>
    <w:p>
      <w:pPr>
        <w:pStyle w:val="Normal"/>
        <w:spacing w:before="0" w:after="0"/>
        <w:contextualSpacing/>
        <w:jc w:val="left"/>
        <w:rPr>
          <w:rFonts w:ascii="CMTI10" w:hAnsi="CMTI10" w:cs="CMTI10"/>
        </w:rPr>
      </w:pPr>
      <w:r>
        <w:rPr>
          <w:rFonts w:cs="CMTI10" w:ascii="CMTI10" w:hAnsi="CMTI10"/>
        </w:rPr>
        <w:t>causal order. (p. 8)</w:t>
      </w:r>
    </w:p>
    <w:p>
      <w:pPr>
        <w:pStyle w:val="Normal"/>
        <w:tabs>
          <w:tab w:val="clear" w:pos="720"/>
          <w:tab w:val="left" w:pos="2088" w:leader="none"/>
        </w:tabs>
        <w:spacing w:before="0" w:after="0"/>
        <w:contextualSpacing/>
        <w:jc w:val="left"/>
        <w:rPr>
          <w:rFonts w:ascii="CMR10" w:hAnsi="CMR10" w:eastAsia="CMR10" w:cs="CMR10"/>
        </w:rPr>
      </w:pPr>
      <w:r>
        <w:rPr>
          <w:rFonts w:eastAsia="CMR10" w:cs="CMR10" w:ascii="CMR10" w:hAnsi="CMR10"/>
        </w:rPr>
        <w:tab/>
      </w:r>
    </w:p>
    <w:p>
      <w:pPr>
        <w:pStyle w:val="Normal"/>
        <w:spacing w:before="0" w:after="0"/>
        <w:contextualSpacing/>
        <w:jc w:val="left"/>
        <w:rPr>
          <w:rFonts w:ascii="CMBX10" w:hAnsi="CMBX10" w:cs="CMBX10"/>
        </w:rPr>
      </w:pPr>
      <w:r>
        <w:rPr>
          <w:rFonts w:cs="CMBX10" w:ascii="CMBX10" w:hAnsi="CMBX10"/>
        </w:rPr>
        <w:t>Remark 1 (Impossible switches and impossible</w:t>
      </w:r>
    </w:p>
    <w:p>
      <w:pPr>
        <w:pStyle w:val="Normal"/>
        <w:spacing w:before="0" w:after="0"/>
        <w:contextualSpacing/>
        <w:jc w:val="left"/>
        <w:rPr/>
      </w:pPr>
      <w:r>
        <w:rPr>
          <w:rFonts w:cs="CMBX10" w:ascii="CMBX10" w:hAnsi="CMBX10"/>
        </w:rPr>
        <w:t xml:space="preserve">time-travels). </w:t>
      </w:r>
      <w:r>
        <w:rPr>
          <w:rFonts w:eastAsia="CMR10" w:cs="CMR10" w:ascii="CMR10" w:hAnsi="CMR10"/>
        </w:rPr>
        <w:t>As we saw in proposition 1, a circuit</w:t>
      </w:r>
    </w:p>
    <w:p>
      <w:pPr>
        <w:pStyle w:val="Normal"/>
        <w:spacing w:before="0" w:after="0"/>
        <w:contextualSpacing/>
        <w:jc w:val="left"/>
        <w:rPr/>
      </w:pPr>
      <w:r>
        <w:rPr>
          <w:rFonts w:eastAsia="CMR10" w:cs="CMR10" w:ascii="CMR10" w:hAnsi="CMR10"/>
        </w:rPr>
        <w:t xml:space="preserve">switching black boxes would enable a </w:t>
      </w:r>
      <w:r>
        <w:rPr>
          <w:rFonts w:cs="CMTI10" w:ascii="CMTI10" w:hAnsi="CMTI10"/>
        </w:rPr>
        <w:t>deterministic time-</w:t>
      </w:r>
    </w:p>
    <w:p>
      <w:pPr>
        <w:pStyle w:val="Normal"/>
        <w:spacing w:before="0" w:after="0"/>
        <w:contextualSpacing/>
        <w:jc w:val="left"/>
        <w:rPr/>
      </w:pPr>
      <w:r>
        <w:rPr>
          <w:rFonts w:cs="CMTI10" w:ascii="CMTI10" w:hAnsi="CMTI10"/>
        </w:rPr>
        <w:t>travel</w:t>
      </w:r>
      <w:r>
        <w:rPr>
          <w:rFonts w:eastAsia="CMR10" w:cs="CMR10" w:ascii="CMR10" w:hAnsi="CMR10"/>
        </w:rPr>
        <w:t>, where the state of a qubit on the top is teleported</w:t>
      </w:r>
    </w:p>
    <w:p>
      <w:pPr>
        <w:pStyle w:val="Normal"/>
        <w:spacing w:before="0" w:after="0"/>
        <w:contextualSpacing/>
        <w:jc w:val="left"/>
        <w:rPr>
          <w:rFonts w:ascii="CMR10" w:hAnsi="CMR10" w:eastAsia="CMR10" w:cs="CMR10"/>
        </w:rPr>
      </w:pPr>
      <w:r>
        <w:rPr>
          <w:rFonts w:eastAsia="CMR10" w:cs="CMR10" w:ascii="CMR10" w:hAnsi="CMR10"/>
        </w:rPr>
        <w:t>back into the past. It is worth mentioning that the converse</w:t>
      </w:r>
    </w:p>
    <w:p>
      <w:pPr>
        <w:pStyle w:val="Normal"/>
        <w:spacing w:before="0" w:after="0"/>
        <w:contextualSpacing/>
        <w:jc w:val="left"/>
        <w:rPr>
          <w:rFonts w:ascii="CMR10" w:hAnsi="CMR10" w:eastAsia="CMR10" w:cs="CMR10"/>
        </w:rPr>
      </w:pPr>
      <w:r>
        <w:rPr>
          <w:rFonts w:eastAsia="CMR10" w:cs="CMR10" w:ascii="CMR10" w:hAnsi="CMR10"/>
        </w:rPr>
        <w:t>is also true: having access to an hypothetical time</w:t>
      </w:r>
    </w:p>
    <w:p>
      <w:pPr>
        <w:pStyle w:val="Normal"/>
        <w:spacing w:before="0" w:after="0"/>
        <w:contextualSpacing/>
        <w:jc w:val="left"/>
        <w:rPr>
          <w:rFonts w:ascii="CMR10" w:hAnsi="CMR10" w:eastAsia="CMR10" w:cs="CMR10"/>
        </w:rPr>
      </w:pPr>
      <w:r>
        <w:rPr>
          <w:rFonts w:eastAsia="CMR10" w:cs="CMR10" w:ascii="CMR10" w:hAnsi="CMR10"/>
        </w:rPr>
        <w:t>travel machine sending qubits from the future to the past</w:t>
      </w:r>
    </w:p>
    <w:p>
      <w:pPr>
        <w:pStyle w:val="Normal"/>
        <w:spacing w:before="0" w:after="0"/>
        <w:contextualSpacing/>
        <w:jc w:val="left"/>
        <w:rPr>
          <w:rFonts w:ascii="CMR10" w:hAnsi="CMR10" w:eastAsia="CMR10" w:cs="CMR10"/>
        </w:rPr>
      </w:pPr>
      <w:r>
        <w:rPr>
          <w:rFonts w:eastAsia="CMR10" w:cs="CMR10" w:ascii="CMR10" w:hAnsi="CMR10"/>
        </w:rPr>
        <w:t>would allow one to build a computational circuit for the</w:t>
      </w:r>
    </w:p>
    <w:p>
      <w:pPr>
        <w:pStyle w:val="Normal"/>
        <w:tabs>
          <w:tab w:val="clear" w:pos="720"/>
          <w:tab w:val="left" w:pos="2088" w:leader="none"/>
        </w:tabs>
        <w:spacing w:before="0" w:after="0"/>
        <w:contextualSpacing/>
        <w:jc w:val="left"/>
        <w:rPr/>
      </w:pPr>
      <w:r>
        <w:rPr>
          <w:rFonts w:eastAsia="CMR10" w:cs="CMR10" w:ascii="CMR10" w:hAnsi="CMR10"/>
        </w:rPr>
        <w:t xml:space="preserve">program </w:t>
      </w:r>
      <w:r>
        <w:rPr>
          <w:rFonts w:cs="CMTT10" w:ascii="CMTT10" w:hAnsi="CMTT10"/>
        </w:rPr>
        <w:t>SWITCH</w:t>
      </w:r>
      <w:r>
        <w:rPr>
          <w:rFonts w:eastAsia="CMR10" w:cs="CMR10" w:ascii="CMR10" w:hAnsi="CMR10"/>
        </w:rPr>
        <w:t>. (p. 10)</w:t>
      </w:r>
    </w:p>
    <w:p>
      <w:pPr>
        <w:pStyle w:val="Normal"/>
        <w:spacing w:before="0" w:after="0"/>
        <w:contextualSpacing/>
        <w:jc w:val="left"/>
        <w:rPr/>
      </w:pPr>
      <w:r>
        <w:rPr>
          <w:rFonts w:eastAsia="CMR10" w:cs="CMR10" w:ascii="CMR10" w:hAnsi="CMR10"/>
        </w:rPr>
        <w:t xml:space="preserve"> </w:t>
      </w:r>
      <w:r>
        <w:rPr>
          <w:rFonts w:cs="CMBX10" w:ascii="CMBX10" w:hAnsi="CMBX10"/>
        </w:rPr>
        <w:t>Proposition 2 (Closed timelike curves enable a</w:t>
      </w:r>
    </w:p>
    <w:p>
      <w:pPr>
        <w:pStyle w:val="Normal"/>
        <w:spacing w:before="0" w:after="0"/>
        <w:contextualSpacing/>
        <w:jc w:val="left"/>
        <w:rPr/>
      </w:pPr>
      <w:r>
        <w:rPr>
          <w:rFonts w:cs="CMBX10" w:ascii="CMBX10" w:hAnsi="CMBX10"/>
        </w:rPr>
        <w:t xml:space="preserve">circuit realization of the </w:t>
      </w:r>
      <w:r>
        <w:rPr>
          <w:rFonts w:cs="CMTT10" w:ascii="CMTT10" w:hAnsi="CMTT10"/>
        </w:rPr>
        <w:t xml:space="preserve">SWITCH </w:t>
      </w:r>
      <w:r>
        <w:rPr>
          <w:rFonts w:cs="CMBX10" w:ascii="CMBX10" w:hAnsi="CMBX10"/>
        </w:rPr>
        <w:t xml:space="preserve">program) </w:t>
      </w:r>
      <w:r>
        <w:rPr>
          <w:rFonts w:cs="CMTI10" w:ascii="CMTI10" w:hAnsi="CMTI10"/>
        </w:rPr>
        <w:t>If ac-</w:t>
      </w:r>
    </w:p>
    <w:p>
      <w:pPr>
        <w:pStyle w:val="Normal"/>
        <w:spacing w:before="0" w:after="0"/>
        <w:contextualSpacing/>
        <w:jc w:val="left"/>
        <w:rPr>
          <w:rFonts w:ascii="CMTI10" w:hAnsi="CMTI10" w:cs="CMTI10"/>
        </w:rPr>
      </w:pPr>
      <w:r>
        <w:rPr>
          <w:rFonts w:cs="CMTI10" w:ascii="CMTI10" w:hAnsi="CMTI10"/>
        </w:rPr>
        <w:t>cess to a closed timelike curve were available, then the</w:t>
      </w:r>
    </w:p>
    <w:p>
      <w:pPr>
        <w:pStyle w:val="Normal"/>
        <w:spacing w:before="0" w:after="0"/>
        <w:contextualSpacing/>
        <w:jc w:val="left"/>
        <w:rPr/>
      </w:pPr>
      <w:r>
        <w:rPr>
          <w:rFonts w:cs="CMTI10" w:ascii="CMTI10" w:hAnsi="CMTI10"/>
        </w:rPr>
        <w:t xml:space="preserve">program </w:t>
      </w:r>
      <w:r>
        <w:rPr>
          <w:rFonts w:cs="CMTT10" w:ascii="CMTT10" w:hAnsi="CMTT10"/>
        </w:rPr>
        <w:t xml:space="preserve">SWITCH </w:t>
      </w:r>
      <w:r>
        <w:rPr>
          <w:rFonts w:cs="CMTI10" w:ascii="CMTI10" w:hAnsi="CMTI10"/>
        </w:rPr>
        <w:t>could be implemented deterministically</w:t>
      </w:r>
    </w:p>
    <w:p>
      <w:pPr>
        <w:pStyle w:val="Normal"/>
        <w:tabs>
          <w:tab w:val="clear" w:pos="720"/>
          <w:tab w:val="left" w:pos="2088" w:leader="none"/>
        </w:tabs>
        <w:spacing w:before="0" w:after="0"/>
        <w:contextualSpacing/>
        <w:jc w:val="left"/>
        <w:rPr/>
      </w:pPr>
      <w:r>
        <w:rPr>
          <w:rFonts w:cs="CMTI10" w:ascii="CMTI10" w:hAnsi="CMTI10"/>
        </w:rPr>
        <w:t xml:space="preserve">by inserting the two black boxes </w:t>
      </w:r>
      <w:r>
        <w:rPr>
          <w:rFonts w:cs="CMMI10" w:ascii="CMMI10" w:hAnsi="CMMI10"/>
        </w:rPr>
        <w:t xml:space="preserve">f </w:t>
      </w:r>
      <w:r>
        <w:rPr>
          <w:rFonts w:cs="CMTI10" w:ascii="CMTI10" w:hAnsi="CMTI10"/>
        </w:rPr>
        <w:t xml:space="preserve">and </w:t>
      </w:r>
      <w:r>
        <w:rPr>
          <w:rFonts w:cs="CMMI10" w:ascii="CMMI10" w:hAnsi="CMMI10"/>
        </w:rPr>
        <w:t xml:space="preserve">g </w:t>
      </w:r>
      <w:r>
        <w:rPr>
          <w:rFonts w:cs="CMTI10" w:ascii="CMTI10" w:hAnsi="CMTI10"/>
        </w:rPr>
        <w:t>in a circuit. (p. 10)</w:t>
      </w:r>
    </w:p>
    <w:p>
      <w:pPr>
        <w:pStyle w:val="Normal"/>
        <w:tabs>
          <w:tab w:val="clear" w:pos="720"/>
          <w:tab w:val="left" w:pos="2088" w:leader="none"/>
        </w:tabs>
        <w:spacing w:before="0" w:after="0"/>
        <w:contextualSpacing/>
        <w:jc w:val="left"/>
        <w:rPr>
          <w:rFonts w:ascii="CMR10" w:hAnsi="CMR10" w:eastAsia="CMR10" w:cs="CMR10"/>
        </w:rPr>
      </w:pPr>
      <w:r>
        <w:rPr>
          <w:rFonts w:eastAsia="CMR10" w:cs="CMR10" w:ascii="CMR10" w:hAnsi="CMR10"/>
        </w:rPr>
      </w:r>
    </w:p>
    <w:p>
      <w:pPr>
        <w:pStyle w:val="Normal"/>
        <w:spacing w:before="0" w:after="0"/>
        <w:contextualSpacing/>
        <w:jc w:val="left"/>
        <w:rPr>
          <w:rFonts w:ascii="CMBX9" w:hAnsi="CMBX9" w:cs="CMBX9"/>
          <w:sz w:val="18"/>
          <w:szCs w:val="18"/>
        </w:rPr>
      </w:pPr>
      <w:r>
        <w:rPr>
          <w:rFonts w:cs="CMBX9" w:ascii="CMBX9" w:hAnsi="CMBX9"/>
          <w:sz w:val="18"/>
          <w:szCs w:val="18"/>
        </w:rPr>
        <w:t>V. WAYS AROUND THE NO-GO THEOREM</w:t>
      </w:r>
    </w:p>
    <w:p>
      <w:pPr>
        <w:pStyle w:val="Normal"/>
        <w:spacing w:before="0" w:after="0"/>
        <w:contextualSpacing/>
        <w:jc w:val="left"/>
        <w:rPr>
          <w:rFonts w:ascii="CMR10" w:hAnsi="CMR10" w:eastAsia="CMR10" w:cs="CMR10"/>
        </w:rPr>
      </w:pPr>
      <w:r>
        <w:rPr>
          <w:rFonts w:eastAsia="CMR10" w:cs="CMR10" w:ascii="CMR10" w:hAnsi="CMR10"/>
        </w:rPr>
        <w:t>The problem with the realization of the program</w:t>
      </w:r>
    </w:p>
    <w:p>
      <w:pPr>
        <w:pStyle w:val="Normal"/>
        <w:spacing w:before="0" w:after="0"/>
        <w:contextualSpacing/>
        <w:jc w:val="left"/>
        <w:rPr/>
      </w:pPr>
      <w:r>
        <w:rPr>
          <w:rFonts w:cs="CMTT10" w:ascii="CMTT10" w:hAnsi="CMTT10"/>
        </w:rPr>
        <w:t xml:space="preserve">SWITCH </w:t>
      </w:r>
      <w:r>
        <w:rPr>
          <w:rFonts w:eastAsia="CMR10" w:cs="CMR10" w:ascii="CMR10" w:hAnsi="CMR10"/>
        </w:rPr>
        <w:t>by insertion in a ordinary circuit is due to four</w:t>
      </w:r>
    </w:p>
    <w:p>
      <w:pPr>
        <w:pStyle w:val="Normal"/>
        <w:spacing w:before="0" w:after="0"/>
        <w:contextualSpacing/>
        <w:jc w:val="left"/>
        <w:rPr>
          <w:rFonts w:ascii="CMR10" w:hAnsi="CMR10" w:eastAsia="CMR10" w:cs="CMR10"/>
        </w:rPr>
      </w:pPr>
      <w:r>
        <w:rPr>
          <w:rFonts w:eastAsia="CMR10" w:cs="CMR10" w:ascii="CMR10" w:hAnsi="CMR10"/>
        </w:rPr>
        <w:t>different facts that are assumed in the hypothesis of the</w:t>
      </w:r>
    </w:p>
    <w:p>
      <w:pPr>
        <w:pStyle w:val="Normal"/>
        <w:spacing w:before="0" w:after="0"/>
        <w:contextualSpacing/>
        <w:jc w:val="left"/>
        <w:rPr>
          <w:rFonts w:ascii="CMR10" w:hAnsi="CMR10" w:eastAsia="CMR10" w:cs="CMR10"/>
        </w:rPr>
      </w:pPr>
      <w:r>
        <w:rPr>
          <w:rFonts w:eastAsia="CMR10" w:cs="CMR10" w:ascii="CMR10" w:hAnsi="CMR10"/>
        </w:rPr>
        <w:t>no-go theorem:</w:t>
      </w:r>
    </w:p>
    <w:p>
      <w:pPr>
        <w:pStyle w:val="Normal"/>
        <w:spacing w:before="0" w:after="0"/>
        <w:contextualSpacing/>
        <w:jc w:val="left"/>
        <w:rPr/>
      </w:pPr>
      <w:r>
        <w:rPr>
          <w:rFonts w:eastAsia="CMR10" w:cs="CMR10" w:ascii="CMR10" w:hAnsi="CMR10"/>
        </w:rPr>
        <w:t xml:space="preserve">1. the facts that the functions </w:t>
      </w:r>
      <w:r>
        <w:rPr>
          <w:rFonts w:cs="CMMI10" w:ascii="CMMI10" w:hAnsi="CMMI10"/>
        </w:rPr>
        <w:t xml:space="preserve">f </w:t>
      </w:r>
      <w:r>
        <w:rPr>
          <w:rFonts w:eastAsia="CMR10" w:cs="CMR10" w:ascii="CMR10" w:hAnsi="CMR10"/>
        </w:rPr>
        <w:t xml:space="preserve">and </w:t>
      </w:r>
      <w:r>
        <w:rPr>
          <w:rFonts w:cs="CMMI10" w:ascii="CMMI10" w:hAnsi="CMMI10"/>
        </w:rPr>
        <w:t xml:space="preserve">g </w:t>
      </w:r>
      <w:r>
        <w:rPr>
          <w:rFonts w:eastAsia="CMR10" w:cs="CMR10" w:ascii="CMR10" w:hAnsi="CMR10"/>
        </w:rPr>
        <w:t>are provided</w:t>
      </w:r>
    </w:p>
    <w:p>
      <w:pPr>
        <w:pStyle w:val="Normal"/>
        <w:spacing w:before="0" w:after="0"/>
        <w:contextualSpacing/>
        <w:jc w:val="left"/>
        <w:rPr/>
      </w:pPr>
      <w:r>
        <w:rPr>
          <w:rFonts w:eastAsia="CMR10" w:cs="CMR10" w:ascii="CMR10" w:hAnsi="CMR10"/>
        </w:rPr>
        <w:t xml:space="preserve">as </w:t>
      </w:r>
      <w:r>
        <w:rPr>
          <w:rFonts w:cs="CMTI10" w:ascii="CMTI10" w:hAnsi="CMTI10"/>
        </w:rPr>
        <w:t>black boxes</w:t>
      </w:r>
    </w:p>
    <w:p>
      <w:pPr>
        <w:pStyle w:val="Normal"/>
        <w:spacing w:before="0" w:after="0"/>
        <w:contextualSpacing/>
        <w:jc w:val="left"/>
        <w:rPr/>
      </w:pPr>
      <w:r>
        <w:rPr>
          <w:rFonts w:eastAsia="CMR10" w:cs="CMR10" w:ascii="CMR10" w:hAnsi="CMR10"/>
        </w:rPr>
        <w:t xml:space="preserve">2. the fact that the black boxes can be called </w:t>
      </w:r>
      <w:r>
        <w:rPr>
          <w:rFonts w:cs="CMTI10" w:ascii="CMTI10" w:hAnsi="CMTI10"/>
        </w:rPr>
        <w:t>only</w:t>
      </w:r>
    </w:p>
    <w:p>
      <w:pPr>
        <w:pStyle w:val="Normal"/>
        <w:spacing w:before="0" w:after="0"/>
        <w:contextualSpacing/>
        <w:jc w:val="left"/>
        <w:rPr/>
      </w:pPr>
      <w:r>
        <w:rPr>
          <w:rFonts w:cs="CMTI10" w:ascii="CMTI10" w:hAnsi="CMTI10"/>
        </w:rPr>
        <w:t xml:space="preserve">once </w:t>
      </w:r>
      <w:r>
        <w:rPr>
          <w:rFonts w:eastAsia="CMR10" w:cs="CMR10" w:ascii="CMR10" w:hAnsi="CMR10"/>
        </w:rPr>
        <w:t>in the run of the circuit</w:t>
      </w:r>
    </w:p>
    <w:p>
      <w:pPr>
        <w:pStyle w:val="Normal"/>
        <w:spacing w:before="0" w:after="0"/>
        <w:contextualSpacing/>
        <w:jc w:val="left"/>
        <w:rPr/>
      </w:pPr>
      <w:r>
        <w:rPr>
          <w:rFonts w:eastAsia="CMR10" w:cs="CMR10" w:ascii="CMR10" w:hAnsi="CMR10"/>
        </w:rPr>
        <w:t xml:space="preserve">3. the fact that </w:t>
      </w:r>
      <w:r>
        <w:rPr>
          <w:rFonts w:cs="CMTI10" w:ascii="CMTI10" w:hAnsi="CMTI10"/>
        </w:rPr>
        <w:t>time loops are forbidden</w:t>
      </w:r>
    </w:p>
    <w:p>
      <w:pPr>
        <w:pStyle w:val="Normal"/>
        <w:spacing w:before="0" w:after="0"/>
        <w:contextualSpacing/>
        <w:jc w:val="left"/>
        <w:rPr/>
      </w:pPr>
      <w:r>
        <w:rPr>
          <w:rFonts w:eastAsia="CMR10" w:cs="CMR10" w:ascii="CMR10" w:hAnsi="CMR10"/>
        </w:rPr>
        <w:t xml:space="preserve">4. the fact that the circuit is required to be </w:t>
      </w:r>
      <w:r>
        <w:rPr>
          <w:rFonts w:cs="CMTI10" w:ascii="CMTI10" w:hAnsi="CMTI10"/>
        </w:rPr>
        <w:t>determin-</w:t>
      </w:r>
    </w:p>
    <w:p>
      <w:pPr>
        <w:pStyle w:val="Normal"/>
        <w:spacing w:before="0" w:after="0"/>
        <w:contextualSpacing/>
        <w:jc w:val="left"/>
        <w:rPr/>
      </w:pPr>
      <w:r>
        <w:rPr>
          <w:rFonts w:cs="CMTI10" w:ascii="CMTI10" w:hAnsi="CMTI10"/>
        </w:rPr>
        <w:t>istic</w:t>
      </w:r>
      <w:r>
        <w:rPr>
          <w:rFonts w:eastAsia="CMR10" w:cs="CMR10" w:ascii="CMR10" w:hAnsi="CMR10"/>
        </w:rPr>
        <w:t>.</w:t>
      </w:r>
    </w:p>
    <w:p>
      <w:pPr>
        <w:pStyle w:val="Normal"/>
        <w:spacing w:before="0" w:after="0"/>
        <w:contextualSpacing/>
        <w:jc w:val="left"/>
        <w:rPr>
          <w:rFonts w:ascii="CMR10" w:hAnsi="CMR10" w:eastAsia="CMR10" w:cs="CMR10"/>
        </w:rPr>
      </w:pPr>
      <w:r>
        <w:rPr>
          <w:rFonts w:eastAsia="CMR10" w:cs="CMR10" w:ascii="CMR10" w:hAnsi="CMR10"/>
        </w:rPr>
        <w:t>We will now show that, by relaxing any of these requirements,</w:t>
      </w:r>
    </w:p>
    <w:p>
      <w:pPr>
        <w:pStyle w:val="Normal"/>
        <w:spacing w:before="0" w:after="0"/>
        <w:contextualSpacing/>
        <w:jc w:val="left"/>
        <w:rPr>
          <w:rFonts w:ascii="CMR10" w:hAnsi="CMR10" w:eastAsia="CMR10" w:cs="CMR10"/>
        </w:rPr>
      </w:pPr>
      <w:r>
        <w:rPr>
          <w:rFonts w:eastAsia="CMR10" w:cs="CMR10" w:ascii="CMR10" w:hAnsi="CMR10"/>
        </w:rPr>
        <w:t>one can find a way around the no-go theorem</w:t>
      </w:r>
    </w:p>
    <w:p>
      <w:pPr>
        <w:pStyle w:val="Normal"/>
        <w:tabs>
          <w:tab w:val="clear" w:pos="720"/>
          <w:tab w:val="left" w:pos="2088" w:leader="none"/>
        </w:tabs>
        <w:spacing w:before="0" w:after="0"/>
        <w:contextualSpacing/>
        <w:jc w:val="left"/>
        <w:rPr>
          <w:rFonts w:ascii="CMR10" w:hAnsi="CMR10" w:eastAsia="CMR10" w:cs="CMR10"/>
        </w:rPr>
      </w:pPr>
      <w:r>
        <w:rPr>
          <w:rFonts w:eastAsia="CMR10" w:cs="CMR10" w:ascii="CMR10" w:hAnsi="CMR10"/>
        </w:rPr>
        <w:t xml:space="preserve">of the previous section. (p. 11) </w:t>
      </w:r>
    </w:p>
    <w:p>
      <w:pPr>
        <w:pStyle w:val="Normal"/>
        <w:tabs>
          <w:tab w:val="clear" w:pos="720"/>
          <w:tab w:val="left" w:pos="2088" w:leader="none"/>
        </w:tabs>
        <w:spacing w:before="0" w:after="0"/>
        <w:contextualSpacing/>
        <w:jc w:val="left"/>
        <w:rPr>
          <w:rFonts w:ascii="CMR10" w:hAnsi="CMR10" w:eastAsia="CMR10" w:cs="CMR10"/>
        </w:rPr>
      </w:pPr>
      <w:r>
        <w:rPr>
          <w:rFonts w:eastAsia="CMR10" w:cs="CMR10" w:ascii="CMR10" w:hAnsi="CMR10"/>
        </w:rPr>
      </w:r>
    </w:p>
    <w:p>
      <w:pPr>
        <w:pStyle w:val="Normal"/>
        <w:spacing w:before="0" w:after="0"/>
        <w:contextualSpacing/>
        <w:jc w:val="left"/>
        <w:rPr>
          <w:rFonts w:ascii="CMR10" w:hAnsi="CMR10" w:eastAsia="CMR10" w:cs="CMR10"/>
        </w:rPr>
      </w:pPr>
      <w:r>
        <w:rPr>
          <w:rFonts w:eastAsia="CMR10" w:cs="CMR10" w:ascii="CMR10" w:hAnsi="CMR10"/>
        </w:rPr>
        <w:t>Another factor that prevents the implementation of</w:t>
      </w:r>
    </w:p>
    <w:p>
      <w:pPr>
        <w:pStyle w:val="Normal"/>
        <w:spacing w:before="0" w:after="0"/>
        <w:contextualSpacing/>
        <w:jc w:val="left"/>
        <w:rPr/>
      </w:pPr>
      <w:r>
        <w:rPr>
          <w:rFonts w:eastAsia="CMR10" w:cs="CMR10" w:ascii="CMR10" w:hAnsi="CMR10"/>
        </w:rPr>
        <w:t xml:space="preserve">the program </w:t>
      </w:r>
      <w:r>
        <w:rPr>
          <w:rFonts w:eastAsia="CMR10" w:cs="CMTT10" w:ascii="CMTT10" w:hAnsi="CMTT10"/>
        </w:rPr>
        <w:t xml:space="preserve">SWITCH </w:t>
      </w:r>
      <w:r>
        <w:rPr>
          <w:rFonts w:eastAsia="CMR10" w:cs="CMR10" w:ascii="CMR10" w:hAnsi="CMR10"/>
        </w:rPr>
        <w:t>as a computational circuit is the</w:t>
      </w:r>
    </w:p>
    <w:p>
      <w:pPr>
        <w:pStyle w:val="Normal"/>
        <w:tabs>
          <w:tab w:val="clear" w:pos="720"/>
          <w:tab w:val="left" w:pos="2088" w:leader="none"/>
        </w:tabs>
        <w:spacing w:before="0" w:after="0"/>
        <w:contextualSpacing/>
        <w:jc w:val="left"/>
        <w:rPr/>
      </w:pPr>
      <w:r>
        <w:rPr>
          <w:rFonts w:eastAsia="CMR10" w:cs="CMR10" w:ascii="CMR10" w:hAnsi="CMR10"/>
        </w:rPr>
        <w:t xml:space="preserve">requirement that the program succeeds </w:t>
      </w:r>
      <w:r>
        <w:rPr>
          <w:rFonts w:eastAsia="CMR10" w:cs="CMTI10" w:ascii="CMTI10" w:hAnsi="CMTI10"/>
        </w:rPr>
        <w:t>deterministically</w:t>
      </w:r>
      <w:r>
        <w:rPr>
          <w:rFonts w:eastAsia="CMR10" w:cs="CMR10" w:ascii="CMR10" w:hAnsi="CMR10"/>
        </w:rPr>
        <w:t xml:space="preserve">. (p. 12) </w:t>
      </w:r>
    </w:p>
    <w:p>
      <w:pPr>
        <w:pStyle w:val="Normal"/>
        <w:tabs>
          <w:tab w:val="clear" w:pos="720"/>
          <w:tab w:val="left" w:pos="2088" w:leader="none"/>
        </w:tabs>
        <w:spacing w:before="0" w:after="0"/>
        <w:contextualSpacing/>
        <w:jc w:val="left"/>
        <w:rPr>
          <w:rFonts w:ascii="CMR10" w:hAnsi="CMR10" w:eastAsia="CMR10" w:cs="CMR10"/>
        </w:rPr>
      </w:pPr>
      <w:r>
        <w:rPr>
          <w:rFonts w:eastAsia="CMR10" w:cs="CMR10" w:ascii="CMR10" w:hAnsi="CMR10"/>
        </w:rPr>
      </w:r>
    </w:p>
    <w:p>
      <w:pPr>
        <w:pStyle w:val="Normal"/>
        <w:spacing w:before="0" w:after="0"/>
        <w:contextualSpacing/>
        <w:jc w:val="left"/>
        <w:rPr>
          <w:rFonts w:ascii="CMBX9" w:hAnsi="CMBX9" w:cs="CMBX9"/>
          <w:sz w:val="18"/>
          <w:szCs w:val="18"/>
        </w:rPr>
      </w:pPr>
      <w:r>
        <w:rPr>
          <w:rFonts w:cs="CMBX9" w:ascii="CMBX9" w:hAnsi="CMBX9"/>
          <w:sz w:val="18"/>
          <w:szCs w:val="18"/>
        </w:rPr>
        <w:t>VII. A NEW RESOURCE: THE QUANTUM</w:t>
      </w:r>
    </w:p>
    <w:p>
      <w:pPr>
        <w:pStyle w:val="Normal"/>
        <w:spacing w:before="0" w:after="0"/>
        <w:contextualSpacing/>
        <w:jc w:val="left"/>
        <w:rPr>
          <w:rFonts w:ascii="CMBX9" w:hAnsi="CMBX9" w:cs="CMBX9"/>
          <w:sz w:val="18"/>
          <w:szCs w:val="18"/>
        </w:rPr>
      </w:pPr>
      <w:r>
        <w:rPr>
          <w:rFonts w:cs="CMBX9" w:ascii="CMBX9" w:hAnsi="CMBX9"/>
          <w:sz w:val="18"/>
          <w:szCs w:val="18"/>
        </w:rPr>
        <w:t>SWITCH OF BOXES</w:t>
      </w:r>
    </w:p>
    <w:p>
      <w:pPr>
        <w:pStyle w:val="Normal"/>
        <w:spacing w:before="0" w:after="0"/>
        <w:contextualSpacing/>
        <w:jc w:val="left"/>
        <w:rPr/>
      </w:pPr>
      <w:r>
        <w:rPr>
          <w:rFonts w:eastAsia="CMR10" w:cs="CMR10" w:ascii="CMR10" w:hAnsi="CMR10"/>
        </w:rPr>
        <w:t xml:space="preserve">While representing automated </w:t>
      </w:r>
      <w:r>
        <w:rPr>
          <w:rFonts w:cs="CMTI10" w:ascii="CMTI10" w:hAnsi="CMTI10"/>
        </w:rPr>
        <w:t xml:space="preserve">classical control </w:t>
      </w:r>
      <w:r>
        <w:rPr>
          <w:rFonts w:eastAsia="CMR10" w:cs="CMR10" w:ascii="CMR10" w:hAnsi="CMR10"/>
        </w:rPr>
        <w:t>of</w:t>
      </w:r>
    </w:p>
    <w:p>
      <w:pPr>
        <w:pStyle w:val="Normal"/>
        <w:spacing w:before="0" w:after="0"/>
        <w:contextualSpacing/>
        <w:jc w:val="left"/>
        <w:rPr>
          <w:rFonts w:ascii="CMR10" w:hAnsi="CMR10" w:eastAsia="CMR10" w:cs="CMR10"/>
        </w:rPr>
      </w:pPr>
      <w:r>
        <w:rPr>
          <w:rFonts w:eastAsia="CMR10" w:cs="CMR10" w:ascii="CMR10" w:hAnsi="CMR10"/>
        </w:rPr>
        <w:t>causal sequences of operations allows one to implement</w:t>
      </w:r>
    </w:p>
    <w:p>
      <w:pPr>
        <w:pStyle w:val="Normal"/>
        <w:spacing w:before="0" w:after="0"/>
        <w:contextualSpacing/>
        <w:jc w:val="left"/>
        <w:rPr/>
      </w:pPr>
      <w:r>
        <w:rPr>
          <w:rFonts w:eastAsia="CMR10" w:cs="CMR10" w:ascii="CMR10" w:hAnsi="CMR10"/>
        </w:rPr>
        <w:t xml:space="preserve">the program </w:t>
      </w:r>
      <w:r>
        <w:rPr>
          <w:rFonts w:cs="CMTT10" w:ascii="CMTT10" w:hAnsi="CMTT10"/>
        </w:rPr>
        <w:t xml:space="preserve">SWITCH </w:t>
      </w:r>
      <w:r>
        <w:rPr>
          <w:rFonts w:eastAsia="CMR10" w:cs="CMR10" w:ascii="CMR10" w:hAnsi="CMR10"/>
        </w:rPr>
        <w:t>within the computational circuit</w:t>
      </w:r>
    </w:p>
    <w:p>
      <w:pPr>
        <w:pStyle w:val="Normal"/>
        <w:spacing w:before="0" w:after="0"/>
        <w:contextualSpacing/>
        <w:jc w:val="left"/>
        <w:rPr/>
      </w:pPr>
      <w:r>
        <w:rPr>
          <w:rFonts w:eastAsia="CMR10" w:cs="CMR10" w:ascii="CMR10" w:hAnsi="CMR10"/>
        </w:rPr>
        <w:t xml:space="preserve">model, it leaves unanswered the question how </w:t>
      </w:r>
      <w:r>
        <w:rPr>
          <w:rFonts w:cs="CMTI10" w:ascii="CMTI10" w:hAnsi="CMTI10"/>
        </w:rPr>
        <w:t>quan-</w:t>
      </w:r>
    </w:p>
    <w:p>
      <w:pPr>
        <w:pStyle w:val="Normal"/>
        <w:spacing w:before="0" w:after="0"/>
        <w:contextualSpacing/>
        <w:jc w:val="left"/>
        <w:rPr/>
      </w:pPr>
      <w:r>
        <w:rPr>
          <w:rFonts w:cs="CMTI10" w:ascii="CMTI10" w:hAnsi="CMTI10"/>
        </w:rPr>
        <w:t xml:space="preserve">tum control </w:t>
      </w:r>
      <w:r>
        <w:rPr>
          <w:rFonts w:eastAsia="CMR10" w:cs="CMR10" w:ascii="CMR10" w:hAnsi="CMR10"/>
        </w:rPr>
        <w:t>of causal sequences of operations can be described.</w:t>
      </w:r>
    </w:p>
    <w:p>
      <w:pPr>
        <w:pStyle w:val="Normal"/>
        <w:spacing w:before="0" w:after="0"/>
        <w:contextualSpacing/>
        <w:jc w:val="left"/>
        <w:rPr>
          <w:rFonts w:ascii="CMR10" w:hAnsi="CMR10" w:eastAsia="CMR10" w:cs="CMR10"/>
        </w:rPr>
      </w:pPr>
      <w:r>
        <w:rPr>
          <w:rFonts w:eastAsia="CMR10" w:cs="CMR10" w:ascii="CMR10" w:hAnsi="CMR10"/>
        </w:rPr>
        <w:t>We can of course imagine a further generalization</w:t>
      </w:r>
    </w:p>
    <w:p>
      <w:pPr>
        <w:pStyle w:val="Normal"/>
        <w:spacing w:before="0" w:after="0"/>
        <w:contextualSpacing/>
        <w:jc w:val="left"/>
        <w:rPr>
          <w:rFonts w:ascii="CMR10" w:hAnsi="CMR10" w:eastAsia="CMR10" w:cs="CMR10"/>
        </w:rPr>
      </w:pPr>
      <w:r>
        <w:rPr>
          <w:rFonts w:eastAsia="CMR10" w:cs="CMR10" w:ascii="CMR10" w:hAnsi="CMR10"/>
        </w:rPr>
        <w:t>of the oracle, allowing for quantum control, with the</w:t>
      </w:r>
    </w:p>
    <w:p>
      <w:pPr>
        <w:pStyle w:val="Normal"/>
        <w:spacing w:before="0" w:after="0"/>
        <w:contextualSpacing/>
        <w:jc w:val="left"/>
        <w:rPr>
          <w:rFonts w:ascii="CMR10" w:hAnsi="CMR10" w:eastAsia="CMR10" w:cs="CMR10"/>
        </w:rPr>
      </w:pPr>
      <w:r>
        <w:rPr>
          <w:rFonts w:eastAsia="CMR10" w:cs="CMR10" w:ascii="CMR10" w:hAnsi="CMR10"/>
        </w:rPr>
        <w:t>control qubit that preserves coherence and becomes entangled</w:t>
      </w:r>
    </w:p>
    <w:p>
      <w:pPr>
        <w:pStyle w:val="Normal"/>
        <w:spacing w:before="0" w:after="0"/>
        <w:contextualSpacing/>
        <w:jc w:val="left"/>
        <w:rPr/>
      </w:pPr>
      <w:r>
        <w:rPr>
          <w:rFonts w:eastAsia="CMR10" w:cs="CMR10" w:ascii="CMR10" w:hAnsi="CMR10"/>
        </w:rPr>
        <w:t xml:space="preserve">with the causal ordering of boxes </w:t>
      </w:r>
      <w:r>
        <w:rPr>
          <w:rFonts w:cs="CMMI10" w:ascii="CMMI10" w:hAnsi="CMMI10"/>
        </w:rPr>
        <w:t xml:space="preserve">f </w:t>
      </w:r>
      <w:r>
        <w:rPr>
          <w:rFonts w:eastAsia="CMR10" w:cs="CMR10" w:ascii="CMR10" w:hAnsi="CMR10"/>
        </w:rPr>
        <w:t xml:space="preserve">and </w:t>
      </w:r>
      <w:r>
        <w:rPr>
          <w:rFonts w:cs="CMMI10" w:ascii="CMMI10" w:hAnsi="CMMI10"/>
        </w:rPr>
        <w:t xml:space="preserve">g </w:t>
      </w:r>
      <w:r>
        <w:rPr>
          <w:rFonts w:eastAsia="CMR10" w:cs="CMR10" w:ascii="CMR10" w:hAnsi="CMR10"/>
        </w:rPr>
        <w:t>as</w:t>
      </w:r>
    </w:p>
    <w:p>
      <w:pPr>
        <w:pStyle w:val="Normal"/>
        <w:spacing w:before="0" w:after="0"/>
        <w:contextualSpacing/>
        <w:jc w:val="left"/>
        <w:rPr/>
      </w:pPr>
      <w:r>
        <w:rPr>
          <w:rFonts w:eastAsia="CMR10" w:cs="CMR10" w:ascii="CMR10" w:hAnsi="CMR10"/>
        </w:rPr>
        <w:t xml:space="preserve">follows…. To imagine a way to build the controlled gate </w:t>
      </w:r>
      <w:r>
        <w:rPr>
          <w:rFonts w:eastAsia="CMR10" w:cs="CMMI10" w:ascii="CMMI10" w:hAnsi="CMMI10"/>
        </w:rPr>
        <w:t>W</w:t>
      </w:r>
      <w:r>
        <w:rPr>
          <w:rFonts w:eastAsia="CMR10" w:cs="CMMI7" w:ascii="CMMI7" w:hAnsi="CMMI7"/>
          <w:sz w:val="14"/>
          <w:szCs w:val="14"/>
        </w:rPr>
        <w:t>f,g</w:t>
      </w:r>
    </w:p>
    <w:p>
      <w:pPr>
        <w:pStyle w:val="Normal"/>
        <w:spacing w:before="0" w:after="0"/>
        <w:contextualSpacing/>
        <w:jc w:val="left"/>
        <w:rPr/>
      </w:pPr>
      <w:r>
        <w:rPr>
          <w:rFonts w:eastAsia="CMR10" w:cs="CMR10" w:ascii="CMR10" w:hAnsi="CMR10"/>
        </w:rPr>
        <w:t xml:space="preserve">from the boxes </w:t>
      </w:r>
      <w:r>
        <w:rPr>
          <w:rFonts w:eastAsia="CMR10" w:cs="CMMI10" w:ascii="CMMI10" w:hAnsi="CMMI10"/>
        </w:rPr>
        <w:t xml:space="preserve">f </w:t>
      </w:r>
      <w:r>
        <w:rPr>
          <w:rFonts w:eastAsia="CMR10" w:cs="CMR10" w:ascii="CMR10" w:hAnsi="CMR10"/>
        </w:rPr>
        <w:t xml:space="preserve">and </w:t>
      </w:r>
      <w:r>
        <w:rPr>
          <w:rFonts w:eastAsia="CMR10" w:cs="CMMI10" w:ascii="CMMI10" w:hAnsi="CMMI10"/>
        </w:rPr>
        <w:t xml:space="preserve">g </w:t>
      </w:r>
      <w:r>
        <w:rPr>
          <w:rFonts w:eastAsia="CMR10" w:cs="CMR10" w:ascii="CMR10" w:hAnsi="CMR10"/>
        </w:rPr>
        <w:t>, we need to go beyond the</w:t>
      </w:r>
    </w:p>
    <w:p>
      <w:pPr>
        <w:pStyle w:val="Normal"/>
        <w:spacing w:before="0" w:after="0"/>
        <w:contextualSpacing/>
        <w:jc w:val="left"/>
        <w:rPr>
          <w:rFonts w:ascii="CMR10" w:hAnsi="CMR10" w:eastAsia="CMR10" w:cs="CMR10"/>
        </w:rPr>
      </w:pPr>
      <w:r>
        <w:rPr>
          <w:rFonts w:eastAsia="CMR10" w:cs="CMR10" w:ascii="CMR10" w:hAnsi="CMR10"/>
        </w:rPr>
        <w:t>usual language of quantum circuits, and to consider also</w:t>
      </w:r>
    </w:p>
    <w:p>
      <w:pPr>
        <w:pStyle w:val="Normal"/>
        <w:spacing w:before="0" w:after="0"/>
        <w:contextualSpacing/>
        <w:jc w:val="left"/>
        <w:rPr>
          <w:rFonts w:ascii="CMR10" w:hAnsi="CMR10" w:eastAsia="CMR10" w:cs="CMR10"/>
        </w:rPr>
      </w:pPr>
      <w:r>
        <w:rPr>
          <w:rFonts w:eastAsia="CMR10" w:cs="CMR10" w:ascii="CMR10" w:hAnsi="CMR10"/>
        </w:rPr>
        <w:t>circuits with movable wires that can be also in quantum</w:t>
      </w:r>
    </w:p>
    <w:p>
      <w:pPr>
        <w:pStyle w:val="Normal"/>
        <w:spacing w:before="0" w:after="0"/>
        <w:contextualSpacing/>
        <w:jc w:val="left"/>
        <w:rPr>
          <w:rFonts w:ascii="CMR10" w:hAnsi="CMR10" w:eastAsia="CMR10" w:cs="CMR10"/>
        </w:rPr>
      </w:pPr>
      <w:r>
        <w:rPr>
          <w:rFonts w:eastAsia="CMR10" w:cs="CMR10" w:ascii="CMR10" w:hAnsi="CMR10"/>
        </w:rPr>
        <w:t>superpositions. For example, we can consider a</w:t>
      </w:r>
    </w:p>
    <w:p>
      <w:pPr>
        <w:pStyle w:val="Normal"/>
        <w:spacing w:before="0" w:after="0"/>
        <w:contextualSpacing/>
        <w:jc w:val="left"/>
        <w:rPr>
          <w:rFonts w:ascii="CMR10" w:hAnsi="CMR10" w:eastAsia="CMR10" w:cs="CMR10"/>
        </w:rPr>
      </w:pPr>
      <w:r>
        <w:rPr>
          <w:rFonts w:eastAsia="CMR10" w:cs="CMR10" w:ascii="CMR10" w:hAnsi="CMR10"/>
        </w:rPr>
        <w:t>thought experiment where the physical circuit with movable</w:t>
      </w:r>
    </w:p>
    <w:p>
      <w:pPr>
        <w:pStyle w:val="Normal"/>
        <w:spacing w:before="0" w:after="0"/>
        <w:contextualSpacing/>
        <w:jc w:val="left"/>
        <w:rPr>
          <w:rFonts w:ascii="CMR10" w:hAnsi="CMR10" w:eastAsia="CMR10" w:cs="CMR10"/>
        </w:rPr>
      </w:pPr>
      <w:r>
        <w:rPr>
          <w:rFonts w:eastAsia="CMR10" w:cs="CMR10" w:ascii="CMR10" w:hAnsi="CMR10"/>
        </w:rPr>
        <w:t>wires depicted in Fig. 2 can be controlled by a</w:t>
      </w:r>
    </w:p>
    <w:p>
      <w:pPr>
        <w:pStyle w:val="Normal"/>
        <w:spacing w:before="0" w:after="0"/>
        <w:contextualSpacing/>
        <w:jc w:val="left"/>
        <w:rPr>
          <w:rFonts w:ascii="CMR10" w:hAnsi="CMR10" w:eastAsia="CMR10" w:cs="CMR10"/>
        </w:rPr>
      </w:pPr>
      <w:r>
        <w:rPr>
          <w:rFonts w:eastAsia="CMR10" w:cs="CMR10" w:ascii="CMR10" w:hAnsi="CMR10"/>
        </w:rPr>
        <w:t>qubit in a way that preserves superpositions, with the</w:t>
      </w:r>
    </w:p>
    <w:p>
      <w:pPr>
        <w:pStyle w:val="Normal"/>
        <w:spacing w:before="0" w:after="0"/>
        <w:contextualSpacing/>
        <w:jc w:val="left"/>
        <w:rPr>
          <w:rFonts w:ascii="CMR10" w:hAnsi="CMR10" w:eastAsia="CMR10" w:cs="CMR10"/>
        </w:rPr>
      </w:pPr>
      <w:r>
        <w:rPr>
          <w:rFonts w:eastAsia="CMR10" w:cs="CMR10" w:ascii="CMR10" w:hAnsi="CMR10"/>
        </w:rPr>
        <w:t>control qubit interacting with switches and controlling</w:t>
      </w:r>
    </w:p>
    <w:p>
      <w:pPr>
        <w:pStyle w:val="Normal"/>
        <w:spacing w:before="0" w:after="0"/>
        <w:contextualSpacing/>
        <w:jc w:val="left"/>
        <w:rPr>
          <w:rFonts w:ascii="CMR10" w:hAnsi="CMR10" w:eastAsia="CMR10" w:cs="CMR10"/>
        </w:rPr>
      </w:pPr>
      <w:r>
        <w:rPr>
          <w:rFonts w:eastAsia="CMR10" w:cs="CMR10" w:ascii="CMR10" w:hAnsi="CMR10"/>
        </w:rPr>
        <w:t>them in a correlated way, as represented in Fig. 3. Like</w:t>
      </w:r>
    </w:p>
    <w:p>
      <w:pPr>
        <w:pStyle w:val="Normal"/>
        <w:spacing w:before="0" w:after="0"/>
        <w:contextualSpacing/>
        <w:jc w:val="left"/>
        <w:rPr>
          <w:rFonts w:ascii="CMR10" w:hAnsi="CMR10" w:eastAsia="CMR10" w:cs="CMR10"/>
        </w:rPr>
      </w:pPr>
      <w:r>
        <w:rPr>
          <w:rFonts w:eastAsia="CMR10" w:cs="CMR10" w:ascii="CMR10" w:hAnsi="CMR10"/>
        </w:rPr>
        <w:t>in the Schr¨odinger cat thought experiment, in this case</w:t>
      </w:r>
    </w:p>
    <w:p>
      <w:pPr>
        <w:pStyle w:val="Normal"/>
        <w:spacing w:before="0" w:after="0"/>
        <w:contextualSpacing/>
        <w:jc w:val="left"/>
        <w:rPr>
          <w:rFonts w:ascii="CMR10" w:hAnsi="CMR10" w:eastAsia="CMR10" w:cs="CMR10"/>
        </w:rPr>
      </w:pPr>
      <w:r>
        <w:rPr>
          <w:rFonts w:eastAsia="CMR10" w:cs="CMR10" w:ascii="CMR10" w:hAnsi="CMR10"/>
        </w:rPr>
        <w:t>we would have a mechanism producing entanglement between</w:t>
      </w:r>
    </w:p>
    <w:p>
      <w:pPr>
        <w:pStyle w:val="Normal"/>
        <w:spacing w:before="0" w:after="0"/>
        <w:contextualSpacing/>
        <w:jc w:val="left"/>
        <w:rPr>
          <w:rFonts w:ascii="CMR10" w:hAnsi="CMR10" w:eastAsia="CMR10" w:cs="CMR10"/>
        </w:rPr>
      </w:pPr>
      <w:r>
        <w:rPr>
          <w:rFonts w:eastAsia="CMR10" w:cs="CMR10" w:ascii="CMR10" w:hAnsi="CMR10"/>
        </w:rPr>
        <w:t>a microscopic system (the control qubit) and a</w:t>
      </w:r>
    </w:p>
    <w:p>
      <w:pPr>
        <w:pStyle w:val="Normal"/>
        <w:spacing w:before="0" w:after="0"/>
        <w:contextualSpacing/>
        <w:jc w:val="left"/>
        <w:rPr>
          <w:rFonts w:ascii="CMR10" w:hAnsi="CMR10" w:eastAsia="CMR10" w:cs="CMR10"/>
        </w:rPr>
      </w:pPr>
      <w:r>
        <w:rPr>
          <w:rFonts w:eastAsia="CMR10" w:cs="CMR10" w:ascii="CMR10" w:hAnsi="CMR10"/>
        </w:rPr>
        <w:t xml:space="preserve">macroscopic one (the position of the switches). (p. 13) </w:t>
      </w:r>
    </w:p>
    <w:p>
      <w:pPr>
        <w:pStyle w:val="Normal"/>
        <w:spacing w:before="0" w:after="0"/>
        <w:contextualSpacing/>
        <w:jc w:val="left"/>
        <w:rPr>
          <w:rFonts w:ascii="CMR10" w:hAnsi="CMR10" w:eastAsia="CMR10" w:cs="CMR10"/>
          <w:color w:val="FF0000"/>
        </w:rPr>
      </w:pPr>
      <w:r>
        <w:rPr>
          <w:rFonts w:eastAsia="CMR10" w:cs="CMR10" w:ascii="CMR10" w:hAnsi="CMR10"/>
          <w:color w:val="FF0000"/>
        </w:rPr>
      </w:r>
    </w:p>
    <w:p>
      <w:pPr>
        <w:pStyle w:val="Normal"/>
        <w:spacing w:before="0" w:after="0"/>
        <w:contextualSpacing/>
        <w:jc w:val="left"/>
        <w:rPr>
          <w:rFonts w:ascii="CMBX9" w:hAnsi="CMBX9" w:cs="CMBX9"/>
          <w:sz w:val="18"/>
          <w:szCs w:val="18"/>
        </w:rPr>
      </w:pPr>
      <w:r>
        <w:rPr>
          <w:rFonts w:cs="CMBX9" w:ascii="CMBX9" w:hAnsi="CMBX9"/>
          <w:sz w:val="18"/>
          <w:szCs w:val="18"/>
        </w:rPr>
        <w:t>VIII. CONCLUSIONS</w:t>
      </w:r>
    </w:p>
    <w:p>
      <w:pPr>
        <w:pStyle w:val="Normal"/>
        <w:spacing w:before="0" w:after="0"/>
        <w:contextualSpacing/>
        <w:jc w:val="left"/>
        <w:rPr>
          <w:rFonts w:ascii="CMR10" w:hAnsi="CMR10" w:eastAsia="CMR10" w:cs="CMR10"/>
        </w:rPr>
      </w:pPr>
      <w:r>
        <w:rPr>
          <w:rFonts w:eastAsia="CMR10" w:cs="CMR10" w:ascii="CMR10" w:hAnsi="CMR10"/>
        </w:rPr>
        <w:t>Let us start by summarizing the results presented in</w:t>
      </w:r>
    </w:p>
    <w:p>
      <w:pPr>
        <w:pStyle w:val="Normal"/>
        <w:spacing w:before="0" w:after="0"/>
        <w:contextualSpacing/>
        <w:jc w:val="left"/>
        <w:rPr>
          <w:rFonts w:ascii="CMR10" w:hAnsi="CMR10" w:eastAsia="CMR10" w:cs="CMR10"/>
        </w:rPr>
      </w:pPr>
      <w:r>
        <w:rPr>
          <w:rFonts w:eastAsia="CMR10" w:cs="CMR10" w:ascii="CMR10" w:hAnsi="CMR10"/>
        </w:rPr>
        <w:t>the paper: We first analyzed the transformations of nosignalling</w:t>
      </w:r>
    </w:p>
    <w:p>
      <w:pPr>
        <w:pStyle w:val="Normal"/>
        <w:spacing w:before="0" w:after="0"/>
        <w:contextualSpacing/>
        <w:jc w:val="left"/>
        <w:rPr>
          <w:rFonts w:ascii="CMR10" w:hAnsi="CMR10" w:eastAsia="CMR10" w:cs="CMR10"/>
        </w:rPr>
      </w:pPr>
      <w:r>
        <w:rPr>
          <w:rFonts w:eastAsia="CMR10" w:cs="CMR10" w:ascii="CMR10" w:hAnsi="CMR10"/>
        </w:rPr>
        <w:t>channels that are allowed in quantum mechanics.</w:t>
      </w:r>
    </w:p>
    <w:p>
      <w:pPr>
        <w:pStyle w:val="Normal"/>
        <w:spacing w:before="0" w:after="0"/>
        <w:contextualSpacing/>
        <w:jc w:val="left"/>
        <w:rPr>
          <w:rFonts w:ascii="CMR10" w:hAnsi="CMR10" w:eastAsia="CMR10" w:cs="CMR10"/>
        </w:rPr>
      </w:pPr>
      <w:r>
        <w:rPr>
          <w:rFonts w:eastAsia="CMR10" w:cs="CMR10" w:ascii="CMR10" w:hAnsi="CMR10"/>
        </w:rPr>
        <w:t>The transformations considered here take an input</w:t>
      </w:r>
    </w:p>
    <w:p>
      <w:pPr>
        <w:pStyle w:val="Normal"/>
        <w:spacing w:before="0" w:after="0"/>
        <w:contextualSpacing/>
        <w:jc w:val="left"/>
        <w:rPr>
          <w:rFonts w:ascii="CMR10" w:hAnsi="CMR10" w:eastAsia="CMR10" w:cs="CMR10"/>
        </w:rPr>
      </w:pPr>
      <w:r>
        <w:rPr>
          <w:rFonts w:eastAsia="CMR10" w:cs="CMR10" w:ascii="CMR10" w:hAnsi="CMR10"/>
        </w:rPr>
        <w:t>no-signalling channel and transform it in a new output</w:t>
      </w:r>
    </w:p>
    <w:p>
      <w:pPr>
        <w:pStyle w:val="Normal"/>
        <w:spacing w:before="0" w:after="0"/>
        <w:contextualSpacing/>
        <w:jc w:val="left"/>
        <w:rPr>
          <w:rFonts w:ascii="CMR10" w:hAnsi="CMR10" w:eastAsia="CMR10" w:cs="CMR10"/>
        </w:rPr>
      </w:pPr>
      <w:r>
        <w:rPr>
          <w:rFonts w:eastAsia="CMR10" w:cs="CMR10" w:ascii="CMR10" w:hAnsi="CMR10"/>
        </w:rPr>
        <w:t>channel, respecting convex combinations and positivity</w:t>
      </w:r>
    </w:p>
    <w:p>
      <w:pPr>
        <w:pStyle w:val="Normal"/>
        <w:spacing w:before="0" w:after="0"/>
        <w:contextualSpacing/>
        <w:jc w:val="left"/>
        <w:rPr>
          <w:rFonts w:ascii="CMR10" w:hAnsi="CMR10" w:eastAsia="CMR10" w:cs="CMR10"/>
        </w:rPr>
      </w:pPr>
      <w:r>
        <w:rPr>
          <w:rFonts w:eastAsia="CMR10" w:cs="CMR10" w:ascii="CMR10" w:hAnsi="CMR10"/>
        </w:rPr>
        <w:t>and normalization of probabilities. First, we showed that</w:t>
      </w:r>
    </w:p>
    <w:p>
      <w:pPr>
        <w:pStyle w:val="Normal"/>
        <w:spacing w:before="0" w:after="0"/>
        <w:contextualSpacing/>
        <w:jc w:val="left"/>
        <w:rPr>
          <w:rFonts w:ascii="CMR10" w:hAnsi="CMR10" w:eastAsia="CMR10" w:cs="CMR10"/>
        </w:rPr>
      </w:pPr>
      <w:r>
        <w:rPr>
          <w:rFonts w:eastAsia="CMR10" w:cs="CMR10" w:ascii="CMR10" w:hAnsi="CMR10"/>
        </w:rPr>
        <w:t>transformations of no-signalling channels involving two</w:t>
      </w:r>
    </w:p>
    <w:p>
      <w:pPr>
        <w:pStyle w:val="Normal"/>
        <w:spacing w:before="0" w:after="0"/>
        <w:contextualSpacing/>
        <w:jc w:val="left"/>
        <w:rPr/>
      </w:pPr>
      <w:r>
        <w:rPr>
          <w:rFonts w:eastAsia="CMR10" w:cs="CMR10" w:ascii="CMR10" w:hAnsi="CMR10"/>
        </w:rPr>
        <w:t xml:space="preserve">parties, </w:t>
      </w:r>
      <w:r>
        <w:rPr>
          <w:rFonts w:cs="CMMI10" w:ascii="CMMI10" w:hAnsi="CMMI10"/>
        </w:rPr>
        <w:t xml:space="preserve">A </w:t>
      </w:r>
      <w:r>
        <w:rPr>
          <w:rFonts w:eastAsia="CMR10" w:cs="CMR10" w:ascii="CMR10" w:hAnsi="CMR10"/>
        </w:rPr>
        <w:t xml:space="preserve">and </w:t>
      </w:r>
      <w:r>
        <w:rPr>
          <w:rFonts w:cs="CMMI10" w:ascii="CMMI10" w:hAnsi="CMMI10"/>
        </w:rPr>
        <w:t>B</w:t>
      </w:r>
      <w:r>
        <w:rPr>
          <w:rFonts w:eastAsia="CMR10" w:cs="CMR10" w:ascii="CMR10" w:hAnsi="CMR10"/>
        </w:rPr>
        <w:t>, can be equivalently defined as transformations</w:t>
      </w:r>
    </w:p>
    <w:p>
      <w:pPr>
        <w:pStyle w:val="Normal"/>
        <w:spacing w:before="0" w:after="0"/>
        <w:contextualSpacing/>
        <w:jc w:val="left"/>
        <w:rPr/>
      </w:pPr>
      <w:r>
        <w:rPr>
          <w:rFonts w:eastAsia="CMR10" w:cs="CMR10" w:ascii="CMR10" w:hAnsi="CMR10"/>
        </w:rPr>
        <w:t xml:space="preserve">of product channels </w:t>
      </w:r>
      <w:r>
        <w:rPr>
          <w:rFonts w:eastAsia="CMSY10" w:cs="CMSY10" w:ascii="CMSY10" w:hAnsi="CMSY10"/>
        </w:rPr>
        <w:t>A⊗B</w:t>
      </w:r>
      <w:r>
        <w:rPr>
          <w:rFonts w:eastAsia="CMR10" w:cs="CMR10" w:ascii="CMR10" w:hAnsi="CMR10"/>
        </w:rPr>
        <w:t xml:space="preserve">, where </w:t>
      </w:r>
      <w:r>
        <w:rPr>
          <w:rFonts w:eastAsia="CMSY10" w:cs="CMSY10" w:ascii="CMSY10" w:hAnsi="CMSY10"/>
        </w:rPr>
        <w:t xml:space="preserve">A </w:t>
      </w:r>
      <w:r>
        <w:rPr>
          <w:rFonts w:eastAsia="CMR10" w:cs="CMR10" w:ascii="CMR10" w:hAnsi="CMR10"/>
        </w:rPr>
        <w:t xml:space="preserve">and </w:t>
      </w:r>
      <w:r>
        <w:rPr>
          <w:rFonts w:eastAsia="CMSY10" w:cs="CMSY10" w:ascii="CMSY10" w:hAnsi="CMSY10"/>
        </w:rPr>
        <w:t xml:space="preserve">B </w:t>
      </w:r>
      <w:r>
        <w:rPr>
          <w:rFonts w:eastAsia="CMR10" w:cs="CMR10" w:ascii="CMR10" w:hAnsi="CMR10"/>
        </w:rPr>
        <w:t>are</w:t>
      </w:r>
    </w:p>
    <w:p>
      <w:pPr>
        <w:pStyle w:val="Normal"/>
        <w:spacing w:before="0" w:after="0"/>
        <w:contextualSpacing/>
        <w:jc w:val="left"/>
        <w:rPr/>
      </w:pPr>
      <w:r>
        <w:rPr>
          <w:rFonts w:eastAsia="CMR10" w:cs="CMR10" w:ascii="CMR10" w:hAnsi="CMR10"/>
        </w:rPr>
        <w:t xml:space="preserve">local channels on </w:t>
      </w:r>
      <w:r>
        <w:rPr>
          <w:rFonts w:cs="CMMI10" w:ascii="CMMI10" w:hAnsi="CMMI10"/>
        </w:rPr>
        <w:t>A</w:t>
      </w:r>
      <w:r>
        <w:rPr>
          <w:rFonts w:eastAsia="CMR10" w:cs="CMR10" w:ascii="CMR10" w:hAnsi="CMR10"/>
        </w:rPr>
        <w:t xml:space="preserve">’s and </w:t>
      </w:r>
      <w:r>
        <w:rPr>
          <w:rFonts w:cs="CMMI10" w:ascii="CMMI10" w:hAnsi="CMMI10"/>
        </w:rPr>
        <w:t>B</w:t>
      </w:r>
      <w:r>
        <w:rPr>
          <w:rFonts w:eastAsia="CMR10" w:cs="CMR10" w:ascii="CMR10" w:hAnsi="CMR10"/>
        </w:rPr>
        <w:t>’s side, respectively. Then, we</w:t>
      </w:r>
    </w:p>
    <w:p>
      <w:pPr>
        <w:pStyle w:val="Normal"/>
        <w:spacing w:before="0" w:after="0"/>
        <w:contextualSpacing/>
        <w:jc w:val="left"/>
        <w:rPr>
          <w:rFonts w:ascii="CMR10" w:hAnsi="CMR10" w:eastAsia="CMR10" w:cs="CMR10"/>
        </w:rPr>
      </w:pPr>
      <w:r>
        <w:rPr>
          <w:rFonts w:eastAsia="CMR10" w:cs="CMR10" w:ascii="CMR10" w:hAnsi="CMR10"/>
        </w:rPr>
        <w:t>analyzed in detail a particular example of such a transformation:</w:t>
      </w:r>
    </w:p>
    <w:p>
      <w:pPr>
        <w:pStyle w:val="Normal"/>
        <w:spacing w:before="0" w:after="0"/>
        <w:contextualSpacing/>
        <w:jc w:val="left"/>
        <w:rPr/>
      </w:pPr>
      <w:r>
        <w:rPr>
          <w:rFonts w:eastAsia="CMR10" w:cs="CMR10" w:ascii="CMR10" w:hAnsi="CMR10"/>
        </w:rPr>
        <w:t xml:space="preserve">the </w:t>
      </w:r>
      <w:r>
        <w:rPr>
          <w:rFonts w:cs="CMTT10" w:ascii="CMTT10" w:hAnsi="CMTT10"/>
        </w:rPr>
        <w:t xml:space="preserve">SWITCH </w:t>
      </w:r>
      <w:r>
        <w:rPr>
          <w:rFonts w:eastAsia="CMR10" w:cs="CMR10" w:ascii="CMR10" w:hAnsi="CMR10"/>
        </w:rPr>
        <w:t>transformation, where an arbitrary</w:t>
      </w:r>
    </w:p>
    <w:p>
      <w:pPr>
        <w:pStyle w:val="Normal"/>
        <w:spacing w:before="0" w:after="0"/>
        <w:contextualSpacing/>
        <w:jc w:val="left"/>
        <w:rPr/>
      </w:pPr>
      <w:r>
        <w:rPr>
          <w:rFonts w:eastAsia="CMR10" w:cs="CMR10" w:ascii="CMR10" w:hAnsi="CMR10"/>
        </w:rPr>
        <w:t>pair of channels (</w:t>
      </w:r>
      <w:r>
        <w:rPr>
          <w:rFonts w:eastAsia="CMSY10" w:cs="CMSY10" w:ascii="CMSY10" w:hAnsi="CMSY10"/>
        </w:rPr>
        <w:t>A</w:t>
      </w:r>
      <w:r>
        <w:rPr>
          <w:rFonts w:cs="CMMI10" w:ascii="CMMI10" w:hAnsi="CMMI10"/>
        </w:rPr>
        <w:t xml:space="preserve">, </w:t>
      </w:r>
      <w:r>
        <w:rPr>
          <w:rFonts w:eastAsia="CMSY10" w:cs="CMSY10" w:ascii="CMSY10" w:hAnsi="CMSY10"/>
        </w:rPr>
        <w:t>B</w:t>
      </w:r>
      <w:r>
        <w:rPr>
          <w:rFonts w:eastAsia="CMR10" w:cs="CMR10" w:ascii="CMR10" w:hAnsi="CMR10"/>
        </w:rPr>
        <w:t xml:space="preserve">) is transformed in either </w:t>
      </w:r>
      <w:r>
        <w:rPr>
          <w:rFonts w:eastAsia="CMSY10" w:cs="CMSY10" w:ascii="CMSY10" w:hAnsi="CMSY10"/>
        </w:rPr>
        <w:t xml:space="preserve">AB </w:t>
      </w:r>
      <w:r>
        <w:rPr>
          <w:rFonts w:eastAsia="CMR10" w:cs="CMR10" w:ascii="CMR10" w:hAnsi="CMR10"/>
        </w:rPr>
        <w:t>or in</w:t>
      </w:r>
    </w:p>
    <w:p>
      <w:pPr>
        <w:pStyle w:val="Normal"/>
        <w:spacing w:before="0" w:after="0"/>
        <w:contextualSpacing/>
        <w:jc w:val="left"/>
        <w:rPr/>
      </w:pPr>
      <w:r>
        <w:rPr>
          <w:rFonts w:eastAsia="CMSY10" w:cs="CMSY10" w:ascii="CMSY10" w:hAnsi="CMSY10"/>
        </w:rPr>
        <w:t xml:space="preserve">BA </w:t>
      </w:r>
      <w:r>
        <w:rPr>
          <w:rFonts w:eastAsia="CMR10" w:cs="CMR10" w:ascii="CMR10" w:hAnsi="CMR10"/>
        </w:rPr>
        <w:t xml:space="preserve">depending on the state of a control bit. </w:t>
      </w:r>
    </w:p>
    <w:p>
      <w:pPr>
        <w:pStyle w:val="Normal"/>
        <w:spacing w:before="0" w:after="0"/>
        <w:contextualSpacing/>
        <w:jc w:val="left"/>
        <w:rPr/>
      </w:pPr>
      <w:r>
        <w:rPr>
          <w:rFonts w:eastAsia="CMR10" w:cs="CMR10" w:ascii="CMR10" w:hAnsi="CMR10"/>
        </w:rPr>
        <w:t xml:space="preserve">The </w:t>
      </w:r>
      <w:r>
        <w:rPr>
          <w:rFonts w:eastAsia="CMR10" w:cs="CMTT10" w:ascii="CMTT10" w:hAnsi="CMTT10"/>
        </w:rPr>
        <w:t xml:space="preserve">SWITCH </w:t>
      </w:r>
      <w:r>
        <w:rPr>
          <w:rFonts w:eastAsia="CMR10" w:cs="CMR10" w:ascii="CMR10" w:hAnsi="CMR10"/>
        </w:rPr>
        <w:t>transformation can be considered as the</w:t>
      </w:r>
    </w:p>
    <w:p>
      <w:pPr>
        <w:pStyle w:val="Normal"/>
        <w:spacing w:before="0" w:after="0"/>
        <w:contextualSpacing/>
        <w:jc w:val="left"/>
        <w:rPr>
          <w:rFonts w:ascii="CMR10" w:hAnsi="CMR10" w:eastAsia="CMR10" w:cs="CMR10"/>
        </w:rPr>
      </w:pPr>
      <w:r>
        <w:rPr>
          <w:rFonts w:eastAsia="CMR10" w:cs="CMR10" w:ascii="CMR10" w:hAnsi="CMR10"/>
        </w:rPr>
        <w:t>mathematical description of a quantum computation of</w:t>
      </w:r>
    </w:p>
    <w:p>
      <w:pPr>
        <w:pStyle w:val="Normal"/>
        <w:spacing w:before="0" w:after="0"/>
        <w:contextualSpacing/>
        <w:jc w:val="left"/>
        <w:rPr>
          <w:rFonts w:ascii="CMR10" w:hAnsi="CMR10" w:eastAsia="CMR10" w:cs="CMR10"/>
        </w:rPr>
      </w:pPr>
      <w:r>
        <w:rPr>
          <w:rFonts w:eastAsia="CMR10" w:cs="CMR10" w:ascii="CMR10" w:hAnsi="CMR10"/>
        </w:rPr>
        <w:t>higher-order, where the input of the computation is a</w:t>
      </w:r>
    </w:p>
    <w:p>
      <w:pPr>
        <w:pStyle w:val="Normal"/>
        <w:spacing w:before="0" w:after="0"/>
        <w:contextualSpacing/>
        <w:jc w:val="left"/>
        <w:rPr>
          <w:rFonts w:ascii="CMR10" w:hAnsi="CMR10" w:eastAsia="CMR10" w:cs="CMR10"/>
        </w:rPr>
      </w:pPr>
      <w:r>
        <w:rPr>
          <w:rFonts w:eastAsia="CMR10" w:cs="CMR10" w:ascii="CMR10" w:hAnsi="CMR10"/>
        </w:rPr>
        <w:t>subroutine provided as a black box. Such computations</w:t>
      </w:r>
    </w:p>
    <w:p>
      <w:pPr>
        <w:pStyle w:val="Normal"/>
        <w:spacing w:before="0" w:after="0"/>
        <w:contextualSpacing/>
        <w:jc w:val="left"/>
        <w:rPr>
          <w:rFonts w:ascii="CMR10" w:hAnsi="CMR10" w:eastAsia="CMR10" w:cs="CMR10"/>
        </w:rPr>
      </w:pPr>
      <w:r>
        <w:rPr>
          <w:rFonts w:eastAsia="CMR10" w:cs="CMR10" w:ascii="CMR10" w:hAnsi="CMR10"/>
        </w:rPr>
        <w:t>are the kind of computations that would have be included</w:t>
      </w:r>
    </w:p>
    <w:p>
      <w:pPr>
        <w:pStyle w:val="Normal"/>
        <w:spacing w:before="0" w:after="0"/>
        <w:contextualSpacing/>
        <w:jc w:val="left"/>
        <w:rPr/>
      </w:pPr>
      <w:r>
        <w:rPr>
          <w:rFonts w:eastAsia="CMR10" w:cs="CMR10" w:ascii="CMR10" w:hAnsi="CMR10"/>
        </w:rPr>
        <w:t xml:space="preserve">in a complete, quantum version of Church’s </w:t>
      </w:r>
      <w:r>
        <w:rPr>
          <w:rFonts w:eastAsia="CMR10" w:cs="CMMI10" w:ascii="CMMI10" w:hAnsi="CMMI10"/>
        </w:rPr>
        <w:t>_</w:t>
      </w:r>
      <w:r>
        <w:rPr>
          <w:rFonts w:eastAsia="CMR10" w:cs="CMR10" w:ascii="CMR10" w:hAnsi="CMR10"/>
        </w:rPr>
        <w:t>-</w:t>
      </w:r>
    </w:p>
    <w:p>
      <w:pPr>
        <w:pStyle w:val="Normal"/>
        <w:spacing w:before="0" w:after="0"/>
        <w:contextualSpacing/>
        <w:jc w:val="left"/>
        <w:rPr>
          <w:rFonts w:ascii="CMR10" w:hAnsi="CMR10" w:eastAsia="CMR10" w:cs="CMR10"/>
        </w:rPr>
      </w:pPr>
      <w:r>
        <w:rPr>
          <w:rFonts w:eastAsia="CMR10" w:cs="CMR10" w:ascii="CMR10" w:hAnsi="CMR10"/>
        </w:rPr>
        <w:t>calculus (cf. Refs. [27–32] for an overview of the different</w:t>
      </w:r>
    </w:p>
    <w:p>
      <w:pPr>
        <w:pStyle w:val="Normal"/>
        <w:spacing w:before="0" w:after="0"/>
        <w:contextualSpacing/>
        <w:jc w:val="left"/>
        <w:rPr/>
      </w:pPr>
      <w:r>
        <w:rPr>
          <w:rFonts w:eastAsia="CMR10" w:cs="CMR10" w:ascii="CMR10" w:hAnsi="CMR10"/>
        </w:rPr>
        <w:t xml:space="preserve">extensions of Church’s </w:t>
      </w:r>
      <w:r>
        <w:rPr>
          <w:rFonts w:eastAsia="CMR10" w:cs="CMMI10" w:ascii="CMMI10" w:hAnsi="CMMI10"/>
        </w:rPr>
        <w:t>_</w:t>
      </w:r>
      <w:r>
        <w:rPr>
          <w:rFonts w:eastAsia="CMR10" w:cs="CMR10" w:ascii="CMR10" w:hAnsi="CMR10"/>
        </w:rPr>
        <w:t>-calculus from the classical</w:t>
      </w:r>
    </w:p>
    <w:p>
      <w:pPr>
        <w:pStyle w:val="Normal"/>
        <w:spacing w:before="0" w:after="0"/>
        <w:contextualSpacing/>
        <w:jc w:val="left"/>
        <w:rPr>
          <w:rFonts w:ascii="CMR10" w:hAnsi="CMR10" w:eastAsia="CMR10" w:cs="CMR10"/>
        </w:rPr>
      </w:pPr>
      <w:r>
        <w:rPr>
          <w:rFonts w:eastAsia="CMR10" w:cs="CMR10" w:ascii="CMR10" w:hAnsi="CMR10"/>
        </w:rPr>
        <w:t>to the quantum case). An important fact of higher-order</w:t>
      </w:r>
    </w:p>
    <w:p>
      <w:pPr>
        <w:pStyle w:val="Normal"/>
        <w:spacing w:before="0" w:after="0"/>
        <w:contextualSpacing/>
        <w:jc w:val="left"/>
        <w:rPr>
          <w:rFonts w:ascii="CMR10" w:hAnsi="CMR10" w:eastAsia="CMR10" w:cs="CMR10"/>
        </w:rPr>
      </w:pPr>
      <w:r>
        <w:rPr>
          <w:rFonts w:eastAsia="CMR10" w:cs="CMR10" w:ascii="CMR10" w:hAnsi="CMR10"/>
        </w:rPr>
        <w:t>computations is that, in general, they cannot be implemented</w:t>
      </w:r>
    </w:p>
    <w:p>
      <w:pPr>
        <w:pStyle w:val="Normal"/>
        <w:spacing w:before="0" w:after="0"/>
        <w:contextualSpacing/>
        <w:jc w:val="left"/>
        <w:rPr>
          <w:rFonts w:ascii="CMR10" w:hAnsi="CMR10" w:eastAsia="CMR10" w:cs="CMR10"/>
        </w:rPr>
      </w:pPr>
      <w:r>
        <w:rPr>
          <w:rFonts w:eastAsia="CMR10" w:cs="CMR10" w:ascii="CMR10" w:hAnsi="CMR10"/>
        </w:rPr>
        <w:t>by inserting the input black boxes inside an ordinary</w:t>
      </w:r>
    </w:p>
    <w:p>
      <w:pPr>
        <w:pStyle w:val="Normal"/>
        <w:spacing w:before="0" w:after="0"/>
        <w:contextualSpacing/>
        <w:jc w:val="left"/>
        <w:rPr>
          <w:rFonts w:ascii="CMR10" w:hAnsi="CMR10" w:eastAsia="CMR10" w:cs="CMR10"/>
        </w:rPr>
      </w:pPr>
      <w:r>
        <w:rPr>
          <w:rFonts w:eastAsia="CMR10" w:cs="CMR10" w:ascii="CMR10" w:hAnsi="CMR10"/>
        </w:rPr>
        <w:t>quantum circuit. We illustrated this fact in the</w:t>
      </w:r>
    </w:p>
    <w:p>
      <w:pPr>
        <w:pStyle w:val="Normal"/>
        <w:spacing w:before="0" w:after="0"/>
        <w:contextualSpacing/>
        <w:jc w:val="left"/>
        <w:rPr/>
      </w:pPr>
      <w:r>
        <w:rPr>
          <w:rFonts w:eastAsia="CMR10" w:cs="CMR10" w:ascii="CMR10" w:hAnsi="CMR10"/>
        </w:rPr>
        <w:t xml:space="preserve">specific example of the </w:t>
      </w:r>
      <w:r>
        <w:rPr>
          <w:rFonts w:eastAsia="CMR10" w:cs="CMTT10" w:ascii="CMTT10" w:hAnsi="CMTT10"/>
        </w:rPr>
        <w:t xml:space="preserve">SWITCH </w:t>
      </w:r>
      <w:r>
        <w:rPr>
          <w:rFonts w:eastAsia="CMR10" w:cs="CMR10" w:ascii="CMR10" w:hAnsi="CMR10"/>
        </w:rPr>
        <w:t>transformations, showing</w:t>
      </w:r>
    </w:p>
    <w:p>
      <w:pPr>
        <w:pStyle w:val="Normal"/>
        <w:spacing w:before="0" w:after="0"/>
        <w:contextualSpacing/>
        <w:jc w:val="left"/>
        <w:rPr>
          <w:rFonts w:ascii="CMR10" w:hAnsi="CMR10" w:eastAsia="CMR10" w:cs="CMR10"/>
        </w:rPr>
      </w:pPr>
      <w:r>
        <w:rPr>
          <w:rFonts w:eastAsia="CMR10" w:cs="CMR10" w:ascii="CMR10" w:hAnsi="CMR10"/>
        </w:rPr>
        <w:t>that no quantum circuit containing a single call to the</w:t>
      </w:r>
    </w:p>
    <w:p>
      <w:pPr>
        <w:pStyle w:val="Normal"/>
        <w:spacing w:before="0" w:after="0"/>
        <w:contextualSpacing/>
        <w:jc w:val="left"/>
        <w:rPr/>
      </w:pPr>
      <w:r>
        <w:rPr>
          <w:rFonts w:eastAsia="CMR10" w:cs="CMR10" w:ascii="CMR10" w:hAnsi="CMR10"/>
        </w:rPr>
        <w:t xml:space="preserve">black boxes </w:t>
      </w:r>
      <w:r>
        <w:rPr>
          <w:rFonts w:eastAsia="CMSY10" w:cs="CMSY10" w:ascii="CMSY10" w:hAnsi="CMSY10"/>
        </w:rPr>
        <w:t xml:space="preserve">A </w:t>
      </w:r>
      <w:r>
        <w:rPr>
          <w:rFonts w:eastAsia="CMR10" w:cs="CMR10" w:ascii="CMR10" w:hAnsi="CMR10"/>
        </w:rPr>
        <w:t xml:space="preserve">and </w:t>
      </w:r>
      <w:r>
        <w:rPr>
          <w:rFonts w:eastAsia="CMSY10" w:cs="CMSY10" w:ascii="CMSY10" w:hAnsi="CMSY10"/>
        </w:rPr>
        <w:t xml:space="preserve">B </w:t>
      </w:r>
      <w:r>
        <w:rPr>
          <w:rFonts w:eastAsia="CMR10" w:cs="CMR10" w:ascii="CMR10" w:hAnsi="CMR10"/>
        </w:rPr>
        <w:t>can implement the transformation</w:t>
      </w:r>
    </w:p>
    <w:p>
      <w:pPr>
        <w:pStyle w:val="Normal"/>
        <w:spacing w:before="0" w:after="0"/>
        <w:contextualSpacing/>
        <w:jc w:val="left"/>
        <w:rPr/>
      </w:pPr>
      <w:r>
        <w:rPr>
          <w:rFonts w:eastAsia="CMR10" w:cs="CMTT10" w:ascii="CMTT10" w:hAnsi="CMTT10"/>
        </w:rPr>
        <w:t xml:space="preserve">SWITCH </w:t>
      </w:r>
      <w:r>
        <w:rPr>
          <w:rFonts w:eastAsia="CMR10" w:cs="CMR10" w:ascii="CMR10" w:hAnsi="CMR10"/>
        </w:rPr>
        <w:t>deterministically. The reason of the impossibility</w:t>
      </w:r>
    </w:p>
    <w:p>
      <w:pPr>
        <w:pStyle w:val="Normal"/>
        <w:spacing w:before="0" w:after="0"/>
        <w:contextualSpacing/>
        <w:jc w:val="left"/>
        <w:rPr/>
      </w:pPr>
      <w:r>
        <w:rPr>
          <w:rFonts w:eastAsia="CMR10" w:cs="CMR10" w:ascii="CMR10" w:hAnsi="CMR10"/>
        </w:rPr>
        <w:t xml:space="preserve">is the fact that the transformation </w:t>
      </w:r>
      <w:r>
        <w:rPr>
          <w:rFonts w:eastAsia="CMR10" w:cs="CMTT10" w:ascii="CMTT10" w:hAnsi="CMTT10"/>
        </w:rPr>
        <w:t xml:space="preserve">SWITCH </w:t>
      </w:r>
      <w:r>
        <w:rPr>
          <w:rFonts w:eastAsia="CMR10" w:cs="CMR10" w:ascii="CMR10" w:hAnsi="CMR10"/>
        </w:rPr>
        <w:t>is incompatible</w:t>
      </w:r>
    </w:p>
    <w:p>
      <w:pPr>
        <w:pStyle w:val="Normal"/>
        <w:spacing w:before="0" w:after="0"/>
        <w:contextualSpacing/>
        <w:jc w:val="left"/>
        <w:rPr>
          <w:rFonts w:ascii="CMR10" w:hAnsi="CMR10" w:eastAsia="CMR10" w:cs="CMR10"/>
        </w:rPr>
      </w:pPr>
      <w:r>
        <w:rPr>
          <w:rFonts w:eastAsia="CMR10" w:cs="CMR10" w:ascii="CMR10" w:hAnsi="CMR10"/>
        </w:rPr>
        <w:t>with any choice of a causal ordering between the</w:t>
      </w:r>
    </w:p>
    <w:p>
      <w:pPr>
        <w:pStyle w:val="Normal"/>
        <w:spacing w:before="0" w:after="0"/>
        <w:contextualSpacing/>
        <w:jc w:val="left"/>
        <w:rPr/>
      </w:pPr>
      <w:r>
        <w:rPr>
          <w:rFonts w:eastAsia="CMR10" w:cs="CMR10" w:ascii="CMR10" w:hAnsi="CMR10"/>
        </w:rPr>
        <w:t xml:space="preserve">boxes </w:t>
      </w:r>
      <w:r>
        <w:rPr>
          <w:rFonts w:eastAsia="CMSY10" w:cs="CMSY10" w:ascii="CMSY10" w:hAnsi="CMSY10"/>
        </w:rPr>
        <w:t xml:space="preserve">A </w:t>
      </w:r>
      <w:r>
        <w:rPr>
          <w:rFonts w:eastAsia="CMR10" w:cs="CMR10" w:ascii="CMR10" w:hAnsi="CMR10"/>
        </w:rPr>
        <w:t xml:space="preserve">and </w:t>
      </w:r>
      <w:r>
        <w:rPr>
          <w:rFonts w:eastAsia="CMSY10" w:cs="CMSY10" w:ascii="CMSY10" w:hAnsi="CMSY10"/>
        </w:rPr>
        <w:t>B</w:t>
      </w:r>
      <w:r>
        <w:rPr>
          <w:rFonts w:eastAsia="CMR10" w:cs="CMR10" w:ascii="CMR10" w:hAnsi="CMR10"/>
        </w:rPr>
        <w:t>. In fact, in the paper we showed that realizing</w:t>
      </w:r>
    </w:p>
    <w:p>
      <w:pPr>
        <w:pStyle w:val="Normal"/>
        <w:spacing w:before="0" w:after="0"/>
        <w:contextualSpacing/>
        <w:jc w:val="left"/>
        <w:rPr/>
      </w:pPr>
      <w:r>
        <w:rPr>
          <w:rFonts w:eastAsia="CMR10" w:cs="CMR10" w:ascii="CMR10" w:hAnsi="CMR10"/>
        </w:rPr>
        <w:t xml:space="preserve">the </w:t>
      </w:r>
      <w:r>
        <w:rPr>
          <w:rFonts w:eastAsia="CMR10" w:cs="CMTT10" w:ascii="CMTT10" w:hAnsi="CMTT10"/>
        </w:rPr>
        <w:t xml:space="preserve">SWITCH </w:t>
      </w:r>
      <w:r>
        <w:rPr>
          <w:rFonts w:eastAsia="CMR10" w:cs="CMR10" w:ascii="CMR10" w:hAnsi="CMR10"/>
        </w:rPr>
        <w:t>transformation by simple insertion of</w:t>
      </w:r>
    </w:p>
    <w:p>
      <w:pPr>
        <w:pStyle w:val="Normal"/>
        <w:spacing w:before="0" w:after="0"/>
        <w:contextualSpacing/>
        <w:jc w:val="left"/>
        <w:rPr>
          <w:rFonts w:ascii="CMR10" w:hAnsi="CMR10" w:eastAsia="CMR10" w:cs="CMR10"/>
        </w:rPr>
      </w:pPr>
      <w:r>
        <w:rPr>
          <w:rFonts w:eastAsia="CMR10" w:cs="CMR10" w:ascii="CMR10" w:hAnsi="CMR10"/>
        </w:rPr>
        <w:t>the boxes in a given order in a circuit would be equivalent</w:t>
      </w:r>
    </w:p>
    <w:p>
      <w:pPr>
        <w:pStyle w:val="Normal"/>
        <w:spacing w:before="0" w:after="0"/>
        <w:contextualSpacing/>
        <w:jc w:val="left"/>
        <w:rPr>
          <w:rFonts w:ascii="CMR10" w:hAnsi="CMR10" w:eastAsia="CMR10" w:cs="CMR10"/>
        </w:rPr>
      </w:pPr>
      <w:r>
        <w:rPr>
          <w:rFonts w:eastAsia="CMR10" w:cs="CMR10" w:ascii="CMR10" w:hAnsi="CMR10"/>
        </w:rPr>
        <w:t>to realizing a time machine, thus violating causality Subsequently, discussed four ways around the no-go</w:t>
      </w:r>
    </w:p>
    <w:p>
      <w:pPr>
        <w:pStyle w:val="Normal"/>
        <w:spacing w:before="0" w:after="0"/>
        <w:contextualSpacing/>
        <w:jc w:val="left"/>
        <w:rPr>
          <w:rFonts w:ascii="CMR10" w:hAnsi="CMR10" w:eastAsia="CMR10" w:cs="CMR10"/>
        </w:rPr>
      </w:pPr>
      <w:r>
        <w:rPr>
          <w:rFonts w:eastAsia="CMR10" w:cs="CMR10" w:ascii="CMR10" w:hAnsi="CMR10"/>
        </w:rPr>
        <w:t>theorem: 1) allowing access to program states, 2) allowing</w:t>
      </w:r>
    </w:p>
    <w:p>
      <w:pPr>
        <w:pStyle w:val="Normal"/>
        <w:spacing w:before="0" w:after="0"/>
        <w:contextualSpacing/>
        <w:jc w:val="left"/>
        <w:rPr>
          <w:rFonts w:ascii="CMR10" w:hAnsi="CMR10" w:eastAsia="CMR10" w:cs="CMR10"/>
        </w:rPr>
      </w:pPr>
      <w:r>
        <w:rPr>
          <w:rFonts w:eastAsia="CMR10" w:cs="CMR10" w:ascii="CMR10" w:hAnsi="CMR10"/>
        </w:rPr>
        <w:t>two queries to the input black boxes, 3) allowing</w:t>
      </w:r>
    </w:p>
    <w:p>
      <w:pPr>
        <w:pStyle w:val="Normal"/>
        <w:spacing w:before="0" w:after="0"/>
        <w:contextualSpacing/>
        <w:jc w:val="left"/>
        <w:rPr>
          <w:rFonts w:ascii="CMR10" w:hAnsi="CMR10" w:eastAsia="CMR10" w:cs="CMR10"/>
        </w:rPr>
      </w:pPr>
      <w:r>
        <w:rPr>
          <w:rFonts w:eastAsia="CMR10" w:cs="CMR10" w:ascii="CMR10" w:hAnsi="CMR10"/>
        </w:rPr>
        <w:t>access to closed timelike curves, and 4) considering</w:t>
      </w:r>
    </w:p>
    <w:p>
      <w:pPr>
        <w:pStyle w:val="Normal"/>
        <w:spacing w:before="0" w:after="0"/>
        <w:contextualSpacing/>
        <w:jc w:val="left"/>
        <w:rPr>
          <w:rFonts w:ascii="CMR10" w:hAnsi="CMR10" w:eastAsia="CMR10" w:cs="CMR10"/>
        </w:rPr>
      </w:pPr>
      <w:r>
        <w:rPr>
          <w:rFonts w:eastAsia="CMR10" w:cs="CMR10" w:ascii="CMR10" w:hAnsi="CMR10"/>
        </w:rPr>
        <w:t>probabilistic simulations. Moreover, we discussed a minimal</w:t>
      </w:r>
    </w:p>
    <w:p>
      <w:pPr>
        <w:pStyle w:val="Normal"/>
        <w:spacing w:before="0" w:after="0"/>
        <w:contextualSpacing/>
        <w:jc w:val="left"/>
        <w:rPr>
          <w:rFonts w:ascii="CMR10" w:hAnsi="CMR10" w:eastAsia="CMR10" w:cs="CMR10"/>
        </w:rPr>
      </w:pPr>
      <w:r>
        <w:rPr>
          <w:rFonts w:eastAsia="CMR10" w:cs="CMR10" w:ascii="CMR10" w:hAnsi="CMR10"/>
        </w:rPr>
        <w:t>change of the rule for describing the oracle access</w:t>
      </w:r>
    </w:p>
    <w:p>
      <w:pPr>
        <w:pStyle w:val="Normal"/>
        <w:spacing w:before="0" w:after="0"/>
        <w:contextualSpacing/>
        <w:jc w:val="left"/>
        <w:rPr/>
      </w:pPr>
      <w:r>
        <w:rPr>
          <w:rFonts w:eastAsia="CMR10" w:cs="CMR10" w:ascii="CMR10" w:hAnsi="CMR10"/>
        </w:rPr>
        <w:t xml:space="preserve">to the black boxes </w:t>
      </w:r>
      <w:r>
        <w:rPr>
          <w:rFonts w:eastAsia="CMSY10" w:cs="CMSY10" w:ascii="CMSY10" w:hAnsi="CMSY10"/>
        </w:rPr>
        <w:t xml:space="preserve">A </w:t>
      </w:r>
      <w:r>
        <w:rPr>
          <w:rFonts w:eastAsia="CMR10" w:cs="CMR10" w:ascii="CMR10" w:hAnsi="CMR10"/>
        </w:rPr>
        <w:t xml:space="preserve">and </w:t>
      </w:r>
      <w:r>
        <w:rPr>
          <w:rFonts w:eastAsia="CMSY10" w:cs="CMSY10" w:ascii="CMSY10" w:hAnsi="CMSY10"/>
        </w:rPr>
        <w:t>B</w:t>
      </w:r>
      <w:r>
        <w:rPr>
          <w:rFonts w:eastAsia="CMR10" w:cs="CMR10" w:ascii="CMR10" w:hAnsi="CMR10"/>
        </w:rPr>
        <w:t>, introducing classical control</w:t>
      </w:r>
    </w:p>
    <w:p>
      <w:pPr>
        <w:pStyle w:val="Normal"/>
        <w:spacing w:before="0" w:after="0"/>
        <w:contextualSpacing/>
        <w:jc w:val="left"/>
        <w:rPr>
          <w:rFonts w:ascii="CMR10" w:hAnsi="CMR10" w:eastAsia="CMR10" w:cs="CMR10"/>
        </w:rPr>
      </w:pPr>
      <w:r>
        <w:rPr>
          <w:rFonts w:eastAsia="CMR10" w:cs="CMR10" w:ascii="CMR10" w:hAnsi="CMR10"/>
        </w:rPr>
        <w:t>of causal sequences of operations, in such a way that the</w:t>
      </w:r>
    </w:p>
    <w:p>
      <w:pPr>
        <w:pStyle w:val="Normal"/>
        <w:spacing w:before="0" w:after="0"/>
        <w:contextualSpacing/>
        <w:jc w:val="left"/>
        <w:rPr>
          <w:rFonts w:ascii="CMR10" w:hAnsi="CMR10" w:eastAsia="CMR10" w:cs="CMR10"/>
        </w:rPr>
      </w:pPr>
      <w:r>
        <w:rPr>
          <w:rFonts w:eastAsia="CMR10" w:cs="CMR10" w:ascii="CMR10" w:hAnsi="CMR10"/>
        </w:rPr>
        <w:t>computation of the class of higher-order functions including</w:t>
      </w:r>
    </w:p>
    <w:p>
      <w:pPr>
        <w:pStyle w:val="Normal"/>
        <w:spacing w:before="0" w:after="0"/>
        <w:contextualSpacing/>
        <w:jc w:val="left"/>
        <w:rPr/>
      </w:pPr>
      <w:r>
        <w:rPr>
          <w:rFonts w:eastAsia="CMR10" w:cs="CMR10" w:ascii="CMR10" w:hAnsi="CMR10"/>
        </w:rPr>
        <w:t xml:space="preserve">the </w:t>
      </w:r>
      <w:r>
        <w:rPr>
          <w:rFonts w:eastAsia="CMR10" w:cs="CMTT10" w:ascii="CMTT10" w:hAnsi="CMTT10"/>
        </w:rPr>
        <w:t xml:space="preserve">SWITCH </w:t>
      </w:r>
      <w:r>
        <w:rPr>
          <w:rFonts w:eastAsia="CMR10" w:cs="CMR10" w:ascii="CMR10" w:hAnsi="CMR10"/>
        </w:rPr>
        <w:t>can be expressed in circuital terms.</w:t>
      </w:r>
    </w:p>
    <w:p>
      <w:pPr>
        <w:pStyle w:val="Normal"/>
        <w:spacing w:before="0" w:after="0"/>
        <w:contextualSpacing/>
        <w:jc w:val="left"/>
        <w:rPr>
          <w:rFonts w:ascii="CMR10" w:hAnsi="CMR10" w:eastAsia="CMR10" w:cs="CMR10"/>
        </w:rPr>
      </w:pPr>
      <w:r>
        <w:rPr>
          <w:rFonts w:eastAsia="CMR10" w:cs="CMR10" w:ascii="CMR10" w:hAnsi="CMR10"/>
        </w:rPr>
        <w:t>Finally, we considered the quantum version of the</w:t>
      </w:r>
    </w:p>
    <w:p>
      <w:pPr>
        <w:pStyle w:val="Normal"/>
        <w:spacing w:before="0" w:after="0"/>
        <w:contextualSpacing/>
        <w:jc w:val="left"/>
        <w:rPr/>
      </w:pPr>
      <w:r>
        <w:rPr>
          <w:rFonts w:eastAsia="CMR10" w:cs="CMTT10" w:ascii="CMTT10" w:hAnsi="CMTT10"/>
        </w:rPr>
        <w:t xml:space="preserve">SWITCH </w:t>
      </w:r>
      <w:r>
        <w:rPr>
          <w:rFonts w:eastAsia="CMR10" w:cs="CMR10" w:ascii="CMR10" w:hAnsi="CMR10"/>
        </w:rPr>
        <w:t>transformation, which can be implemented if we</w:t>
      </w:r>
    </w:p>
    <w:p>
      <w:pPr>
        <w:pStyle w:val="Normal"/>
        <w:spacing w:before="0" w:after="0"/>
        <w:contextualSpacing/>
        <w:jc w:val="left"/>
        <w:rPr>
          <w:rFonts w:ascii="CMR10" w:hAnsi="CMR10" w:eastAsia="CMR10" w:cs="CMR10"/>
        </w:rPr>
      </w:pPr>
      <w:r>
        <w:rPr>
          <w:rFonts w:eastAsia="CMR10" w:cs="CMR10" w:ascii="CMR10" w:hAnsi="CMR10"/>
        </w:rPr>
        <w:t>allow for quantum control of causal sequence of operations.</w:t>
      </w:r>
    </w:p>
    <w:p>
      <w:pPr>
        <w:pStyle w:val="Normal"/>
        <w:spacing w:before="0" w:after="0"/>
        <w:contextualSpacing/>
        <w:jc w:val="left"/>
        <w:rPr>
          <w:rFonts w:ascii="CMR10" w:hAnsi="CMR10" w:eastAsia="CMR10" w:cs="CMR10"/>
        </w:rPr>
      </w:pPr>
      <w:r>
        <w:rPr>
          <w:rFonts w:eastAsia="CMR10" w:cs="CMR10" w:ascii="CMR10" w:hAnsi="CMR10"/>
        </w:rPr>
        <w:t>A complete physical theory of higher-order computation</w:t>
      </w:r>
    </w:p>
    <w:p>
      <w:pPr>
        <w:pStyle w:val="Normal"/>
        <w:spacing w:before="0" w:after="0"/>
        <w:contextualSpacing/>
        <w:jc w:val="left"/>
        <w:rPr>
          <w:rFonts w:ascii="CMR10" w:hAnsi="CMR10" w:eastAsia="CMR10" w:cs="CMR10"/>
        </w:rPr>
      </w:pPr>
      <w:r>
        <w:rPr>
          <w:rFonts w:eastAsia="CMR10" w:cs="CMR10" w:ascii="CMR10" w:hAnsi="CMR10"/>
        </w:rPr>
        <w:t>has not been developed yet, we expect it to</w:t>
      </w:r>
    </w:p>
    <w:p>
      <w:pPr>
        <w:pStyle w:val="Normal"/>
        <w:spacing w:before="0" w:after="0"/>
        <w:contextualSpacing/>
        <w:jc w:val="left"/>
        <w:rPr>
          <w:rFonts w:ascii="CMR10" w:hAnsi="CMR10" w:eastAsia="CMR10" w:cs="CMR10"/>
        </w:rPr>
      </w:pPr>
      <w:r>
        <w:rPr>
          <w:rFonts w:eastAsia="CMR10" w:cs="CMR10" w:ascii="CMR10" w:hAnsi="CMR10"/>
        </w:rPr>
        <w:t>15</w:t>
      </w:r>
    </w:p>
    <w:p>
      <w:pPr>
        <w:pStyle w:val="Normal"/>
        <w:spacing w:before="0" w:after="0"/>
        <w:contextualSpacing/>
        <w:jc w:val="left"/>
        <w:rPr>
          <w:rFonts w:ascii="CMR10" w:hAnsi="CMR10" w:eastAsia="CMR10" w:cs="CMR10"/>
        </w:rPr>
      </w:pPr>
      <w:r>
        <w:rPr>
          <w:rFonts w:eastAsia="CMR10" w:cs="CMR10" w:ascii="CMR10" w:hAnsi="CMR10"/>
        </w:rPr>
        <w:t>reveal unexplored aspects of quantum theory in a nonfixed</w:t>
      </w:r>
    </w:p>
    <w:p>
      <w:pPr>
        <w:pStyle w:val="Normal"/>
        <w:spacing w:before="0" w:after="0"/>
        <w:contextualSpacing/>
        <w:jc w:val="left"/>
        <w:rPr>
          <w:rFonts w:ascii="CMR10" w:hAnsi="CMR10" w:eastAsia="CMR10" w:cs="CMR10"/>
        </w:rPr>
      </w:pPr>
      <w:r>
        <w:rPr>
          <w:rFonts w:eastAsia="CMR10" w:cs="CMR10" w:ascii="CMR10" w:hAnsi="CMR10"/>
        </w:rPr>
        <w:t>causal framework. The quantum switch of boxes</w:t>
      </w:r>
    </w:p>
    <w:p>
      <w:pPr>
        <w:pStyle w:val="Normal"/>
        <w:spacing w:before="0" w:after="0"/>
        <w:contextualSpacing/>
        <w:jc w:val="left"/>
        <w:rPr>
          <w:rFonts w:ascii="CMR10" w:hAnsi="CMR10" w:eastAsia="CMR10" w:cs="CMR10"/>
        </w:rPr>
      </w:pPr>
      <w:r>
        <w:rPr>
          <w:rFonts w:eastAsia="CMR10" w:cs="CMR10" w:ascii="CMR10" w:hAnsi="CMR10"/>
        </w:rPr>
        <w:t>is a new primitive that enables computations where the</w:t>
      </w:r>
    </w:p>
    <w:p>
      <w:pPr>
        <w:pStyle w:val="Normal"/>
        <w:spacing w:before="0" w:after="0"/>
        <w:contextualSpacing/>
        <w:jc w:val="left"/>
        <w:rPr>
          <w:rFonts w:ascii="CMR10" w:hAnsi="CMR10" w:eastAsia="CMR10" w:cs="CMR10"/>
        </w:rPr>
      </w:pPr>
      <w:r>
        <w:rPr>
          <w:rFonts w:eastAsia="CMR10" w:cs="CMR10" w:ascii="CMR10" w:hAnsi="CMR10"/>
        </w:rPr>
        <w:t>causal structure of the connections can be in a quantum</w:t>
      </w:r>
    </w:p>
    <w:p>
      <w:pPr>
        <w:pStyle w:val="Normal"/>
        <w:spacing w:before="0" w:after="0"/>
        <w:contextualSpacing/>
        <w:jc w:val="left"/>
        <w:rPr>
          <w:rFonts w:ascii="CMR10" w:hAnsi="CMR10" w:eastAsia="CMR10" w:cs="CMR10"/>
        </w:rPr>
      </w:pPr>
      <w:r>
        <w:rPr>
          <w:rFonts w:eastAsia="CMR10" w:cs="CMR10" w:ascii="CMR10" w:hAnsi="CMR10"/>
        </w:rPr>
        <w:t>superposition. A quantum computational model in which</w:t>
      </w:r>
    </w:p>
    <w:p>
      <w:pPr>
        <w:pStyle w:val="Normal"/>
        <w:spacing w:before="0" w:after="0"/>
        <w:contextualSpacing/>
        <w:jc w:val="left"/>
        <w:rPr>
          <w:rFonts w:ascii="CMR10" w:hAnsi="CMR10" w:eastAsia="CMR10" w:cs="CMR10"/>
        </w:rPr>
      </w:pPr>
      <w:r>
        <w:rPr>
          <w:rFonts w:eastAsia="CMR10" w:cs="CMR10" w:ascii="CMR10" w:hAnsi="CMR10"/>
        </w:rPr>
        <w:t>the states of quantum systems can control the structure</w:t>
      </w:r>
    </w:p>
    <w:p>
      <w:pPr>
        <w:pStyle w:val="Normal"/>
        <w:spacing w:before="0" w:after="0"/>
        <w:contextualSpacing/>
        <w:jc w:val="left"/>
        <w:rPr>
          <w:rFonts w:ascii="CMR10" w:hAnsi="CMR10" w:eastAsia="CMR10" w:cs="CMR10"/>
        </w:rPr>
      </w:pPr>
      <w:r>
        <w:rPr>
          <w:rFonts w:eastAsia="CMR10" w:cs="CMR10" w:ascii="CMR10" w:hAnsi="CMR10"/>
        </w:rPr>
        <w:t>of a causal network suggests a fascinating analogy with a</w:t>
      </w:r>
    </w:p>
    <w:p>
      <w:pPr>
        <w:pStyle w:val="Normal"/>
        <w:spacing w:before="0" w:after="0"/>
        <w:contextualSpacing/>
        <w:jc w:val="left"/>
        <w:rPr>
          <w:rFonts w:ascii="CMR10" w:hAnsi="CMR10" w:eastAsia="CMR10" w:cs="CMR10"/>
        </w:rPr>
      </w:pPr>
      <w:r>
        <w:rPr>
          <w:rFonts w:eastAsia="CMR10" w:cs="CMR10" w:ascii="CMR10" w:hAnsi="CMR10"/>
        </w:rPr>
        <w:t>quantum gravity scenario, in which the space-time geometry</w:t>
      </w:r>
    </w:p>
    <w:p>
      <w:pPr>
        <w:pStyle w:val="Normal"/>
        <w:spacing w:before="0" w:after="0"/>
        <w:contextualSpacing/>
        <w:jc w:val="left"/>
        <w:rPr>
          <w:rFonts w:ascii="CMR10" w:hAnsi="CMR10" w:eastAsia="CMR10" w:cs="CMR10"/>
        </w:rPr>
      </w:pPr>
      <w:r>
        <w:rPr>
          <w:rFonts w:eastAsia="CMR10" w:cs="CMR10" w:ascii="CMR10" w:hAnsi="CMR10"/>
        </w:rPr>
        <w:t>can be entangled with the state of physical systems.</w:t>
      </w:r>
    </w:p>
    <w:p>
      <w:pPr>
        <w:pStyle w:val="Normal"/>
        <w:spacing w:before="0" w:after="0"/>
        <w:contextualSpacing/>
        <w:jc w:val="left"/>
        <w:rPr>
          <w:rFonts w:ascii="CMR10" w:hAnsi="CMR10" w:eastAsia="CMR10" w:cs="CMR10"/>
        </w:rPr>
      </w:pPr>
      <w:r>
        <w:rPr>
          <w:rFonts w:eastAsia="CMR10" w:cs="CMR10" w:ascii="CMR10" w:hAnsi="CMR10"/>
        </w:rPr>
        <w:t>We believe that exhaustive analysis of higher-order</w:t>
      </w:r>
    </w:p>
    <w:p>
      <w:pPr>
        <w:pStyle w:val="Normal"/>
        <w:spacing w:before="0" w:after="0"/>
        <w:contextualSpacing/>
        <w:jc w:val="left"/>
        <w:rPr>
          <w:rFonts w:ascii="CMR10" w:hAnsi="CMR10" w:eastAsia="CMR10" w:cs="CMR10"/>
        </w:rPr>
      </w:pPr>
      <w:r>
        <w:rPr>
          <w:rFonts w:eastAsia="CMR10" w:cs="CMR10" w:ascii="CMR10" w:hAnsi="CMR10"/>
        </w:rPr>
        <w:t>transformations in quantum mechanics will provide some</w:t>
      </w:r>
    </w:p>
    <w:p>
      <w:pPr>
        <w:pStyle w:val="Normal"/>
        <w:spacing w:before="0" w:after="0"/>
        <w:contextualSpacing/>
        <w:jc w:val="left"/>
        <w:rPr>
          <w:rFonts w:ascii="CMR10" w:hAnsi="CMR10" w:eastAsia="CMR10" w:cs="CMR10"/>
        </w:rPr>
      </w:pPr>
      <w:r>
        <w:rPr>
          <w:rFonts w:eastAsia="CMR10" w:cs="CMR10" w:ascii="CMR10" w:hAnsi="CMR10"/>
        </w:rPr>
        <w:t>new insight for the formulation of a theory of quantum</w:t>
      </w:r>
    </w:p>
    <w:p>
      <w:pPr>
        <w:pStyle w:val="Normal"/>
        <w:spacing w:before="0" w:after="0"/>
        <w:contextualSpacing/>
        <w:jc w:val="left"/>
        <w:rPr>
          <w:rFonts w:ascii="CMR10" w:hAnsi="CMR10" w:eastAsia="CMR10" w:cs="CMR10"/>
        </w:rPr>
      </w:pPr>
      <w:r>
        <w:rPr>
          <w:rFonts w:eastAsia="CMR10" w:cs="CMR10" w:ascii="CMR10" w:hAnsi="CMR10"/>
        </w:rPr>
        <w:t>gravity, within a framework similar to the causaloid</w:t>
      </w:r>
    </w:p>
    <w:p>
      <w:pPr>
        <w:pStyle w:val="Normal"/>
        <w:spacing w:before="0" w:after="0"/>
        <w:contextualSpacing/>
        <w:jc w:val="left"/>
        <w:rPr>
          <w:rFonts w:ascii="CMR10" w:hAnsi="CMR10" w:eastAsia="CMR10" w:cs="CMR10"/>
        </w:rPr>
      </w:pPr>
      <w:r>
        <w:rPr>
          <w:rFonts w:eastAsia="CMR10" w:cs="CMR10" w:ascii="CMR10" w:hAnsi="CMR10"/>
        </w:rPr>
        <w:t>framework of Ref. [40]. The physical implementation</w:t>
      </w:r>
    </w:p>
    <w:p>
      <w:pPr>
        <w:pStyle w:val="Normal"/>
        <w:spacing w:before="0" w:after="0"/>
        <w:contextualSpacing/>
        <w:jc w:val="left"/>
        <w:rPr>
          <w:rFonts w:ascii="CMR10" w:hAnsi="CMR10" w:eastAsia="CMR10" w:cs="CMR10"/>
        </w:rPr>
      </w:pPr>
      <w:r>
        <w:rPr>
          <w:rFonts w:eastAsia="CMR10" w:cs="CMR10" w:ascii="CMR10" w:hAnsi="CMR10"/>
        </w:rPr>
        <w:t>of higher-order functions discussed here has also an interesting</w:t>
      </w:r>
    </w:p>
    <w:p>
      <w:pPr>
        <w:pStyle w:val="Normal"/>
        <w:spacing w:before="0" w:after="0"/>
        <w:contextualSpacing/>
        <w:jc w:val="left"/>
        <w:rPr>
          <w:rFonts w:ascii="CMR10" w:hAnsi="CMR10" w:eastAsia="CMR10" w:cs="CMR10"/>
        </w:rPr>
      </w:pPr>
      <w:r>
        <w:rPr>
          <w:rFonts w:eastAsia="CMR10" w:cs="CMR10" w:ascii="CMR10" w:hAnsi="CMR10"/>
        </w:rPr>
        <w:t>relation to the paradigm of the universe as a</w:t>
      </w:r>
    </w:p>
    <w:p>
      <w:pPr>
        <w:pStyle w:val="Normal"/>
        <w:spacing w:before="0" w:after="0"/>
        <w:contextualSpacing/>
        <w:jc w:val="left"/>
        <w:rPr>
          <w:rFonts w:ascii="CMR10" w:hAnsi="CMR10" w:eastAsia="CMR10" w:cs="CMR10"/>
        </w:rPr>
      </w:pPr>
      <w:r>
        <w:rPr>
          <w:rFonts w:eastAsia="CMR10" w:cs="CMR10" w:ascii="CMR10" w:hAnsi="CMR10"/>
        </w:rPr>
        <w:t>quantum computer [41]. Indeed, one can wonder what</w:t>
      </w:r>
    </w:p>
    <w:p>
      <w:pPr>
        <w:pStyle w:val="Normal"/>
        <w:spacing w:before="0" w:after="0"/>
        <w:contextualSpacing/>
        <w:jc w:val="left"/>
        <w:rPr>
          <w:rFonts w:ascii="CMR10" w:hAnsi="CMR10" w:eastAsia="CMR10" w:cs="CMR10"/>
        </w:rPr>
      </w:pPr>
      <w:r>
        <w:rPr>
          <w:rFonts w:eastAsia="CMR10" w:cs="CMR10" w:ascii="CMR10" w:hAnsi="CMR10"/>
        </w:rPr>
        <w:t>kind of quantum computer the universe is: It could be</w:t>
      </w:r>
    </w:p>
    <w:p>
      <w:pPr>
        <w:pStyle w:val="Normal"/>
        <w:spacing w:before="0" w:after="0"/>
        <w:contextualSpacing/>
        <w:jc w:val="left"/>
        <w:rPr>
          <w:rFonts w:ascii="CMR10" w:hAnsi="CMR10" w:eastAsia="CMR10" w:cs="CMR10"/>
        </w:rPr>
      </w:pPr>
      <w:r>
        <w:rPr>
          <w:rFonts w:eastAsia="CMR10" w:cs="CMR10" w:ascii="CMR10" w:hAnsi="CMR10"/>
        </w:rPr>
        <w:t>a gigantic quantum circuit where information is encoded</w:t>
      </w:r>
    </w:p>
    <w:p>
      <w:pPr>
        <w:pStyle w:val="Normal"/>
        <w:spacing w:before="0" w:after="0"/>
        <w:contextualSpacing/>
        <w:jc w:val="left"/>
        <w:rPr>
          <w:rFonts w:ascii="CMR10" w:hAnsi="CMR10" w:eastAsia="CMR10" w:cs="CMR10"/>
        </w:rPr>
      </w:pPr>
      <w:r>
        <w:rPr>
          <w:rFonts w:eastAsia="CMR10" w:cs="CMR10" w:ascii="CMR10" w:hAnsi="CMR10"/>
        </w:rPr>
        <w:t>in the state of many qubits and is processed in time from</w:t>
      </w:r>
    </w:p>
    <w:p>
      <w:pPr>
        <w:pStyle w:val="Normal"/>
        <w:spacing w:before="0" w:after="0"/>
        <w:contextualSpacing/>
        <w:jc w:val="left"/>
        <w:rPr>
          <w:rFonts w:ascii="CMR10" w:hAnsi="CMR10" w:eastAsia="CMR10" w:cs="CMR10"/>
        </w:rPr>
      </w:pPr>
      <w:r>
        <w:rPr>
          <w:rFonts w:eastAsia="CMR10" w:cs="CMR10" w:ascii="CMR10" w:hAnsi="CMR10"/>
        </w:rPr>
        <w:t>a spacelike surface to the next, or it could be a quantum</w:t>
      </w:r>
    </w:p>
    <w:p>
      <w:pPr>
        <w:pStyle w:val="Normal"/>
        <w:spacing w:before="0" w:after="0"/>
        <w:contextualSpacing/>
        <w:jc w:val="left"/>
        <w:rPr>
          <w:rFonts w:ascii="CMR10" w:hAnsi="CMR10" w:eastAsia="CMR10" w:cs="CMR10"/>
        </w:rPr>
      </w:pPr>
      <w:r>
        <w:rPr>
          <w:rFonts w:eastAsia="CMR10" w:cs="CMR10" w:ascii="CMR10" w:hAnsi="CMR10"/>
        </w:rPr>
        <w:t>Turing machine, or also be a higher-order computer, that</w:t>
      </w:r>
    </w:p>
    <w:p>
      <w:pPr>
        <w:pStyle w:val="Normal"/>
        <w:spacing w:before="0" w:after="0"/>
        <w:contextualSpacing/>
        <w:jc w:val="left"/>
        <w:rPr>
          <w:rFonts w:ascii="CMR10" w:hAnsi="CMR10" w:eastAsia="CMR10" w:cs="CMR10"/>
        </w:rPr>
      </w:pPr>
      <w:r>
        <w:rPr>
          <w:rFonts w:eastAsia="CMR10" w:cs="CMR10" w:ascii="CMR10" w:hAnsi="CMR10"/>
        </w:rPr>
        <w:t>processes information encoded in transformations (e.g.</w:t>
      </w:r>
    </w:p>
    <w:p>
      <w:pPr>
        <w:pStyle w:val="Normal"/>
        <w:spacing w:before="0" w:after="0"/>
        <w:contextualSpacing/>
        <w:jc w:val="left"/>
        <w:rPr>
          <w:rFonts w:ascii="CMR10" w:hAnsi="CMR10" w:eastAsia="CMR10" w:cs="CMR10"/>
        </w:rPr>
      </w:pPr>
      <w:r>
        <w:rPr>
          <w:rFonts w:eastAsia="CMR10" w:cs="CMR10" w:ascii="CMR10" w:hAnsi="CMR10"/>
        </w:rPr>
        <w:t>in scattering amplitudes) rather than in states. Even if</w:t>
      </w:r>
    </w:p>
    <w:p>
      <w:pPr>
        <w:pStyle w:val="Normal"/>
        <w:spacing w:before="0" w:after="0"/>
        <w:contextualSpacing/>
        <w:jc w:val="left"/>
        <w:rPr>
          <w:rFonts w:ascii="CMR10" w:hAnsi="CMR10" w:eastAsia="CMR10" w:cs="CMR10"/>
        </w:rPr>
      </w:pPr>
      <w:r>
        <w:rPr>
          <w:rFonts w:eastAsia="CMR10" w:cs="CMR10" w:ascii="CMR10" w:hAnsi="CMR10"/>
        </w:rPr>
        <w:t>these three models turn out to be equivalent from an</w:t>
      </w:r>
    </w:p>
    <w:p>
      <w:pPr>
        <w:pStyle w:val="Normal"/>
        <w:spacing w:before="0" w:after="0"/>
        <w:contextualSpacing/>
        <w:jc w:val="left"/>
        <w:rPr>
          <w:rFonts w:ascii="CMR10" w:hAnsi="CMR10" w:eastAsia="CMR10" w:cs="CMR10"/>
        </w:rPr>
      </w:pPr>
      <w:r>
        <w:rPr>
          <w:rFonts w:eastAsia="CMR10" w:cs="CMR10" w:ascii="CMR10" w:hAnsi="CMR10"/>
        </w:rPr>
        <w:t>abstract computational point of view, they would nevertheless</w:t>
      </w:r>
    </w:p>
    <w:p>
      <w:pPr>
        <w:pStyle w:val="Normal"/>
        <w:spacing w:before="0" w:after="0"/>
        <w:contextualSpacing/>
        <w:jc w:val="left"/>
        <w:rPr>
          <w:rFonts w:ascii="CMR10" w:hAnsi="CMR10" w:eastAsia="CMR10" w:cs="CMR10"/>
        </w:rPr>
      </w:pPr>
      <w:r>
        <w:rPr>
          <w:rFonts w:eastAsia="CMR10" w:cs="CMR10" w:ascii="CMR10" w:hAnsi="CMR10"/>
        </w:rPr>
        <w:t>remain very different from the physical one, as</w:t>
      </w:r>
    </w:p>
    <w:p>
      <w:pPr>
        <w:pStyle w:val="Normal"/>
        <w:spacing w:before="0" w:after="0"/>
        <w:contextualSpacing/>
        <w:jc w:val="left"/>
        <w:rPr>
          <w:rFonts w:ascii="CMR10" w:hAnsi="CMR10" w:eastAsia="CMR10" w:cs="CMR10"/>
        </w:rPr>
      </w:pPr>
      <w:r>
        <w:rPr>
          <w:rFonts w:eastAsia="CMR10" w:cs="CMR10" w:ascii="CMR10" w:hAnsi="CMR10"/>
        </w:rPr>
        <w:t>they are based on different physical mechanisms. Moreover,</w:t>
      </w:r>
    </w:p>
    <w:p>
      <w:pPr>
        <w:pStyle w:val="Normal"/>
        <w:spacing w:before="0" w:after="0"/>
        <w:contextualSpacing/>
        <w:jc w:val="left"/>
        <w:rPr>
          <w:rFonts w:ascii="CMR10" w:hAnsi="CMR10" w:eastAsia="CMR10" w:cs="CMR10"/>
        </w:rPr>
      </w:pPr>
      <w:r>
        <w:rPr>
          <w:rFonts w:eastAsia="CMR10" w:cs="CMR10" w:ascii="CMR10" w:hAnsi="CMR10"/>
        </w:rPr>
        <w:t>as we already mentioned, the third model has still</w:t>
      </w:r>
    </w:p>
    <w:p>
      <w:pPr>
        <w:pStyle w:val="Normal"/>
        <w:spacing w:before="0" w:after="0"/>
        <w:contextualSpacing/>
        <w:jc w:val="left"/>
        <w:rPr>
          <w:rFonts w:ascii="CMR10" w:hAnsi="CMR10" w:eastAsia="CMR10" w:cs="CMR10"/>
        </w:rPr>
      </w:pPr>
      <w:r>
        <w:rPr>
          <w:rFonts w:eastAsia="CMR10" w:cs="CMR10" w:ascii="CMR10" w:hAnsi="CMR10"/>
        </w:rPr>
        <w:t>to be completely formulated: What is presently lacking</w:t>
      </w:r>
    </w:p>
    <w:p>
      <w:pPr>
        <w:pStyle w:val="Normal"/>
        <w:spacing w:before="0" w:after="0"/>
        <w:contextualSpacing/>
        <w:jc w:val="left"/>
        <w:rPr>
          <w:rFonts w:ascii="CMR10" w:hAnsi="CMR10" w:eastAsia="CMR10" w:cs="CMR10"/>
        </w:rPr>
      </w:pPr>
      <w:r>
        <w:rPr>
          <w:rFonts w:eastAsia="CMR10" w:cs="CMR10" w:ascii="CMR10" w:hAnsi="CMR10"/>
        </w:rPr>
        <w:t>is a complete physical theory that characterizes all transformations</w:t>
      </w:r>
    </w:p>
    <w:p>
      <w:pPr>
        <w:pStyle w:val="Normal"/>
        <w:spacing w:before="0" w:after="0"/>
        <w:contextualSpacing/>
        <w:jc w:val="left"/>
        <w:rPr>
          <w:rFonts w:ascii="CMR10" w:hAnsi="CMR10" w:eastAsia="CMR10" w:cs="CMR10"/>
        </w:rPr>
      </w:pPr>
      <w:r>
        <w:rPr>
          <w:rFonts w:eastAsia="CMR10" w:cs="CMR10" w:ascii="CMR10" w:hAnsi="CMR10"/>
        </w:rPr>
        <w:t>of boxes that are possible in nature. A piece</w:t>
      </w:r>
    </w:p>
    <w:p>
      <w:pPr>
        <w:pStyle w:val="Normal"/>
        <w:spacing w:before="0" w:after="0"/>
        <w:ind w:left="0" w:right="0" w:firstLine="720"/>
        <w:contextualSpacing/>
        <w:jc w:val="left"/>
        <w:rPr>
          <w:rFonts w:ascii="CMR10" w:hAnsi="CMR10" w:eastAsia="CMR10" w:cs="CMR10"/>
        </w:rPr>
      </w:pPr>
      <w:r>
        <w:rPr>
          <w:rFonts w:eastAsia="CMR10" w:cs="CMR10" w:ascii="CMR10" w:hAnsi="CMR10"/>
        </w:rPr>
        <w:t xml:space="preserve">of Quantum Theory has yet to be explored. (14-15) </w:t>
      </w:r>
    </w:p>
    <w:p>
      <w:pPr>
        <w:pStyle w:val="Normal"/>
        <w:spacing w:before="0" w:after="0"/>
        <w:ind w:left="0" w:right="0" w:firstLine="720"/>
        <w:contextualSpacing/>
        <w:jc w:val="left"/>
        <w:rPr>
          <w:rFonts w:ascii="CMR10" w:hAnsi="CMR10" w:eastAsia="CMR10" w:cs="CMR10"/>
        </w:rPr>
      </w:pPr>
      <w:r>
        <w:rPr>
          <w:rFonts w:eastAsia="CMR10" w:cs="CMR10" w:ascii="CMR10" w:hAnsi="CMR10"/>
        </w:rPr>
      </w:r>
    </w:p>
    <w:p>
      <w:pPr>
        <w:pStyle w:val="Normal"/>
        <w:spacing w:before="0" w:after="0"/>
        <w:contextualSpacing/>
        <w:jc w:val="left"/>
        <w:rPr>
          <w:rFonts w:ascii="CMBX9" w:hAnsi="CMBX9" w:cs="CMBX9"/>
          <w:sz w:val="18"/>
          <w:szCs w:val="18"/>
        </w:rPr>
      </w:pPr>
      <w:r>
        <w:rPr>
          <w:rFonts w:cs="CMBX9" w:ascii="CMBX9" w:hAnsi="CMBX9"/>
          <w:sz w:val="18"/>
          <w:szCs w:val="18"/>
        </w:rPr>
        <w:t>Appendix B: Alternative proof of the impossibility</w:t>
      </w:r>
    </w:p>
    <w:p>
      <w:pPr>
        <w:pStyle w:val="Normal"/>
        <w:spacing w:before="0" w:after="0"/>
        <w:ind w:left="0" w:right="0" w:firstLine="720"/>
        <w:contextualSpacing/>
        <w:jc w:val="left"/>
        <w:rPr>
          <w:rFonts w:ascii="CMBX9" w:hAnsi="CMBX9" w:cs="CMBX9"/>
          <w:sz w:val="18"/>
          <w:szCs w:val="18"/>
        </w:rPr>
      </w:pPr>
      <w:r>
        <w:rPr>
          <w:rFonts w:cs="CMBX9" w:ascii="CMBX9" w:hAnsi="CMBX9"/>
          <w:sz w:val="18"/>
          <w:szCs w:val="18"/>
        </w:rPr>
        <w:t xml:space="preserve">of a circuit realization of the switch supermap (15) </w:t>
      </w:r>
    </w:p>
    <w:p>
      <w:pPr>
        <w:pStyle w:val="Normal"/>
        <w:spacing w:before="0" w:after="0"/>
        <w:contextualSpacing/>
        <w:jc w:val="left"/>
        <w:rPr>
          <w:rFonts w:ascii="CMR10" w:hAnsi="CMR10" w:eastAsia="CMR10" w:cs="CMR10"/>
        </w:rPr>
      </w:pPr>
      <w:r>
        <w:rPr>
          <w:rFonts w:eastAsia="CMR10" w:cs="CMR10" w:ascii="CMR10" w:hAnsi="CMR10"/>
        </w:rPr>
      </w:r>
    </w:p>
    <w:p>
      <w:pPr>
        <w:pStyle w:val="Normal"/>
        <w:spacing w:before="0" w:after="0"/>
        <w:contextualSpacing/>
        <w:jc w:val="left"/>
        <w:rPr>
          <w:rFonts w:ascii="CMR10" w:hAnsi="CMR10" w:eastAsia="CMR10" w:cs="CMR10"/>
          <w:color w:val="FF0000"/>
        </w:rPr>
      </w:pPr>
      <w:r>
        <w:rPr>
          <w:rFonts w:eastAsia="CMR10" w:cs="CMR10" w:ascii="CMR10" w:hAnsi="CMR10"/>
          <w:color w:val="FF0000"/>
        </w:rPr>
      </w:r>
    </w:p>
    <w:p>
      <w:pPr>
        <w:pStyle w:val="Normal"/>
        <w:spacing w:before="0" w:after="0"/>
        <w:contextualSpacing/>
        <w:jc w:val="left"/>
        <w:rPr/>
      </w:pPr>
      <w:r>
        <w:rPr>
          <w:rFonts w:eastAsia="CMR10" w:cs="CMR10" w:ascii="CMR10" w:hAnsi="CMR10"/>
          <w:b/>
          <w:color w:val="FF0000"/>
        </w:rPr>
        <w:t>[Again, in all these paragraphs, we can see the missing ontological (in reality, the hyperontological) background that is the EDWs.  For instance, “</w:t>
      </w:r>
      <w:r>
        <w:rPr>
          <w:rFonts w:cs="CMBX9" w:ascii="CMBX9" w:hAnsi="CMBX9"/>
          <w:b/>
          <w:sz w:val="18"/>
          <w:szCs w:val="18"/>
        </w:rPr>
        <w:t xml:space="preserve">the impossibility of a circuit realization of the switch supermap” </w:t>
      </w:r>
      <w:r>
        <w:rPr>
          <w:rFonts w:cs="CMBX9" w:ascii="CMBX9" w:hAnsi="CMBX9"/>
          <w:b/>
          <w:color w:val="FF0000"/>
          <w:sz w:val="18"/>
          <w:szCs w:val="18"/>
        </w:rPr>
        <w:t xml:space="preserve">mirrors exactly the relationship between my EDWs: correspondence! </w:t>
      </w:r>
      <w:r>
        <w:rPr>
          <w:rFonts w:eastAsia="CMR10" w:cs="CMR10" w:ascii="CMR10" w:hAnsi="CMR10"/>
          <w:b/>
          <w:color w:val="FF0000"/>
        </w:rPr>
        <w:t>It is about the correspondence between EDWs!!!! No more or less! That is their missing ontological background! However, the geniuses do not need any (hyper)ontological background to elaborate “amazing” thought-experiments, do they?]</w:t>
      </w:r>
    </w:p>
    <w:p>
      <w:pPr>
        <w:pStyle w:val="Normal"/>
        <w:spacing w:before="0" w:after="0"/>
        <w:contextualSpacing/>
        <w:jc w:val="left"/>
        <w:rPr>
          <w:rFonts w:ascii="CMR10" w:hAnsi="CMR10" w:eastAsia="CMR10" w:cs="CMR10"/>
          <w:b/>
          <w:b/>
          <w:color w:val="FF0000"/>
        </w:rPr>
      </w:pPr>
      <w:r>
        <w:rPr>
          <w:rFonts w:eastAsia="CMR10" w:cs="CMR10" w:ascii="CMR10" w:hAnsi="CMR10"/>
          <w:b/>
          <w:color w:val="FF0000"/>
        </w:rPr>
      </w:r>
    </w:p>
    <w:p>
      <w:pPr>
        <w:pStyle w:val="Normal"/>
        <w:spacing w:before="0" w:after="0"/>
        <w:contextualSpacing/>
        <w:rPr>
          <w:rFonts w:ascii="NimbusRomNo9L-Medi" w:hAnsi="NimbusRomNo9L-Medi" w:cs="NimbusRomNo9L-Medi"/>
          <w:b/>
          <w:b/>
          <w:sz w:val="28"/>
          <w:szCs w:val="28"/>
        </w:rPr>
      </w:pPr>
      <w:r>
        <w:rPr>
          <w:rFonts w:cs="NimbusRomNo9L-Medi" w:ascii="NimbusRomNo9L-Medi" w:hAnsi="NimbusRomNo9L-Medi"/>
          <w:b/>
          <w:sz w:val="28"/>
          <w:szCs w:val="28"/>
        </w:rPr>
      </w:r>
    </w:p>
    <w:p>
      <w:pPr>
        <w:pStyle w:val="ListParagraph"/>
        <w:numPr>
          <w:ilvl w:val="0"/>
          <w:numId w:val="31"/>
        </w:numPr>
        <w:spacing w:before="0" w:after="0"/>
        <w:ind w:left="0" w:right="0" w:hanging="360"/>
        <w:contextualSpacing/>
        <w:rPr/>
      </w:pPr>
      <w:r>
        <w:rPr>
          <w:rFonts w:cs="NimbusRomNo9L-Medi" w:ascii="NimbusRomNo9L-Medi" w:hAnsi="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pStyle w:val="Normal"/>
        <w:spacing w:before="0" w:after="0"/>
        <w:contextualSpacing/>
        <w:rPr>
          <w:rFonts w:ascii="NimbusRomNo9L-Medi" w:hAnsi="NimbusRomNo9L-Medi" w:cs="NimbusRomNo9L-Medi"/>
        </w:rPr>
      </w:pPr>
      <w:r>
        <w:rPr>
          <w:rFonts w:cs="NimbusRomNo9L-Medi" w:ascii="NimbusRomNo9L-Medi" w:hAnsi="NimbusRomNo9L-Medi"/>
        </w:rPr>
      </w:r>
    </w:p>
    <w:p>
      <w:pPr>
        <w:pStyle w:val="Normal"/>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pStyle w:val="Normal"/>
        <w:spacing w:before="0" w:after="0"/>
        <w:contextualSpacing/>
        <w:rPr>
          <w:color w:val="FF0000"/>
        </w:rPr>
      </w:pPr>
      <w:r>
        <w:rPr>
          <w:color w:val="FF0000"/>
        </w:rPr>
      </w:r>
    </w:p>
    <w:p>
      <w:pPr>
        <w:pStyle w:val="Normal"/>
        <w:spacing w:before="0" w:after="0"/>
        <w:contextualSpacing/>
        <w:rPr/>
      </w:pPr>
      <w:r>
        <w:rPr>
          <w:rFonts w:cs="NimbusRomNo9L-Medi" w:ascii="NimbusRomNo9L-Medi" w:hAnsi="NimbusRomNo9L-Medi"/>
        </w:rPr>
        <w:t xml:space="preserve">(2013) </w:t>
      </w:r>
      <w:r>
        <w:rPr>
          <w:rFonts w:cs="NimbusRomNo9L-Regu" w:ascii="NimbusRomNo9L-Regu" w:hAnsi="NimbusRomNo9L-Regu"/>
        </w:rPr>
        <w:t>Ognyan Oreshkov1</w:t>
      </w:r>
      <w:r>
        <w:rPr>
          <w:rFonts w:cs="rtxmi" w:ascii="rtxmi" w:hAnsi="rtxmi"/>
        </w:rPr>
        <w:t>;</w:t>
      </w:r>
      <w:r>
        <w:rPr>
          <w:rFonts w:cs="NimbusRomNo9L-Regu" w:ascii="NimbusRomNo9L-Regu" w:hAnsi="NimbusRomNo9L-Regu"/>
        </w:rPr>
        <w:t>2, Fabio Costa1, Cˇ aslav Brukner1</w:t>
      </w:r>
      <w:r>
        <w:rPr>
          <w:rFonts w:cs="rtxmi" w:ascii="rtxmi" w:hAnsi="rtxmi"/>
        </w:rPr>
        <w:t>;</w:t>
      </w:r>
      <w:r>
        <w:rPr>
          <w:rFonts w:cs="NimbusRomNo9L-Regu" w:ascii="NimbusRomNo9L-Regu" w:hAnsi="NimbusRomNo9L-Regu"/>
        </w:rPr>
        <w:t xml:space="preserve">3, </w:t>
      </w:r>
      <w:r>
        <w:rPr>
          <w:rFonts w:cs="NimbusRomNo9L-Medi" w:ascii="NimbusRomNo9L-Medi" w:hAnsi="NimbusRomNo9L-Medi"/>
        </w:rPr>
        <w:t>Quantum correlations with no causal order</w:t>
      </w:r>
      <w:r>
        <w:rPr>
          <w:rFonts w:cs="txsy" w:ascii="txsy" w:hAnsi="txsy"/>
        </w:rPr>
        <w:t xml:space="preserve">, at </w:t>
      </w:r>
      <w:r>
        <w:rPr/>
        <w:t>arXiv:1105.4464v3 [quant-ph] 14 Feb 2013</w:t>
      </w:r>
    </w:p>
    <w:p>
      <w:pPr>
        <w:pStyle w:val="Normal"/>
        <w:spacing w:before="0" w:after="0"/>
        <w:contextualSpacing/>
        <w:rPr>
          <w:color w:val="FF0000"/>
        </w:rPr>
      </w:pPr>
      <w:r>
        <w:rPr>
          <w:color w:val="FF0000"/>
        </w:rPr>
      </w:r>
    </w:p>
    <w:p>
      <w:pPr>
        <w:pStyle w:val="Normal"/>
        <w:spacing w:before="0" w:after="0"/>
        <w:contextualSpacing/>
        <w:rPr/>
      </w:pPr>
      <w:r>
        <w:rPr/>
        <w:t>Abstract</w:t>
      </w:r>
    </w:p>
    <w:p>
      <w:pPr>
        <w:pStyle w:val="Normal"/>
        <w:spacing w:before="0" w:after="0"/>
        <w:contextualSpacing/>
        <w:rPr>
          <w:color w:val="FF0000"/>
        </w:rPr>
      </w:pPr>
      <w:r>
        <w:rPr>
          <w:color w:val="FF0000"/>
        </w:rPr>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The idea that events obey a definite causal order is deeply rooted in our understanding of the world and at</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the basis of the very notion of time. But where does causal order come from, and is it a necessary property</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of nature? We address these questions from the standpoint of quantum mechanics in a new framework for</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multipartite correlations which does not assume a pre-defined global causal structure but only the validity of</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quantum mechanics locally. All known situations that respect causal order, including space-like and time-like</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separated experiments, are captured by this framework in a unified way. Surprisingly, we find correlations that</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cannot be understood in terms of definite causal order. These correlations violate a ‘causal inequality’ that is</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satisfied by all space-like and time-like correlations. We further show that in a classical limit causal order always</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arises, which suggests that space-time may emerge from a more fundamental structure in a quantum-to-classical</w:t>
      </w:r>
    </w:p>
    <w:p>
      <w:pPr>
        <w:pStyle w:val="Normal"/>
        <w:spacing w:before="0" w:after="0"/>
        <w:contextualSpacing/>
        <w:rPr>
          <w:rFonts w:ascii="NimbusRomNo9L-Regu" w:hAnsi="NimbusRomNo9L-Regu" w:cs="NimbusRomNo9L-Regu"/>
          <w:sz w:val="18"/>
          <w:szCs w:val="18"/>
        </w:rPr>
      </w:pPr>
      <w:r>
        <w:rPr>
          <w:rFonts w:cs="NimbusRomNo9L-Regu" w:ascii="NimbusRomNo9L-Regu" w:hAnsi="NimbusRomNo9L-Regu"/>
          <w:sz w:val="18"/>
          <w:szCs w:val="18"/>
        </w:rPr>
        <w:t>transition.</w:t>
      </w:r>
    </w:p>
    <w:p>
      <w:pPr>
        <w:pStyle w:val="Normal"/>
        <w:spacing w:before="0" w:after="0"/>
        <w:contextualSpacing/>
        <w:rPr/>
      </w:pPr>
      <w:r>
        <w:rPr/>
      </w:r>
    </w:p>
    <w:p>
      <w:pPr>
        <w:pStyle w:val="Normal"/>
        <w:spacing w:before="0" w:after="0"/>
        <w:contextualSpacing/>
        <w:jc w:val="left"/>
        <w:rPr/>
      </w:pPr>
      <w:r>
        <w:rPr>
          <w:color w:val="FF0000"/>
        </w:rPr>
        <w:t>[Obviously, “</w:t>
      </w:r>
      <w:r>
        <w:rPr>
          <w:rFonts w:cs="NimbusRomNo9L-Regu" w:ascii="NimbusRomNo9L-Regu" w:hAnsi="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rPr>
      </w:pPr>
      <w:r>
        <w:rPr>
          <w:rFonts w:cs="NimbusRomNo9L-Regu" w:ascii="NimbusRomNo9L-Regu" w:hAnsi="NimbusRomNo9L-Regu"/>
        </w:rPr>
        <w:t>But are space, time, and</w:t>
      </w:r>
    </w:p>
    <w:p>
      <w:pPr>
        <w:pStyle w:val="Normal"/>
        <w:spacing w:before="0" w:after="0"/>
        <w:contextualSpacing/>
        <w:jc w:val="left"/>
        <w:rPr>
          <w:rFonts w:ascii="NimbusRomNo9L-Regu" w:hAnsi="NimbusRomNo9L-Regu" w:cs="NimbusRomNo9L-Regu"/>
        </w:rPr>
      </w:pPr>
      <w:r>
        <w:rPr>
          <w:rFonts w:cs="NimbusRomNo9L-Regu" w:ascii="NimbusRomNo9L-Regu" w:hAnsi="NimbusRomNo9L-Regu"/>
        </w:rPr>
        <w:t>causal order truly fundamental ingredients of nature? Is it possible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in some circumstances, even causal relations would</w:t>
      </w:r>
    </w:p>
    <w:p>
      <w:pPr>
        <w:pStyle w:val="Normal"/>
        <w:spacing w:before="0" w:after="0"/>
        <w:contextualSpacing/>
        <w:jc w:val="left"/>
        <w:rPr>
          <w:rFonts w:ascii="NimbusRomNo9L-Regu" w:hAnsi="NimbusRomNo9L-Regu" w:cs="NimbusRomNo9L-Regu"/>
        </w:rPr>
      </w:pPr>
      <w:r>
        <w:rPr>
          <w:rFonts w:cs="NimbusRomNo9L-Regu" w:ascii="NimbusRomNo9L-Regu" w:hAnsi="NimbusRomNo9L-Regu"/>
        </w:rPr>
        <w:t>be ‘uncertain’, similarly to the way other physical properties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quantum systems are [9]?</w:t>
      </w:r>
    </w:p>
    <w:p>
      <w:pPr>
        <w:pStyle w:val="Normal"/>
        <w:spacing w:before="0" w:after="0"/>
        <w:contextualSpacing/>
        <w:jc w:val="left"/>
        <w:rPr>
          <w:rFonts w:ascii="NimbusRomNo9L-Regu" w:hAnsi="NimbusRomNo9L-Regu" w:cs="NimbusRomNo9L-Regu"/>
        </w:rPr>
      </w:pPr>
      <w:r>
        <w:rPr>
          <w:rFonts w:cs="NimbusRomNo9L-Regu" w:ascii="NimbusRomNo9L-Regu" w:hAnsi="NimbusRomNo9L-Regu"/>
        </w:rPr>
        <w:t>Here we show that quantum mechanics allows for such a</w:t>
      </w:r>
    </w:p>
    <w:p>
      <w:pPr>
        <w:pStyle w:val="Normal"/>
        <w:spacing w:before="0" w:after="0"/>
        <w:contextualSpacing/>
        <w:jc w:val="left"/>
        <w:rPr>
          <w:rFonts w:ascii="NimbusRomNo9L-Regu" w:hAnsi="NimbusRomNo9L-Regu" w:cs="NimbusRomNo9L-Regu"/>
        </w:rPr>
      </w:pPr>
      <w:r>
        <w:rPr>
          <w:rFonts w:cs="NimbusRomNo9L-Regu" w:ascii="NimbusRomNo9L-Regu" w:hAnsi="NimbusRomNo9L-Regu"/>
        </w:rPr>
        <w:t>possibility. We develop a framework that describes all correlations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can be observed by two experimenters under 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assumption that in their local laboratories physics is described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by the standard quantum formalism, but without assuming that</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laboratories are embedded in any definite causal structure.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These include non-signalling correlations arising from</w:t>
      </w:r>
    </w:p>
    <w:p>
      <w:pPr>
        <w:pStyle w:val="Normal"/>
        <w:spacing w:before="0" w:after="0"/>
        <w:contextualSpacing/>
        <w:jc w:val="left"/>
        <w:rPr>
          <w:rFonts w:ascii="NimbusRomNo9L-Regu" w:hAnsi="NimbusRomNo9L-Regu" w:cs="NimbusRomNo9L-Regu"/>
        </w:rPr>
      </w:pPr>
      <w:r>
        <w:rPr>
          <w:rFonts w:cs="NimbusRomNo9L-Regu" w:ascii="NimbusRomNo9L-Regu" w:hAnsi="NimbusRomNo9L-Regu"/>
        </w:rPr>
        <w:t>measurements on a bipartite state, as well as signalling ones,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which can arise when a system is sent from one laboratory</w:t>
      </w:r>
    </w:p>
    <w:p>
      <w:pPr>
        <w:pStyle w:val="Normal"/>
        <w:spacing w:before="0" w:after="0"/>
        <w:contextualSpacing/>
        <w:jc w:val="left"/>
        <w:rPr>
          <w:rFonts w:ascii="NimbusRomNo9L-Regu" w:hAnsi="NimbusRomNo9L-Regu" w:cs="NimbusRomNo9L-Regu"/>
        </w:rPr>
      </w:pPr>
      <w:r>
        <w:rPr>
          <w:rFonts w:cs="NimbusRomNo9L-Regu" w:ascii="NimbusRomNo9L-Regu" w:hAnsi="NimbusRomNo9L-Regu"/>
        </w:rPr>
        <w:t>to another through a quantum channel. We find that, surprisingly,</w:t>
      </w:r>
    </w:p>
    <w:p>
      <w:pPr>
        <w:pStyle w:val="Normal"/>
        <w:spacing w:before="0" w:after="0"/>
        <w:contextualSpacing/>
        <w:jc w:val="left"/>
        <w:rPr>
          <w:rFonts w:ascii="NimbusRomNo9L-Regu" w:hAnsi="NimbusRomNo9L-Regu" w:cs="NimbusRomNo9L-Regu"/>
        </w:rPr>
      </w:pPr>
      <w:r>
        <w:rPr>
          <w:rFonts w:cs="NimbusRomNo9L-Regu" w:ascii="NimbusRomNo9L-Regu" w:hAnsi="NimbusRomNo9L-Regu"/>
        </w:rPr>
        <w:t>more general correlations are possible, which are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not included in the standard quantum formalism. These correlations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are incompatible with any underlying causal structure: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they allow performing a task—the violation of a ‘causal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inequality’—which is impossible if events take place in a causal sequence. This is directly analogous to the famous</w:t>
      </w:r>
    </w:p>
    <w:p>
      <w:pPr>
        <w:pStyle w:val="Normal"/>
        <w:spacing w:before="0" w:after="0"/>
        <w:contextualSpacing/>
        <w:jc w:val="left"/>
        <w:rPr>
          <w:rFonts w:ascii="NimbusRomNo9L-Regu" w:hAnsi="NimbusRomNo9L-Regu" w:cs="NimbusRomNo9L-Regu"/>
        </w:rPr>
      </w:pPr>
      <w:r>
        <w:rPr>
          <w:rFonts w:cs="NimbusRomNo9L-Regu" w:ascii="NimbusRomNo9L-Regu" w:hAnsi="NimbusRomNo9L-Regu"/>
        </w:rPr>
        <w:t>violation of local realism: quantum systems allow performing</w:t>
      </w:r>
    </w:p>
    <w:p>
      <w:pPr>
        <w:pStyle w:val="Normal"/>
        <w:spacing w:before="0" w:after="0"/>
        <w:contextualSpacing/>
        <w:jc w:val="left"/>
        <w:rPr>
          <w:rFonts w:ascii="NimbusRomNo9L-Regu" w:hAnsi="NimbusRomNo9L-Regu" w:cs="NimbusRomNo9L-Regu"/>
        </w:rPr>
      </w:pPr>
      <w:r>
        <w:rPr>
          <w:rFonts w:cs="NimbusRomNo9L-Regu" w:ascii="NimbusRomNo9L-Regu" w:hAnsi="NimbusRomNo9L-Regu"/>
        </w:rPr>
        <w:t>a task—the violation of Bell’s inequality [10]—which is</w:t>
      </w:r>
    </w:p>
    <w:p>
      <w:pPr>
        <w:pStyle w:val="Normal"/>
        <w:spacing w:before="0" w:after="0"/>
        <w:contextualSpacing/>
        <w:jc w:val="left"/>
        <w:rPr>
          <w:rFonts w:ascii="NimbusRomNo9L-Regu" w:hAnsi="NimbusRomNo9L-Regu" w:cs="NimbusRomNo9L-Regu"/>
        </w:rPr>
      </w:pPr>
      <w:r>
        <w:rPr>
          <w:rFonts w:cs="NimbusRomNo9L-Regu" w:ascii="NimbusRomNo9L-Regu" w:hAnsi="NimbusRomNo9L-Regu"/>
        </w:rPr>
        <w:t>impossible if the measured quantities have pre-defined local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values. The inequality considered here, unlike Bell’s, concerns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signalling correlations: it is based on a task that involves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communication between two parties. Nevertheless,</w:t>
      </w:r>
    </w:p>
    <w:p>
      <w:pPr>
        <w:pStyle w:val="Normal"/>
        <w:spacing w:before="0" w:after="0"/>
        <w:contextualSpacing/>
        <w:jc w:val="left"/>
        <w:rPr>
          <w:rFonts w:ascii="NimbusRomNo9L-Regu" w:hAnsi="NimbusRomNo9L-Regu" w:cs="NimbusRomNo9L-Regu"/>
        </w:rPr>
      </w:pPr>
      <w:r>
        <w:rPr>
          <w:rFonts w:cs="NimbusRomNo9L-Regu" w:ascii="NimbusRomNo9L-Regu" w:hAnsi="NimbusRomNo9L-Regu"/>
        </w:rPr>
        <w:t>it cannot be violated if this communication takes place in a</w:t>
      </w:r>
    </w:p>
    <w:p>
      <w:pPr>
        <w:pStyle w:val="Normal"/>
        <w:spacing w:before="0" w:after="0"/>
        <w:contextualSpacing/>
        <w:jc w:val="left"/>
        <w:rPr>
          <w:rFonts w:ascii="NimbusRomNo9L-Regu" w:hAnsi="NimbusRomNo9L-Regu" w:cs="NimbusRomNo9L-Regu"/>
        </w:rPr>
      </w:pPr>
      <w:r>
        <w:rPr>
          <w:rFonts w:cs="NimbusRomNo9L-Regu" w:ascii="NimbusRomNo9L-Regu" w:hAnsi="NimbusRomNo9L-Regu"/>
        </w:rPr>
        <w:t>causal space-time. Previous works about relativistic causality</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quantum mechanics focused on non-signalling correlations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between space-like separated experiments or on a finite</w:t>
      </w:r>
    </w:p>
    <w:p>
      <w:pPr>
        <w:pStyle w:val="Normal"/>
        <w:spacing w:before="0" w:after="0"/>
        <w:contextualSpacing/>
        <w:jc w:val="left"/>
        <w:rPr>
          <w:rFonts w:ascii="NimbusRomNo9L-Regu" w:hAnsi="NimbusRomNo9L-Regu" w:cs="NimbusRomNo9L-Regu"/>
        </w:rPr>
      </w:pPr>
      <w:r>
        <w:rPr>
          <w:rFonts w:cs="NimbusRomNo9L-Regu" w:ascii="NimbusRomNo9L-Regu" w:hAnsi="NimbusRomNo9L-Regu"/>
        </w:rPr>
        <w:t>speed of signalling [11–19]. In the present work we go beyond</w:t>
      </w:r>
    </w:p>
    <w:p>
      <w:pPr>
        <w:pStyle w:val="Normal"/>
        <w:spacing w:before="0" w:after="0"/>
        <w:contextualSpacing/>
        <w:jc w:val="left"/>
        <w:rPr>
          <w:rFonts w:ascii="NimbusRomNo9L-Regu" w:hAnsi="NimbusRomNo9L-Regu" w:cs="NimbusRomNo9L-Regu"/>
        </w:rPr>
      </w:pPr>
      <w:r>
        <w:rPr>
          <w:rFonts w:cs="NimbusRomNo9L-Regu" w:ascii="NimbusRomNo9L-Regu" w:hAnsi="NimbusRomNo9L-Regu"/>
        </w:rPr>
        <w:t>such approaches since we do not assume the existence</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a space-time (or more generally of a definite causal structure)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on which the evolution of quantum systems and the constraints</w:t>
      </w:r>
    </w:p>
    <w:p>
      <w:pPr>
        <w:pStyle w:val="Normal"/>
        <w:spacing w:before="0" w:after="0"/>
        <w:contextualSpacing/>
        <w:jc w:val="left"/>
        <w:rPr>
          <w:rFonts w:ascii="NimbusRomNo9L-Regu" w:hAnsi="NimbusRomNo9L-Regu" w:cs="NimbusRomNo9L-Regu"/>
        </w:rPr>
      </w:pPr>
      <w:r>
        <w:rPr>
          <w:rFonts w:cs="NimbusRomNo9L-Regu" w:ascii="NimbusRomNo9L-Regu" w:hAnsi="NimbusRomNo9L-Regu"/>
        </w:rPr>
        <w:t>given by relativity are defined. One of the motivations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for our approach comes from the problem of time in attempts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to merge quantum theory and general relativity into a more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fundamental theory [20–25]. (p. 1)</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Medi" w:hAnsi="NimbusRomNo9L-Medi" w:cs="NimbusRomNo9L-Medi"/>
        </w:rPr>
      </w:pPr>
      <w:r>
        <w:rPr>
          <w:rFonts w:cs="NimbusRomNo9L-Medi" w:ascii="NimbusRomNo9L-Medi" w:hAnsi="NimbusRomNo9L-Medi"/>
        </w:rPr>
        <w:t>Results</w:t>
      </w:r>
    </w:p>
    <w:p>
      <w:pPr>
        <w:pStyle w:val="Normal"/>
        <w:spacing w:before="0" w:after="0"/>
        <w:contextualSpacing/>
        <w:jc w:val="left"/>
        <w:rPr>
          <w:rFonts w:ascii="NimbusRomNo9L-Medi" w:hAnsi="NimbusRomNo9L-Medi" w:cs="NimbusRomNo9L-Medi"/>
          <w:sz w:val="18"/>
          <w:szCs w:val="18"/>
        </w:rPr>
      </w:pPr>
      <w:r>
        <w:rPr>
          <w:rFonts w:cs="NimbusRomNo9L-Medi" w:ascii="NimbusRomNo9L-Medi" w:hAnsi="NimbusRomNo9L-Medi"/>
          <w:sz w:val="18"/>
          <w:szCs w:val="18"/>
        </w:rPr>
        <w:t>Causal inequality</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general setting that we consider involves a number of</w:t>
      </w:r>
    </w:p>
    <w:p>
      <w:pPr>
        <w:pStyle w:val="Normal"/>
        <w:spacing w:before="0" w:after="0"/>
        <w:contextualSpacing/>
        <w:jc w:val="left"/>
        <w:rPr>
          <w:rFonts w:ascii="NimbusRomNo9L-Regu" w:hAnsi="NimbusRomNo9L-Regu" w:cs="NimbusRomNo9L-Regu"/>
        </w:rPr>
      </w:pPr>
      <w:r>
        <w:rPr>
          <w:rFonts w:cs="NimbusRomNo9L-Regu" w:ascii="NimbusRomNo9L-Regu" w:hAnsi="NimbusRomNo9L-Regu"/>
        </w:rPr>
        <w:t>experimenters—Alice, Bob and others—who reside in separate</w:t>
      </w:r>
    </w:p>
    <w:p>
      <w:pPr>
        <w:pStyle w:val="Normal"/>
        <w:spacing w:before="0" w:after="0"/>
        <w:contextualSpacing/>
        <w:jc w:val="left"/>
        <w:rPr>
          <w:rFonts w:ascii="NimbusRomNo9L-Regu" w:hAnsi="NimbusRomNo9L-Regu" w:cs="NimbusRomNo9L-Regu"/>
        </w:rPr>
      </w:pPr>
      <w:r>
        <w:rPr>
          <w:rFonts w:cs="NimbusRomNo9L-Regu" w:ascii="NimbusRomNo9L-Regu" w:hAnsi="NimbusRomNo9L-Regu"/>
        </w:rPr>
        <w:t>laboratories. At a given run of the experiment, each of</w:t>
      </w:r>
    </w:p>
    <w:p>
      <w:pPr>
        <w:pStyle w:val="Normal"/>
        <w:spacing w:before="0" w:after="0"/>
        <w:contextualSpacing/>
        <w:jc w:val="left"/>
        <w:rPr/>
      </w:pPr>
      <w:r>
        <w:rPr>
          <w:rFonts w:cs="NimbusRomNo9L-Regu" w:ascii="NimbusRomNo9L-Regu" w:hAnsi="NimbusRomNo9L-Regu"/>
        </w:rPr>
        <w:t xml:space="preserve">them receives a physical system (for instance, a spin- </w:t>
      </w:r>
      <w:r>
        <w:rPr>
          <w:rFonts w:cs="NimbusRomNo9L-Regu" w:ascii="NimbusRomNo9L-Regu" w:hAnsi="NimbusRomNo9L-Regu"/>
          <w:sz w:val="14"/>
          <w:szCs w:val="14"/>
        </w:rPr>
        <w:t>1</w:t>
      </w:r>
    </w:p>
    <w:p>
      <w:pPr>
        <w:pStyle w:val="Normal"/>
        <w:spacing w:before="0" w:after="0"/>
        <w:contextualSpacing/>
        <w:jc w:val="left"/>
        <w:rPr/>
      </w:pPr>
      <w:r>
        <w:rPr>
          <w:rFonts w:cs="NimbusRomNo9L-Regu" w:ascii="NimbusRomNo9L-Regu" w:hAnsi="NimbusRomNo9L-Regu"/>
          <w:sz w:val="14"/>
          <w:szCs w:val="14"/>
        </w:rPr>
        <w:t xml:space="preserve">2 </w:t>
      </w:r>
      <w:r>
        <w:rPr>
          <w:rFonts w:cs="NimbusRomNo9L-Regu" w:ascii="NimbusRomNo9L-Regu" w:hAnsi="NimbusRomNo9L-Regu"/>
        </w:rPr>
        <w:t>particle)</w:t>
      </w:r>
    </w:p>
    <w:p>
      <w:pPr>
        <w:pStyle w:val="Normal"/>
        <w:spacing w:before="0" w:after="0"/>
        <w:contextualSpacing/>
        <w:jc w:val="left"/>
        <w:rPr>
          <w:rFonts w:ascii="NimbusRomNo9L-Regu" w:hAnsi="NimbusRomNo9L-Regu" w:cs="NimbusRomNo9L-Regu"/>
        </w:rPr>
      </w:pPr>
      <w:r>
        <w:rPr>
          <w:rFonts w:cs="NimbusRomNo9L-Regu" w:ascii="NimbusRomNo9L-Regu" w:hAnsi="NimbusRomNo9L-Regu"/>
        </w:rPr>
        <w:t>and performs operations on it (e.g. measurements or</w:t>
      </w:r>
    </w:p>
    <w:p>
      <w:pPr>
        <w:pStyle w:val="Normal"/>
        <w:spacing w:before="0" w:after="0"/>
        <w:contextualSpacing/>
        <w:jc w:val="left"/>
        <w:rPr/>
      </w:pPr>
      <w:r>
        <w:rPr>
          <w:rFonts w:cs="NimbusRomNo9L-Regu" w:ascii="NimbusRomNo9L-Regu" w:hAnsi="NimbusRomNo9L-Regu"/>
        </w:rPr>
        <w:t>rotations of the spin), after which she</w:t>
      </w:r>
      <w:r>
        <w:rPr>
          <w:rFonts w:cs="rtxr" w:ascii="rtxr" w:hAnsi="rtxr"/>
        </w:rPr>
        <w:t>/</w:t>
      </w:r>
      <w:r>
        <w:rPr>
          <w:rFonts w:cs="NimbusRomNo9L-Regu" w:ascii="NimbusRomNo9L-Regu" w:hAnsi="NimbusRomNo9L-Regu"/>
        </w:rPr>
        <w:t>he sends the system out</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the laboratory. We assume that during the operations of</w:t>
      </w:r>
    </w:p>
    <w:p>
      <w:pPr>
        <w:pStyle w:val="Normal"/>
        <w:spacing w:before="0" w:after="0"/>
        <w:contextualSpacing/>
        <w:jc w:val="left"/>
        <w:rPr>
          <w:rFonts w:ascii="NimbusRomNo9L-Regu" w:hAnsi="NimbusRomNo9L-Regu" w:cs="NimbusRomNo9L-Regu"/>
        </w:rPr>
      </w:pPr>
      <w:r>
        <w:rPr>
          <w:rFonts w:cs="NimbusRomNo9L-Regu" w:ascii="NimbusRomNo9L-Regu" w:hAnsi="NimbusRomNo9L-Regu"/>
        </w:rPr>
        <w:t>each experimenter, the respective laboratory is isolated from</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rest of the world—it is only opened for the system to come</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and to go out, but between these two events it is kept closed.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It is easy to see that, under this assumption, causal order puts</w:t>
      </w:r>
    </w:p>
    <w:p>
      <w:pPr>
        <w:pStyle w:val="Normal"/>
        <w:spacing w:before="0" w:after="0"/>
        <w:contextualSpacing/>
        <w:jc w:val="left"/>
        <w:rPr>
          <w:rFonts w:ascii="NimbusRomNo9L-Regu" w:hAnsi="NimbusRomNo9L-Regu" w:cs="NimbusRomNo9L-Regu"/>
        </w:rPr>
      </w:pPr>
      <w:r>
        <w:rPr>
          <w:rFonts w:cs="NimbusRomNo9L-Regu" w:ascii="NimbusRomNo9L-Regu" w:hAnsi="NimbusRomNo9L-Regu"/>
        </w:rPr>
        <w:t>a restriction on the way in which the parties can communicate</w:t>
      </w:r>
    </w:p>
    <w:p>
      <w:pPr>
        <w:pStyle w:val="Normal"/>
        <w:spacing w:before="0" w:after="0"/>
        <w:contextualSpacing/>
        <w:jc w:val="left"/>
        <w:rPr>
          <w:rFonts w:ascii="NimbusRomNo9L-Regu" w:hAnsi="NimbusRomNo9L-Regu" w:cs="NimbusRomNo9L-Regu"/>
        </w:rPr>
      </w:pPr>
      <w:r>
        <w:rPr>
          <w:rFonts w:cs="NimbusRomNo9L-Regu" w:ascii="NimbusRomNo9L-Regu" w:hAnsi="NimbusRomNo9L-Regu"/>
        </w:rPr>
        <w:t>during a given run. For instance, imagine that Alice can send a</w:t>
      </w:r>
    </w:p>
    <w:p>
      <w:pPr>
        <w:pStyle w:val="Normal"/>
        <w:spacing w:before="0" w:after="0"/>
        <w:contextualSpacing/>
        <w:jc w:val="left"/>
        <w:rPr>
          <w:rFonts w:ascii="NimbusRomNo9L-Regu" w:hAnsi="NimbusRomNo9L-Regu" w:cs="NimbusRomNo9L-Regu"/>
        </w:rPr>
      </w:pPr>
      <w:r>
        <w:rPr>
          <w:rFonts w:cs="NimbusRomNo9L-Regu" w:ascii="NimbusRomNo9L-Regu" w:hAnsi="NimbusRomNo9L-Regu"/>
        </w:rPr>
        <w:t>signal to Bob. [Formally, sending a signal (or signalling) is 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existence of statistical correlations between a random variable that can be chosen by the sender and another one observed by</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receiver.] Since Bob can only receive a signal through 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system entering his laboratory, this means that Alice must act</w:t>
      </w:r>
    </w:p>
    <w:p>
      <w:pPr>
        <w:pStyle w:val="Normal"/>
        <w:spacing w:before="0" w:after="0"/>
        <w:contextualSpacing/>
        <w:jc w:val="left"/>
        <w:rPr>
          <w:rFonts w:ascii="NimbusRomNo9L-Regu" w:hAnsi="NimbusRomNo9L-Regu" w:cs="NimbusRomNo9L-Regu"/>
        </w:rPr>
      </w:pPr>
      <w:r>
        <w:rPr>
          <w:rFonts w:cs="NimbusRomNo9L-Regu" w:ascii="NimbusRomNo9L-Regu" w:hAnsi="NimbusRomNo9L-Regu"/>
        </w:rPr>
        <w:t>on her system before that. But this implies that Bob cannot</w:t>
      </w:r>
    </w:p>
    <w:p>
      <w:pPr>
        <w:pStyle w:val="Normal"/>
        <w:spacing w:before="0" w:after="0"/>
        <w:contextualSpacing/>
        <w:jc w:val="left"/>
        <w:rPr>
          <w:rFonts w:ascii="NimbusRomNo9L-Regu" w:hAnsi="NimbusRomNo9L-Regu" w:cs="NimbusRomNo9L-Regu"/>
        </w:rPr>
      </w:pPr>
      <w:r>
        <w:rPr>
          <w:rFonts w:cs="NimbusRomNo9L-Regu" w:ascii="NimbusRomNo9L-Regu" w:hAnsi="NimbusRomNo9L-Regu"/>
        </w:rPr>
        <w:t>send a signal to Alice since each party receives a system only</w:t>
      </w:r>
    </w:p>
    <w:p>
      <w:pPr>
        <w:pStyle w:val="Normal"/>
        <w:spacing w:before="0" w:after="0"/>
        <w:contextualSpacing/>
        <w:jc w:val="left"/>
        <w:rPr>
          <w:rFonts w:ascii="NimbusRomNo9L-Regu" w:hAnsi="NimbusRomNo9L-Regu" w:cs="NimbusRomNo9L-Regu"/>
        </w:rPr>
      </w:pPr>
      <w:r>
        <w:rPr>
          <w:rFonts w:cs="NimbusRomNo9L-Regu" w:ascii="NimbusRomNo9L-Regu" w:hAnsi="NimbusRomNo9L-Regu"/>
        </w:rPr>
        <w:t>once. Therefore, bidirectional signalling is forbidden. (pp. 1-2)</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[Again, we are already within the EDWs!!! The “bidirectional signaling is forbidden” would mean, within  my EDWs perspective, the “correspondences” - NOT CAUSALITIES - between EDWs! Is it clear now???]</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Medi" w:hAnsi="NimbusRomNo9L-Medi" w:cs="NimbusRomNo9L-Medi"/>
          <w:sz w:val="18"/>
          <w:szCs w:val="18"/>
        </w:rPr>
      </w:pPr>
      <w:r>
        <w:rPr>
          <w:rFonts w:cs="NimbusRomNo9L-Medi" w:ascii="NimbusRomNo9L-Medi" w:hAnsi="NimbusRomNo9L-Medi"/>
          <w:sz w:val="18"/>
          <w:szCs w:val="18"/>
        </w:rPr>
        <w:t>Framework for local quantum mechanics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most studied, almost epitomical, quantum correlations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are the non-signalling ones, such as those obtained when Alice</w:t>
      </w:r>
    </w:p>
    <w:p>
      <w:pPr>
        <w:pStyle w:val="Normal"/>
        <w:spacing w:before="0" w:after="0"/>
        <w:contextualSpacing/>
        <w:jc w:val="left"/>
        <w:rPr>
          <w:rFonts w:ascii="NimbusRomNo9L-Regu" w:hAnsi="NimbusRomNo9L-Regu" w:cs="NimbusRomNo9L-Regu"/>
        </w:rPr>
      </w:pPr>
      <w:r>
        <w:rPr>
          <w:rFonts w:cs="NimbusRomNo9L-Regu" w:ascii="NimbusRomNo9L-Regu" w:hAnsi="NimbusRomNo9L-Regu"/>
        </w:rPr>
        <w:t>and Bob perform measurements on two entangled systems.</w:t>
      </w:r>
    </w:p>
    <w:p>
      <w:pPr>
        <w:pStyle w:val="Normal"/>
        <w:spacing w:before="0" w:after="0"/>
        <w:contextualSpacing/>
        <w:jc w:val="left"/>
        <w:rPr>
          <w:rFonts w:ascii="NimbusRomNo9L-Regu" w:hAnsi="NimbusRomNo9L-Regu" w:cs="NimbusRomNo9L-Regu"/>
        </w:rPr>
      </w:pPr>
      <w:r>
        <w:rPr>
          <w:rFonts w:cs="NimbusRomNo9L-Regu" w:ascii="NimbusRomNo9L-Regu" w:hAnsi="NimbusRomNo9L-Regu"/>
        </w:rPr>
        <w:t>Signalling quantum correlations exist as well, such as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those arising when Alice operates on a system which is subsequently</w:t>
      </w:r>
    </w:p>
    <w:p>
      <w:pPr>
        <w:pStyle w:val="Normal"/>
        <w:spacing w:before="0" w:after="0"/>
        <w:contextualSpacing/>
        <w:jc w:val="left"/>
        <w:rPr>
          <w:rFonts w:ascii="NimbusRomNo9L-Regu" w:hAnsi="NimbusRomNo9L-Regu" w:cs="NimbusRomNo9L-Regu"/>
        </w:rPr>
      </w:pPr>
      <w:r>
        <w:rPr>
          <w:rFonts w:cs="NimbusRomNo9L-Regu" w:ascii="NimbusRomNo9L-Regu" w:hAnsi="NimbusRomNo9L-Regu"/>
        </w:rPr>
        <w:t>sent through a quantum channel to Bob who operates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on it after that. The usual quantum formalism does not consider</w:t>
      </w:r>
    </w:p>
    <w:p>
      <w:pPr>
        <w:pStyle w:val="Normal"/>
        <w:spacing w:before="0" w:after="0"/>
        <w:contextualSpacing/>
        <w:jc w:val="left"/>
        <w:rPr>
          <w:rFonts w:ascii="NimbusRomNo9L-Regu" w:hAnsi="NimbusRomNo9L-Regu" w:cs="NimbusRomNo9L-Regu"/>
        </w:rPr>
      </w:pPr>
      <w:r>
        <w:rPr>
          <w:rFonts w:cs="NimbusRomNo9L-Regu" w:ascii="NimbusRomNo9L-Regu" w:hAnsi="NimbusRomNo9L-Regu"/>
        </w:rPr>
        <w:t>more general possibilities, since it does assume a global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causal structure. Here we want to drop the latter assumption</w:t>
      </w:r>
    </w:p>
    <w:p>
      <w:pPr>
        <w:pStyle w:val="Normal"/>
        <w:spacing w:before="0" w:after="0"/>
        <w:contextualSpacing/>
        <w:jc w:val="left"/>
        <w:rPr>
          <w:rFonts w:ascii="NimbusRomNo9L-Regu" w:hAnsi="NimbusRomNo9L-Regu" w:cs="NimbusRomNo9L-Regu"/>
        </w:rPr>
      </w:pPr>
      <w:r>
        <w:rPr>
          <w:rFonts w:cs="NimbusRomNo9L-Regu" w:ascii="NimbusRomNo9L-Regu" w:hAnsi="NimbusRomNo9L-Regu"/>
        </w:rPr>
        <w:t>while retaining the validity of quantum mechanics locally. For</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this purpose, we consider a multipartite setting of the type outlined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earlier, where each party performs an operation on a system</w:t>
      </w:r>
    </w:p>
    <w:p>
      <w:pPr>
        <w:pStyle w:val="Normal"/>
        <w:spacing w:before="0" w:after="0"/>
        <w:contextualSpacing/>
        <w:jc w:val="left"/>
        <w:rPr/>
      </w:pPr>
      <w:r>
        <w:rPr>
          <w:rFonts w:cs="NimbusRomNo9L-Regu" w:ascii="NimbusRomNo9L-Regu" w:hAnsi="NimbusRomNo9L-Regu"/>
        </w:rPr>
        <w:t>passing once through her</w:t>
      </w:r>
      <w:r>
        <w:rPr>
          <w:rFonts w:cs="rtxr" w:ascii="rtxr" w:hAnsi="rtxr"/>
        </w:rPr>
        <w:t>/</w:t>
      </w:r>
      <w:r>
        <w:rPr>
          <w:rFonts w:cs="NimbusRomNo9L-Regu" w:ascii="NimbusRomNo9L-Regu" w:hAnsi="NimbusRomNo9L-Regu"/>
        </w:rPr>
        <w:t>his laboratory, but we make no</w:t>
      </w:r>
    </w:p>
    <w:p>
      <w:pPr>
        <w:pStyle w:val="Normal"/>
        <w:spacing w:before="0" w:after="0"/>
        <w:contextualSpacing/>
        <w:jc w:val="left"/>
        <w:rPr>
          <w:rFonts w:ascii="NimbusRomNo9L-Regu" w:hAnsi="NimbusRomNo9L-Regu" w:cs="NimbusRomNo9L-Regu"/>
        </w:rPr>
      </w:pPr>
      <w:r>
        <w:rPr>
          <w:rFonts w:cs="NimbusRomNo9L-Regu" w:ascii="NimbusRomNo9L-Regu" w:hAnsi="NimbusRomNo9L-Regu"/>
        </w:rPr>
        <w:t>assumption about the spatio-temporal location of these experiments,</w:t>
      </w:r>
    </w:p>
    <w:p>
      <w:pPr>
        <w:pStyle w:val="Normal"/>
        <w:spacing w:before="0" w:after="0"/>
        <w:contextualSpacing/>
        <w:jc w:val="left"/>
        <w:rPr>
          <w:rFonts w:ascii="NimbusRomNo9L-Regu" w:hAnsi="NimbusRomNo9L-Regu" w:cs="NimbusRomNo9L-Regu"/>
        </w:rPr>
      </w:pPr>
      <w:r>
        <w:rPr>
          <w:rFonts w:cs="NimbusRomNo9L-Regu" w:ascii="NimbusRomNo9L-Regu" w:hAnsi="NimbusRomNo9L-Regu"/>
        </w:rPr>
        <w:t>not even that there exists a space-time or any causal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structure in which they could be positioned (see Fig. 2). Our</w:t>
      </w:r>
    </w:p>
    <w:p>
      <w:pPr>
        <w:pStyle w:val="Normal"/>
        <w:spacing w:before="0" w:after="0"/>
        <w:contextualSpacing/>
        <w:jc w:val="left"/>
        <w:rPr>
          <w:rFonts w:ascii="NimbusRomNo9L-Regu" w:hAnsi="NimbusRomNo9L-Regu" w:cs="NimbusRomNo9L-Regu"/>
        </w:rPr>
      </w:pPr>
      <w:r>
        <w:rPr>
          <w:rFonts w:cs="NimbusRomNo9L-Regu" w:ascii="NimbusRomNo9L-Regu" w:hAnsi="NimbusRomNo9L-Regu"/>
        </w:rPr>
        <w:t xml:space="preserve">framework is thus based on the following central premise: (p. 2) </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pPr>
      <w:r>
        <w:rPr>
          <w:rFonts w:cs="NimbusRomNo9L-ReguItal" w:ascii="NimbusRomNo9L-ReguItal" w:hAnsi="NimbusRomNo9L-ReguItal"/>
        </w:rPr>
        <w:t>Local quantum mechanics</w:t>
      </w:r>
      <w:r>
        <w:rPr>
          <w:rFonts w:cs="NimbusRomNo9L-Regu" w:ascii="NimbusRomNo9L-Regu" w:hAnsi="NimbusRomNo9L-Regu"/>
        </w:rPr>
        <w:t>—The local operations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each party are described by quantum mechanics.</w:t>
      </w:r>
    </w:p>
    <w:p>
      <w:pPr>
        <w:pStyle w:val="Normal"/>
        <w:spacing w:before="0" w:after="0"/>
        <w:contextualSpacing/>
        <w:jc w:val="left"/>
        <w:rPr>
          <w:rFonts w:ascii="NimbusRomNo9L-Regu" w:hAnsi="NimbusRomNo9L-Regu" w:cs="NimbusRomNo9L-Regu"/>
        </w:rPr>
      </w:pPr>
      <w:r>
        <w:rPr>
          <w:rFonts w:cs="NimbusRomNo9L-Regu" w:ascii="NimbusRomNo9L-Regu" w:hAnsi="NimbusRomNo9L-Regu"/>
        </w:rPr>
        <w:t>More specifically, we assume that one party, say Alice, can</w:t>
      </w:r>
    </w:p>
    <w:p>
      <w:pPr>
        <w:pStyle w:val="Normal"/>
        <w:spacing w:before="0" w:after="0"/>
        <w:contextualSpacing/>
        <w:jc w:val="left"/>
        <w:rPr>
          <w:rFonts w:ascii="NimbusRomNo9L-Regu" w:hAnsi="NimbusRomNo9L-Regu" w:cs="NimbusRomNo9L-Regu"/>
        </w:rPr>
      </w:pPr>
      <w:r>
        <w:rPr>
          <w:rFonts w:cs="NimbusRomNo9L-Regu" w:ascii="NimbusRomNo9L-Regu" w:hAnsi="NimbusRomNo9L-Regu"/>
        </w:rPr>
        <w:t>perform all the operations she could perform in a closed laboratory,</w:t>
      </w:r>
    </w:p>
    <w:p>
      <w:pPr>
        <w:pStyle w:val="Normal"/>
        <w:spacing w:before="0" w:after="0"/>
        <w:contextualSpacing/>
        <w:jc w:val="left"/>
        <w:rPr>
          <w:rFonts w:ascii="NimbusRomNo9L-Regu" w:hAnsi="NimbusRomNo9L-Regu" w:cs="NimbusRomNo9L-Regu"/>
        </w:rPr>
      </w:pPr>
      <w:r>
        <w:rPr>
          <w:rFonts w:cs="NimbusRomNo9L-Regu" w:ascii="NimbusRomNo9L-Regu" w:hAnsi="NimbusRomNo9L-Regu"/>
        </w:rPr>
        <w:t>as described in the standard space-time formulation of</w:t>
      </w:r>
    </w:p>
    <w:p>
      <w:pPr>
        <w:pStyle w:val="Normal"/>
        <w:spacing w:before="0" w:after="0"/>
        <w:contextualSpacing/>
        <w:jc w:val="left"/>
        <w:rPr/>
      </w:pPr>
      <w:r>
        <w:rPr>
          <w:rFonts w:cs="NimbusRomNo9L-Regu" w:ascii="NimbusRomNo9L-Regu" w:hAnsi="NimbusRomNo9L-Regu"/>
        </w:rPr>
        <w:t xml:space="preserve">quantum mechanics. These are defined as the set of </w:t>
      </w:r>
      <w:r>
        <w:rPr>
          <w:rFonts w:cs="NimbusRomNo9L-ReguItal" w:ascii="NimbusRomNo9L-ReguItal" w:hAnsi="NimbusRomNo9L-ReguItal"/>
        </w:rPr>
        <w:t>quantum</w:t>
      </w:r>
    </w:p>
    <w:p>
      <w:pPr>
        <w:pStyle w:val="Normal"/>
        <w:spacing w:before="0" w:after="0"/>
        <w:contextualSpacing/>
        <w:jc w:val="left"/>
        <w:rPr/>
      </w:pPr>
      <w:r>
        <w:rPr>
          <w:rFonts w:cs="NimbusRomNo9L-ReguItal" w:ascii="NimbusRomNo9L-ReguItal" w:hAnsi="NimbusRomNo9L-ReguItal"/>
        </w:rPr>
        <w:t xml:space="preserve">instruments </w:t>
      </w:r>
      <w:r>
        <w:rPr>
          <w:rFonts w:cs="NimbusRomNo9L-Regu" w:ascii="NimbusRomNo9L-Regu" w:hAnsi="NimbusRomNo9L-Regu"/>
        </w:rPr>
        <w:t xml:space="preserve">[26] with an input Hilbert space </w:t>
      </w:r>
      <w:r>
        <w:rPr>
          <w:rFonts w:cs="txsy" w:ascii="txsy" w:hAnsi="txsy"/>
        </w:rPr>
        <w:t>H</w:t>
      </w:r>
      <w:r>
        <w:rPr>
          <w:rFonts w:cs="NimbusRomNo9L-ReguItal" w:ascii="NimbusRomNo9L-ReguItal" w:hAnsi="NimbusRomNo9L-ReguItal"/>
          <w:sz w:val="14"/>
          <w:szCs w:val="14"/>
        </w:rPr>
        <w:t>A</w:t>
      </w:r>
      <w:r>
        <w:rPr>
          <w:rFonts w:cs="NimbusRomNo9L-Regu" w:ascii="NimbusRomNo9L-Regu" w:hAnsi="NimbusRomNo9L-Regu"/>
          <w:sz w:val="10"/>
          <w:szCs w:val="10"/>
        </w:rPr>
        <w:t xml:space="preserve">1 </w:t>
      </w:r>
      <w:r>
        <w:rPr>
          <w:rFonts w:cs="NimbusRomNo9L-Regu" w:ascii="NimbusRomNo9L-Regu" w:hAnsi="NimbusRomNo9L-Regu"/>
        </w:rPr>
        <w:t>(the system</w:t>
      </w:r>
    </w:p>
    <w:p>
      <w:pPr>
        <w:pStyle w:val="Normal"/>
        <w:spacing w:before="0" w:after="0"/>
        <w:contextualSpacing/>
        <w:jc w:val="left"/>
        <w:rPr/>
      </w:pPr>
      <w:r>
        <w:rPr>
          <w:rFonts w:cs="NimbusRomNo9L-Regu" w:ascii="NimbusRomNo9L-Regu" w:hAnsi="NimbusRomNo9L-Regu"/>
        </w:rPr>
        <w:t>coming in) and an output Hilbert space</w:t>
      </w:r>
      <w:r>
        <w:rPr>
          <w:rFonts w:cs="txsy" w:ascii="txsy" w:hAnsi="txsy"/>
        </w:rPr>
        <w:t>H</w:t>
      </w:r>
      <w:r>
        <w:rPr>
          <w:rFonts w:cs="NimbusRomNo9L-ReguItal" w:ascii="NimbusRomNo9L-ReguItal" w:hAnsi="NimbusRomNo9L-ReguItal"/>
          <w:sz w:val="14"/>
          <w:szCs w:val="14"/>
        </w:rPr>
        <w:t>A</w:t>
      </w:r>
      <w:r>
        <w:rPr>
          <w:rFonts w:cs="NimbusRomNo9L-Regu" w:ascii="NimbusRomNo9L-Regu" w:hAnsi="NimbusRomNo9L-Regu"/>
          <w:sz w:val="10"/>
          <w:szCs w:val="10"/>
        </w:rPr>
        <w:t xml:space="preserve">2 </w:t>
      </w:r>
      <w:r>
        <w:rPr>
          <w:rFonts w:cs="NimbusRomNo9L-Regu" w:ascii="NimbusRomNo9L-Regu" w:hAnsi="NimbusRomNo9L-Regu"/>
        </w:rPr>
        <w:t>(the system going</w:t>
      </w:r>
    </w:p>
    <w:p>
      <w:pPr>
        <w:pStyle w:val="Normal"/>
        <w:spacing w:before="0" w:after="0"/>
        <w:contextualSpacing/>
        <w:jc w:val="left"/>
        <w:rPr>
          <w:rFonts w:ascii="NimbusRomNo9L-Regu" w:hAnsi="NimbusRomNo9L-Regu" w:cs="NimbusRomNo9L-Regu"/>
        </w:rPr>
      </w:pPr>
      <w:r>
        <w:rPr>
          <w:rFonts w:cs="NimbusRomNo9L-Regu" w:ascii="NimbusRomNo9L-Regu" w:hAnsi="NimbusRomNo9L-Regu"/>
        </w:rPr>
        <w:t>out). (The set of allowed quantum operations can be used as</w:t>
      </w:r>
    </w:p>
    <w:p>
      <w:pPr>
        <w:pStyle w:val="Normal"/>
        <w:spacing w:before="0" w:after="0"/>
        <w:contextualSpacing/>
        <w:jc w:val="left"/>
        <w:rPr>
          <w:rFonts w:ascii="NimbusRomNo9L-Regu" w:hAnsi="NimbusRomNo9L-Regu" w:cs="NimbusRomNo9L-Regu"/>
        </w:rPr>
      </w:pPr>
      <w:r>
        <w:rPr>
          <w:rFonts w:cs="NimbusRomNo9L-Regu" w:ascii="NimbusRomNo9L-Regu" w:hAnsi="NimbusRomNo9L-Regu"/>
        </w:rPr>
        <w:t>a definition of ‘closed quantum laboratory’ with no reference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to a global causal structure.) A quantum instrument can most</w:t>
      </w:r>
    </w:p>
    <w:p>
      <w:pPr>
        <w:pStyle w:val="Normal"/>
        <w:spacing w:before="0" w:after="0"/>
        <w:contextualSpacing/>
        <w:jc w:val="left"/>
        <w:rPr>
          <w:rFonts w:ascii="NimbusRomNo9L-Regu" w:hAnsi="NimbusRomNo9L-Regu" w:cs="NimbusRomNo9L-Regu"/>
        </w:rPr>
      </w:pPr>
      <w:r>
        <w:rPr>
          <w:rFonts w:cs="NimbusRomNo9L-Regu" w:ascii="NimbusRomNo9L-Regu" w:hAnsi="NimbusRomNo9L-Regu"/>
        </w:rPr>
        <w:t>generally be realized by applying a joint unitary transformation</w:t>
      </w:r>
    </w:p>
    <w:p>
      <w:pPr>
        <w:pStyle w:val="Normal"/>
        <w:spacing w:before="0" w:after="0"/>
        <w:contextualSpacing/>
        <w:jc w:val="left"/>
        <w:rPr>
          <w:rFonts w:ascii="NimbusRomNo9L-Regu" w:hAnsi="NimbusRomNo9L-Regu" w:cs="NimbusRomNo9L-Regu"/>
        </w:rPr>
      </w:pPr>
      <w:r>
        <w:rPr>
          <w:rFonts w:cs="NimbusRomNo9L-Regu" w:ascii="NimbusRomNo9L-Regu" w:hAnsi="NimbusRomNo9L-Regu"/>
        </w:rPr>
        <w:t>on the input system plus an ancilla, followed by a projective</w:t>
      </w:r>
    </w:p>
    <w:p>
      <w:pPr>
        <w:pStyle w:val="Normal"/>
        <w:spacing w:before="0" w:after="0"/>
        <w:contextualSpacing/>
        <w:jc w:val="left"/>
        <w:rPr>
          <w:rFonts w:ascii="NimbusRomNo9L-Regu" w:hAnsi="NimbusRomNo9L-Regu" w:cs="NimbusRomNo9L-Regu"/>
        </w:rPr>
      </w:pPr>
      <w:r>
        <w:rPr>
          <w:rFonts w:cs="NimbusRomNo9L-Regu" w:ascii="NimbusRomNo9L-Regu" w:hAnsi="NimbusRomNo9L-Regu"/>
        </w:rPr>
        <w:t>measurement on part of the resulting joint system, which</w:t>
      </w:r>
    </w:p>
    <w:p>
      <w:pPr>
        <w:pStyle w:val="Normal"/>
        <w:spacing w:before="0" w:after="0"/>
        <w:contextualSpacing/>
        <w:jc w:val="left"/>
        <w:rPr>
          <w:rFonts w:ascii="NimbusRomNo9L-Regu" w:hAnsi="NimbusRomNo9L-Regu" w:cs="NimbusRomNo9L-Regu"/>
        </w:rPr>
      </w:pPr>
      <w:r>
        <w:rPr>
          <w:rFonts w:cs="NimbusRomNo9L-Regu" w:ascii="NimbusRomNo9L-Regu" w:hAnsi="NimbusRomNo9L-Regu"/>
        </w:rPr>
        <w:t>leaves the other part as an output. (From the point of view</w:t>
      </w:r>
    </w:p>
    <w:p>
      <w:pPr>
        <w:pStyle w:val="Normal"/>
        <w:spacing w:before="0" w:after="0"/>
        <w:contextualSpacing/>
        <w:jc w:val="left"/>
        <w:rPr/>
      </w:pPr>
      <w:r>
        <w:rPr>
          <w:rFonts w:cs="NimbusRomNo9L-Regu" w:ascii="NimbusRomNo9L-Regu" w:hAnsi="NimbusRomNo9L-Regu"/>
        </w:rPr>
        <w:t>of each party, the input</w:t>
      </w:r>
      <w:r>
        <w:rPr>
          <w:rFonts w:cs="rtxr" w:ascii="rtxr" w:hAnsi="rtxr"/>
        </w:rPr>
        <w:t>/</w:t>
      </w:r>
      <w:r>
        <w:rPr>
          <w:rFonts w:cs="NimbusRomNo9L-Regu" w:ascii="NimbusRomNo9L-Regu" w:hAnsi="NimbusRomNo9L-Regu"/>
        </w:rPr>
        <w:t>output systems most generally correspond</w:t>
      </w:r>
    </w:p>
    <w:p>
      <w:pPr>
        <w:pStyle w:val="Normal"/>
        <w:spacing w:before="0" w:after="0"/>
        <w:contextualSpacing/>
        <w:jc w:val="left"/>
        <w:rPr>
          <w:rFonts w:ascii="NimbusRomNo9L-Regu" w:hAnsi="NimbusRomNo9L-Regu" w:cs="NimbusRomNo9L-Regu"/>
        </w:rPr>
      </w:pPr>
      <w:r>
        <w:rPr>
          <w:rFonts w:cs="NimbusRomNo9L-Regu" w:ascii="NimbusRomNo9L-Regu" w:hAnsi="NimbusRomNo9L-Regu"/>
        </w:rPr>
        <w:t>to two subsystems of the Hilbert space associated with</w:t>
      </w:r>
    </w:p>
    <w:p>
      <w:pPr>
        <w:pStyle w:val="Normal"/>
        <w:spacing w:before="0" w:after="0"/>
        <w:contextualSpacing/>
        <w:jc w:val="left"/>
        <w:rPr/>
      </w:pPr>
      <w:r>
        <w:rPr>
          <w:rFonts w:cs="NimbusRomNo9L-Regu" w:ascii="NimbusRomNo9L-Regu" w:hAnsi="NimbusRomNo9L-Regu"/>
        </w:rPr>
        <w:t>the local laboratory, each considered at a di</w:t>
      </w:r>
      <w:r>
        <w:rPr>
          <w:rFonts w:cs="rtxr" w:ascii="rtxr" w:hAnsi="rtxr"/>
        </w:rPr>
        <w:t>_</w:t>
      </w:r>
      <w:r>
        <w:rPr>
          <w:rFonts w:cs="NimbusRomNo9L-Regu" w:ascii="NimbusRomNo9L-Regu" w:hAnsi="NimbusRomNo9L-Regu"/>
        </w:rPr>
        <w:t>erent instant—the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time of entrance and the time of exit, respectively—where 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subsystems and the respective instants are independent of 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choice of operation that connects them.)…. In the case of more than one party, the set of local outcomes</w:t>
      </w:r>
    </w:p>
    <w:p>
      <w:pPr>
        <w:pStyle w:val="Normal"/>
        <w:spacing w:before="0" w:after="0"/>
        <w:contextualSpacing/>
        <w:jc w:val="left"/>
        <w:rPr/>
      </w:pPr>
      <w:r>
        <w:rPr>
          <w:rFonts w:cs="NimbusRomNo9L-Regu" w:ascii="NimbusRomNo9L-Regu" w:hAnsi="NimbusRomNo9L-Regu"/>
        </w:rPr>
        <w:t xml:space="preserve">corresponds to a set of CP maps </w:t>
      </w:r>
      <w:r>
        <w:rPr>
          <w:rFonts w:cs="txsy" w:ascii="txsy" w:hAnsi="txsy"/>
        </w:rPr>
        <w:t>M</w:t>
      </w:r>
      <w:r>
        <w:rPr>
          <w:rFonts w:cs="NimbusRomNo9L-ReguItal" w:ascii="NimbusRomNo9L-ReguItal" w:hAnsi="NimbusRomNo9L-ReguItal"/>
          <w:sz w:val="14"/>
          <w:szCs w:val="14"/>
        </w:rPr>
        <w:t xml:space="preserve">A i </w:t>
      </w:r>
      <w:r>
        <w:rPr>
          <w:rFonts w:cs="rtxmi" w:ascii="rtxmi" w:hAnsi="rtxmi"/>
        </w:rPr>
        <w:t>;</w:t>
      </w:r>
      <w:r>
        <w:rPr>
          <w:rFonts w:cs="txsy" w:ascii="txsy" w:hAnsi="txsy"/>
        </w:rPr>
        <w:t>M</w:t>
      </w:r>
      <w:r>
        <w:rPr>
          <w:rFonts w:cs="NimbusRomNo9L-ReguItal" w:ascii="NimbusRomNo9L-ReguItal" w:hAnsi="NimbusRomNo9L-ReguItal"/>
          <w:sz w:val="14"/>
          <w:szCs w:val="14"/>
        </w:rPr>
        <w:t xml:space="preserve">Bj </w:t>
      </w:r>
      <w:r>
        <w:rPr>
          <w:rFonts w:cs="rtxmi" w:ascii="rtxmi" w:hAnsi="rtxmi"/>
        </w:rPr>
        <w:t xml:space="preserve">; </w:t>
      </w:r>
      <w:r>
        <w:rPr>
          <w:rFonts w:cs="txsy" w:ascii="txsy" w:hAnsi="txsy"/>
        </w:rPr>
        <w:t xml:space="preserve">_ _ _ </w:t>
      </w:r>
      <w:r>
        <w:rPr>
          <w:rFonts w:cs="NimbusRomNo9L-Regu" w:ascii="NimbusRomNo9L-Regu" w:hAnsi="NimbusRomNo9L-Regu"/>
        </w:rPr>
        <w:t xml:space="preserve">. A complete list of probabilities </w:t>
      </w:r>
      <w:r>
        <w:rPr>
          <w:rFonts w:cs="NimbusRomNo9L-ReguItal" w:ascii="NimbusRomNo9L-ReguItal" w:hAnsi="NimbusRomNo9L-ReguItal"/>
        </w:rPr>
        <w:t xml:space="preserve">P </w:t>
      </w:r>
      <w:r>
        <w:rPr>
          <w:rFonts w:cs="txex" w:ascii="txex" w:hAnsi="txex"/>
        </w:rPr>
        <w:t>_</w:t>
      </w:r>
      <w:r>
        <w:rPr>
          <w:rFonts w:cs="txsy" w:ascii="txsy" w:hAnsi="txsy"/>
        </w:rPr>
        <w:t>M</w:t>
      </w:r>
      <w:r>
        <w:rPr>
          <w:rFonts w:cs="NimbusRomNo9L-ReguItal" w:ascii="NimbusRomNo9L-ReguItal" w:hAnsi="NimbusRomNo9L-ReguItal"/>
          <w:sz w:val="14"/>
          <w:szCs w:val="14"/>
        </w:rPr>
        <w:t xml:space="preserve">Ai </w:t>
      </w:r>
      <w:r>
        <w:rPr>
          <w:rFonts w:cs="rtxmi" w:ascii="rtxmi" w:hAnsi="rtxmi"/>
        </w:rPr>
        <w:t>;</w:t>
      </w:r>
      <w:r>
        <w:rPr>
          <w:rFonts w:cs="txsy" w:ascii="txsy" w:hAnsi="txsy"/>
        </w:rPr>
        <w:t>M</w:t>
      </w:r>
      <w:r>
        <w:rPr>
          <w:rFonts w:cs="NimbusRomNo9L-ReguItal" w:ascii="NimbusRomNo9L-ReguItal" w:hAnsi="NimbusRomNo9L-ReguItal"/>
          <w:sz w:val="14"/>
          <w:szCs w:val="14"/>
        </w:rPr>
        <w:t>Bj</w:t>
      </w:r>
      <w:r>
        <w:rPr>
          <w:rFonts w:cs="rtxmi" w:ascii="rtxmi" w:hAnsi="rtxmi"/>
        </w:rPr>
        <w:t xml:space="preserve">; </w:t>
      </w:r>
      <w:r>
        <w:rPr>
          <w:rFonts w:cs="txsy" w:ascii="txsy" w:hAnsi="txsy"/>
        </w:rPr>
        <w:t>_ _ _</w:t>
      </w:r>
      <w:r>
        <w:rPr>
          <w:rFonts w:cs="txex" w:ascii="txex" w:hAnsi="txex"/>
        </w:rPr>
        <w:t>_</w:t>
      </w:r>
      <w:r>
        <w:rPr>
          <w:rFonts w:cs="NimbusRomNo9L-Regu" w:ascii="NimbusRomNo9L-Regu" w:hAnsi="NimbusRomNo9L-Regu"/>
        </w:rPr>
        <w:t xml:space="preserve">for all possible local outcomes will be called </w:t>
      </w:r>
      <w:r>
        <w:rPr>
          <w:rFonts w:cs="NimbusRomNo9L-ReguItal" w:ascii="NimbusRomNo9L-ReguItal" w:hAnsi="NimbusRomNo9L-ReguItal"/>
        </w:rPr>
        <w:t>process</w:t>
      </w:r>
      <w:r>
        <w:rPr>
          <w:rFonts w:cs="NimbusRomNo9L-Regu" w:ascii="NimbusRomNo9L-Regu" w:hAnsi="NimbusRomNo9L-Regu"/>
        </w:rPr>
        <w:t xml:space="preserve">. (p. 3) </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pPr>
      <w:r>
        <w:rPr>
          <w:rFonts w:cs="NimbusRomNo9L-Regu" w:ascii="NimbusRomNo9L-Regu" w:hAnsi="NimbusRomNo9L-Regu"/>
          <w:color w:val="FF0000"/>
        </w:rPr>
        <w:t>[Again, we are here within a particular EW in which we can talk about the ‘</w:t>
      </w:r>
      <w:r>
        <w:rPr>
          <w:rFonts w:cs="NimbusRomNo9L-Regu" w:ascii="NimbusRomNo9L-Regu" w:hAnsi="NimbusRomNo9L-Regu"/>
        </w:rPr>
        <w:t xml:space="preserve">retaining the validity of quantum mechanics locally”! </w:t>
      </w:r>
      <w:r>
        <w:rPr>
          <w:rFonts w:cs="NimbusRomNo9L-Regu" w:ascii="NimbusRomNo9L-Regu" w:hAnsi="NimbusRomNo9L-Regu"/>
          <w:color w:val="FF0000"/>
        </w:rPr>
        <w:t>The above paragraphs mirror EXACTLY the correspondences between EDWs!!!]</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rPr>
      </w:pPr>
      <w:r>
        <w:rPr>
          <w:rFonts w:cs="NimbusRomNo9L-Regu" w:ascii="NimbusRomNo9L-Regu" w:hAnsi="NimbusRomNo9L-Regu"/>
        </w:rPr>
        <w:t>As argued earlier,</w:t>
      </w:r>
    </w:p>
    <w:p>
      <w:pPr>
        <w:pStyle w:val="Normal"/>
        <w:spacing w:before="0" w:after="0"/>
        <w:contextualSpacing/>
        <w:jc w:val="left"/>
        <w:rPr>
          <w:rFonts w:ascii="NimbusRomNo9L-Regu" w:hAnsi="NimbusRomNo9L-Regu" w:cs="NimbusRomNo9L-Regu"/>
        </w:rPr>
      </w:pPr>
      <w:r>
        <w:rPr>
          <w:rFonts w:cs="NimbusRomNo9L-Regu" w:ascii="NimbusRomNo9L-Regu" w:hAnsi="NimbusRomNo9L-Regu"/>
        </w:rPr>
        <w:t>if all events are localized in a causal structure and Alice and</w:t>
      </w:r>
    </w:p>
    <w:p>
      <w:pPr>
        <w:pStyle w:val="Normal"/>
        <w:spacing w:before="0" w:after="0"/>
        <w:contextualSpacing/>
        <w:jc w:val="left"/>
        <w:rPr>
          <w:rFonts w:ascii="NimbusRomNo9L-Regu" w:hAnsi="NimbusRomNo9L-Regu" w:cs="NimbusRomNo9L-Regu"/>
        </w:rPr>
      </w:pPr>
      <w:r>
        <w:rPr>
          <w:rFonts w:cs="NimbusRomNo9L-Regu" w:ascii="NimbusRomNo9L-Regu" w:hAnsi="NimbusRomNo9L-Regu"/>
        </w:rPr>
        <w:t>Bob perform their experiments inside closed laboratories, at</w:t>
      </w:r>
    </w:p>
    <w:p>
      <w:pPr>
        <w:pStyle w:val="Normal"/>
        <w:spacing w:before="0" w:after="0"/>
        <w:contextualSpacing/>
        <w:jc w:val="left"/>
        <w:rPr>
          <w:rFonts w:ascii="NimbusRomNo9L-Regu" w:hAnsi="NimbusRomNo9L-Regu" w:cs="NimbusRomNo9L-Regu"/>
        </w:rPr>
      </w:pPr>
      <w:r>
        <w:rPr>
          <w:rFonts w:cs="NimbusRomNo9L-Regu" w:ascii="NimbusRomNo9L-Regu" w:hAnsi="NimbusRomNo9L-Regu"/>
        </w:rPr>
        <w:t>most unidirectional signalling between the laboratories is allowed.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a definite causal structure, it may still be the case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the location of each event, and thus the causal relation between</w:t>
      </w:r>
    </w:p>
    <w:p>
      <w:pPr>
        <w:pStyle w:val="Normal"/>
        <w:spacing w:before="0" w:after="0"/>
        <w:contextualSpacing/>
        <w:jc w:val="left"/>
        <w:rPr/>
      </w:pPr>
      <w:r>
        <w:rPr>
          <w:rFonts w:cs="NimbusRomNo9L-Regu" w:ascii="NimbusRomNo9L-Regu" w:hAnsi="NimbusRomNo9L-Regu"/>
        </w:rPr>
        <w:t xml:space="preserve">events, is not known with certainty…. We will call processes of this kind </w:t>
      </w:r>
      <w:r>
        <w:rPr>
          <w:rFonts w:cs="NimbusRomNo9L-ReguItal" w:ascii="NimbusRomNo9L-ReguItal" w:hAnsi="NimbusRomNo9L-ReguItal"/>
        </w:rPr>
        <w:t xml:space="preserve">causally separable </w:t>
      </w:r>
      <w:r>
        <w:rPr>
          <w:rFonts w:cs="NimbusRomNo9L-Regu" w:ascii="NimbusRomNo9L-Regu" w:hAnsi="NimbusRomNo9L-Regu"/>
        </w:rPr>
        <w:t>(note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the decomposition (6) need not be unique since nonsignalling</w:t>
      </w:r>
    </w:p>
    <w:p>
      <w:pPr>
        <w:pStyle w:val="Normal"/>
        <w:spacing w:before="0" w:after="0"/>
        <w:contextualSpacing/>
        <w:jc w:val="left"/>
        <w:rPr/>
      </w:pPr>
      <w:r>
        <w:rPr>
          <w:rFonts w:cs="NimbusRomNo9L-Regu" w:ascii="NimbusRomNo9L-Regu" w:hAnsi="NimbusRomNo9L-Regu"/>
        </w:rPr>
        <w:t xml:space="preserve">processes can be included either in </w:t>
      </w:r>
      <w:r>
        <w:rPr>
          <w:rFonts w:cs="NimbusRomNo9L-ReguItal" w:ascii="NimbusRomNo9L-ReguItal" w:hAnsi="NimbusRomNo9L-ReguItal"/>
        </w:rPr>
        <w:t>W</w:t>
      </w:r>
      <w:r>
        <w:rPr>
          <w:rFonts w:cs="NimbusRomNo9L-ReguItal" w:ascii="NimbusRomNo9L-ReguItal" w:hAnsi="NimbusRomNo9L-ReguItal"/>
          <w:sz w:val="14"/>
          <w:szCs w:val="14"/>
        </w:rPr>
        <w:t>B</w:t>
      </w:r>
      <w:r>
        <w:rPr>
          <w:rFonts w:cs="txsyb" w:ascii="txsyb" w:hAnsi="txsyb"/>
          <w:sz w:val="14"/>
          <w:szCs w:val="14"/>
        </w:rPr>
        <w:t>_</w:t>
      </w:r>
      <w:r>
        <w:rPr>
          <w:rFonts w:cs="NimbusRomNo9L-ReguItal" w:ascii="NimbusRomNo9L-ReguItal" w:hAnsi="NimbusRomNo9L-ReguItal"/>
          <w:sz w:val="14"/>
          <w:szCs w:val="14"/>
        </w:rPr>
        <w:t xml:space="preserve">A </w:t>
      </w:r>
      <w:r>
        <w:rPr>
          <w:rFonts w:cs="NimbusRomNo9L-Regu" w:ascii="NimbusRomNo9L-Regu" w:hAnsi="NimbusRomNo9L-Regu"/>
        </w:rPr>
        <w:t>or in</w:t>
      </w:r>
    </w:p>
    <w:p>
      <w:pPr>
        <w:pStyle w:val="Normal"/>
        <w:spacing w:before="0" w:after="0"/>
        <w:contextualSpacing/>
        <w:jc w:val="left"/>
        <w:rPr/>
      </w:pPr>
      <w:r>
        <w:rPr>
          <w:rFonts w:cs="NimbusRomNo9L-ReguItal" w:ascii="NimbusRomNo9L-ReguItal" w:hAnsi="NimbusRomNo9L-ReguItal"/>
        </w:rPr>
        <w:t>W</w:t>
      </w:r>
      <w:r>
        <w:rPr>
          <w:rFonts w:cs="NimbusRomNo9L-ReguItal" w:ascii="NimbusRomNo9L-ReguItal" w:hAnsi="NimbusRomNo9L-ReguItal"/>
          <w:sz w:val="14"/>
          <w:szCs w:val="14"/>
        </w:rPr>
        <w:t>A</w:t>
      </w:r>
      <w:r>
        <w:rPr>
          <w:rFonts w:cs="txsyb" w:ascii="txsyb" w:hAnsi="txsyb"/>
          <w:sz w:val="14"/>
          <w:szCs w:val="14"/>
        </w:rPr>
        <w:t>_</w:t>
      </w:r>
      <w:r>
        <w:rPr>
          <w:rFonts w:cs="NimbusRomNo9L-ReguItal" w:ascii="NimbusRomNo9L-ReguItal" w:hAnsi="NimbusRomNo9L-ReguItal"/>
          <w:sz w:val="14"/>
          <w:szCs w:val="14"/>
        </w:rPr>
        <w:t>B</w:t>
      </w:r>
      <w:r>
        <w:rPr>
          <w:rFonts w:cs="NimbusRomNo9L-Regu" w:ascii="NimbusRomNo9L-Regu" w:hAnsi="NimbusRomNo9L-Regu"/>
        </w:rPr>
        <w:t>). They represent the most general bipartite quantum</w:t>
      </w:r>
    </w:p>
    <w:p>
      <w:pPr>
        <w:pStyle w:val="Normal"/>
        <w:spacing w:before="0" w:after="0"/>
        <w:contextualSpacing/>
        <w:jc w:val="left"/>
        <w:rPr>
          <w:rFonts w:ascii="NimbusRomNo9L-Regu" w:hAnsi="NimbusRomNo9L-Regu" w:cs="NimbusRomNo9L-Regu"/>
        </w:rPr>
      </w:pPr>
      <w:r>
        <w:rPr>
          <w:rFonts w:cs="NimbusRomNo9L-Regu" w:ascii="NimbusRomNo9L-Regu" w:hAnsi="NimbusRomNo9L-Regu"/>
        </w:rPr>
        <w:t>processes for which the local experiments are performed in</w:t>
      </w:r>
    </w:p>
    <w:p>
      <w:pPr>
        <w:pStyle w:val="Normal"/>
        <w:spacing w:before="0" w:after="0"/>
        <w:contextualSpacing/>
        <w:jc w:val="left"/>
        <w:rPr>
          <w:rFonts w:ascii="NimbusRomNo9L-Regu" w:hAnsi="NimbusRomNo9L-Regu" w:cs="NimbusRomNo9L-Regu"/>
        </w:rPr>
      </w:pPr>
      <w:r>
        <w:rPr>
          <w:rFonts w:cs="NimbusRomNo9L-Regu" w:ascii="NimbusRomNo9L-Regu" w:hAnsi="NimbusRomNo9L-Regu"/>
        </w:rPr>
        <w:t>closed laboratories embedded in a definite causal structure.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particular, they generate the most general quantum correlations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between measurements that take place at definite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(though possibly unknown) instants of time. Clearly, according</w:t>
      </w:r>
    </w:p>
    <w:p>
      <w:pPr>
        <w:pStyle w:val="Normal"/>
        <w:spacing w:before="0" w:after="0"/>
        <w:contextualSpacing/>
        <w:jc w:val="left"/>
        <w:rPr>
          <w:rFonts w:ascii="NimbusRomNo9L-Regu" w:hAnsi="NimbusRomNo9L-Regu" w:cs="NimbusRomNo9L-Regu"/>
        </w:rPr>
      </w:pPr>
      <w:r>
        <w:rPr>
          <w:rFonts w:cs="NimbusRomNo9L-Regu" w:ascii="NimbusRomNo9L-Regu" w:hAnsi="NimbusRomNo9L-Regu"/>
        </w:rPr>
        <w:t>to the argument presented earlier, causally separable processes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cannot be used by Alice an Bob to violate the causal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inequality (2). (p. 4)</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Medi" w:hAnsi="NimbusRomNo9L-Medi" w:cs="NimbusRomNo9L-Medi"/>
          <w:sz w:val="18"/>
          <w:szCs w:val="18"/>
        </w:rPr>
      </w:pPr>
      <w:r>
        <w:rPr>
          <w:rFonts w:cs="NimbusRomNo9L-Medi" w:ascii="NimbusRomNo9L-Medi" w:hAnsi="NimbusRomNo9L-Medi"/>
          <w:sz w:val="18"/>
          <w:szCs w:val="18"/>
        </w:rPr>
        <w:t>Classical processes are causally separable</w:t>
      </w:r>
    </w:p>
    <w:p>
      <w:pPr>
        <w:pStyle w:val="Normal"/>
        <w:spacing w:before="0" w:after="0"/>
        <w:contextualSpacing/>
        <w:jc w:val="left"/>
        <w:rPr/>
      </w:pPr>
      <w:r>
        <w:rPr>
          <w:rFonts w:cs="NimbusRomNo9L-Regu" w:ascii="NimbusRomNo9L-Regu" w:hAnsi="NimbusRomNo9L-Regu"/>
        </w:rPr>
        <w:t>It is not di</w:t>
      </w:r>
      <w:r>
        <w:rPr>
          <w:rFonts w:cs="rtxr" w:ascii="rtxr" w:hAnsi="rtxr"/>
        </w:rPr>
        <w:t>_</w:t>
      </w:r>
      <w:r>
        <w:rPr>
          <w:rFonts w:cs="NimbusRomNo9L-Regu" w:ascii="NimbusRomNo9L-Regu" w:hAnsi="NimbusRomNo9L-Regu"/>
        </w:rPr>
        <w:t>cult to see that if the operations of the local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parties are classical, they can always be understood as taking</w:t>
      </w:r>
    </w:p>
    <w:p>
      <w:pPr>
        <w:pStyle w:val="Normal"/>
        <w:spacing w:before="0" w:after="0"/>
        <w:contextualSpacing/>
        <w:jc w:val="left"/>
        <w:rPr>
          <w:rFonts w:ascii="NimbusRomNo9L-Regu" w:hAnsi="NimbusRomNo9L-Regu" w:cs="NimbusRomNo9L-Regu"/>
        </w:rPr>
      </w:pPr>
      <w:r>
        <w:rPr>
          <w:rFonts w:cs="NimbusRomNo9L-Regu" w:ascii="NimbusRomNo9L-Regu" w:hAnsi="NimbusRomNo9L-Regu"/>
        </w:rPr>
        <w:t>place in a global causal structure. (p. 5)</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[Again, nothing more than EDWs!!!]</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rPr>
      </w:pPr>
      <w:r>
        <w:rPr>
          <w:rFonts w:cs="NimbusRomNo9L-Regu" w:ascii="NimbusRomNo9L-Regu" w:hAnsi="NimbusRomNo9L-Regu"/>
        </w:rPr>
        <w:t>We have seen that by relaxing the assumption of definite</w:t>
      </w:r>
    </w:p>
    <w:p>
      <w:pPr>
        <w:pStyle w:val="Normal"/>
        <w:spacing w:before="0" w:after="0"/>
        <w:contextualSpacing/>
        <w:jc w:val="left"/>
        <w:rPr>
          <w:rFonts w:ascii="NimbusRomNo9L-Regu" w:hAnsi="NimbusRomNo9L-Regu" w:cs="NimbusRomNo9L-Regu"/>
        </w:rPr>
      </w:pPr>
      <w:r>
        <w:rPr>
          <w:rFonts w:cs="NimbusRomNo9L-Regu" w:ascii="NimbusRomNo9L-Regu" w:hAnsi="NimbusRomNo9L-Regu"/>
        </w:rPr>
        <w:t>global causal order and requiring that the standard quantum</w:t>
      </w:r>
    </w:p>
    <w:p>
      <w:pPr>
        <w:pStyle w:val="Normal"/>
        <w:spacing w:before="0" w:after="0"/>
        <w:contextualSpacing/>
        <w:jc w:val="left"/>
        <w:rPr>
          <w:rFonts w:ascii="NimbusRomNo9L-Regu" w:hAnsi="NimbusRomNo9L-Regu" w:cs="NimbusRomNo9L-Regu"/>
        </w:rPr>
      </w:pPr>
      <w:r>
        <w:rPr>
          <w:rFonts w:cs="NimbusRomNo9L-Regu" w:ascii="NimbusRomNo9L-Regu" w:hAnsi="NimbusRomNo9L-Regu"/>
        </w:rPr>
        <w:t>formalism holds only locally, we obtain the possibility for</w:t>
      </w:r>
    </w:p>
    <w:p>
      <w:pPr>
        <w:pStyle w:val="Normal"/>
        <w:spacing w:before="0" w:after="0"/>
        <w:contextualSpacing/>
        <w:jc w:val="left"/>
        <w:rPr>
          <w:rFonts w:ascii="NimbusRomNo9L-Regu" w:hAnsi="NimbusRomNo9L-Regu" w:cs="NimbusRomNo9L-Regu"/>
        </w:rPr>
      </w:pPr>
      <w:r>
        <w:rPr>
          <w:rFonts w:cs="NimbusRomNo9L-Regu" w:ascii="NimbusRomNo9L-Regu" w:hAnsi="NimbusRomNo9L-Regu"/>
        </w:rPr>
        <w:t>global causal relations that are not included in the usual formulation</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quantum mechanics. The latter is reminiscent of</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situation in general relativity, where by requiring that locally</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geometry is that of flat Minkowski space-time, one</w:t>
      </w:r>
    </w:p>
    <w:p>
      <w:pPr>
        <w:pStyle w:val="Normal"/>
        <w:spacing w:before="0" w:after="0"/>
        <w:contextualSpacing/>
        <w:jc w:val="left"/>
        <w:rPr>
          <w:rFonts w:ascii="NimbusRomNo9L-Regu" w:hAnsi="NimbusRomNo9L-Regu" w:cs="NimbusRomNo9L-Regu"/>
        </w:rPr>
      </w:pPr>
      <w:r>
        <w:rPr>
          <w:rFonts w:cs="NimbusRomNo9L-Regu" w:ascii="NimbusRomNo9L-Regu" w:hAnsi="NimbusRomNo9L-Regu"/>
        </w:rPr>
        <w:t>obtains the possibility of having more general, curved spacetimes.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natural question is whether “non-causal” quantum correlations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the kind described by our formalism can be found</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nature. One can speculate that they may exist in unprobed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physical regimes, such as, for example, those in which quantum</w:t>
      </w:r>
    </w:p>
    <w:p>
      <w:pPr>
        <w:pStyle w:val="Normal"/>
        <w:spacing w:before="0" w:after="0"/>
        <w:contextualSpacing/>
        <w:jc w:val="left"/>
        <w:rPr>
          <w:rFonts w:ascii="NimbusRomNo9L-Regu" w:hAnsi="NimbusRomNo9L-Regu" w:cs="NimbusRomNo9L-Regu"/>
        </w:rPr>
      </w:pPr>
      <w:r>
        <w:rPr>
          <w:rFonts w:cs="NimbusRomNo9L-Regu" w:ascii="NimbusRomNo9L-Regu" w:hAnsi="NimbusRomNo9L-Regu"/>
        </w:rPr>
        <w:t>mechanics and general relativity become relevant. (p. 5)</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rPr>
      </w:pPr>
      <w:r>
        <w:rPr>
          <w:rFonts w:cs="NimbusRomNo9L-Regu" w:ascii="NimbusRomNo9L-Regu" w:hAnsi="NimbusRomNo9L-Regu"/>
        </w:rPr>
        <w:t>Indeed, our result that classical theories can always be understood</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terms of a global causal structure suggests the possibility</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the observed causal order of space-time might</w:t>
      </w:r>
    </w:p>
    <w:p>
      <w:pPr>
        <w:pStyle w:val="Normal"/>
        <w:spacing w:before="0" w:after="0"/>
        <w:contextualSpacing/>
        <w:jc w:val="left"/>
        <w:rPr>
          <w:rFonts w:ascii="NimbusRomNo9L-Regu" w:hAnsi="NimbusRomNo9L-Regu" w:cs="NimbusRomNo9L-Regu"/>
        </w:rPr>
      </w:pPr>
      <w:r>
        <w:rPr>
          <w:rFonts w:cs="NimbusRomNo9L-Regu" w:ascii="NimbusRomNo9L-Regu" w:hAnsi="NimbusRomNo9L-Regu"/>
        </w:rPr>
        <w:t>not be a fundamental property of nature but rather emerge</w:t>
      </w:r>
    </w:p>
    <w:p>
      <w:pPr>
        <w:pStyle w:val="Normal"/>
        <w:spacing w:before="0" w:after="0"/>
        <w:contextualSpacing/>
        <w:jc w:val="left"/>
        <w:rPr>
          <w:rFonts w:ascii="NimbusRomNo9L-Regu" w:hAnsi="NimbusRomNo9L-Regu" w:cs="NimbusRomNo9L-Regu"/>
        </w:rPr>
      </w:pPr>
      <w:r>
        <w:rPr>
          <w:rFonts w:cs="NimbusRomNo9L-Regu" w:ascii="NimbusRomNo9L-Regu" w:hAnsi="NimbusRomNo9L-Regu"/>
        </w:rPr>
        <w:t>from a more fundamental theory [32–34] in a quantum-toclassical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transition due to, for example, decoherence [35] or</w:t>
      </w:r>
    </w:p>
    <w:p>
      <w:pPr>
        <w:pStyle w:val="Normal"/>
        <w:spacing w:before="0" w:after="0"/>
        <w:contextualSpacing/>
        <w:jc w:val="left"/>
        <w:rPr>
          <w:rFonts w:ascii="NimbusRomNo9L-Regu" w:hAnsi="NimbusRomNo9L-Regu" w:cs="NimbusRomNo9L-Regu"/>
        </w:rPr>
      </w:pPr>
      <w:r>
        <w:rPr>
          <w:rFonts w:cs="NimbusRomNo9L-Regu" w:ascii="NimbusRomNo9L-Regu" w:hAnsi="NimbusRomNo9L-Regu"/>
        </w:rPr>
        <w:t>coarse-grained measurements [36]. Once a causal structure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is present, it is possible to derive relativistic space-time from</w:t>
      </w:r>
    </w:p>
    <w:p>
      <w:pPr>
        <w:pStyle w:val="Normal"/>
        <w:spacing w:before="0" w:after="0"/>
        <w:contextualSpacing/>
        <w:jc w:val="left"/>
        <w:rPr>
          <w:rFonts w:ascii="NimbusRomNo9L-Regu" w:hAnsi="NimbusRomNo9L-Regu" w:cs="NimbusRomNo9L-Regu"/>
        </w:rPr>
      </w:pPr>
      <w:r>
        <w:rPr>
          <w:rFonts w:cs="NimbusRomNo9L-Regu" w:ascii="NimbusRomNo9L-Regu" w:hAnsi="NimbusRomNo9L-Regu"/>
        </w:rPr>
        <w:t>it under appropriate conditions [37, 38]. Furthermore, since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conformal space-time metric is a description of the causal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relation between space-time points [39, 40], one can expect</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an extension of general relativity to the quantum domain</w:t>
      </w:r>
    </w:p>
    <w:p>
      <w:pPr>
        <w:pStyle w:val="Normal"/>
        <w:spacing w:before="0" w:after="0"/>
        <w:contextualSpacing/>
        <w:jc w:val="left"/>
        <w:rPr/>
      </w:pPr>
      <w:r>
        <w:rPr>
          <w:rFonts w:cs="NimbusRomNo9L-Regu" w:ascii="NimbusRomNo9L-Regu" w:hAnsi="NimbusRomNo9L-Regu"/>
        </w:rPr>
        <w:t>would involve situations where di</w:t>
      </w:r>
      <w:r>
        <w:rPr>
          <w:rFonts w:cs="rtxr" w:ascii="rtxr" w:hAnsi="rtxr"/>
        </w:rPr>
        <w:t>_</w:t>
      </w:r>
      <w:r>
        <w:rPr>
          <w:rFonts w:cs="NimbusRomNo9L-Regu" w:ascii="NimbusRomNo9L-Regu" w:hAnsi="NimbusRomNo9L-Regu"/>
        </w:rPr>
        <w:t>erent causal orders could</w:t>
      </w:r>
    </w:p>
    <w:p>
      <w:pPr>
        <w:pStyle w:val="Normal"/>
        <w:spacing w:before="0" w:after="0"/>
        <w:contextualSpacing/>
        <w:jc w:val="left"/>
        <w:rPr>
          <w:rFonts w:ascii="NimbusRomNo9L-Regu" w:hAnsi="NimbusRomNo9L-Regu" w:cs="NimbusRomNo9L-Regu"/>
        </w:rPr>
      </w:pPr>
      <w:r>
        <w:rPr>
          <w:rFonts w:cs="NimbusRomNo9L-Regu" w:ascii="NimbusRomNo9L-Regu" w:hAnsi="NimbusRomNo9L-Regu"/>
        </w:rPr>
        <w:t>coexist “in superposition”. The formalism we presented may</w:t>
      </w:r>
    </w:p>
    <w:p>
      <w:pPr>
        <w:pStyle w:val="Normal"/>
        <w:spacing w:before="0" w:after="0"/>
        <w:contextualSpacing/>
        <w:jc w:val="left"/>
        <w:rPr/>
      </w:pPr>
      <w:r>
        <w:rPr>
          <w:rFonts w:cs="NimbusRomNo9L-Regu" w:ascii="NimbusRomNo9L-Regu" w:hAnsi="NimbusRomNo9L-Regu"/>
        </w:rPr>
        <w:t>o</w:t>
      </w:r>
      <w:r>
        <w:rPr>
          <w:rFonts w:cs="rtxr" w:ascii="rtxr" w:hAnsi="rtxr"/>
        </w:rPr>
        <w:t>_</w:t>
      </w:r>
      <w:r>
        <w:rPr>
          <w:rFonts w:cs="NimbusRomNo9L-Regu" w:ascii="NimbusRomNo9L-Regu" w:hAnsi="NimbusRomNo9L-Regu"/>
        </w:rPr>
        <w:t>er a natural route in this direction: based only on the assumption</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quantum mechanics is valid locally, it yields</w:t>
      </w:r>
    </w:p>
    <w:p>
      <w:pPr>
        <w:pStyle w:val="Normal"/>
        <w:spacing w:before="0" w:after="0"/>
        <w:contextualSpacing/>
        <w:jc w:val="left"/>
        <w:rPr>
          <w:rFonts w:ascii="NimbusRomNo9L-Regu" w:hAnsi="NimbusRomNo9L-Regu" w:cs="NimbusRomNo9L-Regu"/>
        </w:rPr>
      </w:pPr>
      <w:r>
        <w:rPr>
          <w:rFonts w:cs="NimbusRomNo9L-Regu" w:ascii="NimbusRomNo9L-Regu" w:hAnsi="NimbusRomNo9L-Regu"/>
        </w:rPr>
        <w:t>causal relations that cannot be understood as arising from a</w:t>
      </w:r>
    </w:p>
    <w:p>
      <w:pPr>
        <w:pStyle w:val="Normal"/>
        <w:spacing w:before="0" w:after="0"/>
        <w:contextualSpacing/>
        <w:jc w:val="left"/>
        <w:rPr>
          <w:rFonts w:ascii="NimbusRomNo9L-Regu" w:hAnsi="NimbusRomNo9L-Regu" w:cs="NimbusRomNo9L-Regu"/>
        </w:rPr>
      </w:pPr>
      <w:r>
        <w:rPr>
          <w:rFonts w:cs="NimbusRomNo9L-Regu" w:ascii="NimbusRomNo9L-Regu" w:hAnsi="NimbusRomNo9L-Regu"/>
        </w:rPr>
        <w:t>definite, underlying order.</w:t>
      </w:r>
    </w:p>
    <w:p>
      <w:pPr>
        <w:pStyle w:val="Normal"/>
        <w:spacing w:before="0" w:after="0"/>
        <w:contextualSpacing/>
        <w:jc w:val="left"/>
        <w:rPr>
          <w:rFonts w:ascii="NimbusRomNo9L-Regu" w:hAnsi="NimbusRomNo9L-Regu" w:cs="NimbusRomNo9L-Regu"/>
        </w:rPr>
      </w:pPr>
      <w:r>
        <w:rPr>
          <w:rFonts w:cs="NimbusRomNo9L-Regu" w:ascii="NimbusRomNo9L-Regu" w:hAnsi="NimbusRomNo9L-Regu"/>
        </w:rPr>
        <w:t>It is also worth noting that exotic causal structures already</w:t>
      </w:r>
    </w:p>
    <w:p>
      <w:pPr>
        <w:pStyle w:val="Normal"/>
        <w:spacing w:before="0" w:after="0"/>
        <w:contextualSpacing/>
        <w:jc w:val="left"/>
        <w:rPr>
          <w:rFonts w:ascii="NimbusRomNo9L-Regu" w:hAnsi="NimbusRomNo9L-Regu" w:cs="NimbusRomNo9L-Regu"/>
        </w:rPr>
      </w:pPr>
      <w:r>
        <w:rPr>
          <w:rFonts w:cs="NimbusRomNo9L-Regu" w:ascii="NimbusRomNo9L-Regu" w:hAnsi="NimbusRomNo9L-Regu"/>
        </w:rPr>
        <w:t>appear in the classical theory of general relativity. For example,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there exist solutions to the Einstein equation containing</w:t>
      </w:r>
    </w:p>
    <w:p>
      <w:pPr>
        <w:pStyle w:val="Normal"/>
        <w:spacing w:before="0" w:after="0"/>
        <w:contextualSpacing/>
        <w:jc w:val="left"/>
        <w:rPr>
          <w:rFonts w:ascii="NimbusRomNo9L-Regu" w:hAnsi="NimbusRomNo9L-Regu" w:cs="NimbusRomNo9L-Regu"/>
        </w:rPr>
      </w:pPr>
      <w:r>
        <w:rPr>
          <w:rFonts w:cs="NimbusRomNo9L-Regu" w:ascii="NimbusRomNo9L-Regu" w:hAnsi="NimbusRomNo9L-Regu"/>
        </w:rPr>
        <w:t>closed time-like curves (CTCs) [41]. In this context, it should</w:t>
      </w:r>
    </w:p>
    <w:p>
      <w:pPr>
        <w:pStyle w:val="Normal"/>
        <w:spacing w:before="0" w:after="0"/>
        <w:contextualSpacing/>
        <w:jc w:val="left"/>
        <w:rPr/>
      </w:pPr>
      <w:r>
        <w:rPr>
          <w:rFonts w:cs="NimbusRomNo9L-Regu" w:ascii="NimbusRomNo9L-Regu" w:hAnsi="NimbusRomNo9L-Regu"/>
        </w:rPr>
        <w:t xml:space="preserve">be noted that any process matrix </w:t>
      </w:r>
      <w:r>
        <w:rPr>
          <w:rFonts w:cs="NimbusRomNo9L-ReguItal" w:ascii="NimbusRomNo9L-ReguItal" w:hAnsi="NimbusRomNo9L-ReguItal"/>
        </w:rPr>
        <w:t xml:space="preserve">W </w:t>
      </w:r>
      <w:r>
        <w:rPr>
          <w:rFonts w:cs="NimbusRomNo9L-Regu" w:ascii="NimbusRomNo9L-Regu" w:hAnsi="NimbusRomNo9L-Regu"/>
        </w:rPr>
        <w:t>in our framework can be</w:t>
      </w:r>
    </w:p>
    <w:p>
      <w:pPr>
        <w:pStyle w:val="Normal"/>
        <w:spacing w:before="0" w:after="0"/>
        <w:contextualSpacing/>
        <w:jc w:val="left"/>
        <w:rPr/>
      </w:pPr>
      <w:r>
        <w:rPr>
          <w:rFonts w:cs="NimbusRomNo9L-Regu" w:ascii="NimbusRomNo9L-Regu" w:hAnsi="NimbusRomNo9L-Regu"/>
        </w:rPr>
        <w:t xml:space="preserve">interpreted as a CPTP map from the outputs, </w:t>
      </w:r>
      <w:r>
        <w:rPr>
          <w:rFonts w:cs="NimbusRomNo9L-ReguItal" w:ascii="NimbusRomNo9L-ReguItal" w:hAnsi="NimbusRomNo9L-ReguItal"/>
        </w:rPr>
        <w:t>A</w:t>
      </w:r>
      <w:r>
        <w:rPr>
          <w:rFonts w:cs="NimbusRomNo9L-Regu" w:ascii="NimbusRomNo9L-Regu" w:hAnsi="NimbusRomNo9L-Regu"/>
          <w:sz w:val="14"/>
          <w:szCs w:val="14"/>
        </w:rPr>
        <w:t>2</w:t>
      </w:r>
      <w:r>
        <w:rPr>
          <w:rFonts w:cs="NimbusRomNo9L-Regu" w:ascii="NimbusRomNo9L-Regu" w:hAnsi="NimbusRomNo9L-Regu"/>
        </w:rPr>
        <w:t xml:space="preserve">, </w:t>
      </w:r>
      <w:r>
        <w:rPr>
          <w:rFonts w:cs="NimbusRomNo9L-ReguItal" w:ascii="NimbusRomNo9L-ReguItal" w:hAnsi="NimbusRomNo9L-ReguItal"/>
        </w:rPr>
        <w:t>B</w:t>
      </w:r>
      <w:r>
        <w:rPr>
          <w:rFonts w:cs="NimbusRomNo9L-Regu" w:ascii="NimbusRomNo9L-Regu" w:hAnsi="NimbusRomNo9L-Regu"/>
          <w:sz w:val="14"/>
          <w:szCs w:val="14"/>
        </w:rPr>
        <w:t>2</w:t>
      </w:r>
      <w:r>
        <w:rPr>
          <w:rFonts w:cs="NimbusRomNo9L-Regu" w:ascii="NimbusRomNo9L-Regu" w:hAnsi="NimbusRomNo9L-Regu"/>
        </w:rPr>
        <w:t>, of the</w:t>
      </w:r>
    </w:p>
    <w:p>
      <w:pPr>
        <w:pStyle w:val="Normal"/>
        <w:spacing w:before="0" w:after="0"/>
        <w:contextualSpacing/>
        <w:jc w:val="left"/>
        <w:rPr/>
      </w:pPr>
      <w:r>
        <w:rPr>
          <w:rFonts w:cs="NimbusRomNo9L-Regu" w:ascii="NimbusRomNo9L-Regu" w:hAnsi="NimbusRomNo9L-Regu"/>
        </w:rPr>
        <w:t xml:space="preserve">parties, to their inputs, </w:t>
      </w:r>
      <w:r>
        <w:rPr>
          <w:rFonts w:cs="NimbusRomNo9L-ReguItal" w:ascii="NimbusRomNo9L-ReguItal" w:hAnsi="NimbusRomNo9L-ReguItal"/>
        </w:rPr>
        <w:t>A</w:t>
      </w:r>
      <w:r>
        <w:rPr>
          <w:rFonts w:cs="NimbusRomNo9L-Regu" w:ascii="NimbusRomNo9L-Regu" w:hAnsi="NimbusRomNo9L-Regu"/>
          <w:sz w:val="14"/>
          <w:szCs w:val="14"/>
        </w:rPr>
        <w:t>1</w:t>
      </w:r>
      <w:r>
        <w:rPr>
          <w:rFonts w:cs="NimbusRomNo9L-Regu" w:ascii="NimbusRomNo9L-Regu" w:hAnsi="NimbusRomNo9L-Regu"/>
        </w:rPr>
        <w:t xml:space="preserve">, </w:t>
      </w:r>
      <w:r>
        <w:rPr>
          <w:rFonts w:cs="NimbusRomNo9L-ReguItal" w:ascii="NimbusRomNo9L-ReguItal" w:hAnsi="NimbusRomNo9L-ReguItal"/>
        </w:rPr>
        <w:t>B</w:t>
      </w:r>
      <w:r>
        <w:rPr>
          <w:rFonts w:cs="NimbusRomNo9L-Regu" w:ascii="NimbusRomNo9L-Regu" w:hAnsi="NimbusRomNo9L-Regu"/>
          <w:sz w:val="14"/>
          <w:szCs w:val="14"/>
        </w:rPr>
        <w:t>1</w:t>
      </w:r>
      <w:r>
        <w:rPr>
          <w:rFonts w:cs="NimbusRomNo9L-Regu" w:ascii="NimbusRomNo9L-Regu" w:hAnsi="NimbusRomNo9L-Regu"/>
        </w:rPr>
        <w:t>. In other words, any process can</w:t>
      </w:r>
    </w:p>
    <w:p>
      <w:pPr>
        <w:pStyle w:val="Normal"/>
        <w:spacing w:before="0" w:after="0"/>
        <w:contextualSpacing/>
        <w:jc w:val="left"/>
        <w:rPr>
          <w:rFonts w:ascii="NimbusRomNo9L-Regu" w:hAnsi="NimbusRomNo9L-Regu" w:cs="NimbusRomNo9L-Regu"/>
        </w:rPr>
      </w:pPr>
      <w:r>
        <w:rPr>
          <w:rFonts w:cs="NimbusRomNo9L-Regu" w:ascii="NimbusRomNo9L-Regu" w:hAnsi="NimbusRomNo9L-Regu"/>
        </w:rPr>
        <w:t>be thought of as having the form of a CTC, where information</w:t>
      </w:r>
    </w:p>
    <w:p>
      <w:pPr>
        <w:pStyle w:val="Normal"/>
        <w:spacing w:before="0" w:after="0"/>
        <w:contextualSpacing/>
        <w:jc w:val="left"/>
        <w:rPr>
          <w:rFonts w:ascii="NimbusRomNo9L-Regu" w:hAnsi="NimbusRomNo9L-Regu" w:cs="NimbusRomNo9L-Regu"/>
        </w:rPr>
      </w:pPr>
      <w:r>
        <w:rPr>
          <w:rFonts w:cs="NimbusRomNo9L-Regu" w:ascii="NimbusRomNo9L-Regu" w:hAnsi="NimbusRomNo9L-Regu"/>
        </w:rPr>
        <w:t>is sent back in time through a noisy channel (see also Fig. 1b).</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existence of processes that do not describe definite causal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order is therefore not incompatible with general relativity in</w:t>
      </w:r>
    </w:p>
    <w:p>
      <w:pPr>
        <w:pStyle w:val="Normal"/>
        <w:spacing w:before="0" w:after="0"/>
        <w:contextualSpacing/>
        <w:jc w:val="left"/>
        <w:rPr>
          <w:rFonts w:ascii="NimbusRomNo9L-Regu" w:hAnsi="NimbusRomNo9L-Regu" w:cs="NimbusRomNo9L-Regu"/>
        </w:rPr>
      </w:pPr>
      <w:r>
        <w:rPr>
          <w:rFonts w:cs="NimbusRomNo9L-Regu" w:ascii="NimbusRomNo9L-Regu" w:hAnsi="NimbusRomNo9L-Regu"/>
        </w:rPr>
        <w:t>principle. It is sometimes argued that CTCs should not exist</w:t>
      </w:r>
    </w:p>
    <w:p>
      <w:pPr>
        <w:pStyle w:val="Normal"/>
        <w:spacing w:before="0" w:after="0"/>
        <w:contextualSpacing/>
        <w:jc w:val="left"/>
        <w:rPr>
          <w:rFonts w:ascii="NimbusRomNo9L-Regu" w:hAnsi="NimbusRomNo9L-Regu" w:cs="NimbusRomNo9L-Regu"/>
        </w:rPr>
      </w:pPr>
      <w:r>
        <w:rPr>
          <w:rFonts w:cs="NimbusRomNo9L-Regu" w:ascii="NimbusRomNo9L-Regu" w:hAnsi="NimbusRomNo9L-Regu"/>
        </w:rPr>
        <w:t>since they generate logical paradoxes, such as an agent going</w:t>
      </w:r>
    </w:p>
    <w:p>
      <w:pPr>
        <w:pStyle w:val="Normal"/>
        <w:spacing w:before="0" w:after="0"/>
        <w:contextualSpacing/>
        <w:jc w:val="left"/>
        <w:rPr>
          <w:rFonts w:ascii="NimbusRomNo9L-Regu" w:hAnsi="NimbusRomNo9L-Regu" w:cs="NimbusRomNo9L-Regu"/>
        </w:rPr>
      </w:pPr>
      <w:r>
        <w:rPr>
          <w:rFonts w:cs="NimbusRomNo9L-Regu" w:ascii="NimbusRomNo9L-Regu" w:hAnsi="NimbusRomNo9L-Regu"/>
        </w:rPr>
        <w:t>back in time and killing his grandfather. The possible solutions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have been proposed [42–47], in which quantum</w:t>
      </w:r>
    </w:p>
    <w:p>
      <w:pPr>
        <w:pStyle w:val="Normal"/>
        <w:spacing w:before="0" w:after="0"/>
        <w:contextualSpacing/>
        <w:jc w:val="left"/>
        <w:rPr>
          <w:rFonts w:ascii="NimbusRomNo9L-Regu" w:hAnsi="NimbusRomNo9L-Regu" w:cs="NimbusRomNo9L-Regu"/>
        </w:rPr>
      </w:pPr>
      <w:r>
        <w:rPr>
          <w:rFonts w:cs="NimbusRomNo9L-Regu" w:ascii="NimbusRomNo9L-Regu" w:hAnsi="NimbusRomNo9L-Regu"/>
        </w:rPr>
        <w:t>mechanics and CTCs might coexist, involve non-linear extensions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quantum theory that deviate from quantum mechanics</w:t>
      </w:r>
    </w:p>
    <w:p>
      <w:pPr>
        <w:pStyle w:val="Normal"/>
        <w:spacing w:before="0" w:after="0"/>
        <w:contextualSpacing/>
        <w:jc w:val="left"/>
        <w:rPr>
          <w:rFonts w:ascii="NimbusRomNo9L-Regu" w:hAnsi="NimbusRomNo9L-Regu" w:cs="NimbusRomNo9L-Regu"/>
        </w:rPr>
      </w:pPr>
      <w:r>
        <w:rPr>
          <w:rFonts w:cs="NimbusRomNo9L-Regu" w:ascii="NimbusRomNo9L-Regu" w:hAnsi="NimbusRomNo9L-Regu"/>
        </w:rPr>
        <w:t>already at the level of local experiments. Our framework, on</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other hand, is by construction linear and in agreement with</w:t>
      </w:r>
    </w:p>
    <w:p>
      <w:pPr>
        <w:pStyle w:val="Normal"/>
        <w:spacing w:before="0" w:after="0"/>
        <w:contextualSpacing/>
        <w:jc w:val="left"/>
        <w:rPr>
          <w:rFonts w:ascii="NimbusRomNo9L-Regu" w:hAnsi="NimbusRomNo9L-Regu" w:cs="NimbusRomNo9L-Regu"/>
        </w:rPr>
      </w:pPr>
      <w:r>
        <w:rPr>
          <w:rFonts w:cs="NimbusRomNo9L-Regu" w:ascii="NimbusRomNo9L-Regu" w:hAnsi="NimbusRomNo9L-Regu"/>
        </w:rPr>
        <w:t>local quantum mechanics, and yet paradoxes are avoided, in</w:t>
      </w:r>
    </w:p>
    <w:p>
      <w:pPr>
        <w:pStyle w:val="Normal"/>
        <w:spacing w:before="0" w:after="0"/>
        <w:contextualSpacing/>
        <w:jc w:val="left"/>
        <w:rPr>
          <w:rFonts w:ascii="NimbusRomNo9L-Regu" w:hAnsi="NimbusRomNo9L-Regu" w:cs="NimbusRomNo9L-Regu"/>
        </w:rPr>
      </w:pPr>
      <w:r>
        <w:rPr>
          <w:rFonts w:cs="NimbusRomNo9L-Regu" w:ascii="NimbusRomNo9L-Regu" w:hAnsi="NimbusRomNo9L-Regu"/>
        </w:rPr>
        <w:t>accordance with the Novikov principle [48], due to the noise</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the evolution ‘backward in time’. (p. 6)</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[Again, nothing more than EDWs!!!! In my PhD thesis 2007 from UNSW (Australia), I indicated exactly the same situation and the relationship between QM and Einstein’s relativity (both special and general)!]</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rPr>
      </w:pPr>
      <w:r>
        <w:rPr>
          <w:rFonts w:cs="NimbusRomNo9L-Regu" w:ascii="NimbusRomNo9L-Regu" w:hAnsi="NimbusRomNo9L-Regu"/>
        </w:rPr>
        <w:t>Finally we remark that instances of indefinite causal orders</w:t>
      </w:r>
    </w:p>
    <w:p>
      <w:pPr>
        <w:pStyle w:val="Normal"/>
        <w:spacing w:before="0" w:after="0"/>
        <w:contextualSpacing/>
        <w:jc w:val="left"/>
        <w:rPr>
          <w:rFonts w:ascii="NimbusRomNo9L-Regu" w:hAnsi="NimbusRomNo9L-Regu" w:cs="NimbusRomNo9L-Regu"/>
        </w:rPr>
      </w:pPr>
      <w:r>
        <w:rPr>
          <w:rFonts w:cs="NimbusRomNo9L-Regu" w:ascii="NimbusRomNo9L-Regu" w:hAnsi="NimbusRomNo9L-Regu"/>
        </w:rPr>
        <w:t>may also emerge in situations closer to possible laboratory</w:t>
      </w:r>
    </w:p>
    <w:p>
      <w:pPr>
        <w:pStyle w:val="Normal"/>
        <w:spacing w:before="0" w:after="0"/>
        <w:contextualSpacing/>
        <w:jc w:val="left"/>
        <w:rPr>
          <w:rFonts w:ascii="NimbusRomNo9L-Regu" w:hAnsi="NimbusRomNo9L-Regu" w:cs="NimbusRomNo9L-Regu"/>
        </w:rPr>
      </w:pPr>
      <w:r>
        <w:rPr>
          <w:rFonts w:cs="NimbusRomNo9L-Regu" w:ascii="NimbusRomNo9L-Regu" w:hAnsi="NimbusRomNo9L-Regu"/>
        </w:rPr>
        <w:t>implementations. As already noted, our formalism describes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more general correlations than those that can be realized with</w:t>
      </w:r>
    </w:p>
    <w:p>
      <w:pPr>
        <w:pStyle w:val="Normal"/>
        <w:spacing w:before="0" w:after="0"/>
        <w:contextualSpacing/>
        <w:jc w:val="left"/>
        <w:rPr>
          <w:rFonts w:ascii="NimbusRomNo9L-Regu" w:hAnsi="NimbusRomNo9L-Regu" w:cs="NimbusRomNo9L-Regu"/>
        </w:rPr>
      </w:pPr>
      <w:r>
        <w:rPr>
          <w:rFonts w:cs="NimbusRomNo9L-Regu" w:ascii="NimbusRomNo9L-Regu" w:hAnsi="NimbusRomNo9L-Regu"/>
        </w:rPr>
        <w:t>a quantum circuit, that is, as a sequence of quantum gates.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Recently, a new model of quantum computation which goes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beyond the causal paradigm of quantum circuits by using superpositions</w:t>
      </w:r>
    </w:p>
    <w:p>
      <w:pPr>
        <w:pStyle w:val="Normal"/>
        <w:spacing w:before="0" w:after="0"/>
        <w:contextualSpacing/>
        <w:jc w:val="left"/>
        <w:rPr/>
      </w:pPr>
      <w:r>
        <w:rPr>
          <w:rFonts w:cs="NimbusRomNo9L-Regu" w:ascii="NimbusRomNo9L-Regu" w:hAnsi="NimbusRomNo9L-Regu"/>
        </w:rPr>
        <w:t>of the ‘wires’ connecting di</w:t>
      </w:r>
      <w:r>
        <w:rPr>
          <w:rFonts w:cs="rtxr" w:ascii="rtxr" w:hAnsi="rtxr"/>
        </w:rPr>
        <w:t>_</w:t>
      </w:r>
      <w:r>
        <w:rPr>
          <w:rFonts w:cs="NimbusRomNo9L-Regu" w:ascii="NimbusRomNo9L-Regu" w:hAnsi="NimbusRomNo9L-Regu"/>
        </w:rPr>
        <w:t>erent gates was proposed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[49]. This possibility may allow breaking assumption</w:t>
      </w:r>
    </w:p>
    <w:p>
      <w:pPr>
        <w:pStyle w:val="Normal"/>
        <w:spacing w:before="0" w:after="0"/>
        <w:contextualSpacing/>
        <w:jc w:val="left"/>
        <w:rPr/>
      </w:pPr>
      <w:r>
        <w:rPr>
          <w:rFonts w:cs="NimbusRomNo9L-ReguItal" w:ascii="NimbusRomNo9L-ReguItal" w:hAnsi="NimbusRomNo9L-ReguItal"/>
        </w:rPr>
        <w:t xml:space="preserve">CS </w:t>
      </w:r>
      <w:r>
        <w:rPr>
          <w:rFonts w:cs="NimbusRomNo9L-Regu" w:ascii="NimbusRomNo9L-Regu" w:hAnsi="NimbusRomNo9L-Regu"/>
        </w:rPr>
        <w:t>that events are localized in a causal structure. Since 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instant when a system enters a device depends on how the device</w:t>
      </w:r>
    </w:p>
    <w:p>
      <w:pPr>
        <w:pStyle w:val="Normal"/>
        <w:spacing w:before="0" w:after="0"/>
        <w:contextualSpacing/>
        <w:jc w:val="left"/>
        <w:rPr>
          <w:rFonts w:ascii="NimbusRomNo9L-Regu" w:hAnsi="NimbusRomNo9L-Regu" w:cs="NimbusRomNo9L-Regu"/>
        </w:rPr>
      </w:pPr>
      <w:r>
        <w:rPr>
          <w:rFonts w:cs="NimbusRomNo9L-Regu" w:ascii="NimbusRomNo9L-Regu" w:hAnsi="NimbusRomNo9L-Regu"/>
        </w:rPr>
        <w:t>is wired with the rest of the computer’s architecture, superpositions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wires may allow creating situations in which</w:t>
      </w:r>
    </w:p>
    <w:p>
      <w:pPr>
        <w:pStyle w:val="Normal"/>
        <w:spacing w:before="0" w:after="0"/>
        <w:contextualSpacing/>
        <w:jc w:val="left"/>
        <w:rPr>
          <w:rFonts w:ascii="NimbusRomNo9L-Regu" w:hAnsi="NimbusRomNo9L-Regu" w:cs="NimbusRomNo9L-Regu"/>
        </w:rPr>
      </w:pPr>
      <w:r>
        <w:rPr>
          <w:rFonts w:cs="NimbusRomNo9L-Regu" w:ascii="NimbusRomNo9L-Regu" w:hAnsi="NimbusRomNo9L-Regu"/>
        </w:rPr>
        <w:t>events are not localized in time (similarly to the way in which</w:t>
      </w:r>
    </w:p>
    <w:p>
      <w:pPr>
        <w:pStyle w:val="Normal"/>
        <w:spacing w:before="0" w:after="0"/>
        <w:contextualSpacing/>
        <w:jc w:val="left"/>
        <w:rPr>
          <w:rFonts w:ascii="NimbusRomNo9L-Regu" w:hAnsi="NimbusRomNo9L-Regu" w:cs="NimbusRomNo9L-Regu"/>
        </w:rPr>
      </w:pPr>
      <w:r>
        <w:rPr>
          <w:rFonts w:cs="NimbusRomNo9L-Regu" w:ascii="NimbusRomNo9L-Regu" w:hAnsi="NimbusRomNo9L-Regu"/>
        </w:rPr>
        <w:t>a quantum particle may not be localized in space). While it is</w:t>
      </w:r>
    </w:p>
    <w:p>
      <w:pPr>
        <w:pStyle w:val="Normal"/>
        <w:spacing w:before="0" w:after="0"/>
        <w:contextualSpacing/>
        <w:jc w:val="left"/>
        <w:rPr>
          <w:rFonts w:ascii="NimbusRomNo9L-Regu" w:hAnsi="NimbusRomNo9L-Regu" w:cs="NimbusRomNo9L-Regu"/>
        </w:rPr>
      </w:pPr>
      <w:r>
        <w:rPr>
          <w:rFonts w:cs="NimbusRomNo9L-Regu" w:ascii="NimbusRomNo9L-Regu" w:hAnsi="NimbusRomNo9L-Regu"/>
        </w:rPr>
        <w:t>an open question whether violating the causal inequality (2)</w:t>
      </w:r>
    </w:p>
    <w:p>
      <w:pPr>
        <w:pStyle w:val="Normal"/>
        <w:spacing w:before="0" w:after="0"/>
        <w:contextualSpacing/>
        <w:jc w:val="left"/>
        <w:rPr>
          <w:rFonts w:ascii="NimbusRomNo9L-Regu" w:hAnsi="NimbusRomNo9L-Regu" w:cs="NimbusRomNo9L-Regu"/>
        </w:rPr>
      </w:pPr>
      <w:r>
        <w:rPr>
          <w:rFonts w:cs="NimbusRomNo9L-Regu" w:ascii="NimbusRomNo9L-Regu" w:hAnsi="NimbusRomNo9L-Regu"/>
        </w:rPr>
        <w:t>can be achieved by similar means, the present work suggests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new quantum resources for information processing might be available—beyond entanglement, quantum memories, and</w:t>
      </w:r>
    </w:p>
    <w:p>
      <w:pPr>
        <w:pStyle w:val="Normal"/>
        <w:spacing w:before="0" w:after="0"/>
        <w:contextualSpacing/>
        <w:jc w:val="left"/>
        <w:rPr>
          <w:rFonts w:ascii="NimbusRomNo9L-Regu" w:hAnsi="NimbusRomNo9L-Regu" w:cs="NimbusRomNo9L-Regu"/>
        </w:rPr>
      </w:pPr>
      <w:r>
        <w:rPr>
          <w:rFonts w:cs="NimbusRomNo9L-Regu" w:ascii="NimbusRomNo9L-Regu" w:hAnsi="NimbusRomNo9L-Regu"/>
        </w:rPr>
        <w:t>even ‘superpositions of wires’—and the formalism introduced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provides a natural framework for exploring them. (p. 6)</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[It is about EDWs, no more or less!!!!]</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b/>
          <w:b/>
          <w:sz w:val="28"/>
          <w:szCs w:val="28"/>
        </w:rPr>
      </w:pPr>
      <w:r>
        <w:rPr>
          <w:b/>
          <w:sz w:val="28"/>
          <w:szCs w:val="28"/>
        </w:rPr>
      </w:r>
    </w:p>
    <w:p>
      <w:pPr>
        <w:pStyle w:val="ListParagraph"/>
        <w:numPr>
          <w:ilvl w:val="0"/>
          <w:numId w:val="31"/>
        </w:numPr>
        <w:spacing w:before="0" w:after="0"/>
        <w:ind w:left="0" w:right="0" w:hanging="360"/>
        <w:contextualSpacing/>
        <w:rPr>
          <w:rFonts w:ascii="Times New Roman" w:hAnsi="Times New Roman" w:eastAsia="Calibri"/>
          <w:b/>
          <w:b/>
          <w:sz w:val="28"/>
          <w:szCs w:val="28"/>
        </w:rPr>
      </w:pPr>
      <w:r>
        <w:rPr>
          <w:rFonts w:eastAsia="Calibri" w:ascii="Times New Roman" w:hAnsi="Times New Roman"/>
          <w:b/>
          <w:sz w:val="28"/>
          <w:szCs w:val="28"/>
        </w:rPr>
        <w:t>UNBELIEVABLE similar ideas in (2018) Marcus Schmieke’s paper and my ideas (2002-2008)</w:t>
      </w:r>
    </w:p>
    <w:p>
      <w:pPr>
        <w:pStyle w:val="Normal"/>
        <w:spacing w:before="0" w:after="0"/>
        <w:contextualSpacing/>
        <w:jc w:val="left"/>
        <w:rPr>
          <w:rFonts w:eastAsia="CMR10"/>
          <w:b/>
          <w:b/>
          <w:sz w:val="28"/>
          <w:szCs w:val="28"/>
        </w:rPr>
      </w:pPr>
      <w:r>
        <w:rPr>
          <w:rFonts w:eastAsia="CMR10"/>
          <w:b/>
          <w:sz w:val="28"/>
          <w:szCs w:val="28"/>
        </w:rPr>
      </w:r>
    </w:p>
    <w:p>
      <w:pPr>
        <w:pStyle w:val="Normal"/>
        <w:spacing w:before="0" w:after="0"/>
        <w:contextualSpacing/>
        <w:jc w:val="left"/>
        <w:rPr>
          <w:rFonts w:ascii="Arial" w:hAnsi="Arial" w:eastAsia="Calibri" w:cs="Arial"/>
        </w:rPr>
      </w:pPr>
      <w:r>
        <w:rPr>
          <w:rFonts w:eastAsia="Calibri" w:cs="Arial" w:ascii="Arial" w:hAnsi="Arial"/>
        </w:rPr>
        <w:t>(2018) Marcus Schmieke, Kränzlin, 17 July 2018, Orthogonal Complementarity</w:t>
      </w:r>
    </w:p>
    <w:p>
      <w:pPr>
        <w:pStyle w:val="Normal"/>
        <w:spacing w:before="0" w:after="0"/>
        <w:contextualSpacing/>
        <w:jc w:val="left"/>
        <w:rPr>
          <w:rFonts w:ascii="Arial" w:hAnsi="Arial" w:eastAsia="Calibri" w:cs="Arial"/>
        </w:rPr>
      </w:pPr>
      <w:r>
        <w:rPr>
          <w:rFonts w:eastAsia="Calibri" w:cs="Arial" w:ascii="Arial" w:hAnsi="Arial"/>
        </w:rPr>
        <w:t>Transcendental philosophical foundation of the unity of physical and psychological</w:t>
      </w:r>
    </w:p>
    <w:p>
      <w:pPr>
        <w:pStyle w:val="Normal"/>
        <w:spacing w:before="0" w:after="0"/>
        <w:contextualSpacing/>
        <w:jc w:val="left"/>
        <w:rPr>
          <w:rFonts w:ascii="Arial" w:hAnsi="Arial" w:eastAsia="Calibri" w:cs="Arial"/>
        </w:rPr>
      </w:pPr>
      <w:r>
        <w:rPr>
          <w:rFonts w:eastAsia="Calibri" w:cs="Arial" w:ascii="Arial" w:hAnsi="Arial"/>
        </w:rPr>
        <w:t>basic concepts</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t>The Cartesian dualism of an objective res extensa and a</w:t>
      </w:r>
    </w:p>
    <w:p>
      <w:pPr>
        <w:pStyle w:val="Normal"/>
        <w:spacing w:before="0" w:after="0"/>
        <w:contextualSpacing/>
        <w:jc w:val="left"/>
        <w:rPr>
          <w:rFonts w:ascii="Arial" w:hAnsi="Arial" w:eastAsia="Calibri" w:cs="Arial"/>
        </w:rPr>
      </w:pPr>
      <w:r>
        <w:rPr>
          <w:rFonts w:eastAsia="Calibri" w:cs="Arial" w:ascii="Arial" w:hAnsi="Arial"/>
        </w:rPr>
        <w:t>subjective res cogitans is joined by the transcendental subject, whereby the res</w:t>
      </w:r>
    </w:p>
    <w:p>
      <w:pPr>
        <w:pStyle w:val="Normal"/>
        <w:spacing w:before="0" w:after="0"/>
        <w:contextualSpacing/>
        <w:jc w:val="left"/>
        <w:rPr>
          <w:rFonts w:ascii="Arial" w:hAnsi="Arial" w:eastAsia="Calibri" w:cs="Arial"/>
        </w:rPr>
      </w:pPr>
      <w:r>
        <w:rPr>
          <w:rFonts w:eastAsia="Calibri" w:cs="Arial" w:ascii="Arial" w:hAnsi="Arial"/>
        </w:rPr>
        <w:t>cogitans in the reflection light of the subject's execution becomes the objective</w:t>
      </w:r>
    </w:p>
    <w:p>
      <w:pPr>
        <w:pStyle w:val="Normal"/>
        <w:spacing w:before="0" w:after="0"/>
        <w:contextualSpacing/>
        <w:jc w:val="left"/>
        <w:rPr>
          <w:rFonts w:ascii="Arial" w:hAnsi="Arial" w:eastAsia="Calibri" w:cs="Arial"/>
        </w:rPr>
      </w:pPr>
      <w:r>
        <w:rPr>
          <w:rFonts w:eastAsia="Calibri" w:cs="Arial" w:ascii="Arial" w:hAnsi="Arial"/>
        </w:rPr>
        <w:t>content of consciousness of the psyche. The psyche experiences reality in a</w:t>
      </w:r>
    </w:p>
    <w:p>
      <w:pPr>
        <w:pStyle w:val="Normal"/>
        <w:spacing w:before="0" w:after="0"/>
        <w:contextualSpacing/>
        <w:jc w:val="left"/>
        <w:rPr>
          <w:rFonts w:ascii="Arial" w:hAnsi="Arial" w:eastAsia="Calibri" w:cs="Arial"/>
        </w:rPr>
      </w:pPr>
      <w:r>
        <w:rPr>
          <w:rFonts w:eastAsia="Calibri" w:cs="Arial" w:ascii="Arial" w:hAnsi="Arial"/>
        </w:rPr>
        <w:t>complementarity of material and spiritual contents, whereby in the two</w:t>
      </w:r>
    </w:p>
    <w:p>
      <w:pPr>
        <w:pStyle w:val="Normal"/>
        <w:spacing w:before="0" w:after="0"/>
        <w:contextualSpacing/>
        <w:jc w:val="left"/>
        <w:rPr>
          <w:rFonts w:ascii="Arial" w:hAnsi="Arial" w:eastAsia="Calibri" w:cs="Arial"/>
        </w:rPr>
      </w:pPr>
      <w:r>
        <w:rPr>
          <w:rFonts w:eastAsia="Calibri" w:cs="Arial" w:ascii="Arial" w:hAnsi="Arial"/>
        </w:rPr>
        <w:t>complementary limit values the material concept of substance (mass) and purely</w:t>
      </w:r>
    </w:p>
    <w:p>
      <w:pPr>
        <w:pStyle w:val="Normal"/>
        <w:spacing w:before="0" w:after="0"/>
        <w:contextualSpacing/>
        <w:jc w:val="left"/>
        <w:rPr>
          <w:rFonts w:ascii="Arial" w:hAnsi="Arial" w:eastAsia="Calibri" w:cs="Arial"/>
        </w:rPr>
      </w:pPr>
      <w:r>
        <w:rPr>
          <w:rFonts w:eastAsia="Calibri" w:cs="Arial" w:ascii="Arial" w:hAnsi="Arial"/>
        </w:rPr>
        <w:t>spiritual contents of knowledge, such as mathematical laws, stand in opposition as</w:t>
      </w:r>
    </w:p>
    <w:p>
      <w:pPr>
        <w:pStyle w:val="Normal"/>
        <w:spacing w:before="0" w:after="0"/>
        <w:contextualSpacing/>
        <w:jc w:val="left"/>
        <w:rPr>
          <w:rFonts w:ascii="Arial" w:hAnsi="Arial" w:eastAsia="Calibri" w:cs="Arial"/>
        </w:rPr>
      </w:pPr>
      <w:r>
        <w:rPr>
          <w:rFonts w:eastAsia="Calibri" w:cs="Arial" w:ascii="Arial" w:hAnsi="Arial"/>
        </w:rPr>
        <w:t>extremes. All concrete mental contents have complementary material and spiritual</w:t>
      </w:r>
    </w:p>
    <w:p>
      <w:pPr>
        <w:pStyle w:val="Normal"/>
        <w:spacing w:before="0" w:after="0"/>
        <w:contextualSpacing/>
        <w:jc w:val="left"/>
        <w:rPr>
          <w:rFonts w:ascii="Arial" w:hAnsi="Arial" w:eastAsia="Calibri" w:cs="Arial"/>
        </w:rPr>
      </w:pPr>
      <w:r>
        <w:rPr>
          <w:rFonts w:eastAsia="Calibri" w:cs="Arial" w:ascii="Arial" w:hAnsi="Arial"/>
        </w:rPr>
        <w:t>qualities, which justifies the concept of complementarity in this context.</w:t>
      </w:r>
    </w:p>
    <w:p>
      <w:pPr>
        <w:pStyle w:val="Normal"/>
        <w:spacing w:before="0" w:after="0"/>
        <w:contextualSpacing/>
        <w:jc w:val="left"/>
        <w:rPr>
          <w:rFonts w:ascii="Arial" w:hAnsi="Arial" w:eastAsia="Calibri" w:cs="Arial"/>
        </w:rPr>
      </w:pPr>
      <w:r>
        <w:rPr>
          <w:rFonts w:eastAsia="Calibri" w:cs="Arial" w:ascii="Arial" w:hAnsi="Arial"/>
        </w:rPr>
        <w:t>Complementarity is understood here in analogy to the term coined by Niels Bohr. He</w:t>
      </w:r>
    </w:p>
    <w:p>
      <w:pPr>
        <w:pStyle w:val="Normal"/>
        <w:spacing w:before="0" w:after="0"/>
        <w:contextualSpacing/>
        <w:jc w:val="left"/>
        <w:rPr>
          <w:rFonts w:ascii="Arial" w:hAnsi="Arial" w:eastAsia="Calibri" w:cs="Arial"/>
        </w:rPr>
      </w:pPr>
      <w:r>
        <w:rPr>
          <w:rFonts w:eastAsia="Calibri" w:cs="Arial" w:ascii="Arial" w:hAnsi="Arial"/>
        </w:rPr>
        <w:t>describes pairs of terms or characteristics which represent mutually exclusive</w:t>
      </w:r>
    </w:p>
    <w:p>
      <w:pPr>
        <w:pStyle w:val="Normal"/>
        <w:spacing w:before="0" w:after="0"/>
        <w:contextualSpacing/>
        <w:jc w:val="left"/>
        <w:rPr>
          <w:rFonts w:ascii="Arial" w:hAnsi="Arial" w:eastAsia="Calibri" w:cs="Arial"/>
        </w:rPr>
      </w:pPr>
      <w:r>
        <w:rPr>
          <w:rFonts w:eastAsia="Calibri" w:cs="Arial" w:ascii="Arial" w:hAnsi="Arial"/>
        </w:rPr>
        <w:t>perspectives on a system, but which are necessary for a complete description. They</w:t>
      </w:r>
    </w:p>
    <w:p>
      <w:pPr>
        <w:pStyle w:val="Normal"/>
        <w:spacing w:before="0" w:after="0"/>
        <w:contextualSpacing/>
        <w:jc w:val="left"/>
        <w:rPr/>
      </w:pPr>
      <w:r>
        <w:rPr>
          <w:rFonts w:eastAsia="Calibri" w:cs="Arial" w:ascii="Arial" w:hAnsi="Arial"/>
        </w:rPr>
        <w:t>are characterized by maximum possible incompatibility in the respective context</w:t>
      </w:r>
      <w:r>
        <w:rPr>
          <w:rFonts w:eastAsia="Calibri" w:cs="Arial" w:ascii="Arial" w:hAnsi="Arial"/>
          <w:sz w:val="16"/>
          <w:szCs w:val="16"/>
        </w:rPr>
        <w:t>ii</w:t>
      </w:r>
      <w:r>
        <w:rPr>
          <w:rFonts w:eastAsia="Calibri" w:cs="Arial" w:ascii="Arial" w:hAnsi="Arial"/>
        </w:rPr>
        <w:t>. In</w:t>
      </w:r>
    </w:p>
    <w:p>
      <w:pPr>
        <w:pStyle w:val="Normal"/>
        <w:spacing w:before="0" w:after="0"/>
        <w:contextualSpacing/>
        <w:jc w:val="left"/>
        <w:rPr>
          <w:rFonts w:ascii="Arial" w:hAnsi="Arial" w:eastAsia="Calibri" w:cs="Arial"/>
        </w:rPr>
      </w:pPr>
      <w:r>
        <w:rPr>
          <w:rFonts w:eastAsia="Calibri" w:cs="Arial" w:ascii="Arial" w:hAnsi="Arial"/>
        </w:rPr>
        <w:t>this work, complementarity is used both in the strictly scientific quantum-theoretical</w:t>
      </w:r>
    </w:p>
    <w:p>
      <w:pPr>
        <w:pStyle w:val="Normal"/>
        <w:spacing w:before="0" w:after="0"/>
        <w:contextualSpacing/>
        <w:jc w:val="left"/>
        <w:rPr>
          <w:rFonts w:ascii="Arial" w:hAnsi="Arial" w:eastAsia="Calibri" w:cs="Arial"/>
        </w:rPr>
      </w:pPr>
      <w:r>
        <w:rPr>
          <w:rFonts w:eastAsia="Calibri" w:cs="Arial" w:ascii="Arial" w:hAnsi="Arial"/>
        </w:rPr>
        <w:t>and in this analogous sense, since a key to the connection of physical and</w:t>
      </w:r>
    </w:p>
    <w:p>
      <w:pPr>
        <w:pStyle w:val="Normal"/>
        <w:spacing w:before="0" w:after="0"/>
        <w:contextualSpacing/>
        <w:jc w:val="left"/>
        <w:rPr/>
      </w:pPr>
      <w:r>
        <w:rPr>
          <w:rFonts w:eastAsia="Calibri" w:cs="Arial" w:ascii="Arial" w:hAnsi="Arial"/>
        </w:rPr>
        <w:t>psychological knowledge is presumed in this term</w:t>
      </w:r>
      <w:r>
        <w:rPr>
          <w:rFonts w:eastAsia="Calibri" w:cs="Arial" w:ascii="Arial" w:hAnsi="Arial"/>
          <w:sz w:val="16"/>
          <w:szCs w:val="16"/>
        </w:rPr>
        <w:t>iii</w:t>
      </w:r>
      <w:r>
        <w:rPr>
          <w:rFonts w:eastAsia="Calibri" w:cs="Arial" w:ascii="Arial" w:hAnsi="Arial"/>
        </w:rPr>
        <w:t>.</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color w:val="FF0000"/>
        </w:rPr>
      </w:pPr>
      <w:r>
        <w:rPr>
          <w:rFonts w:eastAsia="Calibri" w:cs="Arial" w:ascii="Arial" w:hAnsi="Arial"/>
          <w:color w:val="FF0000"/>
        </w:rPr>
        <w:t>[Exactly such ideas, also Bohr’s ideas, are mentioned in my works!!!! See my book 2008!]</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rPr>
      </w:pPr>
      <w:r>
        <w:rPr>
          <w:rFonts w:eastAsia="Calibri" w:cs="Arial" w:ascii="Arial" w:hAnsi="Arial"/>
        </w:rPr>
        <w:t>According to these considerations, in both physics and psychology it is necessary to</w:t>
      </w:r>
    </w:p>
    <w:p>
      <w:pPr>
        <w:pStyle w:val="Normal"/>
        <w:spacing w:before="0" w:after="0"/>
        <w:contextualSpacing/>
        <w:jc w:val="left"/>
        <w:rPr>
          <w:rFonts w:ascii="Arial" w:hAnsi="Arial" w:eastAsia="Calibri" w:cs="Arial"/>
        </w:rPr>
      </w:pPr>
      <w:r>
        <w:rPr>
          <w:rFonts w:eastAsia="Calibri" w:cs="Arial" w:ascii="Arial" w:hAnsi="Arial"/>
        </w:rPr>
        <w:t>describe both the objective and the subjective side of reality with complementary</w:t>
      </w:r>
    </w:p>
    <w:p>
      <w:pPr>
        <w:pStyle w:val="Normal"/>
        <w:spacing w:before="0" w:after="0"/>
        <w:contextualSpacing/>
        <w:jc w:val="left"/>
        <w:rPr>
          <w:rFonts w:ascii="Arial" w:hAnsi="Arial" w:eastAsia="Calibri" w:cs="Arial"/>
        </w:rPr>
      </w:pPr>
      <w:r>
        <w:rPr>
          <w:rFonts w:eastAsia="Calibri" w:cs="Arial" w:ascii="Arial" w:hAnsi="Arial"/>
        </w:rPr>
        <w:t>concepts, whereby the pure transcendental subject owed to the dualism of</w:t>
      </w:r>
    </w:p>
    <w:p>
      <w:pPr>
        <w:pStyle w:val="Normal"/>
        <w:spacing w:before="0" w:after="0"/>
        <w:contextualSpacing/>
        <w:jc w:val="left"/>
        <w:rPr>
          <w:rFonts w:ascii="Arial" w:hAnsi="Arial" w:eastAsia="Calibri" w:cs="Arial"/>
        </w:rPr>
      </w:pPr>
      <w:r>
        <w:rPr>
          <w:rFonts w:eastAsia="Calibri" w:cs="Arial" w:ascii="Arial" w:hAnsi="Arial"/>
        </w:rPr>
        <w:t>objectification remains in the background as an excluded third. In both disciplines,</w:t>
      </w:r>
    </w:p>
    <w:p>
      <w:pPr>
        <w:pStyle w:val="Normal"/>
        <w:spacing w:before="0" w:after="0"/>
        <w:contextualSpacing/>
        <w:jc w:val="left"/>
        <w:rPr>
          <w:rFonts w:ascii="Arial" w:hAnsi="Arial" w:eastAsia="Calibri" w:cs="Arial"/>
        </w:rPr>
      </w:pPr>
      <w:r>
        <w:rPr>
          <w:rFonts w:eastAsia="Calibri" w:cs="Arial" w:ascii="Arial" w:hAnsi="Arial"/>
        </w:rPr>
        <w:t>the objective side is represented by the complementarity of mind and matter, while</w:t>
      </w:r>
    </w:p>
    <w:p>
      <w:pPr>
        <w:pStyle w:val="Normal"/>
        <w:spacing w:before="0" w:after="0"/>
        <w:contextualSpacing/>
        <w:jc w:val="left"/>
        <w:rPr>
          <w:rFonts w:ascii="Arial" w:hAnsi="Arial" w:eastAsia="Calibri" w:cs="Arial"/>
        </w:rPr>
      </w:pPr>
      <w:r>
        <w:rPr>
          <w:rFonts w:eastAsia="Calibri" w:cs="Arial" w:ascii="Arial" w:hAnsi="Arial"/>
        </w:rPr>
        <w:t>the subjective side is characterized by the pairs of terms factually-possible and</w:t>
      </w:r>
    </w:p>
    <w:p>
      <w:pPr>
        <w:pStyle w:val="Normal"/>
        <w:spacing w:before="0" w:after="0"/>
        <w:contextualSpacing/>
        <w:jc w:val="left"/>
        <w:rPr>
          <w:rFonts w:ascii="Arial" w:hAnsi="Arial" w:eastAsia="Calibri" w:cs="Arial"/>
        </w:rPr>
      </w:pPr>
      <w:r>
        <w:rPr>
          <w:rFonts w:eastAsia="Calibri" w:cs="Arial" w:ascii="Arial" w:hAnsi="Arial"/>
        </w:rPr>
        <w:t>consciously-unconscious.</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t>Orthogonal Complementarity</w:t>
      </w:r>
    </w:p>
    <w:p>
      <w:pPr>
        <w:pStyle w:val="Normal"/>
        <w:spacing w:before="0" w:after="0"/>
        <w:contextualSpacing/>
        <w:jc w:val="left"/>
        <w:rPr>
          <w:rFonts w:ascii="Arial" w:hAnsi="Arial" w:eastAsia="Calibri" w:cs="Arial"/>
        </w:rPr>
      </w:pPr>
      <w:r>
        <w:rPr>
          <w:rFonts w:eastAsia="Calibri" w:cs="Arial" w:ascii="Arial" w:hAnsi="Arial"/>
        </w:rPr>
        <w:t>An orthogonal complementarity consists of two complementary pairs of</w:t>
      </w:r>
    </w:p>
    <w:p>
      <w:pPr>
        <w:pStyle w:val="Normal"/>
        <w:spacing w:before="0" w:after="0"/>
        <w:contextualSpacing/>
        <w:jc w:val="left"/>
        <w:rPr>
          <w:rFonts w:ascii="Arial" w:hAnsi="Arial" w:eastAsia="Calibri" w:cs="Arial"/>
        </w:rPr>
      </w:pPr>
      <w:r>
        <w:rPr>
          <w:rFonts w:eastAsia="Calibri" w:cs="Arial" w:ascii="Arial" w:hAnsi="Arial"/>
        </w:rPr>
        <w:t>terminologies. Since the involved complementarities already represent products of</w:t>
      </w:r>
    </w:p>
    <w:p>
      <w:pPr>
        <w:pStyle w:val="Normal"/>
        <w:spacing w:before="0" w:after="0"/>
        <w:contextualSpacing/>
        <w:jc w:val="left"/>
        <w:rPr>
          <w:rFonts w:ascii="Arial" w:hAnsi="Arial" w:eastAsia="Calibri" w:cs="Arial"/>
        </w:rPr>
      </w:pPr>
      <w:r>
        <w:rPr>
          <w:rFonts w:eastAsia="Calibri" w:cs="Arial" w:ascii="Arial" w:hAnsi="Arial"/>
        </w:rPr>
        <w:t>reflexive relations, a double complementarity is a double reflection, which is</w:t>
      </w:r>
    </w:p>
    <w:p>
      <w:pPr>
        <w:pStyle w:val="Normal"/>
        <w:spacing w:before="0" w:after="0"/>
        <w:contextualSpacing/>
        <w:jc w:val="left"/>
        <w:rPr>
          <w:rFonts w:ascii="Arial" w:hAnsi="Arial" w:eastAsia="Calibri" w:cs="Arial"/>
        </w:rPr>
      </w:pPr>
      <w:r>
        <w:rPr>
          <w:rFonts w:eastAsia="Calibri" w:cs="Arial" w:ascii="Arial" w:hAnsi="Arial"/>
        </w:rPr>
        <w:t>analogous to the self-reflection of the transcendental subject. Such an orthogonal</w:t>
      </w:r>
    </w:p>
    <w:p>
      <w:pPr>
        <w:pStyle w:val="Normal"/>
        <w:spacing w:before="0" w:after="0"/>
        <w:contextualSpacing/>
        <w:jc w:val="left"/>
        <w:rPr>
          <w:rFonts w:ascii="Arial" w:hAnsi="Arial" w:eastAsia="Calibri" w:cs="Arial"/>
        </w:rPr>
      </w:pPr>
      <w:r>
        <w:rPr>
          <w:rFonts w:eastAsia="Calibri" w:cs="Arial" w:ascii="Arial" w:hAnsi="Arial"/>
        </w:rPr>
        <w:t>complementarity could form the basis of the structural unity of physics, psychology</w:t>
      </w:r>
    </w:p>
    <w:p>
      <w:pPr>
        <w:pStyle w:val="Normal"/>
        <w:spacing w:before="0" w:after="0"/>
        <w:contextualSpacing/>
        <w:jc w:val="left"/>
        <w:rPr>
          <w:rFonts w:ascii="Arial" w:hAnsi="Arial" w:eastAsia="Calibri" w:cs="Arial"/>
        </w:rPr>
      </w:pPr>
      <w:r>
        <w:rPr>
          <w:rFonts w:eastAsia="Calibri" w:cs="Arial" w:ascii="Arial" w:hAnsi="Arial"/>
        </w:rPr>
        <w:t>and philosophy. The property of orthogonality indicates that the one complementary</w:t>
      </w:r>
    </w:p>
    <w:p>
      <w:pPr>
        <w:pStyle w:val="Normal"/>
        <w:spacing w:before="0" w:after="0"/>
        <w:contextualSpacing/>
        <w:jc w:val="left"/>
        <w:rPr>
          <w:rFonts w:ascii="Arial" w:hAnsi="Arial" w:eastAsia="Calibri" w:cs="Arial"/>
        </w:rPr>
      </w:pPr>
      <w:r>
        <w:rPr>
          <w:rFonts w:eastAsia="Calibri" w:cs="Arial" w:ascii="Arial" w:hAnsi="Arial"/>
        </w:rPr>
        <w:t>pair is already complete in the sense of a bivalent logic and the tertium non datur that</w:t>
      </w:r>
    </w:p>
    <w:p>
      <w:pPr>
        <w:pStyle w:val="Normal"/>
        <w:spacing w:before="0" w:after="0"/>
        <w:contextualSpacing/>
        <w:jc w:val="left"/>
        <w:rPr>
          <w:rFonts w:ascii="Arial" w:hAnsi="Arial" w:eastAsia="Calibri" w:cs="Arial"/>
        </w:rPr>
      </w:pPr>
      <w:r>
        <w:rPr>
          <w:rFonts w:eastAsia="Calibri" w:cs="Arial" w:ascii="Arial" w:hAnsi="Arial"/>
        </w:rPr>
        <w:t>is implied therein, and contains the other complementarity as its absolute negation,</w:t>
      </w:r>
    </w:p>
    <w:p>
      <w:pPr>
        <w:pStyle w:val="Normal"/>
        <w:spacing w:before="0" w:after="0"/>
        <w:contextualSpacing/>
        <w:jc w:val="left"/>
        <w:rPr/>
      </w:pPr>
      <w:r>
        <w:rPr>
          <w:rFonts w:eastAsia="Calibri" w:cs="Arial" w:ascii="Arial" w:hAnsi="Arial"/>
        </w:rPr>
        <w:t>i.e. reflection.</w:t>
      </w:r>
      <w:r>
        <w:rPr>
          <w:rFonts w:eastAsia="Calibri" w:cs="Arial" w:ascii="Arial" w:hAnsi="Arial"/>
          <w:sz w:val="16"/>
          <w:szCs w:val="16"/>
        </w:rPr>
        <w:t xml:space="preserve">x </w:t>
      </w:r>
    </w:p>
    <w:p>
      <w:pPr>
        <w:pStyle w:val="Normal"/>
        <w:spacing w:before="0" w:after="0"/>
        <w:contextualSpacing/>
        <w:jc w:val="left"/>
        <w:rPr>
          <w:rFonts w:ascii="Arial" w:hAnsi="Arial" w:eastAsia="Calibri" w:cs="Arial"/>
        </w:rPr>
      </w:pPr>
      <w:r>
        <w:rPr>
          <w:rFonts w:eastAsia="Calibri" w:cs="Arial" w:ascii="Arial" w:hAnsi="Arial"/>
        </w:rPr>
        <w:t>The material-spirit duality thus needs to be supplemented by the</w:t>
      </w:r>
    </w:p>
    <w:p>
      <w:pPr>
        <w:pStyle w:val="Normal"/>
        <w:spacing w:before="0" w:after="0"/>
        <w:contextualSpacing/>
        <w:jc w:val="left"/>
        <w:rPr>
          <w:rFonts w:ascii="Arial" w:hAnsi="Arial" w:eastAsia="Calibri" w:cs="Arial"/>
        </w:rPr>
      </w:pPr>
      <w:r>
        <w:rPr>
          <w:rFonts w:eastAsia="Calibri" w:cs="Arial" w:ascii="Arial" w:hAnsi="Arial"/>
        </w:rPr>
        <w:t>perspective of the conscious unconscious and vice versa in order to describe the</w:t>
      </w:r>
    </w:p>
    <w:p>
      <w:pPr>
        <w:pStyle w:val="Normal"/>
        <w:spacing w:before="0" w:after="0"/>
        <w:contextualSpacing/>
        <w:jc w:val="left"/>
        <w:rPr>
          <w:rFonts w:ascii="Arial" w:hAnsi="Arial" w:eastAsia="Calibri" w:cs="Arial"/>
        </w:rPr>
      </w:pPr>
      <w:r>
        <w:rPr>
          <w:rFonts w:eastAsia="Calibri" w:cs="Arial" w:ascii="Arial" w:hAnsi="Arial"/>
        </w:rPr>
        <w:t>underlying introscendent origin of self-reflection. In quantum physics, the property of</w:t>
      </w:r>
    </w:p>
    <w:p>
      <w:pPr>
        <w:pStyle w:val="Normal"/>
        <w:spacing w:before="0" w:after="0"/>
        <w:contextualSpacing/>
        <w:jc w:val="left"/>
        <w:rPr>
          <w:rFonts w:ascii="Arial" w:hAnsi="Arial" w:eastAsia="Calibri" w:cs="Arial"/>
        </w:rPr>
      </w:pPr>
      <w:r>
        <w:rPr>
          <w:rFonts w:eastAsia="Calibri" w:cs="Arial" w:ascii="Arial" w:hAnsi="Arial"/>
        </w:rPr>
        <w:t>complementarity of non-interchangeable observables such as location and</w:t>
      </w:r>
    </w:p>
    <w:p>
      <w:pPr>
        <w:pStyle w:val="Normal"/>
        <w:spacing w:before="0" w:after="0"/>
        <w:contextualSpacing/>
        <w:jc w:val="left"/>
        <w:rPr>
          <w:rFonts w:ascii="Arial" w:hAnsi="Arial" w:eastAsia="Calibri" w:cs="Arial"/>
        </w:rPr>
      </w:pPr>
      <w:r>
        <w:rPr>
          <w:rFonts w:eastAsia="Calibri" w:cs="Arial" w:ascii="Arial" w:hAnsi="Arial"/>
        </w:rPr>
        <w:t>momentum can be related to the need to represent the wave function in the complex</w:t>
      </w:r>
    </w:p>
    <w:p>
      <w:pPr>
        <w:pStyle w:val="Normal"/>
        <w:spacing w:before="0" w:after="0"/>
        <w:contextualSpacing/>
        <w:jc w:val="left"/>
        <w:rPr>
          <w:rFonts w:ascii="Arial" w:hAnsi="Arial" w:eastAsia="Calibri" w:cs="Arial"/>
        </w:rPr>
      </w:pPr>
      <w:r>
        <w:rPr>
          <w:rFonts w:eastAsia="Calibri" w:cs="Arial" w:ascii="Arial" w:hAnsi="Arial"/>
        </w:rPr>
        <w:t>number space. The property of complementarity corresponds in some respects to the</w:t>
      </w:r>
    </w:p>
    <w:p>
      <w:pPr>
        <w:pStyle w:val="Normal"/>
        <w:spacing w:before="0" w:after="0"/>
        <w:contextualSpacing/>
        <w:jc w:val="left"/>
        <w:rPr>
          <w:rFonts w:ascii="Arial" w:hAnsi="Arial" w:eastAsia="Calibri" w:cs="Arial"/>
        </w:rPr>
      </w:pPr>
      <w:r>
        <w:rPr>
          <w:rFonts w:eastAsia="Calibri" w:cs="Arial" w:ascii="Arial" w:hAnsi="Arial"/>
        </w:rPr>
        <w:t>representation by complex numbers, since only the special calculus properties of</w:t>
      </w:r>
    </w:p>
    <w:p>
      <w:pPr>
        <w:pStyle w:val="Normal"/>
        <w:spacing w:before="0" w:after="0"/>
        <w:contextualSpacing/>
        <w:jc w:val="left"/>
        <w:rPr/>
      </w:pPr>
      <w:r>
        <w:rPr>
          <w:rFonts w:eastAsia="Calibri" w:cs="Arial" w:ascii="Arial" w:hAnsi="Arial"/>
        </w:rPr>
        <w:t>complex numbers enable the common definition of complementary property spaces.</w:t>
      </w:r>
      <w:r>
        <w:rPr>
          <w:rFonts w:eastAsia="Calibri" w:cs="Arial" w:ascii="Arial" w:hAnsi="Arial"/>
          <w:sz w:val="16"/>
          <w:szCs w:val="16"/>
        </w:rPr>
        <w:t>xi</w:t>
      </w:r>
    </w:p>
    <w:p>
      <w:pPr>
        <w:pStyle w:val="Normal"/>
        <w:spacing w:before="0" w:after="0"/>
        <w:contextualSpacing/>
        <w:jc w:val="left"/>
        <w:rPr>
          <w:rFonts w:ascii="Arial" w:hAnsi="Arial" w:eastAsia="Calibri" w:cs="Arial"/>
          <w:sz w:val="16"/>
          <w:szCs w:val="16"/>
        </w:rPr>
      </w:pPr>
      <w:r>
        <w:rPr>
          <w:rFonts w:eastAsia="Calibri" w:cs="Arial" w:ascii="Arial" w:hAnsi="Arial"/>
          <w:sz w:val="16"/>
          <w:szCs w:val="16"/>
        </w:rPr>
      </w:r>
    </w:p>
    <w:p>
      <w:pPr>
        <w:pStyle w:val="Normal"/>
        <w:spacing w:before="0" w:after="0"/>
        <w:contextualSpacing/>
        <w:jc w:val="left"/>
        <w:rPr>
          <w:rFonts w:ascii="Arial" w:hAnsi="Arial" w:eastAsia="Calibri" w:cs="Arial"/>
          <w:color w:val="FF0000"/>
        </w:rPr>
      </w:pPr>
      <w:r>
        <w:rPr>
          <w:rFonts w:eastAsia="Calibri" w:cs="Arial" w:ascii="Arial" w:hAnsi="Arial"/>
          <w:color w:val="FF0000"/>
        </w:rPr>
        <w:t>[obviously, these paragraphs mirror EXACTLY my EDWs!!!!!]</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rPr>
      </w:pPr>
      <w:r>
        <w:rPr>
          <w:rFonts w:eastAsia="Calibri" w:cs="Arial" w:ascii="Arial" w:hAnsi="Arial"/>
        </w:rPr>
        <w:t>Furthermore, although the position of the "cut" between consciousness and</w:t>
      </w:r>
    </w:p>
    <w:p>
      <w:pPr>
        <w:pStyle w:val="Normal"/>
        <w:spacing w:before="0" w:after="0"/>
        <w:contextualSpacing/>
        <w:jc w:val="left"/>
        <w:rPr>
          <w:rFonts w:ascii="Arial" w:hAnsi="Arial" w:eastAsia="Calibri" w:cs="Arial"/>
        </w:rPr>
      </w:pPr>
      <w:r>
        <w:rPr>
          <w:rFonts w:eastAsia="Calibri" w:cs="Arial" w:ascii="Arial" w:hAnsi="Arial"/>
        </w:rPr>
        <w:t>unconscious (at least to some extent) is left to the free choice of the "psychological</w:t>
      </w:r>
    </w:p>
    <w:p>
      <w:pPr>
        <w:pStyle w:val="Normal"/>
        <w:spacing w:before="0" w:after="0"/>
        <w:contextualSpacing/>
        <w:jc w:val="left"/>
        <w:rPr>
          <w:rFonts w:ascii="Arial" w:hAnsi="Arial" w:eastAsia="Calibri" w:cs="Arial"/>
        </w:rPr>
      </w:pPr>
      <w:r>
        <w:rPr>
          <w:rFonts w:eastAsia="Calibri" w:cs="Arial" w:ascii="Arial" w:hAnsi="Arial"/>
        </w:rPr>
        <w:t>experimenter", the existence of this "cut" remains an inevitable necessity.</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color w:val="FF0000"/>
        </w:rPr>
      </w:pPr>
      <w:r>
        <w:rPr>
          <w:rFonts w:eastAsia="Calibri" w:cs="Arial" w:ascii="Arial" w:hAnsi="Arial"/>
          <w:color w:val="FF0000"/>
        </w:rPr>
        <w:t>[also this idea appear in my work, but based on Baars’s work from 1988!]</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rPr>
      </w:pPr>
      <w:r>
        <w:rPr>
          <w:rFonts w:eastAsia="Calibri" w:cs="Arial" w:ascii="Arial" w:hAnsi="Arial"/>
        </w:rPr>
        <w:t>The quaternity to be formed from Pauli's suggestion would thus consist of the poles</w:t>
      </w:r>
    </w:p>
    <w:p>
      <w:pPr>
        <w:pStyle w:val="Normal"/>
        <w:spacing w:before="0" w:after="0"/>
        <w:contextualSpacing/>
        <w:jc w:val="left"/>
        <w:rPr>
          <w:rFonts w:ascii="Arial" w:hAnsi="Arial" w:eastAsia="Calibri" w:cs="Arial"/>
        </w:rPr>
      </w:pPr>
      <w:r>
        <w:rPr>
          <w:rFonts w:eastAsia="Calibri" w:cs="Arial" w:ascii="Arial" w:hAnsi="Arial"/>
        </w:rPr>
        <w:t>observer - observed - consciousness - unconscious. This shows convincingly how</w:t>
      </w:r>
    </w:p>
    <w:p>
      <w:pPr>
        <w:pStyle w:val="Normal"/>
        <w:spacing w:before="0" w:after="0"/>
        <w:contextualSpacing/>
        <w:jc w:val="left"/>
        <w:rPr>
          <w:rFonts w:ascii="Arial" w:hAnsi="Arial" w:eastAsia="Calibri" w:cs="Arial"/>
        </w:rPr>
      </w:pPr>
      <w:r>
        <w:rPr>
          <w:rFonts w:eastAsia="Calibri" w:cs="Arial" w:ascii="Arial" w:hAnsi="Arial"/>
        </w:rPr>
        <w:t>Pauli saw the quaternity as a reflection of the complementarities of physics and</w:t>
      </w:r>
    </w:p>
    <w:p>
      <w:pPr>
        <w:pStyle w:val="Normal"/>
        <w:spacing w:before="0" w:after="0"/>
        <w:contextualSpacing/>
        <w:jc w:val="left"/>
        <w:rPr>
          <w:rFonts w:ascii="Arial" w:hAnsi="Arial" w:eastAsia="Calibri" w:cs="Arial"/>
        </w:rPr>
      </w:pPr>
      <w:r>
        <w:rPr>
          <w:rFonts w:eastAsia="Calibri" w:cs="Arial" w:ascii="Arial" w:hAnsi="Arial"/>
        </w:rPr>
        <w:t>psychology in the other discipline, while the quaternity on which this article is based</w:t>
      </w:r>
    </w:p>
    <w:p>
      <w:pPr>
        <w:pStyle w:val="Normal"/>
        <w:spacing w:before="0" w:after="0"/>
        <w:contextualSpacing/>
        <w:jc w:val="left"/>
        <w:rPr>
          <w:rFonts w:ascii="Arial" w:hAnsi="Arial" w:eastAsia="Calibri" w:cs="Arial"/>
        </w:rPr>
      </w:pPr>
      <w:r>
        <w:rPr>
          <w:rFonts w:eastAsia="Calibri" w:cs="Arial" w:ascii="Arial" w:hAnsi="Arial"/>
        </w:rPr>
        <w:t>consists of two complementary complementarities which can be found in each of the</w:t>
      </w:r>
    </w:p>
    <w:p>
      <w:pPr>
        <w:pStyle w:val="Normal"/>
        <w:spacing w:before="0" w:after="0"/>
        <w:contextualSpacing/>
        <w:jc w:val="left"/>
        <w:rPr>
          <w:rFonts w:ascii="Arial" w:hAnsi="Arial" w:eastAsia="Calibri" w:cs="Arial"/>
        </w:rPr>
      </w:pPr>
      <w:r>
        <w:rPr>
          <w:rFonts w:eastAsia="Calibri" w:cs="Arial" w:ascii="Arial" w:hAnsi="Arial"/>
        </w:rPr>
        <w:t>disciplines. Pauli's above-mentioned assumption that a common quaternity of physics</w:t>
      </w:r>
    </w:p>
    <w:p>
      <w:pPr>
        <w:pStyle w:val="Normal"/>
        <w:spacing w:before="0" w:after="0"/>
        <w:contextualSpacing/>
        <w:jc w:val="left"/>
        <w:rPr>
          <w:rFonts w:ascii="Arial" w:hAnsi="Arial" w:eastAsia="Calibri" w:cs="Arial"/>
        </w:rPr>
      </w:pPr>
      <w:r>
        <w:rPr>
          <w:rFonts w:eastAsia="Calibri" w:cs="Arial" w:ascii="Arial" w:hAnsi="Arial"/>
        </w:rPr>
        <w:t>and psychology is possible in certain phenomena seems to be realized in this</w:t>
      </w:r>
    </w:p>
    <w:p>
      <w:pPr>
        <w:pStyle w:val="Normal"/>
        <w:spacing w:before="0" w:after="0"/>
        <w:contextualSpacing/>
        <w:jc w:val="left"/>
        <w:rPr>
          <w:rFonts w:ascii="Arial" w:hAnsi="Arial" w:eastAsia="Calibri" w:cs="Arial"/>
        </w:rPr>
      </w:pPr>
      <w:r>
        <w:rPr>
          <w:rFonts w:eastAsia="Calibri" w:cs="Arial" w:ascii="Arial" w:hAnsi="Arial"/>
        </w:rPr>
        <w:t>approach, since matter and mind are concepts of both disciplines, while the</w:t>
      </w:r>
    </w:p>
    <w:p>
      <w:pPr>
        <w:pStyle w:val="Normal"/>
        <w:spacing w:before="0" w:after="0"/>
        <w:contextualSpacing/>
        <w:jc w:val="left"/>
        <w:rPr>
          <w:rFonts w:ascii="Arial" w:hAnsi="Arial" w:eastAsia="Calibri" w:cs="Arial"/>
        </w:rPr>
      </w:pPr>
      <w:r>
        <w:rPr>
          <w:rFonts w:eastAsia="Calibri" w:cs="Arial" w:ascii="Arial" w:hAnsi="Arial"/>
        </w:rPr>
        <w:t>subjective axis can be formulated in psycho-physical terms. Human experience as a</w:t>
      </w:r>
    </w:p>
    <w:p>
      <w:pPr>
        <w:pStyle w:val="Normal"/>
        <w:spacing w:before="0" w:after="0"/>
        <w:contextualSpacing/>
        <w:jc w:val="left"/>
        <w:rPr>
          <w:rFonts w:ascii="Arial" w:hAnsi="Arial" w:eastAsia="Calibri" w:cs="Arial"/>
        </w:rPr>
      </w:pPr>
      <w:r>
        <w:rPr>
          <w:rFonts w:eastAsia="Calibri" w:cs="Arial" w:ascii="Arial" w:hAnsi="Arial"/>
        </w:rPr>
        <w:t>whole thus, seems to be such a phenomenon to be described by a psycho-physical</w:t>
      </w:r>
    </w:p>
    <w:p>
      <w:pPr>
        <w:pStyle w:val="Normal"/>
        <w:spacing w:before="0" w:after="0"/>
        <w:contextualSpacing/>
        <w:jc w:val="left"/>
        <w:rPr>
          <w:rFonts w:ascii="Arial" w:hAnsi="Arial" w:eastAsia="Calibri" w:cs="Arial"/>
        </w:rPr>
      </w:pPr>
      <w:r>
        <w:rPr>
          <w:rFonts w:eastAsia="Calibri" w:cs="Arial" w:ascii="Arial" w:hAnsi="Arial"/>
        </w:rPr>
        <w:t>quaternity.</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color w:val="FF0000"/>
        </w:rPr>
      </w:pPr>
      <w:r>
        <w:rPr>
          <w:rFonts w:eastAsia="Calibri" w:cs="Arial" w:ascii="Arial" w:hAnsi="Arial"/>
          <w:color w:val="FF0000"/>
        </w:rPr>
        <w:t>[My EDWs has nothing to do with Pauli’s approach since he worked within the unicorn world!!]</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rPr>
      </w:pPr>
      <w:r>
        <w:rPr>
          <w:rFonts w:eastAsia="Calibri" w:cs="Arial" w:ascii="Arial" w:hAnsi="Arial"/>
        </w:rPr>
        <w:t>Thinking: In the interface between the mind and the conscious pole of the psyche,</w:t>
      </w:r>
    </w:p>
    <w:p>
      <w:pPr>
        <w:pStyle w:val="Normal"/>
        <w:spacing w:before="0" w:after="0"/>
        <w:contextualSpacing/>
        <w:jc w:val="left"/>
        <w:rPr>
          <w:rFonts w:ascii="Arial" w:hAnsi="Arial" w:eastAsia="Calibri" w:cs="Arial"/>
        </w:rPr>
      </w:pPr>
      <w:r>
        <w:rPr>
          <w:rFonts w:eastAsia="Calibri" w:cs="Arial" w:ascii="Arial" w:hAnsi="Arial"/>
        </w:rPr>
        <w:t>thinking emerges as self-reflection with simultaneous reflection on the object of the</w:t>
      </w:r>
    </w:p>
    <w:p>
      <w:pPr>
        <w:pStyle w:val="Normal"/>
        <w:spacing w:before="0" w:after="0"/>
        <w:contextualSpacing/>
        <w:jc w:val="left"/>
        <w:rPr>
          <w:rFonts w:ascii="Arial" w:hAnsi="Arial" w:eastAsia="Calibri" w:cs="Arial"/>
        </w:rPr>
      </w:pPr>
      <w:r>
        <w:rPr>
          <w:rFonts w:eastAsia="Calibri" w:cs="Arial" w:ascii="Arial" w:hAnsi="Arial"/>
        </w:rPr>
        <w:t>spiritual. In this way, the human being recognises mental connections and carries out</w:t>
      </w:r>
    </w:p>
    <w:p>
      <w:pPr>
        <w:pStyle w:val="Normal"/>
        <w:spacing w:before="0" w:after="0"/>
        <w:contextualSpacing/>
        <w:jc w:val="left"/>
        <w:rPr>
          <w:rFonts w:ascii="Arial" w:hAnsi="Arial" w:eastAsia="Calibri" w:cs="Arial"/>
        </w:rPr>
      </w:pPr>
      <w:r>
        <w:rPr>
          <w:rFonts w:eastAsia="Calibri" w:cs="Arial" w:ascii="Arial" w:hAnsi="Arial"/>
        </w:rPr>
        <w:t>theory formation, with the help of which he can arrange the sensory perceptions</w:t>
      </w:r>
    </w:p>
    <w:p>
      <w:pPr>
        <w:pStyle w:val="Normal"/>
        <w:spacing w:before="0" w:after="0"/>
        <w:contextualSpacing/>
        <w:jc w:val="left"/>
        <w:rPr>
          <w:rFonts w:ascii="Arial" w:hAnsi="Arial" w:eastAsia="Calibri" w:cs="Arial"/>
        </w:rPr>
      </w:pPr>
      <w:r>
        <w:rPr>
          <w:rFonts w:eastAsia="Calibri" w:cs="Arial" w:ascii="Arial" w:hAnsi="Arial"/>
        </w:rPr>
        <w:t>gained empirically through perception. This includes, for example, the recognition</w:t>
      </w:r>
    </w:p>
    <w:p>
      <w:pPr>
        <w:pStyle w:val="Normal"/>
        <w:spacing w:before="0" w:after="0"/>
        <w:contextualSpacing/>
        <w:jc w:val="left"/>
        <w:rPr>
          <w:rFonts w:ascii="Arial" w:hAnsi="Arial" w:eastAsia="Calibri" w:cs="Arial"/>
        </w:rPr>
      </w:pPr>
      <w:r>
        <w:rPr>
          <w:rFonts w:eastAsia="Calibri" w:cs="Arial" w:ascii="Arial" w:hAnsi="Arial"/>
        </w:rPr>
        <w:t>and comprehension of mathematical laws, which in turn can serve as a quantitative</w:t>
      </w:r>
    </w:p>
    <w:p>
      <w:pPr>
        <w:pStyle w:val="Normal"/>
        <w:spacing w:before="0" w:after="0"/>
        <w:contextualSpacing/>
        <w:jc w:val="left"/>
        <w:rPr>
          <w:rFonts w:ascii="Arial" w:hAnsi="Arial" w:eastAsia="Calibri" w:cs="Arial"/>
        </w:rPr>
      </w:pPr>
      <w:r>
        <w:rPr>
          <w:rFonts w:eastAsia="Calibri" w:cs="Arial" w:ascii="Arial" w:hAnsi="Arial"/>
        </w:rPr>
        <w:t>arrangement of the results of physical measurements. The physical correspondence</w:t>
      </w:r>
    </w:p>
    <w:p>
      <w:pPr>
        <w:pStyle w:val="Normal"/>
        <w:spacing w:before="0" w:after="0"/>
        <w:contextualSpacing/>
        <w:jc w:val="left"/>
        <w:rPr>
          <w:rFonts w:ascii="Arial" w:hAnsi="Arial" w:eastAsia="Calibri" w:cs="Arial"/>
        </w:rPr>
      </w:pPr>
      <w:r>
        <w:rPr>
          <w:rFonts w:eastAsia="Calibri" w:cs="Arial" w:ascii="Arial" w:hAnsi="Arial"/>
        </w:rPr>
        <w:t>of thoughts is thus the quantitative measurement result, which is a transformation of</w:t>
      </w:r>
    </w:p>
    <w:p>
      <w:pPr>
        <w:pStyle w:val="Normal"/>
        <w:spacing w:before="0" w:after="0"/>
        <w:contextualSpacing/>
        <w:jc w:val="left"/>
        <w:rPr>
          <w:rFonts w:ascii="Arial" w:hAnsi="Arial" w:eastAsia="Calibri" w:cs="Arial"/>
        </w:rPr>
      </w:pPr>
      <w:r>
        <w:rPr>
          <w:rFonts w:eastAsia="Calibri" w:cs="Arial" w:ascii="Arial" w:hAnsi="Arial"/>
        </w:rPr>
        <w:t>sensory perception by thinking. In the language of quantum physics, this is the</w:t>
      </w:r>
    </w:p>
    <w:p>
      <w:pPr>
        <w:pStyle w:val="Normal"/>
        <w:spacing w:before="0" w:after="0"/>
        <w:contextualSpacing/>
        <w:jc w:val="left"/>
        <w:rPr>
          <w:rFonts w:ascii="Arial" w:hAnsi="Arial" w:eastAsia="Calibri" w:cs="Arial"/>
        </w:rPr>
      </w:pPr>
      <w:r>
        <w:rPr>
          <w:rFonts w:eastAsia="Calibri" w:cs="Arial" w:ascii="Arial" w:hAnsi="Arial"/>
        </w:rPr>
        <w:t>current information obtained by a measurement within the framework of the given</w:t>
      </w:r>
    </w:p>
    <w:p>
      <w:pPr>
        <w:pStyle w:val="Normal"/>
        <w:spacing w:before="0" w:after="0"/>
        <w:contextualSpacing/>
        <w:jc w:val="left"/>
        <w:rPr>
          <w:rFonts w:ascii="Arial" w:hAnsi="Arial" w:eastAsia="Calibri" w:cs="Arial"/>
        </w:rPr>
      </w:pPr>
      <w:r>
        <w:rPr>
          <w:rFonts w:eastAsia="Calibri" w:cs="Arial" w:ascii="Arial" w:hAnsi="Arial"/>
        </w:rPr>
        <w:t>theoretical model. It characterizes a classical state of the measuring device, on which</w:t>
      </w:r>
    </w:p>
    <w:p>
      <w:pPr>
        <w:pStyle w:val="Normal"/>
        <w:spacing w:before="0" w:after="0"/>
        <w:contextualSpacing/>
        <w:jc w:val="left"/>
        <w:rPr>
          <w:rFonts w:ascii="Arial" w:hAnsi="Arial" w:eastAsia="Calibri" w:cs="Arial"/>
        </w:rPr>
      </w:pPr>
      <w:r>
        <w:rPr>
          <w:rFonts w:eastAsia="Calibri" w:cs="Arial" w:ascii="Arial" w:hAnsi="Arial"/>
        </w:rPr>
        <w:t>the common system of measuring device and object of observation was mapped by</w:t>
      </w:r>
    </w:p>
    <w:p>
      <w:pPr>
        <w:pStyle w:val="Normal"/>
        <w:spacing w:before="0" w:after="0"/>
        <w:contextualSpacing/>
        <w:jc w:val="left"/>
        <w:rPr>
          <w:rFonts w:ascii="Arial" w:hAnsi="Arial" w:eastAsia="Calibri" w:cs="Arial"/>
        </w:rPr>
      </w:pPr>
      <w:r>
        <w:rPr>
          <w:rFonts w:eastAsia="Calibri" w:cs="Arial" w:ascii="Arial" w:hAnsi="Arial"/>
        </w:rPr>
        <w:t>the measurement or observation. Thinking produces systems of logic, mathematics</w:t>
      </w:r>
    </w:p>
    <w:p>
      <w:pPr>
        <w:pStyle w:val="Normal"/>
        <w:spacing w:before="0" w:after="0"/>
        <w:contextualSpacing/>
        <w:jc w:val="left"/>
        <w:rPr>
          <w:rFonts w:ascii="Arial" w:hAnsi="Arial" w:eastAsia="Calibri" w:cs="Arial"/>
        </w:rPr>
      </w:pPr>
      <w:r>
        <w:rPr>
          <w:rFonts w:eastAsia="Calibri" w:cs="Arial" w:ascii="Arial" w:hAnsi="Arial"/>
        </w:rPr>
        <w:t>and philosophy, which can be described as conscious figures of the spiritual. The</w:t>
      </w:r>
    </w:p>
    <w:p>
      <w:pPr>
        <w:pStyle w:val="Normal"/>
        <w:spacing w:before="0" w:after="0"/>
        <w:contextualSpacing/>
        <w:jc w:val="left"/>
        <w:rPr>
          <w:rFonts w:ascii="Arial" w:hAnsi="Arial" w:eastAsia="Calibri" w:cs="Arial"/>
        </w:rPr>
      </w:pPr>
      <w:r>
        <w:rPr>
          <w:rFonts w:eastAsia="Calibri" w:cs="Arial" w:ascii="Arial" w:hAnsi="Arial"/>
        </w:rPr>
        <w:t>measurement results in their arrangement follow the laws of classical logic and the</w:t>
      </w:r>
    </w:p>
    <w:p>
      <w:pPr>
        <w:pStyle w:val="Normal"/>
        <w:spacing w:before="0" w:after="0"/>
        <w:contextualSpacing/>
        <w:jc w:val="left"/>
        <w:rPr>
          <w:rFonts w:ascii="Arial" w:hAnsi="Arial" w:eastAsia="Calibri" w:cs="Arial"/>
        </w:rPr>
      </w:pPr>
      <w:r>
        <w:rPr>
          <w:rFonts w:eastAsia="Calibri" w:cs="Arial" w:ascii="Arial" w:hAnsi="Arial"/>
        </w:rPr>
        <w:t>formulas of mathematical physics. Philosophy relates them from the perspective of</w:t>
      </w:r>
    </w:p>
    <w:p>
      <w:pPr>
        <w:pStyle w:val="Normal"/>
        <w:spacing w:before="0" w:after="0"/>
        <w:contextualSpacing/>
        <w:jc w:val="left"/>
        <w:rPr>
          <w:rFonts w:ascii="Arial" w:hAnsi="Arial" w:eastAsia="Calibri" w:cs="Arial"/>
        </w:rPr>
      </w:pPr>
      <w:r>
        <w:rPr>
          <w:rFonts w:eastAsia="Calibri" w:cs="Arial" w:ascii="Arial" w:hAnsi="Arial"/>
        </w:rPr>
        <w:t>thought to its transcendental reason, self-reflection.</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color w:val="FF0000"/>
        </w:rPr>
      </w:pPr>
      <w:r>
        <w:rPr>
          <w:rFonts w:eastAsia="Calibri" w:cs="Arial" w:ascii="Arial" w:hAnsi="Arial"/>
          <w:color w:val="FF0000"/>
        </w:rPr>
        <w:t>[UNBELIEVABLE similar ideas to my ideas…in fact the entire paper is full of UNBELIEVABLE similar ideas to my ideas…]</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rPr>
      </w:pPr>
      <w:r>
        <w:rPr>
          <w:rFonts w:eastAsia="Calibri" w:cs="Arial" w:ascii="Arial" w:hAnsi="Arial"/>
        </w:rPr>
        <w:t>Space and time form a superordinate complementarity in relation to consciousness,</w:t>
      </w:r>
    </w:p>
    <w:p>
      <w:pPr>
        <w:pStyle w:val="Normal"/>
        <w:spacing w:before="0" w:after="0"/>
        <w:contextualSpacing/>
        <w:jc w:val="left"/>
        <w:rPr>
          <w:rFonts w:ascii="Arial" w:hAnsi="Arial" w:eastAsia="Calibri" w:cs="Arial"/>
        </w:rPr>
      </w:pPr>
      <w:r>
        <w:rPr>
          <w:rFonts w:eastAsia="Calibri" w:cs="Arial" w:ascii="Arial" w:hAnsi="Arial"/>
        </w:rPr>
        <w:t>since they cannot be experienced and described separately in empirical</w:t>
      </w:r>
    </w:p>
    <w:p>
      <w:pPr>
        <w:pStyle w:val="Normal"/>
        <w:spacing w:before="0" w:after="0"/>
        <w:contextualSpacing/>
        <w:jc w:val="left"/>
        <w:rPr>
          <w:rFonts w:ascii="Arial" w:hAnsi="Arial" w:eastAsia="Calibri" w:cs="Arial"/>
        </w:rPr>
      </w:pPr>
      <w:r>
        <w:rPr>
          <w:rFonts w:eastAsia="Calibri" w:cs="Arial" w:ascii="Arial" w:hAnsi="Arial"/>
        </w:rPr>
        <w:t>consciousness. However, the two orthogonal axes can be assigned to the terms</w:t>
      </w:r>
    </w:p>
    <w:p>
      <w:pPr>
        <w:pStyle w:val="Normal"/>
        <w:spacing w:before="0" w:after="0"/>
        <w:contextualSpacing/>
        <w:jc w:val="left"/>
        <w:rPr>
          <w:rFonts w:ascii="Arial" w:hAnsi="Arial" w:eastAsia="Calibri" w:cs="Arial"/>
        </w:rPr>
      </w:pPr>
      <w:r>
        <w:rPr>
          <w:rFonts w:eastAsia="Calibri" w:cs="Arial" w:ascii="Arial" w:hAnsi="Arial"/>
        </w:rPr>
        <w:t>space and time, since the conscious and unconscious pole of the psyche as the</w:t>
      </w:r>
    </w:p>
    <w:p>
      <w:pPr>
        <w:pStyle w:val="Normal"/>
        <w:spacing w:before="0" w:after="0"/>
        <w:contextualSpacing/>
        <w:jc w:val="left"/>
        <w:rPr>
          <w:rFonts w:ascii="Arial" w:hAnsi="Arial" w:eastAsia="Calibri" w:cs="Arial"/>
        </w:rPr>
      </w:pPr>
      <w:r>
        <w:rPr>
          <w:rFonts w:eastAsia="Calibri" w:cs="Arial" w:ascii="Arial" w:hAnsi="Arial"/>
        </w:rPr>
        <w:t>factual and possible correspond to the two modes of time, while matter and spirit</w:t>
      </w:r>
    </w:p>
    <w:p>
      <w:pPr>
        <w:pStyle w:val="Normal"/>
        <w:spacing w:before="0" w:after="0"/>
        <w:contextualSpacing/>
        <w:jc w:val="left"/>
        <w:rPr>
          <w:rFonts w:ascii="Arial" w:hAnsi="Arial" w:eastAsia="Calibri" w:cs="Arial"/>
        </w:rPr>
      </w:pPr>
      <w:r>
        <w:rPr>
          <w:rFonts w:eastAsia="Calibri" w:cs="Arial" w:ascii="Arial" w:hAnsi="Arial"/>
        </w:rPr>
        <w:t>constitute the classical res extensa of extended substance. While our consciousness</w:t>
      </w:r>
    </w:p>
    <w:p>
      <w:pPr>
        <w:pStyle w:val="Normal"/>
        <w:spacing w:before="0" w:after="0"/>
        <w:contextualSpacing/>
        <w:jc w:val="left"/>
        <w:rPr>
          <w:rFonts w:ascii="Arial" w:hAnsi="Arial" w:eastAsia="Calibri" w:cs="Arial"/>
        </w:rPr>
      </w:pPr>
      <w:r>
        <w:rPr>
          <w:rFonts w:eastAsia="Calibri" w:cs="Arial" w:ascii="Arial" w:hAnsi="Arial"/>
        </w:rPr>
        <w:t>reflects the past and thus its own history, the psyche in the unconscious prepares the</w:t>
      </w:r>
    </w:p>
    <w:p>
      <w:pPr>
        <w:pStyle w:val="Normal"/>
        <w:spacing w:before="0" w:after="0"/>
        <w:contextualSpacing/>
        <w:jc w:val="left"/>
        <w:rPr>
          <w:rFonts w:ascii="Arial" w:hAnsi="Arial" w:eastAsia="Calibri" w:cs="Arial"/>
        </w:rPr>
      </w:pPr>
      <w:r>
        <w:rPr>
          <w:rFonts w:eastAsia="Calibri" w:cs="Arial" w:ascii="Arial" w:hAnsi="Arial"/>
        </w:rPr>
        <w:t>near and distant future. While I am typing these words, in the unconscious aspect of</w:t>
      </w:r>
    </w:p>
    <w:p>
      <w:pPr>
        <w:pStyle w:val="Normal"/>
        <w:spacing w:before="0" w:after="0"/>
        <w:contextualSpacing/>
        <w:jc w:val="left"/>
        <w:rPr>
          <w:rFonts w:ascii="Arial" w:hAnsi="Arial" w:eastAsia="Calibri" w:cs="Arial"/>
        </w:rPr>
      </w:pPr>
      <w:r>
        <w:rPr>
          <w:rFonts w:eastAsia="Calibri" w:cs="Arial" w:ascii="Arial" w:hAnsi="Arial"/>
        </w:rPr>
        <w:t>my psyche, the words at the end of this sentence are already ready, even though my</w:t>
      </w:r>
    </w:p>
    <w:p>
      <w:pPr>
        <w:pStyle w:val="Normal"/>
        <w:spacing w:before="0" w:after="0"/>
        <w:contextualSpacing/>
        <w:jc w:val="left"/>
        <w:rPr>
          <w:rFonts w:ascii="Arial" w:hAnsi="Arial" w:eastAsia="Calibri" w:cs="Arial"/>
        </w:rPr>
      </w:pPr>
      <w:r>
        <w:rPr>
          <w:rFonts w:eastAsia="Calibri" w:cs="Arial" w:ascii="Arial" w:hAnsi="Arial"/>
        </w:rPr>
        <w:t>consciousness does not yet carry them within itself. At the same time, however, I am</w:t>
      </w:r>
    </w:p>
    <w:p>
      <w:pPr>
        <w:pStyle w:val="Normal"/>
        <w:spacing w:before="0" w:after="0"/>
        <w:contextualSpacing/>
        <w:jc w:val="left"/>
        <w:rPr>
          <w:rFonts w:ascii="Arial" w:hAnsi="Arial" w:eastAsia="Calibri" w:cs="Arial"/>
        </w:rPr>
      </w:pPr>
      <w:r>
        <w:rPr>
          <w:rFonts w:eastAsia="Calibri" w:cs="Arial" w:ascii="Arial" w:hAnsi="Arial"/>
        </w:rPr>
        <w:t>already aware of the meaning of the entire sentence at the beginning.</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t>The spatial axis between matter and mind can be occupied again with the</w:t>
      </w:r>
    </w:p>
    <w:p>
      <w:pPr>
        <w:pStyle w:val="Normal"/>
        <w:spacing w:before="0" w:after="0"/>
        <w:contextualSpacing/>
        <w:jc w:val="left"/>
        <w:rPr>
          <w:rFonts w:ascii="Arial" w:hAnsi="Arial" w:eastAsia="Calibri" w:cs="Arial"/>
        </w:rPr>
      </w:pPr>
      <w:r>
        <w:rPr>
          <w:rFonts w:eastAsia="Calibri" w:cs="Arial" w:ascii="Arial" w:hAnsi="Arial"/>
        </w:rPr>
        <w:t>complementary properties concrete-abstract, while in relation to the psyche the</w:t>
      </w:r>
    </w:p>
    <w:p>
      <w:pPr>
        <w:pStyle w:val="Normal"/>
        <w:spacing w:before="0" w:after="0"/>
        <w:contextualSpacing/>
        <w:jc w:val="left"/>
        <w:rPr>
          <w:rFonts w:ascii="Arial" w:hAnsi="Arial" w:eastAsia="Calibri" w:cs="Arial"/>
        </w:rPr>
      </w:pPr>
      <w:r>
        <w:rPr>
          <w:rFonts w:eastAsia="Calibri" w:cs="Arial" w:ascii="Arial" w:hAnsi="Arial"/>
        </w:rPr>
        <w:t>conscious side can be described as external and the unconscious as internal.</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t>The structural diagram of two orthogonal complementary axes of human knowledge</w:t>
      </w:r>
    </w:p>
    <w:p>
      <w:pPr>
        <w:pStyle w:val="Normal"/>
        <w:spacing w:before="0" w:after="0"/>
        <w:contextualSpacing/>
        <w:jc w:val="left"/>
        <w:rPr>
          <w:rFonts w:ascii="Arial" w:hAnsi="Arial" w:eastAsia="Calibri" w:cs="Arial"/>
        </w:rPr>
      </w:pPr>
      <w:r>
        <w:rPr>
          <w:rFonts w:eastAsia="Calibri" w:cs="Arial" w:ascii="Arial" w:hAnsi="Arial"/>
        </w:rPr>
        <w:t>presented here can be understood from a transcendental philosophical point of view</w:t>
      </w:r>
    </w:p>
    <w:p>
      <w:pPr>
        <w:pStyle w:val="Normal"/>
        <w:spacing w:before="0" w:after="0"/>
        <w:contextualSpacing/>
        <w:jc w:val="left"/>
        <w:rPr>
          <w:rFonts w:ascii="Arial" w:hAnsi="Arial" w:eastAsia="Calibri" w:cs="Arial"/>
        </w:rPr>
      </w:pPr>
      <w:r>
        <w:rPr>
          <w:rFonts w:eastAsia="Calibri" w:cs="Arial" w:ascii="Arial" w:hAnsi="Arial"/>
        </w:rPr>
        <w:t>as an objectified representation of self-consciousness as repeated reflection in</w:t>
      </w:r>
    </w:p>
    <w:p>
      <w:pPr>
        <w:pStyle w:val="Normal"/>
        <w:spacing w:before="0" w:after="0"/>
        <w:contextualSpacing/>
        <w:jc w:val="left"/>
        <w:rPr>
          <w:rFonts w:ascii="Arial" w:hAnsi="Arial" w:eastAsia="Calibri" w:cs="Arial"/>
        </w:rPr>
      </w:pPr>
      <w:r>
        <w:rPr>
          <w:rFonts w:eastAsia="Calibri" w:cs="Arial" w:ascii="Arial" w:hAnsi="Arial"/>
        </w:rPr>
        <w:t>oneself and others. From an epistemological perspective, it thus combines</w:t>
      </w:r>
    </w:p>
    <w:p>
      <w:pPr>
        <w:pStyle w:val="Normal"/>
        <w:spacing w:before="0" w:after="0"/>
        <w:contextualSpacing/>
        <w:jc w:val="left"/>
        <w:rPr>
          <w:rFonts w:ascii="Arial" w:hAnsi="Arial" w:eastAsia="Calibri" w:cs="Arial"/>
        </w:rPr>
      </w:pPr>
      <w:r>
        <w:rPr>
          <w:rFonts w:eastAsia="Calibri" w:cs="Arial" w:ascii="Arial" w:hAnsi="Arial"/>
        </w:rPr>
        <w:t>psychological and physical concepts and concretizes them into neurobiological</w:t>
      </w:r>
    </w:p>
    <w:p>
      <w:pPr>
        <w:pStyle w:val="Normal"/>
        <w:spacing w:before="0" w:after="0"/>
        <w:contextualSpacing/>
        <w:jc w:val="left"/>
        <w:rPr>
          <w:rFonts w:ascii="Arial" w:hAnsi="Arial" w:eastAsia="Calibri" w:cs="Arial"/>
        </w:rPr>
      </w:pPr>
      <w:r>
        <w:rPr>
          <w:rFonts w:eastAsia="Calibri" w:cs="Arial" w:ascii="Arial" w:hAnsi="Arial"/>
        </w:rPr>
        <w:t>structures. The resulting analogy and clarity of the structural and sense references</w:t>
      </w:r>
    </w:p>
    <w:p>
      <w:pPr>
        <w:pStyle w:val="Normal"/>
        <w:spacing w:before="0" w:after="0"/>
        <w:contextualSpacing/>
        <w:jc w:val="left"/>
        <w:rPr>
          <w:rFonts w:ascii="Arial" w:hAnsi="Arial" w:eastAsia="Calibri" w:cs="Arial"/>
        </w:rPr>
      </w:pPr>
      <w:r>
        <w:rPr>
          <w:rFonts w:eastAsia="Calibri" w:cs="Arial" w:ascii="Arial" w:hAnsi="Arial"/>
        </w:rPr>
        <w:t>indicates that the orthogonal complementarity of objective (material/concretespirit/</w:t>
      </w:r>
    </w:p>
    <w:p>
      <w:pPr>
        <w:pStyle w:val="Normal"/>
        <w:spacing w:before="0" w:after="0"/>
        <w:contextualSpacing/>
        <w:jc w:val="left"/>
        <w:rPr>
          <w:rFonts w:ascii="Arial" w:hAnsi="Arial" w:eastAsia="Calibri" w:cs="Arial"/>
        </w:rPr>
      </w:pPr>
      <w:r>
        <w:rPr>
          <w:rFonts w:eastAsia="Calibri" w:cs="Arial" w:ascii="Arial" w:hAnsi="Arial"/>
        </w:rPr>
        <w:t>abstract) and subjective (conscious/external-unconscious/internal) represents</w:t>
      </w:r>
    </w:p>
    <w:p>
      <w:pPr>
        <w:pStyle w:val="Normal"/>
        <w:spacing w:before="0" w:after="0"/>
        <w:contextualSpacing/>
        <w:jc w:val="left"/>
        <w:rPr>
          <w:rFonts w:ascii="Arial" w:hAnsi="Arial" w:eastAsia="Calibri" w:cs="Arial"/>
        </w:rPr>
      </w:pPr>
      <w:r>
        <w:rPr>
          <w:rFonts w:eastAsia="Calibri" w:cs="Arial" w:ascii="Arial" w:hAnsi="Arial"/>
        </w:rPr>
        <w:t>fundamental reflexive structures of empirical consciousness. The focus is on the</w:t>
      </w:r>
    </w:p>
    <w:p>
      <w:pPr>
        <w:pStyle w:val="Normal"/>
        <w:spacing w:before="0" w:after="0"/>
        <w:contextualSpacing/>
        <w:jc w:val="left"/>
        <w:rPr>
          <w:rFonts w:ascii="Arial" w:hAnsi="Arial" w:eastAsia="Calibri" w:cs="Arial"/>
        </w:rPr>
      </w:pPr>
      <w:r>
        <w:rPr>
          <w:rFonts w:eastAsia="Calibri" w:cs="Arial" w:ascii="Arial" w:hAnsi="Arial"/>
        </w:rPr>
        <w:t>physical quantum observation process, the spontaneous psychic experience and the</w:t>
      </w:r>
    </w:p>
    <w:p>
      <w:pPr>
        <w:pStyle w:val="Normal"/>
        <w:spacing w:before="0" w:after="0"/>
        <w:contextualSpacing/>
        <w:jc w:val="left"/>
        <w:rPr>
          <w:rFonts w:ascii="Arial" w:hAnsi="Arial" w:eastAsia="Calibri" w:cs="Arial"/>
        </w:rPr>
      </w:pPr>
      <w:r>
        <w:rPr>
          <w:rFonts w:eastAsia="Calibri" w:cs="Arial" w:ascii="Arial" w:hAnsi="Arial"/>
        </w:rPr>
        <w:t>dynamic interplay of global coherent non-local neurobiological quantum fields, which,</w:t>
      </w:r>
    </w:p>
    <w:p>
      <w:pPr>
        <w:pStyle w:val="Normal"/>
        <w:spacing w:before="0" w:after="0"/>
        <w:contextualSpacing/>
        <w:jc w:val="left"/>
        <w:rPr>
          <w:rFonts w:ascii="Arial" w:hAnsi="Arial" w:eastAsia="Calibri" w:cs="Arial"/>
        </w:rPr>
      </w:pPr>
      <w:r>
        <w:rPr>
          <w:rFonts w:eastAsia="Calibri" w:cs="Arial" w:ascii="Arial" w:hAnsi="Arial"/>
        </w:rPr>
        <w:t>as extended quantum presences, reach some way into the past and future, as well as</w:t>
      </w:r>
    </w:p>
    <w:p>
      <w:pPr>
        <w:pStyle w:val="Normal"/>
        <w:spacing w:before="0" w:after="0"/>
        <w:contextualSpacing/>
        <w:jc w:val="left"/>
        <w:rPr>
          <w:rFonts w:ascii="Arial" w:hAnsi="Arial" w:eastAsia="Calibri" w:cs="Arial"/>
        </w:rPr>
      </w:pPr>
      <w:r>
        <w:rPr>
          <w:rFonts w:eastAsia="Calibri" w:cs="Arial" w:ascii="Arial" w:hAnsi="Arial"/>
        </w:rPr>
        <w:t>into mind and matter, thus forming the present as the fundamental mystery of human</w:t>
      </w:r>
    </w:p>
    <w:p>
      <w:pPr>
        <w:pStyle w:val="Normal"/>
        <w:spacing w:before="0" w:after="0"/>
        <w:contextualSpacing/>
        <w:jc w:val="left"/>
        <w:rPr>
          <w:rFonts w:ascii="Arial" w:hAnsi="Arial" w:eastAsia="Calibri" w:cs="Arial"/>
        </w:rPr>
      </w:pPr>
      <w:r>
        <w:rPr>
          <w:rFonts w:eastAsia="Calibri" w:cs="Arial" w:ascii="Arial" w:hAnsi="Arial"/>
        </w:rPr>
        <w:t>life.</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t>[UNBELEVABLE similar ideas to my ideas 2—2-2008!!! No more or less!!!!]</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ListParagraph"/>
        <w:numPr>
          <w:ilvl w:val="0"/>
          <w:numId w:val="31"/>
        </w:numPr>
        <w:spacing w:before="0" w:after="0"/>
        <w:ind w:left="0" w:right="0" w:hanging="360"/>
        <w:contextualSpacing/>
        <w:rPr/>
      </w:pPr>
      <w:r>
        <w:rPr>
          <w:rFonts w:eastAsia="Calibri" w:cs="LinBiolinumTB" w:ascii="LinBiolinumTB" w:hAnsi="LinBiolinumTB"/>
          <w:b/>
          <w:sz w:val="28"/>
          <w:szCs w:val="28"/>
        </w:rPr>
        <w:t xml:space="preserve">(2019) </w:t>
      </w:r>
      <w:r>
        <w:rPr>
          <w:rFonts w:eastAsia="Calibri" w:cs="LinLibertineT" w:ascii="LinLibertineT" w:hAnsi="LinLibertineT"/>
          <w:b/>
          <w:sz w:val="28"/>
          <w:szCs w:val="28"/>
        </w:rPr>
        <w:t>Florian J. Boge</w:t>
      </w:r>
      <w:r>
        <w:rPr>
          <w:rFonts w:eastAsia="Calibri" w:cs="Arial" w:ascii="Arial" w:hAnsi="Arial"/>
          <w:b/>
          <w:color w:val="FF0000"/>
          <w:sz w:val="28"/>
          <w:szCs w:val="28"/>
        </w:rPr>
        <w:t xml:space="preserve">, </w:t>
      </w:r>
      <w:r>
        <w:rPr>
          <w:rFonts w:eastAsia="Calibri" w:cs="LinBiolinumTB" w:ascii="LinBiolinumTB" w:hAnsi="LinBiolinumTB"/>
          <w:b/>
          <w:sz w:val="28"/>
          <w:szCs w:val="28"/>
        </w:rPr>
        <w:t xml:space="preserve">The Best of Many-Worlds, or, is Quantum Decoherence the Manifestation of a Disposition? </w:t>
      </w:r>
      <w:r>
        <w:rPr>
          <w:rFonts w:eastAsia="Calibri" w:cs="LinBiolinumTB" w:ascii="LinBiolinumTB" w:hAnsi="LinBiolinumTB"/>
          <w:sz w:val="24"/>
          <w:szCs w:val="24"/>
        </w:rPr>
        <w:t>(</w:t>
      </w:r>
      <w:r>
        <w:rPr>
          <w:rFonts w:eastAsia="Calibri" w:cs="LinLibertineT" w:ascii="LinLibertineT" w:hAnsi="LinLibertineT"/>
          <w:sz w:val="24"/>
          <w:szCs w:val="24"/>
        </w:rPr>
        <w:t xml:space="preserve">*This is a pre-print version of an article accepted by </w:t>
      </w:r>
      <w:r>
        <w:rPr>
          <w:rFonts w:eastAsia="Calibri" w:cs="LinLibertineTI" w:ascii="LinLibertineTI" w:hAnsi="LinLibertineTI"/>
          <w:sz w:val="24"/>
          <w:szCs w:val="24"/>
        </w:rPr>
        <w:t>Studies in History and Philosophy of Modern Physics</w:t>
      </w:r>
      <w:r>
        <w:rPr>
          <w:rFonts w:eastAsia="Calibri" w:cs="LinLibertineT" w:ascii="LinLibertineT" w:hAnsi="LinLibertineT"/>
          <w:sz w:val="24"/>
          <w:szCs w:val="24"/>
        </w:rPr>
        <w:t>. The accepted version includes minor changes.) (p. 1)</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rPr/>
      </w:pPr>
      <w:r>
        <w:rPr>
          <w:rFonts w:eastAsia="Calibri" w:cs="LinBiolinumTB" w:ascii="LinBiolinumTB" w:hAnsi="LinBiolinumTB"/>
          <w:color w:val="FF0000"/>
        </w:rPr>
        <w:t xml:space="preserve">[In this paper I investigate the UNBELIEVABLE similarities between Boge’s ideas (2019) and my ideas on quantum mechanics… </w:t>
      </w:r>
      <w:r>
        <w:rPr>
          <w:rFonts w:eastAsia="Calibri" w:cs="LinLibertineT" w:ascii="LinLibertineT" w:hAnsi="LinLibertineT"/>
          <w:color w:val="FF0000"/>
        </w:rPr>
        <w:t>The author wrote his paper in an UNBELIEVABLE similar framework to my EDWs perspective! Many of his ideas are UNBELIEVABLE similar to my ideas from 2002-2007!!!]</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So according to the quantum</w:t>
      </w:r>
    </w:p>
    <w:p>
      <w:pPr>
        <w:pStyle w:val="Normal"/>
        <w:spacing w:before="0" w:after="0"/>
        <w:contextualSpacing/>
        <w:jc w:val="left"/>
        <w:rPr/>
      </w:pPr>
      <w:r>
        <w:rPr>
          <w:rFonts w:eastAsia="Calibri" w:cs="LinLibertineT" w:ascii="LinLibertineT" w:hAnsi="LinLibertineT"/>
          <w:sz w:val="22"/>
          <w:szCs w:val="22"/>
        </w:rPr>
        <w:t xml:space="preserve">formalism (read dispositionally), </w:t>
      </w:r>
      <w:r>
        <w:rPr>
          <w:rFonts w:eastAsia="Calibri" w:cs="LinLibertineTI" w:ascii="LinLibertineTI" w:hAnsi="LinLibertineTI"/>
          <w:sz w:val="22"/>
          <w:szCs w:val="22"/>
        </w:rPr>
        <w:t>both these dispositions will manifest at the same time</w:t>
      </w:r>
      <w:r>
        <w:rPr>
          <w:rFonts w:eastAsia="Calibri" w:cs="LinLibertineT" w:ascii="LinLibertineT" w:hAnsi="LinLibertineT"/>
          <w:sz w:val="22"/>
          <w:szCs w:val="22"/>
        </w:rPr>
        <w:t>. This is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problematic, as we retrieve nothing but a many worlds-story with a dispositionalist touch, and</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all the problems associated with probability remain. (p. 9)…..</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Now recall, _rst of all, that while decoherence does not lead to a proper collapse, it at least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selects a preferred basis and thereby reduces the system’s “dispositional freedom”, if you will.</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Since basically any old interaction will induce such reductions, this leads me to the following</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w:t>
      </w:r>
      <w:r>
        <w:rPr>
          <w:rFonts w:eastAsia="Calibri" w:cs="LinLibertineT" w:ascii="LinLibertineT" w:hAnsi="LinLibertineT"/>
          <w:sz w:val="22"/>
          <w:szCs w:val="22"/>
        </w:rPr>
        <w:t>_rst axiom” for a dispositionalist analysis:</w:t>
      </w:r>
    </w:p>
    <w:p>
      <w:pPr>
        <w:pStyle w:val="Normal"/>
        <w:spacing w:before="0" w:after="0"/>
        <w:contextualSpacing/>
        <w:jc w:val="left"/>
        <w:rPr/>
      </w:pPr>
      <w:r>
        <w:rPr>
          <w:rFonts w:eastAsia="Calibri" w:cs="LinLibertineT" w:ascii="LinLibertineT" w:hAnsi="LinLibertineT"/>
          <w:sz w:val="22"/>
          <w:szCs w:val="22"/>
        </w:rPr>
        <w:t>(DA</w:t>
      </w:r>
      <w:r>
        <w:rPr>
          <w:rFonts w:eastAsia="Calibri" w:cs="LibertinusT1Math" w:ascii="LibertinusT1Math" w:hAnsi="LibertinusT1Math"/>
          <w:sz w:val="16"/>
          <w:szCs w:val="16"/>
        </w:rPr>
        <w:t>1</w:t>
      </w:r>
      <w:r>
        <w:rPr>
          <w:rFonts w:eastAsia="Calibri" w:cs="LinLibertineT" w:ascii="LinLibertineT" w:hAnsi="LinLibertineT"/>
          <w:sz w:val="22"/>
          <w:szCs w:val="22"/>
        </w:rPr>
        <w:t xml:space="preserve">) </w:t>
      </w:r>
      <w:r>
        <w:rPr>
          <w:rFonts w:eastAsia="Calibri" w:cs="LinLibertineTI" w:ascii="LinLibertineTI" w:hAnsi="LinLibertineTI"/>
          <w:sz w:val="22"/>
          <w:szCs w:val="22"/>
        </w:rPr>
        <w:t xml:space="preserve">Only </w:t>
      </w:r>
      <w:r>
        <w:rPr>
          <w:rFonts w:eastAsia="Calibri" w:cs="LinLibertineT" w:ascii="LinLibertineT" w:hAnsi="LinLibertineT"/>
          <w:sz w:val="22"/>
          <w:szCs w:val="22"/>
        </w:rPr>
        <w:t xml:space="preserve">perfectly isolated systems instantiate collections of entirely </w:t>
      </w:r>
      <w:r>
        <w:rPr>
          <w:rFonts w:eastAsia="Calibri" w:cs="LinLibertineTI" w:ascii="LinLibertineTI" w:hAnsi="LinLibertineTI"/>
          <w:sz w:val="22"/>
          <w:szCs w:val="22"/>
        </w:rPr>
        <w:t>nonmanifest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dispositions. Any interaction will impinge on the non-manifestness. Ambiguity</w:t>
      </w:r>
    </w:p>
    <w:p>
      <w:pPr>
        <w:pStyle w:val="Normal"/>
        <w:spacing w:before="0" w:after="0"/>
        <w:contextualSpacing/>
        <w:jc w:val="left"/>
        <w:rPr/>
      </w:pPr>
      <w:r>
        <w:rPr>
          <w:rFonts w:eastAsia="Calibri" w:cs="LinLibertineT" w:ascii="LinLibertineT" w:hAnsi="LinLibertineT"/>
          <w:sz w:val="22"/>
          <w:szCs w:val="22"/>
        </w:rPr>
        <w:t xml:space="preserve">due to the possibility of </w:t>
      </w:r>
      <w:r>
        <w:rPr>
          <w:rFonts w:eastAsia="Calibri" w:cs="LinLibertineTI" w:ascii="LinLibertineTI" w:hAnsi="LinLibertineTI"/>
          <w:sz w:val="22"/>
          <w:szCs w:val="22"/>
        </w:rPr>
        <w:t xml:space="preserve">basis changes </w:t>
      </w:r>
      <w:r>
        <w:rPr>
          <w:rFonts w:eastAsia="Calibri" w:cs="LinLibertineT" w:ascii="LinLibertineT" w:hAnsi="LinLibertineT"/>
          <w:sz w:val="22"/>
          <w:szCs w:val="22"/>
        </w:rPr>
        <w:t>indicates that the system has dispositions</w:t>
      </w:r>
    </w:p>
    <w:p>
      <w:pPr>
        <w:pStyle w:val="Normal"/>
        <w:spacing w:before="0" w:after="0"/>
        <w:contextualSpacing/>
        <w:jc w:val="left"/>
        <w:rPr/>
      </w:pPr>
      <w:r>
        <w:rPr>
          <w:rFonts w:eastAsia="Calibri" w:cs="LinLibertineT" w:ascii="LinLibertineT" w:hAnsi="LinLibertineT"/>
          <w:sz w:val="22"/>
          <w:szCs w:val="22"/>
        </w:rPr>
        <w:t xml:space="preserve">w.r.t. values of </w:t>
      </w:r>
      <w:r>
        <w:rPr>
          <w:rFonts w:eastAsia="Calibri" w:cs="LinLibertineTI" w:ascii="LinLibertineTI" w:hAnsi="LinLibertineTI"/>
          <w:sz w:val="22"/>
          <w:szCs w:val="22"/>
        </w:rPr>
        <w:t xml:space="preserve">all </w:t>
      </w:r>
      <w:r>
        <w:rPr>
          <w:rFonts w:eastAsia="Calibri" w:cs="LinLibertineT" w:ascii="LinLibertineT" w:hAnsi="LinLibertineT"/>
          <w:sz w:val="22"/>
          <w:szCs w:val="22"/>
        </w:rPr>
        <w:t>measurable quantities, even non-comeasurable ones.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Since (selective) measurements on a decohered state will, however, unambiguously indicate</w:t>
      </w:r>
    </w:p>
    <w:p>
      <w:pPr>
        <w:pStyle w:val="Normal"/>
        <w:spacing w:before="0" w:after="0"/>
        <w:contextualSpacing/>
        <w:jc w:val="left"/>
        <w:rPr/>
      </w:pPr>
      <w:r>
        <w:rPr>
          <w:rFonts w:eastAsia="Calibri" w:cs="LinLibertineTI" w:ascii="LinLibertineTI" w:hAnsi="LinLibertineTI"/>
          <w:sz w:val="22"/>
          <w:szCs w:val="22"/>
        </w:rPr>
        <w:t xml:space="preserve">one </w:t>
      </w:r>
      <w:r>
        <w:rPr>
          <w:rFonts w:eastAsia="Calibri" w:cs="LinLibertineT" w:ascii="LinLibertineT" w:hAnsi="LinLibertineT"/>
          <w:sz w:val="22"/>
          <w:szCs w:val="22"/>
        </w:rPr>
        <w:t xml:space="preserve">out of the many values the system is disposed to exhibit, only </w:t>
      </w:r>
      <w:r>
        <w:rPr>
          <w:rFonts w:eastAsia="Calibri" w:cs="LinLibertineTI" w:ascii="LinLibertineTI" w:hAnsi="LinLibertineTI"/>
          <w:sz w:val="22"/>
          <w:szCs w:val="22"/>
        </w:rPr>
        <w:t xml:space="preserve">one </w:t>
      </w:r>
      <w:r>
        <w:rPr>
          <w:rFonts w:eastAsia="Calibri" w:cs="LinLibertineT" w:ascii="LinLibertineT" w:hAnsi="LinLibertineT"/>
          <w:sz w:val="22"/>
          <w:szCs w:val="22"/>
        </w:rPr>
        <w:t>of these dispositions must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have been ampli_ed so much as to become detectable. The remainder, in contrast, can only be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present ‘latently’, to borrow Margenau’s term; but it must be still so present, as evidenced by</w:t>
      </w:r>
    </w:p>
    <w:p>
      <w:pPr>
        <w:pStyle w:val="Normal"/>
        <w:spacing w:before="0" w:after="0"/>
        <w:contextualSpacing/>
        <w:jc w:val="left"/>
        <w:rPr/>
      </w:pPr>
      <w:r>
        <w:rPr>
          <w:rFonts w:eastAsia="Calibri" w:cs="LinLibertineTI" w:ascii="LinLibertineTI" w:hAnsi="LinLibertineTI"/>
          <w:sz w:val="22"/>
          <w:szCs w:val="22"/>
        </w:rPr>
        <w:t>recoherence</w:t>
      </w:r>
      <w:r>
        <w:rPr>
          <w:rFonts w:eastAsia="Calibri" w:cs="LinLibertineT" w:ascii="LinLibertineT" w:hAnsi="LinLibertineT"/>
          <w:sz w:val="22"/>
          <w:szCs w:val="22"/>
        </w:rPr>
        <w:t>. Hence thinking, say, of “spin up” and “spin down” along some direction as CMDs,</w:t>
      </w:r>
    </w:p>
    <w:p>
      <w:pPr>
        <w:pStyle w:val="Normal"/>
        <w:spacing w:before="0" w:after="0"/>
        <w:contextualSpacing/>
        <w:jc w:val="left"/>
        <w:rPr/>
      </w:pPr>
      <w:r>
        <w:rPr>
          <w:rFonts w:eastAsia="Calibri" w:cs="LinLibertineT" w:ascii="LinLibertineT" w:hAnsi="LinLibertineT"/>
          <w:sz w:val="22"/>
          <w:szCs w:val="22"/>
        </w:rPr>
        <w:t xml:space="preserve">this means that “spin up” might be manifest </w:t>
      </w:r>
      <w:r>
        <w:rPr>
          <w:rFonts w:eastAsia="Calibri" w:cs="LinLibertineTI" w:ascii="LinLibertineTI" w:hAnsi="LinLibertineTI"/>
          <w:sz w:val="22"/>
          <w:szCs w:val="22"/>
        </w:rPr>
        <w:t>to a high degree</w:t>
      </w:r>
      <w:r>
        <w:rPr>
          <w:rFonts w:eastAsia="Calibri" w:cs="LinLibertineT" w:ascii="LinLibertineT" w:hAnsi="LinLibertineT"/>
          <w:sz w:val="22"/>
          <w:szCs w:val="22"/>
        </w:rPr>
        <w:t>, under suitable environmental</w:t>
      </w:r>
    </w:p>
    <w:p>
      <w:pPr>
        <w:pStyle w:val="Normal"/>
        <w:spacing w:before="0" w:after="0"/>
        <w:contextualSpacing/>
        <w:jc w:val="left"/>
        <w:rPr/>
      </w:pPr>
      <w:r>
        <w:rPr>
          <w:rFonts w:eastAsia="Calibri" w:cs="LinLibertineT" w:ascii="LinLibertineT" w:hAnsi="LinLibertineT"/>
          <w:sz w:val="22"/>
          <w:szCs w:val="22"/>
        </w:rPr>
        <w:t xml:space="preserve">conditions, but that “spin down” would be manifest </w:t>
      </w:r>
      <w:r>
        <w:rPr>
          <w:rFonts w:eastAsia="Calibri" w:cs="LinLibertineTI" w:ascii="LinLibertineTI" w:hAnsi="LinLibertineTI"/>
          <w:sz w:val="22"/>
          <w:szCs w:val="22"/>
        </w:rPr>
        <w:t>at the same time</w:t>
      </w:r>
      <w:r>
        <w:rPr>
          <w:rFonts w:eastAsia="Calibri" w:cs="LinLibertineT" w:ascii="LinLibertineT" w:hAnsi="LinLibertineT"/>
          <w:sz w:val="22"/>
          <w:szCs w:val="22"/>
        </w:rPr>
        <w:t>, albeit to a far lesser</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degree. (p. 10)</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pPr>
      <w:r>
        <w:rPr>
          <w:rFonts w:eastAsia="Calibri" w:cs="LinLibertineT" w:ascii="LinLibertineT" w:hAnsi="LinLibertineT"/>
          <w:sz w:val="22"/>
          <w:szCs w:val="22"/>
        </w:rPr>
        <w:t>(DA</w:t>
      </w:r>
      <w:r>
        <w:rPr>
          <w:rFonts w:eastAsia="Calibri" w:cs="LibertinusT1Math" w:ascii="LibertinusT1Math" w:hAnsi="LibertinusT1Math"/>
          <w:sz w:val="16"/>
          <w:szCs w:val="16"/>
        </w:rPr>
        <w:t>3</w:t>
      </w:r>
      <w:r>
        <w:rPr>
          <w:rFonts w:eastAsia="Calibri" w:cs="LinLibertineT" w:ascii="LinLibertineT" w:hAnsi="LinLibertineT"/>
          <w:sz w:val="22"/>
          <w:szCs w:val="22"/>
        </w:rPr>
        <w:t>) In the manifestation process represented by the decoherence mechanism,</w:t>
      </w:r>
    </w:p>
    <w:p>
      <w:pPr>
        <w:pStyle w:val="Normal"/>
        <w:spacing w:before="0" w:after="0"/>
        <w:contextualSpacing/>
        <w:jc w:val="left"/>
        <w:rPr/>
      </w:pPr>
      <w:r>
        <w:rPr>
          <w:rFonts w:eastAsia="Calibri" w:cs="LinLibertineTI" w:ascii="LinLibertineTI" w:hAnsi="LinLibertineTI"/>
          <w:sz w:val="22"/>
          <w:szCs w:val="22"/>
        </w:rPr>
        <w:t xml:space="preserve">only one </w:t>
      </w:r>
      <w:r>
        <w:rPr>
          <w:rFonts w:eastAsia="Calibri" w:cs="LinLibertineT" w:ascii="LinLibertineT" w:hAnsi="LinLibertineT"/>
          <w:sz w:val="22"/>
          <w:szCs w:val="22"/>
        </w:rPr>
        <w:t xml:space="preserve">out of all the manifesting dispositions will manifest </w:t>
      </w:r>
      <w:r>
        <w:rPr>
          <w:rFonts w:eastAsia="Calibri" w:cs="LinLibertineTI" w:ascii="LinLibertineTI" w:hAnsi="LinLibertineTI"/>
          <w:sz w:val="22"/>
          <w:szCs w:val="22"/>
        </w:rPr>
        <w:t>dominantly</w:t>
      </w:r>
      <w:r>
        <w:rPr>
          <w:rFonts w:eastAsia="Calibri" w:cs="LinLibertineT" w:ascii="LinLibertineT" w:hAnsi="LinLibertineT"/>
          <w:sz w:val="22"/>
          <w:szCs w:val="22"/>
        </w:rPr>
        <w:t>, and the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Born probabilities quantify each disposition’s tendency to do so. The remainder</w:t>
      </w:r>
    </w:p>
    <w:p>
      <w:pPr>
        <w:pStyle w:val="Normal"/>
        <w:spacing w:before="0" w:after="0"/>
        <w:contextualSpacing/>
        <w:jc w:val="left"/>
        <w:rPr/>
      </w:pPr>
      <w:r>
        <w:rPr>
          <w:rFonts w:eastAsia="Calibri" w:cs="LinLibertineT" w:ascii="LinLibertineT" w:hAnsi="LinLibertineT"/>
          <w:sz w:val="22"/>
          <w:szCs w:val="22"/>
        </w:rPr>
        <w:t xml:space="preserve">will become </w:t>
      </w:r>
      <w:r>
        <w:rPr>
          <w:rFonts w:eastAsia="Calibri" w:cs="LinLibertineTI" w:ascii="LinLibertineTI" w:hAnsi="LinLibertineTI"/>
          <w:sz w:val="22"/>
          <w:szCs w:val="22"/>
        </w:rPr>
        <w:t>e_ectively latent</w:t>
      </w:r>
      <w:r>
        <w:rPr>
          <w:rFonts w:eastAsia="Calibri" w:cs="LinLibertineT" w:ascii="LinLibertineT" w:hAnsi="LinLibertineT"/>
          <w:sz w:val="22"/>
          <w:szCs w:val="22"/>
        </w:rPr>
        <w:t xml:space="preserve">, thereby not contributing to </w:t>
      </w:r>
      <w:r>
        <w:rPr>
          <w:rFonts w:eastAsia="Calibri" w:cs="LinLibertineTI" w:ascii="LinLibertineTI" w:hAnsi="LinLibertineTI"/>
          <w:sz w:val="22"/>
          <w:szCs w:val="22"/>
        </w:rPr>
        <w:t>observable behavior</w:t>
      </w:r>
      <w:r>
        <w:rPr>
          <w:rFonts w:eastAsia="Calibri" w:cs="LinLibertineT" w:ascii="LinLibertineT" w:hAnsi="LinLibertineT"/>
          <w:sz w:val="22"/>
          <w:szCs w:val="22"/>
        </w:rPr>
        <w:t>. Decoherence</w:t>
      </w:r>
    </w:p>
    <w:p>
      <w:pPr>
        <w:pStyle w:val="Normal"/>
        <w:spacing w:before="0" w:after="0"/>
        <w:contextualSpacing/>
        <w:jc w:val="left"/>
        <w:rPr/>
      </w:pPr>
      <w:r>
        <w:rPr>
          <w:rFonts w:eastAsia="Calibri" w:cs="LinLibertineT" w:ascii="LinLibertineT" w:hAnsi="LinLibertineT"/>
          <w:sz w:val="22"/>
          <w:szCs w:val="22"/>
        </w:rPr>
        <w:t xml:space="preserve">factors quantify the tendency for </w:t>
      </w:r>
      <w:r>
        <w:rPr>
          <w:rFonts w:eastAsia="Calibri" w:cs="LinLibertineTI" w:ascii="LinLibertineTI" w:hAnsi="LinLibertineTI"/>
          <w:sz w:val="22"/>
          <w:szCs w:val="22"/>
        </w:rPr>
        <w:t>swaps in dominance</w:t>
      </w:r>
      <w:r>
        <w:rPr>
          <w:rFonts w:eastAsia="Calibri" w:cs="LinLibertineT" w:ascii="LinLibertineT" w:hAnsi="LinLibertineT"/>
          <w:sz w:val="22"/>
          <w:szCs w:val="22"/>
        </w:rPr>
        <w:t>, which becomes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almost negligible for most larger systems after very short times. (p. 11)</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[again, another rule UNBELIEVABLE similar to my main principles that apper in my work 2006 and mainly in 2008!!]</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BiolinumTB" w:hAnsi="LinBiolinumTB" w:eastAsia="Calibri" w:cs="LinBiolinumTB"/>
        </w:rPr>
      </w:pPr>
      <w:r>
        <w:rPr>
          <w:rFonts w:eastAsia="Calibri" w:cs="LinBiolinumTB" w:ascii="LinBiolinumTB" w:hAnsi="LinBiolinumTB"/>
        </w:rPr>
        <w:t>3.1 Minds andWorlds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The foregoing considerations lay a reasonable foundation for an interpretation of decoherence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in terms of dispositions. However, the fact that the dispositions involved in some quantum state</w:t>
      </w:r>
    </w:p>
    <w:p>
      <w:pPr>
        <w:pStyle w:val="Normal"/>
        <w:spacing w:before="0" w:after="0"/>
        <w:contextualSpacing/>
        <w:jc w:val="left"/>
        <w:rPr/>
      </w:pPr>
      <w:r>
        <w:rPr>
          <w:rFonts w:eastAsia="Calibri" w:cs="LinLibertineT" w:ascii="LinLibertineT" w:hAnsi="LinLibertineT"/>
          <w:sz w:val="22"/>
          <w:szCs w:val="22"/>
        </w:rPr>
        <w:t xml:space="preserve">will </w:t>
      </w:r>
      <w:r>
        <w:rPr>
          <w:rFonts w:eastAsia="Calibri" w:cs="LinLibertineTI" w:ascii="LinLibertineTI" w:hAnsi="LinLibertineTI"/>
          <w:sz w:val="22"/>
          <w:szCs w:val="22"/>
        </w:rPr>
        <w:t xml:space="preserve">all </w:t>
      </w:r>
      <w:r>
        <w:rPr>
          <w:rFonts w:eastAsia="Calibri" w:cs="LinLibertineT" w:ascii="LinLibertineT" w:hAnsi="LinLibertineT"/>
          <w:sz w:val="22"/>
          <w:szCs w:val="22"/>
        </w:rPr>
        <w:t>manifest to some degree, on my account, makes it still unpleasantly reminiscent of a crude version of the MWI. As in the MWI, the entire content of a decohered state is not merely</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possible but somewhat actual. And there will be a loss of interference, so that the di_erent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dispositions may be said to be “branching”, in a loose manner of speaking. But the thing that is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missing for my dispositional account to collapse into the MWI is the association of additional</w:t>
      </w:r>
    </w:p>
    <w:p>
      <w:pPr>
        <w:pStyle w:val="Normal"/>
        <w:spacing w:before="0" w:after="0"/>
        <w:contextualSpacing/>
        <w:jc w:val="left"/>
        <w:rPr/>
      </w:pPr>
      <w:r>
        <w:rPr>
          <w:rFonts w:eastAsia="Calibri" w:cs="LinLibertineTI" w:ascii="LinLibertineTI" w:hAnsi="LinLibertineTI"/>
          <w:sz w:val="22"/>
          <w:szCs w:val="22"/>
        </w:rPr>
        <w:t xml:space="preserve">consciousnesses </w:t>
      </w:r>
      <w:r>
        <w:rPr>
          <w:rFonts w:eastAsia="Calibri" w:cs="LinLibertineT" w:ascii="LinLibertineT" w:hAnsi="LinLibertineT"/>
          <w:sz w:val="22"/>
          <w:szCs w:val="22"/>
        </w:rPr>
        <w:t>with those dispositions that become e_ectively latent.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To see the point more clearly, let us brie_y assess the role of consciousness in the MWI.</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Maybe the most detailed assessment of this issue is Albert and Loewer (1988, pp. 206-7), who</w:t>
      </w:r>
    </w:p>
    <w:p>
      <w:pPr>
        <w:pStyle w:val="Normal"/>
        <w:spacing w:before="0" w:after="0"/>
        <w:contextualSpacing/>
        <w:jc w:val="left"/>
        <w:rPr/>
      </w:pPr>
      <w:r>
        <w:rPr>
          <w:rFonts w:eastAsia="Calibri" w:cs="LinLibertineT" w:ascii="LinLibertineT" w:hAnsi="LinLibertineT"/>
          <w:sz w:val="22"/>
          <w:szCs w:val="22"/>
        </w:rPr>
        <w:t xml:space="preserve">introduced the </w:t>
      </w:r>
      <w:r>
        <w:rPr>
          <w:rFonts w:eastAsia="Calibri" w:cs="LinLibertineTI" w:ascii="LinLibertineTI" w:hAnsi="LinLibertineTI"/>
          <w:sz w:val="22"/>
          <w:szCs w:val="22"/>
        </w:rPr>
        <w:t xml:space="preserve">many minds view </w:t>
      </w:r>
      <w:r>
        <w:rPr>
          <w:rFonts w:eastAsia="Calibri" w:cs="LinLibertineT" w:ascii="LinLibertineT" w:hAnsi="LinLibertineT"/>
          <w:sz w:val="22"/>
          <w:szCs w:val="22"/>
        </w:rPr>
        <w:t>of the MWI: ‘every observer[...] has associated with it not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 single mind but rather an in_nite set of minds’, and the Born probability, derived from the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squared modulus of a coe_cient of some state in a superposition, ‘is a measure of the “proportion”</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 xml:space="preserve">of minds’ associated to that very state. </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Now Albert and Loewer’s original proposal did not take notice of decoherence yet, but Lockwood</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(1996, p. 185; original emphasis) believed that the stability of the pointer basis might</w:t>
      </w:r>
    </w:p>
    <w:p>
      <w:pPr>
        <w:pStyle w:val="Normal"/>
        <w:spacing w:before="0" w:after="0"/>
        <w:contextualSpacing/>
        <w:jc w:val="left"/>
        <w:rPr/>
      </w:pPr>
      <w:r>
        <w:rPr>
          <w:rFonts w:eastAsia="Calibri" w:cs="LinLibertineT" w:ascii="LinLibertineT" w:hAnsi="LinLibertineT"/>
          <w:sz w:val="22"/>
          <w:szCs w:val="22"/>
        </w:rPr>
        <w:t>answer the question ‘</w:t>
      </w:r>
      <w:r>
        <w:rPr>
          <w:rFonts w:eastAsia="Calibri" w:cs="LinLibertineTI" w:ascii="LinLibertineTI" w:hAnsi="LinLibertineTI"/>
          <w:sz w:val="22"/>
          <w:szCs w:val="22"/>
        </w:rPr>
        <w:t xml:space="preserve">why </w:t>
      </w:r>
      <w:r>
        <w:rPr>
          <w:rFonts w:eastAsia="Calibri" w:cs="LinLibertineT" w:ascii="LinLibertineT" w:hAnsi="LinLibertineT"/>
          <w:sz w:val="22"/>
          <w:szCs w:val="22"/>
        </w:rPr>
        <w:t>consciousness and perception should favour the states that they do.’</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Zeh (2000, p. 226; original emphasis) similarly writes that when decoherence (and branching)</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take place,</w:t>
      </w:r>
    </w:p>
    <w:p>
      <w:pPr>
        <w:pStyle w:val="Normal"/>
        <w:spacing w:before="0" w:after="0"/>
        <w:contextualSpacing/>
        <w:jc w:val="left"/>
        <w:rPr/>
      </w:pPr>
      <w:r>
        <w:rPr>
          <w:rFonts w:eastAsia="Calibri" w:cs="LinLibertineT" w:ascii="LinLibertineT" w:hAnsi="LinLibertineT"/>
          <w:sz w:val="22"/>
          <w:szCs w:val="22"/>
        </w:rPr>
        <w:t>[i]t is not the real world (described by a wave funtion) [</w:t>
      </w:r>
      <w:r>
        <w:rPr>
          <w:rFonts w:eastAsia="Calibri" w:cs="LinLibertineTI" w:ascii="LinLibertineTI" w:hAnsi="LinLibertineTI"/>
          <w:sz w:val="22"/>
          <w:szCs w:val="22"/>
        </w:rPr>
        <w:t>sic</w:t>
      </w:r>
      <w:r>
        <w:rPr>
          <w:rFonts w:eastAsia="Calibri" w:cs="LinLibertineT" w:ascii="LinLibertineT" w:hAnsi="LinLibertineT"/>
          <w:sz w:val="22"/>
          <w:szCs w:val="22"/>
        </w:rPr>
        <w:t>] that branches in this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picture, but consciousness (or rather the state of its physical carrier), and with it</w:t>
      </w:r>
    </w:p>
    <w:p>
      <w:pPr>
        <w:pStyle w:val="Normal"/>
        <w:spacing w:before="0" w:after="0"/>
        <w:contextualSpacing/>
        <w:jc w:val="left"/>
        <w:rPr/>
      </w:pPr>
      <w:r>
        <w:rPr>
          <w:rFonts w:eastAsia="Calibri" w:cs="LinLibertineT" w:ascii="LinLibertineT" w:hAnsi="LinLibertineT"/>
          <w:sz w:val="22"/>
          <w:szCs w:val="22"/>
        </w:rPr>
        <w:t xml:space="preserve">the </w:t>
      </w:r>
      <w:r>
        <w:rPr>
          <w:rFonts w:eastAsia="Calibri" w:cs="LinLibertineTI" w:ascii="LinLibertineTI" w:hAnsi="LinLibertineTI"/>
          <w:sz w:val="22"/>
          <w:szCs w:val="22"/>
        </w:rPr>
        <w:t xml:space="preserve">observed </w:t>
      </w:r>
      <w:r>
        <w:rPr>
          <w:rFonts w:eastAsia="Calibri" w:cs="LinLibertineT" w:ascii="LinLibertineT" w:hAnsi="LinLibertineT"/>
          <w:sz w:val="22"/>
          <w:szCs w:val="22"/>
        </w:rPr>
        <w:t>(apparent) “world” [...].</w:t>
      </w:r>
    </w:p>
    <w:p>
      <w:pPr>
        <w:pStyle w:val="Normal"/>
        <w:spacing w:before="0" w:after="0"/>
        <w:contextualSpacing/>
        <w:jc w:val="left"/>
        <w:rPr/>
      </w:pPr>
      <w:r>
        <w:rPr>
          <w:rFonts w:eastAsia="Calibri" w:cs="LinLibertineT" w:ascii="LinLibertineT" w:hAnsi="LinLibertineT"/>
          <w:sz w:val="22"/>
          <w:szCs w:val="22"/>
        </w:rPr>
        <w:t xml:space="preserve">And Wallace (2012, p. 3; original emphasis) equally describes the MWI </w:t>
      </w:r>
      <w:r>
        <w:rPr>
          <w:rFonts w:eastAsia="Calibri" w:cs="LinLibertineTI" w:ascii="LinLibertineTI" w:hAnsi="LinLibertineTI"/>
          <w:sz w:val="22"/>
          <w:szCs w:val="22"/>
        </w:rPr>
        <w:t xml:space="preserve">with </w:t>
      </w:r>
      <w:r>
        <w:rPr>
          <w:rFonts w:eastAsia="Calibri" w:cs="LinLibertineT" w:ascii="LinLibertineT" w:hAnsi="LinLibertineT"/>
          <w:sz w:val="22"/>
          <w:szCs w:val="22"/>
        </w:rPr>
        <w:t>decoherence as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both a many-worlds and a many-minds theory, in the sense that it entails that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there are a great many versions of myself, living in surroundings much like my</w:t>
      </w:r>
    </w:p>
    <w:p>
      <w:pPr>
        <w:pStyle w:val="Normal"/>
        <w:spacing w:before="0" w:after="0"/>
        <w:contextualSpacing/>
        <w:jc w:val="left"/>
        <w:rPr/>
      </w:pPr>
      <w:r>
        <w:rPr>
          <w:rFonts w:eastAsia="Calibri" w:cs="LinLibertineT" w:ascii="LinLibertineT" w:hAnsi="LinLibertineT"/>
          <w:sz w:val="22"/>
          <w:szCs w:val="22"/>
        </w:rPr>
        <w:t xml:space="preserve">own and interacting with other versions of </w:t>
      </w:r>
      <w:r>
        <w:rPr>
          <w:rFonts w:eastAsia="Calibri" w:cs="LinLibertineTI" w:ascii="LinLibertineTI" w:hAnsi="LinLibertineTI"/>
          <w:sz w:val="22"/>
          <w:szCs w:val="22"/>
        </w:rPr>
        <w:t>yourself</w:t>
      </w:r>
      <w:r>
        <w:rPr>
          <w:rFonts w:eastAsia="Calibri" w:cs="LinLibertineT" w:ascii="LinLibertineT" w:hAnsi="LinLibertineT"/>
          <w:sz w:val="22"/>
          <w:szCs w:val="22"/>
        </w:rPr>
        <w:t>, elsewhere in physical reality.</w:t>
      </w:r>
    </w:p>
    <w:p>
      <w:pPr>
        <w:pStyle w:val="Normal"/>
        <w:spacing w:before="0" w:after="0"/>
        <w:contextualSpacing/>
        <w:jc w:val="left"/>
        <w:rPr/>
      </w:pPr>
      <w:r>
        <w:rPr>
          <w:rFonts w:eastAsia="Calibri" w:cs="LinLibertineT" w:ascii="LinLibertineT" w:hAnsi="LinLibertineT"/>
          <w:sz w:val="22"/>
          <w:szCs w:val="22"/>
        </w:rPr>
        <w:t xml:space="preserve">But there is a certain problem associated with even this </w:t>
      </w:r>
      <w:r>
        <w:rPr>
          <w:rFonts w:eastAsia="Calibri" w:cs="LinLibertineTI" w:ascii="LinLibertineTI" w:hAnsi="LinLibertineTI"/>
          <w:sz w:val="22"/>
          <w:szCs w:val="22"/>
        </w:rPr>
        <w:t xml:space="preserve">many </w:t>
      </w:r>
      <w:r>
        <w:rPr>
          <w:rFonts w:eastAsia="Calibri" w:cs="LinLibertineT" w:ascii="LinLibertineT" w:hAnsi="LinLibertineT"/>
          <w:sz w:val="22"/>
          <w:szCs w:val="22"/>
        </w:rPr>
        <w:t>minds view, in the decoherence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based version appreciated by Lockwood, Zeh, andWallace. This problem is that the “branches”</w:t>
      </w:r>
    </w:p>
    <w:p>
      <w:pPr>
        <w:pStyle w:val="Normal"/>
        <w:spacing w:before="0" w:after="0"/>
        <w:contextualSpacing/>
        <w:jc w:val="left"/>
        <w:rPr/>
      </w:pPr>
      <w:r>
        <w:rPr>
          <w:rFonts w:eastAsia="Calibri" w:cs="LinLibertineT" w:ascii="LinLibertineT" w:hAnsi="LinLibertineT"/>
          <w:sz w:val="22"/>
          <w:szCs w:val="22"/>
        </w:rPr>
        <w:t xml:space="preserve">of the “mutliverse” are never really </w:t>
      </w:r>
      <w:r>
        <w:rPr>
          <w:rFonts w:eastAsia="Calibri" w:cs="LinLibertineTI" w:ascii="LinLibertineTI" w:hAnsi="LinLibertineTI"/>
          <w:sz w:val="22"/>
          <w:szCs w:val="22"/>
        </w:rPr>
        <w:t>separated</w:t>
      </w:r>
      <w:r>
        <w:rPr>
          <w:rFonts w:eastAsia="Calibri" w:cs="LinLibertineT" w:ascii="LinLibertineT" w:hAnsi="LinLibertineT"/>
          <w:sz w:val="22"/>
          <w:szCs w:val="22"/>
        </w:rPr>
        <w:t>, but will always (weakly) overlap. The conscious</w:t>
      </w:r>
    </w:p>
    <w:p>
      <w:pPr>
        <w:pStyle w:val="Normal"/>
        <w:spacing w:before="0" w:after="0"/>
        <w:contextualSpacing/>
        <w:jc w:val="left"/>
        <w:rPr/>
      </w:pPr>
      <w:r>
        <w:rPr>
          <w:rFonts w:eastAsia="Calibri" w:cs="LinLibertineT" w:ascii="LinLibertineT" w:hAnsi="LinLibertineT"/>
          <w:sz w:val="22"/>
          <w:szCs w:val="22"/>
        </w:rPr>
        <w:t xml:space="preserve">states associated with actual observations, however, </w:t>
      </w:r>
      <w:r>
        <w:rPr>
          <w:rFonts w:eastAsia="Calibri" w:cs="LinLibertineTI" w:ascii="LinLibertineTI" w:hAnsi="LinLibertineTI"/>
          <w:sz w:val="22"/>
          <w:szCs w:val="22"/>
        </w:rPr>
        <w:t>do not overlap at all</w:t>
      </w:r>
      <w:r>
        <w:rPr>
          <w:rFonts w:eastAsia="Calibri" w:cs="LinLibertineT" w:ascii="LinLibertineT" w:hAnsi="LinLibertineT"/>
          <w:sz w:val="22"/>
          <w:szCs w:val="22"/>
        </w:rPr>
        <w:t xml:space="preserve">—I simply </w:t>
      </w:r>
      <w:r>
        <w:rPr>
          <w:rFonts w:eastAsia="Calibri" w:cs="LinLibertineTI" w:ascii="LinLibertineTI" w:hAnsi="LinLibertineTI"/>
          <w:sz w:val="22"/>
          <w:szCs w:val="22"/>
        </w:rPr>
        <w:t xml:space="preserve">do not feel </w:t>
      </w:r>
      <w:r>
        <w:rPr>
          <w:rFonts w:eastAsia="Calibri" w:cs="LinLibertineT" w:ascii="LinLibertineT" w:hAnsi="LinLibertineT"/>
          <w:sz w:val="22"/>
          <w:szCs w:val="22"/>
        </w:rPr>
        <w:t>to</w:t>
      </w:r>
    </w:p>
    <w:p>
      <w:pPr>
        <w:pStyle w:val="Normal"/>
        <w:spacing w:before="0" w:after="0"/>
        <w:contextualSpacing/>
        <w:jc w:val="left"/>
        <w:rPr/>
      </w:pPr>
      <w:r>
        <w:rPr>
          <w:rFonts w:eastAsia="Calibri" w:cs="LinLibertineT" w:ascii="LinLibertineT" w:hAnsi="LinLibertineT"/>
          <w:sz w:val="22"/>
          <w:szCs w:val="22"/>
        </w:rPr>
        <w:t xml:space="preserve">have perceived “spin down” </w:t>
      </w:r>
      <w:r>
        <w:rPr>
          <w:rFonts w:eastAsia="Calibri" w:cs="LinLibertineTI" w:ascii="LinLibertineTI" w:hAnsi="LinLibertineTI"/>
          <w:sz w:val="22"/>
          <w:szCs w:val="22"/>
        </w:rPr>
        <w:t xml:space="preserve">the least bit </w:t>
      </w:r>
      <w:r>
        <w:rPr>
          <w:rFonts w:eastAsia="Calibri" w:cs="LinLibertineT" w:ascii="LinLibertineT" w:hAnsi="LinLibertineT"/>
          <w:sz w:val="22"/>
          <w:szCs w:val="22"/>
        </w:rPr>
        <w:t>when my spin measurement clearly reveals “spin up”.</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Consciousness, in other words, will have to “cut o_” the branches in a way that decoherence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strictly never does.</w:t>
      </w:r>
    </w:p>
    <w:p>
      <w:pPr>
        <w:pStyle w:val="Normal"/>
        <w:spacing w:before="0" w:after="0"/>
        <w:contextualSpacing/>
        <w:jc w:val="left"/>
        <w:rPr/>
      </w:pPr>
      <w:r>
        <w:rPr>
          <w:rFonts w:eastAsia="Calibri" w:cs="LinLibertineT" w:ascii="LinLibertineT" w:hAnsi="LinLibertineT"/>
          <w:sz w:val="22"/>
          <w:szCs w:val="22"/>
        </w:rPr>
        <w:t xml:space="preserve">So states of consciousness will have to be </w:t>
      </w:r>
      <w:r>
        <w:rPr>
          <w:rFonts w:eastAsia="Calibri" w:cs="LinLibertineTI" w:ascii="LinLibertineTI" w:hAnsi="LinLibertineTI"/>
          <w:sz w:val="22"/>
          <w:szCs w:val="22"/>
        </w:rPr>
        <w:t xml:space="preserve">added </w:t>
      </w:r>
      <w:r>
        <w:rPr>
          <w:rFonts w:eastAsia="Calibri" w:cs="LinLibertineT" w:ascii="LinLibertineT" w:hAnsi="LinLibertineT"/>
          <w:sz w:val="22"/>
          <w:szCs w:val="22"/>
        </w:rPr>
        <w:t>to the MWI, as they cannot be identical</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with any of the (always slightly overlapping) physical states, and Albert and Loewer’s verdict</w:t>
      </w:r>
    </w:p>
    <w:p>
      <w:pPr>
        <w:pStyle w:val="Normal"/>
        <w:spacing w:before="0" w:after="0"/>
        <w:contextualSpacing/>
        <w:jc w:val="left"/>
        <w:rPr/>
      </w:pPr>
      <w:r>
        <w:rPr>
          <w:rFonts w:eastAsia="Calibri" w:cs="LinLibertineT" w:ascii="LinLibertineT" w:hAnsi="LinLibertineT"/>
          <w:sz w:val="22"/>
          <w:szCs w:val="22"/>
        </w:rPr>
        <w:t>that ‘</w:t>
      </w:r>
      <w:r>
        <w:rPr>
          <w:rFonts w:eastAsia="Calibri" w:cs="LinLibertineTI" w:ascii="LinLibertineTI" w:hAnsi="LinLibertineTI"/>
          <w:sz w:val="22"/>
          <w:szCs w:val="22"/>
        </w:rPr>
        <w:t xml:space="preserve">any </w:t>
      </w:r>
      <w:r>
        <w:rPr>
          <w:rFonts w:eastAsia="Calibri" w:cs="LinLibertineT" w:ascii="LinLibertineT" w:hAnsi="LinLibertineT"/>
          <w:sz w:val="22"/>
          <w:szCs w:val="22"/>
        </w:rPr>
        <w:t>many worlds interpretation which respects’ that agents can correctly access and</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report their own beliefs ‘will be committed to some form of non-physicalism’ (1988, p. 206;</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original emphasis) seems entirely correct. This invalidates a central virtue of the MWI, ‘that it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purports to explain how to make sense of quantum theory without adding extra equations or</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interpretational postulates.’ (Kent, 2010, p. 311) But consciousness thus also receives a rather</w:t>
      </w:r>
    </w:p>
    <w:p>
      <w:pPr>
        <w:pStyle w:val="Normal"/>
        <w:spacing w:before="0" w:after="0"/>
        <w:contextualSpacing/>
        <w:jc w:val="left"/>
        <w:rPr/>
      </w:pPr>
      <w:r>
        <w:rPr>
          <w:rFonts w:eastAsia="Calibri" w:cs="LinLibertineTI" w:ascii="LinLibertineTI" w:hAnsi="LinLibertineTI"/>
          <w:sz w:val="22"/>
          <w:szCs w:val="22"/>
        </w:rPr>
        <w:t xml:space="preserve">central role </w:t>
      </w:r>
      <w:r>
        <w:rPr>
          <w:rFonts w:eastAsia="Calibri" w:cs="LinLibertineT" w:ascii="LinLibertineT" w:hAnsi="LinLibertineT"/>
          <w:sz w:val="22"/>
          <w:szCs w:val="22"/>
        </w:rPr>
        <w:t>for the MWI, as it is only in relation to conscious experience that the “apparent”,</w:t>
      </w:r>
    </w:p>
    <w:p>
      <w:pPr>
        <w:pStyle w:val="Normal"/>
        <w:spacing w:before="0" w:after="0"/>
        <w:contextualSpacing/>
        <w:jc w:val="left"/>
        <w:rPr/>
      </w:pPr>
      <w:r>
        <w:rPr>
          <w:rFonts w:eastAsia="Calibri" w:cs="LinLibertineT" w:ascii="LinLibertineT" w:hAnsi="LinLibertineT"/>
          <w:sz w:val="22"/>
          <w:szCs w:val="22"/>
        </w:rPr>
        <w:t>“</w:t>
      </w:r>
      <w:r>
        <w:rPr>
          <w:rFonts w:eastAsia="Calibri" w:cs="LinLibertineT" w:ascii="LinLibertineT" w:hAnsi="LinLibertineT"/>
          <w:sz w:val="22"/>
          <w:szCs w:val="22"/>
        </w:rPr>
        <w:t xml:space="preserve">non-overlapping” worlds </w:t>
      </w:r>
      <w:r>
        <w:rPr>
          <w:rFonts w:eastAsia="Calibri" w:cs="LinLibertineTI" w:ascii="LinLibertineTI" w:hAnsi="LinLibertineTI"/>
          <w:sz w:val="22"/>
          <w:szCs w:val="22"/>
        </w:rPr>
        <w:t>exist</w:t>
      </w:r>
      <w:r>
        <w:rPr>
          <w:rFonts w:eastAsia="Calibri" w:cs="LinLibertineT" w:ascii="LinLibertineT" w:hAnsi="LinLibertineT"/>
          <w:sz w:val="22"/>
          <w:szCs w:val="22"/>
        </w:rPr>
        <w:t xml:space="preserve">; those worlds in which we gather all </w:t>
      </w:r>
      <w:r>
        <w:rPr>
          <w:rFonts w:eastAsia="Calibri" w:cs="LinLibertineTI" w:ascii="LinLibertineTI" w:hAnsi="LinLibertineTI"/>
          <w:sz w:val="22"/>
          <w:szCs w:val="22"/>
        </w:rPr>
        <w:t xml:space="preserve">evidence </w:t>
      </w:r>
      <w:r>
        <w:rPr>
          <w:rFonts w:eastAsia="Calibri" w:cs="LinLibertineT" w:ascii="LinLibertineT" w:hAnsi="LinLibertineT"/>
          <w:sz w:val="22"/>
          <w:szCs w:val="22"/>
        </w:rPr>
        <w:t>for QT and decoherence,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after all. (pp. 11-12)</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pPr>
      <w:r>
        <w:rPr>
          <w:rFonts w:eastAsia="Calibri" w:cs="LinLibertineT" w:ascii="LinLibertineT" w:hAnsi="LinLibertineT"/>
          <w:color w:val="FF0000"/>
          <w:sz w:val="22"/>
          <w:szCs w:val="22"/>
        </w:rPr>
        <w:t xml:space="preserve">[again, UNBELIEVABLE similar ideas to my ideas! For instance, the expression </w:t>
      </w:r>
      <w:r>
        <w:rPr>
          <w:rFonts w:eastAsia="Calibri" w:cs="LinLibertineT" w:ascii="LinLibertineT" w:hAnsi="LinLibertineT"/>
          <w:sz w:val="22"/>
          <w:szCs w:val="22"/>
        </w:rPr>
        <w:t>the “branches”</w:t>
      </w:r>
    </w:p>
    <w:p>
      <w:pPr>
        <w:pStyle w:val="Normal"/>
        <w:spacing w:before="0" w:after="0"/>
        <w:contextualSpacing/>
        <w:jc w:val="left"/>
        <w:rPr/>
      </w:pPr>
      <w:r>
        <w:rPr>
          <w:rFonts w:eastAsia="Calibri" w:cs="LinLibertineT" w:ascii="LinLibertineT" w:hAnsi="LinLibertineT"/>
          <w:sz w:val="22"/>
          <w:szCs w:val="22"/>
        </w:rPr>
        <w:t xml:space="preserve">of the “mutliverse” are never really </w:t>
      </w:r>
      <w:r>
        <w:rPr>
          <w:rFonts w:eastAsia="Calibri" w:cs="LinLibertineTI" w:ascii="LinLibertineTI" w:hAnsi="LinLibertineTI"/>
          <w:sz w:val="22"/>
          <w:szCs w:val="22"/>
        </w:rPr>
        <w:t>separated</w:t>
      </w:r>
      <w:r>
        <w:rPr>
          <w:rFonts w:eastAsia="Calibri" w:cs="LinLibertineT" w:ascii="LinLibertineT" w:hAnsi="LinLibertineT"/>
          <w:sz w:val="22"/>
          <w:szCs w:val="22"/>
        </w:rPr>
        <w:t>, but will always (weakly) overlap mirror EXACTLY my EDWs!!!!</w:t>
      </w:r>
      <w:r>
        <w:rPr>
          <w:rFonts w:eastAsia="Calibri" w:cs="LinLibertineT" w:ascii="LinLibertineT" w:hAnsi="LinLibertineT"/>
          <w:color w:val="FF0000"/>
          <w:sz w:val="22"/>
          <w:szCs w:val="22"/>
        </w:rPr>
        <w:t>]</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The problems with this single mind view are numerous, for instance that as long as one</w:t>
      </w:r>
    </w:p>
    <w:p>
      <w:pPr>
        <w:pStyle w:val="Normal"/>
        <w:spacing w:before="0" w:after="0"/>
        <w:contextualSpacing/>
        <w:jc w:val="left"/>
        <w:rPr/>
      </w:pPr>
      <w:r>
        <w:rPr>
          <w:rFonts w:eastAsia="Calibri" w:cs="LinLibertineT" w:ascii="LinLibertineT" w:hAnsi="LinLibertineT"/>
          <w:sz w:val="22"/>
          <w:szCs w:val="22"/>
        </w:rPr>
        <w:t xml:space="preserve">assumes that ‘when </w:t>
      </w:r>
      <w:r>
        <w:rPr>
          <w:rFonts w:eastAsia="Calibri" w:cs="STIXMathCalligraphy-Regular" w:ascii="STIXMathCalligraphy-Regular" w:hAnsi="STIXMathCalligraphy-Regular"/>
          <w:sz w:val="22"/>
          <w:szCs w:val="22"/>
        </w:rPr>
        <w:t xml:space="preserve">A </w:t>
      </w:r>
      <w:r>
        <w:rPr>
          <w:rFonts w:eastAsia="Calibri" w:cs="LinLibertineT" w:ascii="LinLibertineT" w:hAnsi="LinLibertineT"/>
          <w:sz w:val="22"/>
          <w:szCs w:val="22"/>
        </w:rPr>
        <w:t xml:space="preserve">sincerely reports that she has a de_nite belief about the value of </w:t>
      </w:r>
      <w:r>
        <w:rPr>
          <w:rFonts w:eastAsia="Calibri" w:cs="LibertinusT1Math" w:ascii="LibertinusT1Math" w:hAnsi="LibertinusT1Math"/>
          <w:sz w:val="22"/>
          <w:szCs w:val="22"/>
        </w:rPr>
        <w:t>x</w:t>
      </w:r>
      <w:r>
        <w:rPr>
          <w:rFonts w:eastAsia="Calibri" w:cs="LinLibertineT" w:ascii="LinLibertineT" w:hAnsi="LinLibertineT"/>
          <w:sz w:val="22"/>
          <w:szCs w:val="22"/>
        </w:rPr>
        <w:t>-</w:t>
      </w:r>
    </w:p>
    <w:p>
      <w:pPr>
        <w:pStyle w:val="Normal"/>
        <w:spacing w:before="0" w:after="0"/>
        <w:contextualSpacing/>
        <w:jc w:val="left"/>
        <w:rPr/>
      </w:pPr>
      <w:r>
        <w:rPr>
          <w:rFonts w:eastAsia="Calibri" w:cs="LinLibertineT" w:ascii="LinLibertineT" w:hAnsi="LinLibertineT"/>
          <w:sz w:val="22"/>
          <w:szCs w:val="22"/>
        </w:rPr>
        <w:t xml:space="preserve">spin[...] then </w:t>
      </w:r>
      <w:r>
        <w:rPr>
          <w:rFonts w:eastAsia="Calibri" w:cs="STIXMathCalligraphy-Regular" w:ascii="STIXMathCalligraphy-Regular" w:hAnsi="STIXMathCalligraphy-Regular"/>
          <w:sz w:val="22"/>
          <w:szCs w:val="22"/>
        </w:rPr>
        <w:t xml:space="preserve">A </w:t>
      </w:r>
      <w:r>
        <w:rPr>
          <w:rFonts w:eastAsia="Calibri" w:cs="LinLibertineT" w:ascii="LinLibertineT" w:hAnsi="LinLibertineT"/>
          <w:sz w:val="22"/>
          <w:szCs w:val="22"/>
        </w:rPr>
        <w:t xml:space="preserve">does believe that the </w:t>
      </w:r>
      <w:r>
        <w:rPr>
          <w:rFonts w:eastAsia="Calibri" w:cs="LibertinusT1Math" w:ascii="LibertinusT1Math" w:hAnsi="LibertinusT1Math"/>
          <w:sz w:val="22"/>
          <w:szCs w:val="22"/>
        </w:rPr>
        <w:t>x</w:t>
      </w:r>
      <w:r>
        <w:rPr>
          <w:rFonts w:eastAsia="Calibri" w:cs="LinLibertineT" w:ascii="LinLibertineT" w:hAnsi="LinLibertineT"/>
          <w:sz w:val="22"/>
          <w:szCs w:val="22"/>
        </w:rPr>
        <w:t>-spin has a de_nite value’ (Albert and Loewer, 1988, p.</w:t>
      </w:r>
    </w:p>
    <w:p>
      <w:pPr>
        <w:pStyle w:val="Normal"/>
        <w:spacing w:before="0" w:after="0"/>
        <w:contextualSpacing/>
        <w:jc w:val="left"/>
        <w:rPr/>
      </w:pPr>
      <w:r>
        <w:rPr>
          <w:rFonts w:eastAsia="Calibri" w:cs="LinLibertineT" w:ascii="LinLibertineT" w:hAnsi="LinLibertineT"/>
          <w:sz w:val="22"/>
          <w:szCs w:val="22"/>
        </w:rPr>
        <w:t xml:space="preserve">205), it implies that ‘mental states do not even </w:t>
      </w:r>
      <w:r>
        <w:rPr>
          <w:rFonts w:eastAsia="Calibri" w:cs="LinLibertineTI" w:ascii="LinLibertineTI" w:hAnsi="LinLibertineTI"/>
          <w:sz w:val="22"/>
          <w:szCs w:val="22"/>
        </w:rPr>
        <w:t xml:space="preserve">supervene </w:t>
      </w:r>
      <w:r>
        <w:rPr>
          <w:rFonts w:eastAsia="Calibri" w:cs="LinLibertineT" w:ascii="LinLibertineT" w:hAnsi="LinLibertineT"/>
          <w:sz w:val="22"/>
          <w:szCs w:val="22"/>
        </w:rPr>
        <w:t>on brain states [...] since one cannot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tell from the state of a brain what its single mind believes.’ (Albert and Loewer, 1988, p. 206;</w:t>
      </w:r>
    </w:p>
    <w:p>
      <w:pPr>
        <w:pStyle w:val="Normal"/>
        <w:spacing w:before="0" w:after="0"/>
        <w:contextualSpacing/>
        <w:jc w:val="left"/>
        <w:rPr/>
      </w:pPr>
      <w:r>
        <w:rPr>
          <w:rFonts w:eastAsia="Calibri" w:cs="LinLibertineT" w:ascii="LinLibertineT" w:hAnsi="LinLibertineT"/>
          <w:sz w:val="22"/>
          <w:szCs w:val="22"/>
        </w:rPr>
        <w:t>original emphasis) And it equally creates the ‘</w:t>
      </w:r>
      <w:r>
        <w:rPr>
          <w:rFonts w:eastAsia="Calibri" w:cs="LinLibertineTI" w:ascii="LinLibertineTI" w:hAnsi="LinLibertineTI"/>
          <w:sz w:val="22"/>
          <w:szCs w:val="22"/>
        </w:rPr>
        <w:t xml:space="preserve">mindless hulk </w:t>
      </w:r>
      <w:r>
        <w:rPr>
          <w:rFonts w:eastAsia="Calibri" w:cs="LinLibertineT" w:ascii="LinLibertineT" w:hAnsi="LinLibertineT"/>
          <w:sz w:val="22"/>
          <w:szCs w:val="22"/>
        </w:rPr>
        <w:t>problem’, namely that ‘[i]f I embark</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on what I take to be a conversation with my wife, how would I know, on this view, that there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was really “anyone at home”?’ (Lockwood, 1996, p. 175; original emphasis)</w:t>
      </w:r>
    </w:p>
    <w:p>
      <w:pPr>
        <w:pStyle w:val="Normal"/>
        <w:spacing w:before="0" w:after="0"/>
        <w:contextualSpacing/>
        <w:jc w:val="left"/>
        <w:rPr/>
      </w:pPr>
      <w:r>
        <w:rPr>
          <w:rFonts w:eastAsia="Calibri" w:cs="LinLibertineT" w:ascii="LinLibertineT" w:hAnsi="LinLibertineT"/>
          <w:sz w:val="22"/>
          <w:szCs w:val="22"/>
        </w:rPr>
        <w:t xml:space="preserve">My dispositionalist assessment of decoherence is di_erent in that I have assumed </w:t>
      </w:r>
      <w:r>
        <w:rPr>
          <w:rFonts w:eastAsia="Calibri" w:cs="LinLibertineTI" w:ascii="LinLibertineTI" w:hAnsi="LinLibertineTI"/>
          <w:sz w:val="22"/>
          <w:szCs w:val="22"/>
        </w:rPr>
        <w:t xml:space="preserve">only one </w:t>
      </w:r>
      <w:r>
        <w:rPr>
          <w:rFonts w:eastAsia="Calibri" w:cs="LinLibertineT" w:ascii="LinLibertineT" w:hAnsi="LinLibertineT"/>
          <w:sz w:val="22"/>
          <w:szCs w:val="22"/>
        </w:rPr>
        <w:t>of</w:t>
      </w:r>
    </w:p>
    <w:p>
      <w:pPr>
        <w:pStyle w:val="Normal"/>
        <w:spacing w:before="0" w:after="0"/>
        <w:contextualSpacing/>
        <w:jc w:val="left"/>
        <w:rPr/>
      </w:pPr>
      <w:r>
        <w:rPr>
          <w:rFonts w:eastAsia="Calibri" w:cs="LinLibertineT" w:ascii="LinLibertineT" w:hAnsi="LinLibertineT"/>
          <w:sz w:val="22"/>
          <w:szCs w:val="22"/>
        </w:rPr>
        <w:t xml:space="preserve">the dispositions to become </w:t>
      </w:r>
      <w:r>
        <w:rPr>
          <w:rFonts w:eastAsia="Calibri" w:cs="LinLibertineTI" w:ascii="LinLibertineTI" w:hAnsi="LinLibertineTI"/>
          <w:sz w:val="22"/>
          <w:szCs w:val="22"/>
        </w:rPr>
        <w:t xml:space="preserve">ampli_ed </w:t>
      </w:r>
      <w:r>
        <w:rPr>
          <w:rFonts w:eastAsia="Calibri" w:cs="LinLibertineT" w:ascii="LinLibertineT" w:hAnsi="LinLibertineT"/>
          <w:sz w:val="22"/>
          <w:szCs w:val="22"/>
        </w:rPr>
        <w:t xml:space="preserve">over the others for </w:t>
      </w:r>
      <w:r>
        <w:rPr>
          <w:rFonts w:eastAsia="Calibri" w:cs="LinLibertineTI" w:ascii="LinLibertineTI" w:hAnsi="LinLibertineTI"/>
          <w:sz w:val="22"/>
          <w:szCs w:val="22"/>
        </w:rPr>
        <w:t xml:space="preserve">all </w:t>
      </w:r>
      <w:r>
        <w:rPr>
          <w:rFonts w:eastAsia="Calibri" w:cs="LinLibertineT" w:ascii="LinLibertineT" w:hAnsi="LinLibertineT"/>
          <w:sz w:val="22"/>
          <w:szCs w:val="22"/>
        </w:rPr>
        <w:t>conscious observers. In this way,</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consciousness may supervene on the brain states (it is associated only with the dominant ones),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there will be no mindless hulks (every conscious biological organism has a conscious mind,</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associated with its dominantly manifest dispositions), and, as I have explained, consciousness</w:t>
      </w:r>
    </w:p>
    <w:p>
      <w:pPr>
        <w:pStyle w:val="Normal"/>
        <w:spacing w:before="0" w:after="0"/>
        <w:contextualSpacing/>
        <w:jc w:val="left"/>
        <w:rPr/>
      </w:pPr>
      <w:r>
        <w:rPr>
          <w:rFonts w:eastAsia="Calibri" w:cs="LinLibertineT" w:ascii="LinLibertineT" w:hAnsi="LinLibertineT"/>
          <w:sz w:val="22"/>
          <w:szCs w:val="22"/>
        </w:rPr>
        <w:t xml:space="preserve">does not play any </w:t>
      </w:r>
      <w:r>
        <w:rPr>
          <w:rFonts w:eastAsia="Calibri" w:cs="LinLibertineTI" w:ascii="LinLibertineTI" w:hAnsi="LinLibertineTI"/>
          <w:sz w:val="22"/>
          <w:szCs w:val="22"/>
        </w:rPr>
        <w:t xml:space="preserve">fundamental </w:t>
      </w:r>
      <w:r>
        <w:rPr>
          <w:rFonts w:eastAsia="Calibri" w:cs="LinLibertineT" w:ascii="LinLibertineT" w:hAnsi="LinLibertineT"/>
          <w:sz w:val="22"/>
          <w:szCs w:val="22"/>
        </w:rPr>
        <w:t>role in the interpretation of the theory. (p. 13)</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[obviously, we are within the EDWs!!!!!!!!!!!!!!!!!!!!!!!!!!!!!!! UNBELIEVABLE similar ideas to my ideas 2002-2008!!!!!]</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BiolinumTB" w:hAnsi="LinBiolinumTB" w:eastAsia="Calibri" w:cs="LinBiolinumTB"/>
        </w:rPr>
      </w:pPr>
      <w:r>
        <w:rPr>
          <w:rFonts w:eastAsia="Calibri" w:cs="LinBiolinumTB" w:ascii="LinBiolinumTB" w:hAnsi="LinBiolinumTB"/>
        </w:rPr>
        <w:t>3.2 Spooky Manifestation at a Distance?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Basically, there are three main options for a causal account of the situation (e.g. Suárez, 2004;</w:t>
      </w:r>
    </w:p>
    <w:p>
      <w:pPr>
        <w:pStyle w:val="Normal"/>
        <w:spacing w:before="0" w:after="0"/>
        <w:contextualSpacing/>
        <w:jc w:val="left"/>
        <w:rPr/>
      </w:pPr>
      <w:r>
        <w:rPr>
          <w:rFonts w:eastAsia="Calibri" w:cs="LinLibertineT" w:ascii="LinLibertineT" w:hAnsi="LinLibertineT"/>
          <w:sz w:val="22"/>
          <w:szCs w:val="22"/>
        </w:rPr>
        <w:t xml:space="preserve">Näger, 2016): (i) the </w:t>
      </w:r>
      <w:r>
        <w:rPr>
          <w:rFonts w:eastAsia="Calibri" w:cs="LinLibertineTI" w:ascii="LinLibertineTI" w:hAnsi="LinLibertineTI"/>
          <w:sz w:val="22"/>
          <w:szCs w:val="22"/>
        </w:rPr>
        <w:t xml:space="preserve">outcomes </w:t>
      </w:r>
      <w:r>
        <w:rPr>
          <w:rFonts w:eastAsia="Calibri" w:cs="LinLibertineT" w:ascii="LinLibertineT" w:hAnsi="LinLibertineT"/>
          <w:sz w:val="22"/>
          <w:szCs w:val="22"/>
        </w:rPr>
        <w:t xml:space="preserve">directly in_uence each other causally, (ii) the distant </w:t>
      </w:r>
      <w:r>
        <w:rPr>
          <w:rFonts w:eastAsia="Calibri" w:cs="LinLibertineTI" w:ascii="LinLibertineTI" w:hAnsi="LinLibertineTI"/>
          <w:sz w:val="22"/>
          <w:szCs w:val="22"/>
        </w:rPr>
        <w:t xml:space="preserve">setting </w:t>
      </w:r>
      <w:r>
        <w:rPr>
          <w:rFonts w:eastAsia="Calibri" w:cs="LinLibertineT" w:ascii="LinLibertineT" w:hAnsi="LinLibertineT"/>
          <w:sz w:val="22"/>
          <w:szCs w:val="22"/>
        </w:rPr>
        <w:t>(of</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the measuring device and environmental conditions) causally in_uences the local outcome, or</w:t>
      </w:r>
    </w:p>
    <w:p>
      <w:pPr>
        <w:pStyle w:val="Normal"/>
        <w:spacing w:before="0" w:after="0"/>
        <w:contextualSpacing/>
        <w:jc w:val="left"/>
        <w:rPr/>
      </w:pPr>
      <w:r>
        <w:rPr>
          <w:rFonts w:eastAsia="Calibri" w:cs="LinLibertineT" w:ascii="LinLibertineT" w:hAnsi="LinLibertineT"/>
          <w:sz w:val="22"/>
          <w:szCs w:val="22"/>
        </w:rPr>
        <w:t xml:space="preserve">(iii) there is a (hidden) </w:t>
      </w:r>
      <w:r>
        <w:rPr>
          <w:rFonts w:eastAsia="Calibri" w:cs="LinLibertineTI" w:ascii="LinLibertineTI" w:hAnsi="LinLibertineTI"/>
          <w:sz w:val="22"/>
          <w:szCs w:val="22"/>
        </w:rPr>
        <w:t xml:space="preserve">common cause </w:t>
      </w:r>
      <w:r>
        <w:rPr>
          <w:rFonts w:eastAsia="Calibri" w:cs="LinLibertineT" w:ascii="LinLibertineT" w:hAnsi="LinLibertineT"/>
          <w:sz w:val="22"/>
          <w:szCs w:val="22"/>
        </w:rPr>
        <w:t>for the correlation.</w:t>
      </w:r>
    </w:p>
    <w:p>
      <w:pPr>
        <w:pStyle w:val="Normal"/>
        <w:spacing w:before="0" w:after="0"/>
        <w:contextualSpacing/>
        <w:jc w:val="left"/>
        <w:rPr/>
      </w:pPr>
      <w:r>
        <w:rPr>
          <w:rFonts w:eastAsia="Calibri" w:cs="LinLibertineT" w:ascii="LinLibertineT" w:hAnsi="LinLibertineT"/>
          <w:sz w:val="22"/>
          <w:szCs w:val="22"/>
        </w:rPr>
        <w:t xml:space="preserve">Now as regards options (i) and (ii), a result by Näger (2013) suggests that dependence on </w:t>
      </w:r>
      <w:r>
        <w:rPr>
          <w:rFonts w:eastAsia="Calibri" w:cs="LinLibertineTI" w:ascii="LinLibertineTI" w:hAnsi="LinLibertineTI"/>
          <w:sz w:val="22"/>
          <w:szCs w:val="22"/>
        </w:rPr>
        <w:t>both</w:t>
      </w:r>
    </w:p>
    <w:p>
      <w:pPr>
        <w:pStyle w:val="Normal"/>
        <w:spacing w:before="0" w:after="0"/>
        <w:contextualSpacing/>
        <w:jc w:val="left"/>
        <w:rPr/>
      </w:pPr>
      <w:r>
        <w:rPr>
          <w:rFonts w:eastAsia="Calibri" w:cs="LinLibertineTI" w:ascii="LinLibertineTI" w:hAnsi="LinLibertineTI"/>
          <w:sz w:val="22"/>
          <w:szCs w:val="22"/>
        </w:rPr>
        <w:t xml:space="preserve">settings </w:t>
      </w:r>
      <w:r>
        <w:rPr>
          <w:rFonts w:eastAsia="Calibri" w:cs="LinLibertineT" w:ascii="LinLibertineT" w:hAnsi="LinLibertineT"/>
          <w:sz w:val="22"/>
          <w:szCs w:val="22"/>
        </w:rPr>
        <w:t>needs to be assumed to avoid the derivation of a Bell-type inequality. This is unproblematic</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in principle for the dispositionalist: The local environment, featuring also the “setting</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conditions”, will obviously _gure in the local manifestation; and that the remote environment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will apparently exert an in_uence as well has already been acknowledged. Nevertheless, the</w:t>
      </w:r>
    </w:p>
    <w:p>
      <w:pPr>
        <w:pStyle w:val="Normal"/>
        <w:spacing w:before="0" w:after="0"/>
        <w:contextualSpacing/>
        <w:jc w:val="left"/>
        <w:rPr/>
      </w:pPr>
      <w:r>
        <w:rPr>
          <w:rFonts w:eastAsia="Calibri" w:cs="LinLibertineT" w:ascii="LinLibertineT" w:hAnsi="LinLibertineT"/>
          <w:sz w:val="22"/>
          <w:szCs w:val="22"/>
        </w:rPr>
        <w:t xml:space="preserve">causation would be </w:t>
      </w:r>
      <w:r>
        <w:rPr>
          <w:rFonts w:eastAsia="Calibri" w:cs="LinLibertineTI" w:ascii="LinLibertineTI" w:hAnsi="LinLibertineTI"/>
          <w:sz w:val="22"/>
          <w:szCs w:val="22"/>
        </w:rPr>
        <w:t>superluminal</w:t>
      </w:r>
      <w:r>
        <w:rPr>
          <w:rFonts w:eastAsia="Calibri" w:cs="LinLibertineT" w:ascii="LinLibertineT" w:hAnsi="LinLibertineT"/>
          <w:sz w:val="22"/>
          <w:szCs w:val="22"/>
        </w:rPr>
        <w:t>, and hence imply daunting consequences like the in-principle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possibility of causal loops.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Option (iii) has been suggested e.g. by Mittelstaedt (1998) and Näger (2016). While Näger</w:t>
      </w:r>
    </w:p>
    <w:p>
      <w:pPr>
        <w:pStyle w:val="Normal"/>
        <w:spacing w:before="0" w:after="0"/>
        <w:contextualSpacing/>
        <w:jc w:val="left"/>
        <w:rPr/>
      </w:pPr>
      <w:r>
        <w:rPr>
          <w:rFonts w:eastAsia="Calibri" w:cs="LinLibertineT" w:ascii="LinLibertineT" w:hAnsi="LinLibertineT"/>
          <w:sz w:val="22"/>
          <w:szCs w:val="22"/>
        </w:rPr>
        <w:t>(cf. 2016, p. 1148) appeals to the traditional collapse-vocabulary,</w:t>
      </w:r>
      <w:r>
        <w:rPr>
          <w:rFonts w:eastAsia="Calibri" w:cs="LinLibertineT" w:ascii="LinLibertineT" w:hAnsi="LinLibertineT"/>
          <w:sz w:val="16"/>
          <w:szCs w:val="16"/>
        </w:rPr>
        <w:t xml:space="preserve">14 </w:t>
      </w:r>
      <w:r>
        <w:rPr>
          <w:rFonts w:eastAsia="Calibri" w:cs="LinLibertineT" w:ascii="LinLibertineT" w:hAnsi="LinLibertineT"/>
          <w:sz w:val="22"/>
          <w:szCs w:val="22"/>
        </w:rPr>
        <w:t>Mittelstaedt (1998, p. 158;</w:t>
      </w:r>
    </w:p>
    <w:p>
      <w:pPr>
        <w:pStyle w:val="Normal"/>
        <w:spacing w:before="0" w:after="0"/>
        <w:contextualSpacing/>
        <w:jc w:val="left"/>
        <w:rPr/>
      </w:pPr>
      <w:r>
        <w:rPr>
          <w:rFonts w:eastAsia="Calibri" w:cs="LinLibertineT" w:ascii="LinLibertineT" w:hAnsi="LinLibertineT"/>
          <w:sz w:val="22"/>
          <w:szCs w:val="22"/>
        </w:rPr>
        <w:t xml:space="preserve">emphasis added) allows that ‘the </w:t>
      </w:r>
      <w:r>
        <w:rPr>
          <w:rFonts w:eastAsia="Calibri" w:cs="LinLibertineTI" w:ascii="LinLibertineTI" w:hAnsi="LinLibertineTI"/>
          <w:sz w:val="22"/>
          <w:szCs w:val="22"/>
        </w:rPr>
        <w:t xml:space="preserve">environment </w:t>
      </w:r>
      <w:r>
        <w:rPr>
          <w:rFonts w:eastAsia="Calibri" w:cs="LinLibertineT" w:ascii="LinLibertineT" w:hAnsi="LinLibertineT"/>
          <w:sz w:val="22"/>
          <w:szCs w:val="22"/>
        </w:rPr>
        <w:t>acts – as a common cause [...] – and provides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simultaneously the objecti_cation’ of two spin observables’ values along the same axis and on</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opposite arms of the experiment. (p. 15)</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Long story short: if we think of the relation between the two manifestation events</w:t>
      </w:r>
    </w:p>
    <w:p>
      <w:pPr>
        <w:pStyle w:val="Normal"/>
        <w:spacing w:before="0" w:after="0"/>
        <w:contextualSpacing/>
        <w:jc w:val="left"/>
        <w:rPr/>
      </w:pPr>
      <w:r>
        <w:rPr>
          <w:rFonts w:eastAsia="Calibri" w:cs="LinLibertineT" w:ascii="LinLibertineT" w:hAnsi="LinLibertineT"/>
          <w:sz w:val="22"/>
          <w:szCs w:val="22"/>
        </w:rPr>
        <w:t xml:space="preserve">as causal, this would violate the causal constraints implied by the relativity theories </w:t>
      </w:r>
      <w:r>
        <w:rPr>
          <w:rFonts w:eastAsia="Calibri" w:cs="LinLibertineTI" w:ascii="LinLibertineTI" w:hAnsi="LinLibertineTI"/>
          <w:sz w:val="22"/>
          <w:szCs w:val="22"/>
        </w:rPr>
        <w:t xml:space="preserve">and </w:t>
      </w:r>
      <w:r>
        <w:rPr>
          <w:rFonts w:eastAsia="Calibri" w:cs="LinLibertineT" w:ascii="LinLibertineT" w:hAnsi="LinLibertineT"/>
          <w:sz w:val="22"/>
          <w:szCs w:val="22"/>
        </w:rPr>
        <w:t>the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probabilisitic-causal constraints of standard accounts of probabilistic causation.</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There is a recent proposal by Gebharter and Retzla_ (unpublished) that I believe can be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exploited to remove the tension within the parameters of my dispositionalist account. Gebharter</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and Retzla_, namely, suggest that correlations like these could be understood in virtue of</w:t>
      </w:r>
    </w:p>
    <w:p>
      <w:pPr>
        <w:pStyle w:val="Normal"/>
        <w:spacing w:before="0" w:after="0"/>
        <w:contextualSpacing/>
        <w:jc w:val="left"/>
        <w:rPr/>
      </w:pPr>
      <w:r>
        <w:rPr>
          <w:rFonts w:eastAsia="Calibri" w:cs="LinLibertineT" w:ascii="LinLibertineT" w:hAnsi="LinLibertineT"/>
          <w:sz w:val="22"/>
          <w:szCs w:val="22"/>
        </w:rPr>
        <w:t>‘</w:t>
      </w:r>
      <w:r>
        <w:rPr>
          <w:rFonts w:eastAsia="Calibri" w:cs="LinLibertineT" w:ascii="LinLibertineT" w:hAnsi="LinLibertineT"/>
          <w:sz w:val="22"/>
          <w:szCs w:val="22"/>
        </w:rPr>
        <w:t xml:space="preserve">common cause triggered non-causal dependencies’ (their pp. 26 _.), i.e. that there </w:t>
      </w:r>
      <w:r>
        <w:rPr>
          <w:rFonts w:eastAsia="Calibri" w:cs="LinLibertineTI" w:ascii="LinLibertineTI" w:hAnsi="LinLibertineTI"/>
          <w:sz w:val="22"/>
          <w:szCs w:val="22"/>
        </w:rPr>
        <w:t xml:space="preserve">is </w:t>
      </w:r>
      <w:r>
        <w:rPr>
          <w:rFonts w:eastAsia="Calibri" w:cs="LinLibertineT" w:ascii="LinLibertineT" w:hAnsi="LinLibertineT"/>
          <w:sz w:val="22"/>
          <w:szCs w:val="22"/>
        </w:rPr>
        <w:t>a common</w:t>
      </w:r>
    </w:p>
    <w:p>
      <w:pPr>
        <w:pStyle w:val="Normal"/>
        <w:spacing w:before="0" w:after="0"/>
        <w:contextualSpacing/>
        <w:jc w:val="left"/>
        <w:rPr/>
      </w:pPr>
      <w:r>
        <w:rPr>
          <w:rFonts w:eastAsia="Calibri" w:cs="LinLibertineT" w:ascii="LinLibertineT" w:hAnsi="LinLibertineT"/>
          <w:sz w:val="22"/>
          <w:szCs w:val="22"/>
        </w:rPr>
        <w:t xml:space="preserve">cause of the two correlated </w:t>
      </w:r>
      <w:r>
        <w:rPr>
          <w:rFonts w:eastAsia="Calibri" w:cs="LinLibertineTI" w:ascii="LinLibertineTI" w:hAnsi="LinLibertineTI"/>
          <w:sz w:val="22"/>
          <w:szCs w:val="22"/>
        </w:rPr>
        <w:t xml:space="preserve">events </w:t>
      </w:r>
      <w:r>
        <w:rPr>
          <w:rFonts w:eastAsia="Calibri" w:cs="LinLibertineT" w:ascii="LinLibertineT" w:hAnsi="LinLibertineT"/>
          <w:sz w:val="22"/>
          <w:szCs w:val="22"/>
        </w:rPr>
        <w:t>(something which brings them into existence), but that the</w:t>
      </w:r>
    </w:p>
    <w:p>
      <w:pPr>
        <w:pStyle w:val="Normal"/>
        <w:spacing w:before="0" w:after="0"/>
        <w:contextualSpacing/>
        <w:jc w:val="left"/>
        <w:rPr/>
      </w:pPr>
      <w:r>
        <w:rPr>
          <w:rFonts w:eastAsia="Calibri" w:cs="LinLibertineTI" w:ascii="LinLibertineTI" w:hAnsi="LinLibertineTI"/>
          <w:sz w:val="22"/>
          <w:szCs w:val="22"/>
        </w:rPr>
        <w:t xml:space="preserve">correlation </w:t>
      </w:r>
      <w:r>
        <w:rPr>
          <w:rFonts w:eastAsia="Calibri" w:cs="LinLibertineT" w:ascii="LinLibertineT" w:hAnsi="LinLibertineT"/>
          <w:sz w:val="22"/>
          <w:szCs w:val="22"/>
        </w:rPr>
        <w:t xml:space="preserve">is explained not in virtue of this common cause, but rather in terms of a </w:t>
      </w:r>
      <w:r>
        <w:rPr>
          <w:rFonts w:eastAsia="Calibri" w:cs="LinLibertineTI" w:ascii="LinLibertineTI" w:hAnsi="LinLibertineTI"/>
          <w:sz w:val="22"/>
          <w:szCs w:val="22"/>
        </w:rPr>
        <w:t>nomological</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connection between them.</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This idea can be put in the service of my dispositionalist account as follows: while the interaction</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with the environment causes the two systems’ dispositions to manifest, the precise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dynamics of states, amplitudes, and associated probabilities are then determined purely by the</w:t>
      </w:r>
    </w:p>
    <w:p>
      <w:pPr>
        <w:pStyle w:val="Normal"/>
        <w:spacing w:before="0" w:after="0"/>
        <w:contextualSpacing/>
        <w:jc w:val="left"/>
        <w:rPr/>
      </w:pPr>
      <w:r>
        <w:rPr>
          <w:rFonts w:eastAsia="Calibri" w:cs="LinLibertineT" w:ascii="LinLibertineT" w:hAnsi="LinLibertineT"/>
          <w:sz w:val="22"/>
          <w:szCs w:val="22"/>
        </w:rPr>
        <w:t xml:space="preserve">interaction Hamiltonian, i.e. </w:t>
      </w:r>
      <w:r>
        <w:rPr>
          <w:rFonts w:eastAsia="Calibri" w:cs="LinLibertineTI" w:ascii="LinLibertineTI" w:hAnsi="LinLibertineTI"/>
          <w:sz w:val="22"/>
          <w:szCs w:val="22"/>
        </w:rPr>
        <w:t>nomologically</w:t>
      </w:r>
      <w:r>
        <w:rPr>
          <w:rFonts w:eastAsia="Calibri" w:cs="LinLibertineT" w:ascii="LinLibertineT" w:hAnsi="LinLibertineT"/>
          <w:sz w:val="22"/>
          <w:szCs w:val="22"/>
        </w:rPr>
        <w:t>. Which dispositions will manifest with what frequency</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in repeated trials is _xed by the Born rule, i.e. nomologically as well. In this sense the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quantum correlations are triggered by a common cause (the environment) while being determined</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by laws of nature (the unitary dynamics and Born’s rule, read in terms of propensities).</w:t>
      </w:r>
    </w:p>
    <w:p>
      <w:pPr>
        <w:pStyle w:val="Normal"/>
        <w:spacing w:before="0" w:after="0"/>
        <w:contextualSpacing/>
        <w:jc w:val="left"/>
        <w:rPr/>
      </w:pPr>
      <w:r>
        <w:rPr>
          <w:rFonts w:eastAsia="Calibri" w:cs="LinLibertineT" w:ascii="LinLibertineT" w:hAnsi="LinLibertineT"/>
          <w:sz w:val="22"/>
          <w:szCs w:val="22"/>
        </w:rPr>
        <w:t xml:space="preserve">So no ‘spooky </w:t>
      </w:r>
      <w:r>
        <w:rPr>
          <w:rFonts w:eastAsia="Calibri" w:cs="LinLibertineTI" w:ascii="LinLibertineTI" w:hAnsi="LinLibertineTI"/>
          <w:sz w:val="22"/>
          <w:szCs w:val="22"/>
        </w:rPr>
        <w:t xml:space="preserve">actions </w:t>
      </w:r>
      <w:r>
        <w:rPr>
          <w:rFonts w:eastAsia="Calibri" w:cs="LinLibertineT" w:ascii="LinLibertineT" w:hAnsi="LinLibertineT"/>
          <w:sz w:val="22"/>
          <w:szCs w:val="22"/>
        </w:rPr>
        <w:t>at a distance’ (Einstein, 1947, p. 157; emphasis added) after all. (pp. 15-16)</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[words by words UNBELIEVABLE similar ideas to my ideas!!!!]</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Notably, there is now no problem with special relativity on any level anymore, insofar as the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relevant interaction (given by some Lagrangian) is Lorentz covariant: the correlation is ensured</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by a Lorentz covariant law and triggered by the dispositional pro_le of the joint quantum state.</w:t>
      </w:r>
    </w:p>
    <w:p>
      <w:pPr>
        <w:pStyle w:val="Normal"/>
        <w:spacing w:before="0" w:after="0"/>
        <w:contextualSpacing/>
        <w:jc w:val="left"/>
        <w:rPr/>
      </w:pPr>
      <w:r>
        <w:rPr>
          <w:rFonts w:eastAsia="Calibri" w:cs="LinLibertineT" w:ascii="LinLibertineT" w:hAnsi="LinLibertineT"/>
          <w:sz w:val="22"/>
          <w:szCs w:val="22"/>
        </w:rPr>
        <w:t xml:space="preserve">The state in turn acts as a common cause of there even </w:t>
      </w:r>
      <w:r>
        <w:rPr>
          <w:rFonts w:eastAsia="Calibri" w:cs="LinLibertineTI" w:ascii="LinLibertineTI" w:hAnsi="LinLibertineTI"/>
          <w:sz w:val="22"/>
          <w:szCs w:val="22"/>
        </w:rPr>
        <w:t xml:space="preserve">being </w:t>
      </w:r>
      <w:r>
        <w:rPr>
          <w:rFonts w:eastAsia="Calibri" w:cs="LinLibertineT" w:ascii="LinLibertineT" w:hAnsi="LinLibertineT"/>
          <w:sz w:val="22"/>
          <w:szCs w:val="22"/>
        </w:rPr>
        <w:t>any measured values in the _rst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place, which lies in the join of the past light cones of both detection events. (p. 16)</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[I applied my EDWs to Einstein;s special relativity in 2014!!!! And even earlier…]</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In this paper I have provided an interpretation ofQT and decoherence in terms of the manifestations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of dispositions, thereby building on ideas that date back to Heisenberg’s early interpretive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e_orts. My main suggestion was that decoherence should be understood in the sense of a mutual</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manifestation of dispositions in virtue of the interactions between the systems they pertain</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to. This manifestation would be gradual, in the sense of Hüttemann’s CMDs, which allows that</w:t>
      </w:r>
    </w:p>
    <w:p>
      <w:pPr>
        <w:pStyle w:val="Normal"/>
        <w:spacing w:before="0" w:after="0"/>
        <w:contextualSpacing/>
        <w:jc w:val="left"/>
        <w:rPr/>
      </w:pPr>
      <w:r>
        <w:rPr>
          <w:rFonts w:eastAsia="Calibri" w:cs="LinLibertineT" w:ascii="LinLibertineT" w:hAnsi="LinLibertineT"/>
          <w:sz w:val="22"/>
          <w:szCs w:val="22"/>
        </w:rPr>
        <w:t xml:space="preserve">systems can be literally </w:t>
      </w:r>
      <w:r>
        <w:rPr>
          <w:rFonts w:eastAsia="Calibri" w:cs="LinLibertineTI" w:ascii="LinLibertineTI" w:hAnsi="LinLibertineTI"/>
          <w:sz w:val="22"/>
          <w:szCs w:val="22"/>
        </w:rPr>
        <w:t xml:space="preserve">more or less </w:t>
      </w:r>
      <w:r>
        <w:rPr>
          <w:rFonts w:eastAsia="Calibri" w:cs="LinLibertineT" w:ascii="LinLibertineT" w:hAnsi="LinLibertineT"/>
          <w:sz w:val="22"/>
          <w:szCs w:val="22"/>
        </w:rPr>
        <w:t xml:space="preserve">localized, and have a </w:t>
      </w:r>
      <w:r>
        <w:rPr>
          <w:rFonts w:eastAsia="Calibri" w:cs="LinLibertineTI" w:ascii="LinLibertineTI" w:hAnsi="LinLibertineTI"/>
          <w:sz w:val="22"/>
          <w:szCs w:val="22"/>
        </w:rPr>
        <w:t xml:space="preserve">more or less </w:t>
      </w:r>
      <w:r>
        <w:rPr>
          <w:rFonts w:eastAsia="Calibri" w:cs="LinLibertineT" w:ascii="LinLibertineT" w:hAnsi="LinLibertineT"/>
          <w:sz w:val="22"/>
          <w:szCs w:val="22"/>
        </w:rPr>
        <w:t>de_nite momentum at the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same time. To read the formalism somewhat literally (and not introduce a collapse postulate</w:t>
      </w:r>
    </w:p>
    <w:p>
      <w:pPr>
        <w:pStyle w:val="Normal"/>
        <w:spacing w:before="0" w:after="0"/>
        <w:contextualSpacing/>
        <w:jc w:val="left"/>
        <w:rPr/>
      </w:pPr>
      <w:r>
        <w:rPr>
          <w:rFonts w:eastAsia="Calibri" w:cs="LinLibertineT" w:ascii="LinLibertineT" w:hAnsi="LinLibertineT"/>
          <w:sz w:val="22"/>
          <w:szCs w:val="22"/>
        </w:rPr>
        <w:t xml:space="preserve">after all), I introduced the notion of </w:t>
      </w:r>
      <w:r>
        <w:rPr>
          <w:rFonts w:eastAsia="Calibri" w:cs="LinLibertineTI" w:ascii="LinLibertineTI" w:hAnsi="LinLibertineTI"/>
          <w:sz w:val="22"/>
          <w:szCs w:val="22"/>
        </w:rPr>
        <w:t>dominant manifestation</w:t>
      </w:r>
      <w:r>
        <w:rPr>
          <w:rFonts w:eastAsia="Calibri" w:cs="LinLibertineT" w:ascii="LinLibertineT" w:hAnsi="LinLibertineT"/>
          <w:sz w:val="22"/>
          <w:szCs w:val="22"/>
        </w:rPr>
        <w:t xml:space="preserve">, which would mean that </w:t>
      </w:r>
      <w:r>
        <w:rPr>
          <w:rFonts w:eastAsia="Calibri" w:cs="LinLibertineTI" w:ascii="LinLibertineTI" w:hAnsi="LinLibertineTI"/>
          <w:sz w:val="22"/>
          <w:szCs w:val="22"/>
        </w:rPr>
        <w:t xml:space="preserve">all </w:t>
      </w:r>
      <w:r>
        <w:rPr>
          <w:rFonts w:eastAsia="Calibri" w:cs="LinLibertineT" w:ascii="LinLibertineT" w:hAnsi="LinLibertineT"/>
          <w:sz w:val="22"/>
          <w:szCs w:val="22"/>
        </w:rPr>
        <w:t>values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of some observable would manifest on a system in consequence of a suitable interaction, but</w:t>
      </w:r>
    </w:p>
    <w:p>
      <w:pPr>
        <w:pStyle w:val="Normal"/>
        <w:spacing w:before="0" w:after="0"/>
        <w:contextualSpacing/>
        <w:jc w:val="left"/>
        <w:rPr/>
      </w:pPr>
      <w:r>
        <w:rPr>
          <w:rFonts w:eastAsia="Calibri" w:cs="LinLibertineT" w:ascii="LinLibertineT" w:hAnsi="LinLibertineT"/>
          <w:sz w:val="22"/>
          <w:szCs w:val="22"/>
        </w:rPr>
        <w:t xml:space="preserve">that only </w:t>
      </w:r>
      <w:r>
        <w:rPr>
          <w:rFonts w:eastAsia="Calibri" w:cs="LinLibertineTI" w:ascii="LinLibertineTI" w:hAnsi="LinLibertineTI"/>
          <w:sz w:val="22"/>
          <w:szCs w:val="22"/>
        </w:rPr>
        <w:t xml:space="preserve">one </w:t>
      </w:r>
      <w:r>
        <w:rPr>
          <w:rFonts w:eastAsia="Calibri" w:cs="LinLibertineT" w:ascii="LinLibertineT" w:hAnsi="LinLibertineT"/>
          <w:sz w:val="22"/>
          <w:szCs w:val="22"/>
        </w:rPr>
        <w:t>of them would become ampli_ed to such a degree that it would lead to observable</w:t>
      </w:r>
    </w:p>
    <w:p>
      <w:pPr>
        <w:pStyle w:val="Normal"/>
        <w:spacing w:before="0" w:after="0"/>
        <w:contextualSpacing/>
        <w:jc w:val="left"/>
        <w:rPr/>
      </w:pPr>
      <w:r>
        <w:rPr>
          <w:rFonts w:eastAsia="Calibri" w:cs="LinLibertineT" w:ascii="LinLibertineT" w:hAnsi="LinLibertineT"/>
          <w:sz w:val="22"/>
          <w:szCs w:val="22"/>
        </w:rPr>
        <w:t xml:space="preserve">behavior. The remainder I referred to as </w:t>
      </w:r>
      <w:r>
        <w:rPr>
          <w:rFonts w:eastAsia="Calibri" w:cs="LinLibertineTI" w:ascii="LinLibertineTI" w:hAnsi="LinLibertineTI"/>
          <w:sz w:val="22"/>
          <w:szCs w:val="22"/>
        </w:rPr>
        <w:t>e_ectively latent</w:t>
      </w:r>
      <w:r>
        <w:rPr>
          <w:rFonts w:eastAsia="Calibri" w:cs="LinLibertineT" w:ascii="LinLibertineT" w:hAnsi="LinLibertineT"/>
          <w:sz w:val="22"/>
          <w:szCs w:val="22"/>
        </w:rPr>
        <w:t>. The Born rule-weights I took to</w:t>
      </w:r>
    </w:p>
    <w:p>
      <w:pPr>
        <w:pStyle w:val="Normal"/>
        <w:spacing w:before="0" w:after="0"/>
        <w:contextualSpacing/>
        <w:jc w:val="left"/>
        <w:rPr/>
      </w:pPr>
      <w:r>
        <w:rPr>
          <w:rFonts w:eastAsia="Calibri" w:cs="LinLibertineT" w:ascii="LinLibertineT" w:hAnsi="LinLibertineT"/>
          <w:sz w:val="22"/>
          <w:szCs w:val="22"/>
        </w:rPr>
        <w:t xml:space="preserve">quantify the </w:t>
      </w:r>
      <w:r>
        <w:rPr>
          <w:rFonts w:eastAsia="Calibri" w:cs="LinLibertineTI" w:ascii="LinLibertineTI" w:hAnsi="LinLibertineTI"/>
          <w:sz w:val="22"/>
          <w:szCs w:val="22"/>
        </w:rPr>
        <w:t xml:space="preserve">strength </w:t>
      </w:r>
      <w:r>
        <w:rPr>
          <w:rFonts w:eastAsia="Calibri" w:cs="LinLibertineT" w:ascii="LinLibertineT" w:hAnsi="LinLibertineT"/>
          <w:sz w:val="22"/>
          <w:szCs w:val="22"/>
        </w:rPr>
        <w:t xml:space="preserve">of a disposition’s </w:t>
      </w:r>
      <w:r>
        <w:rPr>
          <w:rFonts w:eastAsia="Calibri" w:cs="LinLibertineTI" w:ascii="LinLibertineTI" w:hAnsi="LinLibertineTI"/>
          <w:sz w:val="22"/>
          <w:szCs w:val="22"/>
        </w:rPr>
        <w:t xml:space="preserve">tendency </w:t>
      </w:r>
      <w:r>
        <w:rPr>
          <w:rFonts w:eastAsia="Calibri" w:cs="LinLibertineT" w:ascii="LinLibertineT" w:hAnsi="LinLibertineT"/>
          <w:sz w:val="22"/>
          <w:szCs w:val="22"/>
        </w:rPr>
        <w:t>to become dominantly manifest. One might</w:t>
      </w:r>
    </w:p>
    <w:p>
      <w:pPr>
        <w:pStyle w:val="Normal"/>
        <w:spacing w:before="0" w:after="0"/>
        <w:contextualSpacing/>
        <w:jc w:val="left"/>
        <w:rPr/>
      </w:pPr>
      <w:r>
        <w:rPr>
          <w:rFonts w:eastAsia="Calibri" w:cs="LinLibertineT" w:ascii="LinLibertineT" w:hAnsi="LinLibertineT"/>
          <w:sz w:val="22"/>
          <w:szCs w:val="22"/>
        </w:rPr>
        <w:t xml:space="preserve">think of this in terms of a </w:t>
      </w:r>
      <w:r>
        <w:rPr>
          <w:rFonts w:eastAsia="Calibri" w:cs="LinLibertineTI" w:ascii="LinLibertineTI" w:hAnsi="LinLibertineTI"/>
          <w:sz w:val="22"/>
          <w:szCs w:val="22"/>
        </w:rPr>
        <w:t xml:space="preserve">resource </w:t>
      </w:r>
      <w:r>
        <w:rPr>
          <w:rFonts w:eastAsia="Calibri" w:cs="LinLibertineT" w:ascii="LinLibertineT" w:hAnsi="LinLibertineT"/>
          <w:sz w:val="22"/>
          <w:szCs w:val="22"/>
        </w:rPr>
        <w:t>(‘actuality’) for which the values compete, in such a way</w:t>
      </w:r>
    </w:p>
    <w:p>
      <w:pPr>
        <w:pStyle w:val="Normal"/>
        <w:spacing w:before="0" w:after="0"/>
        <w:contextualSpacing/>
        <w:jc w:val="left"/>
        <w:rPr/>
      </w:pPr>
      <w:r>
        <w:rPr>
          <w:rFonts w:eastAsia="Calibri" w:cs="LinLibertineT" w:ascii="LinLibertineT" w:hAnsi="LinLibertineT"/>
          <w:sz w:val="22"/>
          <w:szCs w:val="22"/>
        </w:rPr>
        <w:t>that shares will be distributed unequally.</w:t>
      </w:r>
      <w:r>
        <w:rPr>
          <w:rFonts w:eastAsia="Calibri" w:cs="LinLibertineT" w:ascii="LinLibertineT" w:hAnsi="LinLibertineT"/>
          <w:sz w:val="16"/>
          <w:szCs w:val="16"/>
        </w:rPr>
        <w:t xml:space="preserve">15 </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My account has several merits: Unlike some other realist interpretations, it appreciates the Born rule right away, but does not have to reserve a special role for consciousness. It can make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sense of observation, including such things as recoherence, while allowing that minds may</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supervene on brains and avoiding such things as mindless hulks.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However, some drawbacks or open questions remain: There is nothing in the formalism</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which corresponds directly to the selective ampli_cation at stake; this is gathered rather from</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our successful practice of using the Born probabilities, and the experience of single outcomes.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And there is the murky business of non-local in_uences, which haunts most realist interpretations.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This can be dealt with by viewing the relation between the correlated outcomes as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nomological, not causal; but strictly speaking, this in turn implies the need to provide an account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of the laws of nature compatible with a non-causal reading.</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I do not think that these are fatal _aws or insurmountable di_culties. Hence I suggest that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 propensity-interpretation along the lines suggested above is an option that deserves more</w:t>
      </w:r>
    </w:p>
    <w:p>
      <w:pPr>
        <w:pStyle w:val="Normal"/>
        <w:spacing w:before="0" w:after="0"/>
        <w:contextualSpacing/>
        <w:jc w:val="left"/>
        <w:rPr/>
      </w:pPr>
      <w:r>
        <w:rPr>
          <w:rFonts w:eastAsia="Calibri" w:cs="LinLibertineT" w:ascii="LinLibertineT" w:hAnsi="LinLibertineT"/>
          <w:sz w:val="22"/>
          <w:szCs w:val="22"/>
        </w:rPr>
        <w:t>attention than it presently enjoys.</w:t>
      </w:r>
      <w:r>
        <w:rPr>
          <w:rFonts w:eastAsia="Calibri" w:cs="LinLibertineT" w:ascii="LinLibertineT" w:hAnsi="LinLibertineT"/>
          <w:sz w:val="16"/>
          <w:szCs w:val="16"/>
        </w:rPr>
        <w:t xml:space="preserve"> (p. 16-17)</w:t>
      </w:r>
    </w:p>
    <w:p>
      <w:pPr>
        <w:pStyle w:val="Normal"/>
        <w:spacing w:before="0" w:after="0"/>
        <w:contextualSpacing/>
        <w:jc w:val="left"/>
        <w:rPr>
          <w:rFonts w:ascii="LinLibertineT" w:hAnsi="LinLibertineT" w:eastAsia="Calibri" w:cs="LinLibertineT"/>
          <w:sz w:val="16"/>
          <w:szCs w:val="16"/>
        </w:rPr>
      </w:pPr>
      <w:r>
        <w:rPr>
          <w:rFonts w:eastAsia="Calibri" w:cs="LinLibertineT" w:ascii="LinLibertineT" w:hAnsi="LinLibertineT"/>
          <w:sz w:val="16"/>
          <w:szCs w:val="16"/>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[The reader can understand, even reading this article, the HUGE difference between Everett’s many worlds and my EDWs!!!! – see my works…]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Arial" w:hAnsi="Arial" w:eastAsia="Calibri" w:cs="Arial"/>
          <w:b/>
          <w:b/>
        </w:rPr>
      </w:pPr>
      <w:r>
        <w:rPr>
          <w:rFonts w:eastAsia="Calibri" w:cs="Arial" w:ascii="Arial" w:hAnsi="Arial"/>
          <w:b/>
        </w:rPr>
      </w:r>
    </w:p>
    <w:p>
      <w:pPr>
        <w:pStyle w:val="Normal"/>
        <w:spacing w:before="0" w:after="0"/>
        <w:contextualSpacing/>
        <w:jc w:val="left"/>
        <w:rPr>
          <w:rFonts w:ascii="Arial" w:hAnsi="Arial" w:eastAsia="Calibri" w:cs="Arial"/>
          <w:b/>
          <w:b/>
        </w:rPr>
      </w:pPr>
      <w:r>
        <w:rPr>
          <w:rFonts w:eastAsia="Calibri" w:cs="Arial" w:ascii="Arial" w:hAnsi="Arial"/>
          <w:b/>
        </w:rPr>
      </w:r>
    </w:p>
    <w:p>
      <w:pPr>
        <w:pStyle w:val="Normal"/>
        <w:spacing w:before="0" w:after="0"/>
        <w:contextualSpacing/>
        <w:jc w:val="left"/>
        <w:rPr>
          <w:rFonts w:ascii="Arial" w:hAnsi="Arial" w:eastAsia="Calibri" w:cs="Arial"/>
          <w:b/>
          <w:b/>
        </w:rPr>
      </w:pPr>
      <w:r>
        <w:rPr>
          <w:rFonts w:eastAsia="Calibri" w:cs="Arial" w:ascii="Arial" w:hAnsi="Arial"/>
          <w:b/>
        </w:rPr>
      </w:r>
    </w:p>
    <w:p>
      <w:pPr>
        <w:pStyle w:val="Normal"/>
        <w:spacing w:before="0" w:after="0"/>
        <w:contextualSpacing/>
        <w:jc w:val="left"/>
        <w:rPr>
          <w:rFonts w:ascii="Arial" w:hAnsi="Arial" w:eastAsia="Calibri" w:cs="Arial"/>
          <w:b/>
          <w:b/>
          <w:sz w:val="36"/>
          <w:szCs w:val="36"/>
        </w:rPr>
      </w:pPr>
      <w:r>
        <w:rPr>
          <w:rFonts w:eastAsia="Calibri" w:cs="Arial" w:ascii="Arial" w:hAnsi="Arial"/>
          <w:b/>
          <w:sz w:val="36"/>
          <w:szCs w:val="36"/>
        </w:rPr>
        <w:t>April 2019</w:t>
      </w:r>
    </w:p>
    <w:p>
      <w:pPr>
        <w:pStyle w:val="Normal"/>
        <w:spacing w:before="0" w:after="0"/>
        <w:contextualSpacing/>
        <w:jc w:val="left"/>
        <w:rPr>
          <w:rFonts w:ascii="Arial" w:hAnsi="Arial" w:eastAsia="Calibri" w:cs="Arial"/>
        </w:rPr>
      </w:pPr>
      <w:r>
        <w:rPr>
          <w:rFonts w:eastAsia="Calibri" w:cs="Arial" w:ascii="Arial" w:hAnsi="Arial"/>
        </w:rPr>
      </w:r>
    </w:p>
    <w:p>
      <w:pPr>
        <w:pStyle w:val="Normal"/>
        <w:jc w:val="left"/>
        <w:rPr/>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5" w:name="_Hlk6579555"/>
      <w:bookmarkEnd w:id="15"/>
    </w:p>
    <w:p>
      <w:pPr>
        <w:pStyle w:val="Normal"/>
        <w:rPr/>
      </w:pPr>
      <w:r>
        <w:rPr/>
      </w:r>
    </w:p>
    <w:p>
      <w:pPr>
        <w:pStyle w:val="Normal"/>
        <w:rPr/>
      </w:pPr>
      <w:r>
        <w:rPr/>
        <w:t>The next comments (just UNBELIEVABLE similarities, of course) are about these articles from the above book:</w:t>
      </w:r>
    </w:p>
    <w:p>
      <w:pPr>
        <w:pStyle w:val="Normal"/>
        <w:jc w:val="left"/>
        <w:rPr>
          <w:b/>
          <w:b/>
        </w:rPr>
      </w:pPr>
      <w:r>
        <w:rPr>
          <w:b/>
        </w:rPr>
      </w:r>
    </w:p>
    <w:p>
      <w:pPr>
        <w:pStyle w:val="Normal"/>
        <w:rPr/>
      </w:pPr>
      <w:r>
        <w:rPr>
          <w:i/>
          <w:iCs/>
        </w:rPr>
        <w:t xml:space="preserve">Gabriel Oak Rabin (2018) </w:t>
      </w:r>
      <w:r>
        <w:rPr>
          <w:b/>
          <w:bCs/>
        </w:rPr>
        <w:t>Grounding Orthodoxy and the Layered Conception</w:t>
      </w:r>
    </w:p>
    <w:p>
      <w:pPr>
        <w:pStyle w:val="Normal"/>
        <w:rPr/>
      </w:pPr>
      <w:r>
        <w:rPr>
          <w:i/>
          <w:iCs/>
        </w:rPr>
        <w:t xml:space="preserve">Daniel Nolan (2018) </w:t>
      </w:r>
      <w:r>
        <w:rPr>
          <w:b/>
          <w:bCs/>
        </w:rPr>
        <w:t>Cosmic Loops</w:t>
      </w:r>
    </w:p>
    <w:p>
      <w:pPr>
        <w:pStyle w:val="Normal"/>
        <w:rPr/>
      </w:pPr>
      <w:r>
        <w:rPr>
          <w:i/>
          <w:iCs/>
        </w:rPr>
        <w:t xml:space="preserve">Naomi Thompson (2018) </w:t>
      </w:r>
      <w:r>
        <w:rPr>
          <w:b/>
          <w:bCs/>
        </w:rPr>
        <w:t>Metaphysical Interdependence, Epistemic Coherentism, and</w:t>
      </w:r>
    </w:p>
    <w:p>
      <w:pPr>
        <w:pStyle w:val="Normal"/>
        <w:rPr/>
      </w:pPr>
      <w:r>
        <w:rPr>
          <w:i/>
          <w:iCs/>
        </w:rPr>
        <w:t xml:space="preserve">Tuomas E. Tahko (2018) </w:t>
      </w:r>
      <w:r>
        <w:rPr>
          <w:b/>
          <w:bCs/>
        </w:rPr>
        <w:t>Holistic Explanation Fundamentality and Ontological Minimality</w:t>
      </w:r>
    </w:p>
    <w:p>
      <w:pPr>
        <w:pStyle w:val="Normal"/>
        <w:rPr/>
      </w:pPr>
      <w:r>
        <w:rPr>
          <w:i/>
          <w:iCs/>
        </w:rPr>
        <w:t xml:space="preserve">Matteo Morganti (2018) </w:t>
      </w:r>
      <w:r>
        <w:rPr>
          <w:b/>
          <w:bCs/>
        </w:rPr>
        <w:t>The Structure of Physical Reality Beyond Foundationalism</w:t>
      </w:r>
    </w:p>
    <w:p>
      <w:pPr>
        <w:pStyle w:val="Normal"/>
        <w:rPr/>
      </w:pPr>
      <w:r>
        <w:rPr>
          <w:i/>
          <w:iCs/>
        </w:rPr>
        <w:t xml:space="preserve">Nathan Wildman (2018) </w:t>
      </w:r>
      <w:r>
        <w:rPr>
          <w:b/>
          <w:bCs/>
        </w:rPr>
        <w:t>On Shaky Ground? Exploring the Contingent Fundamentality Thesis</w:t>
      </w:r>
    </w:p>
    <w:p>
      <w:pPr>
        <w:pStyle w:val="Normal"/>
        <w:rPr/>
      </w:pPr>
      <w:r>
        <w:rPr/>
      </w:r>
    </w:p>
    <w:p>
      <w:pPr>
        <w:pStyle w:val="Normal"/>
        <w:jc w:val="left"/>
        <w:rPr>
          <w:rFonts w:ascii="Arial" w:hAnsi="Arial" w:cs="Arial"/>
          <w:b/>
          <w:b/>
          <w:bCs/>
        </w:rPr>
      </w:pPr>
      <w:r>
        <w:rPr>
          <w:rFonts w:cs="Arial" w:ascii="Arial" w:hAnsi="Arial"/>
          <w:b/>
          <w:bCs/>
        </w:rPr>
      </w:r>
    </w:p>
    <w:p>
      <w:pPr>
        <w:pStyle w:val="Normal"/>
        <w:jc w:val="left"/>
        <w:rPr/>
      </w:pPr>
      <w:r>
        <w:rPr>
          <w:rFonts w:cs="Arial" w:ascii="Arial" w:hAnsi="Arial"/>
          <w:b/>
          <w:bCs/>
        </w:rPr>
        <w:t xml:space="preserve">1 </w:t>
      </w:r>
      <w:bookmarkStart w:id="16" w:name="_Hlk6579525"/>
      <w:r>
        <w:rPr>
          <w:b/>
          <w:bCs/>
        </w:rPr>
        <w:t>Grounding Orthodoxy and the Layered Conception</w:t>
      </w:r>
    </w:p>
    <w:p>
      <w:pPr>
        <w:pStyle w:val="Normal"/>
        <w:rPr>
          <w:i/>
          <w:i/>
          <w:iCs/>
        </w:rPr>
      </w:pPr>
      <w:r>
        <w:rPr>
          <w:i/>
          <w:iCs/>
        </w:rPr>
        <w:t>Gabriel Oak Rabin</w:t>
      </w:r>
      <w:bookmarkEnd w:id="16"/>
    </w:p>
    <w:p>
      <w:pPr>
        <w:pStyle w:val="Normal"/>
        <w:rPr>
          <w:i/>
          <w:i/>
          <w:iCs/>
        </w:rPr>
      </w:pPr>
      <w:r>
        <w:rPr>
          <w:i/>
          <w:iCs/>
        </w:rPr>
      </w:r>
    </w:p>
    <w:p>
      <w:pPr>
        <w:pStyle w:val="Normal"/>
        <w:jc w:val="left"/>
        <w:rPr/>
      </w:pPr>
      <w:r>
        <w:rPr/>
        <w:t>generatmg a total order from a partial order.</w:t>
      </w:r>
    </w:p>
    <w:p>
      <w:pPr>
        <w:pStyle w:val="Normal"/>
        <w:jc w:val="left"/>
        <w:rPr/>
      </w:pPr>
      <w:r>
        <w:rPr/>
        <w:t>However, there are reasons to be optimistic that the ordering characteristic of</w:t>
      </w:r>
    </w:p>
    <w:p>
      <w:pPr>
        <w:pStyle w:val="Normal"/>
        <w:jc w:val="left"/>
        <w:rPr/>
      </w:pPr>
      <w:r>
        <w:rPr/>
        <w:t>the layered conception can be gleaned from the grounding graph. First, as discussed</w:t>
      </w:r>
    </w:p>
    <w:p>
      <w:pPr>
        <w:pStyle w:val="Normal"/>
        <w:jc w:val="left"/>
        <w:rPr/>
      </w:pPr>
      <w:r>
        <w:rPr/>
        <w:t>above, we can look for patterns in the particular grounding claims. There</w:t>
      </w:r>
    </w:p>
    <w:p>
      <w:pPr>
        <w:pStyle w:val="Normal"/>
        <w:jc w:val="left"/>
        <w:rPr/>
      </w:pPr>
      <w:r>
        <w:rPr/>
        <w:t>are many .such patterns. Sometimes the patterns are specific (neural firing depends</w:t>
      </w:r>
    </w:p>
    <w:p>
      <w:pPr>
        <w:pStyle w:val="Normal"/>
        <w:jc w:val="left"/>
        <w:rPr/>
      </w:pPr>
      <w:r>
        <w:rPr/>
        <w:t>on potassmm-sodium ion imbalance). Other times they are not (each instance of</w:t>
      </w:r>
    </w:p>
    <w:p>
      <w:pPr>
        <w:pStyle w:val="Normal"/>
        <w:jc w:val="left"/>
        <w:rPr/>
      </w:pPr>
      <w:r>
        <w:rPr/>
        <w:t xml:space="preserve">cuttlefish </w:t>
      </w:r>
      <w:r>
        <w:rPr>
          <w:rFonts w:eastAsia="HiddenHorzOCR" w:cs="HiddenHorzOCR" w:ascii="HiddenHorzOCR" w:hAnsi="HiddenHorzOCR"/>
        </w:rPr>
        <w:t xml:space="preserve">ca~ouflage </w:t>
      </w:r>
      <w:r>
        <w:rPr/>
        <w:t>depends on some chemical property). But the patterns are there.</w:t>
      </w:r>
    </w:p>
    <w:p>
      <w:pPr>
        <w:pStyle w:val="Normal"/>
        <w:jc w:val="left"/>
        <w:rPr/>
      </w:pPr>
      <w:r>
        <w:rPr>
          <w:rFonts w:cs="Arial" w:ascii="Arial" w:hAnsi="Arial"/>
        </w:rPr>
        <w:t xml:space="preserve">If </w:t>
      </w:r>
      <w:r>
        <w:rPr/>
        <w:t>they weren t, the layered conception wouldn't be so appealing in the first place.</w:t>
      </w:r>
    </w:p>
    <w:p>
      <w:pPr>
        <w:pStyle w:val="Normal"/>
        <w:jc w:val="left"/>
        <w:rPr/>
      </w:pPr>
      <w:r>
        <w:rPr/>
        <w:t>Second, we may not want the layered conception to deliver a total ordering. Both</w:t>
      </w:r>
    </w:p>
    <w:p>
      <w:pPr>
        <w:pStyle w:val="Normal"/>
        <w:jc w:val="left"/>
        <w:rPr/>
      </w:pPr>
      <w:r>
        <w:rPr>
          <w:rFonts w:eastAsia="HiddenHorzOCR" w:cs="HiddenHorzOCR" w:ascii="HiddenHorzOCR" w:hAnsi="HiddenHorzOCR"/>
        </w:rPr>
        <w:t xml:space="preserve">geol~gy ~d </w:t>
      </w:r>
      <w:r>
        <w:rPr/>
        <w:t>psychology are above chemistry. Neither lies above the other. Two options</w:t>
      </w:r>
    </w:p>
    <w:p>
      <w:pPr>
        <w:pStyle w:val="Normal"/>
        <w:jc w:val="left"/>
        <w:rPr/>
      </w:pPr>
      <w:r>
        <w:rPr/>
        <w:t>remam: (i) they are at the same level or (ii) they are incommensurable.</w:t>
      </w:r>
    </w:p>
    <w:p>
      <w:pPr>
        <w:pStyle w:val="Normal"/>
        <w:jc w:val="left"/>
        <w:rPr/>
      </w:pPr>
      <w:r>
        <w:rPr>
          <w:rFonts w:cs="Arial" w:ascii="Arial" w:hAnsi="Arial"/>
        </w:rPr>
        <w:t xml:space="preserve">If </w:t>
      </w:r>
      <w:r>
        <w:rPr/>
        <w:t>the layer.ed conception demands a total ordering, then (i) is the only option.</w:t>
      </w:r>
    </w:p>
    <w:p>
      <w:pPr>
        <w:pStyle w:val="Normal"/>
        <w:jc w:val="left"/>
        <w:rPr/>
      </w:pPr>
      <w:r>
        <w:rPr/>
        <w:t>A total orden.ng does not permit cases in which two items are incommensurable.</w:t>
      </w:r>
    </w:p>
    <w:p>
      <w:pPr>
        <w:pStyle w:val="Normal"/>
        <w:jc w:val="left"/>
        <w:rPr/>
      </w:pPr>
      <w:r>
        <w:rPr/>
        <w:t>However, I thmk that option (ii) is preferable, and that we should give up the idea</w:t>
      </w:r>
    </w:p>
    <w:p>
      <w:pPr>
        <w:pStyle w:val="Normal"/>
        <w:rPr/>
      </w:pPr>
      <w:r>
        <w:rPr/>
        <w:t>that. the layered conception requires a total ordering. (p 41)</w:t>
      </w:r>
    </w:p>
    <w:p>
      <w:pPr>
        <w:pStyle w:val="Normal"/>
        <w:rPr/>
      </w:pPr>
      <w:r>
        <w:rPr/>
      </w:r>
    </w:p>
    <w:p>
      <w:pPr>
        <w:pStyle w:val="Normal"/>
        <w:jc w:val="left"/>
        <w:rPr/>
      </w:pPr>
      <w:r>
        <w:rPr/>
        <w:t>In cases of symmetric ground, what should we say about the layering relations of</w:t>
      </w:r>
    </w:p>
    <w:p>
      <w:pPr>
        <w:pStyle w:val="Normal"/>
        <w:jc w:val="left"/>
        <w:rPr/>
      </w:pPr>
      <w:r>
        <w:rPr/>
        <w:t>the items that ground each other? We should not place either above the other. This</w:t>
      </w:r>
    </w:p>
    <w:p>
      <w:pPr>
        <w:pStyle w:val="Normal"/>
        <w:jc w:val="left"/>
        <w:rPr/>
      </w:pPr>
      <w:r>
        <w:rPr/>
        <w:t xml:space="preserve">leaves two options, which we've already seen: </w:t>
      </w:r>
      <w:r>
        <w:rPr>
          <w:rFonts w:cs="Arial" w:ascii="Arial" w:hAnsi="Arial"/>
        </w:rPr>
        <w:t xml:space="preserve">(i) </w:t>
      </w:r>
      <w:r>
        <w:rPr/>
        <w:t>they are at the same level or (ii) they</w:t>
      </w:r>
    </w:p>
    <w:p>
      <w:pPr>
        <w:pStyle w:val="Normal"/>
        <w:jc w:val="left"/>
        <w:rPr/>
      </w:pPr>
      <w:r>
        <w:rPr/>
        <w:t xml:space="preserve">are incommensurable. I believe that </w:t>
      </w:r>
      <w:r>
        <w:rPr>
          <w:rFonts w:cs="Arial" w:ascii="Arial" w:hAnsi="Arial"/>
        </w:rPr>
        <w:t xml:space="preserve">(i) </w:t>
      </w:r>
      <w:r>
        <w:rPr/>
        <w:t>is the better option here. x and y are related by ground. It seems odd to say that they bear no relation to each other in reality's</w:t>
      </w:r>
    </w:p>
    <w:p>
      <w:pPr>
        <w:pStyle w:val="Normal"/>
        <w:jc w:val="left"/>
        <w:rPr/>
      </w:pPr>
      <w:r>
        <w:rPr/>
        <w:t>layering. The layering is still a layering based on dependence. And x and y depend on</w:t>
      </w:r>
    </w:p>
    <w:p>
      <w:pPr>
        <w:pStyle w:val="Normal"/>
        <w:rPr/>
      </w:pPr>
      <w:r>
        <w:rPr/>
        <w:t xml:space="preserve">each other. I propose we place x and y on the same level. </w:t>
      </w:r>
    </w:p>
    <w:p>
      <w:pPr>
        <w:pStyle w:val="Normal"/>
        <w:jc w:val="left"/>
        <w:rPr/>
      </w:pPr>
      <w:r>
        <w:rPr/>
        <w:t>Considerations involving the transitivity of ground further support placing x and Y</w:t>
      </w:r>
    </w:p>
    <w:p>
      <w:pPr>
        <w:pStyle w:val="Normal"/>
        <w:jc w:val="left"/>
        <w:rPr/>
      </w:pPr>
      <w:r>
        <w:rPr/>
        <w:t>on the same level. The transitivity of ground will guarantee that, in cases of symmetric</w:t>
      </w:r>
    </w:p>
    <w:p>
      <w:pPr>
        <w:pStyle w:val="Normal"/>
        <w:jc w:val="left"/>
        <w:rPr/>
      </w:pPr>
      <w:r>
        <w:rPr/>
        <w:t xml:space="preserve">ground, the symmetric grounders will be </w:t>
      </w:r>
      <w:r>
        <w:rPr>
          <w:i/>
          <w:iCs/>
        </w:rPr>
        <w:t xml:space="preserve">at the pseudo-same level. </w:t>
      </w:r>
      <w:r>
        <w:rPr/>
        <w:t>For any x and y, x</w:t>
      </w:r>
    </w:p>
    <w:p>
      <w:pPr>
        <w:pStyle w:val="Normal"/>
        <w:jc w:val="left"/>
        <w:rPr/>
      </w:pPr>
      <w:r>
        <w:rPr/>
        <w:t xml:space="preserve">and y are </w:t>
      </w:r>
      <w:r>
        <w:rPr>
          <w:i/>
          <w:iCs/>
        </w:rPr>
        <w:t xml:space="preserve">at the pseudo-same level </w:t>
      </w:r>
      <w:r>
        <w:rPr/>
        <w:t>in reality's layering if and only if for any z, if z is</w:t>
      </w:r>
    </w:p>
    <w:p>
      <w:pPr>
        <w:pStyle w:val="Normal"/>
        <w:jc w:val="left"/>
        <w:rPr/>
      </w:pPr>
      <w:r>
        <w:rPr/>
        <w:t>above x, then z is above y, and if z is below x, then z is below y. In simple terms, two</w:t>
      </w:r>
    </w:p>
    <w:p>
      <w:pPr>
        <w:pStyle w:val="Normal"/>
        <w:jc w:val="left"/>
        <w:rPr/>
      </w:pPr>
      <w:r>
        <w:rPr/>
        <w:t>items at the pseudo-same level are both above, and below, all the same stuff. This does</w:t>
      </w:r>
    </w:p>
    <w:p>
      <w:pPr>
        <w:pStyle w:val="Normal"/>
        <w:jc w:val="left"/>
        <w:rPr/>
      </w:pPr>
      <w:r>
        <w:rPr/>
        <w:t>not quite guarantee sameness of level. x and y might still be incommensurable. … I admit that my arguments leave some space for claiming that symmetric grounders</w:t>
      </w:r>
    </w:p>
    <w:p>
      <w:pPr>
        <w:pStyle w:val="Normal"/>
        <w:jc w:val="left"/>
        <w:rPr/>
      </w:pPr>
      <w:r>
        <w:rPr/>
        <w:t>are incommensurable in level. But given that (a) they are related by dependence and</w:t>
      </w:r>
    </w:p>
    <w:p>
      <w:pPr>
        <w:pStyle w:val="Normal"/>
        <w:jc w:val="left"/>
        <w:rPr/>
      </w:pPr>
      <w:r>
        <w:rPr/>
        <w:t>(b) they are at the pseudo-same level, I believe we should say that they lie at the same</w:t>
      </w:r>
    </w:p>
    <w:p>
      <w:pPr>
        <w:pStyle w:val="Normal"/>
        <w:rPr/>
      </w:pPr>
      <w:r>
        <w:rPr/>
        <w:t>level in reality's layering. (43-4)</w:t>
      </w:r>
    </w:p>
    <w:p>
      <w:pPr>
        <w:pStyle w:val="Normal"/>
        <w:rPr/>
      </w:pPr>
      <w:r>
        <w:rPr/>
      </w:r>
    </w:p>
    <w:p>
      <w:pPr>
        <w:pStyle w:val="Normal"/>
        <w:rPr>
          <w:color w:val="FF0000"/>
        </w:rPr>
      </w:pPr>
      <w:r>
        <w:rPr>
          <w:color w:val="FF0000"/>
        </w:rPr>
        <w:t>[Obviously, the reader can have the feeling as if the above sentences were written under the EDWs perspective! Of course, I know the author did not read any of my work…]</w:t>
      </w:r>
    </w:p>
    <w:p>
      <w:pPr>
        <w:pStyle w:val="Normal"/>
        <w:rPr>
          <w:color w:val="FF0000"/>
        </w:rPr>
      </w:pPr>
      <w:r>
        <w:rPr>
          <w:color w:val="FF0000"/>
        </w:rPr>
      </w:r>
    </w:p>
    <w:p>
      <w:pPr>
        <w:pStyle w:val="Normal"/>
        <w:jc w:val="left"/>
        <w:rPr/>
      </w:pPr>
      <w:r>
        <w:rPr/>
        <w:t>In contrast, symmetric ground, in which every time x grounds y, y also grounds x,</w:t>
      </w:r>
    </w:p>
    <w:p>
      <w:pPr>
        <w:pStyle w:val="Normal"/>
        <w:jc w:val="left"/>
        <w:rPr/>
      </w:pPr>
      <w:r>
        <w:rPr/>
        <w:t>completely voids the basic idea. Ground will never give us the result that x is above (or</w:t>
      </w:r>
    </w:p>
    <w:p>
      <w:pPr>
        <w:pStyle w:val="Normal"/>
        <w:jc w:val="left"/>
        <w:rPr/>
      </w:pPr>
      <w:r>
        <w:rPr/>
        <w:t>below) yin reality's layering. In Section 4, I argued that in cases of symmetric ground</w:t>
      </w:r>
    </w:p>
    <w:p>
      <w:pPr>
        <w:pStyle w:val="Normal"/>
        <w:jc w:val="left"/>
        <w:rPr/>
      </w:pPr>
      <w:r>
        <w:rPr/>
        <w:t>we should maintain that the symmetric groundees should be placed at the same level</w:t>
      </w:r>
    </w:p>
    <w:p>
      <w:pPr>
        <w:pStyle w:val="Normal"/>
        <w:jc w:val="left"/>
        <w:rPr/>
      </w:pPr>
      <w:r>
        <w:rPr/>
        <w:t xml:space="preserve">in reality's layering. </w:t>
      </w:r>
      <w:r>
        <w:rPr>
          <w:rFonts w:cs="Arial" w:ascii="Arial" w:hAnsi="Arial"/>
        </w:rPr>
        <w:t xml:space="preserve">If </w:t>
      </w:r>
      <w:r>
        <w:rPr/>
        <w:t>this is correct, then ground will provide some, but not much,  guide to reality's layers. Ground will be sufficient for sameness oflevel. But some other</w:t>
      </w:r>
    </w:p>
    <w:p>
      <w:pPr>
        <w:pStyle w:val="Normal"/>
        <w:jc w:val="left"/>
        <w:rPr/>
      </w:pPr>
      <w:r>
        <w:rPr/>
        <w:t>relation will be required to do the heavy lifting in the generation of reality's vertical</w:t>
      </w:r>
    </w:p>
    <w:p>
      <w:pPr>
        <w:pStyle w:val="Normal"/>
        <w:rPr/>
      </w:pPr>
      <w:r>
        <w:rPr/>
        <w:t>hierarchy. (45-6)</w:t>
      </w:r>
    </w:p>
    <w:p>
      <w:pPr>
        <w:pStyle w:val="Normal"/>
        <w:rPr/>
      </w:pPr>
      <w:r>
        <w:rPr/>
      </w:r>
    </w:p>
    <w:p>
      <w:pPr>
        <w:pStyle w:val="Normal"/>
        <w:jc w:val="left"/>
        <w:rPr/>
      </w:pPr>
      <w:r>
        <w:rPr/>
        <w:t>7 Conclusion</w:t>
      </w:r>
    </w:p>
    <w:p>
      <w:pPr>
        <w:pStyle w:val="Normal"/>
        <w:jc w:val="left"/>
        <w:rPr/>
      </w:pPr>
      <w:r>
        <w:rPr/>
        <w:t>The key to making unorthodox views about the formal properties of ground compatible</w:t>
      </w:r>
    </w:p>
    <w:p>
      <w:pPr>
        <w:pStyle w:val="Normal"/>
        <w:jc w:val="left"/>
        <w:rPr/>
      </w:pPr>
      <w:r>
        <w:rPr/>
        <w:t>with the layered conception is to recognize that there is a gap between what</w:t>
      </w:r>
    </w:p>
    <w:p>
      <w:pPr>
        <w:pStyle w:val="Normal"/>
        <w:jc w:val="left"/>
        <w:rPr/>
      </w:pPr>
      <w:r>
        <w:rPr/>
        <w:t>grounds what and the layered conception. One can't just "read off" reality's layering</w:t>
      </w:r>
    </w:p>
    <w:p>
      <w:pPr>
        <w:pStyle w:val="Normal"/>
        <w:jc w:val="left"/>
        <w:rPr/>
      </w:pPr>
      <w:r>
        <w:rPr/>
        <w:t>from the facts about ground. The move from what grounds what to reality's layering</w:t>
      </w:r>
    </w:p>
    <w:p>
      <w:pPr>
        <w:pStyle w:val="Normal"/>
        <w:jc w:val="left"/>
        <w:rPr/>
      </w:pPr>
      <w:r>
        <w:rPr/>
        <w:t>is substantive. I believe we should be optimistic about gleaning from the facts about</w:t>
      </w:r>
    </w:p>
    <w:p>
      <w:pPr>
        <w:pStyle w:val="Normal"/>
        <w:jc w:val="left"/>
        <w:rPr/>
      </w:pPr>
      <w:r>
        <w:rPr/>
        <w:t>ground a useful and informative structure that roughly matches our pre-theoretic</w:t>
      </w:r>
    </w:p>
    <w:p>
      <w:pPr>
        <w:pStyle w:val="Normal"/>
        <w:jc w:val="left"/>
        <w:rPr/>
      </w:pPr>
      <w:r>
        <w:rPr/>
        <w:t>conception of how the features of reality are layered.</w:t>
      </w:r>
    </w:p>
    <w:p>
      <w:pPr>
        <w:pStyle w:val="Normal"/>
        <w:jc w:val="left"/>
        <w:rPr/>
      </w:pPr>
      <w:r>
        <w:rPr/>
        <w:t xml:space="preserve">First, principles linking ground and layering, or fundamen:ality, sud: as the </w:t>
      </w:r>
      <w:r>
        <w:rPr>
          <w:rFonts w:eastAsia="HiddenHorzOCR" w:cs="HiddenHorzOCR" w:ascii="HiddenHorzOCR" w:hAnsi="HiddenHorzOCR"/>
        </w:rPr>
        <w:t>sim~le</w:t>
      </w:r>
    </w:p>
    <w:p>
      <w:pPr>
        <w:pStyle w:val="Normal"/>
        <w:jc w:val="left"/>
        <w:rPr/>
      </w:pPr>
      <w:r>
        <w:rPr/>
        <w:t>and/or slightly less simple principle, give us a healthy start m generatmg a layenng</w:t>
      </w:r>
    </w:p>
    <w:p>
      <w:pPr>
        <w:pStyle w:val="Normal"/>
        <w:jc w:val="left"/>
        <w:rPr/>
      </w:pPr>
      <w:r>
        <w:rPr/>
        <w:t xml:space="preserve">from ground. But the task of evaluating the patterns in the </w:t>
      </w:r>
      <w:r>
        <w:rPr>
          <w:rFonts w:eastAsia="HiddenHorzOCR" w:cs="HiddenHorzOCR" w:ascii="HiddenHorzOCR" w:hAnsi="HiddenHorzOCR"/>
        </w:rPr>
        <w:t>g~mmding relat~ons</w:t>
      </w:r>
    </w:p>
    <w:p>
      <w:pPr>
        <w:pStyle w:val="Normal"/>
        <w:jc w:val="left"/>
        <w:rPr/>
      </w:pPr>
      <w:r>
        <w:rPr/>
        <w:t>between particulars, and gleaning from those patterns a layenng of the Vanous</w:t>
      </w:r>
    </w:p>
    <w:p>
      <w:pPr>
        <w:pStyle w:val="Normal"/>
        <w:jc w:val="left"/>
        <w:rPr/>
      </w:pPr>
      <w:r>
        <w:rPr/>
        <w:t xml:space="preserve">properties, and types of properties (geological, biological)'. </w:t>
      </w:r>
      <w:r>
        <w:rPr>
          <w:rFonts w:eastAsia="HiddenHorzOCR" w:cs="HiddenHorzOCR" w:ascii="HiddenHorzOCR" w:hAnsi="HiddenHorzOCR"/>
        </w:rPr>
        <w:t xml:space="preserve">re~ains'. </w:t>
      </w:r>
      <w:r>
        <w:rPr/>
        <w:t>Second, we may</w:t>
      </w:r>
    </w:p>
    <w:p>
      <w:pPr>
        <w:pStyle w:val="Normal"/>
        <w:jc w:val="left"/>
        <w:rPr/>
      </w:pPr>
      <w:r>
        <w:rPr/>
        <w:t>have to abandon some of our pre-theoretic ideas about reahtys layering. I argued that</w:t>
      </w:r>
    </w:p>
    <w:p>
      <w:pPr>
        <w:pStyle w:val="Normal"/>
        <w:jc w:val="left"/>
        <w:rPr/>
      </w:pPr>
      <w:r>
        <w:rPr/>
        <w:t>we should abandon the claim that reality's layering generates a total order. Geology</w:t>
      </w:r>
    </w:p>
    <w:p>
      <w:pPr>
        <w:pStyle w:val="Normal"/>
        <w:jc w:val="left"/>
        <w:rPr/>
      </w:pPr>
      <w:r>
        <w:rPr/>
        <w:t>and biology are incommensurable; neither lies above or below the other. The layering's</w:t>
      </w:r>
    </w:p>
    <w:p>
      <w:pPr>
        <w:pStyle w:val="Normal"/>
        <w:rPr/>
      </w:pPr>
      <w:r>
        <w:rPr/>
        <w:t xml:space="preserve">order is closer to total than ground's order. But both are partial. </w:t>
      </w:r>
    </w:p>
    <w:p>
      <w:pPr>
        <w:pStyle w:val="Normal"/>
        <w:jc w:val="left"/>
        <w:rPr/>
      </w:pPr>
      <w:r>
        <w:rPr/>
        <w:t>The gap between ground and layering both helps and harms. It harms because it</w:t>
      </w:r>
    </w:p>
    <w:p>
      <w:pPr>
        <w:pStyle w:val="Normal"/>
        <w:jc w:val="left"/>
        <w:rPr/>
      </w:pPr>
      <w:r>
        <w:rPr/>
        <w:t>makes the task of discerning reality's layering more difficult. Even after we possess</w:t>
      </w:r>
    </w:p>
    <w:p>
      <w:pPr>
        <w:pStyle w:val="Normal"/>
        <w:jc w:val="left"/>
        <w:rPr/>
      </w:pPr>
      <w:r>
        <w:rPr/>
        <w:t>a complete story of what grounds what, we must still do philosophical work to</w:t>
      </w:r>
    </w:p>
    <w:p>
      <w:pPr>
        <w:pStyle w:val="Normal"/>
        <w:jc w:val="left"/>
        <w:rPr/>
      </w:pPr>
      <w:r>
        <w:rPr/>
        <w:t xml:space="preserve">determine what is more fundamental than what. </w:t>
      </w:r>
      <w:r>
        <w:rPr>
          <w:rFonts w:cs="Arial" w:ascii="Arial" w:hAnsi="Arial"/>
        </w:rPr>
        <w:t xml:space="preserve">It </w:t>
      </w:r>
      <w:r>
        <w:rPr/>
        <w:t>helps because it permits the</w:t>
      </w:r>
    </w:p>
    <w:p>
      <w:pPr>
        <w:pStyle w:val="Normal"/>
        <w:jc w:val="left"/>
        <w:rPr/>
      </w:pPr>
      <w:r>
        <w:rPr/>
        <w:t>layering to be well-behaved even when ground is not. For example, symmetric cases</w:t>
      </w:r>
    </w:p>
    <w:p>
      <w:pPr>
        <w:pStyle w:val="Normal"/>
        <w:jc w:val="left"/>
        <w:rPr/>
      </w:pPr>
      <w:r>
        <w:rPr/>
        <w:t>of ground don't force us to claim that the symmetric groundees each lie above (or</w:t>
      </w:r>
    </w:p>
    <w:p>
      <w:pPr>
        <w:pStyle w:val="Normal"/>
        <w:jc w:val="left"/>
        <w:rPr/>
      </w:pPr>
      <w:r>
        <w:rPr/>
        <w:t>below) the other in reality's layering.</w:t>
      </w:r>
    </w:p>
    <w:p>
      <w:pPr>
        <w:pStyle w:val="Normal"/>
        <w:jc w:val="left"/>
        <w:rPr/>
      </w:pPr>
      <w:r>
        <w:rPr/>
        <w:t xml:space="preserve">The grounding orthodoxy ensures that ground behaves nicely. It will. be a </w:t>
      </w:r>
      <w:r>
        <w:rPr>
          <w:rFonts w:eastAsia="HiddenHorzOCR" w:cs="HiddenHorzOCR" w:ascii="HiddenHorzOCR" w:hAnsi="HiddenHorzOCR"/>
        </w:rPr>
        <w:t>g~od</w:t>
      </w:r>
    </w:p>
    <w:p>
      <w:pPr>
        <w:pStyle w:val="Normal"/>
        <w:jc w:val="left"/>
        <w:rPr/>
      </w:pPr>
      <w:r>
        <w:rPr/>
        <w:t>little transitive, anti-symmetric, irreflexive, foundationalist relation. This obedient</w:t>
      </w:r>
    </w:p>
    <w:p>
      <w:pPr>
        <w:pStyle w:val="Normal"/>
        <w:jc w:val="left"/>
        <w:rPr/>
      </w:pPr>
      <w:r>
        <w:rPr/>
        <w:t>behavior ensures the absence of problematic grounding structures, such as loops, that</w:t>
      </w:r>
    </w:p>
    <w:p>
      <w:pPr>
        <w:pStyle w:val="Normal"/>
        <w:jc w:val="left"/>
        <w:rPr/>
      </w:pPr>
      <w:r>
        <w:rPr/>
        <w:t>create problems when we move from ground to reality's layering: But the heretics.are</w:t>
      </w:r>
    </w:p>
    <w:p>
      <w:pPr>
        <w:pStyle w:val="Normal"/>
        <w:jc w:val="left"/>
        <w:rPr/>
      </w:pPr>
      <w:r>
        <w:rPr/>
        <w:t>out there. Not all theorists of ground believe in the orthodoxy. Ive covered a vanety</w:t>
      </w:r>
    </w:p>
    <w:p>
      <w:pPr>
        <w:pStyle w:val="Normal"/>
        <w:jc w:val="left"/>
        <w:rPr/>
      </w:pPr>
      <w:r>
        <w:rPr/>
        <w:t>of reasons to doubt various parts of that orthodoxy. These theorists will probably be</w:t>
      </w:r>
    </w:p>
    <w:p>
      <w:pPr>
        <w:pStyle w:val="Normal"/>
        <w:jc w:val="left"/>
        <w:rPr/>
      </w:pPr>
      <w:r>
        <w:rPr/>
        <w:t>willing to give up some nice behavior in order to have a theoretical tool that can do</w:t>
      </w:r>
    </w:p>
    <w:p>
      <w:pPr>
        <w:pStyle w:val="Normal"/>
        <w:jc w:val="left"/>
        <w:rPr/>
      </w:pPr>
      <w:r>
        <w:rPr/>
        <w:t>the metaphysical work they want done. For this reason alone, it's worth exploring how</w:t>
      </w:r>
    </w:p>
    <w:p>
      <w:pPr>
        <w:pStyle w:val="Normal"/>
        <w:jc w:val="left"/>
        <w:rPr/>
      </w:pPr>
      <w:r>
        <w:rPr/>
        <w:t>reality's layering might go if we accept an unorthodox view about ground and want to</w:t>
      </w:r>
    </w:p>
    <w:p>
      <w:pPr>
        <w:pStyle w:val="Normal"/>
        <w:rPr/>
      </w:pPr>
      <w:r>
        <w:rPr/>
        <w:t>maintain an intimate link between ground and the layered conception. (48)</w:t>
      </w:r>
    </w:p>
    <w:p>
      <w:pPr>
        <w:pStyle w:val="Normal"/>
        <w:rPr/>
      </w:pPr>
      <w:r>
        <w:rPr/>
      </w:r>
    </w:p>
    <w:p>
      <w:pPr>
        <w:pStyle w:val="Normal"/>
        <w:jc w:val="left"/>
        <w:rPr/>
      </w:pPr>
      <w:r>
        <w:rPr/>
        <w:t>In the end, we might reject the arguments of Barnes, Bliss, Jenkins, and Schaffer,</w:t>
      </w:r>
    </w:p>
    <w:p>
      <w:pPr>
        <w:pStyle w:val="Normal"/>
        <w:jc w:val="left"/>
        <w:rPr/>
      </w:pPr>
      <w:r>
        <w:rPr/>
        <w:t>and maintain that the orthodoxy about ground is correct. But knowing that the</w:t>
      </w:r>
    </w:p>
    <w:p>
      <w:pPr>
        <w:pStyle w:val="Normal"/>
        <w:jc w:val="left"/>
        <w:rPr/>
      </w:pPr>
      <w:r>
        <w:rPr/>
        <w:t>layered conception is perfectly compatible with the heretical views that challenge the</w:t>
      </w:r>
    </w:p>
    <w:p>
      <w:pPr>
        <w:pStyle w:val="Normal"/>
        <w:jc w:val="left"/>
        <w:rPr/>
      </w:pPr>
      <w:r>
        <w:rPr/>
        <w:t>orthodoxy should grease the wheels for rejecting that orthodoxy (a move with which</w:t>
      </w:r>
    </w:p>
    <w:p>
      <w:pPr>
        <w:pStyle w:val="Normal"/>
        <w:jc w:val="left"/>
        <w:rPr/>
      </w:pPr>
      <w:r>
        <w:rPr/>
        <w:t>I have considerable sympathy). A non-orthodox view of ground can not only have a</w:t>
      </w:r>
    </w:p>
    <w:p>
      <w:pPr>
        <w:pStyle w:val="Normal"/>
        <w:jc w:val="left"/>
        <w:rPr/>
      </w:pPr>
      <w:r>
        <w:rPr/>
        <w:t>nice layering of reality, but the non-orthodox view is, in various ways, better suited to</w:t>
      </w:r>
    </w:p>
    <w:p>
      <w:pPr>
        <w:pStyle w:val="Normal"/>
        <w:rPr/>
      </w:pPr>
      <w:r>
        <w:rPr/>
        <w:t>that layering. The grounding heretics can have their (layered) cake and eat it too.4 (49)</w:t>
      </w:r>
    </w:p>
    <w:p>
      <w:pPr>
        <w:pStyle w:val="Normal"/>
        <w:rPr/>
      </w:pPr>
      <w:r>
        <w:rPr/>
      </w:r>
    </w:p>
    <w:p>
      <w:pPr>
        <w:pStyle w:val="Normal"/>
        <w:rPr>
          <w:color w:val="FF0000"/>
        </w:rPr>
      </w:pPr>
      <w:r>
        <w:rPr>
          <w:color w:val="FF0000"/>
        </w:rPr>
        <w:t>[Again, when I read this article, I had the feeling as if the author were working within the EDWs perspective writing this article…]</w:t>
      </w:r>
    </w:p>
    <w:p>
      <w:pPr>
        <w:pStyle w:val="Normal"/>
        <w:rPr/>
      </w:pPr>
      <w:r>
        <w:rPr/>
      </w:r>
    </w:p>
    <w:p>
      <w:pPr>
        <w:pStyle w:val="Normal"/>
        <w:rPr/>
      </w:pPr>
      <w:r>
        <w:rPr/>
      </w:r>
    </w:p>
    <w:p>
      <w:pPr>
        <w:pStyle w:val="Normal"/>
        <w:jc w:val="left"/>
        <w:rPr/>
      </w:pPr>
      <w:r>
        <w:rPr>
          <w:rFonts w:cs="Arial" w:ascii="Arial" w:hAnsi="Arial"/>
          <w:b/>
          <w:bCs/>
        </w:rPr>
        <w:t xml:space="preserve">4 </w:t>
      </w:r>
      <w:r>
        <w:rPr>
          <w:b/>
          <w:bCs/>
        </w:rPr>
        <w:t xml:space="preserve">Cosmic Loops </w:t>
      </w:r>
      <w:r>
        <w:rPr>
          <w:i/>
          <w:iCs/>
        </w:rPr>
        <w:t>Daniel Nolan</w:t>
      </w:r>
      <w:bookmarkStart w:id="17" w:name="_Hlk6579616"/>
      <w:bookmarkEnd w:id="17"/>
    </w:p>
    <w:p>
      <w:pPr>
        <w:pStyle w:val="Normal"/>
        <w:rPr>
          <w:i/>
          <w:i/>
          <w:iCs/>
        </w:rPr>
      </w:pPr>
      <w:r>
        <w:rPr>
          <w:i/>
          <w:iCs/>
        </w:rPr>
      </w:r>
    </w:p>
    <w:p>
      <w:pPr>
        <w:pStyle w:val="Normal"/>
        <w:jc w:val="left"/>
        <w:rPr/>
      </w:pPr>
      <w:r>
        <w:rPr/>
        <w:t>Other</w:t>
      </w:r>
    </w:p>
    <w:p>
      <w:pPr>
        <w:pStyle w:val="Normal"/>
        <w:jc w:val="left"/>
        <w:rPr/>
      </w:pPr>
      <w:r>
        <w:rPr/>
        <w:t>patterns in the world come with convenient layers that are less all-encompassing: the</w:t>
      </w:r>
    </w:p>
    <w:p>
      <w:pPr>
        <w:pStyle w:val="Normal"/>
        <w:jc w:val="left"/>
        <w:rPr/>
      </w:pPr>
      <w:r>
        <w:rPr/>
        <w:t>relation of part-to-whole can be used to order my fingernail as part of my finger, my</w:t>
      </w:r>
    </w:p>
    <w:p>
      <w:pPr>
        <w:pStyle w:val="Normal"/>
        <w:jc w:val="left"/>
        <w:rPr/>
      </w:pPr>
      <w:r>
        <w:rPr/>
        <w:t>finger as part of my hand, my hand as part of me. On its own, it will not serve as a</w:t>
      </w:r>
    </w:p>
    <w:p>
      <w:pPr>
        <w:pStyle w:val="Normal"/>
        <w:jc w:val="left"/>
        <w:rPr/>
      </w:pPr>
      <w:r>
        <w:rPr/>
        <w:t>convenient way of ordering everything, since there are distinct hierarchies of parts:</w:t>
      </w:r>
    </w:p>
    <w:p>
      <w:pPr>
        <w:pStyle w:val="Normal"/>
        <w:jc w:val="left"/>
        <w:rPr/>
      </w:pPr>
      <w:r>
        <w:rPr/>
        <w:t>my table leg is not part of my leg, nor vice versa. We would have a cosmic loop of</w:t>
      </w:r>
    </w:p>
    <w:p>
      <w:pPr>
        <w:pStyle w:val="Normal"/>
        <w:jc w:val="left"/>
        <w:rPr/>
      </w:pPr>
      <w:r>
        <w:rPr/>
        <w:t>part-to-whole if we started with one world (call it world 1) which had many atoms at</w:t>
      </w:r>
    </w:p>
    <w:p>
      <w:pPr>
        <w:pStyle w:val="Normal"/>
        <w:jc w:val="left"/>
        <w:rPr/>
      </w:pPr>
      <w:r>
        <w:rPr/>
        <w:t>one end of the part-whole hierarchy, and at the other end of the part-whole hierarchy</w:t>
      </w:r>
    </w:p>
    <w:p>
      <w:pPr>
        <w:pStyle w:val="Normal"/>
        <w:jc w:val="left"/>
        <w:rPr/>
      </w:pPr>
      <w:r>
        <w:rPr/>
        <w:t>a Universe that contained everything as parts, and considered another world, world 2,</w:t>
      </w:r>
    </w:p>
    <w:p>
      <w:pPr>
        <w:pStyle w:val="Normal"/>
        <w:jc w:val="left"/>
        <w:rPr/>
      </w:pPr>
      <w:r>
        <w:rPr/>
        <w:t>with the same pattern of part-to-whole except that the thing which was the Universe</w:t>
      </w:r>
    </w:p>
    <w:p>
      <w:pPr>
        <w:pStyle w:val="Normal"/>
        <w:jc w:val="left"/>
        <w:rPr/>
      </w:pPr>
      <w:r>
        <w:rPr/>
        <w:t>of world 1 was part of all the things which were atoms of world 1. In world 2, you</w:t>
      </w:r>
    </w:p>
    <w:p>
      <w:pPr>
        <w:pStyle w:val="Normal"/>
        <w:jc w:val="left"/>
        <w:rPr/>
      </w:pPr>
      <w:r>
        <w:rPr/>
        <w:t>could follow the chain of "part of" relations starting at the object which is world l's</w:t>
      </w:r>
    </w:p>
    <w:p>
      <w:pPr>
        <w:pStyle w:val="Normal"/>
        <w:jc w:val="left"/>
        <w:rPr/>
      </w:pPr>
      <w:r>
        <w:rPr/>
        <w:t>Universe, right around to that very object again. World 2 would plausibly contain a</w:t>
      </w:r>
    </w:p>
    <w:p>
      <w:pPr>
        <w:pStyle w:val="Normal"/>
        <w:jc w:val="left"/>
        <w:rPr/>
      </w:pPr>
      <w:r>
        <w:rPr/>
        <w:t>cosmic grounding loop too, given the common assumption that wholes are grounded</w:t>
      </w:r>
    </w:p>
    <w:p>
      <w:pPr>
        <w:pStyle w:val="Normal"/>
        <w:jc w:val="left"/>
        <w:rPr/>
      </w:pPr>
      <w:r>
        <w:rPr/>
        <w:t>in their parts. (Perhaps world 2 would only be an impossible world, rather than a</w:t>
      </w:r>
    </w:p>
    <w:p>
      <w:pPr>
        <w:pStyle w:val="Normal"/>
        <w:jc w:val="left"/>
        <w:rPr/>
      </w:pPr>
      <w:r>
        <w:rPr/>
        <w:t>possible one: more on this question in Section 3 below.) While I have hopefully said enough to get the idea of cosmic loops across, I have</w:t>
      </w:r>
    </w:p>
    <w:p>
      <w:pPr>
        <w:pStyle w:val="Normal"/>
        <w:jc w:val="left"/>
        <w:rPr/>
      </w:pPr>
      <w:r>
        <w:rPr/>
        <w:t>not yet provided a general definition. Rather than bogging down in a specification that</w:t>
      </w:r>
    </w:p>
    <w:p>
      <w:pPr>
        <w:pStyle w:val="Normal"/>
        <w:jc w:val="left"/>
        <w:rPr/>
      </w:pPr>
      <w:r>
        <w:rPr/>
        <w:t>avoids various tricky corner cases, I will present some exemplars which we may use as</w:t>
      </w:r>
    </w:p>
    <w:p>
      <w:pPr>
        <w:pStyle w:val="Normal"/>
        <w:jc w:val="left"/>
        <w:rPr/>
      </w:pPr>
      <w:r>
        <w:rPr/>
        <w:t>paradigms: especially since the issues that arise for my exemplars don't really depend</w:t>
      </w:r>
    </w:p>
    <w:p>
      <w:pPr>
        <w:pStyle w:val="Normal"/>
        <w:jc w:val="left"/>
        <w:rPr/>
      </w:pPr>
      <w:r>
        <w:rPr/>
        <w:t>on whether we have pinned down a unique concept of cosmic loops. One thing I do</w:t>
      </w:r>
    </w:p>
    <w:p>
      <w:pPr>
        <w:pStyle w:val="Normal"/>
        <w:jc w:val="left"/>
        <w:rPr/>
      </w:pPr>
      <w:r>
        <w:rPr/>
        <w:t>want to leave open, at least as far as the definition of"cosmic loop" goes, is that cosmic</w:t>
      </w:r>
    </w:p>
    <w:p>
      <w:pPr>
        <w:pStyle w:val="Normal"/>
        <w:jc w:val="left"/>
        <w:rPr/>
      </w:pPr>
      <w:r>
        <w:rPr/>
        <w:t>loops of ground might co-exist with shorter loops of ground. Again, time provides a</w:t>
      </w:r>
    </w:p>
    <w:p>
      <w:pPr>
        <w:pStyle w:val="Normal"/>
        <w:jc w:val="left"/>
        <w:rPr/>
      </w:pPr>
      <w:r>
        <w:rPr/>
        <w:t>useful analogy: even if the entire universe is a great temporal loop, say with a big bang</w:t>
      </w:r>
    </w:p>
    <w:p>
      <w:pPr>
        <w:pStyle w:val="Normal"/>
        <w:jc w:val="left"/>
        <w:rPr/>
      </w:pPr>
      <w:r>
        <w:rPr/>
        <w:t>at the "start" also serving as a big crunch at the "end'', there may also be shorter loops</w:t>
      </w:r>
    </w:p>
    <w:p>
      <w:pPr>
        <w:pStyle w:val="Normal"/>
        <w:jc w:val="left"/>
        <w:rPr/>
      </w:pPr>
      <w:r>
        <w:rPr/>
        <w:t>created by time-travel machines or unusual spatio-temporal wormholes. Likewise,</w:t>
      </w:r>
    </w:p>
    <w:p>
      <w:pPr>
        <w:pStyle w:val="Normal"/>
        <w:jc w:val="left"/>
        <w:rPr/>
      </w:pPr>
      <w:r>
        <w:rPr/>
        <w:t>even if there are cosmic loops of ground that go "all the way around", there may also</w:t>
      </w:r>
    </w:p>
    <w:p>
      <w:pPr>
        <w:pStyle w:val="Normal"/>
        <w:jc w:val="left"/>
        <w:rPr/>
      </w:pPr>
      <w:r>
        <w:rPr/>
        <w:t xml:space="preserve">be short loops (e.g. the fact </w:t>
      </w:r>
      <w:r>
        <w:rPr>
          <w:i/>
          <w:iCs/>
        </w:rPr>
        <w:t xml:space="preserve">that there are some facts </w:t>
      </w:r>
      <w:r>
        <w:rPr/>
        <w:t>may ground itself</w:t>
      </w:r>
      <w:r>
        <w:rPr>
          <w:rFonts w:cs="Arial" w:ascii="Arial" w:hAnsi="Arial"/>
        </w:rPr>
        <w:t xml:space="preserve">1 ). </w:t>
      </w:r>
      <w:r>
        <w:rPr/>
        <w:t>I also want</w:t>
      </w:r>
    </w:p>
    <w:p>
      <w:pPr>
        <w:pStyle w:val="Normal"/>
        <w:jc w:val="left"/>
        <w:rPr/>
      </w:pPr>
      <w:r>
        <w:rPr/>
        <w:t>to allow that a loop can be cosmic without bringing everything in a universe into its</w:t>
      </w:r>
    </w:p>
    <w:p>
      <w:pPr>
        <w:pStyle w:val="Normal"/>
        <w:jc w:val="left"/>
        <w:rPr/>
      </w:pPr>
      <w:r>
        <w:rPr/>
        <w:t>scope: a layer-cake universe might have several cosmic loops that contain a member</w:t>
      </w:r>
    </w:p>
    <w:p>
      <w:pPr>
        <w:pStyle w:val="Normal"/>
        <w:rPr/>
      </w:pPr>
      <w:r>
        <w:rPr/>
        <w:t xml:space="preserve">from each layer, but do not share any members. </w:t>
      </w:r>
    </w:p>
    <w:p>
      <w:pPr>
        <w:pStyle w:val="Normal"/>
        <w:jc w:val="left"/>
        <w:rPr/>
      </w:pPr>
      <w:r>
        <w:rPr/>
        <w:t>When we are considering cosmic loop scenarios, which loops will be grounding</w:t>
      </w:r>
    </w:p>
    <w:p>
      <w:pPr>
        <w:pStyle w:val="Normal"/>
        <w:jc w:val="left"/>
        <w:rPr/>
      </w:pPr>
      <w:r>
        <w:rPr/>
        <w:t>loops will depend on what kinds of relationships go along with relationships of</w:t>
      </w:r>
    </w:p>
    <w:p>
      <w:pPr>
        <w:pStyle w:val="Normal"/>
        <w:jc w:val="left"/>
        <w:rPr/>
      </w:pPr>
      <w:r>
        <w:rPr/>
        <w:t>grounding in those scenarios. I suppose that we could brutally stipulate grounding</w:t>
      </w:r>
    </w:p>
    <w:p>
      <w:pPr>
        <w:pStyle w:val="Normal"/>
        <w:jc w:val="left"/>
        <w:rPr/>
      </w:pPr>
      <w:r>
        <w:rPr/>
        <w:t>connections between different entities or facts, but it will be more natural, and more</w:t>
      </w:r>
    </w:p>
    <w:p>
      <w:pPr>
        <w:pStyle w:val="Normal"/>
        <w:jc w:val="left"/>
        <w:rPr/>
      </w:pPr>
      <w:r>
        <w:rPr/>
        <w:t>familiar, to think of grounding as going along with other relationships, such as the</w:t>
      </w:r>
    </w:p>
    <w:p>
      <w:pPr>
        <w:pStyle w:val="Normal"/>
        <w:rPr/>
      </w:pPr>
      <w:r>
        <w:rPr/>
        <w:t>part-whole relation or the determinate-determinable relation. (92)</w:t>
      </w:r>
    </w:p>
    <w:p>
      <w:pPr>
        <w:pStyle w:val="Normal"/>
        <w:rPr/>
      </w:pPr>
      <w:r>
        <w:rPr/>
      </w:r>
    </w:p>
    <w:p>
      <w:pPr>
        <w:pStyle w:val="Normal"/>
        <w:rPr>
          <w:color w:val="FF0000"/>
        </w:rPr>
      </w:pPr>
      <w:r>
        <w:rPr>
          <w:color w:val="FF0000"/>
        </w:rPr>
        <w:t>[Is it not World 1 and World2 UNBELIEVABLE similar to EDWs?]</w:t>
      </w:r>
    </w:p>
    <w:p>
      <w:pPr>
        <w:pStyle w:val="Normal"/>
        <w:rPr/>
      </w:pPr>
      <w:r>
        <w:rPr/>
      </w:r>
    </w:p>
    <w:p>
      <w:pPr>
        <w:pStyle w:val="Normal"/>
        <w:jc w:val="left"/>
        <w:rPr/>
      </w:pPr>
      <w:r>
        <w:rPr/>
        <w:t>4 Recovering "Local" Irreflexivity, Symmetry,</w:t>
      </w:r>
    </w:p>
    <w:p>
      <w:pPr>
        <w:pStyle w:val="Normal"/>
        <w:jc w:val="left"/>
        <w:rPr/>
      </w:pPr>
      <w:r>
        <w:rPr/>
        <w:t>and Transitivity in Cosmic Loops</w:t>
      </w:r>
    </w:p>
    <w:p>
      <w:pPr>
        <w:pStyle w:val="Normal"/>
        <w:jc w:val="left"/>
        <w:rPr/>
      </w:pPr>
      <w:r>
        <w:rPr/>
        <w:t xml:space="preserve">A scenario can be a cosmic loop scenario even </w:t>
      </w:r>
      <w:r>
        <w:rPr>
          <w:rFonts w:cs="Arial" w:ascii="Arial" w:hAnsi="Arial"/>
        </w:rPr>
        <w:t xml:space="preserve">if </w:t>
      </w:r>
      <w:r>
        <w:rPr/>
        <w:t>grounding is closed under transitivity</w:t>
      </w:r>
    </w:p>
    <w:p>
      <w:pPr>
        <w:pStyle w:val="Normal"/>
        <w:jc w:val="left"/>
        <w:rPr/>
      </w:pPr>
      <w:r>
        <w:rPr/>
        <w:t>in it: these are cases where everything in a circle of ground grounds everything in that</w:t>
      </w:r>
    </w:p>
    <w:p>
      <w:pPr>
        <w:pStyle w:val="Normal"/>
        <w:jc w:val="left"/>
        <w:rPr/>
      </w:pPr>
      <w:r>
        <w:rPr/>
        <w:t>circle, including itself. But there is a more natural way to understand many of these</w:t>
      </w:r>
    </w:p>
    <w:p>
      <w:pPr>
        <w:pStyle w:val="Normal"/>
        <w:jc w:val="left"/>
        <w:rPr/>
      </w:pPr>
      <w:r>
        <w:rPr/>
        <w:t>circles of ground as being intransitive: while A grounds B which grounds C which</w:t>
      </w:r>
    </w:p>
    <w:p>
      <w:pPr>
        <w:pStyle w:val="Normal"/>
        <w:jc w:val="left"/>
        <w:rPr/>
      </w:pPr>
      <w:r>
        <w:rPr/>
        <w:t>grounds D which grounds E which ... grounds A, these are not scenarios where A</w:t>
      </w:r>
    </w:p>
    <w:p>
      <w:pPr>
        <w:pStyle w:val="Normal"/>
        <w:jc w:val="left"/>
        <w:rPr/>
      </w:pPr>
      <w:r>
        <w:rPr/>
        <w:t xml:space="preserve">grounds itself or is somehow a </w:t>
      </w:r>
      <w:r>
        <w:rPr>
          <w:i/>
          <w:iCs/>
        </w:rPr>
        <w:t xml:space="preserve">causa sui. </w:t>
      </w:r>
      <w:r>
        <w:rPr/>
        <w:t>Or at the very least, this seems plausible</w:t>
      </w:r>
    </w:p>
    <w:p>
      <w:pPr>
        <w:pStyle w:val="Normal"/>
        <w:jc w:val="left"/>
        <w:rPr/>
      </w:pPr>
      <w:r>
        <w:rPr/>
        <w:t>for many of the entities in these loops: maybe TFSBL or the One are most naturally</w:t>
      </w:r>
    </w:p>
    <w:p>
      <w:pPr>
        <w:pStyle w:val="Normal"/>
        <w:jc w:val="left"/>
        <w:rPr/>
      </w:pPr>
      <w:r>
        <w:rPr/>
        <w:t>thought of as self-grounders, but entities in the "middle" of each loop, a given human</w:t>
      </w:r>
    </w:p>
    <w:p>
      <w:pPr>
        <w:pStyle w:val="Normal"/>
        <w:jc w:val="left"/>
        <w:rPr/>
      </w:pPr>
      <w:r>
        <w:rPr/>
        <w:t>hand, for example, are not naturally thought of as self-grounders.</w:t>
      </w:r>
    </w:p>
    <w:p>
      <w:pPr>
        <w:pStyle w:val="Normal"/>
        <w:jc w:val="left"/>
        <w:rPr/>
      </w:pPr>
      <w:r>
        <w:rPr/>
        <w:t>Even aside from this natural thought, it will be interesting to explore what the</w:t>
      </w:r>
    </w:p>
    <w:p>
      <w:pPr>
        <w:pStyle w:val="Normal"/>
        <w:jc w:val="left"/>
        <w:rPr/>
      </w:pPr>
      <w:r>
        <w:rPr/>
        <w:t xml:space="preserve">options are here for recovering </w:t>
      </w:r>
      <w:r>
        <w:rPr>
          <w:i/>
          <w:iCs/>
        </w:rPr>
        <w:t xml:space="preserve">local </w:t>
      </w:r>
      <w:r>
        <w:rPr/>
        <w:t>irreflexivity, asymmetry, and transitivity in</w:t>
      </w:r>
    </w:p>
    <w:p>
      <w:pPr>
        <w:pStyle w:val="Normal"/>
        <w:jc w:val="left"/>
        <w:rPr/>
      </w:pPr>
      <w:r>
        <w:rPr/>
        <w:t>cosmic loop scenarios. That is, to what extent can we "save the appearances" and allow</w:t>
      </w:r>
    </w:p>
    <w:p>
      <w:pPr>
        <w:pStyle w:val="Normal"/>
        <w:jc w:val="left"/>
        <w:rPr/>
      </w:pPr>
      <w:r>
        <w:rPr/>
        <w:t xml:space="preserve">that </w:t>
      </w:r>
      <w:r>
        <w:rPr>
          <w:i/>
          <w:iCs/>
        </w:rPr>
        <w:t xml:space="preserve">even if, </w:t>
      </w:r>
      <w:r>
        <w:rPr/>
        <w:t>on some cosmic scale, there is a loop of grounding, we need not change</w:t>
      </w:r>
    </w:p>
    <w:p>
      <w:pPr>
        <w:pStyle w:val="Normal"/>
        <w:jc w:val="left"/>
        <w:rPr/>
      </w:pPr>
      <w:r>
        <w:rPr/>
        <w:t>our attitudes to the grounding relationships that hold, for example, between the cells</w:t>
      </w:r>
    </w:p>
    <w:p>
      <w:pPr>
        <w:pStyle w:val="Normal"/>
        <w:jc w:val="left"/>
        <w:rPr/>
      </w:pPr>
      <w:r>
        <w:rPr/>
        <w:t>and other components of my hand and my hand itself, or between the distribution</w:t>
      </w:r>
    </w:p>
    <w:p>
      <w:pPr>
        <w:pStyle w:val="Normal"/>
        <w:jc w:val="left"/>
        <w:rPr/>
      </w:pPr>
      <w:r>
        <w:rPr/>
        <w:t>of rain, clouds, and lightning, on the one hand, and a thunderstorm, on the other?</w:t>
      </w:r>
    </w:p>
    <w:p>
      <w:pPr>
        <w:pStyle w:val="Normal"/>
        <w:jc w:val="left"/>
        <w:rPr/>
      </w:pPr>
      <w:r>
        <w:rPr/>
        <w:t>Can things as we ordinarily take them to be be embedded in a cosmos containing one</w:t>
      </w:r>
    </w:p>
    <w:p>
      <w:pPr>
        <w:pStyle w:val="Normal"/>
        <w:jc w:val="left"/>
        <w:rPr/>
      </w:pPr>
      <w:r>
        <w:rPr/>
        <w:t>or more cosmic loops at scales we are unfamiliar with? (Compare: in a universe with</w:t>
      </w:r>
    </w:p>
    <w:p>
      <w:pPr>
        <w:pStyle w:val="Normal"/>
        <w:jc w:val="left"/>
        <w:rPr/>
      </w:pPr>
      <w:r>
        <w:rPr/>
        <w:t>a unique big crunch that is immediately before its unique big bang, the direction of</w:t>
      </w:r>
    </w:p>
    <w:p>
      <w:pPr>
        <w:pStyle w:val="Normal"/>
        <w:jc w:val="left"/>
        <w:rPr/>
      </w:pPr>
      <w:r>
        <w:rPr/>
        <w:t xml:space="preserve">time might still be </w:t>
      </w:r>
      <w:r>
        <w:rPr>
          <w:i/>
          <w:iCs/>
        </w:rPr>
        <w:t xml:space="preserve">locally </w:t>
      </w:r>
      <w:r>
        <w:rPr/>
        <w:t>one-way, with no small loops letting people live through</w:t>
      </w:r>
    </w:p>
    <w:p>
      <w:pPr>
        <w:pStyle w:val="Normal"/>
        <w:jc w:val="left"/>
        <w:rPr/>
      </w:pPr>
      <w:r>
        <w:rPr/>
        <w:t>2014 before 2013.)</w:t>
      </w:r>
    </w:p>
    <w:p>
      <w:pPr>
        <w:pStyle w:val="Normal"/>
        <w:jc w:val="left"/>
        <w:rPr/>
      </w:pPr>
      <w:r>
        <w:rPr/>
        <w:t>What would "local" mean in this context? One stab at characterizing it would be to</w:t>
      </w:r>
    </w:p>
    <w:p>
      <w:pPr>
        <w:pStyle w:val="Normal"/>
        <w:jc w:val="left"/>
        <w:rPr/>
      </w:pPr>
      <w:r>
        <w:rPr/>
        <w:t xml:space="preserve">say that grounding is </w:t>
      </w:r>
      <w:r>
        <w:rPr>
          <w:i/>
          <w:iCs/>
        </w:rPr>
        <w:t xml:space="preserve">locally </w:t>
      </w:r>
      <w:r>
        <w:rPr/>
        <w:t>irreflexive, asymmetric, and transitive iff when we restrict</w:t>
      </w:r>
    </w:p>
    <w:p>
      <w:pPr>
        <w:pStyle w:val="Normal"/>
        <w:jc w:val="left"/>
        <w:rPr/>
      </w:pPr>
      <w:r>
        <w:rPr/>
        <w:t xml:space="preserve">the domain of entities quantified over to some domain </w:t>
      </w:r>
      <w:r>
        <w:rPr>
          <w:rFonts w:cs="Arial" w:ascii="Arial" w:hAnsi="Arial"/>
          <w:i/>
          <w:iCs/>
        </w:rPr>
        <w:t xml:space="preserve">D, </w:t>
      </w:r>
      <w:r>
        <w:rPr/>
        <w:t xml:space="preserve">then for all x in </w:t>
      </w:r>
      <w:r>
        <w:rPr>
          <w:rFonts w:cs="Arial" w:ascii="Arial" w:hAnsi="Arial"/>
          <w:i/>
          <w:iCs/>
        </w:rPr>
        <w:t xml:space="preserve">D, </w:t>
      </w:r>
      <w:r>
        <w:rPr/>
        <w:t>x does not</w:t>
      </w:r>
    </w:p>
    <w:p>
      <w:pPr>
        <w:pStyle w:val="Normal"/>
        <w:jc w:val="left"/>
        <w:rPr/>
      </w:pPr>
      <w:r>
        <w:rPr/>
        <w:t xml:space="preserve">ground x, for all x and yin </w:t>
      </w:r>
      <w:r>
        <w:rPr>
          <w:rFonts w:cs="Arial" w:ascii="Arial" w:hAnsi="Arial"/>
          <w:i/>
          <w:iCs/>
        </w:rPr>
        <w:t xml:space="preserve">D, </w:t>
      </w:r>
      <w:r>
        <w:rPr/>
        <w:t>if x grounds y then y does not ground x, and for all x, y,</w:t>
      </w:r>
    </w:p>
    <w:p>
      <w:pPr>
        <w:pStyle w:val="Normal"/>
        <w:jc w:val="left"/>
        <w:rPr/>
      </w:pPr>
      <w:r>
        <w:rPr/>
        <w:t xml:space="preserve">and z in </w:t>
      </w:r>
      <w:r>
        <w:rPr>
          <w:rFonts w:cs="Arial" w:ascii="Arial" w:hAnsi="Arial"/>
          <w:i/>
          <w:iCs/>
        </w:rPr>
        <w:t xml:space="preserve">D, </w:t>
      </w:r>
      <w:r>
        <w:rPr/>
        <w:t>if x grounds y and y grounds z, then x grounds z. Then we should insist on</w:t>
      </w:r>
    </w:p>
    <w:p>
      <w:pPr>
        <w:pStyle w:val="Normal"/>
        <w:jc w:val="left"/>
        <w:rPr/>
      </w:pPr>
      <w:r>
        <w:rPr/>
        <w:t xml:space="preserve">some restrictions on the appropriate </w:t>
      </w:r>
      <w:r>
        <w:rPr>
          <w:i/>
          <w:iCs/>
        </w:rPr>
        <w:t xml:space="preserve">D </w:t>
      </w:r>
      <w:r>
        <w:rPr/>
        <w:t>so that it is appropriately "local''. We would be</w:t>
      </w:r>
    </w:p>
    <w:p>
      <w:pPr>
        <w:pStyle w:val="Normal"/>
        <w:jc w:val="left"/>
        <w:rPr/>
      </w:pPr>
      <w:r>
        <w:rPr/>
        <w:t>aiming to capture the idea that with a certain "distance'; grounding behaves as if it is</w:t>
      </w:r>
    </w:p>
    <w:p>
      <w:pPr>
        <w:pStyle w:val="Normal"/>
        <w:jc w:val="left"/>
        <w:rPr/>
      </w:pPr>
      <w:r>
        <w:rPr/>
        <w:t>irreflexive, asymmetric, and transitive, and cases where there are loops of ground only</w:t>
      </w:r>
    </w:p>
    <w:p>
      <w:pPr>
        <w:pStyle w:val="Normal"/>
        <w:jc w:val="left"/>
        <w:rPr/>
      </w:pPr>
      <w:r>
        <w:rPr/>
        <w:t xml:space="preserve">show up when we look at "long distances''. The challenge then is to specify the relevant domains </w:t>
      </w:r>
      <w:r>
        <w:rPr>
          <w:rFonts w:cs="Arial" w:ascii="Arial" w:hAnsi="Arial"/>
          <w:i/>
          <w:iCs/>
        </w:rPr>
        <w:t xml:space="preserve">D </w:t>
      </w:r>
      <w:r>
        <w:rPr/>
        <w:t>that are "local" to each other, or alternatively to specify a "distance" so that</w:t>
      </w:r>
    </w:p>
    <w:p>
      <w:pPr>
        <w:pStyle w:val="Normal"/>
        <w:jc w:val="left"/>
        <w:rPr/>
      </w:pPr>
      <w:r>
        <w:rPr/>
        <w:t>any entities within that distance of a given object 0 count as belonging to the same</w:t>
      </w:r>
    </w:p>
    <w:p>
      <w:pPr>
        <w:pStyle w:val="Normal"/>
        <w:rPr/>
      </w:pPr>
      <w:r>
        <w:rPr/>
        <w:t>domain Das 0. (99-100)</w:t>
      </w:r>
    </w:p>
    <w:p>
      <w:pPr>
        <w:pStyle w:val="Normal"/>
        <w:rPr/>
      </w:pPr>
      <w:r>
        <w:rPr/>
      </w:r>
    </w:p>
    <w:p>
      <w:pPr>
        <w:pStyle w:val="Normal"/>
        <w:rPr>
          <w:color w:val="FF0000"/>
        </w:rPr>
      </w:pPr>
      <w:r>
        <w:rPr>
          <w:color w:val="FF0000"/>
        </w:rPr>
        <w:t>[Do you have the feeling of being within the EDWs??? I have this feeling… Of course, I am sure the author did not read my works…]</w:t>
      </w:r>
    </w:p>
    <w:p>
      <w:pPr>
        <w:pStyle w:val="Normal"/>
        <w:rPr/>
      </w:pPr>
      <w:r>
        <w:rPr/>
        <w:t xml:space="preserve"> </w:t>
      </w:r>
    </w:p>
    <w:p>
      <w:pPr>
        <w:pStyle w:val="Normal"/>
        <w:rPr/>
      </w:pPr>
      <w:r>
        <w:rPr/>
      </w:r>
    </w:p>
    <w:p>
      <w:pPr>
        <w:pStyle w:val="Normal"/>
        <w:jc w:val="left"/>
        <w:rPr/>
      </w:pPr>
      <w:r>
        <w:rPr/>
        <w:t xml:space="preserve">5 </w:t>
      </w:r>
      <w:r>
        <w:rPr>
          <w:b/>
          <w:bCs/>
        </w:rPr>
        <w:t>Metaphysical Interdependence, Epistemic Coherentism, and Holistic Explanation</w:t>
      </w:r>
    </w:p>
    <w:p>
      <w:pPr>
        <w:pStyle w:val="Normal"/>
        <w:rPr>
          <w:i/>
          <w:i/>
          <w:iCs/>
        </w:rPr>
      </w:pPr>
      <w:r>
        <w:rPr>
          <w:i/>
          <w:iCs/>
        </w:rPr>
        <w:t>Naomi Thompson</w:t>
      </w:r>
      <w:bookmarkStart w:id="18" w:name="_Hlk6579668"/>
      <w:bookmarkEnd w:id="18"/>
    </w:p>
    <w:p>
      <w:pPr>
        <w:pStyle w:val="Normal"/>
        <w:rPr>
          <w:i/>
          <w:i/>
          <w:iCs/>
        </w:rPr>
      </w:pPr>
      <w:r>
        <w:rPr>
          <w:i/>
          <w:iCs/>
        </w:rPr>
      </w:r>
    </w:p>
    <w:p>
      <w:pPr>
        <w:pStyle w:val="Normal"/>
        <w:jc w:val="left"/>
        <w:rPr/>
      </w:pPr>
      <w:r>
        <w:rPr/>
        <w:t>Structural realists of a metaphysical variety take structure and relations not to</w:t>
      </w:r>
    </w:p>
    <w:p>
      <w:pPr>
        <w:pStyle w:val="Normal"/>
        <w:jc w:val="left"/>
        <w:rPr/>
      </w:pPr>
      <w:r>
        <w:rPr/>
        <w:t>be merely derivative of the entities or structural nodes they relate, but to be more</w:t>
      </w:r>
    </w:p>
    <w:p>
      <w:pPr>
        <w:pStyle w:val="Normal"/>
        <w:jc w:val="left"/>
        <w:rPr/>
      </w:pPr>
      <w:r>
        <w:rPr/>
        <w:t>ontologically fundamental than has traditionally been assumed by scientific realists</w:t>
      </w:r>
    </w:p>
    <w:p>
      <w:pPr>
        <w:pStyle w:val="Normal"/>
        <w:jc w:val="left"/>
        <w:rPr/>
      </w:pPr>
      <w:r>
        <w:rPr/>
        <w:t>(Ladyman, 2014). Esfeld and Lam (2010) develop a version of metaphysical structural realism that they term 'moderate structural realism' and which holds that relations</w:t>
      </w:r>
    </w:p>
    <w:p>
      <w:pPr>
        <w:pStyle w:val="Normal"/>
        <w:jc w:val="left"/>
        <w:rPr/>
      </w:pPr>
      <w:r>
        <w:rPr/>
        <w:t>require .relata, but that it is not the case that the relata necessarily have intrinsic</w:t>
      </w:r>
    </w:p>
    <w:p>
      <w:pPr>
        <w:pStyle w:val="Normal"/>
        <w:jc w:val="left"/>
        <w:rPr/>
      </w:pPr>
      <w:r>
        <w:rPr/>
        <w:t>properties over and above the relations they bear to one another (Esfeld and Lam,</w:t>
      </w:r>
    </w:p>
    <w:p>
      <w:pPr>
        <w:pStyle w:val="Normal"/>
        <w:jc w:val="left"/>
        <w:rPr/>
      </w:pPr>
      <w:r>
        <w:rPr/>
        <w:t>2010: 13). In other words, there are objects, but those objects are wholly characterized</w:t>
      </w:r>
    </w:p>
    <w:p>
      <w:pPr>
        <w:pStyle w:val="Normal"/>
        <w:rPr/>
      </w:pPr>
      <w:r>
        <w:rPr/>
        <w:t xml:space="preserve">by the relations in which they stand. </w:t>
      </w:r>
    </w:p>
    <w:p>
      <w:pPr>
        <w:pStyle w:val="Normal"/>
        <w:jc w:val="left"/>
        <w:rPr/>
      </w:pPr>
      <w:r>
        <w:rPr>
          <w:rFonts w:cs="Arial" w:ascii="Arial" w:hAnsi="Arial"/>
        </w:rPr>
        <w:t xml:space="preserve">It </w:t>
      </w:r>
      <w:r>
        <w:rPr/>
        <w:t>follows from this characterization of moderate structural realism that there is</w:t>
      </w:r>
    </w:p>
    <w:p>
      <w:pPr>
        <w:pStyle w:val="Normal"/>
        <w:jc w:val="left"/>
        <w:rPr/>
      </w:pPr>
      <w:r>
        <w:rPr/>
        <w:t xml:space="preserve">a </w:t>
      </w:r>
      <w:r>
        <w:rPr>
          <w:rFonts w:eastAsia="HiddenHorzOCR" w:cs="HiddenHorzOCR" w:ascii="HiddenHorzOCR" w:hAnsi="HiddenHorzOCR"/>
        </w:rPr>
        <w:t xml:space="preserve">mutua~ </w:t>
      </w:r>
      <w:r>
        <w:rPr/>
        <w:t>dependence between relations and relata-the objects are characterized by</w:t>
      </w:r>
    </w:p>
    <w:p>
      <w:pPr>
        <w:pStyle w:val="Normal"/>
        <w:jc w:val="left"/>
        <w:rPr/>
      </w:pPr>
      <w:r>
        <w:rPr>
          <w:rFonts w:eastAsia="HiddenHorzOCR" w:cs="HiddenHorzOCR" w:ascii="HiddenHorzOCR" w:hAnsi="HiddenHorzOCR"/>
        </w:rPr>
        <w:t xml:space="preserve">th~ </w:t>
      </w:r>
      <w:r>
        <w:rPr/>
        <w:t>relations that relate them, and the relations themselves are characterized by the</w:t>
      </w:r>
    </w:p>
    <w:p>
      <w:pPr>
        <w:pStyle w:val="Normal"/>
        <w:jc w:val="left"/>
        <w:rPr/>
      </w:pPr>
      <w:r>
        <w:rPr/>
        <w:t>ob3ects that stand in the relations. There is, therefore,</w:t>
      </w:r>
    </w:p>
    <w:p>
      <w:pPr>
        <w:pStyle w:val="Normal"/>
        <w:jc w:val="left"/>
        <w:rPr/>
      </w:pPr>
      <w:r>
        <w:rPr/>
        <w:t>· · . a mutual ontological as well as conceptual dependence between objects and structure</w:t>
      </w:r>
    </w:p>
    <w:p>
      <w:pPr>
        <w:pStyle w:val="Normal"/>
        <w:jc w:val="left"/>
        <w:rPr/>
      </w:pPr>
      <w:r>
        <w:rPr/>
        <w:t>(relations): objects can neither exist nor be conceived without relations in which they stand,</w:t>
      </w:r>
    </w:p>
    <w:p>
      <w:pPr>
        <w:pStyle w:val="Normal"/>
        <w:jc w:val="left"/>
        <w:rPr/>
      </w:pPr>
      <w:r>
        <w:rPr/>
        <w:t>and relations can neither exist in the physical world nor be conceived as the structure of the</w:t>
      </w:r>
    </w:p>
    <w:p>
      <w:pPr>
        <w:pStyle w:val="Normal"/>
        <w:rPr/>
      </w:pPr>
      <w:r>
        <w:rPr/>
        <w:t xml:space="preserve">physical world without objects that stand in the relations. (Esfeld and Lam, 20 IO: 13-14) </w:t>
      </w:r>
    </w:p>
    <w:p>
      <w:pPr>
        <w:pStyle w:val="Normal"/>
        <w:rPr/>
      </w:pPr>
      <w:r>
        <w:rPr/>
      </w:r>
    </w:p>
    <w:p>
      <w:pPr>
        <w:pStyle w:val="Normal"/>
        <w:jc w:val="left"/>
        <w:rPr/>
      </w:pPr>
      <w:r>
        <w:rPr/>
        <w:t>Explaining facts about the nature of a given object is a matter of citing facts about</w:t>
      </w:r>
    </w:p>
    <w:p>
      <w:pPr>
        <w:pStyle w:val="Normal"/>
        <w:jc w:val="left"/>
        <w:rPr/>
      </w:pPr>
      <w:r>
        <w:rPr/>
        <w:t>the relations that object bears to other objects, facts about which are themselves to be</w:t>
      </w:r>
    </w:p>
    <w:p>
      <w:pPr>
        <w:pStyle w:val="Normal"/>
        <w:jc w:val="left"/>
        <w:rPr/>
      </w:pPr>
      <w:r>
        <w:rPr/>
        <w:t>explained in terms of the relations they bear to further objects (and to the object which</w:t>
      </w:r>
    </w:p>
    <w:p>
      <w:pPr>
        <w:pStyle w:val="Normal"/>
        <w:jc w:val="left"/>
        <w:rPr/>
      </w:pPr>
      <w:r>
        <w:rPr/>
        <w:t>was our starting point). Since facts about the structure through which the objects</w:t>
      </w:r>
    </w:p>
    <w:p>
      <w:pPr>
        <w:pStyle w:val="Normal"/>
        <w:jc w:val="left"/>
        <w:rPr/>
      </w:pPr>
      <w:r>
        <w:rPr/>
        <w:t>are related themselves depend on facts about the objects themselves, a moderate</w:t>
      </w:r>
    </w:p>
    <w:p>
      <w:pPr>
        <w:pStyle w:val="Normal"/>
        <w:jc w:val="left"/>
        <w:rPr/>
      </w:pPr>
      <w:r>
        <w:rPr/>
        <w:t>structural realist picture has it that giving an explanation will be a matter of pointing</w:t>
      </w:r>
    </w:p>
    <w:p>
      <w:pPr>
        <w:pStyle w:val="Normal"/>
        <w:jc w:val="left"/>
        <w:rPr/>
      </w:pPr>
      <w:r>
        <w:rPr/>
        <w:t>towards a mutual dependence between explanans and explanandum. Tue relevant sort</w:t>
      </w:r>
    </w:p>
    <w:p>
      <w:pPr>
        <w:pStyle w:val="Normal"/>
        <w:jc w:val="left"/>
        <w:rPr/>
      </w:pPr>
      <w:r>
        <w:rPr/>
        <w:t>of explanation here is a grounding explanation; facts about objects are grounded in</w:t>
      </w:r>
    </w:p>
    <w:p>
      <w:pPr>
        <w:pStyle w:val="Normal"/>
        <w:jc w:val="left"/>
        <w:rPr/>
      </w:pPr>
      <w:r>
        <w:rPr/>
        <w:t>facts about relations, and vice versa. Moderate structural realism thus gives us a case of</w:t>
      </w:r>
    </w:p>
    <w:p>
      <w:pPr>
        <w:pStyle w:val="Normal"/>
        <w:rPr/>
      </w:pPr>
      <w:r>
        <w:rPr/>
        <w:t>symmetric metaphysical explanation, and therefore of metaphysical interdependence. (118-9)</w:t>
      </w:r>
    </w:p>
    <w:p>
      <w:pPr>
        <w:pStyle w:val="Normal"/>
        <w:rPr/>
      </w:pPr>
      <w:r>
        <w:rPr/>
      </w:r>
    </w:p>
    <w:p>
      <w:pPr>
        <w:pStyle w:val="Normal"/>
        <w:rPr>
          <w:color w:val="FF0000"/>
        </w:rPr>
      </w:pPr>
      <w:r>
        <w:rPr>
          <w:color w:val="FF0000"/>
        </w:rPr>
        <w:t>[Again, I have the feeling of reading my ideas! Of course, Esfeld and Lam did not read my works (2002-2008)!]</w:t>
      </w:r>
    </w:p>
    <w:p>
      <w:pPr>
        <w:pStyle w:val="Normal"/>
        <w:rPr/>
      </w:pPr>
      <w:r>
        <w:rPr/>
      </w:r>
    </w:p>
    <w:p>
      <w:pPr>
        <w:pStyle w:val="Normal"/>
        <w:jc w:val="left"/>
        <w:rPr/>
      </w:pPr>
      <w:r>
        <w:rPr/>
      </w:r>
    </w:p>
    <w:p>
      <w:pPr>
        <w:pStyle w:val="Normal"/>
        <w:jc w:val="left"/>
        <w:rPr/>
      </w:pPr>
      <w:r>
        <w:rPr/>
        <w:t xml:space="preserve">12 </w:t>
      </w:r>
      <w:r>
        <w:rPr>
          <w:b/>
          <w:bCs/>
        </w:rPr>
        <w:t>Fundamentality and Ontological Minimality</w:t>
      </w:r>
    </w:p>
    <w:p>
      <w:pPr>
        <w:pStyle w:val="Normal"/>
        <w:rPr>
          <w:i/>
          <w:i/>
          <w:iCs/>
        </w:rPr>
      </w:pPr>
      <w:r>
        <w:rPr>
          <w:i/>
          <w:iCs/>
        </w:rPr>
        <w:t>Tuomas E. Tahko</w:t>
      </w:r>
      <w:bookmarkStart w:id="19" w:name="_Hlk6579691"/>
      <w:bookmarkEnd w:id="19"/>
    </w:p>
    <w:p>
      <w:pPr>
        <w:pStyle w:val="Normal"/>
        <w:rPr>
          <w:i/>
          <w:i/>
          <w:iCs/>
        </w:rPr>
      </w:pPr>
      <w:r>
        <w:rPr>
          <w:i/>
          <w:iCs/>
        </w:rPr>
      </w:r>
    </w:p>
    <w:p>
      <w:pPr>
        <w:pStyle w:val="Normal"/>
        <w:jc w:val="left"/>
        <w:rPr/>
      </w:pPr>
      <w:r>
        <w:rPr/>
        <w:t>This chapter deals with the idea that reality comes with a hierarchical structure of</w:t>
      </w:r>
    </w:p>
    <w:p>
      <w:pPr>
        <w:pStyle w:val="Normal"/>
        <w:rPr/>
      </w:pPr>
      <w:r>
        <w:rPr/>
        <w:t>'levels'.</w:t>
      </w:r>
      <w:r>
        <w:rPr>
          <w:rFonts w:cs="Arial" w:ascii="Arial" w:hAnsi="Arial"/>
        </w:rPr>
        <w:t xml:space="preserve">1  </w:t>
      </w:r>
      <w:r>
        <w:rPr/>
        <w:t>1 Some of the material presented here is based on the discussion in Tahko 20 I Sa, Ch. 6.</w:t>
      </w:r>
    </w:p>
    <w:p>
      <w:pPr>
        <w:pStyle w:val="Normal"/>
        <w:rPr/>
      </w:pPr>
      <w:r>
        <w:rPr/>
      </w:r>
    </w:p>
    <w:p>
      <w:pPr>
        <w:pStyle w:val="Normal"/>
        <w:jc w:val="left"/>
        <w:rPr/>
      </w:pPr>
      <w:r>
        <w:rPr>
          <w:i/>
          <w:iCs/>
        </w:rPr>
        <w:t xml:space="preserve">Generic Ontological Fundamentality </w:t>
      </w:r>
      <w:r>
        <w:rPr/>
        <w:t>(GOF): 'Ibe world is organized into 'levels' of</w:t>
      </w:r>
    </w:p>
    <w:p>
      <w:pPr>
        <w:pStyle w:val="Normal"/>
        <w:jc w:val="left"/>
        <w:rPr/>
      </w:pPr>
      <w:r>
        <w:rPr/>
        <w:t>ontological elements and the fundamental 'level' consists of ontologically minimal</w:t>
      </w:r>
    </w:p>
    <w:p>
      <w:pPr>
        <w:pStyle w:val="Normal"/>
        <w:rPr/>
      </w:pPr>
      <w:r>
        <w:rPr/>
        <w:t>elements. (245)</w:t>
      </w:r>
    </w:p>
    <w:p>
      <w:pPr>
        <w:pStyle w:val="Normal"/>
        <w:rPr/>
      </w:pPr>
      <w:r>
        <w:rPr/>
      </w:r>
    </w:p>
    <w:p>
      <w:pPr>
        <w:pStyle w:val="Normal"/>
        <w:jc w:val="left"/>
        <w:rPr/>
      </w:pPr>
      <w:r>
        <w:rPr/>
        <w:t>The more general line of thought here is that the liberal sense of parthood is not</w:t>
      </w:r>
    </w:p>
    <w:p>
      <w:pPr>
        <w:pStyle w:val="Normal"/>
        <w:jc w:val="left"/>
        <w:rPr/>
      </w:pPr>
      <w:r>
        <w:rPr/>
        <w:t>obviously transitive-this may have further consequences regarding what counts as a</w:t>
      </w:r>
    </w:p>
    <w:p>
      <w:pPr>
        <w:pStyle w:val="Normal"/>
        <w:jc w:val="left"/>
        <w:rPr/>
      </w:pPr>
      <w:r>
        <w:rPr/>
        <w:t>minimal truthmaker on one hand and an ontologically minimal element on the other.</w:t>
      </w:r>
    </w:p>
    <w:p>
      <w:pPr>
        <w:pStyle w:val="Normal"/>
        <w:jc w:val="left"/>
        <w:rPr/>
      </w:pPr>
      <w:r>
        <w:rPr/>
        <w:t>So there could, perhaps, be an understanding of ontological minimality whereby</w:t>
      </w:r>
    </w:p>
    <w:p>
      <w:pPr>
        <w:pStyle w:val="Normal"/>
        <w:jc w:val="left"/>
        <w:rPr/>
      </w:pPr>
      <w:r>
        <w:rPr/>
        <w:t xml:space="preserve">we should only be concerned with the parts that are </w:t>
      </w:r>
      <w:r>
        <w:rPr>
          <w:i/>
          <w:iCs/>
        </w:rPr>
        <w:t xml:space="preserve">integral </w:t>
      </w:r>
      <w:r>
        <w:rPr/>
        <w:t>to an object, even if</w:t>
      </w:r>
    </w:p>
    <w:p>
      <w:pPr>
        <w:pStyle w:val="Normal"/>
        <w:rPr/>
      </w:pPr>
      <w:r>
        <w:rPr/>
        <w:t>these parts are composed of further parts. (246)</w:t>
      </w:r>
    </w:p>
    <w:p>
      <w:pPr>
        <w:pStyle w:val="Normal"/>
        <w:rPr/>
      </w:pPr>
      <w:r>
        <w:rPr/>
      </w:r>
    </w:p>
    <w:p>
      <w:pPr>
        <w:pStyle w:val="Normal"/>
        <w:jc w:val="left"/>
        <w:rPr/>
      </w:pPr>
      <w:r>
        <w:rPr/>
        <w:t>Finally, recall that on one interpretation the cone in Figure 12.1, in the beginning of</w:t>
      </w:r>
    </w:p>
    <w:p>
      <w:pPr>
        <w:pStyle w:val="Normal"/>
        <w:jc w:val="left"/>
        <w:rPr/>
      </w:pPr>
      <w:r>
        <w:rPr/>
        <w:t xml:space="preserve">this paper, could be considered to represent different </w:t>
      </w:r>
      <w:r>
        <w:rPr>
          <w:i/>
          <w:iCs/>
        </w:rPr>
        <w:t xml:space="preserve">kinds </w:t>
      </w:r>
      <w:r>
        <w:rPr/>
        <w:t>of things, where 'kinds' are</w:t>
      </w:r>
    </w:p>
    <w:p>
      <w:pPr>
        <w:pStyle w:val="Normal"/>
        <w:jc w:val="left"/>
        <w:rPr/>
      </w:pPr>
      <w:r>
        <w:rPr/>
        <w:t xml:space="preserve">considered as </w:t>
      </w:r>
      <w:r>
        <w:rPr>
          <w:i/>
          <w:iCs/>
        </w:rPr>
        <w:t xml:space="preserve">natural </w:t>
      </w:r>
      <w:r>
        <w:rPr/>
        <w:t xml:space="preserve">kinds. </w:t>
      </w:r>
      <w:r>
        <w:rPr>
          <w:rFonts w:cs="Arial" w:ascii="Arial" w:hAnsi="Arial"/>
        </w:rPr>
        <w:t xml:space="preserve">If </w:t>
      </w:r>
      <w:r>
        <w:rPr/>
        <w:t>we apply the idea of ontological minimality here, what</w:t>
      </w:r>
    </w:p>
    <w:p>
      <w:pPr>
        <w:pStyle w:val="Normal"/>
        <w:jc w:val="left"/>
        <w:rPr/>
      </w:pPr>
      <w:r>
        <w:rPr/>
        <w:t>we get is something like the following: an ontologically minimal description identifies</w:t>
      </w:r>
    </w:p>
    <w:p>
      <w:pPr>
        <w:pStyle w:val="Normal"/>
        <w:jc w:val="left"/>
        <w:rPr/>
      </w:pPr>
      <w:r>
        <w:rPr/>
        <w:t>all and only the most fundamental natural kinds. These natural kinds could be kinds</w:t>
      </w:r>
    </w:p>
    <w:p>
      <w:pPr>
        <w:pStyle w:val="Normal"/>
        <w:jc w:val="left"/>
        <w:rPr/>
      </w:pPr>
      <w:r>
        <w:rPr/>
        <w:t>of fundamental particle, like those listed in the Standard Model, or they could be the</w:t>
      </w:r>
    </w:p>
    <w:p>
      <w:pPr>
        <w:pStyle w:val="Normal"/>
        <w:jc w:val="left"/>
        <w:rPr/>
      </w:pPr>
      <w:r>
        <w:rPr/>
        <w:t xml:space="preserve">structures identified by (OSR). Moreover, they could perhaps even be </w:t>
      </w:r>
      <w:r>
        <w:rPr>
          <w:i/>
          <w:iCs/>
        </w:rPr>
        <w:t>symmetries,</w:t>
      </w:r>
    </w:p>
    <w:p>
      <w:pPr>
        <w:pStyle w:val="Normal"/>
        <w:jc w:val="left"/>
        <w:rPr/>
      </w:pPr>
      <w:r>
        <w:rPr/>
        <w:t>as the idea that symmetries are fundamental is now emerging as a candidate view,</w:t>
      </w:r>
    </w:p>
    <w:p>
      <w:pPr>
        <w:pStyle w:val="Normal"/>
        <w:jc w:val="left"/>
        <w:rPr/>
      </w:pPr>
      <w:r>
        <w:rPr/>
        <w:t xml:space="preserve">supported by physics </w:t>
      </w:r>
      <w:r>
        <w:rPr>
          <w:rFonts w:cs="Arial" w:ascii="Arial" w:hAnsi="Arial"/>
        </w:rPr>
        <w:t xml:space="preserve">(cf. </w:t>
      </w:r>
      <w:r>
        <w:rPr/>
        <w:t>McKenzie 20 l 4b ). The association with fundamental natural</w:t>
      </w:r>
    </w:p>
    <w:p>
      <w:pPr>
        <w:pStyle w:val="Normal"/>
        <w:jc w:val="left"/>
        <w:rPr/>
      </w:pPr>
      <w:r>
        <w:rPr/>
        <w:t>kinds is in fact quite an interesting understanding of the ontological minimality thesis,</w:t>
      </w:r>
    </w:p>
    <w:p>
      <w:pPr>
        <w:pStyle w:val="Normal"/>
        <w:jc w:val="left"/>
        <w:rPr/>
      </w:pPr>
      <w:r>
        <w:rPr/>
        <w:t>but since specifying this option would require much more detail about the nature of</w:t>
      </w:r>
    </w:p>
    <w:p>
      <w:pPr>
        <w:pStyle w:val="Normal"/>
        <w:rPr/>
      </w:pPr>
      <w:r>
        <w:rPr/>
        <w:t>natural kinds, I will not be relying on this reading here (but see Tahko 20 l Sb). (250)</w:t>
      </w:r>
    </w:p>
    <w:p>
      <w:pPr>
        <w:pStyle w:val="Normal"/>
        <w:rPr/>
      </w:pPr>
      <w:r>
        <w:rPr/>
      </w:r>
    </w:p>
    <w:p>
      <w:pPr>
        <w:pStyle w:val="Normal"/>
        <w:rPr>
          <w:color w:val="FF0000"/>
        </w:rPr>
      </w:pPr>
      <w:r>
        <w:rPr>
          <w:color w:val="FF0000"/>
        </w:rPr>
        <w:t>[obviously, other UNBELIEVABLE similar ideas to my  ideas. Tahko has other articles with UNBELIEVABLE similar ideas to my ideas – see above)</w:t>
      </w:r>
    </w:p>
    <w:p>
      <w:pPr>
        <w:pStyle w:val="Normal"/>
        <w:rPr>
          <w:color w:val="FF0000"/>
        </w:rPr>
      </w:pPr>
      <w:r>
        <w:rPr>
          <w:color w:val="FF0000"/>
        </w:rPr>
      </w:r>
    </w:p>
    <w:p>
      <w:pPr>
        <w:pStyle w:val="Normal"/>
        <w:jc w:val="left"/>
        <w:rPr>
          <w:b/>
          <w:b/>
          <w:bCs/>
        </w:rPr>
      </w:pPr>
      <w:r>
        <w:rPr>
          <w:b/>
          <w:bCs/>
        </w:rPr>
        <w:t>13</w:t>
      </w:r>
    </w:p>
    <w:p>
      <w:pPr>
        <w:pStyle w:val="Normal"/>
        <w:jc w:val="left"/>
        <w:rPr>
          <w:b/>
          <w:b/>
          <w:bCs/>
        </w:rPr>
      </w:pPr>
      <w:r>
        <w:rPr>
          <w:b/>
          <w:bCs/>
        </w:rPr>
        <w:t>The Structure of Physical Reality Beyond Foundationalism</w:t>
      </w:r>
    </w:p>
    <w:p>
      <w:pPr>
        <w:pStyle w:val="Normal"/>
        <w:rPr>
          <w:i/>
          <w:i/>
          <w:iCs/>
        </w:rPr>
      </w:pPr>
      <w:r>
        <w:rPr>
          <w:i/>
          <w:iCs/>
        </w:rPr>
        <w:t>Matteo Morganti</w:t>
      </w:r>
      <w:bookmarkStart w:id="20" w:name="_Hlk6579732"/>
      <w:bookmarkEnd w:id="20"/>
    </w:p>
    <w:p>
      <w:pPr>
        <w:pStyle w:val="Normal"/>
        <w:rPr>
          <w:i/>
          <w:i/>
          <w:iCs/>
        </w:rPr>
      </w:pPr>
      <w:r>
        <w:rPr>
          <w:i/>
          <w:iCs/>
        </w:rPr>
      </w:r>
    </w:p>
    <w:p>
      <w:pPr>
        <w:pStyle w:val="Normal"/>
        <w:rPr/>
      </w:pPr>
      <w:r>
        <w:rPr/>
        <w:t>269 'Hybrid' Views</w:t>
      </w:r>
    </w:p>
    <w:p>
      <w:pPr>
        <w:pStyle w:val="Normal"/>
        <w:jc w:val="left"/>
        <w:rPr/>
      </w:pPr>
      <w:r>
        <w:rPr/>
        <w:t>More generally, the</w:t>
      </w:r>
    </w:p>
    <w:p>
      <w:pPr>
        <w:pStyle w:val="Normal"/>
        <w:jc w:val="left"/>
        <w:rPr/>
      </w:pPr>
      <w:r>
        <w:rPr/>
        <w:t>investigation of more articulated views on metaphysical structure, whereby one model does not necessarily rule out the other, promises to be of interest. Why not think that</w:t>
      </w:r>
    </w:p>
    <w:p>
      <w:pPr>
        <w:pStyle w:val="Normal"/>
        <w:rPr/>
      </w:pPr>
      <w:r>
        <w:rPr/>
        <w:t>some aspects of reality have a structure of one type, and others a different one? (269-70)</w:t>
      </w:r>
    </w:p>
    <w:p>
      <w:pPr>
        <w:pStyle w:val="Normal"/>
        <w:rPr/>
      </w:pPr>
      <w:r>
        <w:rPr/>
      </w:r>
    </w:p>
    <w:p>
      <w:pPr>
        <w:pStyle w:val="Normal"/>
        <w:rPr>
          <w:color w:val="FF0000"/>
        </w:rPr>
      </w:pPr>
      <w:r>
        <w:rPr>
          <w:color w:val="FF0000"/>
        </w:rPr>
        <w:t>[Exactly the relationship between my EDWs!!!!]</w:t>
      </w:r>
    </w:p>
    <w:p>
      <w:pPr>
        <w:pStyle w:val="Normal"/>
        <w:rPr/>
      </w:pPr>
      <w:r>
        <w:rPr/>
      </w:r>
    </w:p>
    <w:p>
      <w:pPr>
        <w:pStyle w:val="Normal"/>
        <w:jc w:val="left"/>
        <w:rPr/>
      </w:pPr>
      <w:r>
        <w:rPr/>
        <w:t>In connection to this, it is perhaps useful</w:t>
      </w:r>
    </w:p>
    <w:p>
      <w:pPr>
        <w:pStyle w:val="Normal"/>
        <w:jc w:val="left"/>
        <w:rPr/>
      </w:pPr>
      <w:r>
        <w:rPr/>
        <w:t>to point out that the sort of pluralism just envisaged is by no means harmful for</w:t>
      </w:r>
    </w:p>
    <w:p>
      <w:pPr>
        <w:pStyle w:val="Normal"/>
        <w:jc w:val="left"/>
        <w:rPr/>
      </w:pPr>
      <w:r>
        <w:rPr/>
        <w:t>the idea that grounding is a useful philosophical concept. For, exactly in the same</w:t>
      </w:r>
    </w:p>
    <w:p>
      <w:pPr>
        <w:pStyle w:val="Normal"/>
        <w:jc w:val="left"/>
        <w:rPr/>
      </w:pPr>
      <w:r>
        <w:rPr/>
        <w:t>way in which, as mentioned earlier, a non-monolithic notion of grounding is ok,</w:t>
      </w:r>
    </w:p>
    <w:p>
      <w:pPr>
        <w:pStyle w:val="Normal"/>
        <w:jc w:val="left"/>
        <w:rPr/>
      </w:pPr>
      <w:r>
        <w:rPr/>
        <w:t>provided that one is truly dealing with a non-causal relation with sufficiently welldefined</w:t>
      </w:r>
    </w:p>
    <w:p>
      <w:pPr>
        <w:pStyle w:val="Normal"/>
        <w:jc w:val="left"/>
        <w:rPr/>
      </w:pPr>
      <w:r>
        <w:rPr/>
        <w:t>general features and clear explanatory power, one should have no problem</w:t>
      </w:r>
    </w:p>
    <w:p>
      <w:pPr>
        <w:pStyle w:val="Normal"/>
        <w:jc w:val="left"/>
        <w:rPr/>
      </w:pPr>
      <w:r>
        <w:rPr/>
        <w:t>with a multifaceted account of the structure of reality, provided that, by endorsing it,</w:t>
      </w:r>
    </w:p>
    <w:p>
      <w:pPr>
        <w:pStyle w:val="Normal"/>
        <w:jc w:val="left"/>
        <w:rPr/>
      </w:pPr>
      <w:r>
        <w:rPr/>
        <w:t>one obtains good explanations for the domains of things one aims to account for. After</w:t>
      </w:r>
    </w:p>
    <w:p>
      <w:pPr>
        <w:pStyle w:val="Normal"/>
        <w:jc w:val="left"/>
        <w:rPr/>
      </w:pPr>
      <w:r>
        <w:rPr/>
        <w:t>all, to repeat, why should reality possess a uniform, all-encompassing metaphysical</w:t>
      </w:r>
    </w:p>
    <w:p>
      <w:pPr>
        <w:pStyle w:val="Normal"/>
        <w:rPr/>
      </w:pPr>
      <w:r>
        <w:rPr/>
        <w:t>structure just because (maybe) we would like it to? (270)</w:t>
      </w:r>
    </w:p>
    <w:p>
      <w:pPr>
        <w:pStyle w:val="Normal"/>
        <w:rPr/>
      </w:pPr>
      <w:r>
        <w:rPr/>
      </w:r>
    </w:p>
    <w:p>
      <w:pPr>
        <w:pStyle w:val="Normal"/>
        <w:rPr>
          <w:color w:val="FF0000"/>
        </w:rPr>
      </w:pPr>
      <w:r>
        <w:rPr>
          <w:color w:val="FF0000"/>
        </w:rPr>
        <w:t>[Again, this view is UNBELIEVABLE similar to my EDWs!]</w:t>
      </w:r>
    </w:p>
    <w:p>
      <w:pPr>
        <w:pStyle w:val="Normal"/>
        <w:rPr/>
      </w:pPr>
      <w:r>
        <w:rPr/>
      </w:r>
    </w:p>
    <w:p>
      <w:pPr>
        <w:pStyle w:val="Normal"/>
        <w:jc w:val="left"/>
        <w:rPr>
          <w:rFonts w:ascii="Arial" w:hAnsi="Arial" w:cs="Arial"/>
          <w:b/>
          <w:b/>
          <w:bCs/>
        </w:rPr>
      </w:pPr>
      <w:r>
        <w:rPr>
          <w:rFonts w:cs="Arial" w:ascii="Arial" w:hAnsi="Arial"/>
          <w:b/>
          <w:bCs/>
        </w:rPr>
        <w:t>14</w:t>
      </w:r>
    </w:p>
    <w:p>
      <w:pPr>
        <w:pStyle w:val="Normal"/>
        <w:jc w:val="left"/>
        <w:rPr>
          <w:b/>
          <w:b/>
          <w:bCs/>
        </w:rPr>
      </w:pPr>
      <w:r>
        <w:rPr>
          <w:b/>
          <w:bCs/>
        </w:rPr>
        <w:t>On Shaky Ground? Exploring the Contingent Fundamentality Thesis</w:t>
      </w:r>
    </w:p>
    <w:p>
      <w:pPr>
        <w:pStyle w:val="Normal"/>
        <w:rPr>
          <w:i/>
          <w:i/>
          <w:iCs/>
        </w:rPr>
      </w:pPr>
      <w:r>
        <w:rPr>
          <w:i/>
          <w:iCs/>
        </w:rPr>
        <w:t>Nathan Wildman</w:t>
      </w:r>
      <w:bookmarkStart w:id="21" w:name="_Hlk6579750"/>
      <w:bookmarkEnd w:id="21"/>
    </w:p>
    <w:p>
      <w:pPr>
        <w:pStyle w:val="Normal"/>
        <w:rPr>
          <w:i/>
          <w:i/>
          <w:iCs/>
        </w:rPr>
      </w:pPr>
      <w:r>
        <w:rPr>
          <w:i/>
          <w:iCs/>
        </w:rPr>
      </w:r>
    </w:p>
    <w:p>
      <w:pPr>
        <w:pStyle w:val="Normal"/>
        <w:jc w:val="left"/>
        <w:rPr/>
      </w:pPr>
      <w:r>
        <w:rPr/>
        <w:t>Interestingly, the contingency of fundamentality is also compatible with priority</w:t>
      </w:r>
    </w:p>
    <w:p>
      <w:pPr>
        <w:pStyle w:val="Normal"/>
        <w:jc w:val="left"/>
        <w:rPr/>
      </w:pPr>
      <w:r>
        <w:rPr/>
        <w:t>pluralism, according to which there are at least two fundamental entities, neither of</w:t>
      </w:r>
    </w:p>
    <w:p>
      <w:pPr>
        <w:pStyle w:val="Normal"/>
        <w:jc w:val="left"/>
        <w:rPr/>
      </w:pPr>
      <w:r>
        <w:rPr/>
        <w:t xml:space="preserve">which are the cosmos. In fact, it can help the pluralist handle </w:t>
      </w:r>
      <w:r>
        <w:rPr>
          <w:i/>
          <w:iCs/>
        </w:rPr>
        <w:t xml:space="preserve">de re </w:t>
      </w:r>
      <w:r>
        <w:rPr/>
        <w:t>modal objections to their position. Suppose that Quarky is one of the actual fundamental entities.</w:t>
      </w:r>
    </w:p>
    <w:p>
      <w:pPr>
        <w:pStyle w:val="Normal"/>
        <w:jc w:val="left"/>
        <w:rPr/>
      </w:pPr>
      <w:r>
        <w:rPr/>
        <w:t>Assume that gunky worlds seem possible-that is, it's possible that the material</w:t>
      </w:r>
    </w:p>
    <w:p>
      <w:pPr>
        <w:pStyle w:val="Normal"/>
        <w:jc w:val="left"/>
        <w:rPr/>
      </w:pPr>
      <w:r>
        <w:rPr/>
        <w:t>world is such that every object has proper parts. In the gunky worlds, Quarky looks</w:t>
      </w:r>
    </w:p>
    <w:p>
      <w:pPr>
        <w:pStyle w:val="Normal"/>
        <w:jc w:val="left"/>
        <w:rPr/>
      </w:pPr>
      <w:r>
        <w:rPr/>
        <w:t>derivative, grounded in its (infinite series of) proper parts. So, goes the objection,</w:t>
      </w:r>
    </w:p>
    <w:p>
      <w:pPr>
        <w:pStyle w:val="Normal"/>
        <w:jc w:val="left"/>
        <w:rPr/>
      </w:pPr>
      <w:r>
        <w:rPr/>
        <w:t>because Quarky fails to be fundamental in the gunky worlds, Quarky isn't actually</w:t>
      </w:r>
    </w:p>
    <w:p>
      <w:pPr>
        <w:pStyle w:val="Normal"/>
        <w:jc w:val="left"/>
        <w:rPr/>
      </w:pPr>
      <w:r>
        <w:rPr/>
        <w:t>fundamental after all. However, if fundamentality is contingent, this argument doesn't</w:t>
      </w:r>
    </w:p>
    <w:p>
      <w:pPr>
        <w:pStyle w:val="Normal"/>
        <w:jc w:val="left"/>
        <w:rPr/>
      </w:pPr>
      <w:r>
        <w:rPr/>
        <w:t>go through: that Quarky isn't fundamental in gunky worlds says nothing about its</w:t>
      </w:r>
    </w:p>
    <w:p>
      <w:pPr>
        <w:pStyle w:val="Normal"/>
        <w:rPr/>
      </w:pPr>
      <w:r>
        <w:rPr/>
        <w:t>fundamental status in the actual world. 12 (281-2)</w:t>
      </w:r>
    </w:p>
    <w:p>
      <w:pPr>
        <w:pStyle w:val="Normal"/>
        <w:rPr/>
      </w:pPr>
      <w:r>
        <w:rPr/>
      </w:r>
    </w:p>
    <w:p>
      <w:pPr>
        <w:pStyle w:val="Normal"/>
        <w:jc w:val="left"/>
        <w:rPr/>
      </w:pPr>
      <w:r>
        <w:rPr>
          <w:rFonts w:cs="Arial" w:ascii="Arial" w:hAnsi="Arial"/>
        </w:rPr>
        <w:t xml:space="preserve">12 </w:t>
      </w:r>
      <w:r>
        <w:rPr/>
        <w:t>Cameron (2007: 13) makes a similar point, but in a different context. Further, Schaffer seems to suggest</w:t>
      </w:r>
    </w:p>
    <w:p>
      <w:pPr>
        <w:pStyle w:val="Normal"/>
        <w:jc w:val="left"/>
        <w:rPr/>
      </w:pPr>
      <w:r>
        <w:rPr/>
        <w:t>that pluralists should take fundamentality to be contingent, when he says that 'the pluralist who treats, say, a</w:t>
      </w:r>
    </w:p>
    <w:p>
      <w:pPr>
        <w:pStyle w:val="Normal"/>
        <w:jc w:val="left"/>
        <w:rPr/>
      </w:pPr>
      <w:r>
        <w:rPr/>
        <w:t>given electron as [fundamental] can grant that it may be divisible into small constituents, and then it would</w:t>
      </w:r>
    </w:p>
    <w:p>
      <w:pPr>
        <w:pStyle w:val="Normal"/>
        <w:jc w:val="left"/>
        <w:rPr/>
      </w:pPr>
      <w:r>
        <w:rPr/>
        <w:t>no longer (by her lights) be [fundamental]' (2013: 81). One interesting area I hope to explore in future work</w:t>
      </w:r>
    </w:p>
    <w:p>
      <w:pPr>
        <w:pStyle w:val="Normal"/>
        <w:rPr/>
      </w:pPr>
      <w:r>
        <w:rPr/>
        <w:t>is how contingent fundamentality relates to Schaffer's (2010c) modal objection to priority presentism.</w:t>
      </w:r>
    </w:p>
    <w:p>
      <w:pPr>
        <w:pStyle w:val="Normal"/>
        <w:rPr/>
      </w:pPr>
      <w:r>
        <w:rPr/>
      </w:r>
    </w:p>
    <w:p>
      <w:pPr>
        <w:pStyle w:val="Normal"/>
        <w:jc w:val="left"/>
        <w:rPr/>
      </w:pPr>
      <w:r>
        <w:rPr/>
        <w:t xml:space="preserve">What's problematic for the contingentist is if the relational property </w:t>
      </w:r>
      <w:r>
        <w:rPr>
          <w:i/>
          <w:iCs/>
        </w:rPr>
        <w:t>being derivative</w:t>
      </w:r>
    </w:p>
    <w:p>
      <w:pPr>
        <w:pStyle w:val="Normal"/>
        <w:jc w:val="left"/>
        <w:rPr/>
      </w:pPr>
      <w:r>
        <w:rPr>
          <w:i/>
          <w:iCs/>
        </w:rPr>
        <w:t xml:space="preserve">from Quarky </w:t>
      </w:r>
      <w:r>
        <w:rPr/>
        <w:t>is essential to Tommy; for this would entail that, in every world where</w:t>
      </w:r>
    </w:p>
    <w:p>
      <w:pPr>
        <w:pStyle w:val="Normal"/>
        <w:jc w:val="left"/>
        <w:rPr/>
      </w:pPr>
      <w:r>
        <w:rPr/>
        <w:t>Tommy exists, he's derivative (and hence not fundamental). But what wouldn't be a</w:t>
      </w:r>
    </w:p>
    <w:p>
      <w:pPr>
        <w:pStyle w:val="Normal"/>
        <w:jc w:val="left"/>
        <w:rPr/>
      </w:pPr>
      <w:r>
        <w:rPr/>
        <w:t xml:space="preserve">problem is if Tommy was essentially such that, </w:t>
      </w:r>
      <w:r>
        <w:rPr>
          <w:rFonts w:cs="Arial" w:ascii="Arial" w:hAnsi="Arial"/>
          <w:i/>
          <w:iCs/>
        </w:rPr>
        <w:t xml:space="preserve">if </w:t>
      </w:r>
      <w:r>
        <w:rPr>
          <w:i/>
          <w:iCs/>
        </w:rPr>
        <w:t>Quarky exists, Tommy is derivative</w:t>
      </w:r>
    </w:p>
    <w:p>
      <w:pPr>
        <w:pStyle w:val="Normal"/>
        <w:jc w:val="left"/>
        <w:rPr/>
      </w:pPr>
      <w:r>
        <w:rPr>
          <w:i/>
          <w:iCs/>
        </w:rPr>
        <w:t xml:space="preserve">from it. </w:t>
      </w:r>
      <w:r>
        <w:rPr/>
        <w:t>Tommy's essentially-and hence necessarily-possessing this conditional</w:t>
      </w:r>
    </w:p>
    <w:p>
      <w:pPr>
        <w:pStyle w:val="Normal"/>
        <w:jc w:val="left"/>
        <w:rPr/>
      </w:pPr>
      <w:r>
        <w:rPr/>
        <w:t>property doesn't prevent him from being fundamental in worlds where Quarky isn't</w:t>
      </w:r>
    </w:p>
    <w:p>
      <w:pPr>
        <w:pStyle w:val="Normal"/>
        <w:jc w:val="left"/>
        <w:rPr/>
      </w:pPr>
      <w:r>
        <w:rPr/>
        <w:t xml:space="preserve">around. 17 </w:t>
      </w:r>
      <w:r>
        <w:rPr>
          <w:rFonts w:cs="Arial" w:ascii="Arial" w:hAnsi="Arial"/>
        </w:rPr>
        <w:t xml:space="preserve">It </w:t>
      </w:r>
      <w:r>
        <w:rPr/>
        <w:t>does preclude Tommy being fundamental in worlds where Quarky also</w:t>
      </w:r>
    </w:p>
    <w:p>
      <w:pPr>
        <w:pStyle w:val="Normal"/>
        <w:jc w:val="left"/>
        <w:rPr/>
      </w:pPr>
      <w:r>
        <w:rPr/>
        <w:t>exists, but that's fine-all we need to protect contingent fundamentality is a world</w:t>
      </w:r>
    </w:p>
    <w:p>
      <w:pPr>
        <w:pStyle w:val="Normal"/>
        <w:rPr/>
      </w:pPr>
      <w:r>
        <w:rPr/>
        <w:t xml:space="preserve">where Tommy exists and is fundamental! </w:t>
      </w:r>
    </w:p>
    <w:p>
      <w:pPr>
        <w:pStyle w:val="Normal"/>
        <w:rPr/>
      </w:pPr>
      <w:r>
        <w:rPr/>
      </w:r>
    </w:p>
    <w:p>
      <w:pPr>
        <w:pStyle w:val="Normal"/>
        <w:jc w:val="left"/>
        <w:rPr/>
      </w:pPr>
      <w:r>
        <w:rPr/>
        <w:t>More generally, the contingentist can accommodate the ground-essence link by</w:t>
      </w:r>
    </w:p>
    <w:p>
      <w:pPr>
        <w:pStyle w:val="Normal"/>
        <w:jc w:val="left"/>
        <w:rPr/>
      </w:pPr>
      <w:r>
        <w:rPr/>
        <w:t>conditionalizing the relevant properties, such that x essentially is such that if y exists,</w:t>
      </w:r>
    </w:p>
    <w:p>
      <w:pPr>
        <w:pStyle w:val="Normal"/>
        <w:jc w:val="left"/>
        <w:rPr/>
      </w:pPr>
      <w:r>
        <w:rPr/>
        <w:t xml:space="preserve">then </w:t>
      </w:r>
      <w:r>
        <w:rPr>
          <w:i/>
          <w:iCs/>
        </w:rPr>
        <w:t xml:space="preserve">x </w:t>
      </w:r>
      <w:r>
        <w:rPr/>
        <w:t>depends upon it. Possessing these conditional essential properties preserves the</w:t>
      </w:r>
    </w:p>
    <w:p>
      <w:pPr>
        <w:pStyle w:val="Normal"/>
        <w:jc w:val="left"/>
        <w:rPr/>
      </w:pPr>
      <w:r>
        <w:rPr/>
        <w:t>ground-essence link (it's still part of Tommy's essence that he's derivative from Quarky</w:t>
      </w:r>
    </w:p>
    <w:p>
      <w:pPr>
        <w:pStyle w:val="Normal"/>
        <w:jc w:val="left"/>
        <w:rPr/>
      </w:pPr>
      <w:r>
        <w:rPr>
          <w:i/>
          <w:iCs/>
        </w:rPr>
        <w:t xml:space="preserve">whenever it's around), </w:t>
      </w:r>
      <w:r>
        <w:rPr/>
        <w:t xml:space="preserve">but is also perfectly compatible with </w:t>
      </w:r>
      <w:r>
        <w:rPr>
          <w:i/>
          <w:iCs/>
        </w:rPr>
        <w:t xml:space="preserve">x </w:t>
      </w:r>
      <w:r>
        <w:rPr/>
        <w:t>being fundamental in</w:t>
      </w:r>
    </w:p>
    <w:p>
      <w:pPr>
        <w:pStyle w:val="Normal"/>
        <w:jc w:val="left"/>
        <w:rPr/>
      </w:pPr>
      <w:r>
        <w:rPr/>
        <w:t>worlds where y doesn't exist. 18 The upshot is that the essence-ground connection</w:t>
      </w:r>
    </w:p>
    <w:p>
      <w:pPr>
        <w:pStyle w:val="Normal"/>
        <w:rPr/>
      </w:pPr>
      <w:r>
        <w:rPr/>
        <w:t xml:space="preserve">alone doesn't tell against contingent fundamentality. </w:t>
      </w:r>
      <w:r>
        <w:rPr>
          <w:rFonts w:cs="Arial" w:ascii="Arial" w:hAnsi="Arial"/>
        </w:rPr>
        <w:t>19</w:t>
      </w:r>
      <w:r>
        <w:rPr/>
        <w:t xml:space="preserve"> </w:t>
      </w:r>
    </w:p>
    <w:p>
      <w:pPr>
        <w:pStyle w:val="Normal"/>
        <w:ind w:left="158" w:right="0" w:hanging="158"/>
        <w:rPr/>
      </w:pPr>
      <w:r>
        <w:rPr/>
        <w:tab/>
        <w:t>Admittedly, this conditionalizing move won't be available to those who think that</w:t>
      </w:r>
    </w:p>
    <w:p>
      <w:pPr>
        <w:pStyle w:val="Normal"/>
        <w:jc w:val="left"/>
        <w:rPr/>
      </w:pPr>
      <w:r>
        <w:rPr/>
        <w:t>(i) the fundamental entities must be ontologically independent, and (ii) that an entity</w:t>
      </w:r>
    </w:p>
    <w:p>
      <w:pPr>
        <w:pStyle w:val="Normal"/>
        <w:jc w:val="left"/>
        <w:rPr/>
      </w:pPr>
      <w:r>
        <w:rPr/>
        <w:t xml:space="preserve">is ontologically dependent on whatever appears in facts about its essence. However, I see little reason to accept the latter-instead, </w:t>
      </w:r>
      <w:r>
        <w:rPr>
          <w:rFonts w:cs="Arial" w:ascii="Arial" w:hAnsi="Arial"/>
        </w:rPr>
        <w:t xml:space="preserve">IQ </w:t>
      </w:r>
      <w:r>
        <w:rPr/>
        <w:t>suggest that an entity ontologically</w:t>
      </w:r>
    </w:p>
    <w:p>
      <w:pPr>
        <w:pStyle w:val="Normal"/>
        <w:jc w:val="left"/>
        <w:rPr/>
      </w:pPr>
      <w:r>
        <w:rPr/>
        <w:t xml:space="preserve">depends on those things that both appear in facts about the entity's essence </w:t>
      </w:r>
      <w:r>
        <w:rPr>
          <w:i/>
          <w:iCs/>
        </w:rPr>
        <w:t xml:space="preserve">and </w:t>
      </w:r>
      <w:r>
        <w:rPr/>
        <w:t>exist.</w:t>
      </w:r>
    </w:p>
    <w:p>
      <w:pPr>
        <w:pStyle w:val="Normal"/>
        <w:jc w:val="left"/>
        <w:rPr/>
      </w:pPr>
      <w:r>
        <w:rPr/>
        <w:t>This leaves room for contingent dependence (and hence contingent fundamentality),</w:t>
      </w:r>
    </w:p>
    <w:p>
      <w:pPr>
        <w:pStyle w:val="Normal"/>
        <w:rPr/>
      </w:pPr>
      <w:r>
        <w:rPr/>
        <w:t xml:space="preserve">and is, I think, a close, contingentist friendly, surrogate for (ii). </w:t>
      </w:r>
    </w:p>
    <w:p>
      <w:pPr>
        <w:pStyle w:val="Normal"/>
        <w:jc w:val="left"/>
        <w:rPr/>
      </w:pPr>
      <w:r>
        <w:rPr/>
        <w:t>There is one potential drawback to this conditionalizing move: it might turn out</w:t>
      </w:r>
    </w:p>
    <w:p>
      <w:pPr>
        <w:pStyle w:val="Normal"/>
        <w:jc w:val="left"/>
        <w:rPr/>
      </w:pPr>
      <w:r>
        <w:rPr/>
        <w:t>that it's part of Tommy's essence that, if the world was populated with some weird</w:t>
      </w:r>
    </w:p>
    <w:p>
      <w:pPr>
        <w:pStyle w:val="Normal"/>
        <w:jc w:val="left"/>
        <w:rPr/>
      </w:pPr>
      <w:r>
        <w:rPr/>
        <w:t xml:space="preserve">ectoplasmic goo, then Tommy is derivative from it. </w:t>
      </w:r>
      <w:r>
        <w:rPr>
          <w:rFonts w:cs="Arial" w:ascii="Arial" w:hAnsi="Arial"/>
        </w:rPr>
        <w:t xml:space="preserve">20 </w:t>
      </w:r>
      <w:r>
        <w:rPr/>
        <w:t>But, one might sensibly object,</w:t>
      </w:r>
    </w:p>
    <w:p>
      <w:pPr>
        <w:pStyle w:val="Normal"/>
        <w:jc w:val="left"/>
        <w:rPr/>
      </w:pPr>
      <w:r>
        <w:rPr/>
        <w:t>this simply isn't part of Tommy's essence-Tommy is in no way related to this</w:t>
      </w:r>
    </w:p>
    <w:p>
      <w:pPr>
        <w:pStyle w:val="Normal"/>
        <w:jc w:val="left"/>
        <w:rPr/>
      </w:pPr>
      <w:r>
        <w:rPr/>
        <w:t xml:space="preserve">weird goo! However, note that we only said this </w:t>
      </w:r>
      <w:r>
        <w:rPr>
          <w:i/>
          <w:iCs/>
        </w:rPr>
        <w:t xml:space="preserve">might </w:t>
      </w:r>
      <w:r>
        <w:rPr/>
        <w:t>be part of Tommy's essence.</w:t>
      </w:r>
    </w:p>
    <w:p>
      <w:pPr>
        <w:pStyle w:val="Normal"/>
        <w:jc w:val="left"/>
        <w:rPr/>
      </w:pPr>
      <w:r>
        <w:rPr/>
        <w:t>Nothing said so far commits the conditionalizer to gooey-Tommy worlds, and hence</w:t>
      </w:r>
    </w:p>
    <w:p>
      <w:pPr>
        <w:pStyle w:val="Normal"/>
        <w:jc w:val="left"/>
        <w:rPr/>
      </w:pPr>
      <w:r>
        <w:rPr/>
        <w:t>to including such a property in Tommy's essence (indeed, we might take our vitriolic</w:t>
      </w:r>
    </w:p>
    <w:p>
      <w:pPr>
        <w:pStyle w:val="Normal"/>
        <w:jc w:val="left"/>
        <w:rPr/>
      </w:pPr>
      <w:r>
        <w:rPr/>
        <w:t>response as a good reason for thinking there are no such worlds). In other words,</w:t>
      </w:r>
    </w:p>
    <w:p>
      <w:pPr>
        <w:pStyle w:val="Normal"/>
        <w:jc w:val="left"/>
        <w:rPr/>
      </w:pPr>
      <w:r>
        <w:rPr/>
        <w:t>not all conditional properties will make it into Tommy's essence. Of course, we'll</w:t>
      </w:r>
    </w:p>
    <w:p>
      <w:pPr>
        <w:pStyle w:val="Normal"/>
        <w:jc w:val="left"/>
        <w:rPr/>
      </w:pPr>
      <w:r>
        <w:rPr/>
        <w:t>need some reason for including/excluding the relevant ones, but that's a task at least</w:t>
      </w:r>
    </w:p>
    <w:p>
      <w:pPr>
        <w:pStyle w:val="Normal"/>
        <w:jc w:val="left"/>
        <w:rPr/>
      </w:pPr>
      <w:r>
        <w:rPr/>
        <w:t>partially to be determined by our epistemology of essence. And, until we can show that</w:t>
      </w:r>
    </w:p>
    <w:p>
      <w:pPr>
        <w:pStyle w:val="Normal"/>
        <w:jc w:val="left"/>
        <w:rPr/>
      </w:pPr>
      <w:r>
        <w:rPr>
          <w:i/>
          <w:iCs/>
        </w:rPr>
        <w:t xml:space="preserve">no </w:t>
      </w:r>
      <w:r>
        <w:rPr/>
        <w:t>conditional properties make it in, there's space to maintain the conditionalizing</w:t>
      </w:r>
    </w:p>
    <w:p>
      <w:pPr>
        <w:pStyle w:val="Normal"/>
        <w:jc w:val="left"/>
        <w:rPr/>
      </w:pPr>
      <w:r>
        <w:rPr/>
        <w:t>reply. So it seems we can preserve the ground-essence link and still be contingentists</w:t>
      </w:r>
    </w:p>
    <w:p>
      <w:pPr>
        <w:pStyle w:val="Normal"/>
        <w:rPr/>
      </w:pPr>
      <w:r>
        <w:rPr/>
        <w:t xml:space="preserve">about fundamentality. </w:t>
      </w:r>
    </w:p>
    <w:p>
      <w:pPr>
        <w:pStyle w:val="Normal"/>
        <w:jc w:val="left"/>
        <w:rPr/>
      </w:pPr>
      <w:r>
        <w:rPr/>
        <w:t>A third objection to contingent fundamentality concerns negative explanations.21</w:t>
      </w:r>
    </w:p>
    <w:p>
      <w:pPr>
        <w:pStyle w:val="Normal"/>
        <w:jc w:val="left"/>
        <w:rPr/>
      </w:pPr>
      <w:r>
        <w:rPr/>
        <w:t>Grant, for the sake of argument, that tables are derivative, but possibly fundamental.</w:t>
      </w:r>
    </w:p>
    <w:p>
      <w:pPr>
        <w:pStyle w:val="Normal"/>
        <w:jc w:val="left"/>
        <w:rPr/>
      </w:pPr>
      <w:r>
        <w:rPr/>
        <w:t>Now, go to any world where tables don't exist. What explains the fact that there are</w:t>
      </w:r>
    </w:p>
    <w:p>
      <w:pPr>
        <w:pStyle w:val="Normal"/>
        <w:jc w:val="left"/>
        <w:rPr/>
      </w:pPr>
      <w:r>
        <w:rPr/>
        <w:t>no tables? The standard answer is something like the fact that there are no table-wise</w:t>
      </w:r>
    </w:p>
    <w:p>
      <w:pPr>
        <w:pStyle w:val="Normal"/>
        <w:jc w:val="left"/>
        <w:rPr/>
      </w:pPr>
      <w:r>
        <w:rPr/>
        <w:t>arrangements of simples. But, given that tables are possibly fundamental, this isn't a</w:t>
      </w:r>
    </w:p>
    <w:p>
      <w:pPr>
        <w:pStyle w:val="Normal"/>
        <w:jc w:val="left"/>
        <w:rPr/>
      </w:pPr>
      <w:r>
        <w:rPr/>
        <w:t>complete explanation-after all, it might be that, even though there are no table-wisearranged</w:t>
      </w:r>
    </w:p>
    <w:p>
      <w:pPr>
        <w:pStyle w:val="Normal"/>
        <w:jc w:val="left"/>
        <w:rPr/>
      </w:pPr>
      <w:r>
        <w:rPr/>
        <w:t xml:space="preserve">simples, some </w:t>
      </w:r>
      <w:r>
        <w:rPr>
          <w:i/>
          <w:iCs/>
        </w:rPr>
        <w:t xml:space="preserve">fundamental </w:t>
      </w:r>
      <w:r>
        <w:rPr/>
        <w:t>tables exist. Consequently, given contingent</w:t>
      </w:r>
    </w:p>
    <w:p>
      <w:pPr>
        <w:pStyle w:val="Normal"/>
        <w:jc w:val="left"/>
        <w:rPr/>
      </w:pPr>
      <w:r>
        <w:rPr/>
        <w:t>fundamentality, our explanations for the non-existence of entities are compromised.</w:t>
      </w:r>
    </w:p>
    <w:p>
      <w:pPr>
        <w:pStyle w:val="Normal"/>
        <w:jc w:val="left"/>
        <w:rPr/>
      </w:pPr>
      <w:r>
        <w:rPr/>
        <w:t>One line of reply is to say that it's part of what it is to be a table that it be composed of</w:t>
      </w:r>
    </w:p>
    <w:p>
      <w:pPr>
        <w:pStyle w:val="Normal"/>
        <w:jc w:val="left"/>
        <w:rPr/>
      </w:pPr>
      <w:r>
        <w:rPr/>
        <w:t>tablewise-arranged simples-so, every table-world is also a table-arranged-simplesworlds-</w:t>
      </w:r>
    </w:p>
    <w:p>
      <w:pPr>
        <w:pStyle w:val="Normal"/>
        <w:jc w:val="left"/>
        <w:rPr/>
      </w:pPr>
      <w:r>
        <w:rPr/>
        <w:t>but still maintain that tables are possibly fundamental-that is, there are</w:t>
      </w:r>
    </w:p>
    <w:p>
      <w:pPr>
        <w:pStyle w:val="Normal"/>
        <w:jc w:val="left"/>
        <w:rPr/>
      </w:pPr>
      <w:r>
        <w:rPr/>
        <w:t>some worlds where tables exist and are fundamental, along with some worlds where</w:t>
      </w:r>
    </w:p>
    <w:p>
      <w:pPr>
        <w:pStyle w:val="Normal"/>
        <w:jc w:val="left"/>
        <w:rPr/>
      </w:pPr>
      <w:r>
        <w:rPr/>
        <w:t>tables are derivative. This would block the above objection, but at the cost of denying</w:t>
      </w:r>
    </w:p>
    <w:p>
      <w:pPr>
        <w:pStyle w:val="Normal"/>
        <w:jc w:val="left"/>
        <w:rPr/>
      </w:pPr>
      <w:r>
        <w:rPr/>
        <w:t>the idea that mereological structure mirrors priority structure, since it allows for</w:t>
      </w:r>
    </w:p>
    <w:p>
      <w:pPr>
        <w:pStyle w:val="Normal"/>
        <w:ind w:left="158" w:right="0" w:firstLine="562"/>
        <w:rPr/>
      </w:pPr>
      <w:r>
        <w:rPr/>
        <w:t>mereologically complex objects to be fundamental.</w:t>
      </w:r>
      <w:r>
        <w:rPr>
          <w:rFonts w:cs="Arial" w:ascii="Arial" w:hAnsi="Arial"/>
        </w:rPr>
        <w:t>22</w:t>
      </w:r>
      <w:r>
        <w:rPr/>
        <w:t xml:space="preserve"> (282-3)</w:t>
      </w:r>
    </w:p>
    <w:p>
      <w:pPr>
        <w:pStyle w:val="Normal"/>
        <w:rPr/>
      </w:pPr>
      <w:r>
        <w:rPr/>
      </w:r>
    </w:p>
    <w:p>
      <w:pPr>
        <w:pStyle w:val="Normal"/>
        <w:jc w:val="left"/>
        <w:rPr/>
      </w:pPr>
      <w:r>
        <w:rPr/>
        <w:t xml:space="preserve">The </w:t>
      </w:r>
      <w:r>
        <w:rPr>
          <w:i/>
          <w:iCs/>
        </w:rPr>
        <w:t xml:space="preserve">necessitarian thesis </w:t>
      </w:r>
      <w:r>
        <w:rPr/>
        <w:t>says that the things that are fundamental necessarily existthat</w:t>
      </w:r>
    </w:p>
    <w:p>
      <w:pPr>
        <w:pStyle w:val="Normal"/>
        <w:jc w:val="left"/>
        <w:rPr/>
      </w:pPr>
      <w:r>
        <w:rPr/>
        <w:t>is, for all x, if x is fundamental, then x necessarily exists. In contrast, the</w:t>
      </w:r>
    </w:p>
    <w:p>
      <w:pPr>
        <w:pStyle w:val="Normal"/>
        <w:jc w:val="left"/>
        <w:rPr/>
      </w:pPr>
      <w:r>
        <w:rPr>
          <w:i/>
          <w:iCs/>
        </w:rPr>
        <w:t xml:space="preserve">contingentist thesis </w:t>
      </w:r>
      <w:r>
        <w:rPr/>
        <w:t>says that at least some of the fundamentalia contingently existthat</w:t>
      </w:r>
    </w:p>
    <w:p>
      <w:pPr>
        <w:pStyle w:val="Normal"/>
        <w:rPr/>
      </w:pPr>
      <w:r>
        <w:rPr/>
        <w:t xml:space="preserve">is, for some x, xis fundamental and possibly, x does not exist.23 </w:t>
      </w:r>
    </w:p>
    <w:p>
      <w:pPr>
        <w:pStyle w:val="Normal"/>
        <w:rPr/>
      </w:pPr>
      <w:r>
        <w:rPr/>
      </w:r>
    </w:p>
    <w:p>
      <w:pPr>
        <w:pStyle w:val="Normal"/>
        <w:jc w:val="left"/>
        <w:rPr/>
      </w:pPr>
      <w:r>
        <w:rPr/>
        <w:t>23 23 These theses are phrased in terms of existence, but they can be readily altered to accommodate those</w:t>
      </w:r>
    </w:p>
    <w:p>
      <w:pPr>
        <w:pStyle w:val="Normal"/>
        <w:rPr/>
      </w:pPr>
      <w:r>
        <w:rPr/>
        <w:t>who, like Williamson (2013), think that all objects necessarily exist by e.g. changing 'exists' to 'is concrete'. (284)</w:t>
      </w:r>
    </w:p>
    <w:p>
      <w:pPr>
        <w:pStyle w:val="Normal"/>
        <w:rPr/>
      </w:pPr>
      <w:r>
        <w:rPr/>
      </w:r>
    </w:p>
    <w:p>
      <w:pPr>
        <w:pStyle w:val="Normal"/>
        <w:jc w:val="left"/>
        <w:rPr/>
      </w:pPr>
      <w:r>
        <w:rPr/>
        <w:t>So the necessitarian</w:t>
      </w:r>
    </w:p>
    <w:p>
      <w:pPr>
        <w:pStyle w:val="Normal"/>
        <w:jc w:val="left"/>
        <w:rPr/>
      </w:pPr>
      <w:r>
        <w:rPr/>
        <w:t>thesis makes necessary existence a necessary, but not sufficient, condition for being fundamental, while the contingentist thesis allows for some necessarily existing</w:t>
      </w:r>
    </w:p>
    <w:p>
      <w:pPr>
        <w:pStyle w:val="Normal"/>
        <w:jc w:val="left"/>
        <w:rPr/>
      </w:pPr>
      <w:r>
        <w:rPr/>
        <w:t>fundamentalia; it just denies that necessary existence is a necessary condition for</w:t>
      </w:r>
    </w:p>
    <w:p>
      <w:pPr>
        <w:pStyle w:val="Normal"/>
        <w:rPr/>
      </w:pPr>
      <w:r>
        <w:rPr/>
        <w:t>being fundamental. (284-5)</w:t>
      </w:r>
    </w:p>
    <w:p>
      <w:pPr>
        <w:pStyle w:val="Normal"/>
        <w:rPr/>
      </w:pPr>
      <w:r>
        <w:rPr/>
      </w:r>
    </w:p>
    <w:p>
      <w:pPr>
        <w:pStyle w:val="Normal"/>
        <w:jc w:val="left"/>
        <w:rPr/>
      </w:pPr>
      <w:r>
        <w:rPr/>
        <w:t>In contrast, our final</w:t>
      </w:r>
    </w:p>
    <w:p>
      <w:pPr>
        <w:pStyle w:val="Normal"/>
        <w:jc w:val="left"/>
        <w:rPr/>
      </w:pPr>
      <w:r>
        <w:rPr/>
        <w:t>package agrees that some fundamentalia contingently exist, but also claims that the</w:t>
      </w:r>
    </w:p>
    <w:p>
      <w:pPr>
        <w:pStyle w:val="Normal"/>
        <w:jc w:val="left"/>
        <w:rPr/>
      </w:pPr>
      <w:r>
        <w:rPr/>
        <w:t>grounding structure of the world is similarly fundamental-that is, this position</w:t>
      </w:r>
    </w:p>
    <w:p>
      <w:pPr>
        <w:pStyle w:val="Normal"/>
        <w:jc w:val="left"/>
        <w:rPr/>
      </w:pPr>
      <w:r>
        <w:rPr/>
        <w:t>endorses the contingent fundamentality thesis, and takes being fundamental to be a</w:t>
      </w:r>
    </w:p>
    <w:p>
      <w:pPr>
        <w:pStyle w:val="Normal"/>
        <w:rPr/>
      </w:pPr>
      <w:r>
        <w:rPr/>
        <w:t>non-necessary property. (285)</w:t>
      </w:r>
    </w:p>
    <w:p>
      <w:pPr>
        <w:pStyle w:val="Normal"/>
        <w:rPr/>
      </w:pPr>
      <w:r>
        <w:rPr/>
      </w:r>
    </w:p>
    <w:p>
      <w:pPr>
        <w:pStyle w:val="Normal"/>
        <w:jc w:val="left"/>
        <w:rPr/>
      </w:pPr>
      <w:r>
        <w:rPr/>
        <w:t>Suppose that A and B are the fundamental entities. On this view,</w:t>
      </w:r>
    </w:p>
    <w:p>
      <w:pPr>
        <w:pStyle w:val="Normal"/>
        <w:jc w:val="left"/>
        <w:rPr/>
      </w:pPr>
      <w:r>
        <w:rPr/>
        <w:t>they both necessarily exist and are necessarily fundamental. So, they exist and serve</w:t>
      </w:r>
    </w:p>
    <w:p>
      <w:pPr>
        <w:pStyle w:val="Normal"/>
        <w:jc w:val="left"/>
        <w:rPr/>
      </w:pPr>
      <w:r>
        <w:rPr/>
        <w:t>as the metaphysical foundation for every world. But let C be some merely contingent</w:t>
      </w:r>
    </w:p>
    <w:p>
      <w:pPr>
        <w:pStyle w:val="Normal"/>
        <w:jc w:val="left"/>
        <w:rPr/>
      </w:pPr>
      <w:r>
        <w:rPr/>
        <w:t>existent. C must be derivative from some combination of A and B. So, in worlds</w:t>
      </w:r>
    </w:p>
    <w:p>
      <w:pPr>
        <w:pStyle w:val="Normal"/>
        <w:jc w:val="left"/>
        <w:rPr/>
      </w:pPr>
      <w:r>
        <w:rPr/>
        <w:t>where C exists, it is grounded in (e.g.) A. But given that A is necessary, every world</w:t>
      </w:r>
    </w:p>
    <w:p>
      <w:pPr>
        <w:pStyle w:val="Normal"/>
        <w:jc w:val="left"/>
        <w:rPr/>
      </w:pPr>
      <w:r>
        <w:rPr/>
        <w:t>is an A-world. So why isn't every world also a C-world? We might try to explain the</w:t>
      </w:r>
    </w:p>
    <w:p>
      <w:pPr>
        <w:pStyle w:val="Normal"/>
        <w:jc w:val="left"/>
        <w:rPr/>
      </w:pPr>
      <w:r>
        <w:rPr/>
        <w:t>A-but-not-C-worlds by appeal to the existence of some blocker D in those worlds,</w:t>
      </w:r>
    </w:p>
    <w:p>
      <w:pPr>
        <w:pStyle w:val="Normal"/>
        <w:jc w:val="left"/>
        <w:rPr/>
      </w:pPr>
      <w:r>
        <w:rPr/>
        <w:t>but that won't help because D must also be derivative from some combination of</w:t>
      </w:r>
    </w:p>
    <w:p>
      <w:pPr>
        <w:pStyle w:val="Normal"/>
        <w:jc w:val="left"/>
        <w:rPr/>
      </w:pPr>
      <w:r>
        <w:rPr/>
        <w:t>A and B, and unless we want to say that D is necessary (which, if it's a blocker</w:t>
      </w:r>
    </w:p>
    <w:p>
      <w:pPr>
        <w:pStyle w:val="Normal"/>
        <w:jc w:val="left"/>
        <w:rPr/>
      </w:pPr>
      <w:r>
        <w:rPr/>
        <w:t>for C, entails C can't possibly exist), we're stuck with the same problem as regards</w:t>
      </w:r>
    </w:p>
    <w:p>
      <w:pPr>
        <w:pStyle w:val="Normal"/>
        <w:jc w:val="left"/>
        <w:rPr/>
      </w:pPr>
      <w:r>
        <w:rPr/>
        <w:t>the existence of D. Without a satisfactory story to tell here, this package looks like a</w:t>
      </w:r>
    </w:p>
    <w:p>
      <w:pPr>
        <w:pStyle w:val="Normal"/>
        <w:rPr/>
      </w:pPr>
      <w:r>
        <w:rPr/>
        <w:t>non-starter. 25 (286)</w:t>
      </w:r>
    </w:p>
    <w:p>
      <w:pPr>
        <w:pStyle w:val="Normal"/>
        <w:rPr/>
      </w:pPr>
      <w:r>
        <w:rPr/>
      </w:r>
    </w:p>
    <w:p>
      <w:pPr>
        <w:pStyle w:val="Normal"/>
        <w:jc w:val="left"/>
        <w:rPr/>
      </w:pPr>
      <w:r>
        <w:rPr/>
        <w:t xml:space="preserve">We can make this problem more acute by thinking about </w:t>
      </w:r>
      <w:r>
        <w:rPr>
          <w:i/>
          <w:iCs/>
        </w:rPr>
        <w:t xml:space="preserve">Shifty Shaky, </w:t>
      </w:r>
      <w:r>
        <w:rPr/>
        <w:t>which</w:t>
      </w:r>
    </w:p>
    <w:p>
      <w:pPr>
        <w:pStyle w:val="Normal"/>
        <w:jc w:val="left"/>
        <w:rPr/>
      </w:pPr>
      <w:r>
        <w:rPr/>
        <w:t>allows for contingent fundamentalia that are only contingently fundamental. This</w:t>
      </w:r>
    </w:p>
    <w:p>
      <w:pPr>
        <w:pStyle w:val="Normal"/>
        <w:jc w:val="left"/>
        <w:rPr/>
      </w:pPr>
      <w:r>
        <w:rPr/>
        <w:t>position can explain variation in priority structure in terms of variation in existence:</w:t>
      </w:r>
    </w:p>
    <w:p>
      <w:pPr>
        <w:pStyle w:val="Normal"/>
        <w:jc w:val="left"/>
        <w:rPr/>
      </w:pPr>
      <w:r>
        <w:rPr/>
        <w:t>x is derivative in w' because y exists in w' and, in that world, x depends upon/is</w:t>
      </w:r>
    </w:p>
    <w:p>
      <w:pPr>
        <w:pStyle w:val="Normal"/>
        <w:jc w:val="left"/>
        <w:rPr/>
      </w:pPr>
      <w:r>
        <w:rPr/>
        <w:t>grounded in y, while xis fundamental in w because y-the thing that x would depend</w:t>
      </w:r>
    </w:p>
    <w:p>
      <w:pPr>
        <w:pStyle w:val="Normal"/>
        <w:jc w:val="left"/>
        <w:rPr/>
      </w:pPr>
      <w:r>
        <w:rPr/>
        <w:t>upon-doesn't exist in w. So Quarky the quark is fundamental in the actual world</w:t>
      </w:r>
    </w:p>
    <w:p>
      <w:pPr>
        <w:pStyle w:val="Normal"/>
        <w:jc w:val="left"/>
        <w:rPr/>
      </w:pPr>
      <w:r>
        <w:rPr/>
        <w:t>because there's no gunk for Quarky to depend on, but in gunky worlds, Quarky</w:t>
      </w:r>
    </w:p>
    <w:p>
      <w:pPr>
        <w:pStyle w:val="Normal"/>
        <w:jc w:val="left"/>
        <w:rPr/>
      </w:pPr>
      <w:r>
        <w:rPr/>
        <w:t>depends upon-and hence is derivative from-a certain glob of gunk. Packages that</w:t>
      </w:r>
    </w:p>
    <w:p>
      <w:pPr>
        <w:pStyle w:val="Normal"/>
        <w:jc w:val="left"/>
        <w:rPr/>
      </w:pPr>
      <w:r>
        <w:rPr/>
        <w:t>are committed to the necessitarian thesis have no recourse to this kind of explanation.</w:t>
      </w:r>
    </w:p>
    <w:p>
      <w:pPr>
        <w:pStyle w:val="Normal"/>
        <w:jc w:val="left"/>
        <w:rPr/>
      </w:pPr>
      <w:r>
        <w:rPr/>
        <w:t>For them, everything that is possibly fundamental exists in every world, so we can't</w:t>
      </w:r>
    </w:p>
    <w:p>
      <w:pPr>
        <w:pStyle w:val="Normal"/>
        <w:rPr/>
      </w:pPr>
      <w:r>
        <w:rPr/>
        <w:t>explain priority variation in terms of existential variation. (286)</w:t>
      </w:r>
    </w:p>
    <w:p>
      <w:pPr>
        <w:pStyle w:val="Normal"/>
        <w:rPr/>
      </w:pPr>
      <w:r>
        <w:rPr/>
      </w:r>
    </w:p>
    <w:p>
      <w:pPr>
        <w:pStyle w:val="Normal"/>
        <w:rPr>
          <w:color w:val="FF0000"/>
        </w:rPr>
      </w:pPr>
      <w:r>
        <w:rPr>
          <w:color w:val="FF0000"/>
        </w:rPr>
        <w:t>[The same observation: reading this article, I had the feeling the author had written it within the EDWs perspective!!! Of course, just UNBELIEVABLE similarities…]</w:t>
      </w:r>
    </w:p>
    <w:p>
      <w:pPr>
        <w:pStyle w:val="Normal"/>
        <w:rPr/>
      </w:pPr>
      <w:r>
        <w:rPr/>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t>April 23th</w:t>
      </w:r>
    </w:p>
    <w:p>
      <w:pPr>
        <w:pStyle w:val="Normal"/>
        <w:spacing w:before="0" w:after="0"/>
        <w:contextualSpacing/>
        <w:jc w:val="left"/>
        <w:rPr/>
      </w:pPr>
      <w:r>
        <w:rPr/>
      </w:r>
    </w:p>
    <w:p>
      <w:pPr>
        <w:pStyle w:val="Normal"/>
        <w:spacing w:before="0" w:after="0"/>
        <w:contextualSpacing/>
        <w:jc w:val="left"/>
        <w:rPr/>
      </w:pPr>
      <w:r>
        <w:rPr>
          <w:rFonts w:eastAsia="Calibri" w:cs="CMBX12" w:ascii="CMBX12" w:hAnsi="CMBX12"/>
          <w:b/>
          <w:sz w:val="28"/>
          <w:szCs w:val="28"/>
        </w:rPr>
        <w:t xml:space="preserve">(2015) </w:t>
      </w:r>
      <w:r>
        <w:rPr>
          <w:rFonts w:eastAsia="CMR10" w:cs="CMR10" w:ascii="CMR10" w:hAnsi="CMR10"/>
          <w:b/>
          <w:sz w:val="28"/>
          <w:szCs w:val="28"/>
        </w:rPr>
        <w:t>M. Ringbauer</w:t>
      </w:r>
      <w:r>
        <w:rPr>
          <w:rFonts w:eastAsia="Calibri" w:cs="CMR7" w:ascii="CMR7" w:hAnsi="CMR7"/>
          <w:b/>
          <w:sz w:val="28"/>
          <w:szCs w:val="28"/>
        </w:rPr>
        <w:t>1</w:t>
      </w:r>
      <w:r>
        <w:rPr>
          <w:rFonts w:eastAsia="Calibri" w:cs="CMMI7" w:ascii="CMMI7" w:hAnsi="CMMI7"/>
          <w:b/>
          <w:sz w:val="28"/>
          <w:szCs w:val="28"/>
        </w:rPr>
        <w:t>;</w:t>
      </w:r>
      <w:r>
        <w:rPr>
          <w:rFonts w:eastAsia="Calibri" w:cs="CMR7" w:ascii="CMR7" w:hAnsi="CMR7"/>
          <w:b/>
          <w:sz w:val="28"/>
          <w:szCs w:val="28"/>
        </w:rPr>
        <w:t>2</w:t>
      </w:r>
      <w:r>
        <w:rPr>
          <w:rFonts w:eastAsia="CMR10" w:cs="CMR10" w:ascii="CMR10" w:hAnsi="CMR10"/>
          <w:b/>
          <w:sz w:val="28"/>
          <w:szCs w:val="28"/>
        </w:rPr>
        <w:t>, B. Du_us</w:t>
      </w:r>
      <w:r>
        <w:rPr>
          <w:rFonts w:eastAsia="Calibri" w:cs="CMR7" w:ascii="CMR7" w:hAnsi="CMR7"/>
          <w:b/>
          <w:sz w:val="28"/>
          <w:szCs w:val="28"/>
        </w:rPr>
        <w:t>1</w:t>
      </w:r>
      <w:r>
        <w:rPr>
          <w:rFonts w:eastAsia="Calibri" w:cs="CMMI7" w:ascii="CMMI7" w:hAnsi="CMMI7"/>
          <w:b/>
          <w:sz w:val="28"/>
          <w:szCs w:val="28"/>
        </w:rPr>
        <w:t>;</w:t>
      </w:r>
      <w:r>
        <w:rPr>
          <w:rFonts w:eastAsia="Calibri" w:cs="CMR7" w:ascii="CMR7" w:hAnsi="CMR7"/>
          <w:b/>
          <w:sz w:val="28"/>
          <w:szCs w:val="28"/>
        </w:rPr>
        <w:t>2</w:t>
      </w:r>
      <w:r>
        <w:rPr>
          <w:rFonts w:eastAsia="CMR10" w:cs="CMR10" w:ascii="CMR10" w:hAnsi="CMR10"/>
          <w:b/>
          <w:sz w:val="28"/>
          <w:szCs w:val="28"/>
        </w:rPr>
        <w:t>, C. Branciard</w:t>
      </w:r>
      <w:r>
        <w:rPr>
          <w:rFonts w:eastAsia="Calibri" w:cs="CMR7" w:ascii="CMR7" w:hAnsi="CMR7"/>
          <w:b/>
          <w:sz w:val="28"/>
          <w:szCs w:val="28"/>
        </w:rPr>
        <w:t>1</w:t>
      </w:r>
      <w:r>
        <w:rPr>
          <w:rFonts w:eastAsia="Calibri" w:cs="CMMI7" w:ascii="CMMI7" w:hAnsi="CMMI7"/>
          <w:b/>
          <w:sz w:val="28"/>
          <w:szCs w:val="28"/>
        </w:rPr>
        <w:t>;</w:t>
      </w:r>
      <w:r>
        <w:rPr>
          <w:rFonts w:eastAsia="Calibri" w:cs="CMR7" w:ascii="CMR7" w:hAnsi="CMR7"/>
          <w:b/>
          <w:sz w:val="28"/>
          <w:szCs w:val="28"/>
        </w:rPr>
        <w:t>3</w:t>
      </w:r>
      <w:r>
        <w:rPr>
          <w:rFonts w:eastAsia="CMR10" w:cs="CMR10" w:ascii="CMR10" w:hAnsi="CMR10"/>
          <w:b/>
          <w:sz w:val="28"/>
          <w:szCs w:val="28"/>
        </w:rPr>
        <w:t>, E. G. Cavalcanti</w:t>
      </w:r>
      <w:r>
        <w:rPr>
          <w:rFonts w:eastAsia="Calibri" w:cs="CMR7" w:ascii="CMR7" w:hAnsi="CMR7"/>
          <w:b/>
          <w:sz w:val="28"/>
          <w:szCs w:val="28"/>
        </w:rPr>
        <w:t>4</w:t>
      </w:r>
      <w:r>
        <w:rPr>
          <w:rFonts w:eastAsia="CMR10" w:cs="CMR10" w:ascii="CMR10" w:hAnsi="CMR10"/>
          <w:b/>
          <w:sz w:val="28"/>
          <w:szCs w:val="28"/>
        </w:rPr>
        <w:t>, A. G. White</w:t>
      </w:r>
      <w:r>
        <w:rPr>
          <w:rFonts w:eastAsia="Calibri" w:cs="CMR7" w:ascii="CMR7" w:hAnsi="CMR7"/>
          <w:b/>
          <w:sz w:val="28"/>
          <w:szCs w:val="28"/>
        </w:rPr>
        <w:t>1</w:t>
      </w:r>
      <w:r>
        <w:rPr>
          <w:rFonts w:eastAsia="Calibri" w:cs="CMMI7" w:ascii="CMMI7" w:hAnsi="CMMI7"/>
          <w:b/>
          <w:sz w:val="28"/>
          <w:szCs w:val="28"/>
        </w:rPr>
        <w:t>;</w:t>
      </w:r>
      <w:r>
        <w:rPr>
          <w:rFonts w:eastAsia="Calibri" w:cs="CMR7" w:ascii="CMR7" w:hAnsi="CMR7"/>
          <w:b/>
          <w:sz w:val="28"/>
          <w:szCs w:val="28"/>
        </w:rPr>
        <w:t xml:space="preserve">2 </w:t>
      </w:r>
      <w:r>
        <w:rPr>
          <w:rFonts w:eastAsia="CMR10" w:cs="CMR10" w:ascii="CMR10" w:hAnsi="CMR10"/>
          <w:b/>
          <w:sz w:val="28"/>
          <w:szCs w:val="28"/>
        </w:rPr>
        <w:t>&amp; A. Fedrizzi</w:t>
      </w:r>
    </w:p>
    <w:p>
      <w:pPr>
        <w:pStyle w:val="Normal"/>
        <w:jc w:val="left"/>
        <w:rPr/>
      </w:pPr>
      <w:r>
        <w:rPr>
          <w:rFonts w:eastAsia="Calibri" w:cs="CMBX12" w:ascii="CMBX12" w:hAnsi="CMBX12"/>
          <w:b/>
          <w:sz w:val="28"/>
          <w:szCs w:val="28"/>
        </w:rPr>
        <w:t>“</w:t>
      </w:r>
      <w:r>
        <w:rPr>
          <w:rFonts w:eastAsia="Calibri" w:cs="CMBX12" w:ascii="CMBX12" w:hAnsi="CMBX12"/>
          <w:b/>
          <w:sz w:val="28"/>
          <w:szCs w:val="28"/>
        </w:rPr>
        <w:t xml:space="preserve">Measurements on the reality of the wavefunction” at </w:t>
      </w:r>
      <w:r>
        <w:rPr>
          <w:rFonts w:eastAsia="Calibri"/>
          <w:b/>
          <w:color w:val="808080"/>
          <w:sz w:val="28"/>
          <w:szCs w:val="28"/>
        </w:rPr>
        <w:t>arXiv:1412.6213v2 [quant-ph] 20 Jan 2015</w:t>
      </w:r>
    </w:p>
    <w:p>
      <w:pPr>
        <w:pStyle w:val="Normal"/>
        <w:spacing w:before="0" w:after="0"/>
        <w:contextualSpacing/>
        <w:jc w:val="left"/>
        <w:rPr>
          <w:rFonts w:eastAsia="Calibri"/>
          <w:color w:val="808080"/>
          <w:sz w:val="40"/>
          <w:szCs w:val="40"/>
        </w:rPr>
      </w:pPr>
      <w:r>
        <w:rPr>
          <w:rFonts w:eastAsia="Calibri"/>
          <w:color w:val="808080"/>
          <w:sz w:val="40"/>
          <w:szCs w:val="40"/>
        </w:rPr>
      </w:r>
    </w:p>
    <w:p>
      <w:pPr>
        <w:pStyle w:val="Normal"/>
        <w:jc w:val="left"/>
        <w:rPr>
          <w:rFonts w:ascii="CMTI10" w:hAnsi="CMTI10" w:eastAsia="Calibri" w:cs="CMTI10"/>
          <w:sz w:val="20"/>
          <w:szCs w:val="20"/>
        </w:rPr>
      </w:pPr>
      <w:r>
        <w:rPr>
          <w:rFonts w:eastAsia="Calibri" w:cs="CMTI10" w:ascii="CMTI10" w:hAnsi="CMTI10"/>
          <w:sz w:val="20"/>
          <w:szCs w:val="20"/>
        </w:rPr>
        <w:t>Do you really believe the moon exists only when you</w:t>
      </w:r>
    </w:p>
    <w:p>
      <w:pPr>
        <w:pStyle w:val="Normal"/>
        <w:jc w:val="left"/>
        <w:rPr/>
      </w:pPr>
      <w:r>
        <w:rPr>
          <w:rFonts w:eastAsia="Calibri" w:cs="CMTI10" w:ascii="CMTI10" w:hAnsi="CMTI10"/>
          <w:sz w:val="20"/>
          <w:szCs w:val="20"/>
        </w:rPr>
        <w:t xml:space="preserve">look at it?" </w:t>
      </w:r>
      <w:r>
        <w:rPr>
          <w:rFonts w:eastAsia="CMR10" w:cs="CMR10" w:ascii="CMR10" w:hAnsi="CMR10"/>
          <w:sz w:val="20"/>
          <w:szCs w:val="20"/>
        </w:rPr>
        <w:t>Albert Einstein's famous question encapsulates</w:t>
      </w:r>
    </w:p>
    <w:p>
      <w:pPr>
        <w:pStyle w:val="Normal"/>
        <w:jc w:val="left"/>
        <w:rPr>
          <w:rFonts w:ascii="CMR10" w:hAnsi="CMR10" w:eastAsia="CMR10" w:cs="CMR10"/>
          <w:sz w:val="20"/>
          <w:szCs w:val="20"/>
        </w:rPr>
      </w:pPr>
      <w:r>
        <w:rPr>
          <w:rFonts w:eastAsia="CMR10" w:cs="CMR10" w:ascii="CMR10" w:hAnsi="CMR10"/>
          <w:sz w:val="20"/>
          <w:szCs w:val="20"/>
        </w:rPr>
        <w:t>a century-old debate over the measurement problem</w:t>
      </w:r>
    </w:p>
    <w:p>
      <w:pPr>
        <w:pStyle w:val="Normal"/>
        <w:jc w:val="left"/>
        <w:rPr>
          <w:rFonts w:ascii="CMR10" w:hAnsi="CMR10" w:eastAsia="CMR10" w:cs="CMR10"/>
          <w:sz w:val="20"/>
          <w:szCs w:val="20"/>
        </w:rPr>
      </w:pPr>
      <w:r>
        <w:rPr>
          <w:rFonts w:eastAsia="CMR10" w:cs="CMR10" w:ascii="CMR10" w:hAnsi="CMR10"/>
          <w:sz w:val="20"/>
          <w:szCs w:val="20"/>
        </w:rPr>
        <w:t>and the very nature of the quantum wavefunction[1].</w:t>
      </w:r>
    </w:p>
    <w:p>
      <w:pPr>
        <w:pStyle w:val="Normal"/>
        <w:jc w:val="left"/>
        <w:rPr>
          <w:rFonts w:ascii="CMR10" w:hAnsi="CMR10" w:eastAsia="CMR10" w:cs="CMR10"/>
          <w:sz w:val="20"/>
          <w:szCs w:val="20"/>
        </w:rPr>
      </w:pPr>
      <w:r>
        <w:rPr>
          <w:rFonts w:eastAsia="CMR10" w:cs="CMR10" w:ascii="CMR10" w:hAnsi="CMR10"/>
          <w:sz w:val="20"/>
          <w:szCs w:val="20"/>
        </w:rPr>
        <w:t>Not all scientists|including in particular Quantum</w:t>
      </w:r>
    </w:p>
    <w:p>
      <w:pPr>
        <w:pStyle w:val="Normal"/>
        <w:jc w:val="left"/>
        <w:rPr>
          <w:rFonts w:ascii="CMR10" w:hAnsi="CMR10" w:eastAsia="CMR10" w:cs="CMR10"/>
          <w:sz w:val="20"/>
          <w:szCs w:val="20"/>
        </w:rPr>
      </w:pPr>
      <w:r>
        <w:rPr>
          <w:rFonts w:eastAsia="CMR10" w:cs="CMR10" w:ascii="CMR10" w:hAnsi="CMR10"/>
          <w:sz w:val="20"/>
          <w:szCs w:val="20"/>
        </w:rPr>
        <w:t>Bayesianists[2{4]|believe that our observations of the</w:t>
      </w:r>
    </w:p>
    <w:p>
      <w:pPr>
        <w:pStyle w:val="Normal"/>
        <w:jc w:val="left"/>
        <w:rPr>
          <w:rFonts w:ascii="CMR10" w:hAnsi="CMR10" w:eastAsia="CMR10" w:cs="CMR10"/>
          <w:sz w:val="20"/>
          <w:szCs w:val="20"/>
        </w:rPr>
      </w:pPr>
      <w:r>
        <w:rPr>
          <w:rFonts w:eastAsia="CMR10" w:cs="CMR10" w:ascii="CMR10" w:hAnsi="CMR10"/>
          <w:sz w:val="20"/>
          <w:szCs w:val="20"/>
        </w:rPr>
        <w:t>physical world can be entirely derived from an underlying</w:t>
      </w:r>
    </w:p>
    <w:p>
      <w:pPr>
        <w:pStyle w:val="Normal"/>
        <w:jc w:val="left"/>
        <w:rPr>
          <w:rFonts w:ascii="CMR10" w:hAnsi="CMR10" w:eastAsia="CMR10" w:cs="CMR10"/>
          <w:sz w:val="20"/>
          <w:szCs w:val="20"/>
        </w:rPr>
      </w:pPr>
      <w:r>
        <w:rPr>
          <w:rFonts w:eastAsia="CMR10" w:cs="CMR10" w:ascii="CMR10" w:hAnsi="CMR10"/>
          <w:sz w:val="20"/>
          <w:szCs w:val="20"/>
        </w:rPr>
        <w:t>objective reality. If one does however want to maintain a</w:t>
      </w:r>
    </w:p>
    <w:p>
      <w:pPr>
        <w:pStyle w:val="Normal"/>
        <w:jc w:val="left"/>
        <w:rPr>
          <w:rFonts w:ascii="CMR10" w:hAnsi="CMR10" w:eastAsia="CMR10" w:cs="CMR10"/>
          <w:sz w:val="20"/>
          <w:szCs w:val="20"/>
        </w:rPr>
      </w:pPr>
      <w:r>
        <w:rPr>
          <w:rFonts w:eastAsia="CMR10" w:cs="CMR10" w:ascii="CMR10" w:hAnsi="CMR10"/>
          <w:sz w:val="20"/>
          <w:szCs w:val="20"/>
        </w:rPr>
        <w:t>realist position at the quantum level, a question naturally</w:t>
      </w:r>
    </w:p>
    <w:p>
      <w:pPr>
        <w:pStyle w:val="Normal"/>
        <w:jc w:val="left"/>
        <w:rPr>
          <w:rFonts w:ascii="CMR10" w:hAnsi="CMR10" w:eastAsia="CMR10" w:cs="CMR10"/>
          <w:sz w:val="20"/>
          <w:szCs w:val="20"/>
        </w:rPr>
      </w:pPr>
      <w:r>
        <w:rPr>
          <w:rFonts w:eastAsia="CMR10" w:cs="CMR10" w:ascii="CMR10" w:hAnsi="CMR10"/>
          <w:sz w:val="20"/>
          <w:szCs w:val="20"/>
        </w:rPr>
        <w:t>arises: does the wavefunction directly correspond to the</w:t>
      </w:r>
    </w:p>
    <w:p>
      <w:pPr>
        <w:pStyle w:val="Normal"/>
        <w:jc w:val="left"/>
        <w:rPr>
          <w:rFonts w:ascii="CMR10" w:hAnsi="CMR10" w:eastAsia="CMR10" w:cs="CMR10"/>
          <w:sz w:val="20"/>
          <w:szCs w:val="20"/>
        </w:rPr>
      </w:pPr>
      <w:r>
        <w:rPr>
          <w:rFonts w:eastAsia="CMR10" w:cs="CMR10" w:ascii="CMR10" w:hAnsi="CMR10"/>
          <w:sz w:val="20"/>
          <w:szCs w:val="20"/>
        </w:rPr>
        <w:t>underlying reality, or does it only represent our partial</w:t>
      </w:r>
    </w:p>
    <w:p>
      <w:pPr>
        <w:pStyle w:val="Normal"/>
        <w:jc w:val="left"/>
        <w:rPr>
          <w:rFonts w:ascii="CMR10" w:hAnsi="CMR10" w:eastAsia="CMR10" w:cs="CMR10"/>
          <w:sz w:val="20"/>
          <w:szCs w:val="20"/>
        </w:rPr>
      </w:pPr>
      <w:r>
        <w:rPr>
          <w:rFonts w:eastAsia="CMR10" w:cs="CMR10" w:ascii="CMR10" w:hAnsi="CMR10"/>
          <w:sz w:val="20"/>
          <w:szCs w:val="20"/>
        </w:rPr>
        <w:t>knowledge about the real state of a quantum system?</w:t>
      </w:r>
    </w:p>
    <w:p>
      <w:pPr>
        <w:pStyle w:val="Normal"/>
        <w:jc w:val="left"/>
        <w:rPr>
          <w:rFonts w:ascii="CMR10" w:hAnsi="CMR10" w:eastAsia="CMR10" w:cs="CMR10"/>
          <w:sz w:val="20"/>
          <w:szCs w:val="20"/>
        </w:rPr>
      </w:pPr>
      <w:r>
        <w:rPr>
          <w:rFonts w:eastAsia="CMR10" w:cs="CMR10" w:ascii="CMR10" w:hAnsi="CMR10"/>
          <w:sz w:val="20"/>
          <w:szCs w:val="20"/>
        </w:rPr>
        <w:t>There are compelling reasons to subscribe to the latter,</w:t>
      </w:r>
    </w:p>
    <w:p>
      <w:pPr>
        <w:pStyle w:val="Normal"/>
        <w:spacing w:before="0" w:after="0"/>
        <w:contextualSpacing/>
        <w:jc w:val="left"/>
        <w:rPr/>
      </w:pPr>
      <w:r>
        <w:rPr>
          <w:rFonts w:eastAsia="Calibri" w:cs="CMTI10" w:ascii="CMTI10" w:hAnsi="CMTI10"/>
          <w:sz w:val="20"/>
          <w:szCs w:val="20"/>
        </w:rPr>
        <w:t xml:space="preserve">epistemic </w:t>
      </w:r>
      <w:r>
        <w:rPr>
          <w:rFonts w:eastAsia="CMR10" w:cs="CMR10" w:ascii="CMR10" w:hAnsi="CMR10"/>
          <w:sz w:val="20"/>
          <w:szCs w:val="20"/>
        </w:rPr>
        <w:t xml:space="preserve">view[5]. (p. 1) </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r>
    </w:p>
    <w:p>
      <w:pPr>
        <w:pStyle w:val="Normal"/>
        <w:jc w:val="left"/>
        <w:rPr>
          <w:rFonts w:ascii="CMR10" w:hAnsi="CMR10" w:eastAsia="CMR10" w:cs="CMR10"/>
          <w:sz w:val="20"/>
          <w:szCs w:val="20"/>
        </w:rPr>
      </w:pPr>
      <w:r>
        <w:rPr>
          <w:rFonts w:eastAsia="CMR10" w:cs="CMR10" w:ascii="CMR10" w:hAnsi="CMR10"/>
          <w:sz w:val="20"/>
          <w:szCs w:val="20"/>
        </w:rPr>
        <w:t>A model that reproduces quantum predictions within</w:t>
      </w:r>
    </w:p>
    <w:p>
      <w:pPr>
        <w:pStyle w:val="Normal"/>
        <w:jc w:val="left"/>
        <w:rPr/>
      </w:pPr>
      <w:r>
        <w:rPr>
          <w:rFonts w:eastAsia="CMR10" w:cs="CMR10" w:ascii="CMR10" w:hAnsi="CMR10"/>
          <w:sz w:val="20"/>
          <w:szCs w:val="20"/>
        </w:rPr>
        <w:t xml:space="preserve">the above framework is called an </w:t>
      </w:r>
      <w:r>
        <w:rPr>
          <w:rFonts w:eastAsia="CMR10" w:cs="CMTI10" w:ascii="CMTI10" w:hAnsi="CMTI10"/>
          <w:sz w:val="20"/>
          <w:szCs w:val="20"/>
        </w:rPr>
        <w:t xml:space="preserve">ontological model </w:t>
      </w:r>
      <w:r>
        <w:rPr>
          <w:rFonts w:eastAsia="CMR10" w:cs="CMR10" w:ascii="CMR10" w:hAnsi="CMR10"/>
          <w:sz w:val="20"/>
          <w:szCs w:val="20"/>
        </w:rPr>
        <w:t>[7].</w:t>
      </w:r>
    </w:p>
    <w:p>
      <w:pPr>
        <w:pStyle w:val="Normal"/>
        <w:jc w:val="left"/>
        <w:rPr/>
      </w:pPr>
      <w:r>
        <w:rPr>
          <w:rFonts w:eastAsia="CMR10" w:cs="CMR10" w:ascii="CMR10" w:hAnsi="CMR10"/>
          <w:sz w:val="20"/>
          <w:szCs w:val="20"/>
        </w:rPr>
        <w:t xml:space="preserve">The states </w:t>
      </w:r>
      <w:r>
        <w:rPr>
          <w:rFonts w:eastAsia="CMMI10" w:cs="CMMI10" w:ascii="CMMI10" w:hAnsi="CMMI10"/>
          <w:sz w:val="20"/>
          <w:szCs w:val="20"/>
        </w:rPr>
        <w:t xml:space="preserve">_ </w:t>
      </w:r>
      <w:r>
        <w:rPr>
          <w:rFonts w:eastAsia="CMR10" w:cs="CMR10" w:ascii="CMR10" w:hAnsi="CMR10"/>
          <w:sz w:val="20"/>
          <w:szCs w:val="20"/>
        </w:rPr>
        <w:t xml:space="preserve">are called </w:t>
      </w:r>
      <w:r>
        <w:rPr>
          <w:rFonts w:eastAsia="CMR10" w:cs="CMTI10" w:ascii="CMTI10" w:hAnsi="CMTI10"/>
          <w:sz w:val="20"/>
          <w:szCs w:val="20"/>
        </w:rPr>
        <w:t xml:space="preserve">ontic states </w:t>
      </w:r>
      <w:r>
        <w:rPr>
          <w:rFonts w:eastAsia="CMR10" w:cs="CMR10" w:ascii="CMR10" w:hAnsi="CMR10"/>
          <w:sz w:val="20"/>
          <w:szCs w:val="20"/>
        </w:rPr>
        <w:t xml:space="preserve">(or, historically, </w:t>
      </w:r>
      <w:r>
        <w:rPr>
          <w:rFonts w:eastAsia="CMR10" w:cs="CMTI10" w:ascii="CMTI10" w:hAnsi="CMTI10"/>
          <w:sz w:val="20"/>
          <w:szCs w:val="20"/>
        </w:rPr>
        <w:t>hid-</w:t>
      </w:r>
    </w:p>
    <w:p>
      <w:pPr>
        <w:pStyle w:val="Normal"/>
        <w:jc w:val="left"/>
        <w:rPr/>
      </w:pPr>
      <w:r>
        <w:rPr>
          <w:rFonts w:eastAsia="CMR10" w:cs="CMTI10" w:ascii="CMTI10" w:hAnsi="CMTI10"/>
          <w:sz w:val="20"/>
          <w:szCs w:val="20"/>
        </w:rPr>
        <w:t>den variables</w:t>
      </w:r>
      <w:r>
        <w:rPr>
          <w:rFonts w:eastAsia="CMR10" w:cs="CMR10" w:ascii="CMR10" w:hAnsi="CMR10"/>
          <w:sz w:val="20"/>
          <w:szCs w:val="20"/>
        </w:rPr>
        <w:t xml:space="preserve">), while the distributions </w:t>
      </w:r>
      <w:r>
        <w:rPr>
          <w:rFonts w:eastAsia="CMMI10" w:cs="CMMI10" w:ascii="CMMI10" w:hAnsi="CMMI10"/>
          <w:sz w:val="20"/>
          <w:szCs w:val="20"/>
        </w:rPr>
        <w:t>_</w:t>
      </w:r>
      <w:r>
        <w:rPr>
          <w:rFonts w:eastAsia="CMR10" w:cs="CMMI7" w:ascii="CMMI7" w:hAnsi="CMMI7"/>
          <w:sz w:val="14"/>
          <w:szCs w:val="14"/>
        </w:rPr>
        <w:t xml:space="preserve">  </w:t>
      </w:r>
      <w:r>
        <w:rPr>
          <w:rFonts w:eastAsia="CMR10" w:cs="CMR10" w:ascii="CMR10" w:hAnsi="CMR10"/>
          <w:sz w:val="20"/>
          <w:szCs w:val="20"/>
        </w:rPr>
        <w:t xml:space="preserve">are called </w:t>
      </w:r>
      <w:r>
        <w:rPr>
          <w:rFonts w:eastAsia="CMR10" w:cs="CMTI10" w:ascii="CMTI10" w:hAnsi="CMTI10"/>
          <w:sz w:val="20"/>
          <w:szCs w:val="20"/>
        </w:rPr>
        <w:t>epis-</w:t>
      </w:r>
    </w:p>
    <w:p>
      <w:pPr>
        <w:pStyle w:val="Normal"/>
        <w:jc w:val="left"/>
        <w:rPr/>
      </w:pPr>
      <w:r>
        <w:rPr>
          <w:rFonts w:eastAsia="CMR10" w:cs="CMTI10" w:ascii="CMTI10" w:hAnsi="CMTI10"/>
          <w:sz w:val="20"/>
          <w:szCs w:val="20"/>
        </w:rPr>
        <w:t>temic states</w:t>
      </w:r>
      <w:r>
        <w:rPr>
          <w:rFonts w:eastAsia="CMR10" w:cs="CMR10" w:ascii="CMR10" w:hAnsi="CMR10"/>
          <w:sz w:val="20"/>
          <w:szCs w:val="20"/>
        </w:rPr>
        <w:t>. Speci_c examples of ontological models</w:t>
      </w:r>
    </w:p>
    <w:p>
      <w:pPr>
        <w:pStyle w:val="Normal"/>
        <w:jc w:val="left"/>
        <w:rPr>
          <w:rFonts w:ascii="CMR10" w:hAnsi="CMR10" w:eastAsia="CMR10" w:cs="CMR10"/>
          <w:sz w:val="20"/>
          <w:szCs w:val="20"/>
        </w:rPr>
      </w:pPr>
      <w:r>
        <w:rPr>
          <w:rFonts w:eastAsia="CMR10" w:cs="CMR10" w:ascii="CMR10" w:hAnsi="CMR10"/>
          <w:sz w:val="20"/>
          <w:szCs w:val="20"/>
        </w:rPr>
        <w:t>include those that involve hidden variables in addition</w:t>
      </w:r>
    </w:p>
    <w:p>
      <w:pPr>
        <w:pStyle w:val="Normal"/>
        <w:jc w:val="left"/>
        <w:rPr>
          <w:rFonts w:ascii="CMR10" w:hAnsi="CMR10" w:eastAsia="CMR10" w:cs="CMR10"/>
          <w:sz w:val="20"/>
          <w:szCs w:val="20"/>
        </w:rPr>
      </w:pPr>
      <w:r>
        <w:rPr>
          <w:rFonts w:eastAsia="CMR10" w:cs="CMR10" w:ascii="CMR10" w:hAnsi="CMR10"/>
          <w:sz w:val="20"/>
          <w:szCs w:val="20"/>
        </w:rPr>
        <w:t>to a real wavefunction, as was famously suggested by</w:t>
      </w:r>
    </w:p>
    <w:p>
      <w:pPr>
        <w:pStyle w:val="Normal"/>
        <w:jc w:val="left"/>
        <w:rPr>
          <w:rFonts w:ascii="CMR10" w:hAnsi="CMR10" w:eastAsia="CMR10" w:cs="CMR10"/>
          <w:sz w:val="20"/>
          <w:szCs w:val="20"/>
        </w:rPr>
      </w:pPr>
      <w:r>
        <w:rPr>
          <w:rFonts w:eastAsia="CMR10" w:cs="CMR10" w:ascii="CMR10" w:hAnsi="CMR10"/>
          <w:sz w:val="20"/>
          <w:szCs w:val="20"/>
        </w:rPr>
        <w:t>Einstein-Podolsky-Rosen[8] to address the alleged \incompleteness"</w:t>
      </w:r>
    </w:p>
    <w:p>
      <w:pPr>
        <w:pStyle w:val="Normal"/>
        <w:jc w:val="left"/>
        <w:rPr>
          <w:rFonts w:ascii="CMR10" w:hAnsi="CMR10" w:eastAsia="CMR10" w:cs="CMR10"/>
          <w:sz w:val="20"/>
          <w:szCs w:val="20"/>
        </w:rPr>
      </w:pPr>
      <w:r>
        <w:rPr>
          <w:rFonts w:eastAsia="CMR10" w:cs="CMR10" w:ascii="CMR10" w:hAnsi="CMR10"/>
          <w:sz w:val="20"/>
          <w:szCs w:val="20"/>
        </w:rPr>
        <w:t>of quantum mechanics. Another example</w:t>
      </w:r>
    </w:p>
    <w:p>
      <w:pPr>
        <w:pStyle w:val="Normal"/>
        <w:jc w:val="left"/>
        <w:rPr>
          <w:rFonts w:ascii="CMR10" w:hAnsi="CMR10" w:eastAsia="CMR10" w:cs="CMR10"/>
          <w:sz w:val="20"/>
          <w:szCs w:val="20"/>
        </w:rPr>
      </w:pPr>
      <w:r>
        <w:rPr>
          <w:rFonts w:eastAsia="CMR10" w:cs="CMR10" w:ascii="CMR10" w:hAnsi="CMR10"/>
          <w:sz w:val="20"/>
          <w:szCs w:val="20"/>
        </w:rPr>
        <w:t>was formulated by John Bell in his celebrated theorem[9].</w:t>
      </w:r>
    </w:p>
    <w:p>
      <w:pPr>
        <w:pStyle w:val="Normal"/>
        <w:jc w:val="left"/>
        <w:rPr>
          <w:rFonts w:ascii="CMR10" w:hAnsi="CMR10" w:eastAsia="CMR10" w:cs="CMR10"/>
          <w:sz w:val="20"/>
          <w:szCs w:val="20"/>
        </w:rPr>
      </w:pPr>
      <w:r>
        <w:rPr>
          <w:rFonts w:eastAsia="CMR10" w:cs="CMR10" w:ascii="CMR10" w:hAnsi="CMR10"/>
          <w:sz w:val="20"/>
          <w:szCs w:val="20"/>
        </w:rPr>
        <w:t>Here we shall however not consider Bell's additional assumption</w:t>
      </w:r>
    </w:p>
    <w:p>
      <w:pPr>
        <w:pStyle w:val="Normal"/>
        <w:jc w:val="left"/>
        <w:rPr>
          <w:rFonts w:ascii="CMR10" w:hAnsi="CMR10" w:eastAsia="CMR10" w:cs="CMR10"/>
          <w:sz w:val="20"/>
          <w:szCs w:val="20"/>
        </w:rPr>
      </w:pPr>
      <w:r>
        <w:rPr>
          <w:rFonts w:eastAsia="CMR10" w:cs="CMR10" w:ascii="CMR10" w:hAnsi="CMR10"/>
          <w:sz w:val="20"/>
          <w:szCs w:val="20"/>
        </w:rPr>
        <w:t>of local causality[10]; we are rather interested</w:t>
      </w:r>
    </w:p>
    <w:p>
      <w:pPr>
        <w:pStyle w:val="Normal"/>
        <w:jc w:val="left"/>
        <w:rPr>
          <w:rFonts w:ascii="CMR10" w:hAnsi="CMR10" w:eastAsia="CMR10" w:cs="CMR10"/>
          <w:sz w:val="20"/>
          <w:szCs w:val="20"/>
        </w:rPr>
      </w:pPr>
      <w:r>
        <w:rPr>
          <w:rFonts w:eastAsia="CMR10" w:cs="CMR10" w:ascii="CMR10" w:hAnsi="CMR10"/>
          <w:sz w:val="20"/>
          <w:szCs w:val="20"/>
        </w:rPr>
        <w:t>in the correspondence between the wavefunction that describes</w:t>
      </w:r>
    </w:p>
    <w:p>
      <w:pPr>
        <w:pStyle w:val="Normal"/>
        <w:jc w:val="left"/>
        <w:rPr>
          <w:rFonts w:ascii="CMR10" w:hAnsi="CMR10" w:eastAsia="CMR10" w:cs="CMR10"/>
          <w:sz w:val="20"/>
          <w:szCs w:val="20"/>
        </w:rPr>
      </w:pPr>
      <w:r>
        <w:rPr>
          <w:rFonts w:eastAsia="CMR10" w:cs="CMR10" w:ascii="CMR10" w:hAnsi="CMR10"/>
          <w:sz w:val="20"/>
          <w:szCs w:val="20"/>
        </w:rPr>
        <w:t>the quantum state of a (single) quantum system</w:t>
      </w:r>
    </w:p>
    <w:p>
      <w:pPr>
        <w:pStyle w:val="Normal"/>
        <w:jc w:val="left"/>
        <w:rPr>
          <w:rFonts w:ascii="CMR10" w:hAnsi="CMR10" w:eastAsia="CMR10" w:cs="CMR10"/>
          <w:sz w:val="20"/>
          <w:szCs w:val="20"/>
        </w:rPr>
      </w:pPr>
      <w:r>
        <w:rPr>
          <w:rFonts w:eastAsia="CMR10" w:cs="CMR10" w:ascii="CMR10" w:hAnsi="CMR10"/>
          <w:sz w:val="20"/>
          <w:szCs w:val="20"/>
        </w:rPr>
        <w:t>and its possible ontic states.</w:t>
      </w:r>
    </w:p>
    <w:p>
      <w:pPr>
        <w:pStyle w:val="Normal"/>
        <w:jc w:val="left"/>
        <w:rPr>
          <w:rFonts w:ascii="CMR10" w:hAnsi="CMR10" w:eastAsia="CMR10" w:cs="CMR10"/>
          <w:sz w:val="20"/>
          <w:szCs w:val="20"/>
        </w:rPr>
      </w:pPr>
      <w:r>
        <w:rPr>
          <w:rFonts w:eastAsia="CMR10" w:cs="CMR10" w:ascii="CMR10" w:hAnsi="CMR10"/>
          <w:sz w:val="20"/>
          <w:szCs w:val="20"/>
        </w:rPr>
        <w:t>If the wavefunction is itself an element of the underlying</w:t>
      </w:r>
    </w:p>
    <w:p>
      <w:pPr>
        <w:pStyle w:val="Normal"/>
        <w:jc w:val="left"/>
        <w:rPr/>
      </w:pPr>
      <w:r>
        <w:rPr>
          <w:rFonts w:eastAsia="CMR10" w:cs="CMR10" w:ascii="CMR10" w:hAnsi="CMR10"/>
          <w:sz w:val="20"/>
          <w:szCs w:val="20"/>
        </w:rPr>
        <w:t xml:space="preserve">reality, then it must be speci_ed uniquely by </w:t>
      </w:r>
      <w:r>
        <w:rPr>
          <w:rFonts w:eastAsia="CMMI10" w:cs="CMMI10" w:ascii="CMMI10" w:hAnsi="CMMI10"/>
          <w:sz w:val="20"/>
          <w:szCs w:val="20"/>
        </w:rPr>
        <w:t>_</w:t>
      </w:r>
      <w:r>
        <w:rPr>
          <w:rFonts w:eastAsia="CMR10" w:cs="CMR10" w:ascii="CMR10" w:hAnsi="CMR10"/>
          <w:sz w:val="20"/>
          <w:szCs w:val="20"/>
        </w:rPr>
        <w:t>. The</w:t>
      </w:r>
    </w:p>
    <w:p>
      <w:pPr>
        <w:pStyle w:val="Normal"/>
        <w:jc w:val="left"/>
        <w:rPr/>
      </w:pPr>
      <w:r>
        <w:rPr>
          <w:rFonts w:eastAsia="CMR10" w:cs="CMR10" w:ascii="CMR10" w:hAnsi="CMR10"/>
          <w:sz w:val="20"/>
          <w:szCs w:val="20"/>
        </w:rPr>
        <w:t xml:space="preserve">epistemic states (i.e. probability distributions) </w:t>
      </w:r>
      <w:r>
        <w:rPr>
          <w:rFonts w:eastAsia="CMMI10" w:cs="CMMI10" w:ascii="CMMI10" w:hAnsi="CMMI10"/>
          <w:sz w:val="20"/>
          <w:szCs w:val="20"/>
        </w:rPr>
        <w:t>_</w:t>
      </w:r>
      <w:r>
        <w:rPr>
          <w:rFonts w:eastAsia="CMR10" w:cs="CMMI7" w:ascii="CMMI7" w:hAnsi="CMMI7"/>
          <w:sz w:val="14"/>
          <w:szCs w:val="14"/>
        </w:rPr>
        <w:t xml:space="preserve">  </w:t>
      </w:r>
      <w:r>
        <w:rPr>
          <w:rFonts w:eastAsia="CMR10" w:cs="CMR10" w:ascii="CMR10" w:hAnsi="CMR10"/>
          <w:sz w:val="20"/>
          <w:szCs w:val="20"/>
        </w:rPr>
        <w:t>and</w:t>
      </w:r>
    </w:p>
    <w:p>
      <w:pPr>
        <w:pStyle w:val="Normal"/>
        <w:jc w:val="left"/>
        <w:rPr/>
      </w:pPr>
      <w:r>
        <w:rPr>
          <w:rFonts w:eastAsia="CMMI10" w:cs="CMMI10" w:ascii="CMMI10" w:hAnsi="CMMI10"/>
          <w:sz w:val="20"/>
          <w:szCs w:val="20"/>
        </w:rPr>
        <w:t>_</w:t>
      </w:r>
      <w:r>
        <w:rPr>
          <w:rFonts w:eastAsia="CMR10" w:cs="CMMI7" w:ascii="CMMI7" w:hAnsi="CMMI7"/>
          <w:sz w:val="14"/>
          <w:szCs w:val="14"/>
        </w:rPr>
        <w:t xml:space="preserve">_ </w:t>
      </w:r>
      <w:r>
        <w:rPr>
          <w:rFonts w:eastAsia="CMR10" w:cs="CMR10" w:ascii="CMR10" w:hAnsi="CMR10"/>
          <w:sz w:val="20"/>
          <w:szCs w:val="20"/>
        </w:rPr>
        <w:t xml:space="preserve">corresponding to any two distinct pure states </w:t>
      </w:r>
      <w:r>
        <w:rPr>
          <w:rFonts w:eastAsia="CMSY10" w:cs="CMSY10" w:ascii="CMSY10" w:hAnsi="CMSY10"/>
          <w:sz w:val="20"/>
          <w:szCs w:val="20"/>
        </w:rPr>
        <w:t>j</w:t>
      </w:r>
      <w:r>
        <w:rPr>
          <w:rFonts w:eastAsia="CMMI10" w:cs="CMMI10" w:ascii="CMMI10" w:hAnsi="CMMI10"/>
          <w:sz w:val="20"/>
          <w:szCs w:val="20"/>
        </w:rPr>
        <w:t xml:space="preserve"> </w:t>
      </w:r>
      <w:r>
        <w:rPr>
          <w:rFonts w:eastAsia="CMSY10" w:cs="CMSY10" w:ascii="CMSY10" w:hAnsi="CMSY10"/>
          <w:sz w:val="20"/>
          <w:szCs w:val="20"/>
        </w:rPr>
        <w:t xml:space="preserve">i </w:t>
      </w:r>
      <w:r>
        <w:rPr>
          <w:rFonts w:eastAsia="CMR10" w:cs="CMR10" w:ascii="CMR10" w:hAnsi="CMR10"/>
          <w:sz w:val="20"/>
          <w:szCs w:val="20"/>
        </w:rPr>
        <w:t>and</w:t>
      </w:r>
    </w:p>
    <w:p>
      <w:pPr>
        <w:pStyle w:val="Normal"/>
        <w:jc w:val="left"/>
        <w:rPr/>
      </w:pPr>
      <w:r>
        <w:rPr>
          <w:rFonts w:eastAsia="CMSY10" w:cs="CMSY10" w:ascii="CMSY10" w:hAnsi="CMSY10"/>
          <w:sz w:val="20"/>
          <w:szCs w:val="20"/>
        </w:rPr>
        <w:t>j</w:t>
      </w:r>
      <w:r>
        <w:rPr>
          <w:rFonts w:eastAsia="CMMI10" w:cs="CMMI10" w:ascii="CMMI10" w:hAnsi="CMMI10"/>
          <w:sz w:val="20"/>
          <w:szCs w:val="20"/>
        </w:rPr>
        <w:t>_</w:t>
      </w:r>
      <w:r>
        <w:rPr>
          <w:rFonts w:eastAsia="CMSY10" w:cs="CMSY10" w:ascii="CMSY10" w:hAnsi="CMSY10"/>
          <w:sz w:val="20"/>
          <w:szCs w:val="20"/>
        </w:rPr>
        <w:t>i</w:t>
      </w:r>
      <w:r>
        <w:rPr>
          <w:rFonts w:eastAsia="CMR10" w:cs="CMR10" w:ascii="CMR10" w:hAnsi="CMR10"/>
          <w:sz w:val="20"/>
          <w:szCs w:val="20"/>
        </w:rPr>
        <w:t>, Fig. 1a, must then be disjoint, Fig. 1b. An ontological</w:t>
      </w:r>
    </w:p>
    <w:p>
      <w:pPr>
        <w:pStyle w:val="Normal"/>
        <w:jc w:val="left"/>
        <w:rPr/>
      </w:pPr>
      <w:r>
        <w:rPr>
          <w:rFonts w:eastAsia="CMR10" w:cs="CMR10" w:ascii="CMR10" w:hAnsi="CMR10"/>
          <w:sz w:val="20"/>
          <w:szCs w:val="20"/>
        </w:rPr>
        <w:t xml:space="preserve">model satisfying this condition is called </w:t>
      </w:r>
      <w:r>
        <w:rPr>
          <w:rFonts w:eastAsia="CMMI10" w:cs="CMMI10" w:ascii="CMMI10" w:hAnsi="CMMI10"/>
          <w:sz w:val="20"/>
          <w:szCs w:val="20"/>
        </w:rPr>
        <w:t xml:space="preserve"> </w:t>
      </w:r>
      <w:r>
        <w:rPr>
          <w:rFonts w:eastAsia="CMR10" w:cs="CMTI10" w:ascii="CMTI10" w:hAnsi="CMTI10"/>
          <w:sz w:val="20"/>
          <w:szCs w:val="20"/>
        </w:rPr>
        <w:t>-ontic</w:t>
      </w:r>
      <w:r>
        <w:rPr>
          <w:rFonts w:eastAsia="CMR10" w:cs="CMR10" w:ascii="CMR10" w:hAnsi="CMR10"/>
          <w:sz w:val="20"/>
          <w:szCs w:val="20"/>
        </w:rPr>
        <w:t>.</w:t>
      </w:r>
    </w:p>
    <w:p>
      <w:pPr>
        <w:pStyle w:val="Normal"/>
        <w:jc w:val="left"/>
        <w:rPr>
          <w:rFonts w:ascii="CMR10" w:hAnsi="CMR10" w:eastAsia="CMR10" w:cs="CMR10"/>
          <w:sz w:val="20"/>
          <w:szCs w:val="20"/>
        </w:rPr>
      </w:pPr>
      <w:r>
        <w:rPr>
          <w:rFonts w:eastAsia="CMR10" w:cs="CMR10" w:ascii="CMR10" w:hAnsi="CMR10"/>
          <w:sz w:val="20"/>
          <w:szCs w:val="20"/>
        </w:rPr>
        <w:t>In all other cases the wavefunction has to be treated as</w:t>
      </w:r>
    </w:p>
    <w:p>
      <w:pPr>
        <w:pStyle w:val="Normal"/>
        <w:jc w:val="left"/>
        <w:rPr>
          <w:rFonts w:ascii="CMR10" w:hAnsi="CMR10" w:eastAsia="CMR10" w:cs="CMR10"/>
          <w:sz w:val="20"/>
          <w:szCs w:val="20"/>
        </w:rPr>
      </w:pPr>
      <w:r>
        <w:rPr>
          <w:rFonts w:eastAsia="CMR10" w:cs="CMR10" w:ascii="CMR10" w:hAnsi="CMR10"/>
          <w:sz w:val="20"/>
          <w:szCs w:val="20"/>
        </w:rPr>
        <w:t>a representation of the limited knowledge about the real</w:t>
      </w:r>
    </w:p>
    <w:p>
      <w:pPr>
        <w:pStyle w:val="Normal"/>
        <w:jc w:val="left"/>
        <w:rPr/>
      </w:pPr>
      <w:r>
        <w:rPr>
          <w:rFonts w:eastAsia="CMR10" w:cs="CMR10" w:ascii="CMR10" w:hAnsi="CMR10"/>
          <w:sz w:val="20"/>
          <w:szCs w:val="20"/>
        </w:rPr>
        <w:t xml:space="preserve">state of the system|a so-called </w:t>
      </w:r>
      <w:r>
        <w:rPr>
          <w:rFonts w:eastAsia="CMMI10" w:cs="CMMI10" w:ascii="CMMI10" w:hAnsi="CMMI10"/>
          <w:sz w:val="20"/>
          <w:szCs w:val="20"/>
        </w:rPr>
        <w:t xml:space="preserve"> </w:t>
      </w:r>
      <w:r>
        <w:rPr>
          <w:rFonts w:eastAsia="CMR10" w:cs="CMTI10" w:ascii="CMTI10" w:hAnsi="CMTI10"/>
          <w:sz w:val="20"/>
          <w:szCs w:val="20"/>
        </w:rPr>
        <w:t xml:space="preserve">-epistemic </w:t>
      </w:r>
      <w:r>
        <w:rPr>
          <w:rFonts w:eastAsia="CMR10" w:cs="CMR10" w:ascii="CMR10" w:hAnsi="CMR10"/>
          <w:sz w:val="20"/>
          <w:szCs w:val="20"/>
        </w:rPr>
        <w:t>model. In</w:t>
      </w:r>
    </w:p>
    <w:p>
      <w:pPr>
        <w:pStyle w:val="Normal"/>
        <w:jc w:val="left"/>
        <w:rPr>
          <w:rFonts w:ascii="CMR10" w:hAnsi="CMR10" w:eastAsia="CMR10" w:cs="CMR10"/>
          <w:sz w:val="20"/>
          <w:szCs w:val="20"/>
        </w:rPr>
      </w:pPr>
      <w:r>
        <w:rPr>
          <w:rFonts w:eastAsia="CMR10" w:cs="CMR10" w:ascii="CMR10" w:hAnsi="CMR10"/>
          <w:sz w:val="20"/>
          <w:szCs w:val="20"/>
        </w:rPr>
        <w:t>such models the epistemic states of two distinct quantum</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t>states might overlap, so that a single ontic state might correspond to di_erent pure states, Fig. 1c. (pp. 1-2)</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r>
    </w:p>
    <w:p>
      <w:pPr>
        <w:pStyle w:val="Normal"/>
        <w:jc w:val="left"/>
        <w:rPr/>
      </w:pPr>
      <w:r>
        <w:rPr>
          <w:rFonts w:eastAsia="CMR10" w:cs="CMR10" w:ascii="CMR10" w:hAnsi="CMR10"/>
          <w:sz w:val="20"/>
          <w:szCs w:val="20"/>
        </w:rPr>
        <w:t xml:space="preserve">A </w:t>
      </w:r>
      <w:r>
        <w:rPr>
          <w:rFonts w:eastAsia="CMMI10" w:cs="CMMI10" w:ascii="CMMI10" w:hAnsi="CMMI10"/>
          <w:sz w:val="20"/>
          <w:szCs w:val="20"/>
        </w:rPr>
        <w:t xml:space="preserve"> </w:t>
      </w:r>
      <w:r>
        <w:rPr>
          <w:rFonts w:eastAsia="CMR10" w:cs="CMR10" w:ascii="CMR10" w:hAnsi="CMR10"/>
          <w:sz w:val="20"/>
          <w:szCs w:val="20"/>
        </w:rPr>
        <w:t>-epistemic model could explain the limited distinguishability</w:t>
      </w:r>
    </w:p>
    <w:p>
      <w:pPr>
        <w:pStyle w:val="Normal"/>
        <w:jc w:val="left"/>
        <w:rPr>
          <w:rFonts w:ascii="CMR10" w:hAnsi="CMR10" w:eastAsia="CMR10" w:cs="CMR10"/>
          <w:sz w:val="20"/>
          <w:szCs w:val="20"/>
        </w:rPr>
      </w:pPr>
      <w:r>
        <w:rPr>
          <w:rFonts w:eastAsia="CMR10" w:cs="CMR10" w:ascii="CMR10" w:hAnsi="CMR10"/>
          <w:sz w:val="20"/>
          <w:szCs w:val="20"/>
        </w:rPr>
        <w:t>of a pair of non-orthogonal quantum states</w:t>
      </w:r>
    </w:p>
    <w:p>
      <w:pPr>
        <w:pStyle w:val="Normal"/>
        <w:jc w:val="left"/>
        <w:rPr/>
      </w:pPr>
      <w:r>
        <w:rPr>
          <w:rFonts w:eastAsia="CMSY10" w:cs="CMSY10" w:ascii="CMSY10" w:hAnsi="CMSY10"/>
          <w:sz w:val="20"/>
          <w:szCs w:val="20"/>
        </w:rPr>
        <w:t>j</w:t>
      </w:r>
      <w:r>
        <w:rPr>
          <w:rFonts w:eastAsia="CMMI10" w:cs="CMMI10" w:ascii="CMMI10" w:hAnsi="CMMI10"/>
          <w:sz w:val="20"/>
          <w:szCs w:val="20"/>
        </w:rPr>
        <w:t xml:space="preserve"> </w:t>
      </w:r>
      <w:r>
        <w:rPr>
          <w:rFonts w:eastAsia="CMSY10" w:cs="CMSY10" w:ascii="CMSY10" w:hAnsi="CMSY10"/>
          <w:sz w:val="20"/>
          <w:szCs w:val="20"/>
        </w:rPr>
        <w:t>i</w:t>
      </w:r>
      <w:r>
        <w:rPr>
          <w:rFonts w:eastAsia="CMMI10" w:cs="CMMI10" w:ascii="CMMI10" w:hAnsi="CMMI10"/>
          <w:sz w:val="20"/>
          <w:szCs w:val="20"/>
        </w:rPr>
        <w:t xml:space="preserve">; </w:t>
      </w:r>
      <w:r>
        <w:rPr>
          <w:rFonts w:eastAsia="CMSY10" w:cs="CMSY10" w:ascii="CMSY10" w:hAnsi="CMSY10"/>
          <w:sz w:val="20"/>
          <w:szCs w:val="20"/>
        </w:rPr>
        <w:t>j</w:t>
      </w:r>
      <w:r>
        <w:rPr>
          <w:rFonts w:eastAsia="CMMI10" w:cs="CMMI10" w:ascii="CMMI10" w:hAnsi="CMMI10"/>
          <w:sz w:val="20"/>
          <w:szCs w:val="20"/>
        </w:rPr>
        <w:t>_</w:t>
      </w:r>
      <w:r>
        <w:rPr>
          <w:rFonts w:eastAsia="CMSY10" w:cs="CMSY10" w:ascii="CMSY10" w:hAnsi="CMSY10"/>
          <w:sz w:val="20"/>
          <w:szCs w:val="20"/>
        </w:rPr>
        <w:t xml:space="preserve">i </w:t>
      </w:r>
      <w:r>
        <w:rPr>
          <w:rFonts w:eastAsia="CMR10" w:cs="CMR10" w:ascii="CMR10" w:hAnsi="CMR10"/>
          <w:sz w:val="20"/>
          <w:szCs w:val="20"/>
        </w:rPr>
        <w:t xml:space="preserve">as resulting from their two di_erent preparation procedures sometimes producing the same ontic state </w:t>
      </w:r>
      <w:r>
        <w:rPr>
          <w:rFonts w:eastAsia="CMMI10" w:cs="CMMI10" w:ascii="CMMI10" w:hAnsi="CMMI10"/>
          <w:sz w:val="20"/>
          <w:szCs w:val="20"/>
        </w:rPr>
        <w:t>_</w:t>
      </w:r>
      <w:r>
        <w:rPr>
          <w:rFonts w:eastAsia="CMR10" w:cs="CMR10" w:ascii="CMR10" w:hAnsi="CMR10"/>
          <w:sz w:val="20"/>
          <w:szCs w:val="20"/>
        </w:rPr>
        <w:t>.</w:t>
      </w:r>
    </w:p>
    <w:p>
      <w:pPr>
        <w:pStyle w:val="Normal"/>
        <w:jc w:val="left"/>
        <w:rPr>
          <w:rFonts w:ascii="CMR10" w:hAnsi="CMR10" w:eastAsia="CMR10" w:cs="CMR10"/>
          <w:sz w:val="20"/>
          <w:szCs w:val="20"/>
        </w:rPr>
      </w:pPr>
      <w:r>
        <w:rPr>
          <w:rFonts w:eastAsia="CMR10" w:cs="CMR10" w:ascii="CMR10" w:hAnsi="CMR10"/>
          <w:sz w:val="20"/>
          <w:szCs w:val="20"/>
        </w:rPr>
        <w:t>Such an explanation is fully satisfactory only if the distinguishability</w:t>
      </w:r>
    </w:p>
    <w:p>
      <w:pPr>
        <w:pStyle w:val="Normal"/>
        <w:jc w:val="left"/>
        <w:rPr>
          <w:rFonts w:ascii="CMR10" w:hAnsi="CMR10" w:eastAsia="CMR10" w:cs="CMR10"/>
          <w:sz w:val="20"/>
          <w:szCs w:val="20"/>
        </w:rPr>
      </w:pPr>
      <w:r>
        <w:rPr>
          <w:rFonts w:eastAsia="CMR10" w:cs="CMR10" w:ascii="CMR10" w:hAnsi="CMR10"/>
          <w:sz w:val="20"/>
          <w:szCs w:val="20"/>
        </w:rPr>
        <w:t>of two states is fully explained by the classical</w:t>
      </w:r>
    </w:p>
    <w:p>
      <w:pPr>
        <w:pStyle w:val="Normal"/>
        <w:jc w:val="left"/>
        <w:rPr>
          <w:rFonts w:ascii="CMR10" w:hAnsi="CMR10" w:eastAsia="CMR10" w:cs="CMR10"/>
          <w:sz w:val="20"/>
          <w:szCs w:val="20"/>
        </w:rPr>
      </w:pPr>
      <w:r>
        <w:rPr>
          <w:rFonts w:eastAsia="CMR10" w:cs="CMR10" w:ascii="CMR10" w:hAnsi="CMR10"/>
          <w:sz w:val="20"/>
          <w:szCs w:val="20"/>
        </w:rPr>
        <w:t>overlap of the probability distributions. In particular,</w:t>
      </w:r>
    </w:p>
    <w:p>
      <w:pPr>
        <w:pStyle w:val="Normal"/>
        <w:jc w:val="left"/>
        <w:rPr>
          <w:rFonts w:ascii="CMR10" w:hAnsi="CMR10" w:eastAsia="CMR10" w:cs="CMR10"/>
          <w:sz w:val="20"/>
          <w:szCs w:val="20"/>
        </w:rPr>
      </w:pPr>
      <w:r>
        <w:rPr>
          <w:rFonts w:eastAsia="CMR10" w:cs="CMR10" w:ascii="CMR10" w:hAnsi="CMR10"/>
          <w:sz w:val="20"/>
          <w:szCs w:val="20"/>
        </w:rPr>
        <w:t>the probability of successfully distinguishing two</w:t>
      </w:r>
    </w:p>
    <w:p>
      <w:pPr>
        <w:pStyle w:val="Normal"/>
        <w:jc w:val="left"/>
        <w:rPr>
          <w:rFonts w:ascii="CMR10" w:hAnsi="CMR10" w:eastAsia="CMR10" w:cs="CMR10"/>
          <w:sz w:val="20"/>
          <w:szCs w:val="20"/>
        </w:rPr>
      </w:pPr>
      <w:r>
        <w:rPr>
          <w:rFonts w:eastAsia="CMR10" w:cs="CMR10" w:ascii="CMR10" w:hAnsi="CMR10"/>
          <w:sz w:val="20"/>
          <w:szCs w:val="20"/>
        </w:rPr>
        <w:t>quantum states using optimal quantum measurements</w:t>
      </w:r>
    </w:p>
    <w:p>
      <w:pPr>
        <w:pStyle w:val="Normal"/>
        <w:jc w:val="left"/>
        <w:rPr>
          <w:rFonts w:ascii="CMR10" w:hAnsi="CMR10" w:eastAsia="CMR10" w:cs="CMR10"/>
          <w:sz w:val="20"/>
          <w:szCs w:val="20"/>
        </w:rPr>
      </w:pPr>
      <w:r>
        <w:rPr>
          <w:rFonts w:eastAsia="CMR10" w:cs="CMR10" w:ascii="CMR10" w:hAnsi="CMR10"/>
          <w:sz w:val="20"/>
          <w:szCs w:val="20"/>
        </w:rPr>
        <w:t>must be the same as that of distinguishing the two corresponding</w:t>
      </w:r>
    </w:p>
    <w:p>
      <w:pPr>
        <w:pStyle w:val="Normal"/>
        <w:jc w:val="left"/>
        <w:rPr>
          <w:rFonts w:ascii="CMR10" w:hAnsi="CMR10" w:eastAsia="CMR10" w:cs="CMR10"/>
          <w:sz w:val="20"/>
          <w:szCs w:val="20"/>
        </w:rPr>
      </w:pPr>
      <w:r>
        <w:rPr>
          <w:rFonts w:eastAsia="CMR10" w:cs="CMR10" w:ascii="CMR10" w:hAnsi="CMR10"/>
          <w:sz w:val="20"/>
          <w:szCs w:val="20"/>
        </w:rPr>
        <w:t>epistemic states, given access to the ontic</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t>states. (p. 2)</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r>
    </w:p>
    <w:p>
      <w:pPr>
        <w:pStyle w:val="Normal"/>
        <w:jc w:val="left"/>
        <w:rPr>
          <w:rFonts w:ascii="CMR10" w:hAnsi="CMR10" w:eastAsia="CMR10" w:cs="CMR10"/>
          <w:sz w:val="20"/>
          <w:szCs w:val="20"/>
        </w:rPr>
      </w:pPr>
      <w:r>
        <w:rPr>
          <w:rFonts w:eastAsia="CMR10" w:cs="CMR10" w:ascii="CMR10" w:hAnsi="CMR10"/>
          <w:sz w:val="20"/>
          <w:szCs w:val="20"/>
        </w:rPr>
        <w:t>Crucially, our theoretical derivation and conclusions do</w:t>
      </w:r>
    </w:p>
    <w:p>
      <w:pPr>
        <w:pStyle w:val="Normal"/>
        <w:jc w:val="left"/>
        <w:rPr>
          <w:rFonts w:ascii="CMR10" w:hAnsi="CMR10" w:eastAsia="CMR10" w:cs="CMR10"/>
          <w:sz w:val="20"/>
          <w:szCs w:val="20"/>
        </w:rPr>
      </w:pPr>
      <w:r>
        <w:rPr>
          <w:rFonts w:eastAsia="CMR10" w:cs="CMR10" w:ascii="CMR10" w:hAnsi="CMR10"/>
          <w:sz w:val="20"/>
          <w:szCs w:val="20"/>
        </w:rPr>
        <w:t>not require any assumptions beyond the ontological models</w:t>
      </w:r>
    </w:p>
    <w:p>
      <w:pPr>
        <w:pStyle w:val="Normal"/>
        <w:jc w:val="left"/>
        <w:rPr>
          <w:rFonts w:ascii="CMR10" w:hAnsi="CMR10" w:eastAsia="CMR10" w:cs="CMR10"/>
          <w:sz w:val="20"/>
          <w:szCs w:val="20"/>
        </w:rPr>
      </w:pPr>
      <w:r>
        <w:rPr>
          <w:rFonts w:eastAsia="CMR10" w:cs="CMR10" w:ascii="CMR10" w:hAnsi="CMR10"/>
          <w:sz w:val="20"/>
          <w:szCs w:val="20"/>
        </w:rPr>
        <w:t>framework|such as preparation independence[11,</w:t>
      </w:r>
    </w:p>
    <w:p>
      <w:pPr>
        <w:pStyle w:val="Normal"/>
        <w:jc w:val="left"/>
        <w:rPr>
          <w:rFonts w:ascii="CMR10" w:hAnsi="CMR10" w:eastAsia="CMR10" w:cs="CMR10"/>
          <w:sz w:val="20"/>
          <w:szCs w:val="20"/>
        </w:rPr>
      </w:pPr>
      <w:r>
        <w:rPr>
          <w:rFonts w:eastAsia="CMR10" w:cs="CMR10" w:ascii="CMR10" w:hAnsi="CMR10"/>
          <w:sz w:val="20"/>
          <w:szCs w:val="20"/>
        </w:rPr>
        <w:t>22], symmetry[15] or continuity[13, 14, 24]|allowing us</w:t>
      </w:r>
    </w:p>
    <w:p>
      <w:pPr>
        <w:pStyle w:val="Normal"/>
        <w:jc w:val="left"/>
        <w:rPr/>
      </w:pPr>
      <w:r>
        <w:rPr>
          <w:rFonts w:eastAsia="CMR10" w:cs="CMR10" w:ascii="CMR10" w:hAnsi="CMR10"/>
          <w:sz w:val="20"/>
          <w:szCs w:val="20"/>
        </w:rPr>
        <w:t xml:space="preserve">in particular to rule out a strictly larger class of </w:t>
      </w:r>
      <w:r>
        <w:rPr>
          <w:rFonts w:eastAsia="CMMI10" w:cs="CMMI10" w:ascii="CMMI10" w:hAnsi="CMMI10"/>
          <w:sz w:val="20"/>
          <w:szCs w:val="20"/>
        </w:rPr>
        <w:t xml:space="preserve"> </w:t>
      </w:r>
      <w:r>
        <w:rPr>
          <w:rFonts w:eastAsia="CMR10" w:cs="CMR10" w:ascii="CMR10" w:hAnsi="CMR10"/>
          <w:sz w:val="20"/>
          <w:szCs w:val="20"/>
        </w:rPr>
        <w:t>-</w:t>
      </w:r>
    </w:p>
    <w:p>
      <w:pPr>
        <w:pStyle w:val="Normal"/>
        <w:jc w:val="left"/>
        <w:rPr>
          <w:rFonts w:ascii="CMR10" w:hAnsi="CMR10" w:eastAsia="CMR10" w:cs="CMR10"/>
          <w:sz w:val="20"/>
          <w:szCs w:val="20"/>
        </w:rPr>
      </w:pPr>
      <w:r>
        <w:rPr>
          <w:rFonts w:eastAsia="CMR10" w:cs="CMR10" w:ascii="CMR10" w:hAnsi="CMR10"/>
          <w:sz w:val="20"/>
          <w:szCs w:val="20"/>
        </w:rPr>
        <w:t>epistemic models than the experiment of Ref. [22]. We</w:t>
      </w:r>
    </w:p>
    <w:p>
      <w:pPr>
        <w:pStyle w:val="Normal"/>
        <w:jc w:val="left"/>
        <w:rPr>
          <w:rFonts w:ascii="CMR10" w:hAnsi="CMR10" w:eastAsia="CMR10" w:cs="CMR10"/>
          <w:sz w:val="20"/>
          <w:szCs w:val="20"/>
        </w:rPr>
      </w:pPr>
      <w:r>
        <w:rPr>
          <w:rFonts w:eastAsia="CMR10" w:cs="CMR10" w:ascii="CMR10" w:hAnsi="CMR10"/>
          <w:sz w:val="20"/>
          <w:szCs w:val="20"/>
        </w:rPr>
        <w:t>do, however, rely on fair-sampling[10, 25]|the physically</w:t>
      </w:r>
    </w:p>
    <w:p>
      <w:pPr>
        <w:pStyle w:val="Normal"/>
        <w:jc w:val="left"/>
        <w:rPr>
          <w:rFonts w:ascii="CMR10" w:hAnsi="CMR10" w:eastAsia="CMR10" w:cs="CMR10"/>
          <w:sz w:val="20"/>
          <w:szCs w:val="20"/>
        </w:rPr>
      </w:pPr>
      <w:r>
        <w:rPr>
          <w:rFonts w:eastAsia="CMR10" w:cs="CMR10" w:ascii="CMR10" w:hAnsi="CMR10"/>
          <w:sz w:val="20"/>
          <w:szCs w:val="20"/>
        </w:rPr>
        <w:t>reasonable assumption that the detected events are a</w:t>
      </w:r>
    </w:p>
    <w:p>
      <w:pPr>
        <w:pStyle w:val="Normal"/>
        <w:jc w:val="left"/>
        <w:rPr>
          <w:rFonts w:ascii="CMR10" w:hAnsi="CMR10" w:eastAsia="CMR10" w:cs="CMR10"/>
          <w:sz w:val="20"/>
          <w:szCs w:val="20"/>
        </w:rPr>
      </w:pPr>
      <w:r>
        <w:rPr>
          <w:rFonts w:eastAsia="CMR10" w:cs="CMR10" w:ascii="CMR10" w:hAnsi="CMR10"/>
          <w:sz w:val="20"/>
          <w:szCs w:val="20"/>
        </w:rPr>
        <w:t>fair representation of the overall ensemble|to account</w:t>
      </w:r>
    </w:p>
    <w:p>
      <w:pPr>
        <w:pStyle w:val="Normal"/>
        <w:jc w:val="left"/>
        <w:rPr>
          <w:rFonts w:ascii="CMR10" w:hAnsi="CMR10" w:eastAsia="CMR10" w:cs="CMR10"/>
          <w:sz w:val="20"/>
          <w:szCs w:val="20"/>
        </w:rPr>
      </w:pPr>
      <w:r>
        <w:rPr>
          <w:rFonts w:eastAsia="CMR10" w:cs="CMR10" w:ascii="CMR10" w:hAnsi="CMR10"/>
          <w:sz w:val="20"/>
          <w:szCs w:val="20"/>
        </w:rPr>
        <w:t>for optical loss and ine_cient detection. In the Methods</w:t>
      </w:r>
    </w:p>
    <w:p>
      <w:pPr>
        <w:pStyle w:val="Normal"/>
        <w:jc w:val="left"/>
        <w:rPr>
          <w:rFonts w:ascii="CMR10" w:hAnsi="CMR10" w:eastAsia="CMR10" w:cs="CMR10"/>
          <w:sz w:val="20"/>
          <w:szCs w:val="20"/>
        </w:rPr>
      </w:pPr>
      <w:r>
        <w:rPr>
          <w:rFonts w:eastAsia="CMR10" w:cs="CMR10" w:ascii="CMR10" w:hAnsi="CMR10"/>
          <w:sz w:val="20"/>
          <w:szCs w:val="20"/>
        </w:rPr>
        <w:t>we estimate that, with the states and measurements</w:t>
      </w:r>
    </w:p>
    <w:p>
      <w:pPr>
        <w:pStyle w:val="Normal"/>
        <w:jc w:val="left"/>
        <w:rPr>
          <w:rFonts w:ascii="CMR10" w:hAnsi="CMR10" w:eastAsia="CMR10" w:cs="CMR10"/>
          <w:sz w:val="20"/>
          <w:szCs w:val="20"/>
        </w:rPr>
      </w:pPr>
      <w:r>
        <w:rPr>
          <w:rFonts w:eastAsia="CMR10" w:cs="CMR10" w:ascii="CMR10" w:hAnsi="CMR10"/>
          <w:sz w:val="20"/>
          <w:szCs w:val="20"/>
        </w:rPr>
        <w:t>used in this work, an average detection e_ciency above</w:t>
      </w:r>
    </w:p>
    <w:p>
      <w:pPr>
        <w:pStyle w:val="Normal"/>
        <w:jc w:val="left"/>
        <w:rPr/>
      </w:pPr>
      <w:r>
        <w:rPr>
          <w:rFonts w:eastAsia="CMSY10" w:cs="CMSY10" w:ascii="CMSY10" w:hAnsi="CMSY10"/>
          <w:sz w:val="20"/>
          <w:szCs w:val="20"/>
        </w:rPr>
        <w:t xml:space="preserve">_ </w:t>
      </w:r>
      <w:r>
        <w:rPr>
          <w:rFonts w:eastAsia="CMR10" w:cs="CMR10" w:ascii="CMR10" w:hAnsi="CMR10"/>
          <w:sz w:val="20"/>
          <w:szCs w:val="20"/>
        </w:rPr>
        <w:t xml:space="preserve">98% would be required for ruling out maximally </w:t>
      </w:r>
      <w:r>
        <w:rPr>
          <w:rFonts w:eastAsia="CMMI10" w:cs="CMMI10" w:ascii="CMMI10" w:hAnsi="CMMI10"/>
          <w:sz w:val="20"/>
          <w:szCs w:val="20"/>
        </w:rPr>
        <w:t xml:space="preserve"> </w:t>
      </w:r>
      <w:r>
        <w:rPr>
          <w:rFonts w:eastAsia="CMR10" w:cs="CMR10" w:ascii="CMR10" w:hAnsi="CMR10"/>
          <w:sz w:val="20"/>
          <w:szCs w:val="20"/>
        </w:rPr>
        <w:t>-</w:t>
      </w:r>
    </w:p>
    <w:p>
      <w:pPr>
        <w:pStyle w:val="Normal"/>
        <w:jc w:val="left"/>
        <w:rPr>
          <w:rFonts w:ascii="CMR10" w:hAnsi="CMR10" w:eastAsia="CMR10" w:cs="CMR10"/>
          <w:sz w:val="20"/>
          <w:szCs w:val="20"/>
        </w:rPr>
      </w:pPr>
      <w:r>
        <w:rPr>
          <w:rFonts w:eastAsia="CMR10" w:cs="CMR10" w:ascii="CMR10" w:hAnsi="CMR10"/>
          <w:sz w:val="20"/>
          <w:szCs w:val="20"/>
        </w:rPr>
        <w:t>epistemic models without relying on fair-sampling. This</w:t>
      </w:r>
    </w:p>
    <w:p>
      <w:pPr>
        <w:pStyle w:val="Normal"/>
        <w:jc w:val="left"/>
        <w:rPr>
          <w:rFonts w:ascii="CMR10" w:hAnsi="CMR10" w:eastAsia="CMR10" w:cs="CMR10"/>
          <w:sz w:val="20"/>
          <w:szCs w:val="20"/>
        </w:rPr>
      </w:pPr>
      <w:r>
        <w:rPr>
          <w:rFonts w:eastAsia="CMR10" w:cs="CMR10" w:ascii="CMR10" w:hAnsi="CMR10"/>
          <w:sz w:val="20"/>
          <w:szCs w:val="20"/>
        </w:rPr>
        <w:t>is well above the e_ciencies currently achieved in photonics,</w:t>
      </w:r>
    </w:p>
    <w:p>
      <w:pPr>
        <w:pStyle w:val="Normal"/>
        <w:jc w:val="left"/>
        <w:rPr>
          <w:rFonts w:ascii="CMR10" w:hAnsi="CMR10" w:eastAsia="CMR10" w:cs="CMR10"/>
          <w:sz w:val="20"/>
          <w:szCs w:val="20"/>
        </w:rPr>
      </w:pPr>
      <w:r>
        <w:rPr>
          <w:rFonts w:eastAsia="CMR10" w:cs="CMR10" w:ascii="CMR10" w:hAnsi="CMR10"/>
          <w:sz w:val="20"/>
          <w:szCs w:val="20"/>
        </w:rPr>
        <w:t>but might be achievable in other architectures such as</w:t>
      </w:r>
    </w:p>
    <w:p>
      <w:pPr>
        <w:pStyle w:val="Normal"/>
        <w:jc w:val="left"/>
        <w:rPr>
          <w:rFonts w:ascii="CMR10" w:hAnsi="CMR10" w:eastAsia="CMR10" w:cs="CMR10"/>
          <w:sz w:val="20"/>
          <w:szCs w:val="20"/>
        </w:rPr>
      </w:pPr>
      <w:r>
        <w:rPr>
          <w:rFonts w:eastAsia="CMR10" w:cs="CMR10" w:ascii="CMR10" w:hAnsi="CMR10"/>
          <w:sz w:val="20"/>
          <w:szCs w:val="20"/>
        </w:rPr>
        <w:t>trapped ions or superconductors, where however, precise</w:t>
      </w:r>
    </w:p>
    <w:p>
      <w:pPr>
        <w:pStyle w:val="Normal"/>
        <w:jc w:val="left"/>
        <w:rPr>
          <w:rFonts w:ascii="CMR10" w:hAnsi="CMR10" w:eastAsia="CMR10" w:cs="CMR10"/>
          <w:sz w:val="20"/>
          <w:szCs w:val="20"/>
        </w:rPr>
      </w:pPr>
      <w:r>
        <w:rPr>
          <w:rFonts w:eastAsia="CMR10" w:cs="CMR10" w:ascii="CMR10" w:hAnsi="CMR10"/>
          <w:sz w:val="20"/>
          <w:szCs w:val="20"/>
        </w:rPr>
        <w:t>control of qudits is yet to be demonstrated.</w:t>
      </w:r>
    </w:p>
    <w:p>
      <w:pPr>
        <w:pStyle w:val="Normal"/>
        <w:jc w:val="left"/>
        <w:rPr>
          <w:rFonts w:ascii="CMR10" w:hAnsi="CMR10" w:eastAsia="CMR10" w:cs="CMR10"/>
          <w:sz w:val="20"/>
          <w:szCs w:val="20"/>
        </w:rPr>
      </w:pPr>
      <w:r>
        <w:rPr>
          <w:rFonts w:eastAsia="CMR10" w:cs="CMR10" w:ascii="CMR10" w:hAnsi="CMR10"/>
          <w:sz w:val="20"/>
          <w:szCs w:val="20"/>
        </w:rPr>
        <w:t>Recall that the ontological model framework covers all</w:t>
      </w:r>
    </w:p>
    <w:p>
      <w:pPr>
        <w:pStyle w:val="Normal"/>
        <w:jc w:val="left"/>
        <w:rPr>
          <w:rFonts w:ascii="CMR10" w:hAnsi="CMR10" w:eastAsia="CMR10" w:cs="CMR10"/>
          <w:sz w:val="20"/>
          <w:szCs w:val="20"/>
        </w:rPr>
      </w:pPr>
      <w:r>
        <w:rPr>
          <w:rFonts w:eastAsia="CMR10" w:cs="CMR10" w:ascii="CMR10" w:hAnsi="CMR10"/>
          <w:sz w:val="20"/>
          <w:szCs w:val="20"/>
        </w:rPr>
        <w:t>interpretations of the quantum wavefunction in which there is an observer-independent, objective reality underlying</w:t>
      </w:r>
    </w:p>
    <w:p>
      <w:pPr>
        <w:pStyle w:val="Normal"/>
        <w:jc w:val="left"/>
        <w:rPr>
          <w:rFonts w:ascii="CMR10" w:hAnsi="CMR10" w:eastAsia="CMR10" w:cs="CMR10"/>
          <w:sz w:val="20"/>
          <w:szCs w:val="20"/>
        </w:rPr>
      </w:pPr>
      <w:r>
        <w:rPr>
          <w:rFonts w:eastAsia="CMR10" w:cs="CMR10" w:ascii="CMR10" w:hAnsi="CMR10"/>
          <w:sz w:val="20"/>
          <w:szCs w:val="20"/>
        </w:rPr>
        <w:t>quantum mechanics. Within these realist interpretations</w:t>
      </w:r>
    </w:p>
    <w:p>
      <w:pPr>
        <w:pStyle w:val="Normal"/>
        <w:jc w:val="left"/>
        <w:rPr>
          <w:rFonts w:ascii="CMR10" w:hAnsi="CMR10" w:eastAsia="CMR10" w:cs="CMR10"/>
          <w:sz w:val="20"/>
          <w:szCs w:val="20"/>
        </w:rPr>
      </w:pPr>
      <w:r>
        <w:rPr>
          <w:rFonts w:eastAsia="CMR10" w:cs="CMR10" w:ascii="CMR10" w:hAnsi="CMR10"/>
          <w:sz w:val="20"/>
          <w:szCs w:val="20"/>
        </w:rPr>
        <w:t>our results conclusively rule out the most</w:t>
      </w:r>
    </w:p>
    <w:p>
      <w:pPr>
        <w:pStyle w:val="Normal"/>
        <w:jc w:val="left"/>
        <w:rPr/>
      </w:pPr>
      <w:r>
        <w:rPr>
          <w:rFonts w:eastAsia="CMR10" w:cs="CMR10" w:ascii="CMR10" w:hAnsi="CMR10"/>
          <w:sz w:val="20"/>
          <w:szCs w:val="20"/>
        </w:rPr>
        <w:t xml:space="preserve">compelling </w:t>
      </w:r>
      <w:r>
        <w:rPr>
          <w:rFonts w:eastAsia="CMMI10" w:cs="CMMI10" w:ascii="CMMI10" w:hAnsi="CMMI10"/>
          <w:sz w:val="20"/>
          <w:szCs w:val="20"/>
        </w:rPr>
        <w:t xml:space="preserve"> </w:t>
      </w:r>
      <w:r>
        <w:rPr>
          <w:rFonts w:eastAsia="CMR10" w:cs="CMR10" w:ascii="CMR10" w:hAnsi="CMR10"/>
          <w:sz w:val="20"/>
          <w:szCs w:val="20"/>
        </w:rPr>
        <w:t>-epistemic models, namely those that fully</w:t>
      </w:r>
    </w:p>
    <w:p>
      <w:pPr>
        <w:pStyle w:val="Normal"/>
        <w:jc w:val="left"/>
        <w:rPr>
          <w:rFonts w:ascii="CMR10" w:hAnsi="CMR10" w:eastAsia="CMR10" w:cs="CMR10"/>
          <w:sz w:val="20"/>
          <w:szCs w:val="20"/>
        </w:rPr>
      </w:pPr>
      <w:r>
        <w:rPr>
          <w:rFonts w:eastAsia="CMR10" w:cs="CMR10" w:ascii="CMR10" w:hAnsi="CMR10"/>
          <w:sz w:val="20"/>
          <w:szCs w:val="20"/>
        </w:rPr>
        <w:t>explain quantum indistinguishability. They further exclude</w:t>
      </w:r>
    </w:p>
    <w:p>
      <w:pPr>
        <w:pStyle w:val="Normal"/>
        <w:jc w:val="left"/>
        <w:rPr>
          <w:rFonts w:ascii="CMR10" w:hAnsi="CMR10" w:eastAsia="CMR10" w:cs="CMR10"/>
          <w:sz w:val="20"/>
          <w:szCs w:val="20"/>
        </w:rPr>
      </w:pPr>
      <w:r>
        <w:rPr>
          <w:rFonts w:eastAsia="CMR10" w:cs="CMR10" w:ascii="CMR10" w:hAnsi="CMR10"/>
          <w:sz w:val="20"/>
          <w:szCs w:val="20"/>
        </w:rPr>
        <w:t>a large class of non-maximal models, characterised</w:t>
      </w:r>
    </w:p>
    <w:p>
      <w:pPr>
        <w:pStyle w:val="Normal"/>
        <w:jc w:val="left"/>
        <w:rPr>
          <w:rFonts w:ascii="CMR10" w:hAnsi="CMR10" w:eastAsia="CMR10" w:cs="CMR10"/>
          <w:sz w:val="20"/>
          <w:szCs w:val="20"/>
        </w:rPr>
      </w:pPr>
      <w:r>
        <w:rPr>
          <w:rFonts w:eastAsia="CMR10" w:cs="CMR10" w:ascii="CMR10" w:hAnsi="CMR10"/>
          <w:sz w:val="20"/>
          <w:szCs w:val="20"/>
        </w:rPr>
        <w:t>by a minimal ratio of classical-to-quantum overlap larger</w:t>
      </w:r>
    </w:p>
    <w:p>
      <w:pPr>
        <w:pStyle w:val="Normal"/>
        <w:jc w:val="left"/>
        <w:rPr/>
      </w:pPr>
      <w:r>
        <w:rPr>
          <w:rFonts w:eastAsia="CMR10" w:cs="CMR10" w:ascii="CMR10" w:hAnsi="CMR10"/>
          <w:sz w:val="20"/>
          <w:szCs w:val="20"/>
        </w:rPr>
        <w:t xml:space="preserve">than </w:t>
      </w:r>
      <w:r>
        <w:rPr>
          <w:rFonts w:eastAsia="CMMI10" w:cs="CMMI10" w:ascii="CMMI10" w:hAnsi="CMMI10"/>
          <w:sz w:val="20"/>
          <w:szCs w:val="20"/>
        </w:rPr>
        <w:t>_</w:t>
      </w:r>
      <w:r>
        <w:rPr>
          <w:rFonts w:eastAsia="CMR10" w:cs="CMR7" w:ascii="CMR7" w:hAnsi="CMR7"/>
          <w:sz w:val="14"/>
          <w:szCs w:val="14"/>
        </w:rPr>
        <w:t>0</w:t>
      </w:r>
      <w:r>
        <w:rPr>
          <w:rFonts w:eastAsia="CMR10" w:cs="CMR10" w:ascii="CMR10" w:hAnsi="CMR10"/>
          <w:sz w:val="20"/>
          <w:szCs w:val="20"/>
        </w:rPr>
        <w:t>=0</w:t>
      </w:r>
      <w:r>
        <w:rPr>
          <w:rFonts w:eastAsia="CMMI10" w:cs="CMMI10" w:ascii="CMMI10" w:hAnsi="CMMI10"/>
          <w:sz w:val="20"/>
          <w:szCs w:val="20"/>
        </w:rPr>
        <w:t>:</w:t>
      </w:r>
      <w:r>
        <w:rPr>
          <w:rFonts w:eastAsia="CMR10" w:cs="CMR10" w:ascii="CMR10" w:hAnsi="CMR10"/>
          <w:sz w:val="20"/>
          <w:szCs w:val="20"/>
        </w:rPr>
        <w:t xml:space="preserve">690 </w:t>
      </w:r>
      <w:r>
        <w:rPr>
          <w:rFonts w:eastAsia="CMSY10" w:cs="CMSY10" w:ascii="CMSY10" w:hAnsi="CMSY10"/>
          <w:sz w:val="20"/>
          <w:szCs w:val="20"/>
        </w:rPr>
        <w:t xml:space="preserve">_ </w:t>
      </w:r>
      <w:r>
        <w:rPr>
          <w:rFonts w:eastAsia="CMR10" w:cs="CMR10" w:ascii="CMR10" w:hAnsi="CMR10"/>
          <w:sz w:val="20"/>
          <w:szCs w:val="20"/>
        </w:rPr>
        <w:t>0</w:t>
      </w:r>
      <w:r>
        <w:rPr>
          <w:rFonts w:eastAsia="CMMI10" w:cs="CMMI10" w:ascii="CMMI10" w:hAnsi="CMMI10"/>
          <w:sz w:val="20"/>
          <w:szCs w:val="20"/>
        </w:rPr>
        <w:t>:</w:t>
      </w:r>
      <w:r>
        <w:rPr>
          <w:rFonts w:eastAsia="CMR10" w:cs="CMR10" w:ascii="CMR10" w:hAnsi="CMR10"/>
          <w:sz w:val="20"/>
          <w:szCs w:val="20"/>
        </w:rPr>
        <w:t>001 for the states we used. Further</w:t>
      </w:r>
    </w:p>
    <w:p>
      <w:pPr>
        <w:pStyle w:val="Normal"/>
        <w:jc w:val="left"/>
        <w:rPr>
          <w:rFonts w:ascii="CMR10" w:hAnsi="CMR10" w:eastAsia="CMR10" w:cs="CMR10"/>
          <w:sz w:val="20"/>
          <w:szCs w:val="20"/>
        </w:rPr>
      </w:pPr>
      <w:r>
        <w:rPr>
          <w:rFonts w:eastAsia="CMR10" w:cs="CMR10" w:ascii="CMR10" w:hAnsi="CMR10"/>
          <w:sz w:val="20"/>
          <w:szCs w:val="20"/>
        </w:rPr>
        <w:t>improvements in measurement precision will allow us to</w:t>
      </w:r>
    </w:p>
    <w:p>
      <w:pPr>
        <w:pStyle w:val="Normal"/>
        <w:jc w:val="left"/>
        <w:rPr/>
      </w:pPr>
      <w:r>
        <w:rPr>
          <w:rFonts w:eastAsia="CMR10" w:cs="CMR10" w:ascii="CMR10" w:hAnsi="CMR10"/>
          <w:sz w:val="20"/>
          <w:szCs w:val="20"/>
        </w:rPr>
        <w:t xml:space="preserve">impose even lower bounds on </w:t>
      </w:r>
      <w:r>
        <w:rPr>
          <w:rFonts w:eastAsia="CMMI10" w:cs="CMMI10" w:ascii="CMMI10" w:hAnsi="CMMI10"/>
          <w:sz w:val="20"/>
          <w:szCs w:val="20"/>
        </w:rPr>
        <w:t xml:space="preserve"> </w:t>
      </w:r>
      <w:r>
        <w:rPr>
          <w:rFonts w:eastAsia="CMR10" w:cs="CMR10" w:ascii="CMR10" w:hAnsi="CMR10"/>
          <w:sz w:val="20"/>
          <w:szCs w:val="20"/>
        </w:rPr>
        <w:t>-epistemic theories, rendering</w:t>
      </w:r>
    </w:p>
    <w:p>
      <w:pPr>
        <w:pStyle w:val="Normal"/>
        <w:jc w:val="left"/>
        <w:rPr>
          <w:rFonts w:ascii="CMR10" w:hAnsi="CMR10" w:eastAsia="CMR10" w:cs="CMR10"/>
          <w:sz w:val="20"/>
          <w:szCs w:val="20"/>
        </w:rPr>
      </w:pPr>
      <w:r>
        <w:rPr>
          <w:rFonts w:eastAsia="CMR10" w:cs="CMR10" w:ascii="CMR10" w:hAnsi="CMR10"/>
          <w:sz w:val="20"/>
          <w:szCs w:val="20"/>
        </w:rPr>
        <w:t>them increasingly implausible. This suggests that,</w:t>
      </w:r>
    </w:p>
    <w:p>
      <w:pPr>
        <w:pStyle w:val="Normal"/>
        <w:jc w:val="left"/>
        <w:rPr>
          <w:rFonts w:ascii="CMR10" w:hAnsi="CMR10" w:eastAsia="CMR10" w:cs="CMR10"/>
          <w:sz w:val="20"/>
          <w:szCs w:val="20"/>
        </w:rPr>
      </w:pPr>
      <w:r>
        <w:rPr>
          <w:rFonts w:eastAsia="CMR10" w:cs="CMR10" w:ascii="CMR10" w:hAnsi="CMR10"/>
          <w:sz w:val="20"/>
          <w:szCs w:val="20"/>
        </w:rPr>
        <w:t>if we want to hold on to objective reality, we should adopt</w:t>
      </w:r>
    </w:p>
    <w:p>
      <w:pPr>
        <w:pStyle w:val="Normal"/>
        <w:jc w:val="left"/>
        <w:rPr/>
      </w:pPr>
      <w:r>
        <w:rPr>
          <w:rFonts w:eastAsia="CMR10" w:cs="CMR10" w:ascii="CMR10" w:hAnsi="CMR10"/>
          <w:sz w:val="20"/>
          <w:szCs w:val="20"/>
        </w:rPr>
        <w:t xml:space="preserve">the </w:t>
      </w:r>
      <w:r>
        <w:rPr>
          <w:rFonts w:eastAsia="CMMI10" w:cs="CMMI10" w:ascii="CMMI10" w:hAnsi="CMMI10"/>
          <w:sz w:val="20"/>
          <w:szCs w:val="20"/>
        </w:rPr>
        <w:t xml:space="preserve"> </w:t>
      </w:r>
      <w:r>
        <w:rPr>
          <w:rFonts w:eastAsia="CMR10" w:cs="CMR10" w:ascii="CMR10" w:hAnsi="CMR10"/>
          <w:sz w:val="20"/>
          <w:szCs w:val="20"/>
        </w:rPr>
        <w:t>-ontic viewpoint|which assigns objective reality to</w:t>
      </w:r>
    </w:p>
    <w:p>
      <w:pPr>
        <w:pStyle w:val="Normal"/>
        <w:jc w:val="left"/>
        <w:rPr>
          <w:rFonts w:ascii="CMR10" w:hAnsi="CMR10" w:eastAsia="CMR10" w:cs="CMR10"/>
          <w:sz w:val="20"/>
          <w:szCs w:val="20"/>
        </w:rPr>
      </w:pPr>
      <w:r>
        <w:rPr>
          <w:rFonts w:eastAsia="CMR10" w:cs="CMR10" w:ascii="CMR10" w:hAnsi="CMR10"/>
          <w:sz w:val="20"/>
          <w:szCs w:val="20"/>
        </w:rPr>
        <w:t>the wavefunction, but has some intriguing implications</w:t>
      </w:r>
    </w:p>
    <w:p>
      <w:pPr>
        <w:pStyle w:val="Normal"/>
        <w:jc w:val="left"/>
        <w:rPr>
          <w:rFonts w:ascii="CMR10" w:hAnsi="CMR10" w:eastAsia="CMR10" w:cs="CMR10"/>
          <w:sz w:val="20"/>
          <w:szCs w:val="20"/>
        </w:rPr>
      </w:pPr>
      <w:r>
        <w:rPr>
          <w:rFonts w:eastAsia="CMR10" w:cs="CMR10" w:ascii="CMR10" w:hAnsi="CMR10"/>
          <w:sz w:val="20"/>
          <w:szCs w:val="20"/>
        </w:rPr>
        <w:t>such as non-locality or many worlds[28].</w:t>
      </w:r>
    </w:p>
    <w:p>
      <w:pPr>
        <w:pStyle w:val="Normal"/>
        <w:jc w:val="left"/>
        <w:rPr>
          <w:rFonts w:ascii="CMR10" w:hAnsi="CMR10" w:eastAsia="CMR10" w:cs="CMR10"/>
          <w:sz w:val="20"/>
          <w:szCs w:val="20"/>
        </w:rPr>
      </w:pPr>
      <w:r>
        <w:rPr>
          <w:rFonts w:eastAsia="CMR10" w:cs="CMR10" w:ascii="CMR10" w:hAnsi="CMR10"/>
          <w:sz w:val="20"/>
          <w:szCs w:val="20"/>
        </w:rPr>
        <w:t>Alternatively, we may have to consider interpretations</w:t>
      </w:r>
    </w:p>
    <w:p>
      <w:pPr>
        <w:pStyle w:val="Normal"/>
        <w:jc w:val="left"/>
        <w:rPr>
          <w:rFonts w:ascii="CMR10" w:hAnsi="CMR10" w:eastAsia="CMR10" w:cs="CMR10"/>
          <w:sz w:val="20"/>
          <w:szCs w:val="20"/>
        </w:rPr>
      </w:pPr>
      <w:r>
        <w:rPr>
          <w:rFonts w:eastAsia="CMR10" w:cs="CMR10" w:ascii="CMR10" w:hAnsi="CMR10"/>
          <w:sz w:val="20"/>
          <w:szCs w:val="20"/>
        </w:rPr>
        <w:t>outside the scope of the ontological model framework, by</w:t>
      </w:r>
    </w:p>
    <w:p>
      <w:pPr>
        <w:pStyle w:val="Normal"/>
        <w:jc w:val="left"/>
        <w:rPr>
          <w:rFonts w:ascii="CMR10" w:hAnsi="CMR10" w:eastAsia="CMR10" w:cs="CMR10"/>
          <w:sz w:val="20"/>
          <w:szCs w:val="20"/>
        </w:rPr>
      </w:pPr>
      <w:r>
        <w:rPr>
          <w:rFonts w:eastAsia="CMR10" w:cs="CMR10" w:ascii="CMR10" w:hAnsi="CMR10"/>
          <w:sz w:val="20"/>
          <w:szCs w:val="20"/>
        </w:rPr>
        <w:t>allowing for instance retro-causality|so that the epistemic</w:t>
      </w:r>
    </w:p>
    <w:p>
      <w:pPr>
        <w:pStyle w:val="Normal"/>
        <w:jc w:val="left"/>
        <w:rPr>
          <w:rFonts w:ascii="CMR10" w:hAnsi="CMR10" w:eastAsia="CMR10" w:cs="CMR10"/>
          <w:sz w:val="20"/>
          <w:szCs w:val="20"/>
        </w:rPr>
      </w:pPr>
      <w:r>
        <w:rPr>
          <w:rFonts w:eastAsia="CMR10" w:cs="CMR10" w:ascii="CMR10" w:hAnsi="CMR10"/>
          <w:sz w:val="20"/>
          <w:szCs w:val="20"/>
        </w:rPr>
        <w:t>states could depend on the measurement they are</w:t>
      </w:r>
    </w:p>
    <w:p>
      <w:pPr>
        <w:pStyle w:val="Normal"/>
        <w:jc w:val="left"/>
        <w:rPr>
          <w:rFonts w:ascii="CMR10" w:hAnsi="CMR10" w:eastAsia="CMR10" w:cs="CMR10"/>
          <w:sz w:val="20"/>
          <w:szCs w:val="20"/>
        </w:rPr>
      </w:pPr>
      <w:r>
        <w:rPr>
          <w:rFonts w:eastAsia="CMR10" w:cs="CMR10" w:ascii="CMR10" w:hAnsi="CMR10"/>
          <w:sz w:val="20"/>
          <w:szCs w:val="20"/>
        </w:rPr>
        <w:t>subjected to|or completely abandoning any notion of</w:t>
      </w:r>
    </w:p>
    <w:p>
      <w:pPr>
        <w:pStyle w:val="Normal"/>
        <w:jc w:val="left"/>
        <w:rPr>
          <w:rFonts w:ascii="CMR10" w:hAnsi="CMR10" w:eastAsia="CMR10" w:cs="CMR10"/>
          <w:sz w:val="20"/>
          <w:szCs w:val="20"/>
        </w:rPr>
      </w:pPr>
      <w:r>
        <w:rPr>
          <w:rFonts w:eastAsia="CMR10" w:cs="CMR10" w:ascii="CMR10" w:hAnsi="CMR10"/>
          <w:sz w:val="20"/>
          <w:szCs w:val="20"/>
        </w:rPr>
        <w:t>observer-independent reality. This latter approach is</w:t>
      </w:r>
    </w:p>
    <w:p>
      <w:pPr>
        <w:pStyle w:val="Normal"/>
        <w:jc w:val="left"/>
        <w:rPr>
          <w:rFonts w:ascii="CMR10" w:hAnsi="CMR10" w:eastAsia="CMR10" w:cs="CMR10"/>
          <w:sz w:val="20"/>
          <w:szCs w:val="20"/>
        </w:rPr>
      </w:pPr>
      <w:r>
        <w:rPr>
          <w:rFonts w:eastAsia="CMR10" w:cs="CMR10" w:ascii="CMR10" w:hAnsi="CMR10"/>
          <w:sz w:val="20"/>
          <w:szCs w:val="20"/>
        </w:rPr>
        <w:t>favoured by interpretations such as QBism[2{4], which</w:t>
      </w:r>
    </w:p>
    <w:p>
      <w:pPr>
        <w:pStyle w:val="Normal"/>
        <w:jc w:val="left"/>
        <w:rPr>
          <w:rFonts w:ascii="CMR10" w:hAnsi="CMR10" w:eastAsia="CMR10" w:cs="CMR10"/>
          <w:sz w:val="20"/>
          <w:szCs w:val="20"/>
        </w:rPr>
      </w:pPr>
      <w:r>
        <w:rPr>
          <w:rFonts w:eastAsia="CMR10" w:cs="CMR10" w:ascii="CMR10" w:hAnsi="CMR10"/>
          <w:sz w:val="20"/>
          <w:szCs w:val="20"/>
        </w:rPr>
        <w:t>follows Bohr's position as opposed to Einstein's. Our</w:t>
      </w:r>
    </w:p>
    <w:p>
      <w:pPr>
        <w:pStyle w:val="Normal"/>
        <w:jc w:val="left"/>
        <w:rPr>
          <w:rFonts w:ascii="CMR10" w:hAnsi="CMR10" w:eastAsia="CMR10" w:cs="CMR10"/>
          <w:sz w:val="20"/>
          <w:szCs w:val="20"/>
        </w:rPr>
      </w:pPr>
      <w:r>
        <w:rPr>
          <w:rFonts w:eastAsia="CMR10" w:cs="CMR10" w:ascii="CMR10" w:hAnsi="CMR10"/>
          <w:sz w:val="20"/>
          <w:szCs w:val="20"/>
        </w:rPr>
        <w:t>work thus puts strong limitations, beyond those imposed</w:t>
      </w:r>
    </w:p>
    <w:p>
      <w:pPr>
        <w:pStyle w:val="Normal"/>
        <w:jc w:val="left"/>
        <w:rPr>
          <w:rFonts w:ascii="CMR10" w:hAnsi="CMR10" w:eastAsia="CMR10" w:cs="CMR10"/>
          <w:sz w:val="20"/>
          <w:szCs w:val="20"/>
        </w:rPr>
      </w:pPr>
      <w:r>
        <w:rPr>
          <w:rFonts w:eastAsia="CMR10" w:cs="CMR10" w:ascii="CMR10" w:hAnsi="CMR10"/>
          <w:sz w:val="20"/>
          <w:szCs w:val="20"/>
        </w:rPr>
        <w:t>by Bell's theorem, on possible realist interpretations of</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t xml:space="preserve">quantum theory. (pp. 4-5) </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r>
    </w:p>
    <w:p>
      <w:pPr>
        <w:pStyle w:val="Normal"/>
        <w:spacing w:before="0" w:after="0"/>
        <w:contextualSpacing/>
        <w:jc w:val="left"/>
        <w:rPr>
          <w:rFonts w:ascii="CMR10" w:hAnsi="CMR10" w:eastAsia="CMR10" w:cs="CMR10"/>
          <w:color w:val="FF0000"/>
          <w:sz w:val="20"/>
          <w:szCs w:val="20"/>
        </w:rPr>
      </w:pPr>
      <w:r>
        <w:rPr>
          <w:rFonts w:eastAsia="CMR10" w:cs="CMR10" w:ascii="CMR10" w:hAnsi="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pStyle w:val="Normal"/>
        <w:spacing w:before="0" w:after="0"/>
        <w:contextualSpacing/>
        <w:jc w:val="left"/>
        <w:rPr>
          <w:rFonts w:ascii="CMR10" w:hAnsi="CMR10" w:eastAsia="CMR10" w:cs="CMR10"/>
          <w:color w:val="FF0000"/>
          <w:sz w:val="20"/>
          <w:szCs w:val="20"/>
        </w:rPr>
      </w:pPr>
      <w:r>
        <w:rPr>
          <w:rFonts w:eastAsia="CMR10" w:cs="CMR10" w:ascii="CMR10" w:hAnsi="CMR10"/>
          <w:color w:val="FF0000"/>
          <w:sz w:val="20"/>
          <w:szCs w:val="20"/>
        </w:rPr>
      </w:r>
    </w:p>
    <w:p>
      <w:pPr>
        <w:pStyle w:val="Normal"/>
        <w:spacing w:before="0" w:after="0"/>
        <w:contextualSpacing/>
        <w:jc w:val="left"/>
        <w:rPr>
          <w:rFonts w:ascii="CMR10" w:hAnsi="CMR10" w:eastAsia="CMR10" w:cs="CMR10"/>
          <w:color w:val="FF0000"/>
          <w:sz w:val="20"/>
          <w:szCs w:val="20"/>
        </w:rPr>
      </w:pPr>
      <w:r>
        <w:rPr>
          <w:rFonts w:eastAsia="CMR10" w:cs="CMR10" w:ascii="CMR10" w:hAnsi="CMR10"/>
          <w:color w:val="FF0000"/>
          <w:sz w:val="20"/>
          <w:szCs w:val="20"/>
        </w:rPr>
        <w:t>About this article see here some comments</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Heading1"/>
        <w:spacing w:lineRule="atLeast" w:line="630" w:before="0" w:after="0"/>
        <w:rPr>
          <w:rFonts w:ascii="Arial" w:hAnsi="Arial" w:cs="Arial"/>
          <w:color w:val="901A0B"/>
          <w:sz w:val="24"/>
          <w:szCs w:val="24"/>
        </w:rPr>
      </w:pPr>
      <w:r>
        <w:rPr>
          <w:rFonts w:cs="Arial" w:ascii="Arial" w:hAnsi="Arial"/>
          <w:color w:val="901A0B"/>
          <w:sz w:val="24"/>
          <w:szCs w:val="24"/>
        </w:rPr>
        <w:t>The Reality of Quantum Weirdness</w:t>
      </w:r>
    </w:p>
    <w:p>
      <w:pPr>
        <w:pStyle w:val="Normal"/>
        <w:numPr>
          <w:ilvl w:val="0"/>
          <w:numId w:val="35"/>
        </w:numPr>
        <w:shd w:val="clear" w:fill="FFFFFF"/>
        <w:spacing w:lineRule="atLeast" w:line="300"/>
        <w:ind w:left="0" w:right="0" w:hanging="0"/>
        <w:jc w:val="left"/>
        <w:rPr/>
      </w:pPr>
      <w:r>
        <w:rPr>
          <w:rFonts w:cs="Arial" w:ascii="Arial" w:hAnsi="Arial"/>
          <w:color w:val="878686"/>
        </w:rPr>
        <w:t>by </w:t>
      </w:r>
      <w:hyperlink r:id="rId464">
        <w:r>
          <w:rPr>
            <w:rStyle w:val="InternetLink"/>
            <w:rFonts w:cs="Arial" w:ascii="Arial" w:hAnsi="Arial"/>
            <w:b/>
            <w:bCs/>
            <w:color w:val="FF6600"/>
          </w:rPr>
          <w:t>Edward Frenkel</w:t>
        </w:r>
      </w:hyperlink>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pPr>
      <w:r>
        <w:rPr>
          <w:rFonts w:cs="Arial" w:ascii="Arial" w:hAnsi="Arial"/>
          <w:color w:val="2C2C2E"/>
          <w:spacing w:val="15"/>
          <w:sz w:val="20"/>
          <w:szCs w:val="20"/>
          <w:highlight w:val="white"/>
        </w:rPr>
        <w:t>This month, </w:t>
      </w:r>
      <w:hyperlink r:id="rId465" w:tgtFrame="_blank">
        <w:r>
          <w:rPr>
            <w:rStyle w:val="InternetLink"/>
            <w:rFonts w:cs="Arial" w:ascii="Arial" w:hAnsi="Arial"/>
            <w:color w:val="326891"/>
            <w:spacing w:val="15"/>
            <w:sz w:val="20"/>
            <w:szCs w:val="20"/>
            <w:highlight w:val="white"/>
          </w:rPr>
          <w:t>a paper published online in the journal Nature Physics</w:t>
        </w:r>
      </w:hyperlink>
      <w:r>
        <w:rPr>
          <w:rFonts w:cs="Arial" w:ascii="Arial" w:hAnsi="Arial"/>
          <w:color w:val="2C2C2E"/>
          <w:spacing w:val="15"/>
          <w:sz w:val="20"/>
          <w:szCs w:val="20"/>
          <w:highlight w:val="white"/>
        </w:rPr>
        <w:t> presents experimental research that supports the latter scenario — that there is a “Rashomon effect” not just in our </w:t>
      </w:r>
      <w:r>
        <w:rPr>
          <w:rStyle w:val="Emphasis"/>
          <w:rFonts w:cs="Arial" w:ascii="Arial" w:hAnsi="Arial"/>
          <w:color w:val="2C2C2E"/>
          <w:spacing w:val="15"/>
          <w:highlight w:val="white"/>
        </w:rPr>
        <w:t>descriptions </w:t>
      </w:r>
      <w:r>
        <w:rPr>
          <w:rFonts w:cs="Arial" w:ascii="Arial" w:hAnsi="Arial"/>
          <w:color w:val="2C2C2E"/>
          <w:spacing w:val="15"/>
          <w:sz w:val="20"/>
          <w:szCs w:val="20"/>
          <w:highlight w:val="white"/>
        </w:rPr>
        <w:t>of nature, but in nature itself.</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pStyle w:val="Storybodytext"/>
        <w:spacing w:before="0" w:after="0"/>
        <w:rPr/>
      </w:pPr>
      <w:r>
        <w:rPr>
          <w:rFonts w:cs="Arial" w:ascii="Arial" w:hAnsi="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Emphasis"/>
          <w:rFonts w:cs="Arial" w:ascii="Arial" w:hAnsi="Arial"/>
          <w:color w:val="2C2C2E"/>
          <w:spacing w:val="15"/>
          <w:sz w:val="20"/>
          <w:szCs w:val="20"/>
        </w:rPr>
        <w:t>and </w:t>
      </w:r>
      <w:r>
        <w:rPr>
          <w:rFonts w:cs="Arial" w:ascii="Arial" w:hAnsi="Arial"/>
          <w:color w:val="2C2C2E"/>
          <w:spacing w:val="15"/>
          <w:sz w:val="20"/>
          <w:szCs w:val="20"/>
        </w:rPr>
        <w:t>there nor here </w:t>
      </w:r>
      <w:r>
        <w:rPr>
          <w:rStyle w:val="Emphasis"/>
          <w:rFonts w:cs="Arial" w:ascii="Arial" w:hAnsi="Arial"/>
          <w:color w:val="2C2C2E"/>
          <w:spacing w:val="15"/>
          <w:sz w:val="20"/>
          <w:szCs w:val="20"/>
        </w:rPr>
        <w:t>or </w:t>
      </w:r>
      <w:r>
        <w:rPr>
          <w:rFonts w:cs="Arial" w:ascii="Arial" w:hAnsi="Arial"/>
          <w:color w:val="2C2C2E"/>
          <w:spacing w:val="15"/>
          <w:sz w:val="20"/>
          <w:szCs w:val="20"/>
        </w:rPr>
        <w:t>there. Like a well-trained actor, it plays the role it’s been called to perform. It’s as though it has resolved to prove the famous Bishop Berkeley maxim “to be is to be perceived.”</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Is nature really this weird? Or is this apparent weirdness just a reflection of our imperfect knowledge of nature?</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Does the wave function directly correspond to an objective, observer-independent physical reality, or does it simply represent an observer’s partial knowledge of it?</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pStyle w:val="NormalWeb"/>
        <w:spacing w:before="0" w:after="0"/>
        <w:rPr/>
      </w:pPr>
      <w:r>
        <w:rPr>
          <w:spacing w:val="15"/>
        </w:rPr>
        <w:t>_________________</w:t>
      </w:r>
      <w:hyperlink r:id="rId466" w:tgtFrame="_blank">
        <w:r>
          <w:rPr>
            <w:rStyle w:val="ListLabel313"/>
            <w:color w:val="326891"/>
            <w:spacing w:val="15"/>
          </w:rPr>
          <w:br/>
        </w:r>
      </w:hyperlink>
      <w:hyperlink r:id="rId467" w:tgtFrame="_blank">
        <w:r>
          <w:rPr>
            <w:rStyle w:val="Emphasis"/>
            <w:color w:val="326891"/>
            <w:spacing w:val="15"/>
          </w:rPr>
          <w:t>Edward Frenkel</w:t>
        </w:r>
      </w:hyperlink>
      <w:r>
        <w:rPr>
          <w:rStyle w:val="Emphasis"/>
          <w:spacing w:val="15"/>
        </w:rPr>
        <w:t>, a professor of mathematics at the University of California, Berkeley, is the author of “Love and Math: The Heart of Hidden Reality.” This article was first published at </w:t>
      </w:r>
      <w:hyperlink r:id="rId468" w:tgtFrame="_blank">
        <w:r>
          <w:rPr>
            <w:rStyle w:val="InternetLink"/>
            <w:i/>
            <w:iCs/>
            <w:color w:val="FF7800"/>
            <w:spacing w:val="15"/>
          </w:rPr>
          <w:t>www.nytimes.com</w:t>
        </w:r>
      </w:hyperlink>
    </w:p>
    <w:p>
      <w:pPr>
        <w:pStyle w:val="Storybodytext"/>
        <w:spacing w:before="0" w:after="270"/>
        <w:rPr/>
      </w:pPr>
      <w:r>
        <w:rPr>
          <w:rFonts w:eastAsia="Calibri" w:cs="Arial" w:ascii="Arial" w:hAnsi="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cs="Arial" w:ascii="Arial" w:hAnsi="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r>
    </w:p>
    <w:p>
      <w:pPr>
        <w:pStyle w:val="Normal"/>
        <w:rPr>
          <w:b/>
          <w:b/>
          <w:bCs/>
        </w:rPr>
      </w:pPr>
      <w:r>
        <w:rPr>
          <w:b/>
          <w:bCs/>
        </w:rPr>
        <w:t>June 2019</w:t>
      </w:r>
    </w:p>
    <w:p>
      <w:pPr>
        <w:pStyle w:val="Normal"/>
        <w:rPr>
          <w:rFonts w:eastAsia="Calibri"/>
        </w:rPr>
      </w:pPr>
      <w:r>
        <w:rPr>
          <w:rFonts w:eastAsia="Calibri"/>
        </w:rPr>
      </w:r>
    </w:p>
    <w:p>
      <w:pPr>
        <w:pStyle w:val="Normal"/>
        <w:rPr/>
      </w:pPr>
      <w:r>
        <w:rPr>
          <w:rFonts w:eastAsia="Calibri" w:cs="AkzidenzGroteskBE-Md" w:ascii="AkzidenzGroteskBE-Md" w:hAnsi="AkzidenzGroteskBE-Md"/>
          <w:b/>
          <w:bCs/>
          <w:sz w:val="28"/>
          <w:szCs w:val="28"/>
        </w:rPr>
        <w:t>Morton Timothy (2013)</w:t>
      </w:r>
      <w:r>
        <w:rPr>
          <w:rFonts w:eastAsia="Calibri" w:cs="AkzidenzGroteskBE-Md" w:ascii="AkzidenzGroteskBE-Md" w:hAnsi="AkzidenzGroteskBE-Md"/>
          <w:sz w:val="22"/>
          <w:szCs w:val="22"/>
        </w:rPr>
        <w:t xml:space="preserve"> </w:t>
      </w:r>
      <w:r>
        <w:rPr>
          <w:rFonts w:eastAsia="Calibri"/>
          <w:i/>
          <w:iCs/>
        </w:rPr>
        <w:t xml:space="preserve">Realist Magic: Objects, Ontology, Causality (2013) </w:t>
      </w:r>
      <w:r>
        <w:rPr>
          <w:rFonts w:eastAsia="Calibri"/>
        </w:rPr>
        <w:t>OPEN HUMANITIES PRESS,</w:t>
      </w:r>
    </w:p>
    <w:p>
      <w:pPr>
        <w:pStyle w:val="Storybodytext"/>
        <w:spacing w:before="0" w:after="270"/>
        <w:rPr>
          <w:rFonts w:ascii="Arial" w:hAnsi="Arial" w:eastAsia="Calibri" w:cs="Arial"/>
          <w:color w:val="FF0000"/>
        </w:rPr>
      </w:pPr>
      <w:r>
        <w:rPr>
          <w:rFonts w:eastAsia="Calibri" w:cs="Arial" w:ascii="Arial" w:hAnsi="Arial"/>
          <w:color w:val="FF0000"/>
        </w:rPr>
      </w:r>
    </w:p>
    <w:p>
      <w:pPr>
        <w:pStyle w:val="Normal"/>
        <w:jc w:val="left"/>
        <w:rPr/>
      </w:pPr>
      <w:r>
        <w:rPr>
          <w:rFonts w:eastAsia="Calibri" w:cs="Plantin" w:ascii="Plantin" w:hAnsi="Plantin"/>
          <w:sz w:val="20"/>
          <w:szCs w:val="20"/>
        </w:rPr>
        <w:t xml:space="preserve">As part of the project of </w:t>
      </w:r>
      <w:r>
        <w:rPr>
          <w:rFonts w:eastAsia="Calibri" w:cs="Plantin-Italic" w:ascii="Plantin-Italic" w:hAnsi="Plantin-Italic"/>
          <w:i/>
          <w:iCs/>
          <w:sz w:val="20"/>
          <w:szCs w:val="20"/>
        </w:rPr>
        <w:t xml:space="preserve">object-oriented ontology </w:t>
      </w:r>
      <w:r>
        <w:rPr>
          <w:rFonts w:eastAsia="Calibri" w:cs="Plantin" w:ascii="Plantin" w:hAnsi="Plantin"/>
          <w:sz w:val="20"/>
          <w:szCs w:val="20"/>
        </w:rPr>
        <w:t>(</w:t>
      </w:r>
      <w:r>
        <w:rPr>
          <w:rFonts w:eastAsia="PlantinExpert" w:cs="PlantinExpert" w:ascii="PlantinExpert" w:hAnsi="PlantinExpert"/>
          <w:sz w:val="20"/>
          <w:szCs w:val="20"/>
        </w:rPr>
        <w:t>000</w:t>
      </w:r>
      <w:r>
        <w:rPr>
          <w:rFonts w:eastAsia="Calibri" w:cs="Plantin" w:ascii="Plantin" w:hAnsi="Plantin"/>
          <w:sz w:val="20"/>
          <w:szCs w:val="20"/>
        </w:rPr>
        <w:t>), the</w:t>
      </w:r>
    </w:p>
    <w:p>
      <w:pPr>
        <w:pStyle w:val="Normal"/>
        <w:jc w:val="left"/>
        <w:rPr>
          <w:rFonts w:ascii="Plantin" w:hAnsi="Plantin" w:eastAsia="Calibri" w:cs="Plantin"/>
          <w:sz w:val="20"/>
          <w:szCs w:val="20"/>
        </w:rPr>
      </w:pPr>
      <w:r>
        <w:rPr>
          <w:rFonts w:eastAsia="Calibri" w:cs="Plantin" w:ascii="Plantin" w:hAnsi="Plantin"/>
          <w:sz w:val="20"/>
          <w:szCs w:val="20"/>
        </w:rPr>
        <w:t>philosophy whose first architect is Graham Harman, this book liberates</w:t>
      </w:r>
    </w:p>
    <w:p>
      <w:pPr>
        <w:pStyle w:val="Normal"/>
        <w:jc w:val="left"/>
        <w:rPr>
          <w:rFonts w:ascii="Plantin" w:hAnsi="Plantin" w:eastAsia="Calibri" w:cs="Plantin"/>
          <w:sz w:val="20"/>
          <w:szCs w:val="20"/>
        </w:rPr>
      </w:pPr>
      <w:r>
        <w:rPr>
          <w:rFonts w:eastAsia="Calibri" w:cs="Plantin" w:ascii="Plantin" w:hAnsi="Plantin"/>
          <w:sz w:val="20"/>
          <w:szCs w:val="20"/>
        </w:rPr>
        <w:t>the aesthetic from its ideological role as matchmaker between subject and</w:t>
      </w:r>
    </w:p>
    <w:p>
      <w:pPr>
        <w:pStyle w:val="Normal"/>
        <w:jc w:val="left"/>
        <w:rPr>
          <w:rFonts w:ascii="Plantin" w:hAnsi="Plantin" w:eastAsia="Calibri" w:cs="Plantin"/>
          <w:sz w:val="20"/>
          <w:szCs w:val="20"/>
        </w:rPr>
      </w:pPr>
      <w:r>
        <w:rPr>
          <w:rFonts w:eastAsia="Calibri" w:cs="Plantin" w:ascii="Plantin" w:hAnsi="Plantin"/>
          <w:sz w:val="20"/>
          <w:szCs w:val="20"/>
        </w:rPr>
        <w:t>object, a role it has played since the days of Kant.</w:t>
      </w:r>
    </w:p>
    <w:p>
      <w:pPr>
        <w:pStyle w:val="Normal"/>
        <w:jc w:val="left"/>
        <w:rPr/>
      </w:pPr>
      <w:r>
        <w:rPr>
          <w:rFonts w:eastAsia="Calibri" w:cs="Plantin-Italic" w:ascii="Plantin-Italic" w:hAnsi="Plantin-Italic"/>
          <w:i/>
          <w:iCs/>
          <w:sz w:val="20"/>
          <w:szCs w:val="20"/>
        </w:rPr>
        <w:t xml:space="preserve">Realist Magic </w:t>
      </w:r>
      <w:r>
        <w:rPr>
          <w:rFonts w:eastAsia="Calibri" w:cs="Plantin" w:ascii="Plantin" w:hAnsi="Plantin"/>
          <w:sz w:val="20"/>
          <w:szCs w:val="20"/>
        </w:rPr>
        <w:t>is an exploration of causality from the point of view</w:t>
      </w:r>
    </w:p>
    <w:p>
      <w:pPr>
        <w:pStyle w:val="Normal"/>
        <w:jc w:val="left"/>
        <w:rPr/>
      </w:pPr>
      <w:r>
        <w:rPr>
          <w:rFonts w:eastAsia="Calibri" w:cs="Plantin" w:ascii="Plantin" w:hAnsi="Plantin"/>
          <w:sz w:val="20"/>
          <w:szCs w:val="20"/>
        </w:rPr>
        <w:t xml:space="preserve">of object-oriented ontology. I argue that causality is wholly an </w:t>
      </w:r>
      <w:r>
        <w:rPr>
          <w:rFonts w:eastAsia="Calibri" w:cs="Plantin-Italic" w:ascii="Plantin-Italic" w:hAnsi="Plantin-Italic"/>
          <w:i/>
          <w:iCs/>
          <w:sz w:val="20"/>
          <w:szCs w:val="20"/>
        </w:rPr>
        <w:t>aesthetic</w:t>
      </w:r>
    </w:p>
    <w:p>
      <w:pPr>
        <w:pStyle w:val="Normal"/>
        <w:jc w:val="left"/>
        <w:rPr>
          <w:rFonts w:ascii="Plantin" w:hAnsi="Plantin" w:eastAsia="Calibri" w:cs="Plantin"/>
          <w:sz w:val="20"/>
          <w:szCs w:val="20"/>
        </w:rPr>
      </w:pPr>
      <w:r>
        <w:rPr>
          <w:rFonts w:eastAsia="Calibri" w:cs="Plantin" w:ascii="Plantin" w:hAnsi="Plantin"/>
          <w:sz w:val="20"/>
          <w:szCs w:val="20"/>
        </w:rPr>
        <w:t>phenomenon. Aesthetic events are not limited to interactions between</w:t>
      </w:r>
    </w:p>
    <w:p>
      <w:pPr>
        <w:pStyle w:val="Normal"/>
        <w:jc w:val="left"/>
        <w:rPr>
          <w:rFonts w:ascii="Plantin" w:hAnsi="Plantin" w:eastAsia="Calibri" w:cs="Plantin"/>
          <w:sz w:val="20"/>
          <w:szCs w:val="20"/>
        </w:rPr>
      </w:pPr>
      <w:r>
        <w:rPr>
          <w:rFonts w:eastAsia="Calibri" w:cs="Plantin" w:ascii="Plantin" w:hAnsi="Plantin"/>
          <w:sz w:val="20"/>
          <w:szCs w:val="20"/>
        </w:rPr>
        <w:t>humans or between humans and painted canvases or between humans</w:t>
      </w:r>
    </w:p>
    <w:p>
      <w:pPr>
        <w:pStyle w:val="Normal"/>
        <w:jc w:val="left"/>
        <w:rPr>
          <w:rFonts w:ascii="Plantin" w:hAnsi="Plantin" w:eastAsia="Calibri" w:cs="Plantin"/>
          <w:sz w:val="20"/>
          <w:szCs w:val="20"/>
        </w:rPr>
      </w:pPr>
      <w:r>
        <w:rPr>
          <w:rFonts w:eastAsia="Calibri" w:cs="Plantin" w:ascii="Plantin" w:hAnsi="Plantin"/>
          <w:sz w:val="20"/>
          <w:szCs w:val="20"/>
        </w:rPr>
        <w:t>and sentences in dramas. They happen when a saw bites into a fresh piece</w:t>
      </w:r>
    </w:p>
    <w:p>
      <w:pPr>
        <w:pStyle w:val="Storybodytext"/>
        <w:spacing w:before="0" w:after="270"/>
        <w:rPr>
          <w:rFonts w:ascii="Plantin" w:hAnsi="Plantin" w:eastAsia="Calibri" w:cs="Plantin"/>
          <w:sz w:val="20"/>
          <w:szCs w:val="20"/>
        </w:rPr>
      </w:pPr>
      <w:r>
        <w:rPr>
          <w:rFonts w:eastAsia="Calibri" w:cs="Plantin" w:ascii="Plantin" w:hAnsi="Plantin"/>
          <w:sz w:val="20"/>
          <w:szCs w:val="20"/>
        </w:rPr>
        <w:t>of plywood. They happen when a worm oozes out of some wet soil. (p. 19)</w:t>
      </w:r>
    </w:p>
    <w:p>
      <w:pPr>
        <w:pStyle w:val="Storybodytext"/>
        <w:spacing w:before="0" w:after="270"/>
        <w:rPr>
          <w:rFonts w:ascii="Plantin" w:hAnsi="Plantin" w:eastAsia="Calibri" w:cs="Plantin"/>
          <w:sz w:val="20"/>
          <w:szCs w:val="20"/>
        </w:rPr>
      </w:pPr>
      <w:r>
        <w:rPr>
          <w:rFonts w:eastAsia="Calibri" w:cs="Plantin" w:ascii="Plantin" w:hAnsi="Plantin"/>
          <w:sz w:val="20"/>
          <w:szCs w:val="20"/>
        </w:rPr>
      </w:r>
    </w:p>
    <w:p>
      <w:pPr>
        <w:pStyle w:val="Normal"/>
        <w:jc w:val="left"/>
        <w:rPr>
          <w:rFonts w:ascii="Plantin" w:hAnsi="Plantin" w:eastAsia="Calibri" w:cs="Plantin"/>
          <w:sz w:val="20"/>
          <w:szCs w:val="20"/>
        </w:rPr>
      </w:pPr>
      <w:r>
        <w:rPr>
          <w:rFonts w:eastAsia="Calibri" w:cs="Plantin" w:ascii="Plantin" w:hAnsi="Plantin"/>
          <w:sz w:val="20"/>
          <w:szCs w:val="20"/>
        </w:rPr>
        <w:t>Empirical phenomena</w:t>
      </w:r>
    </w:p>
    <w:p>
      <w:pPr>
        <w:pStyle w:val="Normal"/>
        <w:jc w:val="left"/>
        <w:rPr>
          <w:rFonts w:ascii="Plantin" w:hAnsi="Plantin" w:eastAsia="Calibri" w:cs="Plantin"/>
          <w:sz w:val="20"/>
          <w:szCs w:val="20"/>
        </w:rPr>
      </w:pPr>
      <w:r>
        <w:rPr>
          <w:rFonts w:eastAsia="Calibri" w:cs="Plantin" w:ascii="Plantin" w:hAnsi="Plantin"/>
          <w:sz w:val="20"/>
          <w:szCs w:val="20"/>
        </w:rPr>
        <w:t>such as mirror neurons and entanglement bear this out. Thus to be located</w:t>
      </w:r>
    </w:p>
    <w:p>
      <w:pPr>
        <w:pStyle w:val="Normal"/>
        <w:jc w:val="left"/>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in” space or “in” time is already to have been caught in a web of relations.</w:t>
      </w:r>
    </w:p>
    <w:p>
      <w:pPr>
        <w:pStyle w:val="Normal"/>
        <w:jc w:val="left"/>
        <w:rPr>
          <w:rFonts w:ascii="Plantin" w:hAnsi="Plantin" w:eastAsia="Calibri" w:cs="Plantin"/>
          <w:sz w:val="20"/>
          <w:szCs w:val="20"/>
        </w:rPr>
      </w:pPr>
      <w:r>
        <w:rPr>
          <w:rFonts w:eastAsia="Calibri" w:cs="Plantin" w:ascii="Plantin" w:hAnsi="Plantin"/>
          <w:sz w:val="20"/>
          <w:szCs w:val="20"/>
        </w:rPr>
        <w:t>It is not that objects primordially “occupy” some existing region of</w:t>
      </w:r>
    </w:p>
    <w:p>
      <w:pPr>
        <w:pStyle w:val="Normal"/>
        <w:jc w:val="left"/>
        <w:rPr>
          <w:rFonts w:ascii="Plantin" w:hAnsi="Plantin" w:eastAsia="Calibri" w:cs="Plantin"/>
          <w:sz w:val="20"/>
          <w:szCs w:val="20"/>
        </w:rPr>
      </w:pPr>
      <w:r>
        <w:rPr>
          <w:rFonts w:eastAsia="Calibri" w:cs="Plantin" w:ascii="Plantin" w:hAnsi="Plantin"/>
          <w:sz w:val="20"/>
          <w:szCs w:val="20"/>
        </w:rPr>
        <w:t>spacetime, but that they are caught in the fields of, and otherwise “spaced”</w:t>
      </w:r>
    </w:p>
    <w:p>
      <w:pPr>
        <w:pStyle w:val="Normal"/>
        <w:jc w:val="left"/>
        <w:rPr>
          <w:rFonts w:ascii="Plantin" w:hAnsi="Plantin" w:eastAsia="Calibri" w:cs="Plantin"/>
          <w:sz w:val="20"/>
          <w:szCs w:val="20"/>
        </w:rPr>
      </w:pPr>
      <w:r>
        <w:rPr>
          <w:rFonts w:eastAsia="Calibri" w:cs="Plantin" w:ascii="Plantin" w:hAnsi="Plantin"/>
          <w:sz w:val="20"/>
          <w:szCs w:val="20"/>
        </w:rPr>
        <w:t>and “timed” by other entities. Minimally, what physics calls action at a</w:t>
      </w:r>
    </w:p>
    <w:p>
      <w:pPr>
        <w:pStyle w:val="Normal"/>
        <w:jc w:val="left"/>
        <w:rPr>
          <w:rFonts w:ascii="Plantin" w:hAnsi="Plantin" w:eastAsia="Calibri" w:cs="Plantin"/>
          <w:sz w:val="20"/>
          <w:szCs w:val="20"/>
        </w:rPr>
      </w:pPr>
      <w:r>
        <w:rPr>
          <w:rFonts w:eastAsia="Calibri" w:cs="Plantin" w:ascii="Plantin" w:hAnsi="Plantin"/>
          <w:sz w:val="20"/>
          <w:szCs w:val="20"/>
        </w:rPr>
        <w:t>distance is just the existence-for-the-other of the sensual qualities of any</w:t>
      </w:r>
    </w:p>
    <w:p>
      <w:pPr>
        <w:pStyle w:val="Storybodytext"/>
        <w:spacing w:before="0" w:after="270"/>
        <w:rPr>
          <w:rFonts w:ascii="Plantin" w:hAnsi="Plantin" w:eastAsia="Calibri" w:cs="Plantin"/>
          <w:sz w:val="20"/>
          <w:szCs w:val="20"/>
        </w:rPr>
      </w:pPr>
      <w:r>
        <w:rPr>
          <w:rFonts w:eastAsia="Calibri" w:cs="Plantin" w:ascii="Plantin" w:hAnsi="Plantin"/>
          <w:sz w:val="20"/>
          <w:szCs w:val="20"/>
        </w:rPr>
        <w:t>entity—an argument this book shall elucidate as we proceed. (21)</w:t>
      </w:r>
    </w:p>
    <w:p>
      <w:pPr>
        <w:pStyle w:val="Normal"/>
        <w:jc w:val="left"/>
        <w:rPr/>
      </w:pPr>
      <w:r>
        <w:rPr>
          <w:rFonts w:eastAsia="Calibri" w:cs="Plantin-Italic" w:ascii="Plantin-Italic" w:hAnsi="Plantin-Italic"/>
          <w:i/>
          <w:iCs/>
          <w:sz w:val="20"/>
          <w:szCs w:val="20"/>
        </w:rPr>
        <w:t>All the things by which we specify the object are not the object</w:t>
      </w:r>
      <w:r>
        <w:rPr>
          <w:rFonts w:eastAsia="Calibri" w:cs="Plantin" w:ascii="Plantin" w:hAnsi="Plantin"/>
          <w:sz w:val="20"/>
          <w:szCs w:val="20"/>
        </w:rPr>
        <w:t xml:space="preserve">. By </w:t>
      </w:r>
      <w:r>
        <w:rPr>
          <w:rFonts w:eastAsia="Calibri" w:cs="Plantin-Italic" w:ascii="Plantin-Italic" w:hAnsi="Plantin-Italic"/>
          <w:i/>
          <w:iCs/>
          <w:sz w:val="20"/>
          <w:szCs w:val="20"/>
        </w:rPr>
        <w:t xml:space="preserve">we </w:t>
      </w:r>
      <w:r>
        <w:rPr>
          <w:rFonts w:eastAsia="Calibri" w:cs="Plantin" w:ascii="Plantin" w:hAnsi="Plantin"/>
          <w:sz w:val="20"/>
          <w:szCs w:val="20"/>
        </w:rPr>
        <w:t>I mean</w:t>
      </w:r>
    </w:p>
    <w:p>
      <w:pPr>
        <w:pStyle w:val="Normal"/>
        <w:jc w:val="left"/>
        <w:rPr>
          <w:rFonts w:ascii="Plantin" w:hAnsi="Plantin" w:eastAsia="Calibri" w:cs="Plantin"/>
          <w:sz w:val="20"/>
          <w:szCs w:val="20"/>
        </w:rPr>
      </w:pPr>
      <w:r>
        <w:rPr>
          <w:rFonts w:eastAsia="Calibri" w:cs="Plantin" w:ascii="Plantin" w:hAnsi="Plantin"/>
          <w:sz w:val="20"/>
          <w:szCs w:val="20"/>
        </w:rPr>
        <w:t>humans, lavatory brushes, quasars and durum wheat, and the object in</w:t>
      </w:r>
    </w:p>
    <w:p>
      <w:pPr>
        <w:pStyle w:val="Normal"/>
        <w:jc w:val="left"/>
        <w:rPr>
          <w:rFonts w:ascii="Plantin" w:hAnsi="Plantin" w:eastAsia="Calibri" w:cs="Plantin"/>
          <w:sz w:val="20"/>
          <w:szCs w:val="20"/>
        </w:rPr>
      </w:pPr>
      <w:r>
        <w:rPr>
          <w:rFonts w:eastAsia="Calibri" w:cs="Plantin" w:ascii="Plantin" w:hAnsi="Plantin"/>
          <w:sz w:val="20"/>
          <w:szCs w:val="20"/>
        </w:rPr>
        <w:t>question itself. We have a very strange situation then, in which there are</w:t>
      </w:r>
    </w:p>
    <w:p>
      <w:pPr>
        <w:pStyle w:val="Normal"/>
        <w:jc w:val="left"/>
        <w:rPr>
          <w:rFonts w:ascii="Plantin" w:hAnsi="Plantin" w:eastAsia="Calibri" w:cs="Plantin"/>
          <w:sz w:val="20"/>
          <w:szCs w:val="20"/>
        </w:rPr>
      </w:pPr>
      <w:r>
        <w:rPr>
          <w:rFonts w:eastAsia="Calibri" w:cs="Plantin" w:ascii="Plantin" w:hAnsi="Plantin"/>
          <w:sz w:val="20"/>
          <w:szCs w:val="20"/>
        </w:rPr>
        <w:t>objects, and there are qualities and relations between these objects and other</w:t>
      </w:r>
    </w:p>
    <w:p>
      <w:pPr>
        <w:pStyle w:val="Normal"/>
        <w:jc w:val="left"/>
        <w:rPr/>
      </w:pPr>
      <w:r>
        <w:rPr>
          <w:rFonts w:eastAsia="Calibri" w:cs="Plantin" w:ascii="Plantin" w:hAnsi="Plantin"/>
          <w:sz w:val="20"/>
          <w:szCs w:val="20"/>
        </w:rPr>
        <w:t xml:space="preserve">objects. There is a </w:t>
      </w:r>
      <w:r>
        <w:rPr>
          <w:rFonts w:eastAsia="Calibri" w:cs="MinionPro-It" w:ascii="MinionPro-It" w:hAnsi="MinionPro-It"/>
          <w:i/>
          <w:iCs/>
          <w:sz w:val="20"/>
          <w:szCs w:val="20"/>
        </w:rPr>
        <w:t>chōrismos</w:t>
      </w:r>
      <w:r>
        <w:rPr>
          <w:rFonts w:eastAsia="Calibri" w:cs="Plantin" w:ascii="Plantin" w:hAnsi="Plantin"/>
          <w:sz w:val="20"/>
          <w:szCs w:val="20"/>
        </w:rPr>
        <w:t>, an irreducible gap. Qualities and relations are</w:t>
      </w:r>
    </w:p>
    <w:p>
      <w:pPr>
        <w:pStyle w:val="Normal"/>
        <w:jc w:val="left"/>
        <w:rPr>
          <w:rFonts w:ascii="Plantin" w:hAnsi="Plantin" w:eastAsia="Calibri" w:cs="Plantin"/>
          <w:sz w:val="20"/>
          <w:szCs w:val="20"/>
        </w:rPr>
      </w:pPr>
      <w:r>
        <w:rPr>
          <w:rFonts w:eastAsia="Calibri" w:cs="Plantin" w:ascii="Plantin" w:hAnsi="Plantin"/>
          <w:sz w:val="20"/>
          <w:szCs w:val="20"/>
        </w:rPr>
        <w:t>much the same thing, since they are born in interactions between the object</w:t>
      </w:r>
    </w:p>
    <w:p>
      <w:pPr>
        <w:pStyle w:val="Normal"/>
        <w:jc w:val="left"/>
        <w:rPr/>
      </w:pPr>
      <w:r>
        <w:rPr>
          <w:rFonts w:eastAsia="Calibri" w:cs="Plantin" w:ascii="Plantin" w:hAnsi="Plantin"/>
          <w:sz w:val="20"/>
          <w:szCs w:val="20"/>
        </w:rPr>
        <w:t>and 1+</w:t>
      </w:r>
      <w:r>
        <w:rPr>
          <w:rFonts w:eastAsia="Calibri" w:cs="Plantin-Italic" w:ascii="Plantin-Italic" w:hAnsi="Plantin-Italic"/>
          <w:i/>
          <w:iCs/>
          <w:sz w:val="20"/>
          <w:szCs w:val="20"/>
        </w:rPr>
        <w:t xml:space="preserve">n </w:t>
      </w:r>
      <w:r>
        <w:rPr>
          <w:rFonts w:eastAsia="Calibri" w:cs="Plantin" w:ascii="Plantin" w:hAnsi="Plantin"/>
          <w:sz w:val="20"/>
          <w:szCs w:val="20"/>
        </w:rPr>
        <w:t>other things. A cinder block is hard and cold to a fly, it’s stubbly to</w:t>
      </w:r>
    </w:p>
    <w:p>
      <w:pPr>
        <w:pStyle w:val="Storybodytext"/>
        <w:spacing w:before="0" w:after="270"/>
        <w:rPr>
          <w:rFonts w:ascii="Plantin" w:hAnsi="Plantin" w:eastAsia="Calibri" w:cs="Plantin"/>
          <w:sz w:val="20"/>
          <w:szCs w:val="20"/>
        </w:rPr>
      </w:pPr>
      <w:r>
        <w:rPr>
          <w:rFonts w:eastAsia="Calibri" w:cs="Plantin" w:ascii="Plantin" w:hAnsi="Plantin"/>
          <w:sz w:val="20"/>
          <w:szCs w:val="20"/>
        </w:rPr>
        <w:t>my finger, it’s fragile to a well-placed karate chop. (27)</w:t>
      </w:r>
    </w:p>
    <w:p>
      <w:pPr>
        <w:pStyle w:val="Normal"/>
        <w:jc w:val="left"/>
        <w:rPr>
          <w:rFonts w:ascii="Plantin" w:hAnsi="Plantin" w:eastAsia="Calibri" w:cs="Plantin"/>
          <w:sz w:val="20"/>
          <w:szCs w:val="20"/>
        </w:rPr>
      </w:pPr>
      <w:r>
        <w:rPr>
          <w:rFonts w:eastAsia="Calibri" w:cs="Plantin" w:ascii="Plantin" w:hAnsi="Plantin"/>
          <w:sz w:val="20"/>
          <w:szCs w:val="20"/>
        </w:rPr>
        <w:t>There are objects and non-objects. In other</w:t>
      </w:r>
    </w:p>
    <w:p>
      <w:pPr>
        <w:pStyle w:val="Normal"/>
        <w:jc w:val="left"/>
        <w:rPr>
          <w:rFonts w:ascii="Plantin" w:hAnsi="Plantin" w:eastAsia="Calibri" w:cs="Plantin"/>
          <w:sz w:val="20"/>
          <w:szCs w:val="20"/>
        </w:rPr>
      </w:pPr>
      <w:r>
        <w:rPr>
          <w:rFonts w:eastAsia="Calibri" w:cs="Plantin" w:ascii="Plantin" w:hAnsi="Plantin"/>
          <w:sz w:val="20"/>
          <w:szCs w:val="20"/>
        </w:rPr>
        <w:t>words, there is an object and there are all the things that are not that</w:t>
      </w:r>
    </w:p>
    <w:p>
      <w:pPr>
        <w:pStyle w:val="Normal"/>
        <w:jc w:val="left"/>
        <w:rPr>
          <w:rFonts w:ascii="Plantin" w:hAnsi="Plantin" w:eastAsia="Calibri" w:cs="Plantin"/>
          <w:sz w:val="20"/>
          <w:szCs w:val="20"/>
        </w:rPr>
      </w:pPr>
      <w:r>
        <w:rPr>
          <w:rFonts w:eastAsia="Calibri" w:cs="Plantin" w:ascii="Plantin" w:hAnsi="Plantin"/>
          <w:sz w:val="20"/>
          <w:szCs w:val="20"/>
        </w:rPr>
        <w:t>object; some of those things are the relations the object is caught in with</w:t>
      </w:r>
    </w:p>
    <w:p>
      <w:pPr>
        <w:pStyle w:val="Normal"/>
        <w:jc w:val="left"/>
        <w:rPr>
          <w:rFonts w:ascii="Plantin" w:hAnsi="Plantin" w:eastAsia="Calibri" w:cs="Plantin"/>
          <w:sz w:val="20"/>
          <w:szCs w:val="20"/>
        </w:rPr>
      </w:pPr>
      <w:r>
        <w:rPr>
          <w:rFonts w:eastAsia="Calibri" w:cs="Plantin" w:ascii="Plantin" w:hAnsi="Plantin"/>
          <w:sz w:val="20"/>
          <w:szCs w:val="20"/>
        </w:rPr>
        <w:t>other objects; some of those things are straightforwardly other objects.</w:t>
      </w:r>
    </w:p>
    <w:p>
      <w:pPr>
        <w:pStyle w:val="Normal"/>
        <w:jc w:val="left"/>
        <w:rPr>
          <w:rFonts w:ascii="Plantin" w:hAnsi="Plantin" w:eastAsia="Calibri" w:cs="Plantin"/>
          <w:sz w:val="20"/>
          <w:szCs w:val="20"/>
        </w:rPr>
      </w:pPr>
      <w:r>
        <w:rPr>
          <w:rFonts w:eastAsia="Calibri" w:cs="Plantin" w:ascii="Plantin" w:hAnsi="Plantin"/>
          <w:sz w:val="20"/>
          <w:szCs w:val="20"/>
        </w:rPr>
        <w:t>Mathematical objects, for instance, on this view, are unreal objects that have</w:t>
      </w:r>
    </w:p>
    <w:p>
      <w:pPr>
        <w:pStyle w:val="Normal"/>
        <w:jc w:val="left"/>
        <w:rPr>
          <w:rFonts w:ascii="Plantin" w:hAnsi="Plantin" w:eastAsia="Calibri" w:cs="Plantin"/>
          <w:sz w:val="20"/>
          <w:szCs w:val="20"/>
        </w:rPr>
      </w:pPr>
      <w:r>
        <w:rPr>
          <w:rFonts w:eastAsia="Calibri" w:cs="Plantin" w:ascii="Plantin" w:hAnsi="Plantin"/>
          <w:sz w:val="20"/>
          <w:szCs w:val="20"/>
        </w:rPr>
        <w:t>to do with the qualities and relations of real objects. “Two” does not exist</w:t>
      </w:r>
    </w:p>
    <w:p>
      <w:pPr>
        <w:pStyle w:val="Normal"/>
        <w:jc w:val="left"/>
        <w:rPr/>
      </w:pPr>
      <w:r>
        <w:rPr>
          <w:rFonts w:eastAsia="Calibri" w:cs="Plantin" w:ascii="Plantin" w:hAnsi="Plantin"/>
          <w:sz w:val="20"/>
          <w:szCs w:val="20"/>
        </w:rPr>
        <w:t xml:space="preserve">outside the countability of some objects as two. Two means </w:t>
      </w:r>
      <w:r>
        <w:rPr>
          <w:rFonts w:eastAsia="Calibri" w:cs="Plantin-Italic" w:ascii="Plantin-Italic" w:hAnsi="Plantin-Italic"/>
          <w:i/>
          <w:iCs/>
          <w:sz w:val="20"/>
          <w:szCs w:val="20"/>
        </w:rPr>
        <w:t>countably two</w:t>
      </w:r>
      <w:r>
        <w:rPr>
          <w:rFonts w:eastAsia="Calibri" w:cs="Plantin" w:ascii="Plantin" w:hAnsi="Plantin"/>
          <w:sz w:val="20"/>
          <w:szCs w:val="20"/>
        </w:rPr>
        <w:t>—</w:t>
      </w:r>
    </w:p>
    <w:p>
      <w:pPr>
        <w:pStyle w:val="Normal"/>
        <w:jc w:val="left"/>
        <w:rPr>
          <w:rFonts w:ascii="Plantin" w:hAnsi="Plantin" w:eastAsia="Calibri" w:cs="Plantin"/>
          <w:sz w:val="20"/>
          <w:szCs w:val="20"/>
        </w:rPr>
      </w:pPr>
      <w:r>
        <w:rPr>
          <w:rFonts w:eastAsia="Calibri" w:cs="Plantin" w:ascii="Plantin" w:hAnsi="Plantin"/>
          <w:sz w:val="20"/>
          <w:szCs w:val="20"/>
        </w:rPr>
        <w:t>two is computable two, not some Platonic two floating in some beyond. We</w:t>
      </w:r>
    </w:p>
    <w:p>
      <w:pPr>
        <w:pStyle w:val="Normal"/>
        <w:jc w:val="left"/>
        <w:rPr>
          <w:rFonts w:ascii="Plantin" w:hAnsi="Plantin" w:eastAsia="Calibri" w:cs="Plantin"/>
          <w:sz w:val="20"/>
          <w:szCs w:val="20"/>
        </w:rPr>
      </w:pPr>
      <w:r>
        <w:rPr>
          <w:rFonts w:eastAsia="Calibri" w:cs="Plantin" w:ascii="Plantin" w:hAnsi="Plantin"/>
          <w:sz w:val="20"/>
          <w:szCs w:val="20"/>
        </w:rPr>
        <w:t>can describe two by describing what some objects, for instance a counting</w:t>
      </w:r>
    </w:p>
    <w:p>
      <w:pPr>
        <w:pStyle w:val="Normal"/>
        <w:jc w:val="left"/>
        <w:rPr>
          <w:rFonts w:ascii="Plantin" w:hAnsi="Plantin" w:eastAsia="Calibri" w:cs="Plantin"/>
          <w:sz w:val="20"/>
          <w:szCs w:val="20"/>
        </w:rPr>
      </w:pPr>
      <w:r>
        <w:rPr>
          <w:rFonts w:eastAsia="Calibri" w:cs="Plantin" w:ascii="Plantin" w:hAnsi="Plantin"/>
          <w:sz w:val="20"/>
          <w:szCs w:val="20"/>
        </w:rPr>
        <w:t>machine, do when they encounter objects that are countably two.</w:t>
      </w:r>
    </w:p>
    <w:p>
      <w:pPr>
        <w:pStyle w:val="Normal"/>
        <w:jc w:val="left"/>
        <w:rPr>
          <w:rFonts w:ascii="Plantin" w:hAnsi="Plantin" w:eastAsia="Calibri" w:cs="Plantin"/>
          <w:sz w:val="20"/>
          <w:szCs w:val="20"/>
        </w:rPr>
      </w:pPr>
      <w:r>
        <w:rPr>
          <w:rFonts w:eastAsia="Calibri" w:cs="Plantin" w:ascii="Plantin" w:hAnsi="Plantin"/>
          <w:sz w:val="20"/>
          <w:szCs w:val="20"/>
        </w:rPr>
        <w:t>If objects are irreducibly secret, causality must reside somewhere in the</w:t>
      </w:r>
    </w:p>
    <w:p>
      <w:pPr>
        <w:pStyle w:val="Storybodytext"/>
        <w:spacing w:before="0" w:after="270"/>
        <w:rPr>
          <w:rFonts w:ascii="Plantin" w:hAnsi="Plantin" w:eastAsia="Calibri" w:cs="Plantin"/>
          <w:sz w:val="20"/>
          <w:szCs w:val="20"/>
        </w:rPr>
      </w:pPr>
      <w:r>
        <w:rPr>
          <w:rFonts w:eastAsia="Calibri" w:cs="Plantin" w:ascii="Plantin" w:hAnsi="Plantin"/>
          <w:sz w:val="20"/>
          <w:szCs w:val="20"/>
        </w:rPr>
        <w:t>realm of relations between objects, along with things like number, qualities, (30)</w:t>
      </w:r>
    </w:p>
    <w:p>
      <w:pPr>
        <w:pStyle w:val="Normal"/>
        <w:jc w:val="left"/>
        <w:rPr>
          <w:rFonts w:ascii="Plantin" w:hAnsi="Plantin" w:eastAsia="Calibri" w:cs="Plantin"/>
          <w:sz w:val="20"/>
          <w:szCs w:val="20"/>
        </w:rPr>
      </w:pPr>
      <w:r>
        <w:rPr>
          <w:rFonts w:eastAsia="Calibri" w:cs="Plantin" w:ascii="Plantin" w:hAnsi="Plantin"/>
          <w:sz w:val="20"/>
          <w:szCs w:val="20"/>
        </w:rPr>
        <w:t>Causality floats in front of objects, figuratively speaking. It doesn’t lie</w:t>
      </w:r>
    </w:p>
    <w:p>
      <w:pPr>
        <w:pStyle w:val="Storybodytext"/>
        <w:spacing w:before="0" w:after="270"/>
        <w:rPr>
          <w:rFonts w:ascii="Plantin" w:hAnsi="Plantin" w:eastAsia="Calibri" w:cs="Plantin"/>
          <w:sz w:val="20"/>
          <w:szCs w:val="20"/>
        </w:rPr>
      </w:pPr>
      <w:r>
        <w:rPr>
          <w:rFonts w:eastAsia="Calibri" w:cs="Plantin" w:ascii="Plantin" w:hAnsi="Plantin"/>
          <w:sz w:val="20"/>
          <w:szCs w:val="20"/>
        </w:rPr>
        <w:t xml:space="preserve">underneath them like some grey machinery. (30) </w:t>
      </w:r>
    </w:p>
    <w:p>
      <w:pPr>
        <w:pStyle w:val="Normal"/>
        <w:jc w:val="left"/>
        <w:rPr>
          <w:rFonts w:ascii="Plantin" w:hAnsi="Plantin" w:eastAsia="Calibri" w:cs="Plantin"/>
          <w:sz w:val="20"/>
          <w:szCs w:val="20"/>
        </w:rPr>
      </w:pPr>
      <w:r>
        <w:rPr>
          <w:rFonts w:eastAsia="Calibri" w:cs="Plantin" w:ascii="Plantin" w:hAnsi="Plantin"/>
          <w:sz w:val="20"/>
          <w:szCs w:val="20"/>
        </w:rPr>
        <w:t>An ontological insight is engraved onto the passenger side wing mirrors of</w:t>
      </w:r>
    </w:p>
    <w:p>
      <w:pPr>
        <w:pStyle w:val="Normal"/>
        <w:jc w:val="left"/>
        <w:rPr/>
      </w:pPr>
      <w:r>
        <w:rPr>
          <w:rFonts w:eastAsia="Calibri" w:cs="Plantin" w:ascii="Plantin" w:hAnsi="Plantin"/>
          <w:sz w:val="20"/>
          <w:szCs w:val="20"/>
        </w:rPr>
        <w:t xml:space="preserve">every American car: </w:t>
      </w:r>
      <w:r>
        <w:rPr>
          <w:rFonts w:eastAsia="Calibri" w:cs="Plantin-Italic" w:ascii="Plantin-Italic" w:hAnsi="Plantin-Italic"/>
          <w:i/>
          <w:iCs/>
          <w:sz w:val="20"/>
          <w:szCs w:val="20"/>
        </w:rPr>
        <w:t>Objects in Mirror are Closer than They Appear</w:t>
      </w:r>
      <w:r>
        <w:rPr>
          <w:rFonts w:eastAsia="Calibri" w:cs="Plantin" w:ascii="Plantin" w:hAnsi="Plantin"/>
          <w:sz w:val="20"/>
          <w:szCs w:val="20"/>
        </w:rPr>
        <w:t>. What we</w:t>
      </w:r>
    </w:p>
    <w:p>
      <w:pPr>
        <w:pStyle w:val="Normal"/>
        <w:jc w:val="left"/>
        <w:rPr>
          <w:rFonts w:ascii="Plantin" w:hAnsi="Plantin" w:eastAsia="Calibri" w:cs="Plantin"/>
          <w:sz w:val="20"/>
          <w:szCs w:val="20"/>
        </w:rPr>
      </w:pPr>
      <w:r>
        <w:rPr>
          <w:rFonts w:eastAsia="Calibri" w:cs="Plantin" w:ascii="Plantin" w:hAnsi="Plantin"/>
          <w:sz w:val="20"/>
          <w:szCs w:val="20"/>
        </w:rPr>
        <w:t>take to be the object “behind” its appearance is really a kind of perspective</w:t>
      </w:r>
    </w:p>
    <w:p>
      <w:pPr>
        <w:pStyle w:val="Normal"/>
        <w:jc w:val="left"/>
        <w:rPr>
          <w:rFonts w:ascii="Plantin" w:hAnsi="Plantin" w:eastAsia="Calibri" w:cs="Plantin"/>
          <w:sz w:val="20"/>
          <w:szCs w:val="20"/>
        </w:rPr>
      </w:pPr>
      <w:r>
        <w:rPr>
          <w:rFonts w:eastAsia="Calibri" w:cs="Plantin" w:ascii="Plantin" w:hAnsi="Plantin"/>
          <w:sz w:val="20"/>
          <w:szCs w:val="20"/>
        </w:rPr>
        <w:t>trick caused by a habitual normalization of the object in question. It is</w:t>
      </w:r>
    </w:p>
    <w:p>
      <w:pPr>
        <w:pStyle w:val="Normal"/>
        <w:jc w:val="left"/>
        <w:rPr>
          <w:rFonts w:ascii="Plantin" w:hAnsi="Plantin" w:eastAsia="Calibri" w:cs="Plantin"/>
          <w:sz w:val="20"/>
          <w:szCs w:val="20"/>
        </w:rPr>
      </w:pPr>
      <w:r>
        <w:rPr>
          <w:rFonts w:eastAsia="Calibri" w:cs="Plantin" w:ascii="Plantin" w:hAnsi="Plantin"/>
          <w:sz w:val="20"/>
          <w:szCs w:val="20"/>
        </w:rPr>
        <w:t>my habitual causal relationship with it that makes it seem to sink into the</w:t>
      </w:r>
    </w:p>
    <w:p>
      <w:pPr>
        <w:pStyle w:val="Normal"/>
        <w:jc w:val="left"/>
        <w:rPr>
          <w:rFonts w:ascii="Plantin" w:hAnsi="Plantin" w:eastAsia="Calibri" w:cs="Plantin"/>
          <w:sz w:val="20"/>
          <w:szCs w:val="20"/>
        </w:rPr>
      </w:pPr>
      <w:r>
        <w:rPr>
          <w:rFonts w:eastAsia="Calibri" w:cs="Plantin" w:ascii="Plantin" w:hAnsi="Plantin"/>
          <w:sz w:val="20"/>
          <w:szCs w:val="20"/>
        </w:rPr>
        <w:t>background. This background is nothing other than an aesthetic effect—it’s</w:t>
      </w:r>
    </w:p>
    <w:p>
      <w:pPr>
        <w:pStyle w:val="Normal"/>
        <w:jc w:val="left"/>
        <w:rPr/>
      </w:pPr>
      <w:r>
        <w:rPr>
          <w:rFonts w:eastAsia="Calibri" w:cs="Plantin" w:ascii="Plantin" w:hAnsi="Plantin"/>
          <w:sz w:val="20"/>
          <w:szCs w:val="20"/>
        </w:rPr>
        <w:t>produced by the interaction of 1+</w:t>
      </w:r>
      <w:r>
        <w:rPr>
          <w:rFonts w:eastAsia="Calibri" w:cs="Plantin-Italic" w:ascii="Plantin-Italic" w:hAnsi="Plantin-Italic"/>
          <w:i/>
          <w:iCs/>
          <w:sz w:val="20"/>
          <w:szCs w:val="20"/>
        </w:rPr>
        <w:t xml:space="preserve">n </w:t>
      </w:r>
      <w:r>
        <w:rPr>
          <w:rFonts w:eastAsia="Calibri" w:cs="Plantin" w:ascii="Plantin" w:hAnsi="Plantin"/>
          <w:sz w:val="20"/>
          <w:szCs w:val="20"/>
        </w:rPr>
        <w:t>objects. The aesthetic dimension implies</w:t>
      </w:r>
    </w:p>
    <w:p>
      <w:pPr>
        <w:pStyle w:val="Normal"/>
        <w:jc w:val="left"/>
        <w:rPr>
          <w:rFonts w:ascii="Plantin" w:hAnsi="Plantin" w:eastAsia="Calibri" w:cs="Plantin"/>
          <w:sz w:val="20"/>
          <w:szCs w:val="20"/>
        </w:rPr>
      </w:pPr>
      <w:r>
        <w:rPr>
          <w:rFonts w:eastAsia="Calibri" w:cs="Plantin" w:ascii="Plantin" w:hAnsi="Plantin"/>
          <w:sz w:val="20"/>
          <w:szCs w:val="20"/>
        </w:rPr>
        <w:t>the existence of at least one withdrawn object. To put it another way, in</w:t>
      </w:r>
    </w:p>
    <w:p>
      <w:pPr>
        <w:pStyle w:val="Normal"/>
        <w:jc w:val="left"/>
        <w:rPr>
          <w:rFonts w:ascii="Plantin" w:hAnsi="Plantin" w:eastAsia="Calibri" w:cs="Plantin"/>
          <w:sz w:val="20"/>
          <w:szCs w:val="20"/>
        </w:rPr>
      </w:pPr>
      <w:r>
        <w:rPr>
          <w:rFonts w:eastAsia="Calibri" w:cs="Plantin" w:ascii="Plantin" w:hAnsi="Plantin"/>
          <w:sz w:val="20"/>
          <w:szCs w:val="20"/>
        </w:rPr>
        <w:t>order for anything to happen, there has to be an object in the vicinity that</w:t>
      </w:r>
    </w:p>
    <w:p>
      <w:pPr>
        <w:pStyle w:val="Storybodytext"/>
        <w:spacing w:before="0" w:after="270"/>
        <w:rPr>
          <w:rFonts w:ascii="Plantin" w:hAnsi="Plantin" w:eastAsia="Calibri" w:cs="Plantin"/>
          <w:sz w:val="20"/>
          <w:szCs w:val="20"/>
        </w:rPr>
      </w:pPr>
      <w:r>
        <w:rPr>
          <w:rFonts w:eastAsia="Calibri" w:cs="Plantin" w:ascii="Plantin" w:hAnsi="Plantin"/>
          <w:sz w:val="20"/>
          <w:szCs w:val="20"/>
        </w:rPr>
        <w:t>has nothing to do with the happening in question. (32)</w:t>
      </w:r>
    </w:p>
    <w:p>
      <w:pPr>
        <w:pStyle w:val="Normal"/>
        <w:jc w:val="left"/>
        <w:rPr>
          <w:rFonts w:ascii="Plantin" w:hAnsi="Plantin" w:eastAsia="Calibri" w:cs="Plantin"/>
          <w:sz w:val="20"/>
          <w:szCs w:val="20"/>
        </w:rPr>
      </w:pPr>
      <w:r>
        <w:rPr>
          <w:rFonts w:eastAsia="Calibri" w:cs="Plantin" w:ascii="Plantin" w:hAnsi="Plantin"/>
          <w:sz w:val="20"/>
          <w:szCs w:val="20"/>
        </w:rPr>
        <w:t>The key turns in the lock: “Oh, that’s what the key</w:t>
      </w:r>
    </w:p>
    <w:p>
      <w:pPr>
        <w:pStyle w:val="Normal"/>
        <w:jc w:val="left"/>
        <w:rPr>
          <w:rFonts w:ascii="Plantin" w:hAnsi="Plantin" w:eastAsia="Calibri" w:cs="Plantin"/>
          <w:sz w:val="20"/>
          <w:szCs w:val="20"/>
        </w:rPr>
      </w:pPr>
      <w:r>
        <w:rPr>
          <w:rFonts w:eastAsia="Calibri" w:cs="Plantin" w:ascii="Plantin" w:hAnsi="Plantin"/>
          <w:sz w:val="20"/>
          <w:szCs w:val="20"/>
        </w:rPr>
        <w:t>was for.” There must, then, be something “behind” or “beyond” matter—</w:t>
      </w:r>
    </w:p>
    <w:p>
      <w:pPr>
        <w:pStyle w:val="Normal"/>
        <w:jc w:val="left"/>
        <w:rPr/>
      </w:pPr>
      <w:r>
        <w:rPr>
          <w:rFonts w:eastAsia="Calibri" w:cs="Plantin" w:ascii="Plantin" w:hAnsi="Plantin"/>
          <w:sz w:val="20"/>
          <w:szCs w:val="20"/>
        </w:rPr>
        <w:t>and object-oriented ontology (</w:t>
      </w:r>
      <w:r>
        <w:rPr>
          <w:rFonts w:eastAsia="PlantinExpert" w:cs="PlantinExpert" w:ascii="PlantinExpert" w:hAnsi="PlantinExpert"/>
          <w:sz w:val="20"/>
          <w:szCs w:val="20"/>
        </w:rPr>
        <w:t>ooo</w:t>
      </w:r>
      <w:r>
        <w:rPr>
          <w:rFonts w:eastAsia="Calibri" w:cs="Plantin" w:ascii="Plantin" w:hAnsi="Plantin"/>
          <w:sz w:val="20"/>
          <w:szCs w:val="20"/>
        </w:rPr>
        <w:t>) gives us a term for this: simply, what is</w:t>
      </w:r>
    </w:p>
    <w:p>
      <w:pPr>
        <w:pStyle w:val="Storybodytext"/>
        <w:spacing w:before="0" w:after="270"/>
        <w:rPr/>
      </w:pPr>
      <w:r>
        <w:rPr>
          <w:rFonts w:eastAsia="Calibri" w:cs="Plantin" w:ascii="Plantin" w:hAnsi="Plantin"/>
          <w:sz w:val="20"/>
          <w:szCs w:val="20"/>
        </w:rPr>
        <w:t xml:space="preserve">behind matter is an </w:t>
      </w:r>
      <w:r>
        <w:rPr>
          <w:rFonts w:eastAsia="Calibri" w:cs="Plantin-Italic" w:ascii="Plantin-Italic" w:hAnsi="Plantin-Italic"/>
          <w:i/>
          <w:iCs/>
          <w:sz w:val="20"/>
          <w:szCs w:val="20"/>
        </w:rPr>
        <w:t>object</w:t>
      </w:r>
      <w:r>
        <w:rPr>
          <w:rFonts w:eastAsia="Calibri" w:cs="Plantin" w:ascii="Plantin" w:hAnsi="Plantin"/>
          <w:sz w:val="20"/>
          <w:szCs w:val="20"/>
        </w:rPr>
        <w:t xml:space="preserve">. </w:t>
      </w:r>
    </w:p>
    <w:p>
      <w:pPr>
        <w:pStyle w:val="Normal"/>
        <w:jc w:val="left"/>
        <w:rPr>
          <w:rFonts w:ascii="Plantin" w:hAnsi="Plantin" w:eastAsia="Calibri" w:cs="Plantin"/>
          <w:sz w:val="20"/>
          <w:szCs w:val="20"/>
        </w:rPr>
      </w:pPr>
      <w:r>
        <w:rPr>
          <w:rFonts w:eastAsia="Calibri" w:cs="Plantin" w:ascii="Plantin" w:hAnsi="Plantin"/>
          <w:sz w:val="20"/>
          <w:szCs w:val="20"/>
        </w:rPr>
        <w:t>Instead of using matter as my basic substrate, I shall paint a picture of</w:t>
      </w:r>
    </w:p>
    <w:p>
      <w:pPr>
        <w:pStyle w:val="Normal"/>
        <w:jc w:val="left"/>
        <w:rPr>
          <w:rFonts w:ascii="Plantin" w:hAnsi="Plantin" w:eastAsia="Calibri" w:cs="Plantin"/>
          <w:sz w:val="20"/>
          <w:szCs w:val="20"/>
        </w:rPr>
      </w:pPr>
      <w:r>
        <w:rPr>
          <w:rFonts w:eastAsia="Calibri" w:cs="Plantin" w:ascii="Plantin" w:hAnsi="Plantin"/>
          <w:sz w:val="20"/>
          <w:szCs w:val="20"/>
        </w:rPr>
        <w:t>the Universe that is realist but not materialist. In my view, real objects exist</w:t>
      </w:r>
    </w:p>
    <w:p>
      <w:pPr>
        <w:pStyle w:val="Normal"/>
        <w:jc w:val="left"/>
        <w:rPr>
          <w:rFonts w:ascii="Plantin" w:hAnsi="Plantin" w:eastAsia="Calibri" w:cs="Plantin"/>
          <w:sz w:val="20"/>
          <w:szCs w:val="20"/>
        </w:rPr>
      </w:pPr>
      <w:r>
        <w:rPr>
          <w:rFonts w:eastAsia="Calibri" w:cs="Plantin" w:ascii="Plantin" w:hAnsi="Plantin"/>
          <w:sz w:val="20"/>
          <w:szCs w:val="20"/>
        </w:rPr>
        <w:t>inside other real objects. “Space” and “environment” are ways in which</w:t>
      </w:r>
    </w:p>
    <w:p>
      <w:pPr>
        <w:pStyle w:val="Normal"/>
        <w:jc w:val="left"/>
        <w:rPr>
          <w:rFonts w:ascii="Plantin" w:hAnsi="Plantin" w:eastAsia="Calibri" w:cs="Plantin"/>
          <w:sz w:val="20"/>
          <w:szCs w:val="20"/>
        </w:rPr>
      </w:pPr>
      <w:r>
        <w:rPr>
          <w:rFonts w:eastAsia="Calibri" w:cs="Plantin" w:ascii="Plantin" w:hAnsi="Plantin"/>
          <w:sz w:val="20"/>
          <w:szCs w:val="20"/>
        </w:rPr>
        <w:t>objects sensually relate to the other objects in their vicinity, including the</w:t>
      </w:r>
    </w:p>
    <w:p>
      <w:pPr>
        <w:pStyle w:val="Normal"/>
        <w:jc w:val="left"/>
        <w:rPr>
          <w:rFonts w:ascii="Plantin" w:hAnsi="Plantin" w:eastAsia="Calibri" w:cs="Plantin"/>
          <w:sz w:val="20"/>
          <w:szCs w:val="20"/>
        </w:rPr>
      </w:pPr>
      <w:r>
        <w:rPr>
          <w:rFonts w:eastAsia="Calibri" w:cs="Plantin" w:ascii="Plantin" w:hAnsi="Plantin"/>
          <w:sz w:val="20"/>
          <w:szCs w:val="20"/>
        </w:rPr>
        <w:t>larger objects in which they find themselves. Sometimes humans have called</w:t>
      </w:r>
    </w:p>
    <w:p>
      <w:pPr>
        <w:pStyle w:val="Normal"/>
        <w:jc w:val="left"/>
        <w:rPr/>
      </w:pPr>
      <w:r>
        <w:rPr>
          <w:rFonts w:eastAsia="Calibri" w:cs="Plantin" w:ascii="Plantin" w:hAnsi="Plantin"/>
          <w:sz w:val="20"/>
          <w:szCs w:val="20"/>
        </w:rPr>
        <w:t xml:space="preserve">some of these sensual relationships </w:t>
      </w:r>
      <w:r>
        <w:rPr>
          <w:rFonts w:eastAsia="Calibri" w:cs="Plantin-Italic" w:ascii="Plantin-Italic" w:hAnsi="Plantin-Italic"/>
          <w:i/>
          <w:iCs/>
          <w:sz w:val="20"/>
          <w:szCs w:val="20"/>
        </w:rPr>
        <w:t>Nature</w:t>
      </w:r>
      <w:r>
        <w:rPr>
          <w:rFonts w:eastAsia="Calibri" w:cs="Plantin" w:ascii="Plantin" w:hAnsi="Plantin"/>
          <w:sz w:val="20"/>
          <w:szCs w:val="20"/>
        </w:rPr>
        <w:t>. Then we run into all kinds of</w:t>
      </w:r>
    </w:p>
    <w:p>
      <w:pPr>
        <w:pStyle w:val="Normal"/>
        <w:jc w:val="left"/>
        <w:rPr>
          <w:rFonts w:ascii="Plantin" w:hAnsi="Plantin" w:eastAsia="Calibri" w:cs="Plantin"/>
          <w:sz w:val="20"/>
          <w:szCs w:val="20"/>
        </w:rPr>
      </w:pPr>
      <w:r>
        <w:rPr>
          <w:rFonts w:eastAsia="Calibri" w:cs="Plantin" w:ascii="Plantin" w:hAnsi="Plantin"/>
          <w:sz w:val="20"/>
          <w:szCs w:val="20"/>
        </w:rPr>
        <w:t>difficulties and frankly ideological confusions. A snail is Nature, perhaps—</w:t>
      </w:r>
    </w:p>
    <w:p>
      <w:pPr>
        <w:pStyle w:val="Normal"/>
        <w:jc w:val="left"/>
        <w:rPr>
          <w:rFonts w:ascii="Plantin" w:hAnsi="Plantin" w:eastAsia="Calibri" w:cs="Plantin"/>
          <w:sz w:val="20"/>
          <w:szCs w:val="20"/>
        </w:rPr>
      </w:pPr>
      <w:r>
        <w:rPr>
          <w:rFonts w:eastAsia="Calibri" w:cs="Plantin" w:ascii="Plantin" w:hAnsi="Plantin"/>
          <w:sz w:val="20"/>
          <w:szCs w:val="20"/>
        </w:rPr>
        <w:t>but a cooked snail isn’t? Or a cartoon of a snail? Or an irradiated snail?</w:t>
      </w:r>
    </w:p>
    <w:p>
      <w:pPr>
        <w:pStyle w:val="Normal"/>
        <w:jc w:val="left"/>
        <w:rPr>
          <w:rFonts w:ascii="Plantin" w:hAnsi="Plantin" w:eastAsia="Calibri" w:cs="Plantin"/>
          <w:sz w:val="20"/>
          <w:szCs w:val="20"/>
        </w:rPr>
      </w:pPr>
      <w:r>
        <w:rPr>
          <w:rFonts w:eastAsia="Calibri" w:cs="Plantin" w:ascii="Plantin" w:hAnsi="Plantin"/>
          <w:sz w:val="20"/>
          <w:szCs w:val="20"/>
        </w:rPr>
        <w:t>There is no space or environment as such, only objects. Moreover, in the</w:t>
      </w:r>
    </w:p>
    <w:p>
      <w:pPr>
        <w:pStyle w:val="Normal"/>
        <w:jc w:val="left"/>
        <w:rPr/>
      </w:pPr>
      <w:r>
        <w:rPr>
          <w:rFonts w:eastAsia="Calibri" w:cs="Plantin" w:ascii="Plantin" w:hAnsi="Plantin"/>
          <w:sz w:val="20"/>
          <w:szCs w:val="20"/>
        </w:rPr>
        <w:t xml:space="preserve">succession of these objects, there is also </w:t>
      </w:r>
      <w:r>
        <w:rPr>
          <w:rFonts w:eastAsia="Calibri" w:cs="Plantin-Italic" w:ascii="Plantin-Italic" w:hAnsi="Plantin-Italic"/>
          <w:i/>
          <w:iCs/>
          <w:sz w:val="20"/>
          <w:szCs w:val="20"/>
        </w:rPr>
        <w:t>no top object</w:t>
      </w:r>
      <w:r>
        <w:rPr>
          <w:rFonts w:eastAsia="Calibri" w:cs="Plantin" w:ascii="Plantin" w:hAnsi="Plantin"/>
          <w:sz w:val="20"/>
          <w:szCs w:val="20"/>
        </w:rPr>
        <w:t>: no entity that lords it</w:t>
      </w:r>
    </w:p>
    <w:p>
      <w:pPr>
        <w:pStyle w:val="Normal"/>
        <w:jc w:val="left"/>
        <w:rPr>
          <w:rFonts w:ascii="Plantin" w:hAnsi="Plantin" w:eastAsia="Calibri" w:cs="Plantin"/>
          <w:sz w:val="20"/>
          <w:szCs w:val="20"/>
        </w:rPr>
      </w:pPr>
      <w:r>
        <w:rPr>
          <w:rFonts w:eastAsia="Calibri" w:cs="Plantin" w:ascii="Plantin" w:hAnsi="Plantin"/>
          <w:sz w:val="20"/>
          <w:szCs w:val="20"/>
        </w:rPr>
        <w:t>over the rest, whose reality is superior to or more powerful than theirs, one</w:t>
      </w:r>
    </w:p>
    <w:p>
      <w:pPr>
        <w:pStyle w:val="Storybodytext"/>
        <w:spacing w:before="0" w:after="270"/>
        <w:rPr>
          <w:rFonts w:ascii="Plantin" w:hAnsi="Plantin" w:eastAsia="Calibri" w:cs="Plantin"/>
          <w:sz w:val="20"/>
          <w:szCs w:val="20"/>
        </w:rPr>
      </w:pPr>
      <w:r>
        <w:rPr>
          <w:rFonts w:eastAsia="Calibri" w:cs="Plantin" w:ascii="Plantin" w:hAnsi="Plantin"/>
          <w:sz w:val="20"/>
          <w:szCs w:val="20"/>
        </w:rPr>
        <w:t xml:space="preserve">ontotheological object to rule them all. </w:t>
      </w:r>
    </w:p>
    <w:p>
      <w:pPr>
        <w:pStyle w:val="Normal"/>
        <w:jc w:val="left"/>
        <w:rPr>
          <w:rFonts w:ascii="Plantin" w:hAnsi="Plantin" w:eastAsia="Calibri" w:cs="Plantin"/>
          <w:sz w:val="20"/>
          <w:szCs w:val="20"/>
        </w:rPr>
      </w:pPr>
      <w:r>
        <w:rPr>
          <w:rFonts w:eastAsia="Calibri" w:cs="Plantin" w:ascii="Plantin" w:hAnsi="Plantin"/>
          <w:sz w:val="20"/>
          <w:szCs w:val="20"/>
        </w:rPr>
        <w:t>Although this may seem startling,</w:t>
      </w:r>
    </w:p>
    <w:p>
      <w:pPr>
        <w:pStyle w:val="Normal"/>
        <w:jc w:val="left"/>
        <w:rPr>
          <w:rFonts w:ascii="Plantin" w:hAnsi="Plantin" w:eastAsia="Calibri" w:cs="Plantin"/>
          <w:sz w:val="20"/>
          <w:szCs w:val="20"/>
        </w:rPr>
      </w:pPr>
      <w:r>
        <w:rPr>
          <w:rFonts w:eastAsia="Calibri" w:cs="Plantin" w:ascii="Plantin" w:hAnsi="Plantin"/>
          <w:sz w:val="20"/>
          <w:szCs w:val="20"/>
        </w:rPr>
        <w:t>the reason why is quite straightforward. If there is no space separate from</w:t>
      </w:r>
    </w:p>
    <w:p>
      <w:pPr>
        <w:pStyle w:val="Normal"/>
        <w:jc w:val="left"/>
        <w:rPr>
          <w:rFonts w:ascii="Plantin" w:hAnsi="Plantin" w:eastAsia="Calibri" w:cs="Plantin"/>
          <w:sz w:val="20"/>
          <w:szCs w:val="20"/>
        </w:rPr>
      </w:pPr>
      <w:r>
        <w:rPr>
          <w:rFonts w:eastAsia="Calibri" w:cs="Plantin" w:ascii="Plantin" w:hAnsi="Plantin"/>
          <w:sz w:val="20"/>
          <w:szCs w:val="20"/>
        </w:rPr>
        <w:t>objects, then a top object would imply either: (1) this object is unlike every</w:t>
      </w:r>
    </w:p>
    <w:p>
      <w:pPr>
        <w:pStyle w:val="Normal"/>
        <w:jc w:val="left"/>
        <w:rPr>
          <w:rFonts w:ascii="Plantin" w:hAnsi="Plantin" w:eastAsia="Calibri" w:cs="Plantin"/>
          <w:sz w:val="20"/>
          <w:szCs w:val="20"/>
        </w:rPr>
      </w:pPr>
      <w:r>
        <w:rPr>
          <w:rFonts w:eastAsia="Calibri" w:cs="Plantin" w:ascii="Plantin" w:hAnsi="Plantin"/>
          <w:sz w:val="20"/>
          <w:szCs w:val="20"/>
        </w:rPr>
        <w:t>other object and really is “space” for all the rest; or (2) this object floats or</w:t>
      </w:r>
    </w:p>
    <w:p>
      <w:pPr>
        <w:pStyle w:val="Normal"/>
        <w:jc w:val="left"/>
        <w:rPr>
          <w:rFonts w:ascii="Plantin" w:hAnsi="Plantin" w:eastAsia="Calibri" w:cs="Plantin"/>
          <w:sz w:val="20"/>
          <w:szCs w:val="20"/>
        </w:rPr>
      </w:pPr>
      <w:r>
        <w:rPr>
          <w:rFonts w:eastAsia="Calibri" w:cs="Plantin" w:ascii="Plantin" w:hAnsi="Plantin"/>
          <w:sz w:val="20"/>
          <w:szCs w:val="20"/>
        </w:rPr>
        <w:t>sits inside some kind of “space”—which on this view would simply be the</w:t>
      </w:r>
    </w:p>
    <w:p>
      <w:pPr>
        <w:pStyle w:val="Storybodytext"/>
        <w:spacing w:before="0" w:after="270"/>
        <w:rPr>
          <w:rFonts w:ascii="Plantin" w:hAnsi="Plantin" w:eastAsia="Calibri" w:cs="Plantin"/>
          <w:sz w:val="20"/>
          <w:szCs w:val="20"/>
        </w:rPr>
      </w:pPr>
      <w:r>
        <w:rPr>
          <w:rFonts w:eastAsia="Calibri" w:cs="Plantin" w:ascii="Plantin" w:hAnsi="Plantin"/>
          <w:sz w:val="20"/>
          <w:szCs w:val="20"/>
        </w:rPr>
        <w:t>inside of another object. (43)</w:t>
      </w:r>
    </w:p>
    <w:p>
      <w:pPr>
        <w:pStyle w:val="Normal"/>
        <w:jc w:val="left"/>
        <w:rPr/>
      </w:pPr>
      <w:r>
        <w:rPr>
          <w:rFonts w:eastAsia="Calibri" w:cs="Plantin" w:ascii="Plantin" w:hAnsi="Plantin"/>
          <w:sz w:val="20"/>
          <w:szCs w:val="20"/>
        </w:rPr>
        <w:t xml:space="preserve">For much the same reason, it’s evident that there is </w:t>
      </w:r>
      <w:r>
        <w:rPr>
          <w:rFonts w:eastAsia="Calibri" w:cs="Plantin-Italic" w:ascii="Plantin-Italic" w:hAnsi="Plantin-Italic"/>
          <w:i/>
          <w:iCs/>
          <w:sz w:val="20"/>
          <w:szCs w:val="20"/>
        </w:rPr>
        <w:t>no bottom object</w:t>
      </w:r>
      <w:r>
        <w:rPr>
          <w:rFonts w:eastAsia="Calibri" w:cs="Plantin" w:ascii="Plantin" w:hAnsi="Plantin"/>
          <w:sz w:val="20"/>
          <w:szCs w:val="20"/>
        </w:rPr>
        <w:t>,</w:t>
      </w:r>
    </w:p>
    <w:p>
      <w:pPr>
        <w:pStyle w:val="Normal"/>
        <w:jc w:val="left"/>
        <w:rPr>
          <w:rFonts w:ascii="Plantin" w:hAnsi="Plantin" w:eastAsia="Calibri" w:cs="Plantin"/>
          <w:sz w:val="20"/>
          <w:szCs w:val="20"/>
        </w:rPr>
      </w:pPr>
      <w:r>
        <w:rPr>
          <w:rFonts w:eastAsia="Calibri" w:cs="Plantin" w:ascii="Plantin" w:hAnsi="Plantin"/>
          <w:sz w:val="20"/>
          <w:szCs w:val="20"/>
        </w:rPr>
        <w:t>either, no smallest entity that subtends all the others, somehow more real</w:t>
      </w:r>
    </w:p>
    <w:p>
      <w:pPr>
        <w:pStyle w:val="Normal"/>
        <w:jc w:val="left"/>
        <w:rPr>
          <w:rFonts w:ascii="Plantin" w:hAnsi="Plantin" w:eastAsia="Calibri" w:cs="Plantin"/>
          <w:sz w:val="20"/>
          <w:szCs w:val="20"/>
        </w:rPr>
      </w:pPr>
      <w:r>
        <w:rPr>
          <w:rFonts w:eastAsia="Calibri" w:cs="Plantin" w:ascii="Plantin" w:hAnsi="Plantin"/>
          <w:sz w:val="20"/>
          <w:szCs w:val="20"/>
        </w:rPr>
        <w:t>than them. An object withdraws from access. This means that its own parts</w:t>
      </w:r>
    </w:p>
    <w:p>
      <w:pPr>
        <w:pStyle w:val="Normal"/>
        <w:jc w:val="left"/>
        <w:rPr>
          <w:rFonts w:ascii="Plantin" w:hAnsi="Plantin" w:eastAsia="Calibri" w:cs="Plantin"/>
          <w:sz w:val="20"/>
          <w:szCs w:val="20"/>
        </w:rPr>
      </w:pPr>
      <w:r>
        <w:rPr>
          <w:rFonts w:eastAsia="Calibri" w:cs="Plantin" w:ascii="Plantin" w:hAnsi="Plantin"/>
          <w:sz w:val="20"/>
          <w:szCs w:val="20"/>
        </w:rPr>
        <w:t>can’t access it. Since an object’s parts can’t fully express the object, the</w:t>
      </w:r>
    </w:p>
    <w:p>
      <w:pPr>
        <w:pStyle w:val="Normal"/>
        <w:jc w:val="left"/>
        <w:rPr/>
      </w:pPr>
      <w:r>
        <w:rPr>
          <w:rFonts w:eastAsia="Calibri" w:cs="Plantin" w:ascii="Plantin" w:hAnsi="Plantin"/>
          <w:sz w:val="20"/>
          <w:szCs w:val="20"/>
        </w:rPr>
        <w:t xml:space="preserve">object is not reducible to its parts. </w:t>
      </w:r>
      <w:r>
        <w:rPr>
          <w:rFonts w:eastAsia="PlantinExpert" w:cs="PlantinExpert" w:ascii="PlantinExpert" w:hAnsi="PlantinExpert"/>
          <w:sz w:val="20"/>
          <w:szCs w:val="20"/>
        </w:rPr>
        <w:t>ooo</w:t>
      </w:r>
      <w:r>
        <w:rPr>
          <w:rFonts w:eastAsia="Calibri" w:cs="Plantin" w:ascii="Plantin" w:hAnsi="Plantin"/>
          <w:sz w:val="20"/>
          <w:szCs w:val="20"/>
        </w:rPr>
        <w:t xml:space="preserve">is anti-reductionist. But </w:t>
      </w:r>
      <w:r>
        <w:rPr>
          <w:rFonts w:eastAsia="PlantinExpert" w:cs="PlantinExpert" w:ascii="PlantinExpert" w:hAnsi="PlantinExpert"/>
          <w:sz w:val="20"/>
          <w:szCs w:val="20"/>
        </w:rPr>
        <w:t xml:space="preserve">ooo </w:t>
      </w:r>
      <w:r>
        <w:rPr>
          <w:rFonts w:eastAsia="Calibri" w:cs="Plantin" w:ascii="Plantin" w:hAnsi="Plantin"/>
          <w:sz w:val="20"/>
          <w:szCs w:val="20"/>
        </w:rPr>
        <w:t>is also</w:t>
      </w:r>
    </w:p>
    <w:p>
      <w:pPr>
        <w:pStyle w:val="Normal"/>
        <w:jc w:val="left"/>
        <w:rPr>
          <w:rFonts w:ascii="Plantin" w:hAnsi="Plantin" w:eastAsia="Calibri" w:cs="Plantin"/>
          <w:sz w:val="20"/>
          <w:szCs w:val="20"/>
        </w:rPr>
      </w:pPr>
      <w:r>
        <w:rPr>
          <w:rFonts w:eastAsia="Calibri" w:cs="Plantin" w:ascii="Plantin" w:hAnsi="Plantin"/>
          <w:sz w:val="20"/>
          <w:szCs w:val="20"/>
        </w:rPr>
        <w:t>anti-holist. An object can’t be reduced to its “whole” either. The whole is</w:t>
      </w:r>
    </w:p>
    <w:p>
      <w:pPr>
        <w:pStyle w:val="Normal"/>
        <w:jc w:val="left"/>
        <w:rPr/>
      </w:pPr>
      <w:r>
        <w:rPr>
          <w:rFonts w:eastAsia="Calibri" w:cs="Plantin" w:ascii="Plantin" w:hAnsi="Plantin"/>
          <w:sz w:val="20"/>
          <w:szCs w:val="20"/>
        </w:rPr>
        <w:t xml:space="preserve">not greater than the sum of its parts. So we have a strange </w:t>
      </w:r>
      <w:r>
        <w:rPr>
          <w:rFonts w:eastAsia="Calibri" w:cs="Plantin-Italic" w:ascii="Plantin-Italic" w:hAnsi="Plantin-Italic"/>
          <w:i/>
          <w:iCs/>
          <w:sz w:val="20"/>
          <w:szCs w:val="20"/>
        </w:rPr>
        <w:t>irreductionist</w:t>
      </w:r>
    </w:p>
    <w:p>
      <w:pPr>
        <w:pStyle w:val="Storybodytext"/>
        <w:spacing w:before="0" w:after="270"/>
        <w:rPr>
          <w:rFonts w:ascii="Plantin" w:hAnsi="Plantin" w:eastAsia="Calibri" w:cs="Plantin"/>
          <w:sz w:val="20"/>
          <w:szCs w:val="20"/>
        </w:rPr>
      </w:pPr>
      <w:r>
        <w:rPr>
          <w:rFonts w:eastAsia="Calibri" w:cs="Plantin" w:ascii="Plantin" w:hAnsi="Plantin"/>
          <w:sz w:val="20"/>
          <w:szCs w:val="20"/>
        </w:rPr>
        <w:t xml:space="preserve">situation in which an object is reducible neither to its parts nor to its whole. </w:t>
      </w:r>
    </w:p>
    <w:p>
      <w:pPr>
        <w:pStyle w:val="Normal"/>
        <w:jc w:val="left"/>
        <w:rPr>
          <w:rFonts w:ascii="Plantin" w:hAnsi="Plantin" w:eastAsia="Calibri" w:cs="Plantin"/>
          <w:sz w:val="20"/>
          <w:szCs w:val="20"/>
        </w:rPr>
      </w:pPr>
      <w:r>
        <w:rPr>
          <w:rFonts w:eastAsia="Calibri" w:cs="Plantin" w:ascii="Plantin" w:hAnsi="Plantin"/>
          <w:sz w:val="20"/>
          <w:szCs w:val="20"/>
        </w:rPr>
        <w:t>A coral reef is made of coral, fish, seaweed, plankton and so on. But one</w:t>
      </w:r>
    </w:p>
    <w:p>
      <w:pPr>
        <w:pStyle w:val="Normal"/>
        <w:jc w:val="left"/>
        <w:rPr>
          <w:rFonts w:ascii="Plantin" w:hAnsi="Plantin" w:eastAsia="Calibri" w:cs="Plantin"/>
          <w:sz w:val="20"/>
          <w:szCs w:val="20"/>
        </w:rPr>
      </w:pPr>
      <w:r>
        <w:rPr>
          <w:rFonts w:eastAsia="Calibri" w:cs="Plantin" w:ascii="Plantin" w:hAnsi="Plantin"/>
          <w:sz w:val="20"/>
          <w:szCs w:val="20"/>
        </w:rPr>
        <w:t>of these things on its own doesn’t embody part of a reef. Yet the reef just</w:t>
      </w:r>
    </w:p>
    <w:p>
      <w:pPr>
        <w:pStyle w:val="Normal"/>
        <w:jc w:val="left"/>
        <w:rPr>
          <w:rFonts w:ascii="Plantin" w:hAnsi="Plantin" w:eastAsia="Calibri" w:cs="Plantin"/>
          <w:sz w:val="20"/>
          <w:szCs w:val="20"/>
        </w:rPr>
      </w:pPr>
      <w:r>
        <w:rPr>
          <w:rFonts w:eastAsia="Calibri" w:cs="Plantin" w:ascii="Plantin" w:hAnsi="Plantin"/>
          <w:sz w:val="20"/>
          <w:szCs w:val="20"/>
        </w:rPr>
        <w:t>is an assemblage of these particular parts. You can’t find a coral reef in a</w:t>
      </w:r>
    </w:p>
    <w:p>
      <w:pPr>
        <w:pStyle w:val="Normal"/>
        <w:jc w:val="left"/>
        <w:rPr>
          <w:rFonts w:ascii="Plantin" w:hAnsi="Plantin" w:eastAsia="Calibri" w:cs="Plantin"/>
          <w:sz w:val="20"/>
          <w:szCs w:val="20"/>
        </w:rPr>
      </w:pPr>
      <w:r>
        <w:rPr>
          <w:rFonts w:eastAsia="Calibri" w:cs="Plantin" w:ascii="Plantin" w:hAnsi="Plantin"/>
          <w:sz w:val="20"/>
          <w:szCs w:val="20"/>
        </w:rPr>
        <w:t>parking lot. In this way, the vibrant realness of a reef is kept safe both from</w:t>
      </w:r>
    </w:p>
    <w:p>
      <w:pPr>
        <w:pStyle w:val="Normal"/>
        <w:jc w:val="left"/>
        <w:rPr>
          <w:rFonts w:ascii="Plantin" w:hAnsi="Plantin" w:eastAsia="Calibri" w:cs="Plantin"/>
          <w:sz w:val="20"/>
          <w:szCs w:val="20"/>
        </w:rPr>
      </w:pPr>
      <w:r>
        <w:rPr>
          <w:rFonts w:eastAsia="Calibri" w:cs="Plantin" w:ascii="Plantin" w:hAnsi="Plantin"/>
          <w:sz w:val="20"/>
          <w:szCs w:val="20"/>
        </w:rPr>
        <w:t>its parts and from its whole. Moreover, the reef is safe from being mistaken</w:t>
      </w:r>
    </w:p>
    <w:p>
      <w:pPr>
        <w:pStyle w:val="Normal"/>
        <w:jc w:val="left"/>
        <w:rPr>
          <w:rFonts w:ascii="Plantin" w:hAnsi="Plantin" w:eastAsia="Calibri" w:cs="Plantin"/>
          <w:sz w:val="20"/>
          <w:szCs w:val="20"/>
        </w:rPr>
      </w:pPr>
      <w:r>
        <w:rPr>
          <w:rFonts w:eastAsia="Calibri" w:cs="Plantin" w:ascii="Plantin" w:hAnsi="Plantin"/>
          <w:sz w:val="20"/>
          <w:szCs w:val="20"/>
        </w:rPr>
        <w:t>for a parking lot. Objects can’t be reduced to tiny Lego bricks such as</w:t>
      </w:r>
    </w:p>
    <w:p>
      <w:pPr>
        <w:pStyle w:val="Normal"/>
        <w:jc w:val="left"/>
        <w:rPr>
          <w:rFonts w:ascii="Plantin" w:hAnsi="Plantin" w:eastAsia="Calibri" w:cs="Plantin"/>
          <w:sz w:val="20"/>
          <w:szCs w:val="20"/>
        </w:rPr>
      </w:pPr>
      <w:r>
        <w:rPr>
          <w:rFonts w:eastAsia="Calibri" w:cs="Plantin" w:ascii="Plantin" w:hAnsi="Plantin"/>
          <w:sz w:val="20"/>
          <w:szCs w:val="20"/>
        </w:rPr>
        <w:t>atoms that can be reused in other things. Nor can they be reduced upwards</w:t>
      </w:r>
    </w:p>
    <w:p>
      <w:pPr>
        <w:pStyle w:val="Storybodytext"/>
        <w:spacing w:before="0" w:after="270"/>
        <w:rPr>
          <w:rFonts w:ascii="Plantin" w:hAnsi="Plantin" w:eastAsia="Calibri" w:cs="Plantin"/>
          <w:sz w:val="20"/>
          <w:szCs w:val="20"/>
        </w:rPr>
      </w:pPr>
      <w:r>
        <w:rPr>
          <w:rFonts w:eastAsia="Calibri" w:cs="Plantin" w:ascii="Plantin" w:hAnsi="Plantin"/>
          <w:sz w:val="20"/>
          <w:szCs w:val="20"/>
        </w:rPr>
        <w:t>into instantiations of a global process. (44)</w:t>
      </w:r>
    </w:p>
    <w:p>
      <w:pPr>
        <w:pStyle w:val="Normal"/>
        <w:jc w:val="left"/>
        <w:rPr>
          <w:rFonts w:ascii="Plantin" w:hAnsi="Plantin" w:eastAsia="Calibri" w:cs="Plantin"/>
          <w:sz w:val="20"/>
          <w:szCs w:val="20"/>
        </w:rPr>
      </w:pPr>
      <w:r>
        <w:rPr>
          <w:rFonts w:eastAsia="Calibri" w:cs="Plantin" w:ascii="Plantin" w:hAnsi="Plantin"/>
          <w:sz w:val="20"/>
          <w:szCs w:val="20"/>
        </w:rPr>
        <w:t>There are some more things to be said about mereology before we move</w:t>
      </w:r>
    </w:p>
    <w:p>
      <w:pPr>
        <w:pStyle w:val="Normal"/>
        <w:jc w:val="left"/>
        <w:rPr>
          <w:rFonts w:ascii="Plantin" w:hAnsi="Plantin" w:eastAsia="Calibri" w:cs="Plantin"/>
          <w:sz w:val="20"/>
          <w:szCs w:val="20"/>
        </w:rPr>
      </w:pPr>
      <w:r>
        <w:rPr>
          <w:rFonts w:eastAsia="Calibri" w:cs="Plantin" w:ascii="Plantin" w:hAnsi="Plantin"/>
          <w:sz w:val="20"/>
          <w:szCs w:val="20"/>
        </w:rPr>
        <w:t>on. Again, since objects can’t be undermined or overmined, it means that</w:t>
      </w:r>
    </w:p>
    <w:p>
      <w:pPr>
        <w:pStyle w:val="Normal"/>
        <w:jc w:val="left"/>
        <w:rPr/>
      </w:pPr>
      <w:r>
        <w:rPr>
          <w:rFonts w:eastAsia="Calibri" w:cs="Plantin" w:ascii="Plantin" w:hAnsi="Plantin"/>
          <w:sz w:val="20"/>
          <w:szCs w:val="20"/>
        </w:rPr>
        <w:t xml:space="preserve">there is strictly </w:t>
      </w:r>
      <w:r>
        <w:rPr>
          <w:rFonts w:eastAsia="Calibri" w:cs="Plantin-Italic" w:ascii="Plantin-Italic" w:hAnsi="Plantin-Italic"/>
          <w:i/>
          <w:iCs/>
          <w:sz w:val="20"/>
          <w:szCs w:val="20"/>
        </w:rPr>
        <w:t>no bottom object</w:t>
      </w:r>
      <w:r>
        <w:rPr>
          <w:rFonts w:eastAsia="Calibri" w:cs="Plantin" w:ascii="Plantin" w:hAnsi="Plantin"/>
          <w:sz w:val="20"/>
          <w:szCs w:val="20"/>
        </w:rPr>
        <w:t>. There is no object to which all other objects can be reduced, so that we can say everything we wish about them, based</w:t>
      </w:r>
    </w:p>
    <w:p>
      <w:pPr>
        <w:pStyle w:val="Normal"/>
        <w:jc w:val="left"/>
        <w:rPr>
          <w:rFonts w:ascii="Plantin" w:hAnsi="Plantin" w:eastAsia="Calibri" w:cs="Plantin"/>
          <w:sz w:val="20"/>
          <w:szCs w:val="20"/>
        </w:rPr>
      </w:pPr>
      <w:r>
        <w:rPr>
          <w:rFonts w:eastAsia="Calibri" w:cs="Plantin" w:ascii="Plantin" w:hAnsi="Plantin"/>
          <w:sz w:val="20"/>
          <w:szCs w:val="20"/>
        </w:rPr>
        <w:t>on the behavior of the bottom object… Objects are not emanations from some</w:t>
      </w:r>
    </w:p>
    <w:p>
      <w:pPr>
        <w:pStyle w:val="Storybodytext"/>
        <w:spacing w:before="0" w:after="270"/>
        <w:rPr>
          <w:rFonts w:ascii="Plantin" w:hAnsi="Plantin" w:eastAsia="Calibri" w:cs="Plantin"/>
          <w:sz w:val="20"/>
          <w:szCs w:val="20"/>
        </w:rPr>
      </w:pPr>
      <w:r>
        <w:rPr>
          <w:rFonts w:eastAsia="Calibri" w:cs="Plantin" w:ascii="Plantin" w:hAnsi="Plantin"/>
          <w:sz w:val="20"/>
          <w:szCs w:val="20"/>
        </w:rPr>
        <w:t>primordial One or from a prime mover. (45-6)</w:t>
      </w:r>
    </w:p>
    <w:p>
      <w:pPr>
        <w:pStyle w:val="Normal"/>
        <w:jc w:val="left"/>
        <w:rPr>
          <w:rFonts w:ascii="Plantin" w:hAnsi="Plantin" w:eastAsia="Calibri" w:cs="Plantin"/>
          <w:sz w:val="20"/>
          <w:szCs w:val="20"/>
        </w:rPr>
      </w:pPr>
      <w:r>
        <w:rPr>
          <w:rFonts w:eastAsia="Calibri" w:cs="Plantin" w:ascii="Plantin" w:hAnsi="Plantin"/>
          <w:sz w:val="20"/>
          <w:szCs w:val="20"/>
        </w:rPr>
        <w:t>At the end of the journey, this coral reef is</w:t>
      </w:r>
    </w:p>
    <w:p>
      <w:pPr>
        <w:pStyle w:val="Normal"/>
        <w:jc w:val="left"/>
        <w:rPr>
          <w:rFonts w:ascii="Plantin" w:hAnsi="Plantin" w:eastAsia="Calibri" w:cs="Plantin"/>
          <w:sz w:val="20"/>
          <w:szCs w:val="20"/>
        </w:rPr>
      </w:pPr>
      <w:r>
        <w:rPr>
          <w:rFonts w:eastAsia="Calibri" w:cs="Plantin" w:ascii="Plantin" w:hAnsi="Plantin"/>
          <w:sz w:val="20"/>
          <w:szCs w:val="20"/>
        </w:rPr>
        <w:t>found not to be under an ocean at all. The entire ocean, with all its darkness,</w:t>
      </w:r>
    </w:p>
    <w:p>
      <w:pPr>
        <w:pStyle w:val="Normal"/>
        <w:jc w:val="left"/>
        <w:rPr>
          <w:rFonts w:ascii="Plantin" w:hAnsi="Plantin" w:eastAsia="Calibri" w:cs="Plantin"/>
          <w:sz w:val="20"/>
          <w:szCs w:val="20"/>
        </w:rPr>
      </w:pPr>
      <w:r>
        <w:rPr>
          <w:rFonts w:eastAsia="Calibri" w:cs="Plantin" w:ascii="Plantin" w:hAnsi="Plantin"/>
          <w:sz w:val="20"/>
          <w:szCs w:val="20"/>
        </w:rPr>
        <w:t>its fish and its floating islands of metaphysical facts, is just a projection of</w:t>
      </w:r>
    </w:p>
    <w:p>
      <w:pPr>
        <w:pStyle w:val="Normal"/>
        <w:jc w:val="left"/>
        <w:rPr/>
      </w:pPr>
      <w:r>
        <w:rPr>
          <w:rFonts w:eastAsia="Calibri" w:cs="Plantin" w:ascii="Plantin" w:hAnsi="Plantin"/>
          <w:sz w:val="20"/>
          <w:szCs w:val="20"/>
        </w:rPr>
        <w:t xml:space="preserve">one of the things in the coral reef—the human being. </w:t>
      </w:r>
      <w:r>
        <w:rPr>
          <w:rFonts w:eastAsia="PlantinExpert" w:cs="PlantinExpert" w:ascii="PlantinExpert" w:hAnsi="PlantinExpert"/>
          <w:sz w:val="20"/>
          <w:szCs w:val="20"/>
        </w:rPr>
        <w:t xml:space="preserve">ooo </w:t>
      </w:r>
      <w:r>
        <w:rPr>
          <w:rFonts w:eastAsia="Calibri" w:cs="Plantin" w:ascii="Plantin" w:hAnsi="Plantin"/>
          <w:sz w:val="20"/>
          <w:szCs w:val="20"/>
        </w:rPr>
        <w:t>is a Copernican</w:t>
      </w:r>
    </w:p>
    <w:p>
      <w:pPr>
        <w:pStyle w:val="Normal"/>
        <w:jc w:val="left"/>
        <w:rPr>
          <w:rFonts w:ascii="Plantin" w:hAnsi="Plantin" w:eastAsia="Calibri" w:cs="Plantin"/>
          <w:sz w:val="20"/>
          <w:szCs w:val="20"/>
        </w:rPr>
      </w:pPr>
      <w:r>
        <w:rPr>
          <w:rFonts w:eastAsia="Calibri" w:cs="Plantin" w:ascii="Plantin" w:hAnsi="Plantin"/>
          <w:sz w:val="20"/>
          <w:szCs w:val="20"/>
        </w:rPr>
        <w:t>turn within the supposed Copernican turn of Kant, who argued that reality</w:t>
      </w:r>
    </w:p>
    <w:p>
      <w:pPr>
        <w:pStyle w:val="Normal"/>
        <w:jc w:val="left"/>
        <w:rPr>
          <w:rFonts w:ascii="Plantin" w:hAnsi="Plantin" w:eastAsia="Calibri" w:cs="Plantin"/>
          <w:sz w:val="20"/>
          <w:szCs w:val="20"/>
        </w:rPr>
      </w:pPr>
      <w:r>
        <w:rPr>
          <w:rFonts w:eastAsia="Calibri" w:cs="Plantin" w:ascii="Plantin" w:hAnsi="Plantin"/>
          <w:sz w:val="20"/>
          <w:szCs w:val="20"/>
        </w:rPr>
        <w:t>was correlated to (human) acts of synthetic judgment a priori. The crack</w:t>
      </w:r>
    </w:p>
    <w:p>
      <w:pPr>
        <w:pStyle w:val="Normal"/>
        <w:jc w:val="left"/>
        <w:rPr>
          <w:rFonts w:ascii="Plantin" w:hAnsi="Plantin" w:eastAsia="Calibri" w:cs="Plantin"/>
          <w:sz w:val="20"/>
          <w:szCs w:val="20"/>
        </w:rPr>
      </w:pPr>
      <w:r>
        <w:rPr>
          <w:rFonts w:eastAsia="Calibri" w:cs="Plantin" w:ascii="Plantin" w:hAnsi="Plantin"/>
          <w:sz w:val="20"/>
          <w:szCs w:val="20"/>
        </w:rPr>
        <w:t>in the real that Kant discovered—I can count but I can’t explain directly</w:t>
      </w:r>
    </w:p>
    <w:p>
      <w:pPr>
        <w:pStyle w:val="Normal"/>
        <w:jc w:val="left"/>
        <w:rPr>
          <w:rFonts w:ascii="Plantin" w:hAnsi="Plantin" w:eastAsia="Calibri" w:cs="Plantin"/>
          <w:sz w:val="20"/>
          <w:szCs w:val="20"/>
        </w:rPr>
      </w:pPr>
      <w:r>
        <w:rPr>
          <w:rFonts w:eastAsia="Calibri" w:cs="Plantin" w:ascii="Plantin" w:hAnsi="Plantin"/>
          <w:sz w:val="20"/>
          <w:szCs w:val="20"/>
        </w:rPr>
        <w:t>what number is, for instance—is only a (human) mental crack among</w:t>
      </w:r>
    </w:p>
    <w:p>
      <w:pPr>
        <w:pStyle w:val="Normal"/>
        <w:jc w:val="left"/>
        <w:rPr>
          <w:rFonts w:ascii="Plantin" w:hAnsi="Plantin" w:eastAsia="Calibri" w:cs="Plantin"/>
          <w:sz w:val="20"/>
          <w:szCs w:val="20"/>
        </w:rPr>
      </w:pPr>
      <w:r>
        <w:rPr>
          <w:rFonts w:eastAsia="Calibri" w:cs="Plantin" w:ascii="Plantin" w:hAnsi="Plantin"/>
          <w:sz w:val="20"/>
          <w:szCs w:val="20"/>
        </w:rPr>
        <w:t>trillions, such as the crack between a polyp and the ocean floor, or between</w:t>
      </w:r>
    </w:p>
    <w:p>
      <w:pPr>
        <w:pStyle w:val="Normal"/>
        <w:jc w:val="left"/>
        <w:rPr>
          <w:rFonts w:ascii="Plantin" w:hAnsi="Plantin" w:eastAsia="Calibri" w:cs="Plantin"/>
          <w:sz w:val="20"/>
          <w:szCs w:val="20"/>
        </w:rPr>
      </w:pPr>
      <w:r>
        <w:rPr>
          <w:rFonts w:eastAsia="Calibri" w:cs="Plantin" w:ascii="Plantin" w:hAnsi="Plantin"/>
          <w:sz w:val="20"/>
          <w:szCs w:val="20"/>
        </w:rPr>
        <w:t>a polyp and itself.</w:t>
      </w:r>
    </w:p>
    <w:p>
      <w:pPr>
        <w:pStyle w:val="Normal"/>
        <w:jc w:val="left"/>
        <w:rPr>
          <w:rFonts w:ascii="Plantin" w:hAnsi="Plantin" w:eastAsia="Calibri" w:cs="Plantin"/>
          <w:sz w:val="20"/>
          <w:szCs w:val="20"/>
        </w:rPr>
      </w:pPr>
      <w:r>
        <w:rPr>
          <w:rFonts w:eastAsia="Calibri" w:cs="Plantin" w:ascii="Plantin" w:hAnsi="Plantin"/>
          <w:sz w:val="20"/>
          <w:szCs w:val="20"/>
        </w:rPr>
        <w:t>Let us continue to explore the coordinates of the non-theistic universe of</w:t>
      </w:r>
    </w:p>
    <w:p>
      <w:pPr>
        <w:pStyle w:val="Normal"/>
        <w:jc w:val="left"/>
        <w:rPr/>
      </w:pPr>
      <w:r>
        <w:rPr>
          <w:rFonts w:eastAsia="PlantinExpert" w:cs="PlantinExpert" w:ascii="PlantinExpert" w:hAnsi="PlantinExpert"/>
          <w:sz w:val="20"/>
          <w:szCs w:val="20"/>
        </w:rPr>
        <w:t>ooo</w:t>
      </w:r>
      <w:r>
        <w:rPr>
          <w:rFonts w:eastAsia="Calibri" w:cs="Plantin" w:ascii="Plantin" w:hAnsi="Plantin"/>
          <w:sz w:val="20"/>
          <w:szCs w:val="20"/>
        </w:rPr>
        <w:t xml:space="preserve">. If there is no top object and no bottom object, neither is there a </w:t>
      </w:r>
      <w:r>
        <w:rPr>
          <w:rFonts w:eastAsia="Calibri" w:cs="Plantin-Italic" w:ascii="Plantin-Italic" w:hAnsi="Plantin-Italic"/>
          <w:i/>
          <w:iCs/>
          <w:sz w:val="20"/>
          <w:szCs w:val="20"/>
        </w:rPr>
        <w:t>middle</w:t>
      </w:r>
    </w:p>
    <w:p>
      <w:pPr>
        <w:pStyle w:val="Normal"/>
        <w:jc w:val="left"/>
        <w:rPr/>
      </w:pPr>
      <w:r>
        <w:rPr>
          <w:rFonts w:eastAsia="Calibri" w:cs="Plantin-Italic" w:ascii="Plantin-Italic" w:hAnsi="Plantin-Italic"/>
          <w:i/>
          <w:iCs/>
          <w:sz w:val="20"/>
          <w:szCs w:val="20"/>
        </w:rPr>
        <w:t>object</w:t>
      </w:r>
      <w:r>
        <w:rPr>
          <w:rFonts w:eastAsia="Calibri" w:cs="Plantin" w:ascii="Plantin" w:hAnsi="Plantin"/>
          <w:sz w:val="20"/>
          <w:szCs w:val="20"/>
        </w:rPr>
        <w:t>. That is, there is no such thing as a space, or time, “in” which objects</w:t>
      </w:r>
    </w:p>
    <w:p>
      <w:pPr>
        <w:pStyle w:val="Normal"/>
        <w:jc w:val="left"/>
        <w:rPr>
          <w:rFonts w:ascii="Plantin" w:hAnsi="Plantin" w:eastAsia="Calibri" w:cs="Plantin"/>
          <w:sz w:val="20"/>
          <w:szCs w:val="20"/>
        </w:rPr>
      </w:pPr>
      <w:r>
        <w:rPr>
          <w:rFonts w:eastAsia="Calibri" w:cs="Plantin" w:ascii="Plantin" w:hAnsi="Plantin"/>
          <w:sz w:val="20"/>
          <w:szCs w:val="20"/>
        </w:rPr>
        <w:t>float. There is no environment distinct from objects. There is no Nature.</w:t>
      </w:r>
    </w:p>
    <w:p>
      <w:pPr>
        <w:pStyle w:val="Normal"/>
        <w:jc w:val="left"/>
        <w:rPr>
          <w:rFonts w:ascii="Plantin" w:hAnsi="Plantin" w:eastAsia="Calibri" w:cs="Plantin"/>
          <w:sz w:val="20"/>
          <w:szCs w:val="20"/>
        </w:rPr>
      </w:pPr>
      <w:r>
        <w:rPr>
          <w:rFonts w:eastAsia="Calibri" w:cs="Plantin" w:ascii="Plantin" w:hAnsi="Plantin"/>
          <w:sz w:val="20"/>
          <w:szCs w:val="20"/>
        </w:rPr>
        <w:t>There is no world, if by world we mean a kind of “rope” that connects things</w:t>
      </w:r>
    </w:p>
    <w:p>
      <w:pPr>
        <w:pStyle w:val="Normal"/>
        <w:jc w:val="left"/>
        <w:rPr>
          <w:rFonts w:ascii="Plantin" w:hAnsi="Plantin" w:eastAsia="Calibri" w:cs="Plantin"/>
          <w:sz w:val="20"/>
          <w:szCs w:val="20"/>
        </w:rPr>
      </w:pPr>
      <w:r>
        <w:rPr>
          <w:rFonts w:eastAsia="Calibri" w:cs="Plantin" w:ascii="Plantin" w:hAnsi="Plantin"/>
          <w:sz w:val="20"/>
          <w:szCs w:val="20"/>
        </w:rPr>
        <w:t>together.14 All such connections must be emergent properties of objects</w:t>
      </w:r>
    </w:p>
    <w:p>
      <w:pPr>
        <w:pStyle w:val="Normal"/>
        <w:jc w:val="left"/>
        <w:rPr>
          <w:rFonts w:ascii="Plantin" w:hAnsi="Plantin" w:eastAsia="Calibri" w:cs="Plantin"/>
          <w:sz w:val="20"/>
          <w:szCs w:val="20"/>
        </w:rPr>
      </w:pPr>
      <w:r>
        <w:rPr>
          <w:rFonts w:eastAsia="Calibri" w:cs="Plantin" w:ascii="Plantin" w:hAnsi="Plantin"/>
          <w:sz w:val="20"/>
          <w:szCs w:val="20"/>
        </w:rPr>
        <w:t>themselves. And this of course is well in line with post-Einsteinian physics,</w:t>
      </w:r>
    </w:p>
    <w:p>
      <w:pPr>
        <w:pStyle w:val="Normal"/>
        <w:jc w:val="left"/>
        <w:rPr>
          <w:rFonts w:ascii="Plantin" w:hAnsi="Plantin" w:eastAsia="Calibri" w:cs="Plantin"/>
          <w:sz w:val="20"/>
          <w:szCs w:val="20"/>
        </w:rPr>
      </w:pPr>
      <w:r>
        <w:rPr>
          <w:rFonts w:eastAsia="Calibri" w:cs="Plantin" w:ascii="Plantin" w:hAnsi="Plantin"/>
          <w:sz w:val="20"/>
          <w:szCs w:val="20"/>
        </w:rPr>
        <w:t>in which spacetime just is the product of objects, perhaps even a certain</w:t>
      </w:r>
    </w:p>
    <w:p>
      <w:pPr>
        <w:pStyle w:val="Normal"/>
        <w:jc w:val="left"/>
        <w:rPr>
          <w:rFonts w:ascii="Plantin" w:hAnsi="Plantin" w:eastAsia="Calibri" w:cs="Plantin"/>
          <w:sz w:val="20"/>
          <w:szCs w:val="20"/>
        </w:rPr>
      </w:pPr>
      <w:r>
        <w:rPr>
          <w:rFonts w:eastAsia="Calibri" w:cs="Plantin" w:ascii="Plantin" w:hAnsi="Plantin"/>
          <w:sz w:val="20"/>
          <w:szCs w:val="20"/>
        </w:rPr>
        <w:t>scale of object larger than say 10-17cm.15 Objects don’t sit in a spatiotemporal</w:t>
      </w:r>
    </w:p>
    <w:p>
      <w:pPr>
        <w:pStyle w:val="Normal"/>
        <w:jc w:val="left"/>
        <w:rPr>
          <w:rFonts w:ascii="Plantin" w:hAnsi="Plantin" w:eastAsia="Calibri" w:cs="Plantin"/>
          <w:sz w:val="20"/>
          <w:szCs w:val="20"/>
        </w:rPr>
      </w:pPr>
      <w:r>
        <w:rPr>
          <w:rFonts w:eastAsia="Calibri" w:cs="Plantin" w:ascii="Plantin" w:hAnsi="Plantin"/>
          <w:sz w:val="20"/>
          <w:szCs w:val="20"/>
        </w:rPr>
        <w:t>box. It’s the other way around: space and time emanate from objects.</w:t>
      </w:r>
    </w:p>
    <w:p>
      <w:pPr>
        <w:pStyle w:val="Normal"/>
        <w:jc w:val="left"/>
        <w:rPr>
          <w:rFonts w:ascii="Plantin" w:hAnsi="Plantin" w:eastAsia="Calibri" w:cs="Plantin"/>
          <w:sz w:val="20"/>
          <w:szCs w:val="20"/>
        </w:rPr>
      </w:pPr>
      <w:r>
        <w:rPr>
          <w:rFonts w:eastAsia="Calibri" w:cs="Plantin" w:ascii="Plantin" w:hAnsi="Plantin"/>
          <w:sz w:val="20"/>
          <w:szCs w:val="20"/>
        </w:rPr>
        <w:t>To reiterate, if there are no top, bottom, or middle objects, then it is</w:t>
      </w:r>
    </w:p>
    <w:p>
      <w:pPr>
        <w:pStyle w:val="Normal"/>
        <w:jc w:val="left"/>
        <w:rPr>
          <w:rFonts w:ascii="Plantin" w:hAnsi="Plantin" w:eastAsia="Calibri" w:cs="Plantin"/>
          <w:sz w:val="20"/>
          <w:szCs w:val="20"/>
        </w:rPr>
      </w:pPr>
      <w:r>
        <w:rPr>
          <w:rFonts w:eastAsia="Calibri" w:cs="Plantin" w:ascii="Plantin" w:hAnsi="Plantin"/>
          <w:sz w:val="20"/>
          <w:szCs w:val="20"/>
        </w:rPr>
        <w:t>possible that there is an infinite regress of objects within objects, and an</w:t>
      </w:r>
    </w:p>
    <w:p>
      <w:pPr>
        <w:pStyle w:val="Normal"/>
        <w:jc w:val="left"/>
        <w:rPr>
          <w:rFonts w:ascii="Plantin" w:hAnsi="Plantin" w:eastAsia="Calibri" w:cs="Plantin"/>
          <w:sz w:val="20"/>
          <w:szCs w:val="20"/>
        </w:rPr>
      </w:pPr>
      <w:r>
        <w:rPr>
          <w:rFonts w:eastAsia="Calibri" w:cs="Plantin" w:ascii="Plantin" w:hAnsi="Plantin"/>
          <w:sz w:val="20"/>
          <w:szCs w:val="20"/>
        </w:rPr>
        <w:t>infinite progress of objects surrounding objects. This possibility seems</w:t>
      </w:r>
    </w:p>
    <w:p>
      <w:pPr>
        <w:pStyle w:val="Normal"/>
        <w:jc w:val="left"/>
        <w:rPr/>
      </w:pPr>
      <w:r>
        <w:rPr>
          <w:rFonts w:eastAsia="Calibri" w:cs="Plantin" w:ascii="Plantin" w:hAnsi="Plantin"/>
          <w:sz w:val="20"/>
          <w:szCs w:val="20"/>
        </w:rPr>
        <w:t xml:space="preserve">less objectionable to </w:t>
      </w:r>
      <w:r>
        <w:rPr>
          <w:rFonts w:eastAsia="PlantinExpert" w:cs="PlantinExpert" w:ascii="PlantinExpert" w:hAnsi="PlantinExpert"/>
          <w:sz w:val="20"/>
          <w:szCs w:val="20"/>
        </w:rPr>
        <w:t xml:space="preserve">ooo </w:t>
      </w:r>
      <w:r>
        <w:rPr>
          <w:rFonts w:eastAsia="Calibri" w:cs="Plantin" w:ascii="Plantin" w:hAnsi="Plantin"/>
          <w:sz w:val="20"/>
          <w:szCs w:val="20"/>
        </w:rPr>
        <w:t>than the notion that there is a top object or a</w:t>
      </w:r>
    </w:p>
    <w:p>
      <w:pPr>
        <w:pStyle w:val="Storybodytext"/>
        <w:spacing w:before="0" w:after="270"/>
        <w:rPr>
          <w:rFonts w:ascii="Plantin" w:hAnsi="Plantin" w:eastAsia="Calibri" w:cs="Plantin"/>
          <w:sz w:val="20"/>
          <w:szCs w:val="20"/>
        </w:rPr>
      </w:pPr>
      <w:r>
        <w:rPr>
          <w:rFonts w:eastAsia="Calibri" w:cs="Plantin" w:ascii="Plantin" w:hAnsi="Plantin"/>
          <w:sz w:val="20"/>
          <w:szCs w:val="20"/>
        </w:rPr>
        <w:t>bottom object. (48)</w:t>
      </w:r>
    </w:p>
    <w:p>
      <w:pPr>
        <w:pStyle w:val="Normal"/>
        <w:jc w:val="left"/>
        <w:rPr>
          <w:rFonts w:ascii="Plantin" w:hAnsi="Plantin" w:eastAsia="Calibri" w:cs="Plantin"/>
          <w:sz w:val="20"/>
          <w:szCs w:val="20"/>
        </w:rPr>
      </w:pPr>
      <w:r>
        <w:rPr>
          <w:rFonts w:eastAsia="Calibri" w:cs="Plantin" w:ascii="Plantin" w:hAnsi="Plantin"/>
          <w:sz w:val="20"/>
          <w:szCs w:val="20"/>
        </w:rPr>
        <w:t>To reiterate once again: there can be no “top object” that gives meaning</w:t>
      </w:r>
    </w:p>
    <w:p>
      <w:pPr>
        <w:pStyle w:val="Normal"/>
        <w:jc w:val="left"/>
        <w:rPr>
          <w:rFonts w:ascii="Plantin" w:hAnsi="Plantin" w:eastAsia="Calibri" w:cs="Plantin"/>
          <w:sz w:val="20"/>
          <w:szCs w:val="20"/>
        </w:rPr>
      </w:pPr>
      <w:r>
        <w:rPr>
          <w:rFonts w:eastAsia="Calibri" w:cs="Plantin" w:ascii="Plantin" w:hAnsi="Plantin"/>
          <w:sz w:val="20"/>
          <w:szCs w:val="20"/>
        </w:rPr>
        <w:t>and reality to the others, such as a certain kind of God. And there can</w:t>
      </w:r>
    </w:p>
    <w:p>
      <w:pPr>
        <w:pStyle w:val="Normal"/>
        <w:jc w:val="left"/>
        <w:rPr>
          <w:rFonts w:ascii="Plantin" w:hAnsi="Plantin" w:eastAsia="Calibri" w:cs="Plantin"/>
          <w:sz w:val="20"/>
          <w:szCs w:val="20"/>
        </w:rPr>
      </w:pPr>
      <w:r>
        <w:rPr>
          <w:rFonts w:eastAsia="Calibri" w:cs="Plantin" w:ascii="Plantin" w:hAnsi="Plantin"/>
          <w:sz w:val="20"/>
          <w:szCs w:val="20"/>
        </w:rPr>
        <w:t>be no “bottom object,” some kind of fundamental particle or ether from</w:t>
      </w:r>
    </w:p>
    <w:p>
      <w:pPr>
        <w:pStyle w:val="Normal"/>
        <w:jc w:val="left"/>
        <w:rPr>
          <w:rFonts w:ascii="Plantin" w:hAnsi="Plantin" w:eastAsia="Calibri" w:cs="Plantin"/>
          <w:sz w:val="20"/>
          <w:szCs w:val="20"/>
        </w:rPr>
      </w:pPr>
      <w:r>
        <w:rPr>
          <w:rFonts w:eastAsia="Calibri" w:cs="Plantin" w:ascii="Plantin" w:hAnsi="Plantin"/>
          <w:sz w:val="20"/>
          <w:szCs w:val="20"/>
        </w:rPr>
        <w:t>which everything else is derived. Likewise, there is no ether or medium</w:t>
      </w:r>
    </w:p>
    <w:p>
      <w:pPr>
        <w:pStyle w:val="Normal"/>
        <w:jc w:val="left"/>
        <w:rPr>
          <w:rFonts w:ascii="Plantin" w:hAnsi="Plantin" w:eastAsia="Calibri" w:cs="Plantin"/>
          <w:sz w:val="20"/>
          <w:szCs w:val="20"/>
        </w:rPr>
      </w:pPr>
      <w:r>
        <w:rPr>
          <w:rFonts w:eastAsia="Calibri" w:cs="Plantin" w:ascii="Plantin" w:hAnsi="Plantin"/>
          <w:sz w:val="20"/>
          <w:szCs w:val="20"/>
        </w:rPr>
        <w:t>or “middle object” in which other objects float. Such a medium has been</w:t>
      </w:r>
    </w:p>
    <w:p>
      <w:pPr>
        <w:pStyle w:val="Normal"/>
        <w:jc w:val="left"/>
        <w:rPr/>
      </w:pPr>
      <w:r>
        <w:rPr>
          <w:rFonts w:eastAsia="Calibri" w:cs="Plantin" w:ascii="Plantin" w:hAnsi="Plantin"/>
          <w:sz w:val="20"/>
          <w:szCs w:val="20"/>
        </w:rPr>
        <w:t xml:space="preserve">given many terms and explanations over the years: </w:t>
      </w:r>
      <w:r>
        <w:rPr>
          <w:rFonts w:eastAsia="Calibri" w:cs="Plantin-Italic" w:ascii="Plantin-Italic" w:hAnsi="Plantin-Italic"/>
          <w:i/>
          <w:iCs/>
          <w:sz w:val="20"/>
          <w:szCs w:val="20"/>
        </w:rPr>
        <w:t xml:space="preserve">periechon </w:t>
      </w:r>
      <w:r>
        <w:rPr>
          <w:rFonts w:eastAsia="Calibri" w:cs="Plantin" w:ascii="Plantin" w:hAnsi="Plantin"/>
          <w:sz w:val="20"/>
          <w:szCs w:val="20"/>
        </w:rPr>
        <w:t>(“surround”),</w:t>
      </w:r>
    </w:p>
    <w:p>
      <w:pPr>
        <w:pStyle w:val="Normal"/>
        <w:jc w:val="left"/>
        <w:rPr>
          <w:rFonts w:ascii="Plantin" w:hAnsi="Plantin" w:eastAsia="Calibri" w:cs="Plantin"/>
          <w:sz w:val="20"/>
          <w:szCs w:val="20"/>
        </w:rPr>
      </w:pPr>
      <w:r>
        <w:rPr>
          <w:rFonts w:eastAsia="Calibri" w:cs="Plantin" w:ascii="Plantin" w:hAnsi="Plantin"/>
          <w:sz w:val="20"/>
          <w:szCs w:val="20"/>
        </w:rPr>
        <w:t>world, environment, Newtonian space and time, Nature, ether, ambience,</w:t>
      </w:r>
    </w:p>
    <w:p>
      <w:pPr>
        <w:pStyle w:val="Storybodytext"/>
        <w:spacing w:before="0" w:after="270"/>
        <w:rPr>
          <w:rFonts w:ascii="Plantin" w:hAnsi="Plantin" w:eastAsia="Calibri" w:cs="Plantin"/>
          <w:sz w:val="20"/>
          <w:szCs w:val="20"/>
        </w:rPr>
      </w:pPr>
      <w:r>
        <w:rPr>
          <w:rFonts w:eastAsia="Calibri" w:cs="Plantin" w:ascii="Plantin" w:hAnsi="Plantin"/>
          <w:sz w:val="20"/>
          <w:szCs w:val="20"/>
        </w:rPr>
        <w:t>circumambient fluid. (49)</w:t>
      </w:r>
    </w:p>
    <w:p>
      <w:pPr>
        <w:pStyle w:val="Normal"/>
        <w:jc w:val="left"/>
        <w:rPr/>
      </w:pPr>
      <w:r>
        <w:rPr>
          <w:rFonts w:eastAsia="PlantinExpert" w:cs="PlantinExpert" w:ascii="PlantinExpert" w:hAnsi="PlantinExpert"/>
          <w:sz w:val="20"/>
          <w:szCs w:val="20"/>
        </w:rPr>
        <w:t xml:space="preserve">ooo </w:t>
      </w:r>
      <w:r>
        <w:rPr>
          <w:rFonts w:eastAsia="PlantinExpert" w:cs="Plantin" w:ascii="Plantin" w:hAnsi="Plantin"/>
          <w:sz w:val="20"/>
          <w:szCs w:val="20"/>
        </w:rPr>
        <w:t>finds an explanation in objects themselves.</w:t>
      </w:r>
    </w:p>
    <w:p>
      <w:pPr>
        <w:pStyle w:val="Normal"/>
        <w:jc w:val="left"/>
        <w:rPr>
          <w:rFonts w:ascii="Plantin" w:hAnsi="Plantin" w:eastAsia="PlantinExpert" w:cs="Plantin"/>
          <w:sz w:val="20"/>
          <w:szCs w:val="20"/>
        </w:rPr>
      </w:pPr>
      <w:r>
        <w:rPr>
          <w:rFonts w:eastAsia="PlantinExpert" w:cs="Plantin" w:ascii="Plantin" w:hAnsi="Plantin"/>
          <w:sz w:val="20"/>
          <w:szCs w:val="20"/>
        </w:rPr>
        <w:t>Indeed, the ideal explanation would rely on just one single object—a rather</w:t>
      </w:r>
    </w:p>
    <w:p>
      <w:pPr>
        <w:pStyle w:val="Normal"/>
        <w:jc w:val="left"/>
        <w:rPr>
          <w:rFonts w:ascii="Plantin" w:hAnsi="Plantin" w:eastAsia="PlantinExpert" w:cs="Plantin"/>
          <w:sz w:val="20"/>
          <w:szCs w:val="20"/>
        </w:rPr>
      </w:pPr>
      <w:r>
        <w:rPr>
          <w:rFonts w:eastAsia="PlantinExpert" w:cs="Plantin" w:ascii="Plantin" w:hAnsi="Plantin"/>
          <w:sz w:val="20"/>
          <w:szCs w:val="20"/>
        </w:rPr>
        <w:t>cheeky fact, in a world where interconnectedness is the standard issue of</w:t>
      </w:r>
    </w:p>
    <w:p>
      <w:pPr>
        <w:pStyle w:val="Normal"/>
        <w:jc w:val="left"/>
        <w:rPr>
          <w:rFonts w:ascii="Plantin" w:hAnsi="Plantin" w:eastAsia="PlantinExpert" w:cs="Plantin"/>
          <w:sz w:val="20"/>
          <w:szCs w:val="20"/>
        </w:rPr>
      </w:pPr>
      <w:r>
        <w:rPr>
          <w:rFonts w:eastAsia="PlantinExpert" w:cs="Plantin" w:ascii="Plantin" w:hAnsi="Plantin"/>
          <w:sz w:val="20"/>
          <w:szCs w:val="20"/>
        </w:rPr>
        <w:t>the day in so many areas of life. There are very good reasons for this brazen</w:t>
      </w:r>
    </w:p>
    <w:p>
      <w:pPr>
        <w:pStyle w:val="Normal"/>
        <w:jc w:val="left"/>
        <w:rPr>
          <w:rFonts w:ascii="Plantin" w:hAnsi="Plantin" w:eastAsia="PlantinExpert" w:cs="Plantin"/>
          <w:sz w:val="20"/>
          <w:szCs w:val="20"/>
        </w:rPr>
      </w:pPr>
      <w:r>
        <w:rPr>
          <w:rFonts w:eastAsia="PlantinExpert" w:cs="Plantin" w:ascii="Plantin" w:hAnsi="Plantin"/>
          <w:sz w:val="20"/>
          <w:szCs w:val="20"/>
        </w:rPr>
        <w:t>cheek. If we can’t explain reality from just one single thing, we are stuck</w:t>
      </w:r>
    </w:p>
    <w:p>
      <w:pPr>
        <w:pStyle w:val="Normal"/>
        <w:jc w:val="left"/>
        <w:rPr>
          <w:rFonts w:ascii="Plantin" w:hAnsi="Plantin" w:eastAsia="PlantinExpert" w:cs="Plantin"/>
          <w:sz w:val="20"/>
          <w:szCs w:val="20"/>
        </w:rPr>
      </w:pPr>
      <w:r>
        <w:rPr>
          <w:rFonts w:eastAsia="PlantinExpert" w:cs="Plantin" w:ascii="Plantin" w:hAnsi="Plantin"/>
          <w:sz w:val="20"/>
          <w:szCs w:val="20"/>
        </w:rPr>
        <w:t>with a scenario in which objects require other entities to function, and this</w:t>
      </w:r>
    </w:p>
    <w:p>
      <w:pPr>
        <w:pStyle w:val="Normal"/>
        <w:jc w:val="left"/>
        <w:rPr/>
      </w:pPr>
      <w:r>
        <w:rPr>
          <w:rFonts w:eastAsia="PlantinExpert" w:cs="Plantin" w:ascii="Plantin" w:hAnsi="Plantin"/>
          <w:sz w:val="20"/>
          <w:szCs w:val="20"/>
        </w:rPr>
        <w:t xml:space="preserve">would lead to some kind of undermining or overmining, which </w:t>
      </w:r>
      <w:r>
        <w:rPr>
          <w:rFonts w:eastAsia="PlantinExpert" w:cs="PlantinExpert" w:ascii="PlantinExpert" w:hAnsi="PlantinExpert"/>
          <w:sz w:val="20"/>
          <w:szCs w:val="20"/>
        </w:rPr>
        <w:t xml:space="preserve">ooo </w:t>
      </w:r>
      <w:r>
        <w:rPr>
          <w:rFonts w:eastAsia="PlantinExpert" w:cs="Plantin" w:ascii="Plantin" w:hAnsi="Plantin"/>
          <w:sz w:val="20"/>
          <w:szCs w:val="20"/>
        </w:rPr>
        <w:t>rules</w:t>
      </w:r>
    </w:p>
    <w:p>
      <w:pPr>
        <w:pStyle w:val="Normal"/>
        <w:jc w:val="left"/>
        <w:rPr>
          <w:rFonts w:ascii="Plantin" w:hAnsi="Plantin" w:eastAsia="PlantinExpert" w:cs="Plantin"/>
          <w:sz w:val="20"/>
          <w:szCs w:val="20"/>
        </w:rPr>
      </w:pPr>
      <w:r>
        <w:rPr>
          <w:rFonts w:eastAsia="PlantinExpert" w:cs="Plantin" w:ascii="Plantin" w:hAnsi="Plantin"/>
          <w:sz w:val="20"/>
          <w:szCs w:val="20"/>
        </w:rPr>
        <w:t>out. We shall see that we do indeed have all the fuel we need “inside” one</w:t>
      </w:r>
    </w:p>
    <w:p>
      <w:pPr>
        <w:pStyle w:val="Storybodytext"/>
        <w:spacing w:before="0" w:after="270"/>
        <w:rPr>
          <w:rFonts w:ascii="Plantin" w:hAnsi="Plantin" w:eastAsia="PlantinExpert" w:cs="Plantin"/>
          <w:sz w:val="20"/>
          <w:szCs w:val="20"/>
        </w:rPr>
      </w:pPr>
      <w:r>
        <w:rPr>
          <w:rFonts w:eastAsia="PlantinExpert" w:cs="Plantin" w:ascii="Plantin" w:hAnsi="Plantin"/>
          <w:sz w:val="20"/>
          <w:szCs w:val="20"/>
        </w:rPr>
        <w:t>object to have time and space, and even causality. (49)</w:t>
      </w:r>
    </w:p>
    <w:p>
      <w:pPr>
        <w:pStyle w:val="Normal"/>
        <w:jc w:val="left"/>
        <w:rPr>
          <w:rFonts w:ascii="Plantin" w:hAnsi="Plantin" w:eastAsia="Calibri" w:cs="Plantin"/>
          <w:sz w:val="20"/>
          <w:szCs w:val="20"/>
        </w:rPr>
      </w:pPr>
      <w:r>
        <w:rPr>
          <w:rFonts w:eastAsia="Calibri" w:cs="Plantin" w:ascii="Plantin" w:hAnsi="Plantin"/>
          <w:sz w:val="20"/>
          <w:szCs w:val="20"/>
        </w:rPr>
        <w:t>Perhaps the problem is that I need to see the block as a process, not as</w:t>
      </w:r>
    </w:p>
    <w:p>
      <w:pPr>
        <w:pStyle w:val="Normal"/>
        <w:jc w:val="left"/>
        <w:rPr>
          <w:rFonts w:ascii="Plantin" w:hAnsi="Plantin" w:eastAsia="Calibri" w:cs="Plantin"/>
          <w:sz w:val="20"/>
          <w:szCs w:val="20"/>
        </w:rPr>
      </w:pPr>
      <w:r>
        <w:rPr>
          <w:rFonts w:eastAsia="Calibri" w:cs="Plantin" w:ascii="Plantin" w:hAnsi="Plantin"/>
          <w:sz w:val="20"/>
          <w:szCs w:val="20"/>
        </w:rPr>
        <w:t>some static lump. These days processes do generally seem more charming</w:t>
      </w:r>
    </w:p>
    <w:p>
      <w:pPr>
        <w:pStyle w:val="Normal"/>
        <w:jc w:val="left"/>
        <w:rPr>
          <w:rFonts w:ascii="Plantin" w:hAnsi="Plantin" w:eastAsia="Calibri" w:cs="Plantin"/>
          <w:sz w:val="20"/>
          <w:szCs w:val="20"/>
        </w:rPr>
      </w:pPr>
      <w:r>
        <w:rPr>
          <w:rFonts w:eastAsia="Calibri" w:cs="Plantin" w:ascii="Plantin" w:hAnsi="Plantin"/>
          <w:sz w:val="20"/>
          <w:szCs w:val="20"/>
        </w:rPr>
        <w:t>to more people than seemingly rigid blocks. Perhaps I will get further if I</w:t>
      </w:r>
    </w:p>
    <w:p>
      <w:pPr>
        <w:pStyle w:val="Normal"/>
        <w:jc w:val="left"/>
        <w:rPr>
          <w:rFonts w:ascii="Plantin" w:hAnsi="Plantin" w:eastAsia="Calibri" w:cs="Plantin"/>
          <w:sz w:val="20"/>
          <w:szCs w:val="20"/>
        </w:rPr>
      </w:pPr>
      <w:r>
        <w:rPr>
          <w:rFonts w:eastAsia="Calibri" w:cs="Plantin" w:ascii="Plantin" w:hAnsi="Plantin"/>
          <w:sz w:val="20"/>
          <w:szCs w:val="20"/>
        </w:rPr>
        <w:t>include the way the block was formed from Portland cement and sand in a</w:t>
      </w:r>
    </w:p>
    <w:p>
      <w:pPr>
        <w:pStyle w:val="Normal"/>
        <w:jc w:val="left"/>
        <w:rPr>
          <w:rFonts w:ascii="Plantin" w:hAnsi="Plantin" w:eastAsia="Calibri" w:cs="Plantin"/>
          <w:sz w:val="20"/>
          <w:szCs w:val="20"/>
        </w:rPr>
      </w:pPr>
      <w:r>
        <w:rPr>
          <w:rFonts w:eastAsia="Calibri" w:cs="Plantin" w:ascii="Plantin" w:hAnsi="Plantin"/>
          <w:sz w:val="20"/>
          <w:szCs w:val="20"/>
        </w:rPr>
        <w:t>cast, and the ways the block will be used in building, and the socioeconomic</w:t>
      </w:r>
    </w:p>
    <w:p>
      <w:pPr>
        <w:pStyle w:val="Normal"/>
        <w:jc w:val="left"/>
        <w:rPr>
          <w:rFonts w:ascii="Plantin" w:hAnsi="Plantin" w:eastAsia="Calibri" w:cs="Plantin"/>
          <w:sz w:val="20"/>
          <w:szCs w:val="20"/>
        </w:rPr>
      </w:pPr>
      <w:r>
        <w:rPr>
          <w:rFonts w:eastAsia="Calibri" w:cs="Plantin" w:ascii="Plantin" w:hAnsi="Plantin"/>
          <w:sz w:val="20"/>
          <w:szCs w:val="20"/>
        </w:rPr>
        <w:t>conditions that produced the block. But if I see it this way, I am left with</w:t>
      </w:r>
    </w:p>
    <w:p>
      <w:pPr>
        <w:pStyle w:val="Normal"/>
        <w:jc w:val="left"/>
        <w:rPr/>
      </w:pPr>
      <w:r>
        <w:rPr>
          <w:rFonts w:eastAsia="Calibri" w:cs="Plantin" w:ascii="Plantin" w:hAnsi="Plantin"/>
          <w:sz w:val="20"/>
          <w:szCs w:val="20"/>
        </w:rPr>
        <w:t xml:space="preserve">the exact same problem. All I have done is swap the term </w:t>
      </w:r>
      <w:r>
        <w:rPr>
          <w:rFonts w:eastAsia="Calibri" w:cs="Plantin-Italic" w:ascii="Plantin-Italic" w:hAnsi="Plantin-Italic"/>
          <w:i/>
          <w:iCs/>
          <w:sz w:val="20"/>
          <w:szCs w:val="20"/>
        </w:rPr>
        <w:t xml:space="preserve">process </w:t>
      </w:r>
      <w:r>
        <w:rPr>
          <w:rFonts w:eastAsia="Calibri" w:cs="Plantin" w:ascii="Plantin" w:hAnsi="Plantin"/>
          <w:sz w:val="20"/>
          <w:szCs w:val="20"/>
        </w:rPr>
        <w:t>for the</w:t>
      </w:r>
    </w:p>
    <w:p>
      <w:pPr>
        <w:pStyle w:val="Normal"/>
        <w:jc w:val="left"/>
        <w:rPr/>
      </w:pPr>
      <w:r>
        <w:rPr>
          <w:rFonts w:eastAsia="Calibri" w:cs="Plantin" w:ascii="Plantin" w:hAnsi="Plantin"/>
          <w:sz w:val="20"/>
          <w:szCs w:val="20"/>
        </w:rPr>
        <w:t xml:space="preserve">term </w:t>
      </w:r>
      <w:r>
        <w:rPr>
          <w:rFonts w:eastAsia="Calibri" w:cs="Plantin-Italic" w:ascii="Plantin-Italic" w:hAnsi="Plantin-Italic"/>
          <w:i/>
          <w:iCs/>
          <w:sz w:val="20"/>
          <w:szCs w:val="20"/>
        </w:rPr>
        <w:t>object</w:t>
      </w:r>
      <w:r>
        <w:rPr>
          <w:rFonts w:eastAsia="Calibri" w:cs="Plantin" w:ascii="Plantin" w:hAnsi="Plantin"/>
          <w:sz w:val="20"/>
          <w:szCs w:val="20"/>
        </w:rPr>
        <w:t>. Now the process, however I see it, has the same problems as</w:t>
      </w:r>
    </w:p>
    <w:p>
      <w:pPr>
        <w:pStyle w:val="Normal"/>
        <w:jc w:val="left"/>
        <w:rPr>
          <w:rFonts w:ascii="Plantin" w:hAnsi="Plantin" w:eastAsia="Calibri" w:cs="Plantin"/>
          <w:sz w:val="20"/>
          <w:szCs w:val="20"/>
        </w:rPr>
      </w:pPr>
      <w:r>
        <w:rPr>
          <w:rFonts w:eastAsia="Calibri" w:cs="Plantin" w:ascii="Plantin" w:hAnsi="Plantin"/>
          <w:sz w:val="20"/>
          <w:szCs w:val="20"/>
        </w:rPr>
        <w:t>the original block. How can I comprehend this process itself, without</w:t>
      </w:r>
    </w:p>
    <w:p>
      <w:pPr>
        <w:pStyle w:val="Normal"/>
        <w:jc w:val="left"/>
        <w:rPr/>
      </w:pPr>
      <w:r>
        <w:rPr>
          <w:rFonts w:eastAsia="Calibri" w:cs="Plantin" w:ascii="Plantin" w:hAnsi="Plantin"/>
          <w:sz w:val="20"/>
          <w:szCs w:val="20"/>
        </w:rPr>
        <w:t xml:space="preserve">translating it into some other form—a discussion, a book, a painting, a series of measurements? Changing the term </w:t>
      </w:r>
      <w:r>
        <w:rPr>
          <w:rFonts w:eastAsia="Calibri" w:cs="Plantin-Italic" w:ascii="Plantin-Italic" w:hAnsi="Plantin-Italic"/>
          <w:i/>
          <w:iCs/>
          <w:sz w:val="20"/>
          <w:szCs w:val="20"/>
        </w:rPr>
        <w:t xml:space="preserve">object </w:t>
      </w:r>
      <w:r>
        <w:rPr>
          <w:rFonts w:eastAsia="Calibri" w:cs="Plantin" w:ascii="Plantin" w:hAnsi="Plantin"/>
          <w:sz w:val="20"/>
          <w:szCs w:val="20"/>
        </w:rPr>
        <w:t xml:space="preserve">for the term </w:t>
      </w:r>
      <w:r>
        <w:rPr>
          <w:rFonts w:eastAsia="Calibri" w:cs="Plantin-Italic" w:ascii="Plantin-Italic" w:hAnsi="Plantin-Italic"/>
          <w:i/>
          <w:iCs/>
          <w:sz w:val="20"/>
          <w:szCs w:val="20"/>
        </w:rPr>
        <w:t xml:space="preserve">process </w:t>
      </w:r>
      <w:r>
        <w:rPr>
          <w:rFonts w:eastAsia="Calibri" w:cs="Plantin" w:ascii="Plantin" w:hAnsi="Plantin"/>
          <w:sz w:val="20"/>
          <w:szCs w:val="20"/>
        </w:rPr>
        <w:t>is</w:t>
      </w:r>
    </w:p>
    <w:p>
      <w:pPr>
        <w:pStyle w:val="Normal"/>
        <w:jc w:val="left"/>
        <w:rPr>
          <w:rFonts w:ascii="Plantin" w:hAnsi="Plantin" w:eastAsia="Calibri" w:cs="Plantin"/>
          <w:sz w:val="20"/>
          <w:szCs w:val="20"/>
        </w:rPr>
      </w:pPr>
      <w:r>
        <w:rPr>
          <w:rFonts w:eastAsia="Calibri" w:cs="Plantin" w:ascii="Plantin" w:hAnsi="Plantin"/>
          <w:sz w:val="20"/>
          <w:szCs w:val="20"/>
        </w:rPr>
        <w:t>only a matter of aesthetic nicety. We are still stuck with the problem of fully</w:t>
      </w:r>
    </w:p>
    <w:p>
      <w:pPr>
        <w:pStyle w:val="Normal"/>
        <w:jc w:val="left"/>
        <w:rPr/>
      </w:pPr>
      <w:r>
        <w:rPr>
          <w:rFonts w:eastAsia="Calibri" w:cs="Plantin" w:ascii="Plantin" w:hAnsi="Plantin"/>
          <w:sz w:val="20"/>
          <w:szCs w:val="20"/>
        </w:rPr>
        <w:t xml:space="preserve">grasping a </w:t>
      </w:r>
      <w:r>
        <w:rPr>
          <w:rFonts w:eastAsia="Calibri" w:cs="Plantin-Italic" w:ascii="Plantin-Italic" w:hAnsi="Plantin-Italic"/>
          <w:i/>
          <w:iCs/>
          <w:sz w:val="20"/>
          <w:szCs w:val="20"/>
        </w:rPr>
        <w:t>unit</w:t>
      </w:r>
      <w:r>
        <w:rPr>
          <w:rFonts w:eastAsia="Calibri" w:cs="Plantin" w:ascii="Plantin" w:hAnsi="Plantin"/>
          <w:sz w:val="20"/>
          <w:szCs w:val="20"/>
        </w:rPr>
        <w:t>: the cinder block as such, the process as such.20 If we imagine</w:t>
      </w:r>
    </w:p>
    <w:p>
      <w:pPr>
        <w:pStyle w:val="Normal"/>
        <w:jc w:val="left"/>
        <w:rPr>
          <w:rFonts w:ascii="Plantin" w:hAnsi="Plantin" w:eastAsia="Calibri" w:cs="Plantin"/>
          <w:sz w:val="20"/>
          <w:szCs w:val="20"/>
        </w:rPr>
      </w:pPr>
      <w:r>
        <w:rPr>
          <w:rFonts w:eastAsia="Calibri" w:cs="Plantin" w:ascii="Plantin" w:hAnsi="Plantin"/>
          <w:sz w:val="20"/>
          <w:szCs w:val="20"/>
        </w:rPr>
        <w:t>that objects are inherently self-consistent—being “static” is an aesthetic</w:t>
      </w:r>
    </w:p>
    <w:p>
      <w:pPr>
        <w:pStyle w:val="Normal"/>
        <w:jc w:val="left"/>
        <w:rPr>
          <w:rFonts w:ascii="Plantin" w:hAnsi="Plantin" w:eastAsia="Calibri" w:cs="Plantin"/>
          <w:sz w:val="20"/>
          <w:szCs w:val="20"/>
        </w:rPr>
      </w:pPr>
      <w:r>
        <w:rPr>
          <w:rFonts w:eastAsia="Calibri" w:cs="Plantin" w:ascii="Plantin" w:hAnsi="Plantin"/>
          <w:sz w:val="20"/>
          <w:szCs w:val="20"/>
        </w:rPr>
        <w:t>defect, too, according to modern taste, though that is very much moot—</w:t>
      </w:r>
    </w:p>
    <w:p>
      <w:pPr>
        <w:pStyle w:val="Normal"/>
        <w:jc w:val="left"/>
        <w:rPr>
          <w:rFonts w:ascii="Plantin" w:hAnsi="Plantin" w:eastAsia="Calibri" w:cs="Plantin"/>
          <w:sz w:val="20"/>
          <w:szCs w:val="20"/>
        </w:rPr>
      </w:pPr>
      <w:r>
        <w:rPr>
          <w:rFonts w:eastAsia="Calibri" w:cs="Plantin" w:ascii="Plantin" w:hAnsi="Plantin"/>
          <w:sz w:val="20"/>
          <w:szCs w:val="20"/>
        </w:rPr>
        <w:t>then we may perforce feel the need to supplement our view with some kind</w:t>
      </w:r>
    </w:p>
    <w:p>
      <w:pPr>
        <w:pStyle w:val="Normal"/>
        <w:jc w:val="left"/>
        <w:rPr>
          <w:rFonts w:ascii="Plantin" w:hAnsi="Plantin" w:eastAsia="Calibri" w:cs="Plantin"/>
          <w:sz w:val="20"/>
          <w:szCs w:val="20"/>
        </w:rPr>
      </w:pPr>
      <w:r>
        <w:rPr>
          <w:rFonts w:eastAsia="Calibri" w:cs="Plantin" w:ascii="Plantin" w:hAnsi="Plantin"/>
          <w:sz w:val="20"/>
          <w:szCs w:val="20"/>
        </w:rPr>
        <w:t>of process philosophy that is able to think change and motion (Bergson,</w:t>
      </w:r>
    </w:p>
    <w:p>
      <w:pPr>
        <w:pStyle w:val="Normal"/>
        <w:jc w:val="left"/>
        <w:rPr>
          <w:rFonts w:ascii="Plantin" w:hAnsi="Plantin" w:eastAsia="Calibri" w:cs="Plantin"/>
          <w:sz w:val="20"/>
          <w:szCs w:val="20"/>
        </w:rPr>
      </w:pPr>
      <w:r>
        <w:rPr>
          <w:rFonts w:eastAsia="Calibri" w:cs="Plantin" w:ascii="Plantin" w:hAnsi="Plantin"/>
          <w:sz w:val="20"/>
          <w:szCs w:val="20"/>
        </w:rPr>
        <w:t>Whitehead, Deleuze). We have thus performed an ontotheological trick. We</w:t>
      </w:r>
    </w:p>
    <w:p>
      <w:pPr>
        <w:pStyle w:val="Normal"/>
        <w:jc w:val="left"/>
        <w:rPr>
          <w:rFonts w:ascii="Plantin" w:hAnsi="Plantin" w:eastAsia="Calibri" w:cs="Plantin"/>
          <w:sz w:val="20"/>
          <w:szCs w:val="20"/>
        </w:rPr>
      </w:pPr>
      <w:r>
        <w:rPr>
          <w:rFonts w:eastAsia="Calibri" w:cs="Plantin" w:ascii="Plantin" w:hAnsi="Plantin"/>
          <w:sz w:val="20"/>
          <w:szCs w:val="20"/>
        </w:rPr>
        <w:t>have arbitrarily decided that some things (processes, flows) are more real</w:t>
      </w:r>
    </w:p>
    <w:p>
      <w:pPr>
        <w:pStyle w:val="Storybodytext"/>
        <w:spacing w:before="0" w:after="270"/>
        <w:rPr>
          <w:rFonts w:ascii="Plantin" w:hAnsi="Plantin" w:eastAsia="Calibri" w:cs="Plantin"/>
          <w:sz w:val="20"/>
          <w:szCs w:val="20"/>
        </w:rPr>
      </w:pPr>
      <w:r>
        <w:rPr>
          <w:rFonts w:eastAsia="Calibri" w:cs="Plantin" w:ascii="Plantin" w:hAnsi="Plantin"/>
          <w:sz w:val="20"/>
          <w:szCs w:val="20"/>
        </w:rPr>
        <w:t>than other things (objects). (pp.50-1)</w:t>
      </w:r>
    </w:p>
    <w:p>
      <w:pPr>
        <w:pStyle w:val="Normal"/>
        <w:jc w:val="left"/>
        <w:rPr>
          <w:rFonts w:ascii="Plantin" w:hAnsi="Plantin" w:eastAsia="Calibri" w:cs="Plantin"/>
          <w:sz w:val="20"/>
          <w:szCs w:val="20"/>
        </w:rPr>
      </w:pPr>
      <w:r>
        <w:rPr>
          <w:rFonts w:eastAsia="Calibri" w:cs="Plantin" w:ascii="Plantin" w:hAnsi="Plantin"/>
          <w:sz w:val="20"/>
          <w:szCs w:val="20"/>
        </w:rPr>
        <w:t>Let’s give up. Imagine the cinder block all on its ownsome. A scandalous</w:t>
      </w:r>
    </w:p>
    <w:p>
      <w:pPr>
        <w:pStyle w:val="Normal"/>
        <w:jc w:val="left"/>
        <w:rPr>
          <w:rFonts w:ascii="Plantin" w:hAnsi="Plantin" w:eastAsia="Calibri" w:cs="Plantin"/>
          <w:sz w:val="20"/>
          <w:szCs w:val="20"/>
        </w:rPr>
      </w:pPr>
      <w:r>
        <w:rPr>
          <w:rFonts w:eastAsia="Calibri" w:cs="Plantin" w:ascii="Plantin" w:hAnsi="Plantin"/>
          <w:sz w:val="20"/>
          <w:szCs w:val="20"/>
        </w:rPr>
        <w:t>thought perhaps, maybe even impossible to think. The block is not just a</w:t>
      </w:r>
    </w:p>
    <w:p>
      <w:pPr>
        <w:pStyle w:val="Normal"/>
        <w:jc w:val="left"/>
        <w:rPr>
          <w:rFonts w:ascii="Plantin" w:hAnsi="Plantin" w:eastAsia="Calibri" w:cs="Plantin"/>
          <w:sz w:val="20"/>
          <w:szCs w:val="20"/>
        </w:rPr>
      </w:pPr>
      <w:r>
        <w:rPr>
          <w:rFonts w:eastAsia="Calibri" w:cs="Plantin" w:ascii="Plantin" w:hAnsi="Plantin"/>
          <w:sz w:val="20"/>
          <w:szCs w:val="20"/>
        </w:rPr>
        <w:t>blank lump waiting to be filled in by some “higher” object (overmining).</w:t>
      </w:r>
    </w:p>
    <w:p>
      <w:pPr>
        <w:pStyle w:val="Normal"/>
        <w:jc w:val="left"/>
        <w:rPr>
          <w:rFonts w:ascii="Plantin" w:hAnsi="Plantin" w:eastAsia="Calibri" w:cs="Plantin"/>
          <w:sz w:val="20"/>
          <w:szCs w:val="20"/>
        </w:rPr>
      </w:pPr>
      <w:r>
        <w:rPr>
          <w:rFonts w:eastAsia="Calibri" w:cs="Plantin" w:ascii="Plantin" w:hAnsi="Plantin"/>
          <w:sz w:val="20"/>
          <w:szCs w:val="20"/>
        </w:rPr>
        <w:t>The block is not a blob of something bigger or an assemblage of tinier</w:t>
      </w:r>
    </w:p>
    <w:p>
      <w:pPr>
        <w:pStyle w:val="Normal"/>
        <w:jc w:val="left"/>
        <w:rPr>
          <w:rFonts w:ascii="Plantin" w:hAnsi="Plantin" w:eastAsia="Calibri" w:cs="Plantin"/>
          <w:sz w:val="20"/>
          <w:szCs w:val="20"/>
        </w:rPr>
      </w:pPr>
      <w:r>
        <w:rPr>
          <w:rFonts w:eastAsia="Calibri" w:cs="Plantin" w:ascii="Plantin" w:hAnsi="Plantin"/>
          <w:sz w:val="20"/>
          <w:szCs w:val="20"/>
        </w:rPr>
        <w:t>things (undermining). The block is not made real by some medium (the</w:t>
      </w:r>
    </w:p>
    <w:p>
      <w:pPr>
        <w:pStyle w:val="Normal"/>
        <w:jc w:val="left"/>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middle object”). The block is itself. It is specific. It is unique. We might as</w:t>
      </w:r>
    </w:p>
    <w:p>
      <w:pPr>
        <w:pStyle w:val="Normal"/>
        <w:jc w:val="left"/>
        <w:rPr>
          <w:rFonts w:ascii="Plantin" w:hAnsi="Plantin" w:eastAsia="Calibri" w:cs="Plantin"/>
          <w:sz w:val="20"/>
          <w:szCs w:val="20"/>
        </w:rPr>
      </w:pPr>
      <w:r>
        <w:rPr>
          <w:rFonts w:eastAsia="Calibri" w:cs="Plantin" w:ascii="Plantin" w:hAnsi="Plantin"/>
          <w:sz w:val="20"/>
          <w:szCs w:val="20"/>
        </w:rPr>
        <w:t>well think it as a specific, unique real thing. The block already has qualities,</w:t>
      </w:r>
    </w:p>
    <w:p>
      <w:pPr>
        <w:pStyle w:val="Normal"/>
        <w:jc w:val="left"/>
        <w:rPr>
          <w:rFonts w:ascii="Plantin" w:hAnsi="Plantin" w:eastAsia="Calibri" w:cs="Plantin"/>
          <w:sz w:val="20"/>
          <w:szCs w:val="20"/>
        </w:rPr>
      </w:pPr>
      <w:r>
        <w:rPr>
          <w:rFonts w:eastAsia="Calibri" w:cs="Plantin" w:ascii="Plantin" w:hAnsi="Plantin"/>
          <w:sz w:val="20"/>
          <w:szCs w:val="20"/>
        </w:rPr>
        <w:t>such as front, back, and so on. Yet these qualities are only ever aesthetic</w:t>
      </w:r>
    </w:p>
    <w:p>
      <w:pPr>
        <w:pStyle w:val="Normal"/>
        <w:jc w:val="left"/>
        <w:rPr>
          <w:rFonts w:ascii="Plantin" w:hAnsi="Plantin" w:eastAsia="Calibri" w:cs="Plantin"/>
          <w:sz w:val="20"/>
          <w:szCs w:val="20"/>
        </w:rPr>
      </w:pPr>
      <w:r>
        <w:rPr>
          <w:rFonts w:eastAsia="Calibri" w:cs="Plantin" w:ascii="Plantin" w:hAnsi="Plantin"/>
          <w:sz w:val="20"/>
          <w:szCs w:val="20"/>
        </w:rPr>
        <w:t>appearances, no matter whether there is any other “observer” around to see.</w:t>
      </w:r>
    </w:p>
    <w:p>
      <w:pPr>
        <w:pStyle w:val="Normal"/>
        <w:jc w:val="left"/>
        <w:rPr>
          <w:rFonts w:ascii="Plantin" w:hAnsi="Plantin" w:eastAsia="Calibri" w:cs="Plantin"/>
          <w:sz w:val="20"/>
          <w:szCs w:val="20"/>
        </w:rPr>
      </w:pPr>
      <w:r>
        <w:rPr>
          <w:rFonts w:eastAsia="Calibri" w:cs="Plantin" w:ascii="Plantin" w:hAnsi="Plantin"/>
          <w:sz w:val="20"/>
          <w:szCs w:val="20"/>
        </w:rPr>
        <w:t>Yet these appearances are real aspects of the block: it isn’t a pyramid, and it</w:t>
      </w:r>
    </w:p>
    <w:p>
      <w:pPr>
        <w:pStyle w:val="Normal"/>
        <w:jc w:val="left"/>
        <w:rPr>
          <w:rFonts w:ascii="Plantin" w:hAnsi="Plantin" w:eastAsia="Calibri" w:cs="Plantin"/>
          <w:sz w:val="20"/>
          <w:szCs w:val="20"/>
        </w:rPr>
      </w:pPr>
      <w:r>
        <w:rPr>
          <w:rFonts w:eastAsia="Calibri" w:cs="Plantin" w:ascii="Plantin" w:hAnsi="Plantin"/>
          <w:sz w:val="20"/>
          <w:szCs w:val="20"/>
        </w:rPr>
        <w:t>doesn’t have a swan’s neck. The object itself is riven from the inside between</w:t>
      </w:r>
    </w:p>
    <w:p>
      <w:pPr>
        <w:pStyle w:val="Normal"/>
        <w:jc w:val="left"/>
        <w:rPr>
          <w:rFonts w:ascii="Plantin" w:hAnsi="Plantin" w:eastAsia="Calibri" w:cs="Plantin"/>
          <w:sz w:val="20"/>
          <w:szCs w:val="20"/>
        </w:rPr>
      </w:pPr>
      <w:r>
        <w:rPr>
          <w:rFonts w:eastAsia="Calibri" w:cs="Plantin" w:ascii="Plantin" w:hAnsi="Plantin"/>
          <w:sz w:val="20"/>
          <w:szCs w:val="20"/>
        </w:rPr>
        <w:t>its essence and its appearance. This can’t simply mean that the cinder block</w:t>
      </w:r>
    </w:p>
    <w:p>
      <w:pPr>
        <w:pStyle w:val="Normal"/>
        <w:jc w:val="left"/>
        <w:rPr>
          <w:rFonts w:ascii="Plantin" w:hAnsi="Plantin" w:eastAsia="Calibri" w:cs="Plantin"/>
          <w:sz w:val="20"/>
          <w:szCs w:val="20"/>
        </w:rPr>
      </w:pPr>
      <w:r>
        <w:rPr>
          <w:rFonts w:eastAsia="Calibri" w:cs="Plantin" w:ascii="Plantin" w:hAnsi="Plantin"/>
          <w:sz w:val="20"/>
          <w:szCs w:val="20"/>
        </w:rPr>
        <w:t>is a lump of substance that has a certain shape and color and that those are</w:t>
      </w:r>
    </w:p>
    <w:p>
      <w:pPr>
        <w:pStyle w:val="Normal"/>
        <w:jc w:val="left"/>
        <w:rPr/>
      </w:pPr>
      <w:r>
        <w:rPr>
          <w:rFonts w:eastAsia="Calibri" w:cs="Plantin" w:ascii="Plantin" w:hAnsi="Plantin"/>
          <w:sz w:val="20"/>
          <w:szCs w:val="20"/>
        </w:rPr>
        <w:t xml:space="preserve">its accidents. We have already ruled that out. It must mean that </w:t>
      </w:r>
      <w:r>
        <w:rPr>
          <w:rFonts w:eastAsia="Calibri" w:cs="Plantin-Italic" w:ascii="Plantin-Italic" w:hAnsi="Plantin-Italic"/>
          <w:i/>
          <w:iCs/>
          <w:sz w:val="20"/>
          <w:szCs w:val="20"/>
        </w:rPr>
        <w:t xml:space="preserve">in itself </w:t>
      </w:r>
      <w:r>
        <w:rPr>
          <w:rFonts w:eastAsia="Calibri" w:cs="Plantin" w:ascii="Plantin" w:hAnsi="Plantin"/>
          <w:sz w:val="20"/>
          <w:szCs w:val="20"/>
        </w:rPr>
        <w:t>the</w:t>
      </w:r>
    </w:p>
    <w:p>
      <w:pPr>
        <w:pStyle w:val="Storybodytext"/>
        <w:spacing w:before="0" w:after="270"/>
        <w:rPr>
          <w:rFonts w:ascii="Plantin" w:hAnsi="Plantin" w:eastAsia="Calibri" w:cs="Plantin"/>
          <w:sz w:val="20"/>
          <w:szCs w:val="20"/>
        </w:rPr>
      </w:pPr>
      <w:r>
        <w:rPr>
          <w:rFonts w:eastAsia="Calibri" w:cs="Plantin" w:ascii="Plantin" w:hAnsi="Plantin"/>
          <w:sz w:val="20"/>
          <w:szCs w:val="20"/>
        </w:rPr>
        <w:t>block (essence) is also a non-block (appearance). (54)</w:t>
      </w:r>
    </w:p>
    <w:p>
      <w:pPr>
        <w:pStyle w:val="Normal"/>
        <w:jc w:val="left"/>
        <w:rPr/>
      </w:pPr>
      <w:r>
        <w:rPr>
          <w:rFonts w:eastAsia="Calibri" w:cs="Plantin" w:ascii="Plantin" w:hAnsi="Plantin"/>
          <w:sz w:val="20"/>
          <w:szCs w:val="20"/>
        </w:rPr>
        <w:t xml:space="preserve">The </w:t>
      </w:r>
      <w:r>
        <w:rPr>
          <w:rFonts w:eastAsia="PlantinExpert" w:cs="PlantinExpert" w:ascii="PlantinExpert" w:hAnsi="PlantinExpert"/>
          <w:sz w:val="20"/>
          <w:szCs w:val="20"/>
        </w:rPr>
        <w:t xml:space="preserve">ooo </w:t>
      </w:r>
      <w:r>
        <w:rPr>
          <w:rFonts w:eastAsia="Calibri" w:cs="Plantin" w:ascii="Plantin" w:hAnsi="Plantin"/>
          <w:sz w:val="20"/>
          <w:szCs w:val="20"/>
        </w:rPr>
        <w:t>universe is a universe of impropriety, of the improper.</w:t>
      </w:r>
    </w:p>
    <w:p>
      <w:pPr>
        <w:pStyle w:val="Normal"/>
        <w:jc w:val="left"/>
        <w:rPr/>
      </w:pPr>
      <w:r>
        <w:rPr>
          <w:rFonts w:eastAsia="Calibri" w:cs="Plantin" w:ascii="Plantin" w:hAnsi="Plantin"/>
          <w:sz w:val="20"/>
          <w:szCs w:val="20"/>
        </w:rPr>
        <w:t xml:space="preserve">Yet we know this because in another sense objects </w:t>
      </w:r>
      <w:r>
        <w:rPr>
          <w:rFonts w:eastAsia="Calibri" w:cs="Plantin-Italic" w:ascii="Plantin-Italic" w:hAnsi="Plantin-Italic"/>
          <w:i/>
          <w:iCs/>
          <w:sz w:val="20"/>
          <w:szCs w:val="20"/>
        </w:rPr>
        <w:t xml:space="preserve">only </w:t>
      </w:r>
      <w:r>
        <w:rPr>
          <w:rFonts w:eastAsia="Calibri" w:cs="Plantin" w:ascii="Plantin" w:hAnsi="Plantin"/>
          <w:sz w:val="20"/>
          <w:szCs w:val="20"/>
        </w:rPr>
        <w:t>are what they are,</w:t>
      </w:r>
    </w:p>
    <w:p>
      <w:pPr>
        <w:pStyle w:val="Normal"/>
        <w:jc w:val="left"/>
        <w:rPr>
          <w:rFonts w:ascii="Plantin" w:hAnsi="Plantin" w:eastAsia="Calibri" w:cs="Plantin"/>
          <w:sz w:val="20"/>
          <w:szCs w:val="20"/>
        </w:rPr>
      </w:pPr>
      <w:r>
        <w:rPr>
          <w:rFonts w:eastAsia="Calibri" w:cs="Plantin" w:ascii="Plantin" w:hAnsi="Plantin"/>
          <w:sz w:val="20"/>
          <w:szCs w:val="20"/>
        </w:rPr>
        <w:t>nothing more or less, since there is no bottom object to which we could</w:t>
      </w:r>
    </w:p>
    <w:p>
      <w:pPr>
        <w:pStyle w:val="Normal"/>
        <w:jc w:val="left"/>
        <w:rPr>
          <w:rFonts w:ascii="Plantin" w:hAnsi="Plantin" w:eastAsia="Calibri" w:cs="Plantin"/>
          <w:sz w:val="20"/>
          <w:szCs w:val="20"/>
        </w:rPr>
      </w:pPr>
      <w:r>
        <w:rPr>
          <w:rFonts w:eastAsia="Calibri" w:cs="Plantin" w:ascii="Plantin" w:hAnsi="Plantin"/>
          <w:sz w:val="20"/>
          <w:szCs w:val="20"/>
        </w:rPr>
        <w:t>reduce them. Objects are sternly irreducible, yet marvelously improper at</w:t>
      </w:r>
    </w:p>
    <w:p>
      <w:pPr>
        <w:pStyle w:val="Storybodytext"/>
        <w:spacing w:before="0" w:after="270"/>
        <w:rPr>
          <w:rFonts w:ascii="Plantin" w:hAnsi="Plantin" w:eastAsia="Calibri" w:cs="Plantin"/>
          <w:sz w:val="20"/>
          <w:szCs w:val="20"/>
        </w:rPr>
      </w:pPr>
      <w:r>
        <w:rPr>
          <w:rFonts w:eastAsia="Calibri" w:cs="Plantin" w:ascii="Plantin" w:hAnsi="Plantin"/>
          <w:sz w:val="20"/>
          <w:szCs w:val="20"/>
        </w:rPr>
        <w:t>one and the same time. (55)</w:t>
      </w:r>
    </w:p>
    <w:p>
      <w:pPr>
        <w:pStyle w:val="Normal"/>
        <w:jc w:val="left"/>
        <w:rPr/>
      </w:pPr>
      <w:r>
        <w:rPr>
          <w:rFonts w:eastAsia="Calibri" w:cs="Plantin" w:ascii="Plantin" w:hAnsi="Plantin"/>
          <w:sz w:val="20"/>
          <w:szCs w:val="20"/>
        </w:rPr>
        <w:t xml:space="preserve">The </w:t>
      </w:r>
      <w:r>
        <w:rPr>
          <w:rFonts w:eastAsia="PlantinExpert" w:cs="PlantinExpert" w:ascii="PlantinExpert" w:hAnsi="PlantinExpert"/>
          <w:sz w:val="20"/>
          <w:szCs w:val="20"/>
        </w:rPr>
        <w:t xml:space="preserve">ooo </w:t>
      </w:r>
      <w:r>
        <w:rPr>
          <w:rFonts w:eastAsia="Calibri" w:cs="Plantin" w:ascii="Plantin" w:hAnsi="Plantin"/>
          <w:sz w:val="20"/>
          <w:szCs w:val="20"/>
        </w:rPr>
        <w:t>view thus requires</w:t>
      </w:r>
    </w:p>
    <w:p>
      <w:pPr>
        <w:pStyle w:val="Normal"/>
        <w:jc w:val="left"/>
        <w:rPr>
          <w:rFonts w:ascii="Plantin" w:hAnsi="Plantin" w:eastAsia="Calibri" w:cs="Plantin"/>
          <w:sz w:val="20"/>
          <w:szCs w:val="20"/>
        </w:rPr>
      </w:pPr>
      <w:r>
        <w:rPr>
          <w:rFonts w:eastAsia="Calibri" w:cs="Plantin" w:ascii="Plantin" w:hAnsi="Plantin"/>
          <w:sz w:val="20"/>
          <w:szCs w:val="20"/>
        </w:rPr>
        <w:t>that we seriously modify or drop the idea of matter. Matter is always matterfor.</w:t>
      </w:r>
    </w:p>
    <w:p>
      <w:pPr>
        <w:pStyle w:val="Normal"/>
        <w:jc w:val="left"/>
        <w:rPr/>
      </w:pPr>
      <w:r>
        <w:rPr>
          <w:rFonts w:eastAsia="Calibri" w:cs="Plantin" w:ascii="Plantin" w:hAnsi="Plantin"/>
          <w:sz w:val="20"/>
          <w:szCs w:val="20"/>
        </w:rPr>
        <w:t xml:space="preserve">If you use the term </w:t>
      </w:r>
      <w:r>
        <w:rPr>
          <w:rFonts w:eastAsia="Calibri" w:cs="Plantin-Italic" w:ascii="Plantin-Italic" w:hAnsi="Plantin-Italic"/>
          <w:i/>
          <w:iCs/>
          <w:sz w:val="20"/>
          <w:szCs w:val="20"/>
        </w:rPr>
        <w:t>matter</w:t>
      </w:r>
      <w:r>
        <w:rPr>
          <w:rFonts w:eastAsia="Calibri" w:cs="Plantin" w:ascii="Plantin" w:hAnsi="Plantin"/>
          <w:sz w:val="20"/>
          <w:szCs w:val="20"/>
        </w:rPr>
        <w:t>, you’ve already reduced a unique object to</w:t>
      </w:r>
    </w:p>
    <w:p>
      <w:pPr>
        <w:pStyle w:val="Normal"/>
        <w:jc w:val="left"/>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raw materials-for” something-or-other. I light a match. The match is made</w:t>
      </w:r>
    </w:p>
    <w:p>
      <w:pPr>
        <w:pStyle w:val="Normal"/>
        <w:jc w:val="left"/>
        <w:rPr>
          <w:rFonts w:ascii="Plantin" w:hAnsi="Plantin" w:eastAsia="Calibri" w:cs="Plantin"/>
          <w:sz w:val="20"/>
          <w:szCs w:val="20"/>
        </w:rPr>
      </w:pPr>
      <w:r>
        <w:rPr>
          <w:rFonts w:eastAsia="Calibri" w:cs="Plantin" w:ascii="Plantin" w:hAnsi="Plantin"/>
          <w:sz w:val="20"/>
          <w:szCs w:val="20"/>
        </w:rPr>
        <w:t>of matter? No, it’s made of wood from a tree. The tree is made of matter?</w:t>
      </w:r>
    </w:p>
    <w:p>
      <w:pPr>
        <w:pStyle w:val="Normal"/>
        <w:jc w:val="left"/>
        <w:rPr>
          <w:rFonts w:ascii="Plantin" w:hAnsi="Plantin" w:eastAsia="Calibri" w:cs="Plantin"/>
          <w:sz w:val="20"/>
          <w:szCs w:val="20"/>
        </w:rPr>
      </w:pPr>
      <w:r>
        <w:rPr>
          <w:rFonts w:eastAsia="Calibri" w:cs="Plantin" w:ascii="Plantin" w:hAnsi="Plantin"/>
          <w:sz w:val="20"/>
          <w:szCs w:val="20"/>
        </w:rPr>
        <w:t>No, it’s made of cells. The cells? And so on down to electrons. The electrons</w:t>
      </w:r>
    </w:p>
    <w:p>
      <w:pPr>
        <w:pStyle w:val="Normal"/>
        <w:jc w:val="left"/>
        <w:rPr>
          <w:rFonts w:ascii="Plantin" w:hAnsi="Plantin" w:eastAsia="Calibri" w:cs="Plantin"/>
          <w:sz w:val="20"/>
          <w:szCs w:val="20"/>
        </w:rPr>
      </w:pPr>
      <w:r>
        <w:rPr>
          <w:rFonts w:eastAsia="Calibri" w:cs="Plantin" w:ascii="Plantin" w:hAnsi="Plantin"/>
          <w:sz w:val="20"/>
          <w:szCs w:val="20"/>
        </w:rPr>
        <w:t>are made of matter? No, they’re made of ... and so on. Thinking “matter” is</w:t>
      </w:r>
    </w:p>
    <w:p>
      <w:pPr>
        <w:pStyle w:val="Storybodytext"/>
        <w:spacing w:before="0" w:after="270"/>
        <w:rPr>
          <w:rFonts w:ascii="Plantin" w:hAnsi="Plantin" w:eastAsia="Calibri" w:cs="Plantin"/>
          <w:sz w:val="20"/>
          <w:szCs w:val="20"/>
        </w:rPr>
      </w:pPr>
      <w:r>
        <w:rPr>
          <w:rFonts w:eastAsia="Calibri" w:cs="Plantin" w:ascii="Plantin" w:hAnsi="Plantin"/>
          <w:sz w:val="20"/>
          <w:szCs w:val="20"/>
        </w:rPr>
        <w:t>thinking with blinkers on. It suits correlationism. (61)</w:t>
      </w:r>
    </w:p>
    <w:p>
      <w:pPr>
        <w:pStyle w:val="Normal"/>
        <w:jc w:val="left"/>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Matter” is correlationist</w:t>
      </w:r>
    </w:p>
    <w:p>
      <w:pPr>
        <w:pStyle w:val="Storybodytext"/>
        <w:spacing w:before="0" w:after="270"/>
        <w:rPr>
          <w:rFonts w:ascii="Plantin" w:hAnsi="Plantin" w:eastAsia="Calibri" w:cs="Plantin"/>
          <w:sz w:val="20"/>
          <w:szCs w:val="20"/>
        </w:rPr>
      </w:pPr>
      <w:r>
        <w:rPr>
          <w:rFonts w:eastAsia="Calibri" w:cs="Plantin" w:ascii="Plantin" w:hAnsi="Plantin"/>
          <w:sz w:val="20"/>
          <w:szCs w:val="20"/>
        </w:rPr>
        <w:t>in that it’s always correlated to some entity. (62)</w:t>
      </w:r>
    </w:p>
    <w:p>
      <w:pPr>
        <w:pStyle w:val="Normal"/>
        <w:jc w:val="left"/>
        <w:rPr>
          <w:rFonts w:ascii="Plantin" w:hAnsi="Plantin" w:eastAsia="Calibri" w:cs="Plantin"/>
          <w:sz w:val="20"/>
          <w:szCs w:val="20"/>
        </w:rPr>
      </w:pPr>
      <w:r>
        <w:rPr>
          <w:rFonts w:eastAsia="Calibri" w:cs="Plantin" w:ascii="Plantin" w:hAnsi="Plantin"/>
          <w:sz w:val="20"/>
          <w:szCs w:val="20"/>
        </w:rPr>
        <w:t>Objects are not just themselves—they are uncanny: they are both</w:t>
      </w:r>
    </w:p>
    <w:p>
      <w:pPr>
        <w:pStyle w:val="Normal"/>
        <w:jc w:val="left"/>
        <w:rPr>
          <w:rFonts w:ascii="Plantin" w:hAnsi="Plantin" w:eastAsia="Calibri" w:cs="Plantin"/>
          <w:sz w:val="20"/>
          <w:szCs w:val="20"/>
        </w:rPr>
      </w:pPr>
      <w:r>
        <w:rPr>
          <w:rFonts w:eastAsia="Calibri" w:cs="Plantin" w:ascii="Plantin" w:hAnsi="Plantin"/>
          <w:sz w:val="20"/>
          <w:szCs w:val="20"/>
        </w:rPr>
        <w:t>themselves and not-themselves. It is my habitual causal relationship with</w:t>
      </w:r>
    </w:p>
    <w:p>
      <w:pPr>
        <w:pStyle w:val="Normal"/>
        <w:jc w:val="left"/>
        <w:rPr>
          <w:rFonts w:ascii="Plantin" w:hAnsi="Plantin" w:eastAsia="Calibri" w:cs="Plantin"/>
          <w:sz w:val="20"/>
          <w:szCs w:val="20"/>
        </w:rPr>
      </w:pPr>
      <w:r>
        <w:rPr>
          <w:rFonts w:eastAsia="Calibri" w:cs="Plantin" w:ascii="Plantin" w:hAnsi="Plantin"/>
          <w:sz w:val="20"/>
          <w:szCs w:val="20"/>
        </w:rPr>
        <w:t>them that makes them seem to sink into the background. This background is</w:t>
      </w:r>
    </w:p>
    <w:p>
      <w:pPr>
        <w:pStyle w:val="Normal"/>
        <w:jc w:val="left"/>
        <w:rPr>
          <w:rFonts w:ascii="Plantin" w:hAnsi="Plantin" w:eastAsia="Calibri" w:cs="Plantin"/>
          <w:sz w:val="20"/>
          <w:szCs w:val="20"/>
        </w:rPr>
      </w:pPr>
      <w:r>
        <w:rPr>
          <w:rFonts w:eastAsia="Calibri" w:cs="Plantin" w:ascii="Plantin" w:hAnsi="Plantin"/>
          <w:sz w:val="20"/>
          <w:szCs w:val="20"/>
        </w:rPr>
        <w:t>nothing other than an aesthetic effect—it is produced, in other words, by the</w:t>
      </w:r>
    </w:p>
    <w:p>
      <w:pPr>
        <w:pStyle w:val="Normal"/>
        <w:jc w:val="left"/>
        <w:rPr/>
      </w:pPr>
      <w:r>
        <w:rPr>
          <w:rFonts w:eastAsia="Calibri" w:cs="Plantin" w:ascii="Plantin" w:hAnsi="Plantin"/>
          <w:sz w:val="20"/>
          <w:szCs w:val="20"/>
        </w:rPr>
        <w:t>interaction of 1+</w:t>
      </w:r>
      <w:r>
        <w:rPr>
          <w:rFonts w:eastAsia="Calibri" w:cs="Plantin-Italic" w:ascii="Plantin-Italic" w:hAnsi="Plantin-Italic"/>
          <w:i/>
          <w:iCs/>
          <w:sz w:val="20"/>
          <w:szCs w:val="20"/>
        </w:rPr>
        <w:t xml:space="preserve">n </w:t>
      </w:r>
      <w:r>
        <w:rPr>
          <w:rFonts w:eastAsia="Calibri" w:cs="Plantin" w:ascii="Plantin" w:hAnsi="Plantin"/>
          <w:sz w:val="20"/>
          <w:szCs w:val="20"/>
        </w:rPr>
        <w:t xml:space="preserve">objects. This book names the phenomenon </w:t>
      </w:r>
      <w:r>
        <w:rPr>
          <w:rFonts w:eastAsia="Calibri" w:cs="Plantin-Italic" w:ascii="Plantin-Italic" w:hAnsi="Plantin-Italic"/>
          <w:i/>
          <w:iCs/>
          <w:sz w:val="20"/>
          <w:szCs w:val="20"/>
        </w:rPr>
        <w:t>interobjectivity</w:t>
      </w:r>
      <w:r>
        <w:rPr>
          <w:rFonts w:eastAsia="Calibri" w:cs="Plantin" w:ascii="Plantin" w:hAnsi="Plantin"/>
          <w:sz w:val="20"/>
          <w:szCs w:val="20"/>
        </w:rPr>
        <w:t>.</w:t>
      </w:r>
    </w:p>
    <w:p>
      <w:pPr>
        <w:pStyle w:val="Normal"/>
        <w:jc w:val="left"/>
        <w:rPr>
          <w:rFonts w:ascii="Plantin" w:hAnsi="Plantin" w:eastAsia="Calibri" w:cs="Plantin"/>
          <w:sz w:val="20"/>
          <w:szCs w:val="20"/>
        </w:rPr>
      </w:pPr>
      <w:r>
        <w:rPr>
          <w:rFonts w:eastAsia="Calibri" w:cs="Plantin" w:ascii="Plantin" w:hAnsi="Plantin"/>
          <w:sz w:val="20"/>
          <w:szCs w:val="20"/>
        </w:rPr>
        <w:t>The aesthetic dimension implies the existence of at least one withdrawn</w:t>
      </w:r>
    </w:p>
    <w:p>
      <w:pPr>
        <w:pStyle w:val="Normal"/>
        <w:jc w:val="left"/>
        <w:rPr>
          <w:rFonts w:ascii="Plantin" w:hAnsi="Plantin" w:eastAsia="Calibri" w:cs="Plantin"/>
          <w:sz w:val="20"/>
          <w:szCs w:val="20"/>
        </w:rPr>
      </w:pPr>
      <w:r>
        <w:rPr>
          <w:rFonts w:eastAsia="Calibri" w:cs="Plantin" w:ascii="Plantin" w:hAnsi="Plantin"/>
          <w:sz w:val="20"/>
          <w:szCs w:val="20"/>
        </w:rPr>
        <w:t>object. To put it another way, in order for anything to happen, there has</w:t>
      </w:r>
    </w:p>
    <w:p>
      <w:pPr>
        <w:pStyle w:val="Normal"/>
        <w:jc w:val="left"/>
        <w:rPr>
          <w:rFonts w:ascii="Plantin" w:hAnsi="Plantin" w:eastAsia="Calibri" w:cs="Plantin"/>
          <w:sz w:val="20"/>
          <w:szCs w:val="20"/>
        </w:rPr>
      </w:pPr>
      <w:r>
        <w:rPr>
          <w:rFonts w:eastAsia="Calibri" w:cs="Plantin" w:ascii="Plantin" w:hAnsi="Plantin"/>
          <w:sz w:val="20"/>
          <w:szCs w:val="20"/>
        </w:rPr>
        <w:t>to be an object in the vicinity that has nothing to do with the happening</w:t>
      </w:r>
    </w:p>
    <w:p>
      <w:pPr>
        <w:pStyle w:val="Normal"/>
        <w:jc w:val="left"/>
        <w:rPr>
          <w:rFonts w:ascii="Plantin" w:hAnsi="Plantin" w:eastAsia="Calibri" w:cs="Plantin"/>
          <w:sz w:val="20"/>
          <w:szCs w:val="20"/>
        </w:rPr>
      </w:pPr>
      <w:r>
        <w:rPr>
          <w:rFonts w:eastAsia="Calibri" w:cs="Plantin" w:ascii="Plantin" w:hAnsi="Plantin"/>
          <w:sz w:val="20"/>
          <w:szCs w:val="20"/>
        </w:rPr>
        <w:t>in question—an object that is, in other words, not caught in the mesh</w:t>
      </w:r>
    </w:p>
    <w:p>
      <w:pPr>
        <w:pStyle w:val="Storybodytext"/>
        <w:spacing w:before="0" w:after="270"/>
        <w:rPr>
          <w:rFonts w:ascii="Plantin" w:hAnsi="Plantin" w:eastAsia="Calibri" w:cs="Plantin"/>
          <w:sz w:val="20"/>
          <w:szCs w:val="20"/>
        </w:rPr>
      </w:pPr>
      <w:r>
        <w:rPr>
          <w:rFonts w:eastAsia="Calibri" w:cs="Plantin" w:ascii="Plantin" w:hAnsi="Plantin"/>
          <w:sz w:val="20"/>
          <w:szCs w:val="20"/>
        </w:rPr>
        <w:t>of relations. (64)</w:t>
      </w:r>
    </w:p>
    <w:p>
      <w:pPr>
        <w:pStyle w:val="Normal"/>
        <w:jc w:val="left"/>
        <w:rPr>
          <w:rFonts w:ascii="Plantin" w:hAnsi="Plantin" w:eastAsia="Calibri" w:cs="Plantin"/>
          <w:sz w:val="20"/>
          <w:szCs w:val="20"/>
        </w:rPr>
      </w:pPr>
      <w:r>
        <w:rPr>
          <w:rFonts w:eastAsia="Calibri" w:cs="Plantin" w:ascii="Plantin" w:hAnsi="Plantin"/>
          <w:sz w:val="20"/>
          <w:szCs w:val="20"/>
        </w:rPr>
        <w:t>At this ontological level there is not much difference between what I,</w:t>
      </w:r>
    </w:p>
    <w:p>
      <w:pPr>
        <w:pStyle w:val="Normal"/>
        <w:jc w:val="left"/>
        <w:rPr>
          <w:rFonts w:ascii="Plantin" w:hAnsi="Plantin" w:eastAsia="Calibri" w:cs="Plantin"/>
          <w:sz w:val="20"/>
          <w:szCs w:val="20"/>
        </w:rPr>
      </w:pPr>
      <w:r>
        <w:rPr>
          <w:rFonts w:eastAsia="Calibri" w:cs="Plantin" w:ascii="Plantin" w:hAnsi="Plantin"/>
          <w:sz w:val="20"/>
          <w:szCs w:val="20"/>
        </w:rPr>
        <w:t>a human with a mind (supposedly) do, and what a pencil does to a table</w:t>
      </w:r>
    </w:p>
    <w:p>
      <w:pPr>
        <w:pStyle w:val="Normal"/>
        <w:jc w:val="left"/>
        <w:rPr>
          <w:rFonts w:ascii="Plantin" w:hAnsi="Plantin" w:eastAsia="Calibri" w:cs="Plantin"/>
          <w:sz w:val="20"/>
          <w:szCs w:val="20"/>
        </w:rPr>
      </w:pPr>
      <w:r>
        <w:rPr>
          <w:rFonts w:eastAsia="Calibri" w:cs="Plantin" w:ascii="Plantin" w:hAnsi="Plantin"/>
          <w:sz w:val="20"/>
          <w:szCs w:val="20"/>
        </w:rPr>
        <w:t>when it rests on that table. Holding, sitting and thinking belong to the</w:t>
      </w:r>
    </w:p>
    <w:p>
      <w:pPr>
        <w:pStyle w:val="Normal"/>
        <w:jc w:val="left"/>
        <w:rPr>
          <w:rFonts w:ascii="Plantin" w:hAnsi="Plantin" w:eastAsia="Calibri" w:cs="Plantin"/>
          <w:sz w:val="20"/>
          <w:szCs w:val="20"/>
        </w:rPr>
      </w:pPr>
      <w:r>
        <w:rPr>
          <w:rFonts w:eastAsia="Calibri" w:cs="Plantin" w:ascii="Plantin" w:hAnsi="Plantin"/>
          <w:sz w:val="20"/>
          <w:szCs w:val="20"/>
        </w:rPr>
        <w:t>aesthetic dimension, that is, the causal realm. There is another realm: the</w:t>
      </w:r>
    </w:p>
    <w:p>
      <w:pPr>
        <w:pStyle w:val="Normal"/>
        <w:jc w:val="left"/>
        <w:rPr>
          <w:rFonts w:ascii="Plantin" w:hAnsi="Plantin" w:eastAsia="Calibri" w:cs="Plantin"/>
          <w:sz w:val="20"/>
          <w:szCs w:val="20"/>
        </w:rPr>
      </w:pPr>
      <w:r>
        <w:rPr>
          <w:rFonts w:eastAsia="Calibri" w:cs="Plantin" w:ascii="Plantin" w:hAnsi="Plantin"/>
          <w:sz w:val="20"/>
          <w:szCs w:val="20"/>
        </w:rPr>
        <w:t>realm of being. Objects of all kinds (me, the cup, the table) occupy both</w:t>
      </w:r>
    </w:p>
    <w:p>
      <w:pPr>
        <w:pStyle w:val="Storybodytext"/>
        <w:spacing w:before="0" w:after="270"/>
        <w:rPr>
          <w:rFonts w:ascii="Plantin" w:hAnsi="Plantin" w:eastAsia="Calibri" w:cs="Plantin"/>
          <w:sz w:val="20"/>
          <w:szCs w:val="20"/>
        </w:rPr>
      </w:pPr>
      <w:r>
        <w:rPr>
          <w:rFonts w:eastAsia="Calibri" w:cs="Plantin" w:ascii="Plantin" w:hAnsi="Plantin"/>
          <w:sz w:val="20"/>
          <w:szCs w:val="20"/>
        </w:rPr>
        <w:t>realms. (65)</w:t>
      </w:r>
    </w:p>
    <w:p>
      <w:pPr>
        <w:pStyle w:val="Normal"/>
        <w:jc w:val="left"/>
        <w:rPr>
          <w:rFonts w:ascii="AkzidenzGroteskBE-Md" w:hAnsi="AkzidenzGroteskBE-Md" w:eastAsia="Calibri" w:cs="AkzidenzGroteskBE-Md"/>
          <w:sz w:val="20"/>
          <w:szCs w:val="20"/>
        </w:rPr>
      </w:pPr>
      <w:r>
        <w:rPr>
          <w:rFonts w:eastAsia="Calibri" w:cs="AkzidenzGroteskBE-Md" w:ascii="AkzidenzGroteskBE-Md" w:hAnsi="AkzidenzGroteskBE-Md"/>
          <w:sz w:val="20"/>
          <w:szCs w:val="20"/>
        </w:rPr>
        <w:t>The Abyss of Interobjectivity</w:t>
      </w:r>
    </w:p>
    <w:p>
      <w:pPr>
        <w:pStyle w:val="Normal"/>
        <w:jc w:val="left"/>
        <w:rPr>
          <w:rFonts w:ascii="Plantin" w:hAnsi="Plantin" w:eastAsia="Calibri" w:cs="Plantin"/>
          <w:sz w:val="20"/>
          <w:szCs w:val="20"/>
        </w:rPr>
      </w:pPr>
      <w:r>
        <w:rPr>
          <w:rFonts w:eastAsia="Calibri" w:cs="Plantin" w:ascii="Plantin" w:hAnsi="Plantin"/>
          <w:sz w:val="20"/>
          <w:szCs w:val="20"/>
        </w:rPr>
        <w:t>It would now be best to delve a little further into the phenomenon I have</w:t>
      </w:r>
    </w:p>
    <w:p>
      <w:pPr>
        <w:pStyle w:val="Normal"/>
        <w:jc w:val="left"/>
        <w:rPr/>
      </w:pPr>
      <w:r>
        <w:rPr>
          <w:rFonts w:eastAsia="Calibri" w:cs="Plantin" w:ascii="Plantin" w:hAnsi="Plantin"/>
          <w:sz w:val="20"/>
          <w:szCs w:val="20"/>
        </w:rPr>
        <w:t xml:space="preserve">been calling </w:t>
      </w:r>
      <w:r>
        <w:rPr>
          <w:rFonts w:eastAsia="Calibri" w:cs="Plantin-Italic" w:ascii="Plantin-Italic" w:hAnsi="Plantin-Italic"/>
          <w:i/>
          <w:iCs/>
          <w:sz w:val="20"/>
          <w:szCs w:val="20"/>
        </w:rPr>
        <w:t>interobjectivity</w:t>
      </w:r>
      <w:r>
        <w:rPr>
          <w:rFonts w:eastAsia="Calibri" w:cs="Plantin" w:ascii="Plantin" w:hAnsi="Plantin"/>
          <w:sz w:val="20"/>
          <w:szCs w:val="20"/>
        </w:rPr>
        <w:t>. The causal dimension—that is the aesthetic</w:t>
      </w:r>
    </w:p>
    <w:p>
      <w:pPr>
        <w:pStyle w:val="Normal"/>
        <w:jc w:val="left"/>
        <w:rPr>
          <w:rFonts w:ascii="Plantin" w:hAnsi="Plantin" w:eastAsia="Calibri" w:cs="Plantin"/>
          <w:sz w:val="20"/>
          <w:szCs w:val="20"/>
        </w:rPr>
      </w:pPr>
      <w:r>
        <w:rPr>
          <w:rFonts w:eastAsia="Calibri" w:cs="Plantin" w:ascii="Plantin" w:hAnsi="Plantin"/>
          <w:sz w:val="20"/>
          <w:szCs w:val="20"/>
        </w:rPr>
        <w:t>dimension—is nonlocal and nontemporal, which is another way of saying</w:t>
      </w:r>
    </w:p>
    <w:p>
      <w:pPr>
        <w:pStyle w:val="Normal"/>
        <w:jc w:val="left"/>
        <w:rPr>
          <w:rFonts w:ascii="Plantin" w:hAnsi="Plantin" w:eastAsia="Calibri" w:cs="Plantin"/>
          <w:sz w:val="20"/>
          <w:szCs w:val="20"/>
        </w:rPr>
      </w:pPr>
      <w:r>
        <w:rPr>
          <w:rFonts w:eastAsia="Calibri" w:cs="Plantin" w:ascii="Plantin" w:hAnsi="Plantin"/>
          <w:sz w:val="20"/>
          <w:szCs w:val="20"/>
        </w:rPr>
        <w:t>that objects are closer than they appear in the mirror of our habitual</w:t>
      </w:r>
    </w:p>
    <w:p>
      <w:pPr>
        <w:pStyle w:val="Normal"/>
        <w:jc w:val="left"/>
        <w:rPr>
          <w:rFonts w:ascii="Plantin" w:hAnsi="Plantin" w:eastAsia="Calibri" w:cs="Plantin"/>
          <w:sz w:val="20"/>
          <w:szCs w:val="20"/>
        </w:rPr>
      </w:pPr>
      <w:r>
        <w:rPr>
          <w:rFonts w:eastAsia="Calibri" w:cs="Plantin" w:ascii="Plantin" w:hAnsi="Plantin"/>
          <w:sz w:val="20"/>
          <w:szCs w:val="20"/>
        </w:rPr>
        <w:t>patterns. Objects are somehow entangled together in the causal–aesthetic</w:t>
      </w:r>
    </w:p>
    <w:p>
      <w:pPr>
        <w:pStyle w:val="Normal"/>
        <w:jc w:val="left"/>
        <w:rPr>
          <w:rFonts w:ascii="Plantin" w:hAnsi="Plantin" w:eastAsia="Calibri" w:cs="Plantin"/>
          <w:sz w:val="20"/>
          <w:szCs w:val="20"/>
        </w:rPr>
      </w:pPr>
      <w:r>
        <w:rPr>
          <w:rFonts w:eastAsia="Calibri" w:cs="Plantin" w:ascii="Plantin" w:hAnsi="Plantin"/>
          <w:sz w:val="20"/>
          <w:szCs w:val="20"/>
        </w:rPr>
        <w:t>dimension—I borrow the image from quantum theory, in which when</w:t>
      </w:r>
    </w:p>
    <w:p>
      <w:pPr>
        <w:pStyle w:val="Normal"/>
        <w:jc w:val="left"/>
        <w:rPr>
          <w:rFonts w:ascii="Plantin" w:hAnsi="Plantin" w:eastAsia="Calibri" w:cs="Plantin"/>
          <w:sz w:val="20"/>
          <w:szCs w:val="20"/>
        </w:rPr>
      </w:pPr>
      <w:r>
        <w:rPr>
          <w:rFonts w:eastAsia="Calibri" w:cs="Plantin" w:ascii="Plantin" w:hAnsi="Plantin"/>
          <w:sz w:val="20"/>
          <w:szCs w:val="20"/>
        </w:rPr>
        <w:t>objects do come very close, they become the same thing. I am not sure</w:t>
      </w:r>
    </w:p>
    <w:p>
      <w:pPr>
        <w:pStyle w:val="Normal"/>
        <w:jc w:val="left"/>
        <w:rPr>
          <w:rFonts w:ascii="Plantin" w:hAnsi="Plantin" w:eastAsia="Calibri" w:cs="Plantin"/>
          <w:sz w:val="20"/>
          <w:szCs w:val="20"/>
        </w:rPr>
      </w:pPr>
      <w:r>
        <w:rPr>
          <w:rFonts w:eastAsia="Calibri" w:cs="Plantin" w:ascii="Plantin" w:hAnsi="Plantin"/>
          <w:sz w:val="20"/>
          <w:szCs w:val="20"/>
        </w:rPr>
        <w:t>what limits the nonlocality and nontemporality of the causal dimension, if</w:t>
      </w:r>
    </w:p>
    <w:p>
      <w:pPr>
        <w:pStyle w:val="Storybodytext"/>
        <w:spacing w:before="0" w:after="270"/>
        <w:rPr>
          <w:rFonts w:ascii="Plantin" w:hAnsi="Plantin" w:eastAsia="Calibri" w:cs="Plantin"/>
          <w:sz w:val="20"/>
          <w:szCs w:val="20"/>
        </w:rPr>
      </w:pPr>
      <w:r>
        <w:rPr>
          <w:rFonts w:eastAsia="Calibri" w:cs="Plantin" w:ascii="Plantin" w:hAnsi="Plantin"/>
          <w:sz w:val="20"/>
          <w:szCs w:val="20"/>
        </w:rPr>
        <w:t>anything. There are no empty pockets in physical reality. (67)</w:t>
      </w:r>
    </w:p>
    <w:p>
      <w:pPr>
        <w:pStyle w:val="Normal"/>
        <w:jc w:val="left"/>
        <w:rPr>
          <w:rFonts w:ascii="Plantin" w:hAnsi="Plantin" w:eastAsia="Calibri" w:cs="Plantin"/>
          <w:sz w:val="20"/>
          <w:szCs w:val="20"/>
        </w:rPr>
      </w:pPr>
      <w:r>
        <w:rPr>
          <w:rFonts w:eastAsia="Calibri" w:cs="Plantin" w:ascii="Plantin" w:hAnsi="Plantin"/>
          <w:sz w:val="20"/>
          <w:szCs w:val="20"/>
        </w:rPr>
        <w:t>Relationships between objects are sincere in this respect: they are</w:t>
      </w:r>
    </w:p>
    <w:p>
      <w:pPr>
        <w:pStyle w:val="Normal"/>
        <w:jc w:val="left"/>
        <w:rPr/>
      </w:pPr>
      <w:r>
        <w:rPr>
          <w:rFonts w:eastAsia="Calibri" w:cs="Plantin-Italic" w:ascii="Plantin-Italic" w:hAnsi="Plantin-Italic"/>
          <w:i/>
          <w:iCs/>
          <w:sz w:val="20"/>
          <w:szCs w:val="20"/>
        </w:rPr>
        <w:t>sincerities</w:t>
      </w:r>
      <w:r>
        <w:rPr>
          <w:rFonts w:eastAsia="Calibri" w:cs="Plantin" w:ascii="Plantin" w:hAnsi="Plantin"/>
          <w:sz w:val="20"/>
          <w:szCs w:val="20"/>
        </w:rPr>
        <w:t>. Sincerities are fundamentally open, because we can never get to</w:t>
      </w:r>
    </w:p>
    <w:p>
      <w:pPr>
        <w:pStyle w:val="Storybodytext"/>
        <w:spacing w:before="0" w:after="270"/>
        <w:rPr>
          <w:rFonts w:ascii="Plantin" w:hAnsi="Plantin" w:eastAsia="Calibri" w:cs="Plantin"/>
          <w:sz w:val="20"/>
          <w:szCs w:val="20"/>
        </w:rPr>
      </w:pPr>
      <w:r>
        <w:rPr>
          <w:rFonts w:eastAsia="Calibri" w:cs="Plantin" w:ascii="Plantin" w:hAnsi="Plantin"/>
          <w:sz w:val="20"/>
          <w:szCs w:val="20"/>
        </w:rPr>
        <w:t>the bottom of them. (67)</w:t>
      </w:r>
    </w:p>
    <w:p>
      <w:pPr>
        <w:pStyle w:val="Normal"/>
        <w:jc w:val="left"/>
        <w:rPr/>
      </w:pPr>
      <w:r>
        <w:rPr>
          <w:rFonts w:eastAsia="Calibri" w:cs="Plantin" w:ascii="Plantin" w:hAnsi="Plantin"/>
          <w:sz w:val="20"/>
          <w:szCs w:val="20"/>
        </w:rPr>
        <w:t>“</w:t>
      </w:r>
      <w:r>
        <w:rPr>
          <w:rFonts w:eastAsia="Calibri" w:cs="Plantin" w:ascii="Plantin" w:hAnsi="Plantin"/>
          <w:sz w:val="20"/>
          <w:szCs w:val="20"/>
        </w:rPr>
        <w:t xml:space="preserve">Middle objects” such as </w:t>
      </w:r>
      <w:r>
        <w:rPr>
          <w:rFonts w:eastAsia="Calibri" w:cs="Plantin-Italic" w:ascii="Plantin-Italic" w:hAnsi="Plantin-Italic"/>
          <w:i/>
          <w:iCs/>
          <w:sz w:val="20"/>
          <w:szCs w:val="20"/>
        </w:rPr>
        <w:t>background</w:t>
      </w:r>
      <w:r>
        <w:rPr>
          <w:rFonts w:eastAsia="Calibri" w:cs="Plantin" w:ascii="Plantin" w:hAnsi="Plantin"/>
          <w:sz w:val="20"/>
          <w:szCs w:val="20"/>
        </w:rPr>
        <w:t>,</w:t>
      </w:r>
    </w:p>
    <w:p>
      <w:pPr>
        <w:pStyle w:val="Normal"/>
        <w:jc w:val="left"/>
        <w:rPr/>
      </w:pPr>
      <w:r>
        <w:rPr>
          <w:rFonts w:eastAsia="Calibri" w:cs="Plantin-Italic" w:ascii="Plantin-Italic" w:hAnsi="Plantin-Italic"/>
          <w:i/>
          <w:iCs/>
          <w:sz w:val="20"/>
          <w:szCs w:val="20"/>
        </w:rPr>
        <w:t>world</w:t>
      </w:r>
      <w:r>
        <w:rPr>
          <w:rFonts w:eastAsia="Calibri" w:cs="Plantin" w:ascii="Plantin" w:hAnsi="Plantin"/>
          <w:sz w:val="20"/>
          <w:szCs w:val="20"/>
        </w:rPr>
        <w:t xml:space="preserve">, </w:t>
      </w:r>
      <w:r>
        <w:rPr>
          <w:rFonts w:eastAsia="Calibri" w:cs="Plantin-Italic" w:ascii="Plantin-Italic" w:hAnsi="Plantin-Italic"/>
          <w:i/>
          <w:iCs/>
          <w:sz w:val="20"/>
          <w:szCs w:val="20"/>
        </w:rPr>
        <w:t xml:space="preserve">environment, place, space </w:t>
      </w:r>
      <w:r>
        <w:rPr>
          <w:rFonts w:eastAsia="Calibri" w:cs="Plantin" w:ascii="Plantin" w:hAnsi="Plantin"/>
          <w:sz w:val="20"/>
          <w:szCs w:val="20"/>
        </w:rPr>
        <w:t xml:space="preserve">and </w:t>
      </w:r>
      <w:r>
        <w:rPr>
          <w:rFonts w:eastAsia="Calibri" w:cs="Plantin-Italic" w:ascii="Plantin-Italic" w:hAnsi="Plantin-Italic"/>
          <w:i/>
          <w:iCs/>
          <w:sz w:val="20"/>
          <w:szCs w:val="20"/>
        </w:rPr>
        <w:t xml:space="preserve">horizon </w:t>
      </w:r>
      <w:r>
        <w:rPr>
          <w:rFonts w:eastAsia="Calibri" w:cs="Plantin" w:ascii="Plantin" w:hAnsi="Plantin"/>
          <w:sz w:val="20"/>
          <w:szCs w:val="20"/>
        </w:rPr>
        <w:t>are non-objects, phantoms that</w:t>
      </w:r>
    </w:p>
    <w:p>
      <w:pPr>
        <w:pStyle w:val="Normal"/>
        <w:jc w:val="left"/>
        <w:rPr>
          <w:rFonts w:ascii="Plantin" w:hAnsi="Plantin" w:eastAsia="Calibri" w:cs="Plantin"/>
          <w:sz w:val="20"/>
          <w:szCs w:val="20"/>
        </w:rPr>
      </w:pPr>
      <w:r>
        <w:rPr>
          <w:rFonts w:eastAsia="Calibri" w:cs="Plantin" w:ascii="Plantin" w:hAnsi="Plantin"/>
          <w:sz w:val="20"/>
          <w:szCs w:val="20"/>
        </w:rPr>
        <w:t>we (and maybe some other sentient beings) employ to domesticate this wild</w:t>
      </w:r>
    </w:p>
    <w:p>
      <w:pPr>
        <w:pStyle w:val="Normal"/>
        <w:jc w:val="left"/>
        <w:rPr>
          <w:rFonts w:ascii="Plantin" w:hAnsi="Plantin" w:eastAsia="Calibri" w:cs="Plantin"/>
          <w:sz w:val="20"/>
          <w:szCs w:val="20"/>
        </w:rPr>
      </w:pPr>
      <w:r>
        <w:rPr>
          <w:rFonts w:eastAsia="Calibri" w:cs="Plantin" w:ascii="Plantin" w:hAnsi="Plantin"/>
          <w:sz w:val="20"/>
          <w:szCs w:val="20"/>
        </w:rPr>
        <w:t>and uncompromising state of affairs. In truth, objects are both more real</w:t>
      </w:r>
    </w:p>
    <w:p>
      <w:pPr>
        <w:pStyle w:val="Normal"/>
        <w:jc w:val="left"/>
        <w:rPr>
          <w:rFonts w:ascii="Plantin" w:hAnsi="Plantin" w:eastAsia="Calibri" w:cs="Plantin"/>
          <w:sz w:val="20"/>
          <w:szCs w:val="20"/>
        </w:rPr>
      </w:pPr>
      <w:r>
        <w:rPr>
          <w:rFonts w:eastAsia="Calibri" w:cs="Plantin" w:ascii="Plantin" w:hAnsi="Plantin"/>
          <w:sz w:val="20"/>
          <w:szCs w:val="20"/>
        </w:rPr>
        <w:t>and more illusory than we want to know. Elsewhere I argue that ecological</w:t>
      </w:r>
    </w:p>
    <w:p>
      <w:pPr>
        <w:pStyle w:val="Normal"/>
        <w:jc w:val="left"/>
        <w:rPr/>
      </w:pPr>
      <w:r>
        <w:rPr>
          <w:rFonts w:eastAsia="Calibri" w:cs="Plantin" w:ascii="Plantin" w:hAnsi="Plantin"/>
          <w:sz w:val="20"/>
          <w:szCs w:val="20"/>
        </w:rPr>
        <w:t xml:space="preserve">awareness consists precisely in concepts such as </w:t>
      </w:r>
      <w:r>
        <w:rPr>
          <w:rFonts w:eastAsia="Calibri" w:cs="Plantin-Italic" w:ascii="Plantin-Italic" w:hAnsi="Plantin-Italic"/>
          <w:i/>
          <w:iCs/>
          <w:sz w:val="20"/>
          <w:szCs w:val="20"/>
        </w:rPr>
        <w:t xml:space="preserve">world </w:t>
      </w:r>
      <w:r>
        <w:rPr>
          <w:rFonts w:eastAsia="Calibri" w:cs="Plantin" w:ascii="Plantin" w:hAnsi="Plantin"/>
          <w:sz w:val="20"/>
          <w:szCs w:val="20"/>
        </w:rPr>
        <w:t xml:space="preserve">and </w:t>
      </w:r>
      <w:r>
        <w:rPr>
          <w:rFonts w:eastAsia="Calibri" w:cs="Plantin-Italic" w:ascii="Plantin-Italic" w:hAnsi="Plantin-Italic"/>
          <w:i/>
          <w:iCs/>
          <w:sz w:val="20"/>
          <w:szCs w:val="20"/>
        </w:rPr>
        <w:t xml:space="preserve">place </w:t>
      </w:r>
      <w:r>
        <w:rPr>
          <w:rFonts w:eastAsia="Calibri" w:cs="Plantin" w:ascii="Plantin" w:hAnsi="Plantin"/>
          <w:sz w:val="20"/>
          <w:szCs w:val="20"/>
        </w:rPr>
        <w:t>evaporating,</w:t>
      </w:r>
    </w:p>
    <w:p>
      <w:pPr>
        <w:pStyle w:val="Normal"/>
        <w:jc w:val="left"/>
        <w:rPr>
          <w:rFonts w:ascii="Plantin" w:hAnsi="Plantin" w:eastAsia="Calibri" w:cs="Plantin"/>
          <w:sz w:val="20"/>
          <w:szCs w:val="20"/>
        </w:rPr>
      </w:pPr>
      <w:r>
        <w:rPr>
          <w:rFonts w:eastAsia="Calibri" w:cs="Plantin" w:ascii="Plantin" w:hAnsi="Plantin"/>
          <w:sz w:val="20"/>
          <w:szCs w:val="20"/>
        </w:rPr>
        <w:t>leaving behind real entities that are far closer than they appear in the mirror</w:t>
      </w:r>
    </w:p>
    <w:p>
      <w:pPr>
        <w:pStyle w:val="Normal"/>
        <w:jc w:val="left"/>
        <w:rPr>
          <w:rFonts w:ascii="Plantin" w:hAnsi="Plantin" w:eastAsia="Calibri" w:cs="Plantin"/>
          <w:sz w:val="20"/>
          <w:szCs w:val="20"/>
        </w:rPr>
      </w:pPr>
      <w:r>
        <w:rPr>
          <w:rFonts w:eastAsia="Calibri" w:cs="Plantin" w:ascii="Plantin" w:hAnsi="Plantin"/>
          <w:sz w:val="20"/>
          <w:szCs w:val="20"/>
        </w:rPr>
        <w:t>of human conceptuality. So that, in general, human beings are now living</w:t>
      </w:r>
    </w:p>
    <w:p>
      <w:pPr>
        <w:pStyle w:val="Normal"/>
        <w:jc w:val="left"/>
        <w:rPr/>
      </w:pPr>
      <w:r>
        <w:rPr>
          <w:rFonts w:eastAsia="Calibri" w:cs="Plantin" w:ascii="Plantin" w:hAnsi="Plantin"/>
          <w:sz w:val="20"/>
          <w:szCs w:val="20"/>
        </w:rPr>
        <w:t xml:space="preserve">through an extended and urgent introduction to </w:t>
      </w:r>
      <w:r>
        <w:rPr>
          <w:rFonts w:eastAsia="PlantinExpert" w:cs="PlantinExpert" w:ascii="PlantinExpert" w:hAnsi="PlantinExpert"/>
          <w:sz w:val="20"/>
          <w:szCs w:val="20"/>
        </w:rPr>
        <w:t></w:t>
      </w:r>
      <w:r>
        <w:rPr>
          <w:rFonts w:eastAsia="Calibri" w:cs="Plantin" w:ascii="Plantin" w:hAnsi="Plantin"/>
          <w:sz w:val="20"/>
          <w:szCs w:val="20"/>
        </w:rPr>
        <w:t>, whether they like it</w:t>
      </w:r>
    </w:p>
    <w:p>
      <w:pPr>
        <w:pStyle w:val="Normal"/>
        <w:jc w:val="left"/>
        <w:rPr>
          <w:rFonts w:ascii="Plantin" w:hAnsi="Plantin" w:eastAsia="Calibri" w:cs="Plantin"/>
          <w:sz w:val="20"/>
          <w:szCs w:val="20"/>
        </w:rPr>
      </w:pPr>
      <w:r>
        <w:rPr>
          <w:rFonts w:eastAsia="Calibri" w:cs="Plantin" w:ascii="Plantin" w:hAnsi="Plantin"/>
          <w:sz w:val="20"/>
          <w:szCs w:val="20"/>
        </w:rPr>
        <w:t>or not, whenever they confront phenomena such as global warming and the</w:t>
      </w:r>
    </w:p>
    <w:p>
      <w:pPr>
        <w:pStyle w:val="Storybodytext"/>
        <w:spacing w:before="0" w:after="270"/>
        <w:rPr>
          <w:rFonts w:ascii="Plantin" w:hAnsi="Plantin" w:eastAsia="Calibri" w:cs="Plantin"/>
          <w:sz w:val="20"/>
          <w:szCs w:val="20"/>
        </w:rPr>
      </w:pPr>
      <w:r>
        <w:rPr>
          <w:rFonts w:eastAsia="Calibri" w:cs="Plantin" w:ascii="Plantin" w:hAnsi="Plantin"/>
          <w:sz w:val="20"/>
          <w:szCs w:val="20"/>
        </w:rPr>
        <w:t>uncanny resemblances between lifeforms. (68)</w:t>
      </w:r>
    </w:p>
    <w:p>
      <w:pPr>
        <w:pStyle w:val="Normal"/>
        <w:jc w:val="left"/>
        <w:rPr>
          <w:rFonts w:ascii="Plantin" w:hAnsi="Plantin" w:eastAsia="Calibri" w:cs="Plantin"/>
          <w:sz w:val="20"/>
          <w:szCs w:val="20"/>
        </w:rPr>
      </w:pPr>
      <w:r>
        <w:rPr>
          <w:rFonts w:eastAsia="Calibri" w:cs="Plantin" w:ascii="Plantin" w:hAnsi="Plantin"/>
          <w:sz w:val="20"/>
          <w:szCs w:val="20"/>
        </w:rPr>
        <w:t>One object plays another one. This empty orange juice bottle is playing</w:t>
      </w:r>
    </w:p>
    <w:p>
      <w:pPr>
        <w:pStyle w:val="Normal"/>
        <w:jc w:val="left"/>
        <w:rPr>
          <w:rFonts w:ascii="Plantin" w:hAnsi="Plantin" w:eastAsia="Calibri" w:cs="Plantin"/>
          <w:sz w:val="20"/>
          <w:szCs w:val="20"/>
        </w:rPr>
      </w:pPr>
      <w:r>
        <w:rPr>
          <w:rFonts w:eastAsia="Calibri" w:cs="Plantin" w:ascii="Plantin" w:hAnsi="Plantin"/>
          <w:sz w:val="20"/>
          <w:szCs w:val="20"/>
        </w:rPr>
        <w:t>the table in this airport, waggling back and forth as the table sways due</w:t>
      </w:r>
    </w:p>
    <w:p>
      <w:pPr>
        <w:pStyle w:val="Normal"/>
        <w:jc w:val="left"/>
        <w:rPr>
          <w:rFonts w:ascii="Plantin" w:hAnsi="Plantin" w:eastAsia="Calibri" w:cs="Plantin"/>
          <w:sz w:val="20"/>
          <w:szCs w:val="20"/>
        </w:rPr>
      </w:pPr>
      <w:r>
        <w:rPr>
          <w:rFonts w:eastAsia="Calibri" w:cs="Plantin" w:ascii="Plantin" w:hAnsi="Plantin"/>
          <w:sz w:val="20"/>
          <w:szCs w:val="20"/>
        </w:rPr>
        <w:t>to a wonky leg. Objects are shared by numerous entities in a common</w:t>
      </w:r>
    </w:p>
    <w:p>
      <w:pPr>
        <w:pStyle w:val="Normal"/>
        <w:jc w:val="left"/>
        <w:rPr>
          <w:rFonts w:ascii="Plantin" w:hAnsi="Plantin" w:eastAsia="Calibri" w:cs="Plantin"/>
          <w:sz w:val="20"/>
          <w:szCs w:val="20"/>
        </w:rPr>
      </w:pPr>
      <w:r>
        <w:rPr>
          <w:rFonts w:eastAsia="Calibri" w:cs="Plantin" w:ascii="Plantin" w:hAnsi="Plantin"/>
          <w:sz w:val="20"/>
          <w:szCs w:val="20"/>
        </w:rPr>
        <w:t>sensual space. This shared space is a vast nonlocal configuration space.</w:t>
      </w:r>
    </w:p>
    <w:p>
      <w:pPr>
        <w:pStyle w:val="Normal"/>
        <w:jc w:val="left"/>
        <w:rPr>
          <w:rFonts w:ascii="Plantin" w:hAnsi="Plantin" w:eastAsia="Calibri" w:cs="Plantin"/>
          <w:sz w:val="20"/>
          <w:szCs w:val="20"/>
        </w:rPr>
      </w:pPr>
      <w:r>
        <w:rPr>
          <w:rFonts w:eastAsia="Calibri" w:cs="Plantin" w:ascii="Plantin" w:hAnsi="Plantin"/>
          <w:sz w:val="20"/>
          <w:szCs w:val="20"/>
        </w:rPr>
        <w:t>Phenomena such as human subjectivity—“intersubjective” phenomena that</w:t>
      </w:r>
    </w:p>
    <w:p>
      <w:pPr>
        <w:pStyle w:val="Normal"/>
        <w:jc w:val="left"/>
        <w:rPr>
          <w:rFonts w:ascii="Plantin" w:hAnsi="Plantin" w:eastAsia="Calibri" w:cs="Plantin"/>
          <w:sz w:val="20"/>
          <w:szCs w:val="20"/>
        </w:rPr>
      </w:pPr>
      <w:r>
        <w:rPr>
          <w:rFonts w:eastAsia="Calibri" w:cs="Plantin" w:ascii="Plantin" w:hAnsi="Plantin"/>
          <w:sz w:val="20"/>
          <w:szCs w:val="20"/>
        </w:rPr>
        <w:t>is—occupy small regions of the space of interobjectivity. Every interobjective</w:t>
      </w:r>
    </w:p>
    <w:p>
      <w:pPr>
        <w:pStyle w:val="Normal"/>
        <w:jc w:val="left"/>
        <w:rPr/>
      </w:pPr>
      <w:r>
        <w:rPr>
          <w:rFonts w:eastAsia="Calibri" w:cs="Plantin" w:ascii="Plantin" w:hAnsi="Plantin"/>
          <w:sz w:val="20"/>
          <w:szCs w:val="20"/>
        </w:rPr>
        <w:t>phenomenon requires 1+</w:t>
      </w:r>
      <w:r>
        <w:rPr>
          <w:rFonts w:eastAsia="Calibri" w:cs="Plantin-Italic" w:ascii="Plantin-Italic" w:hAnsi="Plantin-Italic"/>
          <w:i/>
          <w:iCs/>
          <w:sz w:val="20"/>
          <w:szCs w:val="20"/>
        </w:rPr>
        <w:t xml:space="preserve">n </w:t>
      </w:r>
      <w:r>
        <w:rPr>
          <w:rFonts w:eastAsia="Calibri" w:cs="Plantin" w:ascii="Plantin" w:hAnsi="Plantin"/>
          <w:sz w:val="20"/>
          <w:szCs w:val="20"/>
        </w:rPr>
        <w:t>real objects. This means that for every</w:t>
      </w:r>
    </w:p>
    <w:p>
      <w:pPr>
        <w:pStyle w:val="Normal"/>
        <w:jc w:val="left"/>
        <w:rPr>
          <w:rFonts w:ascii="Plantin" w:hAnsi="Plantin" w:eastAsia="Calibri" w:cs="Plantin"/>
          <w:sz w:val="20"/>
          <w:szCs w:val="20"/>
        </w:rPr>
      </w:pPr>
      <w:r>
        <w:rPr>
          <w:rFonts w:eastAsia="Calibri" w:cs="Plantin" w:ascii="Plantin" w:hAnsi="Plantin"/>
          <w:sz w:val="20"/>
          <w:szCs w:val="20"/>
        </w:rPr>
        <w:t>interobjective system, at least one real object is withdrawn. Consider a beat.</w:t>
      </w:r>
    </w:p>
    <w:p>
      <w:pPr>
        <w:pStyle w:val="Normal"/>
        <w:jc w:val="left"/>
        <w:rPr>
          <w:rFonts w:ascii="Plantin" w:hAnsi="Plantin" w:eastAsia="Calibri" w:cs="Plantin"/>
          <w:sz w:val="20"/>
          <w:szCs w:val="20"/>
        </w:rPr>
      </w:pPr>
      <w:r>
        <w:rPr>
          <w:rFonts w:eastAsia="Calibri" w:cs="Plantin" w:ascii="Plantin" w:hAnsi="Plantin"/>
          <w:sz w:val="20"/>
          <w:szCs w:val="20"/>
        </w:rPr>
        <w:t>A beat occurs when one tone is canceled by another tone. You make a beat</w:t>
      </w:r>
    </w:p>
    <w:p>
      <w:pPr>
        <w:pStyle w:val="Normal"/>
        <w:jc w:val="left"/>
        <w:rPr>
          <w:rFonts w:ascii="Plantin" w:hAnsi="Plantin" w:eastAsia="Calibri" w:cs="Plantin"/>
          <w:sz w:val="20"/>
          <w:szCs w:val="20"/>
        </w:rPr>
      </w:pPr>
      <w:r>
        <w:rPr>
          <w:rFonts w:eastAsia="Calibri" w:cs="Plantin" w:ascii="Plantin" w:hAnsi="Plantin"/>
          <w:sz w:val="20"/>
          <w:szCs w:val="20"/>
        </w:rPr>
        <w:t>by cutting a continuous tone. The gap between the two is a beat.</w:t>
      </w:r>
    </w:p>
    <w:p>
      <w:pPr>
        <w:pStyle w:val="Normal"/>
        <w:jc w:val="left"/>
        <w:rPr>
          <w:rFonts w:ascii="Plantin" w:hAnsi="Plantin" w:eastAsia="Calibri" w:cs="Plantin"/>
          <w:sz w:val="20"/>
          <w:szCs w:val="20"/>
        </w:rPr>
      </w:pPr>
      <w:r>
        <w:rPr>
          <w:rFonts w:eastAsia="Calibri" w:cs="Plantin" w:ascii="Plantin" w:hAnsi="Plantin"/>
          <w:sz w:val="20"/>
          <w:szCs w:val="20"/>
        </w:rPr>
        <w:t>Every event in reality is a kind of inscription in which one object leaves</w:t>
      </w:r>
    </w:p>
    <w:p>
      <w:pPr>
        <w:pStyle w:val="Normal"/>
        <w:jc w:val="left"/>
        <w:rPr>
          <w:rFonts w:ascii="Plantin" w:hAnsi="Plantin" w:eastAsia="Calibri" w:cs="Plantin"/>
          <w:sz w:val="20"/>
          <w:szCs w:val="20"/>
        </w:rPr>
      </w:pPr>
      <w:r>
        <w:rPr>
          <w:rFonts w:eastAsia="Calibri" w:cs="Plantin" w:ascii="Plantin" w:hAnsi="Plantin"/>
          <w:sz w:val="20"/>
          <w:szCs w:val="20"/>
        </w:rPr>
        <w:t>its footprint in another one. Interobjective reality is just the sum total of all</w:t>
      </w:r>
    </w:p>
    <w:p>
      <w:pPr>
        <w:pStyle w:val="Normal"/>
        <w:jc w:val="left"/>
        <w:rPr>
          <w:rFonts w:ascii="Plantin" w:hAnsi="Plantin" w:eastAsia="Calibri" w:cs="Plantin"/>
          <w:sz w:val="20"/>
          <w:szCs w:val="20"/>
        </w:rPr>
      </w:pPr>
      <w:r>
        <w:rPr>
          <w:rFonts w:eastAsia="Calibri" w:cs="Plantin" w:ascii="Plantin" w:hAnsi="Plantin"/>
          <w:sz w:val="20"/>
          <w:szCs w:val="20"/>
        </w:rPr>
        <w:t>these footprints, crisscrossing everywhere. It’s nonlocal by definition and</w:t>
      </w:r>
    </w:p>
    <w:p>
      <w:pPr>
        <w:pStyle w:val="Storybodytext"/>
        <w:spacing w:before="0" w:after="270"/>
        <w:rPr>
          <w:rFonts w:ascii="Plantin" w:hAnsi="Plantin" w:eastAsia="Calibri" w:cs="Plantin"/>
          <w:sz w:val="20"/>
          <w:szCs w:val="20"/>
        </w:rPr>
      </w:pPr>
      <w:r>
        <w:rPr>
          <w:rFonts w:eastAsia="Calibri" w:cs="Plantin" w:ascii="Plantin" w:hAnsi="Plantin"/>
          <w:sz w:val="20"/>
          <w:szCs w:val="20"/>
        </w:rPr>
        <w:t>temporally molten. (71)</w:t>
      </w:r>
    </w:p>
    <w:p>
      <w:pPr>
        <w:pStyle w:val="Normal"/>
        <w:jc w:val="left"/>
        <w:rPr>
          <w:rFonts w:ascii="AkzidenzGroteskBE-Md" w:hAnsi="AkzidenzGroteskBE-Md" w:eastAsia="Calibri" w:cs="AkzidenzGroteskBE-Md"/>
          <w:sz w:val="20"/>
          <w:szCs w:val="20"/>
        </w:rPr>
      </w:pPr>
      <w:r>
        <w:rPr>
          <w:rFonts w:eastAsia="Calibri" w:cs="AkzidenzGroteskBE-Md" w:ascii="AkzidenzGroteskBE-Md" w:hAnsi="AkzidenzGroteskBE-Md"/>
          <w:sz w:val="20"/>
          <w:szCs w:val="20"/>
        </w:rPr>
        <w:t>Causation Without Clunking</w:t>
      </w:r>
    </w:p>
    <w:p>
      <w:pPr>
        <w:pStyle w:val="Normal"/>
        <w:jc w:val="left"/>
        <w:rPr>
          <w:rFonts w:ascii="Plantin" w:hAnsi="Plantin" w:eastAsia="Calibri" w:cs="Plantin"/>
          <w:sz w:val="20"/>
          <w:szCs w:val="20"/>
        </w:rPr>
      </w:pPr>
      <w:r>
        <w:rPr>
          <w:rFonts w:eastAsia="Calibri" w:cs="Plantin" w:ascii="Plantin" w:hAnsi="Plantin"/>
          <w:sz w:val="20"/>
          <w:szCs w:val="20"/>
        </w:rPr>
        <w:t>We are beginning to see how we can do without a mechanistic theory of</w:t>
      </w:r>
    </w:p>
    <w:p>
      <w:pPr>
        <w:pStyle w:val="Normal"/>
        <w:jc w:val="left"/>
        <w:rPr>
          <w:rFonts w:ascii="Plantin" w:hAnsi="Plantin" w:eastAsia="Calibri" w:cs="Plantin"/>
          <w:sz w:val="20"/>
          <w:szCs w:val="20"/>
        </w:rPr>
      </w:pPr>
      <w:r>
        <w:rPr>
          <w:rFonts w:eastAsia="Calibri" w:cs="Plantin" w:ascii="Plantin" w:hAnsi="Plantin"/>
          <w:sz w:val="20"/>
          <w:szCs w:val="20"/>
        </w:rPr>
        <w:t>causation: all to the good, since mechanistic theories just fail to cope with</w:t>
      </w:r>
    </w:p>
    <w:p>
      <w:pPr>
        <w:pStyle w:val="Normal"/>
        <w:jc w:val="left"/>
        <w:rPr>
          <w:rFonts w:ascii="Plantin" w:hAnsi="Plantin" w:eastAsia="Calibri" w:cs="Plantin"/>
          <w:sz w:val="20"/>
          <w:szCs w:val="20"/>
        </w:rPr>
      </w:pPr>
      <w:r>
        <w:rPr>
          <w:rFonts w:eastAsia="Calibri" w:cs="Plantin" w:ascii="Plantin" w:hAnsi="Plantin"/>
          <w:sz w:val="20"/>
          <w:szCs w:val="20"/>
        </w:rPr>
        <w:t>relativity or quantum theory.57 There is an ontological reason why we need</w:t>
      </w:r>
    </w:p>
    <w:p>
      <w:pPr>
        <w:pStyle w:val="Normal"/>
        <w:jc w:val="left"/>
        <w:rPr>
          <w:rFonts w:ascii="Plantin" w:hAnsi="Plantin" w:eastAsia="Calibri" w:cs="Plantin"/>
          <w:sz w:val="20"/>
          <w:szCs w:val="20"/>
        </w:rPr>
      </w:pPr>
      <w:r>
        <w:rPr>
          <w:rFonts w:eastAsia="Calibri" w:cs="Plantin" w:ascii="Plantin" w:hAnsi="Plantin"/>
          <w:sz w:val="20"/>
          <w:szCs w:val="20"/>
        </w:rPr>
        <w:t>to avoid mechanism. If all objects are unique, there is no sense in which we</w:t>
      </w:r>
    </w:p>
    <w:p>
      <w:pPr>
        <w:pStyle w:val="Normal"/>
        <w:jc w:val="left"/>
        <w:rPr>
          <w:rFonts w:ascii="Plantin" w:hAnsi="Plantin" w:eastAsia="Calibri" w:cs="Plantin"/>
          <w:sz w:val="20"/>
          <w:szCs w:val="20"/>
        </w:rPr>
      </w:pPr>
      <w:r>
        <w:rPr>
          <w:rFonts w:eastAsia="Calibri" w:cs="Plantin" w:ascii="Plantin" w:hAnsi="Plantin"/>
          <w:sz w:val="20"/>
          <w:szCs w:val="20"/>
        </w:rPr>
        <w:t>can specify a mechanical level that somehow chugs along beneath objects.</w:t>
      </w:r>
    </w:p>
    <w:p>
      <w:pPr>
        <w:pStyle w:val="Normal"/>
        <w:jc w:val="left"/>
        <w:rPr>
          <w:rFonts w:ascii="Plantin" w:hAnsi="Plantin" w:eastAsia="Calibri" w:cs="Plantin"/>
          <w:sz w:val="20"/>
          <w:szCs w:val="20"/>
        </w:rPr>
      </w:pPr>
      <w:r>
        <w:rPr>
          <w:rFonts w:eastAsia="Calibri" w:cs="Plantin" w:ascii="Plantin" w:hAnsi="Plantin"/>
          <w:sz w:val="20"/>
          <w:szCs w:val="20"/>
        </w:rPr>
        <w:t>This would require consistent machine parts, and according to the view of</w:t>
      </w:r>
    </w:p>
    <w:p>
      <w:pPr>
        <w:pStyle w:val="Normal"/>
        <w:jc w:val="left"/>
        <w:rPr/>
      </w:pPr>
      <w:r>
        <w:rPr>
          <w:rFonts w:eastAsia="PlantinExpert" w:cs="PlantinExpert" w:ascii="PlantinExpert" w:hAnsi="PlantinExpert"/>
          <w:sz w:val="20"/>
          <w:szCs w:val="20"/>
        </w:rPr>
        <w:t>ooo</w:t>
      </w:r>
      <w:r>
        <w:rPr>
          <w:rFonts w:eastAsia="Calibri" w:cs="Plantin" w:ascii="Plantin" w:hAnsi="Plantin"/>
          <w:sz w:val="20"/>
          <w:szCs w:val="20"/>
        </w:rPr>
        <w:t>, we are just not living in that kind of reality.</w:t>
      </w:r>
    </w:p>
    <w:p>
      <w:pPr>
        <w:pStyle w:val="Normal"/>
        <w:jc w:val="left"/>
        <w:rPr>
          <w:rFonts w:ascii="Plantin" w:hAnsi="Plantin" w:eastAsia="Calibri" w:cs="Plantin"/>
          <w:sz w:val="20"/>
          <w:szCs w:val="20"/>
        </w:rPr>
      </w:pPr>
      <w:r>
        <w:rPr>
          <w:rFonts w:eastAsia="Calibri" w:cs="Plantin" w:ascii="Plantin" w:hAnsi="Plantin"/>
          <w:sz w:val="20"/>
          <w:szCs w:val="20"/>
        </w:rPr>
        <w:t>There is a far deeper problem. If all objects are unique and enclosed</w:t>
      </w:r>
    </w:p>
    <w:p>
      <w:pPr>
        <w:pStyle w:val="Normal"/>
        <w:jc w:val="left"/>
        <w:rPr>
          <w:rFonts w:ascii="Plantin" w:hAnsi="Plantin" w:eastAsia="Calibri" w:cs="Plantin"/>
          <w:sz w:val="20"/>
          <w:szCs w:val="20"/>
        </w:rPr>
      </w:pPr>
      <w:r>
        <w:rPr>
          <w:rFonts w:eastAsia="Calibri" w:cs="Plantin" w:ascii="Plantin" w:hAnsi="Plantin"/>
          <w:sz w:val="20"/>
          <w:szCs w:val="20"/>
        </w:rPr>
        <w:t>from access, they can never truly be said to touch one another! Harman thus</w:t>
      </w:r>
    </w:p>
    <w:p>
      <w:pPr>
        <w:pStyle w:val="Storybodytext"/>
        <w:spacing w:before="0" w:after="270"/>
        <w:rPr/>
      </w:pPr>
      <w:r>
        <w:rPr>
          <w:rFonts w:eastAsia="Calibri" w:cs="Plantin" w:ascii="Plantin" w:hAnsi="Plantin"/>
          <w:sz w:val="20"/>
          <w:szCs w:val="20"/>
        </w:rPr>
        <w:t xml:space="preserve">outlines an </w:t>
      </w:r>
      <w:r>
        <w:rPr>
          <w:rFonts w:eastAsia="PlantinExpert" w:cs="PlantinExpert" w:ascii="PlantinExpert" w:hAnsi="PlantinExpert"/>
          <w:sz w:val="20"/>
          <w:szCs w:val="20"/>
        </w:rPr>
        <w:t xml:space="preserve">ooo </w:t>
      </w:r>
      <w:r>
        <w:rPr>
          <w:rFonts w:eastAsia="Calibri" w:cs="Plantin" w:ascii="Plantin" w:hAnsi="Plantin"/>
          <w:sz w:val="20"/>
          <w:szCs w:val="20"/>
        </w:rPr>
        <w:t xml:space="preserve">theory of </w:t>
      </w:r>
      <w:r>
        <w:rPr>
          <w:rFonts w:eastAsia="Calibri" w:cs="Plantin-Italic" w:ascii="Plantin-Italic" w:hAnsi="Plantin-Italic"/>
          <w:i/>
          <w:iCs/>
          <w:sz w:val="20"/>
          <w:szCs w:val="20"/>
        </w:rPr>
        <w:t>vicarious causation</w:t>
      </w:r>
      <w:r>
        <w:rPr>
          <w:rFonts w:eastAsia="Calibri" w:cs="Plantin" w:ascii="Plantin" w:hAnsi="Plantin"/>
          <w:sz w:val="20"/>
          <w:szCs w:val="20"/>
        </w:rPr>
        <w:t>. (72)</w:t>
      </w:r>
    </w:p>
    <w:p>
      <w:pPr>
        <w:pStyle w:val="Normal"/>
        <w:jc w:val="left"/>
        <w:rPr>
          <w:rFonts w:ascii="Plantin" w:hAnsi="Plantin" w:eastAsia="Calibri" w:cs="Plantin"/>
          <w:sz w:val="20"/>
          <w:szCs w:val="20"/>
        </w:rPr>
      </w:pPr>
      <w:r>
        <w:rPr>
          <w:rFonts w:eastAsia="Calibri" w:cs="Plantin" w:ascii="Plantin" w:hAnsi="Plantin"/>
          <w:sz w:val="20"/>
          <w:szCs w:val="20"/>
        </w:rPr>
        <w:t>The trouble is, when you only have the meshwork, the mask, without the</w:t>
      </w:r>
    </w:p>
    <w:p>
      <w:pPr>
        <w:pStyle w:val="Normal"/>
        <w:jc w:val="left"/>
        <w:rPr>
          <w:rFonts w:ascii="Plantin" w:hAnsi="Plantin" w:eastAsia="Calibri" w:cs="Plantin"/>
          <w:sz w:val="20"/>
          <w:szCs w:val="20"/>
        </w:rPr>
      </w:pPr>
      <w:r>
        <w:rPr>
          <w:rFonts w:eastAsia="Calibri" w:cs="Plantin" w:ascii="Plantin" w:hAnsi="Plantin"/>
          <w:sz w:val="20"/>
          <w:szCs w:val="20"/>
        </w:rPr>
        <w:t>possibility that there’s something real underneath it, then you have no play,</w:t>
      </w:r>
    </w:p>
    <w:p>
      <w:pPr>
        <w:pStyle w:val="Normal"/>
        <w:jc w:val="left"/>
        <w:rPr/>
      </w:pPr>
      <w:r>
        <w:rPr>
          <w:rFonts w:eastAsia="Calibri" w:cs="Plantin" w:ascii="Plantin" w:hAnsi="Plantin"/>
          <w:sz w:val="20"/>
          <w:szCs w:val="20"/>
        </w:rPr>
        <w:t xml:space="preserve">no pretense, no illusion, no display, no magic. You </w:t>
      </w:r>
      <w:r>
        <w:rPr>
          <w:rFonts w:eastAsia="Calibri" w:cs="Plantin-Italic" w:ascii="Plantin-Italic" w:hAnsi="Plantin-Italic"/>
          <w:i/>
          <w:iCs/>
          <w:sz w:val="20"/>
          <w:szCs w:val="20"/>
        </w:rPr>
        <w:t xml:space="preserve">know </w:t>
      </w:r>
      <w:r>
        <w:rPr>
          <w:rFonts w:eastAsia="Calibri" w:cs="Plantin" w:ascii="Plantin" w:hAnsi="Plantin"/>
          <w:sz w:val="20"/>
          <w:szCs w:val="20"/>
        </w:rPr>
        <w:t>it’s an illusion—so</w:t>
      </w:r>
    </w:p>
    <w:p>
      <w:pPr>
        <w:pStyle w:val="Normal"/>
        <w:jc w:val="left"/>
        <w:rPr/>
      </w:pPr>
      <w:r>
        <w:rPr>
          <w:rFonts w:eastAsia="Calibri" w:cs="Plantin" w:ascii="Plantin" w:hAnsi="Plantin"/>
          <w:sz w:val="20"/>
          <w:szCs w:val="20"/>
        </w:rPr>
        <w:t xml:space="preserve">it isn’t an illusion. You </w:t>
      </w:r>
      <w:r>
        <w:rPr>
          <w:rFonts w:eastAsia="Calibri" w:cs="Plantin-Italic" w:ascii="Plantin-Italic" w:hAnsi="Plantin-Italic"/>
          <w:i/>
          <w:iCs/>
          <w:sz w:val="20"/>
          <w:szCs w:val="20"/>
        </w:rPr>
        <w:t xml:space="preserve">know </w:t>
      </w:r>
      <w:r>
        <w:rPr>
          <w:rFonts w:eastAsia="Calibri" w:cs="Plantin" w:ascii="Plantin" w:hAnsi="Plantin"/>
          <w:sz w:val="20"/>
          <w:szCs w:val="20"/>
        </w:rPr>
        <w:t xml:space="preserve">there is no essence—this </w:t>
      </w:r>
      <w:r>
        <w:rPr>
          <w:rFonts w:eastAsia="Calibri" w:cs="Plantin-Italic" w:ascii="Plantin-Italic" w:hAnsi="Plantin-Italic"/>
          <w:i/>
          <w:iCs/>
          <w:sz w:val="20"/>
          <w:szCs w:val="20"/>
        </w:rPr>
        <w:t xml:space="preserve">becomes </w:t>
      </w:r>
      <w:r>
        <w:rPr>
          <w:rFonts w:eastAsia="Calibri" w:cs="Plantin" w:ascii="Plantin" w:hAnsi="Plantin"/>
          <w:sz w:val="20"/>
          <w:szCs w:val="20"/>
        </w:rPr>
        <w:t>the essence,</w:t>
      </w:r>
    </w:p>
    <w:p>
      <w:pPr>
        <w:pStyle w:val="Normal"/>
        <w:jc w:val="left"/>
        <w:rPr>
          <w:rFonts w:ascii="Plantin" w:hAnsi="Plantin" w:eastAsia="Calibri" w:cs="Plantin"/>
          <w:sz w:val="20"/>
          <w:szCs w:val="20"/>
        </w:rPr>
      </w:pPr>
      <w:r>
        <w:rPr>
          <w:rFonts w:eastAsia="Calibri" w:cs="Plantin" w:ascii="Plantin" w:hAnsi="Plantin"/>
          <w:sz w:val="20"/>
          <w:szCs w:val="20"/>
        </w:rPr>
        <w:t>a shadowy, inverted form of the very essentialism you are trying to escape.</w:t>
      </w:r>
    </w:p>
    <w:p>
      <w:pPr>
        <w:pStyle w:val="Normal"/>
        <w:jc w:val="left"/>
        <w:rPr>
          <w:rFonts w:ascii="Plantin" w:hAnsi="Plantin" w:eastAsia="Calibri" w:cs="Plantin"/>
          <w:sz w:val="20"/>
          <w:szCs w:val="20"/>
        </w:rPr>
      </w:pPr>
      <w:r>
        <w:rPr>
          <w:rFonts w:eastAsia="Calibri" w:cs="Plantin" w:ascii="Plantin" w:hAnsi="Plantin"/>
          <w:sz w:val="20"/>
          <w:szCs w:val="20"/>
        </w:rPr>
        <w:t>This is the trouble with performance art, or at least the manifestoes of</w:t>
      </w:r>
    </w:p>
    <w:p>
      <w:pPr>
        <w:pStyle w:val="Normal"/>
        <w:jc w:val="left"/>
        <w:rPr>
          <w:rFonts w:ascii="Plantin" w:hAnsi="Plantin" w:eastAsia="Calibri" w:cs="Plantin"/>
          <w:sz w:val="20"/>
          <w:szCs w:val="20"/>
        </w:rPr>
      </w:pPr>
      <w:r>
        <w:rPr>
          <w:rFonts w:eastAsia="Calibri" w:cs="Plantin" w:ascii="Plantin" w:hAnsi="Plantin"/>
          <w:sz w:val="20"/>
          <w:szCs w:val="20"/>
        </w:rPr>
        <w:t>conceptual art. By undoing the difference between art and nonart, by</w:t>
      </w:r>
    </w:p>
    <w:p>
      <w:pPr>
        <w:pStyle w:val="Normal"/>
        <w:jc w:val="left"/>
        <w:rPr>
          <w:rFonts w:ascii="Plantin" w:hAnsi="Plantin" w:eastAsia="Calibri" w:cs="Plantin"/>
          <w:sz w:val="20"/>
          <w:szCs w:val="20"/>
        </w:rPr>
      </w:pPr>
      <w:r>
        <w:rPr>
          <w:rFonts w:eastAsia="Calibri" w:cs="Plantin" w:ascii="Plantin" w:hAnsi="Plantin"/>
          <w:sz w:val="20"/>
          <w:szCs w:val="20"/>
        </w:rPr>
        <w:t>self-consciously getting rid of self-consciousness and professional artists,</w:t>
      </w:r>
    </w:p>
    <w:p>
      <w:pPr>
        <w:pStyle w:val="Normal"/>
        <w:jc w:val="left"/>
        <w:rPr>
          <w:rFonts w:ascii="Plantin" w:hAnsi="Plantin" w:eastAsia="Calibri" w:cs="Plantin"/>
          <w:sz w:val="20"/>
          <w:szCs w:val="20"/>
        </w:rPr>
      </w:pPr>
      <w:r>
        <w:rPr>
          <w:rFonts w:eastAsia="Calibri" w:cs="Plantin" w:ascii="Plantin" w:hAnsi="Plantin"/>
          <w:sz w:val="20"/>
          <w:szCs w:val="20"/>
        </w:rPr>
        <w:t>conceptual art ignores the Rift between essence and appearance, reducing</w:t>
      </w:r>
    </w:p>
    <w:p>
      <w:pPr>
        <w:pStyle w:val="Normal"/>
        <w:jc w:val="left"/>
        <w:rPr>
          <w:rFonts w:ascii="Plantin" w:hAnsi="Plantin" w:eastAsia="Calibri" w:cs="Plantin"/>
          <w:sz w:val="20"/>
          <w:szCs w:val="20"/>
        </w:rPr>
      </w:pPr>
      <w:r>
        <w:rPr>
          <w:rFonts w:eastAsia="Calibri" w:cs="Plantin" w:ascii="Plantin" w:hAnsi="Plantin"/>
          <w:sz w:val="20"/>
          <w:szCs w:val="20"/>
        </w:rPr>
        <w:t>the ontological to the merely ontic. An overall atmosphere of jaded cynicism</w:t>
      </w:r>
    </w:p>
    <w:p>
      <w:pPr>
        <w:pStyle w:val="Storybodytext"/>
        <w:spacing w:before="0" w:after="270"/>
        <w:rPr>
          <w:rFonts w:ascii="Plantin" w:hAnsi="Plantin" w:eastAsia="Calibri" w:cs="Plantin"/>
          <w:sz w:val="20"/>
          <w:szCs w:val="20"/>
        </w:rPr>
      </w:pPr>
      <w:r>
        <w:rPr>
          <w:rFonts w:eastAsia="Calibri" w:cs="Plantin" w:ascii="Plantin" w:hAnsi="Plantin"/>
          <w:sz w:val="20"/>
          <w:szCs w:val="20"/>
        </w:rPr>
        <w:t>hangs over it.66 (75)</w:t>
      </w:r>
    </w:p>
    <w:p>
      <w:pPr>
        <w:pStyle w:val="Normal"/>
        <w:jc w:val="left"/>
        <w:rPr/>
      </w:pPr>
      <w:r>
        <w:rPr>
          <w:rFonts w:eastAsia="PlantinExpert" w:cs="PlantinExpert" w:ascii="PlantinExpert" w:hAnsi="PlantinExpert"/>
          <w:sz w:val="20"/>
          <w:szCs w:val="20"/>
        </w:rPr>
        <w:t xml:space="preserve">ooo </w:t>
      </w:r>
      <w:r>
        <w:rPr>
          <w:rFonts w:eastAsia="PlantinExpert" w:cs="Plantin" w:ascii="Plantin" w:hAnsi="Plantin"/>
          <w:sz w:val="20"/>
          <w:szCs w:val="20"/>
        </w:rPr>
        <w:t>is a form of realism. It’s just that any attempt to reify essence</w:t>
      </w:r>
    </w:p>
    <w:p>
      <w:pPr>
        <w:pStyle w:val="Normal"/>
        <w:jc w:val="left"/>
        <w:rPr>
          <w:rFonts w:ascii="Plantin" w:hAnsi="Plantin" w:eastAsia="PlantinExpert" w:cs="Plantin"/>
          <w:sz w:val="20"/>
          <w:szCs w:val="20"/>
        </w:rPr>
      </w:pPr>
      <w:r>
        <w:rPr>
          <w:rFonts w:eastAsia="PlantinExpert" w:cs="Plantin" w:ascii="Plantin" w:hAnsi="Plantin"/>
          <w:sz w:val="20"/>
          <w:szCs w:val="20"/>
        </w:rPr>
        <w:t>becomes an ontotheological preference for one ontic being over another.</w:t>
      </w:r>
    </w:p>
    <w:p>
      <w:pPr>
        <w:pStyle w:val="Normal"/>
        <w:jc w:val="left"/>
        <w:rPr>
          <w:rFonts w:ascii="Plantin" w:hAnsi="Plantin" w:eastAsia="PlantinExpert" w:cs="Plantin"/>
          <w:sz w:val="20"/>
          <w:szCs w:val="20"/>
        </w:rPr>
      </w:pPr>
      <w:r>
        <w:rPr>
          <w:rFonts w:eastAsia="PlantinExpert" w:cs="Plantin" w:ascii="Plantin" w:hAnsi="Plantin"/>
          <w:sz w:val="20"/>
          <w:szCs w:val="20"/>
        </w:rPr>
        <w:t>These beings are all appearances, and appearances are always appearancesfor</w:t>
      </w:r>
    </w:p>
    <w:p>
      <w:pPr>
        <w:pStyle w:val="Normal"/>
        <w:jc w:val="left"/>
        <w:rPr>
          <w:rFonts w:ascii="Plantin" w:hAnsi="Plantin" w:eastAsia="PlantinExpert" w:cs="Plantin"/>
          <w:sz w:val="20"/>
          <w:szCs w:val="20"/>
        </w:rPr>
      </w:pPr>
      <w:r>
        <w:rPr>
          <w:rFonts w:eastAsia="PlantinExpert" w:cs="Plantin" w:ascii="Plantin" w:hAnsi="Plantin"/>
          <w:sz w:val="20"/>
          <w:szCs w:val="20"/>
        </w:rPr>
        <w:t>(some other entity). Yet appearances are not just the cheerleaders of</w:t>
      </w:r>
    </w:p>
    <w:p>
      <w:pPr>
        <w:pStyle w:val="Normal"/>
        <w:jc w:val="left"/>
        <w:rPr>
          <w:rFonts w:ascii="Plantin" w:hAnsi="Plantin" w:eastAsia="PlantinExpert" w:cs="Plantin"/>
          <w:sz w:val="20"/>
          <w:szCs w:val="20"/>
        </w:rPr>
      </w:pPr>
      <w:r>
        <w:rPr>
          <w:rFonts w:eastAsia="PlantinExpert" w:cs="Plantin" w:ascii="Plantin" w:hAnsi="Plantin"/>
          <w:sz w:val="20"/>
          <w:szCs w:val="20"/>
        </w:rPr>
        <w:t>some faceless football team of essences. The Rift between essence and</w:t>
      </w:r>
    </w:p>
    <w:p>
      <w:pPr>
        <w:pStyle w:val="Normal"/>
        <w:jc w:val="left"/>
        <w:rPr>
          <w:rFonts w:ascii="Plantin" w:hAnsi="Plantin" w:eastAsia="PlantinExpert" w:cs="Plantin"/>
          <w:sz w:val="20"/>
          <w:szCs w:val="20"/>
        </w:rPr>
      </w:pPr>
      <w:r>
        <w:rPr>
          <w:rFonts w:eastAsia="PlantinExpert" w:cs="Plantin" w:ascii="Plantin" w:hAnsi="Plantin"/>
          <w:sz w:val="20"/>
          <w:szCs w:val="20"/>
        </w:rPr>
        <w:t>appearance itself is what fuels causality. An object is not an illusion. But it</w:t>
      </w:r>
    </w:p>
    <w:p>
      <w:pPr>
        <w:pStyle w:val="Normal"/>
        <w:jc w:val="left"/>
        <w:rPr>
          <w:rFonts w:ascii="Plantin" w:hAnsi="Plantin" w:eastAsia="PlantinExpert" w:cs="Plantin"/>
          <w:sz w:val="20"/>
          <w:szCs w:val="20"/>
        </w:rPr>
      </w:pPr>
      <w:r>
        <w:rPr>
          <w:rFonts w:eastAsia="PlantinExpert" w:cs="Plantin" w:ascii="Plantin" w:hAnsi="Plantin"/>
          <w:sz w:val="20"/>
          <w:szCs w:val="20"/>
        </w:rPr>
        <w:t>is not a non-illusion. Much more threatening than either is what is the case,</w:t>
      </w:r>
    </w:p>
    <w:p>
      <w:pPr>
        <w:pStyle w:val="Normal"/>
        <w:jc w:val="left"/>
        <w:rPr/>
      </w:pPr>
      <w:r>
        <w:rPr>
          <w:rFonts w:eastAsia="PlantinExpert" w:cs="Plantin" w:ascii="Plantin" w:hAnsi="Plantin"/>
          <w:sz w:val="20"/>
          <w:szCs w:val="20"/>
        </w:rPr>
        <w:t xml:space="preserve">namely an object that is utterly real, </w:t>
      </w:r>
      <w:r>
        <w:rPr>
          <w:rFonts w:eastAsia="PlantinExpert" w:cs="Plantin-Italic" w:ascii="Plantin-Italic" w:hAnsi="Plantin-Italic"/>
          <w:i/>
          <w:iCs/>
          <w:sz w:val="20"/>
          <w:szCs w:val="20"/>
        </w:rPr>
        <w:t xml:space="preserve">essentially </w:t>
      </w:r>
      <w:r>
        <w:rPr>
          <w:rFonts w:eastAsia="PlantinExpert" w:cs="Plantin" w:ascii="Plantin" w:hAnsi="Plantin"/>
          <w:sz w:val="20"/>
          <w:szCs w:val="20"/>
        </w:rPr>
        <w:t>itself, whose very reality is</w:t>
      </w:r>
    </w:p>
    <w:p>
      <w:pPr>
        <w:pStyle w:val="Normal"/>
        <w:jc w:val="left"/>
        <w:rPr>
          <w:rFonts w:ascii="Plantin" w:hAnsi="Plantin" w:eastAsia="PlantinExpert" w:cs="Plantin"/>
          <w:sz w:val="20"/>
          <w:szCs w:val="20"/>
        </w:rPr>
      </w:pPr>
      <w:r>
        <w:rPr>
          <w:rFonts w:eastAsia="PlantinExpert" w:cs="Plantin" w:ascii="Plantin" w:hAnsi="Plantin"/>
          <w:sz w:val="20"/>
          <w:szCs w:val="20"/>
        </w:rPr>
        <w:t>formally ungraspable. No hidden trapdoors, just a mask with some feathers</w:t>
      </w:r>
    </w:p>
    <w:p>
      <w:pPr>
        <w:pStyle w:val="Normal"/>
        <w:jc w:val="left"/>
        <w:rPr>
          <w:rFonts w:ascii="Plantin" w:hAnsi="Plantin" w:eastAsia="PlantinExpert" w:cs="Plantin"/>
          <w:sz w:val="20"/>
          <w:szCs w:val="20"/>
        </w:rPr>
      </w:pPr>
      <w:r>
        <w:rPr>
          <w:rFonts w:eastAsia="PlantinExpert" w:cs="Plantin" w:ascii="Plantin" w:hAnsi="Plantin"/>
          <w:sz w:val="20"/>
          <w:szCs w:val="20"/>
        </w:rPr>
        <w:t>whose mystery is out in front of itself, in your face. A miracle. Realist</w:t>
      </w:r>
    </w:p>
    <w:p>
      <w:pPr>
        <w:pStyle w:val="Storybodytext"/>
        <w:spacing w:before="0" w:after="270"/>
        <w:rPr>
          <w:rFonts w:ascii="Plantin" w:hAnsi="Plantin" w:eastAsia="PlantinExpert" w:cs="Plantin"/>
          <w:sz w:val="20"/>
          <w:szCs w:val="20"/>
        </w:rPr>
      </w:pPr>
      <w:r>
        <w:rPr>
          <w:rFonts w:eastAsia="PlantinExpert" w:cs="Plantin" w:ascii="Plantin" w:hAnsi="Plantin"/>
          <w:sz w:val="20"/>
          <w:szCs w:val="20"/>
        </w:rPr>
        <w:t>magic. (76)</w:t>
      </w:r>
    </w:p>
    <w:p>
      <w:pPr>
        <w:pStyle w:val="Normal"/>
        <w:jc w:val="left"/>
        <w:rPr>
          <w:rFonts w:ascii="Plantin" w:hAnsi="Plantin" w:eastAsia="Calibri" w:cs="Plantin"/>
          <w:sz w:val="20"/>
          <w:szCs w:val="20"/>
        </w:rPr>
      </w:pPr>
      <w:r>
        <w:rPr>
          <w:rFonts w:eastAsia="Calibri" w:cs="Plantin" w:ascii="Plantin" w:hAnsi="Plantin"/>
          <w:sz w:val="20"/>
          <w:szCs w:val="20"/>
        </w:rPr>
        <w:t>Matter, then, is always relational—it’s matter-for.</w:t>
      </w:r>
    </w:p>
    <w:p>
      <w:pPr>
        <w:pStyle w:val="Normal"/>
        <w:jc w:val="left"/>
        <w:rPr>
          <w:rFonts w:ascii="Plantin" w:hAnsi="Plantin" w:eastAsia="Calibri" w:cs="Plantin"/>
          <w:sz w:val="20"/>
          <w:szCs w:val="20"/>
        </w:rPr>
      </w:pPr>
      <w:r>
        <w:rPr>
          <w:rFonts w:eastAsia="Calibri" w:cs="Plantin" w:ascii="Plantin" w:hAnsi="Plantin"/>
          <w:sz w:val="20"/>
          <w:szCs w:val="20"/>
        </w:rPr>
        <w:t>Material causes are metonymies, tropes that indirectly evoke another thing:</w:t>
      </w:r>
    </w:p>
    <w:p>
      <w:pPr>
        <w:pStyle w:val="Normal"/>
        <w:jc w:val="left"/>
        <w:rPr/>
      </w:pPr>
      <w:r>
        <w:rPr>
          <w:rFonts w:eastAsia="Calibri" w:cs="Plantin" w:ascii="Plantin" w:hAnsi="Plantin"/>
          <w:sz w:val="20"/>
          <w:szCs w:val="20"/>
        </w:rPr>
        <w:t xml:space="preserve">a chair </w:t>
      </w:r>
      <w:r>
        <w:rPr>
          <w:rFonts w:eastAsia="Calibri" w:cs="Plantin-Italic" w:ascii="Plantin-Italic" w:hAnsi="Plantin-Italic"/>
          <w:i/>
          <w:iCs/>
          <w:sz w:val="20"/>
          <w:szCs w:val="20"/>
        </w:rPr>
        <w:t>made of wood</w:t>
      </w:r>
      <w:r>
        <w:rPr>
          <w:rFonts w:eastAsia="Calibri" w:cs="Plantin" w:ascii="Plantin" w:hAnsi="Plantin"/>
          <w:sz w:val="20"/>
          <w:szCs w:val="20"/>
        </w:rPr>
        <w:t xml:space="preserve">, a chip </w:t>
      </w:r>
      <w:r>
        <w:rPr>
          <w:rFonts w:eastAsia="Calibri" w:cs="Plantin-Italic" w:ascii="Plantin-Italic" w:hAnsi="Plantin-Italic"/>
          <w:i/>
          <w:iCs/>
          <w:sz w:val="20"/>
          <w:szCs w:val="20"/>
        </w:rPr>
        <w:t>made of silicon</w:t>
      </w:r>
      <w:r>
        <w:rPr>
          <w:rFonts w:eastAsia="Calibri" w:cs="Plantin" w:ascii="Plantin" w:hAnsi="Plantin"/>
          <w:sz w:val="20"/>
          <w:szCs w:val="20"/>
        </w:rPr>
        <w:t>. So much for material causes.</w:t>
      </w:r>
    </w:p>
    <w:p>
      <w:pPr>
        <w:pStyle w:val="Normal"/>
        <w:jc w:val="left"/>
        <w:rPr/>
      </w:pPr>
      <w:r>
        <w:rPr>
          <w:rFonts w:eastAsia="Calibri" w:cs="Plantin" w:ascii="Plantin" w:hAnsi="Plantin"/>
          <w:sz w:val="20"/>
          <w:szCs w:val="20"/>
        </w:rPr>
        <w:t xml:space="preserve">It’s </w:t>
      </w:r>
      <w:r>
        <w:rPr>
          <w:rFonts w:eastAsia="Calibri" w:cs="Plantin-Italic" w:ascii="Plantin-Italic" w:hAnsi="Plantin-Italic"/>
          <w:i/>
          <w:iCs/>
          <w:sz w:val="20"/>
          <w:szCs w:val="20"/>
        </w:rPr>
        <w:t xml:space="preserve">formal </w:t>
      </w:r>
      <w:r>
        <w:rPr>
          <w:rFonts w:eastAsia="Calibri" w:cs="Plantin" w:ascii="Plantin" w:hAnsi="Plantin"/>
          <w:sz w:val="20"/>
          <w:szCs w:val="20"/>
        </w:rPr>
        <w:t>causes that are going to make a significant comeback. Formal</w:t>
      </w:r>
    </w:p>
    <w:p>
      <w:pPr>
        <w:pStyle w:val="Normal"/>
        <w:jc w:val="left"/>
        <w:rPr>
          <w:rFonts w:ascii="Plantin" w:hAnsi="Plantin" w:eastAsia="Calibri" w:cs="Plantin"/>
          <w:sz w:val="20"/>
          <w:szCs w:val="20"/>
        </w:rPr>
      </w:pPr>
      <w:r>
        <w:rPr>
          <w:rFonts w:eastAsia="Calibri" w:cs="Plantin" w:ascii="Plantin" w:hAnsi="Plantin"/>
          <w:sz w:val="20"/>
          <w:szCs w:val="20"/>
        </w:rPr>
        <w:t>causation and vicarious causation are part of the same phenomenon.</w:t>
      </w:r>
    </w:p>
    <w:p>
      <w:pPr>
        <w:pStyle w:val="Normal"/>
        <w:jc w:val="left"/>
        <w:rPr>
          <w:rFonts w:ascii="Plantin" w:hAnsi="Plantin" w:eastAsia="Calibri" w:cs="Plantin"/>
          <w:sz w:val="20"/>
          <w:szCs w:val="20"/>
        </w:rPr>
      </w:pPr>
      <w:r>
        <w:rPr>
          <w:rFonts w:eastAsia="Calibri" w:cs="Plantin" w:ascii="Plantin" w:hAnsi="Plantin"/>
          <w:sz w:val="20"/>
          <w:szCs w:val="20"/>
        </w:rPr>
        <w:t>Yet “modern” science since the seventeenth century has been so keen</w:t>
      </w:r>
    </w:p>
    <w:p>
      <w:pPr>
        <w:pStyle w:val="Normal"/>
        <w:jc w:val="left"/>
        <w:rPr>
          <w:rFonts w:ascii="Plantin" w:hAnsi="Plantin" w:eastAsia="Calibri" w:cs="Plantin"/>
          <w:sz w:val="20"/>
          <w:szCs w:val="20"/>
        </w:rPr>
      </w:pPr>
      <w:r>
        <w:rPr>
          <w:rFonts w:eastAsia="Calibri" w:cs="Plantin" w:ascii="Plantin" w:hAnsi="Plantin"/>
          <w:sz w:val="20"/>
          <w:szCs w:val="20"/>
        </w:rPr>
        <w:t>to eliminate all but efficient and material causes. But quantum theory</w:t>
      </w:r>
    </w:p>
    <w:p>
      <w:pPr>
        <w:pStyle w:val="Normal"/>
        <w:jc w:val="left"/>
        <w:rPr>
          <w:rFonts w:ascii="Plantin" w:hAnsi="Plantin" w:eastAsia="Calibri" w:cs="Plantin"/>
          <w:sz w:val="20"/>
          <w:szCs w:val="20"/>
        </w:rPr>
      </w:pPr>
      <w:r>
        <w:rPr>
          <w:rFonts w:eastAsia="Calibri" w:cs="Plantin" w:ascii="Plantin" w:hAnsi="Plantin"/>
          <w:sz w:val="20"/>
          <w:szCs w:val="20"/>
        </w:rPr>
        <w:t>necessitates a revisiting of formal causation. An electron shoots through the</w:t>
      </w:r>
    </w:p>
    <w:p>
      <w:pPr>
        <w:pStyle w:val="Normal"/>
        <w:jc w:val="left"/>
        <w:rPr>
          <w:rFonts w:ascii="Plantin" w:hAnsi="Plantin" w:eastAsia="Calibri" w:cs="Plantin"/>
          <w:sz w:val="20"/>
          <w:szCs w:val="20"/>
        </w:rPr>
      </w:pPr>
      <w:r>
        <w:rPr>
          <w:rFonts w:eastAsia="Calibri" w:cs="Plantin" w:ascii="Plantin" w:hAnsi="Plantin"/>
          <w:sz w:val="20"/>
          <w:szCs w:val="20"/>
        </w:rPr>
        <w:t>hole in a doughnut of electromagnetism, and it responds as if it were within</w:t>
      </w:r>
    </w:p>
    <w:p>
      <w:pPr>
        <w:pStyle w:val="Normal"/>
        <w:jc w:val="left"/>
        <w:rPr/>
      </w:pPr>
      <w:r>
        <w:rPr>
          <w:rFonts w:eastAsia="Calibri" w:cs="Plantin" w:ascii="Plantin" w:hAnsi="Plantin"/>
          <w:sz w:val="20"/>
          <w:szCs w:val="20"/>
        </w:rPr>
        <w:t xml:space="preserve">the doughnut. It is probably responding to the shape, the form, the </w:t>
      </w:r>
      <w:r>
        <w:rPr>
          <w:rFonts w:eastAsia="Calibri" w:cs="Plantin-Italic" w:ascii="Plantin-Italic" w:hAnsi="Plantin-Italic"/>
          <w:i/>
          <w:iCs/>
          <w:sz w:val="20"/>
          <w:szCs w:val="20"/>
        </w:rPr>
        <w:t>aesthetics</w:t>
      </w:r>
    </w:p>
    <w:p>
      <w:pPr>
        <w:pStyle w:val="Normal"/>
        <w:jc w:val="left"/>
        <w:rPr>
          <w:rFonts w:ascii="Plantin" w:hAnsi="Plantin" w:eastAsia="Calibri" w:cs="Plantin"/>
          <w:sz w:val="20"/>
          <w:szCs w:val="20"/>
        </w:rPr>
      </w:pPr>
      <w:r>
        <w:rPr>
          <w:rFonts w:eastAsia="Calibri" w:cs="Plantin" w:ascii="Plantin" w:hAnsi="Plantin"/>
          <w:sz w:val="20"/>
          <w:szCs w:val="20"/>
        </w:rPr>
        <w:t>of the field: this is the Bohm-Aharonov effect, one of the first observed</w:t>
      </w:r>
    </w:p>
    <w:p>
      <w:pPr>
        <w:pStyle w:val="Normal"/>
        <w:jc w:val="left"/>
        <w:rPr>
          <w:rFonts w:ascii="Plantin" w:hAnsi="Plantin" w:eastAsia="Calibri" w:cs="Plantin"/>
          <w:sz w:val="20"/>
          <w:szCs w:val="20"/>
        </w:rPr>
      </w:pPr>
      <w:r>
        <w:rPr>
          <w:rFonts w:eastAsia="Calibri" w:cs="Plantin" w:ascii="Plantin" w:hAnsi="Plantin"/>
          <w:sz w:val="20"/>
          <w:szCs w:val="20"/>
        </w:rPr>
        <w:t>kinds of nonlocality.79 Likewise birds detect the quantum signature of</w:t>
      </w:r>
    </w:p>
    <w:p>
      <w:pPr>
        <w:pStyle w:val="Normal"/>
        <w:jc w:val="left"/>
        <w:rPr>
          <w:rFonts w:ascii="Plantin" w:hAnsi="Plantin" w:eastAsia="Calibri" w:cs="Plantin"/>
          <w:sz w:val="20"/>
          <w:szCs w:val="20"/>
        </w:rPr>
      </w:pPr>
      <w:r>
        <w:rPr>
          <w:rFonts w:eastAsia="Calibri" w:cs="Plantin" w:ascii="Plantin" w:hAnsi="Plantin"/>
          <w:sz w:val="20"/>
          <w:szCs w:val="20"/>
        </w:rPr>
        <w:t>electromagnetic fields, not actual ions.80 Nonlocality implies that something</w:t>
      </w:r>
    </w:p>
    <w:p>
      <w:pPr>
        <w:pStyle w:val="Normal"/>
        <w:jc w:val="left"/>
        <w:rPr>
          <w:rFonts w:ascii="Plantin" w:hAnsi="Plantin" w:eastAsia="Calibri" w:cs="Plantin"/>
          <w:sz w:val="20"/>
          <w:szCs w:val="20"/>
        </w:rPr>
      </w:pPr>
      <w:r>
        <w:rPr>
          <w:rFonts w:eastAsia="Calibri" w:cs="Plantin" w:ascii="Plantin" w:hAnsi="Plantin"/>
          <w:sz w:val="20"/>
          <w:szCs w:val="20"/>
        </w:rPr>
        <w:t>very deep about our world is formal, not efficient, or material—that is,</w:t>
      </w:r>
    </w:p>
    <w:p>
      <w:pPr>
        <w:pStyle w:val="Normal"/>
        <w:jc w:val="left"/>
        <w:rPr>
          <w:rFonts w:ascii="Plantin" w:hAnsi="Plantin" w:eastAsia="Calibri" w:cs="Plantin"/>
          <w:sz w:val="20"/>
          <w:szCs w:val="20"/>
        </w:rPr>
      </w:pPr>
      <w:r>
        <w:rPr>
          <w:rFonts w:eastAsia="Calibri" w:cs="Plantin" w:ascii="Plantin" w:hAnsi="Plantin"/>
          <w:sz w:val="20"/>
          <w:szCs w:val="20"/>
        </w:rPr>
        <w:t>aesthetic. Formal causation just is vicarious, in a universe without matter per</w:t>
      </w:r>
    </w:p>
    <w:p>
      <w:pPr>
        <w:pStyle w:val="Storybodytext"/>
        <w:spacing w:before="0" w:after="270"/>
        <w:rPr>
          <w:rFonts w:ascii="Plantin" w:hAnsi="Plantin" w:eastAsia="Calibri" w:cs="Plantin"/>
          <w:sz w:val="20"/>
          <w:szCs w:val="20"/>
        </w:rPr>
      </w:pPr>
      <w:r>
        <w:rPr>
          <w:rFonts w:eastAsia="Calibri" w:cs="Plantin" w:ascii="Plantin" w:hAnsi="Plantin"/>
          <w:sz w:val="20"/>
          <w:szCs w:val="20"/>
        </w:rPr>
        <w:t>se or telos. Another term for formal cause is “aesthetic dimension.” (81)</w:t>
      </w:r>
    </w:p>
    <w:p>
      <w:pPr>
        <w:pStyle w:val="Normal"/>
        <w:jc w:val="left"/>
        <w:rPr>
          <w:rFonts w:ascii="Plantin" w:hAnsi="Plantin" w:eastAsia="Calibri" w:cs="Plantin"/>
          <w:sz w:val="20"/>
          <w:szCs w:val="20"/>
        </w:rPr>
      </w:pPr>
      <w:r>
        <w:rPr>
          <w:rFonts w:eastAsia="Calibri" w:cs="Plantin" w:ascii="Plantin" w:hAnsi="Plantin"/>
          <w:sz w:val="20"/>
          <w:szCs w:val="20"/>
        </w:rPr>
        <w:t>The kind of causality that best describes objects has to do with</w:t>
      </w:r>
    </w:p>
    <w:p>
      <w:pPr>
        <w:pStyle w:val="Normal"/>
        <w:jc w:val="left"/>
        <w:rPr>
          <w:rFonts w:ascii="Plantin" w:hAnsi="Plantin" w:eastAsia="Calibri" w:cs="Plantin"/>
          <w:sz w:val="20"/>
          <w:szCs w:val="20"/>
        </w:rPr>
      </w:pPr>
      <w:r>
        <w:rPr>
          <w:rFonts w:eastAsia="Calibri" w:cs="Plantin" w:ascii="Plantin" w:hAnsi="Plantin"/>
          <w:sz w:val="20"/>
          <w:szCs w:val="20"/>
        </w:rPr>
        <w:t>information flow, copying, sampling, and translation. A space in which the</w:t>
      </w:r>
    </w:p>
    <w:p>
      <w:pPr>
        <w:pStyle w:val="Normal"/>
        <w:jc w:val="left"/>
        <w:rPr>
          <w:rFonts w:ascii="Plantin" w:hAnsi="Plantin" w:eastAsia="Calibri" w:cs="Plantin"/>
          <w:sz w:val="20"/>
          <w:szCs w:val="20"/>
        </w:rPr>
      </w:pPr>
      <w:r>
        <w:rPr>
          <w:rFonts w:eastAsia="Calibri" w:cs="Plantin" w:ascii="Plantin" w:hAnsi="Plantin"/>
          <w:sz w:val="20"/>
          <w:szCs w:val="20"/>
        </w:rPr>
        <w:t>aesthetic form of an object can exert a causal influence. This means that</w:t>
      </w:r>
    </w:p>
    <w:p>
      <w:pPr>
        <w:pStyle w:val="Normal"/>
        <w:jc w:val="left"/>
        <w:rPr/>
      </w:pPr>
      <w:r>
        <w:rPr>
          <w:rFonts w:eastAsia="Calibri" w:cs="Plantin-Italic" w:ascii="Plantin-Italic" w:hAnsi="Plantin-Italic"/>
          <w:i/>
          <w:iCs/>
          <w:sz w:val="20"/>
          <w:szCs w:val="20"/>
        </w:rPr>
        <w:t>clunk causality</w:t>
      </w:r>
      <w:r>
        <w:rPr>
          <w:rFonts w:eastAsia="Calibri" w:cs="Plantin" w:ascii="Plantin" w:hAnsi="Plantin"/>
          <w:sz w:val="20"/>
          <w:szCs w:val="20"/>
        </w:rPr>
        <w:t>—the billiard ball clicks that we visualize as soon as we hear</w:t>
      </w:r>
    </w:p>
    <w:p>
      <w:pPr>
        <w:pStyle w:val="Normal"/>
        <w:jc w:val="left"/>
        <w:rPr>
          <w:rFonts w:ascii="Plantin" w:hAnsi="Plantin" w:eastAsia="Calibri" w:cs="Plantin"/>
          <w:sz w:val="20"/>
          <w:szCs w:val="20"/>
        </w:rPr>
      </w:pPr>
      <w:r>
        <w:rPr>
          <w:rFonts w:eastAsia="Calibri" w:cs="Plantin" w:ascii="Plantin" w:hAnsi="Plantin"/>
          <w:sz w:val="20"/>
          <w:szCs w:val="20"/>
        </w:rPr>
        <w:t>the phrase “cause and effect”—is only one kind of event in a much larger</w:t>
      </w:r>
    </w:p>
    <w:p>
      <w:pPr>
        <w:pStyle w:val="Normal"/>
        <w:jc w:val="left"/>
        <w:rPr>
          <w:rFonts w:ascii="Plantin" w:hAnsi="Plantin" w:eastAsia="Calibri" w:cs="Plantin"/>
          <w:sz w:val="20"/>
          <w:szCs w:val="20"/>
        </w:rPr>
      </w:pPr>
      <w:r>
        <w:rPr>
          <w:rFonts w:eastAsia="Calibri" w:cs="Plantin" w:ascii="Plantin" w:hAnsi="Plantin"/>
          <w:sz w:val="20"/>
          <w:szCs w:val="20"/>
        </w:rPr>
        <w:t>aesthetic dimension that includes all kinds of other events. We can swap</w:t>
      </w:r>
    </w:p>
    <w:p>
      <w:pPr>
        <w:pStyle w:val="Normal"/>
        <w:jc w:val="left"/>
        <w:rPr>
          <w:rFonts w:ascii="Plantin" w:hAnsi="Plantin" w:eastAsia="Calibri" w:cs="Plantin"/>
          <w:sz w:val="20"/>
          <w:szCs w:val="20"/>
        </w:rPr>
      </w:pPr>
      <w:r>
        <w:rPr>
          <w:rFonts w:eastAsia="Calibri" w:cs="Plantin" w:ascii="Plantin" w:hAnsi="Plantin"/>
          <w:sz w:val="20"/>
          <w:szCs w:val="20"/>
        </w:rPr>
        <w:t>theistic and nihilistic voids for withdrawal. Infinity and eternity, which</w:t>
      </w:r>
    </w:p>
    <w:p>
      <w:pPr>
        <w:pStyle w:val="Normal"/>
        <w:jc w:val="left"/>
        <w:rPr>
          <w:rFonts w:ascii="Plantin" w:hAnsi="Plantin" w:eastAsia="Calibri" w:cs="Plantin"/>
          <w:sz w:val="20"/>
          <w:szCs w:val="20"/>
        </w:rPr>
      </w:pPr>
      <w:r>
        <w:rPr>
          <w:rFonts w:eastAsia="Calibri" w:cs="Plantin" w:ascii="Plantin" w:hAnsi="Plantin"/>
          <w:sz w:val="20"/>
          <w:szCs w:val="20"/>
        </w:rPr>
        <w:t>Aristotle rules out (and which Arabic philosophers also ruled out, and</w:t>
      </w:r>
    </w:p>
    <w:p>
      <w:pPr>
        <w:pStyle w:val="Normal"/>
        <w:jc w:val="left"/>
        <w:rPr>
          <w:rFonts w:ascii="Plantin" w:hAnsi="Plantin" w:eastAsia="Calibri" w:cs="Plantin"/>
          <w:sz w:val="20"/>
          <w:szCs w:val="20"/>
        </w:rPr>
      </w:pPr>
      <w:r>
        <w:rPr>
          <w:rFonts w:eastAsia="Calibri" w:cs="Plantin" w:ascii="Plantin" w:hAnsi="Plantin"/>
          <w:sz w:val="20"/>
          <w:szCs w:val="20"/>
        </w:rPr>
        <w:t>Europeans didn’t listen), imply empty space, in which objects clunk into</w:t>
      </w:r>
    </w:p>
    <w:p>
      <w:pPr>
        <w:pStyle w:val="Storybodytext"/>
        <w:spacing w:before="0" w:after="270"/>
        <w:rPr>
          <w:rFonts w:ascii="Plantin" w:hAnsi="Plantin" w:eastAsia="Calibri" w:cs="Plantin"/>
          <w:sz w:val="20"/>
          <w:szCs w:val="20"/>
        </w:rPr>
      </w:pPr>
      <w:r>
        <w:rPr>
          <w:rFonts w:eastAsia="Calibri" w:cs="Plantin" w:ascii="Plantin" w:hAnsi="Plantin"/>
          <w:sz w:val="20"/>
          <w:szCs w:val="20"/>
        </w:rPr>
        <w:t>each other like stainless steel balls in an executive toy. (82)</w:t>
      </w:r>
    </w:p>
    <w:p>
      <w:pPr>
        <w:pStyle w:val="Normal"/>
        <w:jc w:val="left"/>
        <w:rPr>
          <w:rFonts w:ascii="Plantin" w:hAnsi="Plantin" w:eastAsia="Calibri" w:cs="Plantin"/>
          <w:sz w:val="20"/>
          <w:szCs w:val="20"/>
        </w:rPr>
      </w:pPr>
      <w:r>
        <w:rPr>
          <w:rFonts w:eastAsia="Calibri" w:cs="Plantin" w:ascii="Plantin" w:hAnsi="Plantin"/>
          <w:sz w:val="20"/>
          <w:szCs w:val="20"/>
        </w:rPr>
        <w:t>Like ekphrasis (heightened, vivid description), like</w:t>
      </w:r>
    </w:p>
    <w:p>
      <w:pPr>
        <w:pStyle w:val="Normal"/>
        <w:jc w:val="left"/>
        <w:rPr>
          <w:rFonts w:ascii="Plantin" w:hAnsi="Plantin" w:eastAsia="Calibri" w:cs="Plantin"/>
          <w:sz w:val="20"/>
          <w:szCs w:val="20"/>
        </w:rPr>
      </w:pPr>
      <w:r>
        <w:rPr>
          <w:rFonts w:eastAsia="Calibri" w:cs="Plantin" w:ascii="Plantin" w:hAnsi="Plantin"/>
          <w:sz w:val="20"/>
          <w:szCs w:val="20"/>
        </w:rPr>
        <w:t>metaphor, voice leaps forth towards us, unleashing its density and opacity.</w:t>
      </w:r>
    </w:p>
    <w:p>
      <w:pPr>
        <w:pStyle w:val="Normal"/>
        <w:jc w:val="left"/>
        <w:rPr/>
      </w:pPr>
      <w:r>
        <w:rPr>
          <w:rFonts w:eastAsia="Calibri" w:cs="Plantin" w:ascii="Plantin" w:hAnsi="Plantin"/>
          <w:sz w:val="20"/>
          <w:szCs w:val="20"/>
        </w:rPr>
        <w:t xml:space="preserve">Voice has what Harman calls </w:t>
      </w:r>
      <w:r>
        <w:rPr>
          <w:rFonts w:eastAsia="Calibri" w:cs="Plantin-Italic" w:ascii="Plantin-Italic" w:hAnsi="Plantin-Italic"/>
          <w:i/>
          <w:iCs/>
          <w:sz w:val="20"/>
          <w:szCs w:val="20"/>
        </w:rPr>
        <w:t>allure</w:t>
      </w:r>
      <w:r>
        <w:rPr>
          <w:rFonts w:eastAsia="Calibri" w:cs="Plantin" w:ascii="Plantin" w:hAnsi="Plantin"/>
          <w:sz w:val="20"/>
          <w:szCs w:val="20"/>
        </w:rPr>
        <w:t>, the sensual energy of the dimension in</w:t>
      </w:r>
    </w:p>
    <w:p>
      <w:pPr>
        <w:pStyle w:val="Normal"/>
        <w:jc w:val="left"/>
        <w:rPr>
          <w:rFonts w:ascii="Plantin" w:hAnsi="Plantin" w:eastAsia="Calibri" w:cs="Plantin"/>
          <w:sz w:val="20"/>
          <w:szCs w:val="20"/>
        </w:rPr>
      </w:pPr>
      <w:r>
        <w:rPr>
          <w:rFonts w:eastAsia="Calibri" w:cs="Plantin" w:ascii="Plantin" w:hAnsi="Plantin"/>
          <w:sz w:val="20"/>
          <w:szCs w:val="20"/>
        </w:rPr>
        <w:t>which causality happens.86</w:t>
      </w:r>
    </w:p>
    <w:p>
      <w:pPr>
        <w:pStyle w:val="Normal"/>
        <w:jc w:val="left"/>
        <w:rPr>
          <w:rFonts w:ascii="Plantin" w:hAnsi="Plantin" w:eastAsia="Calibri" w:cs="Plantin"/>
          <w:sz w:val="20"/>
          <w:szCs w:val="20"/>
        </w:rPr>
      </w:pPr>
      <w:r>
        <w:rPr>
          <w:rFonts w:eastAsia="Calibri" w:cs="Plantin" w:ascii="Plantin" w:hAnsi="Plantin"/>
          <w:sz w:val="20"/>
          <w:szCs w:val="20"/>
        </w:rPr>
        <w:t>We can proceed from thinking of voice as an object in its own right to</w:t>
      </w:r>
    </w:p>
    <w:p>
      <w:pPr>
        <w:pStyle w:val="Normal"/>
        <w:jc w:val="left"/>
        <w:rPr>
          <w:rFonts w:ascii="Plantin" w:hAnsi="Plantin" w:eastAsia="Calibri" w:cs="Plantin"/>
          <w:sz w:val="20"/>
          <w:szCs w:val="20"/>
        </w:rPr>
      </w:pPr>
      <w:r>
        <w:rPr>
          <w:rFonts w:eastAsia="Calibri" w:cs="Plantin" w:ascii="Plantin" w:hAnsi="Plantin"/>
          <w:sz w:val="20"/>
          <w:szCs w:val="20"/>
        </w:rPr>
        <w:t>asserting that a pencil resting against the inside of a plastic cup is a delivery</w:t>
      </w:r>
    </w:p>
    <w:p>
      <w:pPr>
        <w:pStyle w:val="Normal"/>
        <w:jc w:val="left"/>
        <w:rPr>
          <w:rFonts w:ascii="Plantin" w:hAnsi="Plantin" w:eastAsia="Calibri" w:cs="Plantin"/>
          <w:sz w:val="20"/>
          <w:szCs w:val="20"/>
        </w:rPr>
      </w:pPr>
      <w:r>
        <w:rPr>
          <w:rFonts w:eastAsia="Calibri" w:cs="Plantin" w:ascii="Plantin" w:hAnsi="Plantin"/>
          <w:sz w:val="20"/>
          <w:szCs w:val="20"/>
        </w:rPr>
        <w:t>of a pencil, a certain kind of physical posture similar to a loud voice or a</w:t>
      </w:r>
    </w:p>
    <w:p>
      <w:pPr>
        <w:pStyle w:val="Normal"/>
        <w:jc w:val="left"/>
        <w:rPr>
          <w:rFonts w:ascii="Plantin" w:hAnsi="Plantin" w:eastAsia="Calibri" w:cs="Plantin"/>
          <w:sz w:val="20"/>
          <w:szCs w:val="20"/>
        </w:rPr>
      </w:pPr>
      <w:r>
        <w:rPr>
          <w:rFonts w:eastAsia="Calibri" w:cs="Plantin" w:ascii="Plantin" w:hAnsi="Plantin"/>
          <w:sz w:val="20"/>
          <w:szCs w:val="20"/>
        </w:rPr>
        <w:t>cajoling whine. A house is delivery, disporting its occupants and its rooms</w:t>
      </w:r>
    </w:p>
    <w:p>
      <w:pPr>
        <w:pStyle w:val="Normal"/>
        <w:jc w:val="left"/>
        <w:rPr>
          <w:rFonts w:ascii="Plantin" w:hAnsi="Plantin" w:eastAsia="Calibri" w:cs="Plantin"/>
          <w:sz w:val="20"/>
          <w:szCs w:val="20"/>
        </w:rPr>
      </w:pPr>
      <w:r>
        <w:rPr>
          <w:rFonts w:eastAsia="Calibri" w:cs="Plantin" w:ascii="Plantin" w:hAnsi="Plantin"/>
          <w:sz w:val="20"/>
          <w:szCs w:val="20"/>
        </w:rPr>
        <w:t>and its backyard into various configurations. A record player is delivery, as is</w:t>
      </w:r>
    </w:p>
    <w:p>
      <w:pPr>
        <w:pStyle w:val="Normal"/>
        <w:jc w:val="left"/>
        <w:rPr>
          <w:rFonts w:ascii="Plantin" w:hAnsi="Plantin" w:eastAsia="Calibri" w:cs="Plantin"/>
          <w:sz w:val="20"/>
          <w:szCs w:val="20"/>
        </w:rPr>
      </w:pPr>
      <w:r>
        <w:rPr>
          <w:rFonts w:eastAsia="Calibri" w:cs="Plantin" w:ascii="Plantin" w:hAnsi="Plantin"/>
          <w:sz w:val="20"/>
          <w:szCs w:val="20"/>
        </w:rPr>
        <w:t>an MP3 player. A book is delivery. A waterfall is delivery. A computer game</w:t>
      </w:r>
    </w:p>
    <w:p>
      <w:pPr>
        <w:pStyle w:val="Normal"/>
        <w:jc w:val="left"/>
        <w:rPr>
          <w:rFonts w:ascii="Plantin" w:hAnsi="Plantin" w:eastAsia="Calibri" w:cs="Plantin"/>
          <w:sz w:val="20"/>
          <w:szCs w:val="20"/>
        </w:rPr>
      </w:pPr>
      <w:r>
        <w:rPr>
          <w:rFonts w:eastAsia="Calibri" w:cs="Plantin" w:ascii="Plantin" w:hAnsi="Plantin"/>
          <w:sz w:val="20"/>
          <w:szCs w:val="20"/>
        </w:rPr>
        <w:t>is delivery. A spoon is delivery. A volcano is delivery. A ribbon is delivery. A</w:t>
      </w:r>
    </w:p>
    <w:p>
      <w:pPr>
        <w:pStyle w:val="Normal"/>
        <w:jc w:val="left"/>
        <w:rPr>
          <w:rFonts w:ascii="Plantin" w:hAnsi="Plantin" w:eastAsia="Calibri" w:cs="Plantin"/>
          <w:sz w:val="20"/>
          <w:szCs w:val="20"/>
        </w:rPr>
      </w:pPr>
      <w:r>
        <w:rPr>
          <w:rFonts w:eastAsia="Calibri" w:cs="Plantin" w:ascii="Plantin" w:hAnsi="Plantin"/>
          <w:sz w:val="20"/>
          <w:szCs w:val="20"/>
        </w:rPr>
        <w:t>black hole is delivery. Working backwards through the five parts of rhetoric</w:t>
      </w:r>
    </w:p>
    <w:p>
      <w:pPr>
        <w:pStyle w:val="Normal"/>
        <w:jc w:val="left"/>
        <w:rPr/>
      </w:pPr>
      <w:r>
        <w:rPr>
          <w:rFonts w:eastAsia="Calibri" w:cs="Plantin" w:ascii="Plantin" w:hAnsi="Plantin"/>
          <w:sz w:val="20"/>
          <w:szCs w:val="20"/>
        </w:rPr>
        <w:t xml:space="preserve">from this expanded sense of delivery, we would end up at </w:t>
      </w:r>
      <w:r>
        <w:rPr>
          <w:rFonts w:eastAsia="Calibri" w:cs="Plantin-Italic" w:ascii="Plantin-Italic" w:hAnsi="Plantin-Italic"/>
          <w:i/>
          <w:iCs/>
          <w:sz w:val="20"/>
          <w:szCs w:val="20"/>
        </w:rPr>
        <w:t>inventio</w:t>
      </w:r>
      <w:r>
        <w:rPr>
          <w:rFonts w:eastAsia="Calibri" w:cs="Plantin" w:ascii="Plantin" w:hAnsi="Plantin"/>
          <w:sz w:val="20"/>
          <w:szCs w:val="20"/>
        </w:rPr>
        <w:t>. We could</w:t>
      </w:r>
    </w:p>
    <w:p>
      <w:pPr>
        <w:pStyle w:val="Normal"/>
        <w:jc w:val="left"/>
        <w:rPr/>
      </w:pPr>
      <w:r>
        <w:rPr>
          <w:rFonts w:eastAsia="Calibri" w:cs="Plantin" w:ascii="Plantin" w:hAnsi="Plantin"/>
          <w:sz w:val="20"/>
          <w:szCs w:val="20"/>
        </w:rPr>
        <w:t xml:space="preserve">say that </w:t>
      </w:r>
      <w:r>
        <w:rPr>
          <w:rFonts w:eastAsia="Calibri" w:cs="Plantin-Italic" w:ascii="Plantin-Italic" w:hAnsi="Plantin-Italic"/>
          <w:i/>
          <w:iCs/>
          <w:sz w:val="20"/>
          <w:szCs w:val="20"/>
        </w:rPr>
        <w:t xml:space="preserve">inventio </w:t>
      </w:r>
      <w:r>
        <w:rPr>
          <w:rFonts w:eastAsia="Calibri" w:cs="Plantin" w:ascii="Plantin" w:hAnsi="Plantin"/>
          <w:sz w:val="20"/>
          <w:szCs w:val="20"/>
        </w:rPr>
        <w:t xml:space="preserve">was actually object withdrawal—a dark or reverse </w:t>
      </w:r>
      <w:r>
        <w:rPr>
          <w:rFonts w:eastAsia="Calibri" w:cs="Plantin-Italic" w:ascii="Plantin-Italic" w:hAnsi="Plantin-Italic"/>
          <w:i/>
          <w:iCs/>
          <w:sz w:val="20"/>
          <w:szCs w:val="20"/>
        </w:rPr>
        <w:t>inventio</w:t>
      </w:r>
      <w:r>
        <w:rPr>
          <w:rFonts w:eastAsia="Calibri" w:cs="Plantin" w:ascii="Plantin" w:hAnsi="Plantin"/>
          <w:sz w:val="20"/>
          <w:szCs w:val="20"/>
        </w:rPr>
        <w:t>,</w:t>
      </w:r>
    </w:p>
    <w:p>
      <w:pPr>
        <w:pStyle w:val="Storybodytext"/>
        <w:spacing w:before="0" w:after="270"/>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covery” rather than “discovery.” (85)</w:t>
      </w:r>
    </w:p>
    <w:p>
      <w:pPr>
        <w:pStyle w:val="Normal"/>
        <w:jc w:val="left"/>
        <w:rPr>
          <w:rFonts w:ascii="Plantin" w:hAnsi="Plantin" w:eastAsia="Calibri" w:cs="Plantin"/>
          <w:sz w:val="20"/>
          <w:szCs w:val="20"/>
        </w:rPr>
      </w:pPr>
      <w:r>
        <w:rPr>
          <w:rFonts w:eastAsia="Calibri" w:cs="Plantin" w:ascii="Plantin" w:hAnsi="Plantin"/>
          <w:sz w:val="20"/>
          <w:szCs w:val="20"/>
        </w:rPr>
        <w:t>If we started with delivery, the availability of a sensual object, we’d</w:t>
      </w:r>
    </w:p>
    <w:p>
      <w:pPr>
        <w:pStyle w:val="Normal"/>
        <w:jc w:val="left"/>
        <w:rPr>
          <w:rFonts w:ascii="Plantin" w:hAnsi="Plantin" w:eastAsia="Calibri" w:cs="Plantin"/>
          <w:sz w:val="20"/>
          <w:szCs w:val="20"/>
        </w:rPr>
      </w:pPr>
      <w:r>
        <w:rPr>
          <w:rFonts w:eastAsia="Calibri" w:cs="Plantin" w:ascii="Plantin" w:hAnsi="Plantin"/>
          <w:sz w:val="20"/>
          <w:szCs w:val="20"/>
        </w:rPr>
        <w:t>immediately unfurl a host of mysterious qualities that spoke in strange</w:t>
      </w:r>
    </w:p>
    <w:p>
      <w:pPr>
        <w:pStyle w:val="Normal"/>
        <w:jc w:val="left"/>
        <w:rPr>
          <w:rFonts w:ascii="Plantin" w:hAnsi="Plantin" w:eastAsia="Calibri" w:cs="Plantin"/>
          <w:sz w:val="20"/>
          <w:szCs w:val="20"/>
        </w:rPr>
      </w:pPr>
      <w:r>
        <w:rPr>
          <w:rFonts w:eastAsia="Calibri" w:cs="Plantin" w:ascii="Plantin" w:hAnsi="Plantin"/>
          <w:sz w:val="20"/>
          <w:szCs w:val="20"/>
        </w:rPr>
        <w:t>whispers about the object of which they are aspects. Delivery deforms both</w:t>
      </w:r>
    </w:p>
    <w:p>
      <w:pPr>
        <w:pStyle w:val="Normal"/>
        <w:jc w:val="left"/>
        <w:rPr>
          <w:rFonts w:ascii="Plantin" w:hAnsi="Plantin" w:eastAsia="Calibri" w:cs="Plantin"/>
          <w:sz w:val="20"/>
          <w:szCs w:val="20"/>
        </w:rPr>
      </w:pPr>
      <w:r>
        <w:rPr>
          <w:rFonts w:eastAsia="Calibri" w:cs="Plantin" w:ascii="Plantin" w:hAnsi="Plantin"/>
          <w:sz w:val="20"/>
          <w:szCs w:val="20"/>
        </w:rPr>
        <w:t>what it delivers and the deliveree, stuttering and caricaturing them, remixing</w:t>
      </w:r>
    </w:p>
    <w:p>
      <w:pPr>
        <w:pStyle w:val="Normal"/>
        <w:jc w:val="left"/>
        <w:rPr>
          <w:rFonts w:ascii="Plantin" w:hAnsi="Plantin" w:eastAsia="Calibri" w:cs="Plantin"/>
          <w:sz w:val="20"/>
          <w:szCs w:val="20"/>
        </w:rPr>
      </w:pPr>
      <w:r>
        <w:rPr>
          <w:rFonts w:eastAsia="Calibri" w:cs="Plantin" w:ascii="Plantin" w:hAnsi="Plantin"/>
          <w:sz w:val="20"/>
          <w:szCs w:val="20"/>
        </w:rPr>
        <w:t>and remastering them.92 Working backwards, the sensual object persists</w:t>
      </w:r>
    </w:p>
    <w:p>
      <w:pPr>
        <w:pStyle w:val="Normal"/>
        <w:jc w:val="left"/>
        <w:rPr/>
      </w:pPr>
      <w:r>
        <w:rPr>
          <w:rFonts w:eastAsia="Calibri" w:cs="Plantin" w:ascii="Plantin" w:hAnsi="Plantin"/>
          <w:sz w:val="20"/>
          <w:szCs w:val="20"/>
        </w:rPr>
        <w:t>(</w:t>
      </w:r>
      <w:r>
        <w:rPr>
          <w:rFonts w:eastAsia="Calibri" w:cs="Plantin-Italic" w:ascii="Plantin-Italic" w:hAnsi="Plantin-Italic"/>
          <w:i/>
          <w:iCs/>
          <w:sz w:val="20"/>
          <w:szCs w:val="20"/>
        </w:rPr>
        <w:t>memoria</w:t>
      </w:r>
      <w:r>
        <w:rPr>
          <w:rFonts w:eastAsia="Calibri" w:cs="Plantin" w:ascii="Plantin" w:hAnsi="Plantin"/>
          <w:sz w:val="20"/>
          <w:szCs w:val="20"/>
        </w:rPr>
        <w:t>), it displays a unique “style” (</w:t>
      </w:r>
      <w:r>
        <w:rPr>
          <w:rFonts w:eastAsia="Calibri" w:cs="Plantin-Italic" w:ascii="Plantin-Italic" w:hAnsi="Plantin-Italic"/>
          <w:i/>
          <w:iCs/>
          <w:sz w:val="20"/>
          <w:szCs w:val="20"/>
        </w:rPr>
        <w:t>elocutio</w:t>
      </w:r>
      <w:r>
        <w:rPr>
          <w:rFonts w:eastAsia="Calibri" w:cs="Plantin" w:ascii="Plantin" w:hAnsi="Plantin"/>
          <w:sz w:val="20"/>
          <w:szCs w:val="20"/>
        </w:rPr>
        <w:t>), it organizes its notes and</w:t>
      </w:r>
    </w:p>
    <w:p>
      <w:pPr>
        <w:pStyle w:val="Normal"/>
        <w:jc w:val="left"/>
        <w:rPr/>
      </w:pPr>
      <w:r>
        <w:rPr>
          <w:rFonts w:eastAsia="Calibri" w:cs="Plantin" w:ascii="Plantin" w:hAnsi="Plantin"/>
          <w:sz w:val="20"/>
          <w:szCs w:val="20"/>
        </w:rPr>
        <w:t>parts (</w:t>
      </w:r>
      <w:r>
        <w:rPr>
          <w:rFonts w:eastAsia="Calibri" w:cs="Plantin-Italic" w:ascii="Plantin-Italic" w:hAnsi="Plantin-Italic"/>
          <w:i/>
          <w:iCs/>
          <w:sz w:val="20"/>
          <w:szCs w:val="20"/>
        </w:rPr>
        <w:t xml:space="preserve">dispositio </w:t>
      </w:r>
      <w:r>
        <w:rPr>
          <w:rFonts w:eastAsia="Calibri" w:cs="Plantin" w:ascii="Plantin" w:hAnsi="Plantin"/>
          <w:sz w:val="20"/>
          <w:szCs w:val="20"/>
        </w:rPr>
        <w:t xml:space="preserve">and </w:t>
      </w:r>
      <w:r>
        <w:rPr>
          <w:rFonts w:eastAsia="Calibri" w:cs="Plantin-Italic" w:ascii="Plantin-Italic" w:hAnsi="Plantin-Italic"/>
          <w:i/>
          <w:iCs/>
          <w:sz w:val="20"/>
          <w:szCs w:val="20"/>
        </w:rPr>
        <w:t>ordo</w:t>
      </w:r>
      <w:r>
        <w:rPr>
          <w:rFonts w:eastAsia="Calibri" w:cs="Plantin" w:ascii="Plantin" w:hAnsi="Plantin"/>
          <w:sz w:val="20"/>
          <w:szCs w:val="20"/>
        </w:rPr>
        <w:t>), and it contains what Harman calls a “molten</w:t>
      </w:r>
    </w:p>
    <w:p>
      <w:pPr>
        <w:pStyle w:val="Normal"/>
        <w:jc w:val="left"/>
        <w:rPr/>
      </w:pPr>
      <w:r>
        <w:rPr>
          <w:rFonts w:eastAsia="Calibri" w:cs="Plantin" w:ascii="Plantin" w:hAnsi="Plantin"/>
          <w:sz w:val="20"/>
          <w:szCs w:val="20"/>
        </w:rPr>
        <w:t>core” that withdraws from all contact (</w:t>
      </w:r>
      <w:r>
        <w:rPr>
          <w:rFonts w:eastAsia="Calibri" w:cs="Plantin-Italic" w:ascii="Plantin-Italic" w:hAnsi="Plantin-Italic"/>
          <w:i/>
          <w:iCs/>
          <w:sz w:val="20"/>
          <w:szCs w:val="20"/>
        </w:rPr>
        <w:t>inventio</w:t>
      </w:r>
      <w:r>
        <w:rPr>
          <w:rFonts w:eastAsia="Calibri" w:cs="Plantin" w:ascii="Plantin" w:hAnsi="Plantin"/>
          <w:sz w:val="20"/>
          <w:szCs w:val="20"/>
        </w:rPr>
        <w:t>).93 The plastic cup does this</w:t>
      </w:r>
    </w:p>
    <w:p>
      <w:pPr>
        <w:pStyle w:val="Normal"/>
        <w:jc w:val="left"/>
        <w:rPr>
          <w:rFonts w:ascii="Plantin" w:hAnsi="Plantin" w:eastAsia="Calibri" w:cs="Plantin"/>
          <w:sz w:val="20"/>
          <w:szCs w:val="20"/>
        </w:rPr>
      </w:pPr>
      <w:r>
        <w:rPr>
          <w:rFonts w:eastAsia="Calibri" w:cs="Plantin" w:ascii="Plantin" w:hAnsi="Plantin"/>
          <w:sz w:val="20"/>
          <w:szCs w:val="20"/>
        </w:rPr>
        <w:t>to the pencil. The garden does this to the house. The plastic cup even does it</w:t>
      </w:r>
    </w:p>
    <w:p>
      <w:pPr>
        <w:pStyle w:val="Normal"/>
        <w:jc w:val="left"/>
        <w:rPr>
          <w:rFonts w:ascii="Plantin" w:hAnsi="Plantin" w:eastAsia="Calibri" w:cs="Plantin"/>
          <w:sz w:val="20"/>
          <w:szCs w:val="20"/>
        </w:rPr>
      </w:pPr>
      <w:r>
        <w:rPr>
          <w:rFonts w:eastAsia="Calibri" w:cs="Plantin" w:ascii="Plantin" w:hAnsi="Plantin"/>
          <w:sz w:val="20"/>
          <w:szCs w:val="20"/>
        </w:rPr>
        <w:t>to itself. The parts of the cup “deliver” the whole in a more or less distorted</w:t>
      </w:r>
    </w:p>
    <w:p>
      <w:pPr>
        <w:pStyle w:val="Normal"/>
        <w:jc w:val="left"/>
        <w:rPr>
          <w:rFonts w:ascii="Plantin" w:hAnsi="Plantin" w:eastAsia="Calibri" w:cs="Plantin"/>
          <w:sz w:val="20"/>
          <w:szCs w:val="20"/>
        </w:rPr>
      </w:pPr>
      <w:r>
        <w:rPr>
          <w:rFonts w:eastAsia="Calibri" w:cs="Plantin" w:ascii="Plantin" w:hAnsi="Plantin"/>
          <w:sz w:val="20"/>
          <w:szCs w:val="20"/>
        </w:rPr>
        <w:t>way, accounting for various aspects of its history and presenting the cup</w:t>
      </w:r>
    </w:p>
    <w:p>
      <w:pPr>
        <w:pStyle w:val="Normal"/>
        <w:jc w:val="left"/>
        <w:rPr>
          <w:rFonts w:ascii="Plantin" w:hAnsi="Plantin" w:eastAsia="Calibri" w:cs="Plantin"/>
          <w:sz w:val="20"/>
          <w:szCs w:val="20"/>
        </w:rPr>
      </w:pPr>
      <w:r>
        <w:rPr>
          <w:rFonts w:eastAsia="Calibri" w:cs="Plantin" w:ascii="Plantin" w:hAnsi="Plantin"/>
          <w:sz w:val="20"/>
          <w:szCs w:val="20"/>
        </w:rPr>
        <w:t>with a certain style, articulated according to certain formal arrangements—</w:t>
      </w:r>
    </w:p>
    <w:p>
      <w:pPr>
        <w:pStyle w:val="Normal"/>
        <w:jc w:val="left"/>
        <w:rPr>
          <w:rFonts w:ascii="Plantin" w:hAnsi="Plantin" w:eastAsia="Calibri" w:cs="Plantin"/>
          <w:sz w:val="20"/>
          <w:szCs w:val="20"/>
        </w:rPr>
      </w:pPr>
      <w:r>
        <w:rPr>
          <w:rFonts w:eastAsia="Calibri" w:cs="Plantin" w:ascii="Plantin" w:hAnsi="Plantin"/>
          <w:sz w:val="20"/>
          <w:szCs w:val="20"/>
        </w:rPr>
        <w:t>and finally, these qualities themselves are uncannily unavailable for presentat-</w:t>
      </w:r>
    </w:p>
    <w:p>
      <w:pPr>
        <w:pStyle w:val="Normal"/>
        <w:jc w:val="left"/>
        <w:rPr>
          <w:rFonts w:ascii="Plantin" w:hAnsi="Plantin" w:eastAsia="Calibri" w:cs="Plantin"/>
          <w:sz w:val="20"/>
          <w:szCs w:val="20"/>
        </w:rPr>
      </w:pPr>
      <w:r>
        <w:rPr>
          <w:rFonts w:eastAsia="Calibri" w:cs="Plantin" w:ascii="Plantin" w:hAnsi="Plantin"/>
          <w:sz w:val="20"/>
          <w:szCs w:val="20"/>
        </w:rPr>
        <w:t>hand inspection.</w:t>
      </w:r>
    </w:p>
    <w:p>
      <w:pPr>
        <w:pStyle w:val="Normal"/>
        <w:jc w:val="left"/>
        <w:rPr>
          <w:rFonts w:ascii="Plantin" w:hAnsi="Plantin" w:eastAsia="Calibri" w:cs="Plantin"/>
          <w:sz w:val="20"/>
          <w:szCs w:val="20"/>
        </w:rPr>
      </w:pPr>
      <w:r>
        <w:rPr>
          <w:rFonts w:eastAsia="Calibri" w:cs="Plantin" w:ascii="Plantin" w:hAnsi="Plantin"/>
          <w:sz w:val="20"/>
          <w:szCs w:val="20"/>
        </w:rPr>
        <w:t>The molten core of a thing is wrapped within the delivery. Latin gives us</w:t>
      </w:r>
    </w:p>
    <w:p>
      <w:pPr>
        <w:pStyle w:val="Normal"/>
        <w:jc w:val="left"/>
        <w:rPr/>
      </w:pPr>
      <w:r>
        <w:rPr>
          <w:rFonts w:eastAsia="Calibri" w:cs="Plantin" w:ascii="Plantin" w:hAnsi="Plantin"/>
          <w:sz w:val="20"/>
          <w:szCs w:val="20"/>
        </w:rPr>
        <w:t xml:space="preserve">a clue about this by translating the Greek for delivery, </w:t>
      </w:r>
      <w:r>
        <w:rPr>
          <w:rFonts w:eastAsia="Calibri" w:cs="Plantin-Italic" w:ascii="Plantin-Italic" w:hAnsi="Plantin-Italic"/>
          <w:i/>
          <w:iCs/>
          <w:sz w:val="20"/>
          <w:szCs w:val="20"/>
        </w:rPr>
        <w:t>hypokrisis</w:t>
      </w:r>
      <w:r>
        <w:rPr>
          <w:rFonts w:eastAsia="Calibri" w:cs="Plantin" w:ascii="Plantin" w:hAnsi="Plantin"/>
          <w:sz w:val="20"/>
          <w:szCs w:val="20"/>
        </w:rPr>
        <w:t>, as either</w:t>
      </w:r>
    </w:p>
    <w:p>
      <w:pPr>
        <w:pStyle w:val="Normal"/>
        <w:jc w:val="left"/>
        <w:rPr/>
      </w:pPr>
      <w:r>
        <w:rPr>
          <w:rFonts w:eastAsia="Calibri" w:cs="Plantin-Italic" w:ascii="Plantin-Italic" w:hAnsi="Plantin-Italic"/>
          <w:i/>
          <w:iCs/>
          <w:sz w:val="20"/>
          <w:szCs w:val="20"/>
        </w:rPr>
        <w:t xml:space="preserve">actio </w:t>
      </w:r>
      <w:r>
        <w:rPr>
          <w:rFonts w:eastAsia="Calibri" w:cs="Plantin" w:ascii="Plantin" w:hAnsi="Plantin"/>
          <w:sz w:val="20"/>
          <w:szCs w:val="20"/>
        </w:rPr>
        <w:t xml:space="preserve">or </w:t>
      </w:r>
      <w:r>
        <w:rPr>
          <w:rFonts w:eastAsia="Calibri" w:cs="Plantin-Italic" w:ascii="Plantin-Italic" w:hAnsi="Plantin-Italic"/>
          <w:i/>
          <w:iCs/>
          <w:sz w:val="20"/>
          <w:szCs w:val="20"/>
        </w:rPr>
        <w:t>pronuntiatio</w:t>
      </w:r>
      <w:r>
        <w:rPr>
          <w:rFonts w:eastAsia="Calibri" w:cs="Plantin" w:ascii="Plantin" w:hAnsi="Plantin"/>
          <w:sz w:val="20"/>
          <w:szCs w:val="20"/>
        </w:rPr>
        <w:t xml:space="preserve">.94 We get the word “hypocrisy” from </w:t>
      </w:r>
      <w:r>
        <w:rPr>
          <w:rFonts w:eastAsia="Calibri" w:cs="Plantin-Italic" w:ascii="Plantin-Italic" w:hAnsi="Plantin-Italic"/>
          <w:i/>
          <w:iCs/>
          <w:sz w:val="20"/>
          <w:szCs w:val="20"/>
        </w:rPr>
        <w:t>hypokrisis</w:t>
      </w:r>
      <w:r>
        <w:rPr>
          <w:rFonts w:eastAsia="Calibri" w:cs="Plantin" w:ascii="Plantin" w:hAnsi="Plantin"/>
          <w:sz w:val="20"/>
          <w:szCs w:val="20"/>
        </w:rPr>
        <w:t>.95 It</w:t>
      </w:r>
    </w:p>
    <w:p>
      <w:pPr>
        <w:pStyle w:val="Normal"/>
        <w:jc w:val="left"/>
        <w:rPr/>
      </w:pPr>
      <w:r>
        <w:rPr>
          <w:rFonts w:eastAsia="Calibri" w:cs="Plantin" w:ascii="Plantin" w:hAnsi="Plantin"/>
          <w:sz w:val="20"/>
          <w:szCs w:val="20"/>
        </w:rPr>
        <w:t xml:space="preserve">stems from the verb to </w:t>
      </w:r>
      <w:r>
        <w:rPr>
          <w:rFonts w:eastAsia="Calibri" w:cs="Plantin-Italic" w:ascii="Plantin-Italic" w:hAnsi="Plantin-Italic"/>
          <w:i/>
          <w:iCs/>
          <w:sz w:val="20"/>
          <w:szCs w:val="20"/>
        </w:rPr>
        <w:t xml:space="preserve">judge </w:t>
      </w:r>
      <w:r>
        <w:rPr>
          <w:rFonts w:eastAsia="Calibri" w:cs="Plantin" w:ascii="Plantin" w:hAnsi="Plantin"/>
          <w:sz w:val="20"/>
          <w:szCs w:val="20"/>
        </w:rPr>
        <w:t xml:space="preserve">or </w:t>
      </w:r>
      <w:r>
        <w:rPr>
          <w:rFonts w:eastAsia="Calibri" w:cs="Plantin-Italic" w:ascii="Plantin-Italic" w:hAnsi="Plantin-Italic"/>
          <w:i/>
          <w:iCs/>
          <w:sz w:val="20"/>
          <w:szCs w:val="20"/>
        </w:rPr>
        <w:t>interpret</w:t>
      </w:r>
      <w:r>
        <w:rPr>
          <w:rFonts w:eastAsia="Calibri" w:cs="Plantin" w:ascii="Plantin" w:hAnsi="Plantin"/>
          <w:sz w:val="20"/>
          <w:szCs w:val="20"/>
        </w:rPr>
        <w:t>—objects interpret themselves. Yet</w:t>
      </w:r>
    </w:p>
    <w:p>
      <w:pPr>
        <w:pStyle w:val="Normal"/>
        <w:jc w:val="left"/>
        <w:rPr>
          <w:rFonts w:ascii="Plantin" w:hAnsi="Plantin" w:eastAsia="Calibri" w:cs="Plantin"/>
          <w:sz w:val="20"/>
          <w:szCs w:val="20"/>
        </w:rPr>
      </w:pPr>
      <w:r>
        <w:rPr>
          <w:rFonts w:eastAsia="Calibri" w:cs="Plantin" w:ascii="Plantin" w:hAnsi="Plantin"/>
          <w:sz w:val="20"/>
          <w:szCs w:val="20"/>
        </w:rPr>
        <w:t>in so doing they are like actors, both dissembling and generating an entirely</w:t>
      </w:r>
    </w:p>
    <w:p>
      <w:pPr>
        <w:pStyle w:val="Storybodytext"/>
        <w:spacing w:before="0" w:after="270"/>
        <w:rPr>
          <w:rFonts w:ascii="Plantin" w:hAnsi="Plantin" w:eastAsia="Calibri" w:cs="Plantin"/>
          <w:sz w:val="20"/>
          <w:szCs w:val="20"/>
        </w:rPr>
      </w:pPr>
      <w:r>
        <w:rPr>
          <w:rFonts w:eastAsia="Calibri" w:cs="Plantin" w:ascii="Plantin" w:hAnsi="Plantin"/>
          <w:sz w:val="20"/>
          <w:szCs w:val="20"/>
        </w:rPr>
        <w:t>fresh set of objects—as an orchestra “interprets” a score by playing it. (86)</w:t>
      </w:r>
    </w:p>
    <w:p>
      <w:pPr>
        <w:pStyle w:val="Normal"/>
        <w:jc w:val="left"/>
        <w:rPr>
          <w:rFonts w:ascii="Plantin" w:hAnsi="Plantin" w:eastAsia="Calibri" w:cs="Plantin"/>
          <w:sz w:val="20"/>
          <w:szCs w:val="20"/>
        </w:rPr>
      </w:pPr>
      <w:r>
        <w:rPr>
          <w:rFonts w:eastAsia="Calibri" w:cs="Plantin" w:ascii="Plantin" w:hAnsi="Plantin"/>
          <w:sz w:val="20"/>
          <w:szCs w:val="20"/>
        </w:rPr>
        <w:t>Is it not possible to imagine that an object-oriented rhetorical theory</w:t>
      </w:r>
    </w:p>
    <w:p>
      <w:pPr>
        <w:pStyle w:val="Normal"/>
        <w:jc w:val="left"/>
        <w:rPr>
          <w:rFonts w:ascii="Plantin" w:hAnsi="Plantin" w:eastAsia="Calibri" w:cs="Plantin"/>
          <w:sz w:val="20"/>
          <w:szCs w:val="20"/>
        </w:rPr>
      </w:pPr>
      <w:r>
        <w:rPr>
          <w:rFonts w:eastAsia="Calibri" w:cs="Plantin" w:ascii="Plantin" w:hAnsi="Plantin"/>
          <w:sz w:val="20"/>
          <w:szCs w:val="20"/>
        </w:rPr>
        <w:t>might account for vicarious causation, the only kind of causation possible</w:t>
      </w:r>
    </w:p>
    <w:p>
      <w:pPr>
        <w:pStyle w:val="Normal"/>
        <w:jc w:val="left"/>
        <w:rPr>
          <w:rFonts w:ascii="Plantin" w:hAnsi="Plantin" w:eastAsia="Calibri" w:cs="Plantin"/>
          <w:sz w:val="20"/>
          <w:szCs w:val="20"/>
        </w:rPr>
      </w:pPr>
      <w:r>
        <w:rPr>
          <w:rFonts w:eastAsia="Calibri" w:cs="Plantin" w:ascii="Plantin" w:hAnsi="Plantin"/>
          <w:sz w:val="20"/>
          <w:szCs w:val="20"/>
        </w:rPr>
        <w:t>between ontologically vacuum-sealed objects? Harman talks about</w:t>
      </w:r>
    </w:p>
    <w:p>
      <w:pPr>
        <w:pStyle w:val="Normal"/>
        <w:jc w:val="left"/>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elements” or “quality objects”—the aspects of sensual objects that</w:t>
      </w:r>
    </w:p>
    <w:p>
      <w:pPr>
        <w:pStyle w:val="Storybodytext"/>
        <w:spacing w:before="0" w:after="270"/>
        <w:rPr>
          <w:rFonts w:ascii="Plantin" w:hAnsi="Plantin" w:eastAsia="Calibri" w:cs="Plantin"/>
          <w:sz w:val="20"/>
          <w:szCs w:val="20"/>
        </w:rPr>
      </w:pPr>
      <w:r>
        <w:rPr>
          <w:rFonts w:eastAsia="Calibri" w:cs="Plantin" w:ascii="Plantin" w:hAnsi="Plantin"/>
          <w:sz w:val="20"/>
          <w:szCs w:val="20"/>
        </w:rPr>
        <w:t>somehow communicate with one another.96 (87)</w:t>
      </w:r>
    </w:p>
    <w:p>
      <w:pPr>
        <w:pStyle w:val="Normal"/>
        <w:jc w:val="left"/>
        <w:rPr>
          <w:rFonts w:ascii="Plantin" w:hAnsi="Plantin" w:eastAsia="Calibri" w:cs="Plantin"/>
          <w:sz w:val="20"/>
          <w:szCs w:val="20"/>
        </w:rPr>
      </w:pPr>
      <w:r>
        <w:rPr>
          <w:rFonts w:eastAsia="Calibri" w:cs="Plantin" w:ascii="Plantin" w:hAnsi="Plantin"/>
          <w:sz w:val="20"/>
          <w:szCs w:val="20"/>
        </w:rPr>
        <w:t>Heidegger argues that when we just use a</w:t>
      </w:r>
    </w:p>
    <w:p>
      <w:pPr>
        <w:pStyle w:val="Normal"/>
        <w:jc w:val="left"/>
        <w:rPr>
          <w:rFonts w:ascii="Plantin" w:hAnsi="Plantin" w:eastAsia="Calibri" w:cs="Plantin"/>
          <w:sz w:val="20"/>
          <w:szCs w:val="20"/>
        </w:rPr>
      </w:pPr>
      <w:r>
        <w:rPr>
          <w:rFonts w:eastAsia="Calibri" w:cs="Plantin" w:ascii="Plantin" w:hAnsi="Plantin"/>
          <w:sz w:val="20"/>
          <w:szCs w:val="20"/>
        </w:rPr>
        <w:t>tool, it disappears into its functioning; it appears when some breakage (or</w:t>
      </w:r>
    </w:p>
    <w:p>
      <w:pPr>
        <w:pStyle w:val="Normal"/>
        <w:jc w:val="left"/>
        <w:rPr>
          <w:rFonts w:ascii="Plantin" w:hAnsi="Plantin" w:eastAsia="Calibri" w:cs="Plantin"/>
          <w:sz w:val="20"/>
          <w:szCs w:val="20"/>
        </w:rPr>
      </w:pPr>
      <w:r>
        <w:rPr>
          <w:rFonts w:eastAsia="Calibri" w:cs="Plantin" w:ascii="Plantin" w:hAnsi="Plantin"/>
          <w:sz w:val="20"/>
          <w:szCs w:val="20"/>
        </w:rPr>
        <w:t>our aesthetic framing of it) isolates it from its background. Harman develops</w:t>
      </w:r>
    </w:p>
    <w:p>
      <w:pPr>
        <w:pStyle w:val="Normal"/>
        <w:jc w:val="left"/>
        <w:rPr>
          <w:rFonts w:ascii="Plantin" w:hAnsi="Plantin" w:eastAsia="Calibri" w:cs="Plantin"/>
          <w:sz w:val="20"/>
          <w:szCs w:val="20"/>
        </w:rPr>
      </w:pPr>
      <w:r>
        <w:rPr>
          <w:rFonts w:eastAsia="Calibri" w:cs="Plantin" w:ascii="Plantin" w:hAnsi="Plantin"/>
          <w:sz w:val="20"/>
          <w:szCs w:val="20"/>
        </w:rPr>
        <w:t>this to apply not only to hammers and the like, and between humans (and</w:t>
      </w:r>
    </w:p>
    <w:p>
      <w:pPr>
        <w:pStyle w:val="Normal"/>
        <w:jc w:val="left"/>
        <w:rPr>
          <w:rFonts w:ascii="Plantin" w:hAnsi="Plantin" w:eastAsia="Calibri" w:cs="Plantin"/>
          <w:sz w:val="20"/>
          <w:szCs w:val="20"/>
        </w:rPr>
      </w:pPr>
      <w:r>
        <w:rPr>
          <w:rFonts w:eastAsia="Calibri" w:cs="Plantin" w:ascii="Plantin" w:hAnsi="Plantin"/>
          <w:sz w:val="20"/>
          <w:szCs w:val="20"/>
        </w:rPr>
        <w:t>the like) and hammers (and the like), but also between and within any and</w:t>
      </w:r>
    </w:p>
    <w:p>
      <w:pPr>
        <w:pStyle w:val="Normal"/>
        <w:jc w:val="left"/>
        <w:rPr>
          <w:rFonts w:ascii="Plantin" w:hAnsi="Plantin" w:eastAsia="Calibri" w:cs="Plantin"/>
          <w:sz w:val="20"/>
          <w:szCs w:val="20"/>
        </w:rPr>
      </w:pPr>
      <w:r>
        <w:rPr>
          <w:rFonts w:eastAsia="Calibri" w:cs="Plantin" w:ascii="Plantin" w:hAnsi="Plantin"/>
          <w:sz w:val="20"/>
          <w:szCs w:val="20"/>
        </w:rPr>
        <w:t>all entities.100 Harman argues that in order to grasp the most consistent</w:t>
      </w:r>
    </w:p>
    <w:p>
      <w:pPr>
        <w:pStyle w:val="Normal"/>
        <w:jc w:val="left"/>
        <w:rPr>
          <w:rFonts w:ascii="Plantin" w:hAnsi="Plantin" w:eastAsia="Calibri" w:cs="Plantin"/>
          <w:sz w:val="20"/>
          <w:szCs w:val="20"/>
        </w:rPr>
      </w:pPr>
      <w:r>
        <w:rPr>
          <w:rFonts w:eastAsia="Calibri" w:cs="Plantin" w:ascii="Plantin" w:hAnsi="Plantin"/>
          <w:sz w:val="20"/>
          <w:szCs w:val="20"/>
        </w:rPr>
        <w:t>version of the tool analysis, we must accept that any event whatsoever—</w:t>
      </w:r>
    </w:p>
    <w:p>
      <w:pPr>
        <w:pStyle w:val="Normal"/>
        <w:jc w:val="left"/>
        <w:rPr>
          <w:rFonts w:ascii="Plantin" w:hAnsi="Plantin" w:eastAsia="Calibri" w:cs="Plantin"/>
          <w:sz w:val="20"/>
          <w:szCs w:val="20"/>
        </w:rPr>
      </w:pPr>
      <w:r>
        <w:rPr>
          <w:rFonts w:eastAsia="Calibri" w:cs="Plantin" w:ascii="Plantin" w:hAnsi="Plantin"/>
          <w:sz w:val="20"/>
          <w:szCs w:val="20"/>
        </w:rPr>
        <w:t>including the use of the hammer as a tool, the very example Heidegger</w:t>
      </w:r>
    </w:p>
    <w:p>
      <w:pPr>
        <w:pStyle w:val="Storybodytext"/>
        <w:spacing w:before="0" w:after="270"/>
        <w:rPr/>
      </w:pPr>
      <w:r>
        <w:rPr>
          <w:rFonts w:eastAsia="Calibri" w:cs="Plantin" w:ascii="Plantin" w:hAnsi="Plantin"/>
          <w:sz w:val="20"/>
          <w:szCs w:val="20"/>
        </w:rPr>
        <w:t xml:space="preserve">excludes—is a translation of an object into a </w:t>
      </w:r>
      <w:r>
        <w:rPr>
          <w:rFonts w:eastAsia="Calibri" w:cs="Plantin-Italic" w:ascii="Plantin-Italic" w:hAnsi="Plantin-Italic"/>
          <w:i/>
          <w:iCs/>
          <w:sz w:val="20"/>
          <w:szCs w:val="20"/>
        </w:rPr>
        <w:t xml:space="preserve">vorhanden </w:t>
      </w:r>
      <w:r>
        <w:rPr>
          <w:rFonts w:eastAsia="Calibri" w:cs="Plantin" w:ascii="Plantin" w:hAnsi="Plantin"/>
          <w:sz w:val="20"/>
          <w:szCs w:val="20"/>
        </w:rPr>
        <w:t>parody of itself. (88)</w:t>
      </w:r>
    </w:p>
    <w:p>
      <w:pPr>
        <w:pStyle w:val="Normal"/>
        <w:jc w:val="left"/>
        <w:rPr>
          <w:rFonts w:ascii="Plantin" w:hAnsi="Plantin" w:eastAsia="Calibri" w:cs="Plantin"/>
          <w:sz w:val="20"/>
          <w:szCs w:val="20"/>
        </w:rPr>
      </w:pPr>
      <w:r>
        <w:rPr>
          <w:rFonts w:eastAsia="Calibri" w:cs="Plantin" w:ascii="Plantin" w:hAnsi="Plantin"/>
          <w:sz w:val="20"/>
          <w:szCs w:val="20"/>
        </w:rPr>
        <w:t>It appears then that some art-critical contradictions are true.103 Why?</w:t>
      </w:r>
    </w:p>
    <w:p>
      <w:pPr>
        <w:pStyle w:val="Normal"/>
        <w:jc w:val="left"/>
        <w:rPr/>
      </w:pPr>
      <w:r>
        <w:rPr>
          <w:rFonts w:eastAsia="Calibri" w:cs="Plantin" w:ascii="Plantin" w:hAnsi="Plantin"/>
          <w:sz w:val="20"/>
          <w:szCs w:val="20"/>
        </w:rPr>
        <w:t xml:space="preserve">The </w:t>
      </w:r>
      <w:r>
        <w:rPr>
          <w:rFonts w:eastAsia="PlantinExpert" w:cs="PlantinExpert" w:ascii="PlantinExpert" w:hAnsi="PlantinExpert"/>
          <w:sz w:val="20"/>
          <w:szCs w:val="20"/>
        </w:rPr>
        <w:t xml:space="preserve">ooo </w:t>
      </w:r>
      <w:r>
        <w:rPr>
          <w:rFonts w:eastAsia="Calibri" w:cs="Plantin" w:ascii="Plantin" w:hAnsi="Plantin"/>
          <w:sz w:val="20"/>
          <w:szCs w:val="20"/>
        </w:rPr>
        <w:t>answer is that there is a profound ontological ambiguity in objects</w:t>
      </w:r>
    </w:p>
    <w:p>
      <w:pPr>
        <w:pStyle w:val="Normal"/>
        <w:jc w:val="left"/>
        <w:rPr>
          <w:rFonts w:ascii="Plantin" w:hAnsi="Plantin" w:eastAsia="Calibri" w:cs="Plantin"/>
          <w:sz w:val="20"/>
          <w:szCs w:val="20"/>
        </w:rPr>
      </w:pPr>
      <w:r>
        <w:rPr>
          <w:rFonts w:eastAsia="Calibri" w:cs="Plantin" w:ascii="Plantin" w:hAnsi="Plantin"/>
          <w:sz w:val="20"/>
          <w:szCs w:val="20"/>
        </w:rPr>
        <w:t>themselves. This ambiguity is reflected in relations between and within</w:t>
      </w:r>
    </w:p>
    <w:p>
      <w:pPr>
        <w:pStyle w:val="Storybodytext"/>
        <w:spacing w:before="0" w:after="270"/>
        <w:rPr>
          <w:rFonts w:ascii="Plantin" w:hAnsi="Plantin" w:eastAsia="Calibri" w:cs="Plantin"/>
          <w:sz w:val="20"/>
          <w:szCs w:val="20"/>
        </w:rPr>
      </w:pPr>
      <w:r>
        <w:rPr>
          <w:rFonts w:eastAsia="Calibri" w:cs="Plantin" w:ascii="Plantin" w:hAnsi="Plantin"/>
          <w:sz w:val="20"/>
          <w:szCs w:val="20"/>
        </w:rPr>
        <w:t>objects. We need to explore the nature of this ambiguity some more. (89)</w:t>
      </w:r>
    </w:p>
    <w:p>
      <w:pPr>
        <w:pStyle w:val="Normal"/>
        <w:jc w:val="left"/>
        <w:rPr>
          <w:rFonts w:ascii="Plantin" w:hAnsi="Plantin" w:eastAsia="Calibri" w:cs="Plantin"/>
          <w:sz w:val="20"/>
          <w:szCs w:val="20"/>
        </w:rPr>
      </w:pPr>
      <w:r>
        <w:rPr>
          <w:rFonts w:eastAsia="Calibri" w:cs="Plantin" w:ascii="Plantin" w:hAnsi="Plantin"/>
          <w:sz w:val="20"/>
          <w:szCs w:val="20"/>
        </w:rPr>
        <w:t>A causal event is a set of relations between objects. All relations are</w:t>
      </w:r>
    </w:p>
    <w:p>
      <w:pPr>
        <w:pStyle w:val="Normal"/>
        <w:jc w:val="left"/>
        <w:rPr>
          <w:rFonts w:ascii="Plantin" w:hAnsi="Plantin" w:eastAsia="Calibri" w:cs="Plantin"/>
          <w:sz w:val="20"/>
          <w:szCs w:val="20"/>
        </w:rPr>
      </w:pPr>
      <w:r>
        <w:rPr>
          <w:rFonts w:eastAsia="Calibri" w:cs="Plantin" w:ascii="Plantin" w:hAnsi="Plantin"/>
          <w:sz w:val="20"/>
          <w:szCs w:val="20"/>
        </w:rPr>
        <w:t>aesthetic, not just ones between humans and objects such as Turner</w:t>
      </w:r>
    </w:p>
    <w:p>
      <w:pPr>
        <w:pStyle w:val="Normal"/>
        <w:jc w:val="left"/>
        <w:rPr>
          <w:rFonts w:ascii="Plantin" w:hAnsi="Plantin" w:eastAsia="Calibri" w:cs="Plantin"/>
          <w:sz w:val="20"/>
          <w:szCs w:val="20"/>
        </w:rPr>
      </w:pPr>
      <w:r>
        <w:rPr>
          <w:rFonts w:eastAsia="Calibri" w:cs="Plantin" w:ascii="Plantin" w:hAnsi="Plantin"/>
          <w:sz w:val="20"/>
          <w:szCs w:val="20"/>
        </w:rPr>
        <w:t>paintings. Thus we must carefully investigate aesthetics for what it says</w:t>
      </w:r>
    </w:p>
    <w:p>
      <w:pPr>
        <w:pStyle w:val="Normal"/>
        <w:jc w:val="left"/>
        <w:rPr>
          <w:rFonts w:ascii="Plantin" w:hAnsi="Plantin" w:eastAsia="Calibri" w:cs="Plantin"/>
          <w:sz w:val="20"/>
          <w:szCs w:val="20"/>
        </w:rPr>
      </w:pPr>
      <w:r>
        <w:rPr>
          <w:rFonts w:eastAsia="Calibri" w:cs="Plantin" w:ascii="Plantin" w:hAnsi="Plantin"/>
          <w:sz w:val="20"/>
          <w:szCs w:val="20"/>
        </w:rPr>
        <w:t>about the “meaning” of (art) events, since this will give us a clue as to how</w:t>
      </w:r>
    </w:p>
    <w:p>
      <w:pPr>
        <w:pStyle w:val="Normal"/>
        <w:jc w:val="left"/>
        <w:rPr>
          <w:rFonts w:ascii="Plantin" w:hAnsi="Plantin" w:eastAsia="Calibri" w:cs="Plantin"/>
          <w:sz w:val="20"/>
          <w:szCs w:val="20"/>
        </w:rPr>
      </w:pPr>
      <w:r>
        <w:rPr>
          <w:rFonts w:eastAsia="Calibri" w:cs="Plantin" w:ascii="Plantin" w:hAnsi="Plantin"/>
          <w:sz w:val="20"/>
          <w:szCs w:val="20"/>
        </w:rPr>
        <w:t>things work in reality. Perhaps one reason why it is so hard to catch causality</w:t>
      </w:r>
    </w:p>
    <w:p>
      <w:pPr>
        <w:pStyle w:val="Normal"/>
        <w:jc w:val="left"/>
        <w:rPr>
          <w:rFonts w:ascii="Plantin" w:hAnsi="Plantin" w:eastAsia="Calibri" w:cs="Plantin"/>
          <w:sz w:val="20"/>
          <w:szCs w:val="20"/>
        </w:rPr>
      </w:pPr>
      <w:r>
        <w:rPr>
          <w:rFonts w:eastAsia="Calibri" w:cs="Plantin" w:ascii="Plantin" w:hAnsi="Plantin"/>
          <w:sz w:val="20"/>
          <w:szCs w:val="20"/>
        </w:rPr>
        <w:t>in the act unless you hold some kind of vicarious or dialetheic view is that</w:t>
      </w:r>
    </w:p>
    <w:p>
      <w:pPr>
        <w:pStyle w:val="Storybodytext"/>
        <w:spacing w:before="0" w:after="270"/>
        <w:rPr>
          <w:rFonts w:ascii="Plantin" w:hAnsi="Plantin" w:eastAsia="Calibri" w:cs="Plantin"/>
          <w:sz w:val="20"/>
          <w:szCs w:val="20"/>
        </w:rPr>
      </w:pPr>
      <w:r>
        <w:rPr>
          <w:rFonts w:eastAsia="Calibri" w:cs="Plantin" w:ascii="Plantin" w:hAnsi="Plantin"/>
          <w:sz w:val="20"/>
          <w:szCs w:val="20"/>
        </w:rPr>
        <w:t>the one thing that cannot be done to relations between objects is catch them “before” or “during” the event of their relating (pp. 90-1)</w:t>
      </w:r>
    </w:p>
    <w:p>
      <w:pPr>
        <w:pStyle w:val="Normal"/>
        <w:jc w:val="left"/>
        <w:rPr>
          <w:rFonts w:ascii="Plantin" w:hAnsi="Plantin" w:eastAsia="Calibri" w:cs="Plantin"/>
          <w:sz w:val="20"/>
          <w:szCs w:val="20"/>
        </w:rPr>
      </w:pPr>
      <w:r>
        <w:rPr>
          <w:rFonts w:eastAsia="Calibri" w:cs="Plantin" w:ascii="Plantin" w:hAnsi="Plantin"/>
          <w:sz w:val="20"/>
          <w:szCs w:val="20"/>
        </w:rPr>
        <w:t>What then if all relations between all objects were like dreams, not just</w:t>
      </w:r>
    </w:p>
    <w:p>
      <w:pPr>
        <w:pStyle w:val="Normal"/>
        <w:jc w:val="left"/>
        <w:rPr>
          <w:rFonts w:ascii="Plantin" w:hAnsi="Plantin" w:eastAsia="Calibri" w:cs="Plantin"/>
          <w:sz w:val="20"/>
          <w:szCs w:val="20"/>
        </w:rPr>
      </w:pPr>
      <w:r>
        <w:rPr>
          <w:rFonts w:eastAsia="Calibri" w:cs="Plantin" w:ascii="Plantin" w:hAnsi="Plantin"/>
          <w:sz w:val="20"/>
          <w:szCs w:val="20"/>
        </w:rPr>
        <w:t>sentient or just human ones between images and image-maker? Consider</w:t>
      </w:r>
    </w:p>
    <w:p>
      <w:pPr>
        <w:pStyle w:val="Normal"/>
        <w:jc w:val="left"/>
        <w:rPr>
          <w:rFonts w:ascii="Plantin" w:hAnsi="Plantin" w:eastAsia="Calibri" w:cs="Plantin"/>
          <w:sz w:val="20"/>
          <w:szCs w:val="20"/>
        </w:rPr>
      </w:pPr>
      <w:r>
        <w:rPr>
          <w:rFonts w:eastAsia="Calibri" w:cs="Plantin" w:ascii="Plantin" w:hAnsi="Plantin"/>
          <w:sz w:val="20"/>
          <w:szCs w:val="20"/>
        </w:rPr>
        <w:t>again two entangled photons. They “don’t know what they are” yet: they</w:t>
      </w:r>
    </w:p>
    <w:p>
      <w:pPr>
        <w:pStyle w:val="Normal"/>
        <w:jc w:val="left"/>
        <w:rPr>
          <w:rFonts w:ascii="Plantin" w:hAnsi="Plantin" w:eastAsia="Calibri" w:cs="Plantin"/>
          <w:sz w:val="20"/>
          <w:szCs w:val="20"/>
        </w:rPr>
      </w:pPr>
      <w:r>
        <w:rPr>
          <w:rFonts w:eastAsia="Calibri" w:cs="Plantin" w:ascii="Plantin" w:hAnsi="Plantin"/>
          <w:sz w:val="20"/>
          <w:szCs w:val="20"/>
        </w:rPr>
        <w:t>must be “measured,” that is one of them must be polarized in a certain</w:t>
      </w:r>
    </w:p>
    <w:p>
      <w:pPr>
        <w:pStyle w:val="Normal"/>
        <w:jc w:val="left"/>
        <w:rPr>
          <w:rFonts w:ascii="Plantin" w:hAnsi="Plantin" w:eastAsia="Calibri" w:cs="Plantin"/>
          <w:sz w:val="20"/>
          <w:szCs w:val="20"/>
        </w:rPr>
      </w:pPr>
      <w:r>
        <w:rPr>
          <w:rFonts w:eastAsia="Calibri" w:cs="Plantin" w:ascii="Plantin" w:hAnsi="Plantin"/>
          <w:sz w:val="20"/>
          <w:szCs w:val="20"/>
        </w:rPr>
        <w:t>direction, in order for their significance to be revealed. There really are</w:t>
      </w:r>
    </w:p>
    <w:p>
      <w:pPr>
        <w:pStyle w:val="Normal"/>
        <w:jc w:val="left"/>
        <w:rPr>
          <w:rFonts w:ascii="Plantin" w:hAnsi="Plantin" w:eastAsia="Calibri" w:cs="Plantin"/>
          <w:sz w:val="20"/>
          <w:szCs w:val="20"/>
        </w:rPr>
      </w:pPr>
      <w:r>
        <w:rPr>
          <w:rFonts w:eastAsia="Calibri" w:cs="Plantin" w:ascii="Plantin" w:hAnsi="Plantin"/>
          <w:sz w:val="20"/>
          <w:szCs w:val="20"/>
        </w:rPr>
        <w:t>two photons. Then they are “interpreted,” that is, physically adjusted.</w:t>
      </w:r>
    </w:p>
    <w:p>
      <w:pPr>
        <w:pStyle w:val="Normal"/>
        <w:jc w:val="left"/>
        <w:rPr>
          <w:rFonts w:ascii="Plantin" w:hAnsi="Plantin" w:eastAsia="Calibri" w:cs="Plantin"/>
          <w:sz w:val="20"/>
          <w:szCs w:val="20"/>
        </w:rPr>
      </w:pPr>
      <w:r>
        <w:rPr>
          <w:rFonts w:eastAsia="Calibri" w:cs="Plantin" w:ascii="Plantin" w:hAnsi="Plantin"/>
          <w:sz w:val="20"/>
          <w:szCs w:val="20"/>
        </w:rPr>
        <w:t>Physical adjustment, interpretation, causality, aesthetics: all these terms say</w:t>
      </w:r>
    </w:p>
    <w:p>
      <w:pPr>
        <w:pStyle w:val="Normal"/>
        <w:jc w:val="left"/>
        <w:rPr>
          <w:rFonts w:ascii="Plantin" w:hAnsi="Plantin" w:eastAsia="Calibri" w:cs="Plantin"/>
          <w:sz w:val="20"/>
          <w:szCs w:val="20"/>
        </w:rPr>
      </w:pPr>
      <w:r>
        <w:rPr>
          <w:rFonts w:eastAsia="Calibri" w:cs="Plantin" w:ascii="Plantin" w:hAnsi="Plantin"/>
          <w:sz w:val="20"/>
          <w:szCs w:val="20"/>
        </w:rPr>
        <w:t>the same thing. This is not an idealist world in which the photons aren’t real until they are perceived. No, it’s precisely the opposite, even more</w:t>
      </w:r>
    </w:p>
    <w:p>
      <w:pPr>
        <w:pStyle w:val="Normal"/>
        <w:jc w:val="left"/>
        <w:rPr>
          <w:rFonts w:ascii="Plantin" w:hAnsi="Plantin" w:eastAsia="Calibri" w:cs="Plantin"/>
          <w:sz w:val="20"/>
          <w:szCs w:val="20"/>
        </w:rPr>
      </w:pPr>
      <w:r>
        <w:rPr>
          <w:rFonts w:eastAsia="Calibri" w:cs="Plantin" w:ascii="Plantin" w:hAnsi="Plantin"/>
          <w:sz w:val="20"/>
          <w:szCs w:val="20"/>
        </w:rPr>
        <w:t>opposite than the usual materialist or realist account. That is, perception as</w:t>
      </w:r>
    </w:p>
    <w:p>
      <w:pPr>
        <w:pStyle w:val="Normal"/>
        <w:jc w:val="left"/>
        <w:rPr>
          <w:rFonts w:ascii="Plantin" w:hAnsi="Plantin" w:eastAsia="Calibri" w:cs="Plantin"/>
          <w:sz w:val="20"/>
          <w:szCs w:val="20"/>
        </w:rPr>
      </w:pPr>
      <w:r>
        <w:rPr>
          <w:rFonts w:eastAsia="Calibri" w:cs="Plantin" w:ascii="Plantin" w:hAnsi="Plantin"/>
          <w:sz w:val="20"/>
          <w:szCs w:val="20"/>
        </w:rPr>
        <w:t>such is a physical intervention in the world, which means that causality is</w:t>
      </w:r>
    </w:p>
    <w:p>
      <w:pPr>
        <w:pStyle w:val="Normal"/>
        <w:jc w:val="left"/>
        <w:rPr>
          <w:rFonts w:ascii="Plantin" w:hAnsi="Plantin" w:eastAsia="Calibri" w:cs="Plantin"/>
          <w:sz w:val="20"/>
          <w:szCs w:val="20"/>
        </w:rPr>
      </w:pPr>
      <w:r>
        <w:rPr>
          <w:rFonts w:eastAsia="Calibri" w:cs="Plantin" w:ascii="Plantin" w:hAnsi="Plantin"/>
          <w:sz w:val="20"/>
          <w:szCs w:val="20"/>
        </w:rPr>
        <w:t>profoundly aesthetic.</w:t>
      </w:r>
    </w:p>
    <w:p>
      <w:pPr>
        <w:pStyle w:val="Normal"/>
        <w:jc w:val="left"/>
        <w:rPr>
          <w:rFonts w:ascii="Plantin" w:hAnsi="Plantin" w:eastAsia="Calibri" w:cs="Plantin"/>
          <w:sz w:val="20"/>
          <w:szCs w:val="20"/>
        </w:rPr>
      </w:pPr>
      <w:r>
        <w:rPr>
          <w:rFonts w:eastAsia="Calibri" w:cs="Plantin" w:ascii="Plantin" w:hAnsi="Plantin"/>
          <w:sz w:val="20"/>
          <w:szCs w:val="20"/>
        </w:rPr>
        <w:t>Kantian beauty is a relationship between entities. What Kant calls the</w:t>
      </w:r>
    </w:p>
    <w:p>
      <w:pPr>
        <w:pStyle w:val="Storybodytext"/>
        <w:spacing w:before="0" w:after="270"/>
        <w:rPr>
          <w:rFonts w:ascii="Plantin" w:hAnsi="Plantin" w:eastAsia="Calibri" w:cs="Plantin"/>
          <w:sz w:val="20"/>
          <w:szCs w:val="20"/>
        </w:rPr>
      </w:pPr>
      <w:r>
        <w:rPr>
          <w:rFonts w:eastAsia="Calibri" w:cs="Plantin" w:ascii="Plantin" w:hAnsi="Plantin"/>
          <w:sz w:val="20"/>
          <w:szCs w:val="20"/>
        </w:rPr>
        <w:t>sublime is the vertiginous irreducibility of one object to another object. (92-3)</w:t>
      </w:r>
    </w:p>
    <w:p>
      <w:pPr>
        <w:pStyle w:val="Normal"/>
        <w:jc w:val="left"/>
        <w:rPr>
          <w:rFonts w:ascii="Plantin" w:hAnsi="Plantin" w:eastAsia="Calibri" w:cs="Plantin"/>
          <w:sz w:val="20"/>
          <w:szCs w:val="20"/>
        </w:rPr>
      </w:pPr>
      <w:r>
        <w:rPr>
          <w:rFonts w:eastAsia="Calibri" w:cs="Plantin" w:ascii="Plantin" w:hAnsi="Plantin"/>
          <w:sz w:val="20"/>
          <w:szCs w:val="20"/>
        </w:rPr>
        <w:t>way to get an experiential foothold on one is to relate to it. Yet to relate</w:t>
      </w:r>
    </w:p>
    <w:p>
      <w:pPr>
        <w:pStyle w:val="Normal"/>
        <w:jc w:val="left"/>
        <w:rPr>
          <w:rFonts w:ascii="Plantin" w:hAnsi="Plantin" w:eastAsia="Calibri" w:cs="Plantin"/>
          <w:sz w:val="20"/>
          <w:szCs w:val="20"/>
        </w:rPr>
      </w:pPr>
      <w:r>
        <w:rPr>
          <w:rFonts w:eastAsia="Calibri" w:cs="Plantin" w:ascii="Plantin" w:hAnsi="Plantin"/>
          <w:sz w:val="20"/>
          <w:szCs w:val="20"/>
        </w:rPr>
        <w:t>to it is to be caught in an adjustment, an attunement, between myself and</w:t>
      </w:r>
    </w:p>
    <w:p>
      <w:pPr>
        <w:pStyle w:val="Normal"/>
        <w:jc w:val="left"/>
        <w:rPr>
          <w:rFonts w:ascii="Plantin" w:hAnsi="Plantin" w:eastAsia="Calibri" w:cs="Plantin"/>
          <w:sz w:val="20"/>
          <w:szCs w:val="20"/>
        </w:rPr>
      </w:pPr>
      <w:r>
        <w:rPr>
          <w:rFonts w:eastAsia="Calibri" w:cs="Plantin" w:ascii="Plantin" w:hAnsi="Plantin"/>
          <w:sz w:val="20"/>
          <w:szCs w:val="20"/>
        </w:rPr>
        <w:t>the object. This attunement is what Kant calls a vibration, a possibly violent</w:t>
      </w:r>
    </w:p>
    <w:p>
      <w:pPr>
        <w:pStyle w:val="Normal"/>
        <w:jc w:val="left"/>
        <w:rPr>
          <w:rFonts w:ascii="Plantin" w:hAnsi="Plantin" w:eastAsia="Calibri" w:cs="Plantin"/>
          <w:sz w:val="20"/>
          <w:szCs w:val="20"/>
        </w:rPr>
      </w:pPr>
      <w:r>
        <w:rPr>
          <w:rFonts w:eastAsia="Calibri" w:cs="Plantin" w:ascii="Plantin" w:hAnsi="Plantin"/>
          <w:sz w:val="20"/>
          <w:szCs w:val="20"/>
        </w:rPr>
        <w:t>oscillation between my inner space and the object. This vibration gives us</w:t>
      </w:r>
    </w:p>
    <w:p>
      <w:pPr>
        <w:pStyle w:val="Normal"/>
        <w:jc w:val="left"/>
        <w:rPr>
          <w:rFonts w:ascii="Plantin" w:hAnsi="Plantin" w:eastAsia="Calibri" w:cs="Plantin"/>
          <w:sz w:val="20"/>
          <w:szCs w:val="20"/>
        </w:rPr>
      </w:pPr>
      <w:r>
        <w:rPr>
          <w:rFonts w:eastAsia="Calibri" w:cs="Plantin" w:ascii="Plantin" w:hAnsi="Plantin"/>
          <w:sz w:val="20"/>
          <w:szCs w:val="20"/>
        </w:rPr>
        <w:t>the vertigo Kant describes as the sublime. Our relating with objects opens</w:t>
      </w:r>
    </w:p>
    <w:p>
      <w:pPr>
        <w:pStyle w:val="Normal"/>
        <w:jc w:val="left"/>
        <w:rPr>
          <w:rFonts w:ascii="Plantin" w:hAnsi="Plantin" w:eastAsia="Calibri" w:cs="Plantin"/>
          <w:sz w:val="20"/>
          <w:szCs w:val="20"/>
        </w:rPr>
      </w:pPr>
      <w:r>
        <w:rPr>
          <w:rFonts w:eastAsia="Calibri" w:cs="Plantin" w:ascii="Plantin" w:hAnsi="Plantin"/>
          <w:sz w:val="20"/>
          <w:szCs w:val="20"/>
        </w:rPr>
        <w:t>up the abyss of freedom because each relation is a dance on a volcano, an</w:t>
      </w:r>
    </w:p>
    <w:p>
      <w:pPr>
        <w:pStyle w:val="Normal"/>
        <w:jc w:val="left"/>
        <w:rPr>
          <w:rFonts w:ascii="Plantin" w:hAnsi="Plantin" w:eastAsia="Calibri" w:cs="Plantin"/>
          <w:sz w:val="20"/>
          <w:szCs w:val="20"/>
        </w:rPr>
      </w:pPr>
      <w:r>
        <w:rPr>
          <w:rFonts w:eastAsia="Calibri" w:cs="Plantin" w:ascii="Plantin" w:hAnsi="Plantin"/>
          <w:sz w:val="20"/>
          <w:szCs w:val="20"/>
        </w:rPr>
        <w:t>emission from the opaque void of an object. Relations are uncanny and</w:t>
      </w:r>
    </w:p>
    <w:p>
      <w:pPr>
        <w:pStyle w:val="Normal"/>
        <w:jc w:val="left"/>
        <w:rPr>
          <w:rFonts w:ascii="Plantin" w:hAnsi="Plantin" w:eastAsia="Calibri" w:cs="Plantin"/>
          <w:sz w:val="20"/>
          <w:szCs w:val="20"/>
        </w:rPr>
      </w:pPr>
      <w:r>
        <w:rPr>
          <w:rFonts w:eastAsia="Calibri" w:cs="Plantin" w:ascii="Plantin" w:hAnsi="Plantin"/>
          <w:sz w:val="20"/>
          <w:szCs w:val="20"/>
        </w:rPr>
        <w:t>hollow because they dance at the edge of volcanoes.</w:t>
      </w:r>
    </w:p>
    <w:p>
      <w:pPr>
        <w:pStyle w:val="Normal"/>
        <w:jc w:val="left"/>
        <w:rPr>
          <w:rFonts w:ascii="Plantin" w:hAnsi="Plantin" w:eastAsia="Calibri" w:cs="Plantin"/>
          <w:sz w:val="20"/>
          <w:szCs w:val="20"/>
        </w:rPr>
      </w:pPr>
      <w:r>
        <w:rPr>
          <w:rFonts w:eastAsia="Calibri" w:cs="Plantin" w:ascii="Plantin" w:hAnsi="Plantin"/>
          <w:sz w:val="20"/>
          <w:szCs w:val="20"/>
        </w:rPr>
        <w:t>Time emerges from relations between things. The meaning of an object</w:t>
      </w:r>
    </w:p>
    <w:p>
      <w:pPr>
        <w:pStyle w:val="Normal"/>
        <w:jc w:val="left"/>
        <w:rPr>
          <w:rFonts w:ascii="Plantin" w:hAnsi="Plantin" w:eastAsia="Calibri" w:cs="Plantin"/>
          <w:sz w:val="20"/>
          <w:szCs w:val="20"/>
        </w:rPr>
      </w:pPr>
      <w:r>
        <w:rPr>
          <w:rFonts w:eastAsia="Calibri" w:cs="Plantin" w:ascii="Plantin" w:hAnsi="Plantin"/>
          <w:sz w:val="20"/>
          <w:szCs w:val="20"/>
        </w:rPr>
        <w:t>is in its future, in how it relates to other objects, including those objects</w:t>
      </w:r>
    </w:p>
    <w:p>
      <w:pPr>
        <w:pStyle w:val="Normal"/>
        <w:jc w:val="left"/>
        <w:rPr>
          <w:rFonts w:ascii="Plantin" w:hAnsi="Plantin" w:eastAsia="Calibri" w:cs="Plantin"/>
          <w:sz w:val="20"/>
          <w:szCs w:val="20"/>
        </w:rPr>
      </w:pPr>
      <w:r>
        <w:rPr>
          <w:rFonts w:eastAsia="Calibri" w:cs="Plantin" w:ascii="Plantin" w:hAnsi="Plantin"/>
          <w:sz w:val="20"/>
          <w:szCs w:val="20"/>
        </w:rPr>
        <w:t>that constitute its parts. Relations are hollowed out from the inside by the</w:t>
      </w:r>
    </w:p>
    <w:p>
      <w:pPr>
        <w:pStyle w:val="Normal"/>
        <w:jc w:val="left"/>
        <w:rPr>
          <w:rFonts w:ascii="Plantin" w:hAnsi="Plantin" w:eastAsia="Calibri" w:cs="Plantin"/>
          <w:sz w:val="20"/>
          <w:szCs w:val="20"/>
        </w:rPr>
      </w:pPr>
      <w:r>
        <w:rPr>
          <w:rFonts w:eastAsia="Calibri" w:cs="Plantin" w:ascii="Plantin" w:hAnsi="Plantin"/>
          <w:sz w:val="20"/>
          <w:szCs w:val="20"/>
        </w:rPr>
        <w:t>uncanniness of the objects between which they play. This hollowness just</w:t>
      </w:r>
    </w:p>
    <w:p>
      <w:pPr>
        <w:pStyle w:val="Normal"/>
        <w:jc w:val="left"/>
        <w:rPr>
          <w:rFonts w:ascii="Plantin" w:hAnsi="Plantin" w:eastAsia="Calibri" w:cs="Plantin"/>
          <w:sz w:val="20"/>
          <w:szCs w:val="20"/>
        </w:rPr>
      </w:pPr>
      <w:r>
        <w:rPr>
          <w:rFonts w:eastAsia="Calibri" w:cs="Plantin" w:ascii="Plantin" w:hAnsi="Plantin"/>
          <w:sz w:val="20"/>
          <w:szCs w:val="20"/>
        </w:rPr>
        <w:t>is time. To figure out what a relation is means to build another relation. Relations thus contain a nullity that collapses forwards as more relations</w:t>
      </w:r>
    </w:p>
    <w:p>
      <w:pPr>
        <w:pStyle w:val="Normal"/>
        <w:jc w:val="left"/>
        <w:rPr>
          <w:rFonts w:ascii="Plantin" w:hAnsi="Plantin" w:eastAsia="Calibri" w:cs="Plantin"/>
          <w:sz w:val="20"/>
          <w:szCs w:val="20"/>
        </w:rPr>
      </w:pPr>
      <w:r>
        <w:rPr>
          <w:rFonts w:eastAsia="Calibri" w:cs="Plantin" w:ascii="Plantin" w:hAnsi="Plantin"/>
          <w:sz w:val="20"/>
          <w:szCs w:val="20"/>
        </w:rPr>
        <w:t>are built onto them. This tumbling nullity is what is called time. Because</w:t>
      </w:r>
    </w:p>
    <w:p>
      <w:pPr>
        <w:pStyle w:val="Normal"/>
        <w:jc w:val="left"/>
        <w:rPr>
          <w:rFonts w:ascii="Plantin" w:hAnsi="Plantin" w:eastAsia="Calibri" w:cs="Plantin"/>
          <w:sz w:val="20"/>
          <w:szCs w:val="20"/>
        </w:rPr>
      </w:pPr>
      <w:r>
        <w:rPr>
          <w:rFonts w:eastAsia="Calibri" w:cs="Plantin" w:ascii="Plantin" w:hAnsi="Plantin"/>
          <w:sz w:val="20"/>
          <w:szCs w:val="20"/>
        </w:rPr>
        <w:t>they are to-come, relations evoke a feeling of process: hence the illusion</w:t>
      </w:r>
    </w:p>
    <w:p>
      <w:pPr>
        <w:pStyle w:val="Normal"/>
        <w:jc w:val="left"/>
        <w:rPr>
          <w:rFonts w:ascii="Plantin" w:hAnsi="Plantin" w:eastAsia="Calibri" w:cs="Plantin"/>
          <w:sz w:val="20"/>
          <w:szCs w:val="20"/>
        </w:rPr>
      </w:pPr>
      <w:r>
        <w:rPr>
          <w:rFonts w:eastAsia="Calibri" w:cs="Plantin" w:ascii="Plantin" w:hAnsi="Plantin"/>
          <w:sz w:val="20"/>
          <w:szCs w:val="20"/>
        </w:rPr>
        <w:t>that things are processes, that process relationism is the most adequate</w:t>
      </w:r>
    </w:p>
    <w:p>
      <w:pPr>
        <w:pStyle w:val="Normal"/>
        <w:jc w:val="left"/>
        <w:rPr>
          <w:rFonts w:ascii="Plantin" w:hAnsi="Plantin" w:eastAsia="Calibri" w:cs="Plantin"/>
          <w:sz w:val="20"/>
          <w:szCs w:val="20"/>
        </w:rPr>
      </w:pPr>
      <w:r>
        <w:rPr>
          <w:rFonts w:eastAsia="Calibri" w:cs="Plantin" w:ascii="Plantin" w:hAnsi="Plantin"/>
          <w:sz w:val="20"/>
          <w:szCs w:val="20"/>
        </w:rPr>
        <w:t>description of how things are. Yet because time emerges from relations we</w:t>
      </w:r>
    </w:p>
    <w:p>
      <w:pPr>
        <w:pStyle w:val="Normal"/>
        <w:jc w:val="left"/>
        <w:rPr>
          <w:rFonts w:ascii="Plantin" w:hAnsi="Plantin" w:eastAsia="Calibri" w:cs="Plantin"/>
          <w:sz w:val="20"/>
          <w:szCs w:val="20"/>
        </w:rPr>
      </w:pPr>
      <w:r>
        <w:rPr>
          <w:rFonts w:eastAsia="Calibri" w:cs="Plantin" w:ascii="Plantin" w:hAnsi="Plantin"/>
          <w:sz w:val="20"/>
          <w:szCs w:val="20"/>
        </w:rPr>
        <w:t>can never specify in advance what they will be. Process relationism is an</w:t>
      </w:r>
    </w:p>
    <w:p>
      <w:pPr>
        <w:pStyle w:val="Normal"/>
        <w:jc w:val="left"/>
        <w:rPr>
          <w:rFonts w:ascii="Plantin" w:hAnsi="Plantin" w:eastAsia="Calibri" w:cs="Plantin"/>
          <w:sz w:val="20"/>
          <w:szCs w:val="20"/>
        </w:rPr>
      </w:pPr>
      <w:r>
        <w:rPr>
          <w:rFonts w:eastAsia="Calibri" w:cs="Plantin" w:ascii="Plantin" w:hAnsi="Plantin"/>
          <w:sz w:val="20"/>
          <w:szCs w:val="20"/>
        </w:rPr>
        <w:t>ontic or ontotheological attempt to pin down exactly what things are, by way</w:t>
      </w:r>
    </w:p>
    <w:p>
      <w:pPr>
        <w:pStyle w:val="Normal"/>
        <w:jc w:val="left"/>
        <w:rPr/>
      </w:pPr>
      <w:r>
        <w:rPr>
          <w:rFonts w:eastAsia="Calibri" w:cs="Plantin" w:ascii="Plantin" w:hAnsi="Plantin"/>
          <w:sz w:val="20"/>
          <w:szCs w:val="20"/>
        </w:rPr>
        <w:t xml:space="preserve">of what </w:t>
      </w:r>
      <w:r>
        <w:rPr>
          <w:rFonts w:eastAsia="PlantinExpert" w:cs="PlantinExpert" w:ascii="PlantinExpert" w:hAnsi="PlantinExpert"/>
          <w:sz w:val="20"/>
          <w:szCs w:val="20"/>
        </w:rPr>
        <w:t xml:space="preserve">ooo </w:t>
      </w:r>
      <w:r>
        <w:rPr>
          <w:rFonts w:eastAsia="Calibri" w:cs="Plantin" w:ascii="Plantin" w:hAnsi="Plantin"/>
          <w:sz w:val="20"/>
          <w:szCs w:val="20"/>
        </w:rPr>
        <w:t>sees as an inevitable parody of what things are: causal events.</w:t>
      </w:r>
    </w:p>
    <w:p>
      <w:pPr>
        <w:pStyle w:val="Normal"/>
        <w:jc w:val="left"/>
        <w:rPr>
          <w:rFonts w:ascii="Plantin" w:hAnsi="Plantin" w:eastAsia="Calibri" w:cs="Plantin"/>
          <w:sz w:val="20"/>
          <w:szCs w:val="20"/>
        </w:rPr>
      </w:pPr>
      <w:r>
        <w:rPr>
          <w:rFonts w:eastAsia="Calibri" w:cs="Plantin" w:ascii="Plantin" w:hAnsi="Plantin"/>
          <w:sz w:val="20"/>
          <w:szCs w:val="20"/>
        </w:rPr>
        <w:t>Process relationism tries to reduce the intrinsic ambiguity of relations</w:t>
      </w:r>
    </w:p>
    <w:p>
      <w:pPr>
        <w:pStyle w:val="Normal"/>
        <w:jc w:val="left"/>
        <w:rPr>
          <w:rFonts w:ascii="Plantin" w:hAnsi="Plantin" w:eastAsia="Calibri" w:cs="Plantin"/>
          <w:sz w:val="20"/>
          <w:szCs w:val="20"/>
        </w:rPr>
      </w:pPr>
      <w:r>
        <w:rPr>
          <w:rFonts w:eastAsia="Calibri" w:cs="Plantin" w:ascii="Plantin" w:hAnsi="Plantin"/>
          <w:sz w:val="20"/>
          <w:szCs w:val="20"/>
        </w:rPr>
        <w:t>between things. These relations are inherently contradictory, like the</w:t>
      </w:r>
    </w:p>
    <w:p>
      <w:pPr>
        <w:pStyle w:val="Normal"/>
        <w:jc w:val="left"/>
        <w:rPr>
          <w:rFonts w:ascii="Plantin" w:hAnsi="Plantin" w:eastAsia="Calibri" w:cs="Plantin"/>
          <w:sz w:val="20"/>
          <w:szCs w:val="20"/>
        </w:rPr>
      </w:pPr>
      <w:r>
        <w:rPr>
          <w:rFonts w:eastAsia="Calibri" w:cs="Plantin" w:ascii="Plantin" w:hAnsi="Plantin"/>
          <w:sz w:val="20"/>
          <w:szCs w:val="20"/>
        </w:rPr>
        <w:t>relations you have with a Turner painting in the Tate Britain, versus the ones</w:t>
      </w:r>
    </w:p>
    <w:p>
      <w:pPr>
        <w:pStyle w:val="Storybodytext"/>
        <w:spacing w:before="0" w:after="270"/>
        <w:rPr>
          <w:rFonts w:ascii="Plantin" w:hAnsi="Plantin" w:eastAsia="Calibri" w:cs="Plantin"/>
          <w:sz w:val="20"/>
          <w:szCs w:val="20"/>
        </w:rPr>
      </w:pPr>
      <w:r>
        <w:rPr>
          <w:rFonts w:eastAsia="Calibri" w:cs="Plantin" w:ascii="Plantin" w:hAnsi="Plantin"/>
          <w:sz w:val="20"/>
          <w:szCs w:val="20"/>
        </w:rPr>
        <w:t>your friend has. (93-4)</w:t>
      </w:r>
    </w:p>
    <w:p>
      <w:pPr>
        <w:pStyle w:val="Normal"/>
        <w:jc w:val="left"/>
        <w:rPr>
          <w:rFonts w:ascii="Plantin" w:hAnsi="Plantin" w:eastAsia="Calibri" w:cs="Plantin"/>
          <w:sz w:val="20"/>
          <w:szCs w:val="20"/>
        </w:rPr>
      </w:pPr>
      <w:r>
        <w:rPr>
          <w:rFonts w:eastAsia="Calibri" w:cs="Plantin" w:ascii="Plantin" w:hAnsi="Plantin"/>
          <w:sz w:val="20"/>
          <w:szCs w:val="20"/>
        </w:rPr>
        <w:t>When we subtract the Kantian correlationist distortion, we see that the</w:t>
      </w:r>
    </w:p>
    <w:p>
      <w:pPr>
        <w:pStyle w:val="Normal"/>
        <w:jc w:val="left"/>
        <w:rPr>
          <w:rFonts w:ascii="Plantin" w:hAnsi="Plantin" w:eastAsia="Calibri" w:cs="Plantin"/>
          <w:sz w:val="20"/>
          <w:szCs w:val="20"/>
        </w:rPr>
      </w:pPr>
      <w:r>
        <w:rPr>
          <w:rFonts w:eastAsia="Calibri" w:cs="Plantin" w:ascii="Plantin" w:hAnsi="Plantin"/>
          <w:sz w:val="20"/>
          <w:szCs w:val="20"/>
        </w:rPr>
        <w:t>Kantian experience of beauty is possible simply because a relation between</w:t>
      </w:r>
    </w:p>
    <w:p>
      <w:pPr>
        <w:pStyle w:val="Normal"/>
        <w:jc w:val="left"/>
        <w:rPr/>
      </w:pPr>
      <w:r>
        <w:rPr>
          <w:rFonts w:eastAsia="Calibri" w:cs="Plantin" w:ascii="Plantin" w:hAnsi="Plantin"/>
          <w:sz w:val="20"/>
          <w:szCs w:val="20"/>
        </w:rPr>
        <w:t xml:space="preserve">objects has as its basis a strange nonconceptuality, a </w:t>
      </w:r>
      <w:r>
        <w:rPr>
          <w:rFonts w:eastAsia="Calibri" w:cs="Plantin-Italic" w:ascii="Plantin-Italic" w:hAnsi="Plantin-Italic"/>
          <w:i/>
          <w:iCs/>
          <w:sz w:val="20"/>
          <w:szCs w:val="20"/>
        </w:rPr>
        <w:t>je ne sais quoi</w:t>
      </w:r>
      <w:r>
        <w:rPr>
          <w:rFonts w:eastAsia="Calibri" w:cs="Plantin" w:ascii="Plantin" w:hAnsi="Plantin"/>
          <w:sz w:val="20"/>
          <w:szCs w:val="20"/>
        </w:rPr>
        <w:t>. This</w:t>
      </w:r>
    </w:p>
    <w:p>
      <w:pPr>
        <w:pStyle w:val="Normal"/>
        <w:jc w:val="left"/>
        <w:rPr>
          <w:rFonts w:ascii="Plantin" w:hAnsi="Plantin" w:eastAsia="Calibri" w:cs="Plantin"/>
          <w:sz w:val="20"/>
          <w:szCs w:val="20"/>
        </w:rPr>
      </w:pPr>
      <w:r>
        <w:rPr>
          <w:rFonts w:eastAsia="Calibri" w:cs="Plantin" w:ascii="Plantin" w:hAnsi="Plantin"/>
          <w:sz w:val="20"/>
          <w:szCs w:val="20"/>
        </w:rPr>
        <w:t>nonconceptuality requires another relation, an interpretation, to make sense</w:t>
      </w:r>
    </w:p>
    <w:p>
      <w:pPr>
        <w:pStyle w:val="Normal"/>
        <w:jc w:val="left"/>
        <w:rPr>
          <w:rFonts w:ascii="Plantin" w:hAnsi="Plantin" w:eastAsia="Calibri" w:cs="Plantin"/>
          <w:sz w:val="20"/>
          <w:szCs w:val="20"/>
        </w:rPr>
      </w:pPr>
      <w:r>
        <w:rPr>
          <w:rFonts w:eastAsia="Calibri" w:cs="Plantin" w:ascii="Plantin" w:hAnsi="Plantin"/>
          <w:sz w:val="20"/>
          <w:szCs w:val="20"/>
        </w:rPr>
        <w:t>of it, which in turn requires another relation. Since all relations are physical</w:t>
      </w:r>
    </w:p>
    <w:p>
      <w:pPr>
        <w:pStyle w:val="Normal"/>
        <w:jc w:val="left"/>
        <w:rPr/>
      </w:pPr>
      <w:r>
        <w:rPr>
          <w:rFonts w:eastAsia="Calibri" w:cs="Plantin" w:ascii="Plantin" w:hAnsi="Plantin"/>
          <w:sz w:val="20"/>
          <w:szCs w:val="20"/>
        </w:rPr>
        <w:t xml:space="preserve">interventions, all aesthetic interpretations are like what psychology calls </w:t>
      </w:r>
      <w:r>
        <w:rPr>
          <w:rFonts w:eastAsia="Calibri" w:cs="Plantin-Italic" w:ascii="Plantin-Italic" w:hAnsi="Plantin-Italic"/>
          <w:i/>
          <w:iCs/>
          <w:sz w:val="20"/>
          <w:szCs w:val="20"/>
        </w:rPr>
        <w:t>acting out</w:t>
      </w:r>
      <w:r>
        <w:rPr>
          <w:rFonts w:eastAsia="Calibri" w:cs="Plantin" w:ascii="Plantin" w:hAnsi="Plantin"/>
          <w:sz w:val="20"/>
          <w:szCs w:val="20"/>
        </w:rPr>
        <w:t>: they do not know what they are about. Causality is like a play</w:t>
      </w:r>
    </w:p>
    <w:p>
      <w:pPr>
        <w:pStyle w:val="Normal"/>
        <w:jc w:val="left"/>
        <w:rPr>
          <w:rFonts w:ascii="Plantin" w:hAnsi="Plantin" w:eastAsia="Calibri" w:cs="Plantin"/>
          <w:sz w:val="20"/>
          <w:szCs w:val="20"/>
        </w:rPr>
      </w:pPr>
      <w:r>
        <w:rPr>
          <w:rFonts w:eastAsia="Calibri" w:cs="Plantin" w:ascii="Plantin" w:hAnsi="Plantin"/>
          <w:sz w:val="20"/>
          <w:szCs w:val="20"/>
        </w:rPr>
        <w:t>or a mime. Imagine a mime who doesn’t know what she is miming. She is</w:t>
      </w:r>
    </w:p>
    <w:p>
      <w:pPr>
        <w:pStyle w:val="Normal"/>
        <w:jc w:val="left"/>
        <w:rPr>
          <w:rFonts w:ascii="Plantin" w:hAnsi="Plantin" w:eastAsia="Calibri" w:cs="Plantin"/>
          <w:sz w:val="20"/>
          <w:szCs w:val="20"/>
        </w:rPr>
      </w:pPr>
      <w:r>
        <w:rPr>
          <w:rFonts w:eastAsia="Calibri" w:cs="Plantin" w:ascii="Plantin" w:hAnsi="Plantin"/>
          <w:sz w:val="20"/>
          <w:szCs w:val="20"/>
        </w:rPr>
        <w:t>frantically gesturing to you, asking you to make sense of what she’s doing.</w:t>
      </w:r>
    </w:p>
    <w:p>
      <w:pPr>
        <w:pStyle w:val="Normal"/>
        <w:jc w:val="left"/>
        <w:rPr>
          <w:rFonts w:ascii="Plantin" w:hAnsi="Plantin" w:eastAsia="Calibri" w:cs="Plantin"/>
          <w:sz w:val="20"/>
          <w:szCs w:val="20"/>
        </w:rPr>
      </w:pPr>
      <w:r>
        <w:rPr>
          <w:rFonts w:eastAsia="Calibri" w:cs="Plantin" w:ascii="Plantin" w:hAnsi="Plantin"/>
          <w:sz w:val="20"/>
          <w:szCs w:val="20"/>
        </w:rPr>
        <w:t>This is the nature of causality. As Emerson writes, again in “Experience,”</w:t>
      </w:r>
    </w:p>
    <w:p>
      <w:pPr>
        <w:pStyle w:val="Normal"/>
        <w:jc w:val="left"/>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There is a certain magic about [a man’s] properest action, which stupefies</w:t>
      </w:r>
    </w:p>
    <w:p>
      <w:pPr>
        <w:pStyle w:val="Normal"/>
        <w:jc w:val="left"/>
        <w:rPr>
          <w:rFonts w:ascii="Plantin" w:hAnsi="Plantin" w:eastAsia="Calibri" w:cs="Plantin"/>
          <w:sz w:val="20"/>
          <w:szCs w:val="20"/>
        </w:rPr>
      </w:pPr>
      <w:r>
        <w:rPr>
          <w:rFonts w:eastAsia="Calibri" w:cs="Plantin" w:ascii="Plantin" w:hAnsi="Plantin"/>
          <w:sz w:val="20"/>
          <w:szCs w:val="20"/>
        </w:rPr>
        <w:t>your powers of observation, so that though it is done before you, you wist</w:t>
      </w:r>
    </w:p>
    <w:p>
      <w:pPr>
        <w:pStyle w:val="Normal"/>
        <w:jc w:val="left"/>
        <w:rPr/>
      </w:pPr>
      <w:r>
        <w:rPr>
          <w:rFonts w:eastAsia="Calibri" w:cs="Plantin" w:ascii="Plantin" w:hAnsi="Plantin"/>
          <w:sz w:val="20"/>
          <w:szCs w:val="20"/>
        </w:rPr>
        <w:t xml:space="preserve">not of it. The art of life has a pudency, and will not be exposed.”111 </w:t>
      </w:r>
      <w:r>
        <w:rPr>
          <w:rFonts w:eastAsia="PlantinExpert" w:cs="PlantinExpert" w:ascii="PlantinExpert" w:hAnsi="PlantinExpert"/>
          <w:sz w:val="20"/>
          <w:szCs w:val="20"/>
        </w:rPr>
        <w:t>ooo</w:t>
      </w:r>
    </w:p>
    <w:p>
      <w:pPr>
        <w:pStyle w:val="Normal"/>
        <w:jc w:val="left"/>
        <w:rPr>
          <w:rFonts w:ascii="Plantin" w:hAnsi="Plantin" w:eastAsia="Calibri" w:cs="Plantin"/>
          <w:sz w:val="20"/>
          <w:szCs w:val="20"/>
        </w:rPr>
      </w:pPr>
      <w:r>
        <w:rPr>
          <w:rFonts w:eastAsia="Calibri" w:cs="Plantin" w:ascii="Plantin" w:hAnsi="Plantin"/>
          <w:sz w:val="20"/>
          <w:szCs w:val="20"/>
        </w:rPr>
        <w:t>simply generalizes this observation to all entities whatsoever. Accounts of</w:t>
      </w:r>
    </w:p>
    <w:p>
      <w:pPr>
        <w:pStyle w:val="Normal"/>
        <w:jc w:val="left"/>
        <w:rPr>
          <w:rFonts w:ascii="Plantin" w:hAnsi="Plantin" w:eastAsia="Calibri" w:cs="Plantin"/>
          <w:sz w:val="20"/>
          <w:szCs w:val="20"/>
        </w:rPr>
      </w:pPr>
      <w:r>
        <w:rPr>
          <w:rFonts w:eastAsia="Calibri" w:cs="Plantin" w:ascii="Plantin" w:hAnsi="Plantin"/>
          <w:sz w:val="20"/>
          <w:szCs w:val="20"/>
        </w:rPr>
        <w:t>causality, among the many different sorts of philosophical accounting for</w:t>
      </w:r>
    </w:p>
    <w:p>
      <w:pPr>
        <w:pStyle w:val="Normal"/>
        <w:jc w:val="left"/>
        <w:rPr>
          <w:rFonts w:ascii="Plantin" w:hAnsi="Plantin" w:eastAsia="Calibri" w:cs="Plantin"/>
          <w:sz w:val="20"/>
          <w:szCs w:val="20"/>
        </w:rPr>
      </w:pPr>
      <w:r>
        <w:rPr>
          <w:rFonts w:eastAsia="Calibri" w:cs="Plantin" w:ascii="Plantin" w:hAnsi="Plantin"/>
          <w:sz w:val="20"/>
          <w:szCs w:val="20"/>
        </w:rPr>
        <w:t>things, frequently wish to strip the mystery from the world. I am arguing</w:t>
      </w:r>
    </w:p>
    <w:p>
      <w:pPr>
        <w:pStyle w:val="Normal"/>
        <w:jc w:val="left"/>
        <w:rPr>
          <w:rFonts w:ascii="Plantin" w:hAnsi="Plantin" w:eastAsia="Calibri" w:cs="Plantin"/>
          <w:sz w:val="20"/>
          <w:szCs w:val="20"/>
        </w:rPr>
      </w:pPr>
      <w:r>
        <w:rPr>
          <w:rFonts w:eastAsia="Calibri" w:cs="Plantin" w:ascii="Plantin" w:hAnsi="Plantin"/>
          <w:sz w:val="20"/>
          <w:szCs w:val="20"/>
        </w:rPr>
        <w:t>that this mystery is a crucial component of causality as such, so crucial that</w:t>
      </w:r>
    </w:p>
    <w:p>
      <w:pPr>
        <w:pStyle w:val="Normal"/>
        <w:jc w:val="left"/>
        <w:rPr>
          <w:rFonts w:ascii="Plantin" w:hAnsi="Plantin" w:eastAsia="Calibri" w:cs="Plantin"/>
          <w:sz w:val="20"/>
          <w:szCs w:val="20"/>
        </w:rPr>
      </w:pPr>
      <w:r>
        <w:rPr>
          <w:rFonts w:eastAsia="Calibri" w:cs="Plantin" w:ascii="Plantin" w:hAnsi="Plantin"/>
          <w:sz w:val="20"/>
          <w:szCs w:val="20"/>
        </w:rPr>
        <w:t>to eliminate it is to fail to understand how causality functions. Why? Because</w:t>
      </w:r>
    </w:p>
    <w:p>
      <w:pPr>
        <w:pStyle w:val="Normal"/>
        <w:jc w:val="left"/>
        <w:rPr>
          <w:rFonts w:ascii="Plantin" w:hAnsi="Plantin" w:eastAsia="Calibri" w:cs="Plantin"/>
          <w:sz w:val="20"/>
          <w:szCs w:val="20"/>
        </w:rPr>
      </w:pPr>
      <w:r>
        <w:rPr>
          <w:rFonts w:eastAsia="Calibri" w:cs="Plantin" w:ascii="Plantin" w:hAnsi="Plantin"/>
          <w:sz w:val="20"/>
          <w:szCs w:val="20"/>
        </w:rPr>
        <w:t>the significance of any action is to-come. Time, space and other aspects of</w:t>
      </w:r>
    </w:p>
    <w:p>
      <w:pPr>
        <w:pStyle w:val="Storybodytext"/>
        <w:spacing w:before="0" w:after="270"/>
        <w:rPr>
          <w:rFonts w:ascii="Plantin" w:hAnsi="Plantin" w:eastAsia="Calibri" w:cs="Plantin"/>
          <w:sz w:val="20"/>
          <w:szCs w:val="20"/>
        </w:rPr>
      </w:pPr>
      <w:r>
        <w:rPr>
          <w:rFonts w:eastAsia="Calibri" w:cs="Plantin" w:ascii="Plantin" w:hAnsi="Plantin"/>
          <w:sz w:val="20"/>
          <w:szCs w:val="20"/>
        </w:rPr>
        <w:t xml:space="preserve">causality happen because of a deep ambiguity in things. </w:t>
      </w:r>
    </w:p>
    <w:p>
      <w:pPr>
        <w:pStyle w:val="Normal"/>
        <w:jc w:val="left"/>
        <w:rPr/>
      </w:pPr>
      <w:r>
        <w:rPr>
          <w:rFonts w:eastAsia="Calibri" w:cs="Plantin" w:ascii="Plantin" w:hAnsi="Plantin"/>
          <w:sz w:val="20"/>
          <w:szCs w:val="20"/>
        </w:rPr>
        <w:t xml:space="preserve">Causality is like a drama. It is no wonder that </w:t>
      </w:r>
      <w:r>
        <w:rPr>
          <w:rFonts w:eastAsia="Calibri" w:cs="Plantin-Italic" w:ascii="Plantin-Italic" w:hAnsi="Plantin-Italic"/>
          <w:i/>
          <w:iCs/>
          <w:sz w:val="20"/>
          <w:szCs w:val="20"/>
        </w:rPr>
        <w:t xml:space="preserve">drama </w:t>
      </w:r>
      <w:r>
        <w:rPr>
          <w:rFonts w:eastAsia="Calibri" w:cs="Plantin" w:ascii="Plantin" w:hAnsi="Plantin"/>
          <w:sz w:val="20"/>
          <w:szCs w:val="20"/>
        </w:rPr>
        <w:t>simply means</w:t>
      </w:r>
    </w:p>
    <w:p>
      <w:pPr>
        <w:pStyle w:val="Normal"/>
        <w:jc w:val="left"/>
        <w:rPr/>
      </w:pPr>
      <w:r>
        <w:rPr>
          <w:rFonts w:eastAsia="Calibri" w:cs="Plantin" w:ascii="Plantin" w:hAnsi="Plantin"/>
          <w:sz w:val="20"/>
          <w:szCs w:val="20"/>
        </w:rPr>
        <w:t>“</w:t>
      </w:r>
      <w:r>
        <w:rPr>
          <w:rFonts w:eastAsia="Calibri" w:cs="Plantin" w:ascii="Plantin" w:hAnsi="Plantin"/>
          <w:sz w:val="20"/>
          <w:szCs w:val="20"/>
        </w:rPr>
        <w:t xml:space="preserve">things that are done” or “doing” (Greek), just as </w:t>
      </w:r>
      <w:r>
        <w:rPr>
          <w:rFonts w:eastAsia="Calibri" w:cs="Plantin-Italic" w:ascii="Plantin-Italic" w:hAnsi="Plantin-Italic"/>
          <w:i/>
          <w:iCs/>
          <w:sz w:val="20"/>
          <w:szCs w:val="20"/>
        </w:rPr>
        <w:t xml:space="preserve">opera </w:t>
      </w:r>
      <w:r>
        <w:rPr>
          <w:rFonts w:eastAsia="Calibri" w:cs="Plantin" w:ascii="Plantin" w:hAnsi="Plantin"/>
          <w:sz w:val="20"/>
          <w:szCs w:val="20"/>
        </w:rPr>
        <w:t>means “works”; and</w:t>
      </w:r>
    </w:p>
    <w:p>
      <w:pPr>
        <w:pStyle w:val="Normal"/>
        <w:jc w:val="left"/>
        <w:rPr>
          <w:rFonts w:ascii="Plantin" w:hAnsi="Plantin" w:eastAsia="Calibri" w:cs="Plantin"/>
          <w:sz w:val="20"/>
          <w:szCs w:val="20"/>
        </w:rPr>
      </w:pPr>
      <w:r>
        <w:rPr>
          <w:rFonts w:eastAsia="Calibri" w:cs="Plantin" w:ascii="Plantin" w:hAnsi="Plantin"/>
          <w:sz w:val="20"/>
          <w:szCs w:val="20"/>
        </w:rPr>
        <w:t>opera and drama both have “acts.” Consider again the default positivism of</w:t>
      </w:r>
    </w:p>
    <w:p>
      <w:pPr>
        <w:pStyle w:val="Normal"/>
        <w:jc w:val="left"/>
        <w:rPr>
          <w:rFonts w:ascii="Plantin" w:hAnsi="Plantin" w:eastAsia="Calibri" w:cs="Plantin"/>
          <w:sz w:val="20"/>
          <w:szCs w:val="20"/>
        </w:rPr>
      </w:pPr>
      <w:r>
        <w:rPr>
          <w:rFonts w:eastAsia="Calibri" w:cs="Plantin" w:ascii="Plantin" w:hAnsi="Plantin"/>
          <w:sz w:val="20"/>
          <w:szCs w:val="20"/>
        </w:rPr>
        <w:t>clunk causality. There is a further problem with clunk causality. Its adherents</w:t>
      </w:r>
    </w:p>
    <w:p>
      <w:pPr>
        <w:pStyle w:val="Normal"/>
        <w:jc w:val="left"/>
        <w:rPr>
          <w:rFonts w:ascii="Plantin" w:hAnsi="Plantin" w:eastAsia="Calibri" w:cs="Plantin"/>
          <w:sz w:val="20"/>
          <w:szCs w:val="20"/>
        </w:rPr>
      </w:pPr>
      <w:r>
        <w:rPr>
          <w:rFonts w:eastAsia="Calibri" w:cs="Plantin" w:ascii="Plantin" w:hAnsi="Plantin"/>
          <w:sz w:val="20"/>
          <w:szCs w:val="20"/>
        </w:rPr>
        <w:t>seem hell bent on excluding precisely the aesthetic dimension, identifying</w:t>
      </w:r>
    </w:p>
    <w:p>
      <w:pPr>
        <w:pStyle w:val="Normal"/>
        <w:jc w:val="left"/>
        <w:rPr>
          <w:rFonts w:ascii="Plantin" w:hAnsi="Plantin" w:eastAsia="Calibri" w:cs="Plantin"/>
          <w:sz w:val="20"/>
          <w:szCs w:val="20"/>
        </w:rPr>
      </w:pPr>
      <w:r>
        <w:rPr>
          <w:rFonts w:eastAsia="Calibri" w:cs="Plantin" w:ascii="Plantin" w:hAnsi="Plantin"/>
          <w:sz w:val="20"/>
          <w:szCs w:val="20"/>
        </w:rPr>
        <w:t>it for instance as a realm of “pseudo causation” (Wesley Salmon). This is</w:t>
      </w:r>
    </w:p>
    <w:p>
      <w:pPr>
        <w:pStyle w:val="Normal"/>
        <w:jc w:val="left"/>
        <w:rPr>
          <w:rFonts w:ascii="Plantin" w:hAnsi="Plantin" w:eastAsia="Calibri" w:cs="Plantin"/>
          <w:sz w:val="20"/>
          <w:szCs w:val="20"/>
        </w:rPr>
      </w:pPr>
      <w:r>
        <w:rPr>
          <w:rFonts w:eastAsia="Calibri" w:cs="Plantin" w:ascii="Plantin" w:hAnsi="Plantin"/>
          <w:sz w:val="20"/>
          <w:szCs w:val="20"/>
        </w:rPr>
        <w:t>deeply symptomatic of an uncanny awareness that the aesthetic dimension</w:t>
      </w:r>
    </w:p>
    <w:p>
      <w:pPr>
        <w:pStyle w:val="Normal"/>
        <w:jc w:val="left"/>
        <w:rPr>
          <w:rFonts w:ascii="Plantin" w:hAnsi="Plantin" w:eastAsia="Calibri" w:cs="Plantin"/>
          <w:sz w:val="20"/>
          <w:szCs w:val="20"/>
        </w:rPr>
      </w:pPr>
      <w:r>
        <w:rPr>
          <w:rFonts w:eastAsia="Calibri" w:cs="Plantin" w:ascii="Plantin" w:hAnsi="Plantin"/>
          <w:sz w:val="20"/>
          <w:szCs w:val="20"/>
        </w:rPr>
        <w:t>contaminates the positivistic materialism we have come to accept as the</w:t>
      </w:r>
    </w:p>
    <w:p>
      <w:pPr>
        <w:pStyle w:val="Normal"/>
        <w:jc w:val="left"/>
        <w:rPr>
          <w:rFonts w:ascii="Plantin" w:hAnsi="Plantin" w:eastAsia="Calibri" w:cs="Plantin"/>
          <w:sz w:val="20"/>
          <w:szCs w:val="20"/>
        </w:rPr>
      </w:pPr>
      <w:r>
        <w:rPr>
          <w:rFonts w:eastAsia="Calibri" w:cs="Plantin" w:ascii="Plantin" w:hAnsi="Plantin"/>
          <w:sz w:val="20"/>
          <w:szCs w:val="20"/>
        </w:rPr>
        <w:t>default ontology. At a small scale, aesthetic phenomena just are physical,</w:t>
      </w:r>
    </w:p>
    <w:p>
      <w:pPr>
        <w:pStyle w:val="Normal"/>
        <w:jc w:val="left"/>
        <w:rPr>
          <w:rFonts w:ascii="Plantin" w:hAnsi="Plantin" w:eastAsia="Calibri" w:cs="Plantin"/>
          <w:sz w:val="20"/>
          <w:szCs w:val="20"/>
        </w:rPr>
      </w:pPr>
      <w:r>
        <w:rPr>
          <w:rFonts w:eastAsia="Calibri" w:cs="Plantin" w:ascii="Plantin" w:hAnsi="Plantin"/>
          <w:sz w:val="20"/>
          <w:szCs w:val="20"/>
        </w:rPr>
        <w:t>and vice versa: to measure is at some stage “to hit with a photon,” as is “to</w:t>
      </w:r>
    </w:p>
    <w:p>
      <w:pPr>
        <w:pStyle w:val="Normal"/>
        <w:jc w:val="left"/>
        <w:rPr>
          <w:rFonts w:ascii="Plantin" w:hAnsi="Plantin" w:eastAsia="Calibri" w:cs="Plantin"/>
          <w:sz w:val="20"/>
          <w:szCs w:val="20"/>
        </w:rPr>
      </w:pPr>
      <w:r>
        <w:rPr>
          <w:rFonts w:eastAsia="Calibri" w:cs="Plantin" w:ascii="Plantin" w:hAnsi="Plantin"/>
          <w:sz w:val="20"/>
          <w:szCs w:val="20"/>
        </w:rPr>
        <w:t>see.” The sorts of things that clunk causality wants to rule out are shadows,</w:t>
      </w:r>
    </w:p>
    <w:p>
      <w:pPr>
        <w:pStyle w:val="Storybodytext"/>
        <w:spacing w:before="0" w:after="270"/>
        <w:rPr>
          <w:rFonts w:ascii="Plantin" w:hAnsi="Plantin" w:eastAsia="Calibri" w:cs="Plantin"/>
          <w:sz w:val="20"/>
          <w:szCs w:val="20"/>
        </w:rPr>
      </w:pPr>
      <w:r>
        <w:rPr>
          <w:rFonts w:eastAsia="Calibri" w:cs="Plantin" w:ascii="Plantin" w:hAnsi="Plantin"/>
          <w:sz w:val="20"/>
          <w:szCs w:val="20"/>
        </w:rPr>
        <w:t>sounds, lights and electromagnetic phenomena: a goodly portion of reality. (94-5)</w:t>
      </w:r>
    </w:p>
    <w:p>
      <w:pPr>
        <w:pStyle w:val="Normal"/>
        <w:jc w:val="left"/>
        <w:rPr>
          <w:rFonts w:ascii="Plantin" w:hAnsi="Plantin" w:eastAsia="Calibri" w:cs="Plantin"/>
          <w:sz w:val="20"/>
          <w:szCs w:val="20"/>
        </w:rPr>
      </w:pPr>
      <w:r>
        <w:rPr>
          <w:rFonts w:eastAsia="Calibri" w:cs="Plantin" w:ascii="Plantin" w:hAnsi="Plantin"/>
          <w:sz w:val="20"/>
          <w:szCs w:val="20"/>
        </w:rPr>
        <w:t>This should alert us to the fact that the aesthetic dimension, the</w:t>
      </w:r>
    </w:p>
    <w:p>
      <w:pPr>
        <w:pStyle w:val="Normal"/>
        <w:jc w:val="left"/>
        <w:rPr>
          <w:rFonts w:ascii="Plantin" w:hAnsi="Plantin" w:eastAsia="Calibri" w:cs="Plantin"/>
          <w:sz w:val="20"/>
          <w:szCs w:val="20"/>
        </w:rPr>
      </w:pPr>
      <w:r>
        <w:rPr>
          <w:rFonts w:eastAsia="Calibri" w:cs="Plantin" w:ascii="Plantin" w:hAnsi="Plantin"/>
          <w:sz w:val="20"/>
          <w:szCs w:val="20"/>
        </w:rPr>
        <w:t>dimension of light and sound and vibration and, moreover, their</w:t>
      </w:r>
    </w:p>
    <w:p>
      <w:pPr>
        <w:pStyle w:val="Normal"/>
        <w:jc w:val="left"/>
        <w:rPr>
          <w:rFonts w:ascii="Plantin" w:hAnsi="Plantin" w:eastAsia="Calibri" w:cs="Plantin"/>
          <w:sz w:val="20"/>
          <w:szCs w:val="20"/>
        </w:rPr>
      </w:pPr>
      <w:r>
        <w:rPr>
          <w:rFonts w:eastAsia="Calibri" w:cs="Plantin" w:ascii="Plantin" w:hAnsi="Plantin"/>
          <w:sz w:val="20"/>
          <w:szCs w:val="20"/>
        </w:rPr>
        <w:t>apprehension by all kinds of entities from ears to loudspeakers to</w:t>
      </w:r>
    </w:p>
    <w:p>
      <w:pPr>
        <w:pStyle w:val="Normal"/>
        <w:jc w:val="left"/>
        <w:rPr>
          <w:rFonts w:ascii="Plantin" w:hAnsi="Plantin" w:eastAsia="Calibri" w:cs="Plantin"/>
          <w:sz w:val="20"/>
          <w:szCs w:val="20"/>
        </w:rPr>
      </w:pPr>
      <w:r>
        <w:rPr>
          <w:rFonts w:eastAsia="Calibri" w:cs="Plantin" w:ascii="Plantin" w:hAnsi="Plantin"/>
          <w:sz w:val="20"/>
          <w:szCs w:val="20"/>
        </w:rPr>
        <w:t>photographic plates to human neurons, not to mention the knife that makes</w:t>
      </w:r>
    </w:p>
    <w:p>
      <w:pPr>
        <w:pStyle w:val="Normal"/>
        <w:jc w:val="left"/>
        <w:rPr/>
      </w:pPr>
      <w:r>
        <w:rPr>
          <w:rFonts w:eastAsia="Calibri" w:cs="Plantin" w:ascii="Plantin" w:hAnsi="Plantin"/>
          <w:sz w:val="20"/>
          <w:szCs w:val="20"/>
        </w:rPr>
        <w:t xml:space="preserve">the </w:t>
      </w:r>
      <w:r>
        <w:rPr>
          <w:rFonts w:eastAsia="Calibri" w:cs="Plantin-Italic" w:ascii="Plantin-Italic" w:hAnsi="Plantin-Italic"/>
          <w:i/>
          <w:iCs/>
          <w:sz w:val="20"/>
          <w:szCs w:val="20"/>
        </w:rPr>
        <w:t xml:space="preserve">x </w:t>
      </w:r>
      <w:r>
        <w:rPr>
          <w:rFonts w:eastAsia="Calibri" w:cs="Plantin" w:ascii="Plantin" w:hAnsi="Plantin"/>
          <w:sz w:val="20"/>
          <w:szCs w:val="20"/>
        </w:rPr>
        <w:t>on the cricket ball, is an irreducible aspect of the causal dimension.</w:t>
      </w:r>
    </w:p>
    <w:p>
      <w:pPr>
        <w:pStyle w:val="Normal"/>
        <w:jc w:val="left"/>
        <w:rPr/>
      </w:pPr>
      <w:r>
        <w:rPr>
          <w:rFonts w:eastAsia="Calibri" w:cs="Plantin" w:ascii="Plantin" w:hAnsi="Plantin"/>
          <w:sz w:val="20"/>
          <w:szCs w:val="20"/>
        </w:rPr>
        <w:t xml:space="preserve">Indeed, as I shall continue to stress, </w:t>
      </w:r>
      <w:r>
        <w:rPr>
          <w:rFonts w:eastAsia="Calibri" w:cs="Plantin-Italic" w:ascii="Plantin-Italic" w:hAnsi="Plantin-Italic"/>
          <w:i/>
          <w:iCs/>
          <w:sz w:val="20"/>
          <w:szCs w:val="20"/>
        </w:rPr>
        <w:t>the aesthetic dimension just is the</w:t>
      </w:r>
    </w:p>
    <w:p>
      <w:pPr>
        <w:pStyle w:val="Storybodytext"/>
        <w:spacing w:before="0" w:after="270"/>
        <w:rPr/>
      </w:pPr>
      <w:r>
        <w:rPr>
          <w:rFonts w:eastAsia="Calibri" w:cs="Plantin-Italic" w:ascii="Plantin-Italic" w:hAnsi="Plantin-Italic"/>
          <w:i/>
          <w:iCs/>
          <w:sz w:val="20"/>
          <w:szCs w:val="20"/>
        </w:rPr>
        <w:t>causal dimension</w:t>
      </w:r>
      <w:r>
        <w:rPr>
          <w:rFonts w:eastAsia="Calibri" w:cs="Plantin" w:ascii="Plantin" w:hAnsi="Plantin"/>
          <w:sz w:val="20"/>
          <w:szCs w:val="20"/>
        </w:rPr>
        <w:t>. (96)</w:t>
      </w:r>
    </w:p>
    <w:p>
      <w:pPr>
        <w:pStyle w:val="Normal"/>
        <w:jc w:val="left"/>
        <w:rPr>
          <w:rFonts w:ascii="Plantin" w:hAnsi="Plantin" w:eastAsia="Calibri" w:cs="Plantin"/>
          <w:sz w:val="20"/>
          <w:szCs w:val="20"/>
        </w:rPr>
      </w:pPr>
      <w:r>
        <w:rPr>
          <w:rFonts w:eastAsia="Calibri" w:cs="Plantin" w:ascii="Plantin" w:hAnsi="Plantin"/>
          <w:sz w:val="20"/>
          <w:szCs w:val="20"/>
        </w:rPr>
        <w:t>Actual, real things are happening at multiple levels and involving</w:t>
      </w:r>
    </w:p>
    <w:p>
      <w:pPr>
        <w:pStyle w:val="Normal"/>
        <w:jc w:val="left"/>
        <w:rPr>
          <w:rFonts w:ascii="Plantin" w:hAnsi="Plantin" w:eastAsia="Calibri" w:cs="Plantin"/>
          <w:sz w:val="20"/>
          <w:szCs w:val="20"/>
        </w:rPr>
      </w:pPr>
      <w:r>
        <w:rPr>
          <w:rFonts w:eastAsia="Calibri" w:cs="Plantin" w:ascii="Plantin" w:hAnsi="Plantin"/>
          <w:sz w:val="20"/>
          <w:szCs w:val="20"/>
        </w:rPr>
        <w:t>multiple agents, as the wave front of the single sound wave from the frog’s</w:t>
      </w:r>
    </w:p>
    <w:p>
      <w:pPr>
        <w:pStyle w:val="Normal"/>
        <w:jc w:val="left"/>
        <w:rPr>
          <w:rFonts w:ascii="Plantin" w:hAnsi="Plantin" w:eastAsia="Calibri" w:cs="Plantin"/>
          <w:sz w:val="20"/>
          <w:szCs w:val="20"/>
        </w:rPr>
      </w:pPr>
      <w:r>
        <w:rPr>
          <w:rFonts w:eastAsia="Calibri" w:cs="Plantin" w:ascii="Plantin" w:hAnsi="Plantin"/>
          <w:sz w:val="20"/>
          <w:szCs w:val="20"/>
        </w:rPr>
        <w:t>mouth traverses the pond to my ears. The wave becomes imprinted on the</w:t>
      </w:r>
    </w:p>
    <w:p>
      <w:pPr>
        <w:pStyle w:val="Normal"/>
        <w:jc w:val="left"/>
        <w:rPr>
          <w:rFonts w:ascii="Plantin" w:hAnsi="Plantin" w:eastAsia="Calibri" w:cs="Plantin"/>
          <w:sz w:val="20"/>
          <w:szCs w:val="20"/>
        </w:rPr>
      </w:pPr>
      <w:r>
        <w:rPr>
          <w:rFonts w:eastAsia="Calibri" w:cs="Plantin" w:ascii="Plantin" w:hAnsi="Plantin"/>
          <w:sz w:val="20"/>
          <w:szCs w:val="20"/>
        </w:rPr>
        <w:t>air, on the spider’s web, in the human ear. Each packet of air molecules</w:t>
      </w:r>
    </w:p>
    <w:p>
      <w:pPr>
        <w:pStyle w:val="Normal"/>
        <w:jc w:val="left"/>
        <w:rPr>
          <w:rFonts w:ascii="Plantin" w:hAnsi="Plantin" w:eastAsia="Calibri" w:cs="Plantin"/>
          <w:sz w:val="20"/>
          <w:szCs w:val="20"/>
        </w:rPr>
      </w:pPr>
      <w:r>
        <w:rPr>
          <w:rFonts w:eastAsia="Calibri" w:cs="Plantin" w:ascii="Plantin" w:hAnsi="Plantin"/>
          <w:sz w:val="20"/>
          <w:szCs w:val="20"/>
        </w:rPr>
        <w:t>translates the wave from itself to the next packet: trans-late means “carry</w:t>
      </w:r>
    </w:p>
    <w:p>
      <w:pPr>
        <w:pStyle w:val="Normal"/>
        <w:jc w:val="left"/>
        <w:rPr/>
      </w:pPr>
      <w:r>
        <w:rPr>
          <w:rFonts w:eastAsia="Calibri" w:cs="Plantin" w:ascii="Plantin" w:hAnsi="Plantin"/>
          <w:sz w:val="20"/>
          <w:szCs w:val="20"/>
        </w:rPr>
        <w:t xml:space="preserve">across,” which is also what </w:t>
      </w:r>
      <w:r>
        <w:rPr>
          <w:rFonts w:eastAsia="Calibri" w:cs="Plantin-Italic" w:ascii="Plantin-Italic" w:hAnsi="Plantin-Italic"/>
          <w:i/>
          <w:iCs/>
          <w:sz w:val="20"/>
          <w:szCs w:val="20"/>
        </w:rPr>
        <w:t xml:space="preserve">meta-phor </w:t>
      </w:r>
      <w:r>
        <w:rPr>
          <w:rFonts w:eastAsia="Calibri" w:cs="Plantin" w:ascii="Plantin" w:hAnsi="Plantin"/>
          <w:sz w:val="20"/>
          <w:szCs w:val="20"/>
        </w:rPr>
        <w:t>means. I hope you are beginning to</w:t>
      </w:r>
    </w:p>
    <w:p>
      <w:pPr>
        <w:pStyle w:val="Normal"/>
        <w:jc w:val="left"/>
        <w:rPr>
          <w:rFonts w:ascii="Plantin" w:hAnsi="Plantin" w:eastAsia="Calibri" w:cs="Plantin"/>
          <w:sz w:val="20"/>
          <w:szCs w:val="20"/>
        </w:rPr>
      </w:pPr>
      <w:r>
        <w:rPr>
          <w:rFonts w:eastAsia="Calibri" w:cs="Plantin" w:ascii="Plantin" w:hAnsi="Plantin"/>
          <w:sz w:val="20"/>
          <w:szCs w:val="20"/>
        </w:rPr>
        <w:t>see how causality and aesthetic “information” are deeply bound up with</w:t>
      </w:r>
    </w:p>
    <w:p>
      <w:pPr>
        <w:pStyle w:val="Normal"/>
        <w:jc w:val="left"/>
        <w:rPr>
          <w:rFonts w:ascii="Plantin" w:hAnsi="Plantin" w:eastAsia="Calibri" w:cs="Plantin"/>
          <w:sz w:val="20"/>
          <w:szCs w:val="20"/>
        </w:rPr>
      </w:pPr>
      <w:r>
        <w:rPr>
          <w:rFonts w:eastAsia="Calibri" w:cs="Plantin" w:ascii="Plantin" w:hAnsi="Plantin"/>
          <w:sz w:val="20"/>
          <w:szCs w:val="20"/>
        </w:rPr>
        <w:t>one another.</w:t>
      </w:r>
    </w:p>
    <w:p>
      <w:pPr>
        <w:pStyle w:val="Normal"/>
        <w:jc w:val="left"/>
        <w:rPr>
          <w:rFonts w:ascii="Plantin" w:hAnsi="Plantin" w:eastAsia="Calibri" w:cs="Plantin"/>
          <w:sz w:val="20"/>
          <w:szCs w:val="20"/>
        </w:rPr>
      </w:pPr>
      <w:r>
        <w:rPr>
          <w:rFonts w:eastAsia="Calibri" w:cs="Plantin" w:ascii="Plantin" w:hAnsi="Plantin"/>
          <w:sz w:val="20"/>
          <w:szCs w:val="20"/>
        </w:rPr>
        <w:t>Every object is a marvelous archaeological record of everything that</w:t>
      </w:r>
    </w:p>
    <w:p>
      <w:pPr>
        <w:pStyle w:val="Normal"/>
        <w:jc w:val="left"/>
        <w:rPr>
          <w:rFonts w:ascii="Plantin" w:hAnsi="Plantin" w:eastAsia="Calibri" w:cs="Plantin"/>
          <w:sz w:val="20"/>
          <w:szCs w:val="20"/>
        </w:rPr>
      </w:pPr>
      <w:r>
        <w:rPr>
          <w:rFonts w:eastAsia="Calibri" w:cs="Plantin" w:ascii="Plantin" w:hAnsi="Plantin"/>
          <w:sz w:val="20"/>
          <w:szCs w:val="20"/>
        </w:rPr>
        <w:t>ever happened to it. This is not to say that the object is only everything that</w:t>
      </w:r>
    </w:p>
    <w:p>
      <w:pPr>
        <w:pStyle w:val="Normal"/>
        <w:jc w:val="left"/>
        <w:rPr>
          <w:rFonts w:ascii="Plantin" w:hAnsi="Plantin" w:eastAsia="Calibri" w:cs="Plantin"/>
          <w:sz w:val="20"/>
          <w:szCs w:val="20"/>
        </w:rPr>
      </w:pPr>
      <w:r>
        <w:rPr>
          <w:rFonts w:eastAsia="Calibri" w:cs="Plantin" w:ascii="Plantin" w:hAnsi="Plantin"/>
          <w:sz w:val="20"/>
          <w:szCs w:val="20"/>
        </w:rPr>
        <w:t>ever happened to it—an inscribable surface such as a hard drive or a piece</w:t>
      </w:r>
    </w:p>
    <w:p>
      <w:pPr>
        <w:pStyle w:val="Normal"/>
        <w:jc w:val="left"/>
        <w:rPr/>
      </w:pPr>
      <w:r>
        <w:rPr>
          <w:rFonts w:eastAsia="Calibri" w:cs="Plantin" w:ascii="Plantin" w:hAnsi="Plantin"/>
          <w:sz w:val="20"/>
          <w:szCs w:val="20"/>
        </w:rPr>
        <w:t xml:space="preserve">of paper is precisely </w:t>
      </w:r>
      <w:r>
        <w:rPr>
          <w:rFonts w:eastAsia="Calibri" w:cs="Plantin-Italic" w:ascii="Plantin-Italic" w:hAnsi="Plantin-Italic"/>
          <w:i/>
          <w:iCs/>
          <w:sz w:val="20"/>
          <w:szCs w:val="20"/>
        </w:rPr>
        <w:t xml:space="preserve">not </w:t>
      </w:r>
      <w:r>
        <w:rPr>
          <w:rFonts w:eastAsia="Calibri" w:cs="Plantin" w:ascii="Plantin" w:hAnsi="Plantin"/>
          <w:sz w:val="20"/>
          <w:szCs w:val="20"/>
        </w:rPr>
        <w:t xml:space="preserve">the information it records, for the </w:t>
      </w:r>
      <w:r>
        <w:rPr>
          <w:rFonts w:eastAsia="PlantinExpert" w:cs="PlantinExpert" w:ascii="PlantinExpert" w:hAnsi="PlantinExpert"/>
          <w:sz w:val="20"/>
          <w:szCs w:val="20"/>
        </w:rPr>
        <w:t xml:space="preserve"> </w:t>
      </w:r>
      <w:r>
        <w:rPr>
          <w:rFonts w:eastAsia="Calibri" w:cs="Plantin" w:ascii="Plantin" w:hAnsi="Plantin"/>
          <w:sz w:val="20"/>
          <w:szCs w:val="20"/>
        </w:rPr>
        <w:t>reason that</w:t>
      </w:r>
    </w:p>
    <w:p>
      <w:pPr>
        <w:pStyle w:val="Storybodytext"/>
        <w:spacing w:before="0" w:after="270"/>
        <w:rPr>
          <w:rFonts w:ascii="Plantin" w:hAnsi="Plantin" w:eastAsia="Calibri" w:cs="Plantin"/>
          <w:sz w:val="20"/>
          <w:szCs w:val="20"/>
        </w:rPr>
      </w:pPr>
      <w:r>
        <w:rPr>
          <w:rFonts w:eastAsia="Calibri" w:cs="Plantin" w:ascii="Plantin" w:hAnsi="Plantin"/>
          <w:sz w:val="20"/>
          <w:szCs w:val="20"/>
        </w:rPr>
        <w:t>it withdraws. (112)</w:t>
      </w:r>
    </w:p>
    <w:p>
      <w:pPr>
        <w:pStyle w:val="Normal"/>
        <w:jc w:val="left"/>
        <w:rPr/>
      </w:pPr>
      <w:r>
        <w:rPr>
          <w:rFonts w:eastAsia="PlantinExpert" w:cs="PlantinExpert" w:ascii="PlantinExpert" w:hAnsi="PlantinExpert"/>
          <w:sz w:val="20"/>
          <w:szCs w:val="20"/>
        </w:rPr>
        <w:t xml:space="preserve">ooo </w:t>
      </w:r>
      <w:r>
        <w:rPr>
          <w:rFonts w:eastAsia="PlantinExpert" w:cs="Plantin" w:ascii="Plantin" w:hAnsi="Plantin"/>
          <w:sz w:val="20"/>
          <w:szCs w:val="20"/>
        </w:rPr>
        <w:t>adds: yes, but let’s not forget the forest-for-the-spider, the forest-forthe-</w:t>
      </w:r>
    </w:p>
    <w:p>
      <w:pPr>
        <w:pStyle w:val="Normal"/>
        <w:jc w:val="left"/>
        <w:rPr/>
      </w:pPr>
      <w:r>
        <w:rPr>
          <w:rFonts w:eastAsia="PlantinExpert" w:cs="Plantin" w:ascii="Plantin" w:hAnsi="Plantin"/>
          <w:sz w:val="20"/>
          <w:szCs w:val="20"/>
        </w:rPr>
        <w:t xml:space="preserve">spider-web, the forest-for-the-tree, and last but not least, </w:t>
      </w:r>
      <w:r>
        <w:rPr>
          <w:rFonts w:eastAsia="PlantinExpert" w:cs="Plantin-Italic" w:ascii="Plantin-Italic" w:hAnsi="Plantin-Italic"/>
          <w:i/>
          <w:iCs/>
          <w:sz w:val="20"/>
          <w:szCs w:val="20"/>
        </w:rPr>
        <w:t>the forestfor-</w:t>
      </w:r>
    </w:p>
    <w:p>
      <w:pPr>
        <w:pStyle w:val="Normal"/>
        <w:jc w:val="left"/>
        <w:rPr/>
      </w:pPr>
      <w:r>
        <w:rPr>
          <w:rFonts w:eastAsia="PlantinExpert" w:cs="Plantin-Italic" w:ascii="Plantin-Italic" w:hAnsi="Plantin-Italic"/>
          <w:i/>
          <w:iCs/>
          <w:sz w:val="20"/>
          <w:szCs w:val="20"/>
        </w:rPr>
        <w:t>the-forest</w:t>
      </w:r>
      <w:r>
        <w:rPr>
          <w:rFonts w:eastAsia="PlantinExpert" w:cs="Plantin" w:ascii="Plantin" w:hAnsi="Plantin"/>
          <w:sz w:val="20"/>
          <w:szCs w:val="20"/>
        </w:rPr>
        <w:t>. Even if it could exist on its little ownsome, a forest would</w:t>
      </w:r>
    </w:p>
    <w:p>
      <w:pPr>
        <w:pStyle w:val="Normal"/>
        <w:jc w:val="left"/>
        <w:rPr/>
      </w:pPr>
      <w:r>
        <w:rPr>
          <w:rFonts w:eastAsia="PlantinExpert" w:cs="Plantin" w:ascii="Plantin" w:hAnsi="Plantin"/>
          <w:sz w:val="20"/>
          <w:szCs w:val="20"/>
        </w:rPr>
        <w:t xml:space="preserve">exemplify how </w:t>
      </w:r>
      <w:r>
        <w:rPr>
          <w:rFonts w:eastAsia="PlantinExpert" w:cs="Plantin-Italic" w:ascii="Plantin-Italic" w:hAnsi="Plantin-Italic"/>
          <w:i/>
          <w:iCs/>
          <w:sz w:val="20"/>
          <w:szCs w:val="20"/>
        </w:rPr>
        <w:t>existence just is coexistence</w:t>
      </w:r>
      <w:r>
        <w:rPr>
          <w:rFonts w:eastAsia="PlantinExpert" w:cs="Plantin" w:ascii="Plantin" w:hAnsi="Plantin"/>
          <w:sz w:val="20"/>
          <w:szCs w:val="20"/>
        </w:rPr>
        <w:t>. To say that existence is coexistence</w:t>
      </w:r>
    </w:p>
    <w:p>
      <w:pPr>
        <w:pStyle w:val="Normal"/>
        <w:jc w:val="left"/>
        <w:rPr>
          <w:rFonts w:ascii="Plantin" w:hAnsi="Plantin" w:eastAsia="PlantinExpert" w:cs="Plantin"/>
          <w:sz w:val="20"/>
          <w:szCs w:val="20"/>
        </w:rPr>
      </w:pPr>
      <w:r>
        <w:rPr>
          <w:rFonts w:eastAsia="PlantinExpert" w:cs="Plantin" w:ascii="Plantin" w:hAnsi="Plantin"/>
          <w:sz w:val="20"/>
          <w:szCs w:val="20"/>
        </w:rPr>
        <w:t>is not to say that things merely reduce to their relations. Rather, it is to</w:t>
      </w:r>
    </w:p>
    <w:p>
      <w:pPr>
        <w:pStyle w:val="Normal"/>
        <w:jc w:val="left"/>
        <w:rPr>
          <w:rFonts w:ascii="Plantin" w:hAnsi="Plantin" w:eastAsia="PlantinExpert" w:cs="Plantin"/>
          <w:sz w:val="20"/>
          <w:szCs w:val="20"/>
        </w:rPr>
      </w:pPr>
      <w:r>
        <w:rPr>
          <w:rFonts w:eastAsia="PlantinExpert" w:cs="Plantin" w:ascii="Plantin" w:hAnsi="Plantin"/>
          <w:sz w:val="20"/>
          <w:szCs w:val="20"/>
        </w:rPr>
        <w:t>argue that because of withdrawal, an object never exhausts itself in its</w:t>
      </w:r>
    </w:p>
    <w:p>
      <w:pPr>
        <w:pStyle w:val="Normal"/>
        <w:jc w:val="left"/>
        <w:rPr>
          <w:rFonts w:ascii="Plantin" w:hAnsi="Plantin" w:eastAsia="PlantinExpert" w:cs="Plantin"/>
          <w:sz w:val="20"/>
          <w:szCs w:val="20"/>
        </w:rPr>
      </w:pPr>
      <w:r>
        <w:rPr>
          <w:rFonts w:eastAsia="PlantinExpert" w:cs="Plantin" w:ascii="Plantin" w:hAnsi="Plantin"/>
          <w:sz w:val="20"/>
          <w:szCs w:val="20"/>
        </w:rPr>
        <w:t>appearances—this means that there is always something left over, as it were,</w:t>
      </w:r>
    </w:p>
    <w:p>
      <w:pPr>
        <w:pStyle w:val="Normal"/>
        <w:jc w:val="left"/>
        <w:rPr>
          <w:rFonts w:ascii="Plantin" w:hAnsi="Plantin" w:eastAsia="PlantinExpert" w:cs="Plantin"/>
          <w:sz w:val="20"/>
          <w:szCs w:val="20"/>
        </w:rPr>
      </w:pPr>
      <w:r>
        <w:rPr>
          <w:rFonts w:eastAsia="PlantinExpert" w:cs="Plantin" w:ascii="Plantin" w:hAnsi="Plantin"/>
          <w:sz w:val="20"/>
          <w:szCs w:val="20"/>
        </w:rPr>
        <w:t>an excess that might be experienced as a distortion, gap, or void. In their</w:t>
      </w:r>
    </w:p>
    <w:p>
      <w:pPr>
        <w:pStyle w:val="Normal"/>
        <w:jc w:val="left"/>
        <w:rPr>
          <w:rFonts w:ascii="Plantin" w:hAnsi="Plantin" w:eastAsia="PlantinExpert" w:cs="Plantin"/>
          <w:sz w:val="20"/>
          <w:szCs w:val="20"/>
        </w:rPr>
      </w:pPr>
      <w:r>
        <w:rPr>
          <w:rFonts w:eastAsia="PlantinExpert" w:cs="Plantin" w:ascii="Plantin" w:hAnsi="Plantin"/>
          <w:sz w:val="20"/>
          <w:szCs w:val="20"/>
        </w:rPr>
        <w:t>very selves, objects are “a little world made cunningly,” as John Donne</w:t>
      </w:r>
    </w:p>
    <w:p>
      <w:pPr>
        <w:pStyle w:val="Storybodytext"/>
        <w:spacing w:before="0" w:after="270"/>
        <w:rPr>
          <w:rFonts w:ascii="Plantin" w:hAnsi="Plantin" w:eastAsia="PlantinExpert" w:cs="Plantin"/>
          <w:sz w:val="20"/>
          <w:szCs w:val="20"/>
        </w:rPr>
      </w:pPr>
      <w:r>
        <w:rPr>
          <w:rFonts w:eastAsia="PlantinExpert" w:cs="Plantin" w:ascii="Plantin" w:hAnsi="Plantin"/>
          <w:sz w:val="20"/>
          <w:szCs w:val="20"/>
        </w:rPr>
        <w:t>writes.5 (13)</w:t>
      </w:r>
    </w:p>
    <w:p>
      <w:pPr>
        <w:pStyle w:val="Normal"/>
        <w:jc w:val="left"/>
        <w:rPr>
          <w:rFonts w:ascii="Plantin" w:hAnsi="Plantin" w:eastAsia="Calibri" w:cs="Plantin"/>
          <w:sz w:val="20"/>
          <w:szCs w:val="20"/>
        </w:rPr>
      </w:pPr>
      <w:r>
        <w:rPr>
          <w:rFonts w:eastAsia="Calibri" w:cs="Plantin" w:ascii="Plantin" w:hAnsi="Plantin"/>
          <w:sz w:val="20"/>
          <w:szCs w:val="20"/>
        </w:rPr>
        <w:t>All the classical definitions of emergence seem to indicate that they</w:t>
      </w:r>
    </w:p>
    <w:p>
      <w:pPr>
        <w:pStyle w:val="Normal"/>
        <w:jc w:val="left"/>
        <w:rPr>
          <w:rFonts w:ascii="Plantin" w:hAnsi="Plantin" w:eastAsia="Calibri" w:cs="Plantin"/>
          <w:sz w:val="20"/>
          <w:szCs w:val="20"/>
        </w:rPr>
      </w:pPr>
      <w:r>
        <w:rPr>
          <w:rFonts w:eastAsia="Calibri" w:cs="Plantin" w:ascii="Plantin" w:hAnsi="Plantin"/>
          <w:sz w:val="20"/>
          <w:szCs w:val="20"/>
        </w:rPr>
        <w:t>are talking about wholes that are more than the sum of their parts, that</w:t>
      </w:r>
    </w:p>
    <w:p>
      <w:pPr>
        <w:pStyle w:val="Normal"/>
        <w:jc w:val="left"/>
        <w:rPr>
          <w:rFonts w:ascii="Plantin" w:hAnsi="Plantin" w:eastAsia="Calibri" w:cs="Plantin"/>
          <w:sz w:val="20"/>
          <w:szCs w:val="20"/>
        </w:rPr>
      </w:pPr>
      <w:r>
        <w:rPr>
          <w:rFonts w:eastAsia="Calibri" w:cs="Plantin" w:ascii="Plantin" w:hAnsi="Plantin"/>
          <w:sz w:val="20"/>
          <w:szCs w:val="20"/>
        </w:rPr>
        <w:t>are relatively stable, that exert downward causality (they can affect their</w:t>
      </w:r>
    </w:p>
    <w:p>
      <w:pPr>
        <w:pStyle w:val="Normal"/>
        <w:jc w:val="left"/>
        <w:rPr>
          <w:rFonts w:ascii="Plantin" w:hAnsi="Plantin" w:eastAsia="Calibri" w:cs="Plantin"/>
          <w:sz w:val="20"/>
          <w:szCs w:val="20"/>
        </w:rPr>
      </w:pPr>
      <w:r>
        <w:rPr>
          <w:rFonts w:eastAsia="Calibri" w:cs="Plantin" w:ascii="Plantin" w:hAnsi="Plantin"/>
          <w:sz w:val="20"/>
          <w:szCs w:val="20"/>
        </w:rPr>
        <w:t>parts), and so on. Current ontological ideology, fixated on process,</w:t>
      </w:r>
    </w:p>
    <w:p>
      <w:pPr>
        <w:pStyle w:val="Normal"/>
        <w:jc w:val="left"/>
        <w:rPr>
          <w:rFonts w:ascii="Plantin" w:hAnsi="Plantin" w:eastAsia="Calibri" w:cs="Plantin"/>
          <w:sz w:val="20"/>
          <w:szCs w:val="20"/>
        </w:rPr>
      </w:pPr>
      <w:r>
        <w:rPr>
          <w:rFonts w:eastAsia="Calibri" w:cs="Plantin" w:ascii="Plantin" w:hAnsi="Plantin"/>
          <w:sz w:val="20"/>
          <w:szCs w:val="20"/>
        </w:rPr>
        <w:t>assumes that emergence is some kind of basic machinery that keeps the</w:t>
      </w:r>
    </w:p>
    <w:p>
      <w:pPr>
        <w:pStyle w:val="Normal"/>
        <w:jc w:val="left"/>
        <w:rPr>
          <w:rFonts w:ascii="Plantin" w:hAnsi="Plantin" w:eastAsia="Calibri" w:cs="Plantin"/>
          <w:sz w:val="20"/>
          <w:szCs w:val="20"/>
        </w:rPr>
      </w:pPr>
      <w:r>
        <w:rPr>
          <w:rFonts w:eastAsia="Calibri" w:cs="Plantin" w:ascii="Plantin" w:hAnsi="Plantin"/>
          <w:sz w:val="20"/>
          <w:szCs w:val="20"/>
        </w:rPr>
        <w:t>world together and generates new parts of the world. The tendency is</w:t>
      </w:r>
    </w:p>
    <w:p>
      <w:pPr>
        <w:pStyle w:val="Normal"/>
        <w:jc w:val="left"/>
        <w:rPr>
          <w:rFonts w:ascii="Plantin" w:hAnsi="Plantin" w:eastAsia="Calibri" w:cs="Plantin"/>
          <w:sz w:val="20"/>
          <w:szCs w:val="20"/>
        </w:rPr>
      </w:pPr>
      <w:r>
        <w:rPr>
          <w:rFonts w:eastAsia="Calibri" w:cs="Plantin" w:ascii="Plantin" w:hAnsi="Plantin"/>
          <w:sz w:val="20"/>
          <w:szCs w:val="20"/>
        </w:rPr>
        <w:t>to see it as some kind of underlying causal mechanism by which smaller</w:t>
      </w:r>
    </w:p>
    <w:p>
      <w:pPr>
        <w:pStyle w:val="Normal"/>
        <w:jc w:val="left"/>
        <w:rPr>
          <w:rFonts w:ascii="Plantin" w:hAnsi="Plantin" w:eastAsia="Calibri" w:cs="Plantin"/>
          <w:sz w:val="20"/>
          <w:szCs w:val="20"/>
        </w:rPr>
      </w:pPr>
      <w:r>
        <w:rPr>
          <w:rFonts w:eastAsia="Calibri" w:cs="Plantin" w:ascii="Plantin" w:hAnsi="Plantin"/>
          <w:sz w:val="20"/>
          <w:szCs w:val="20"/>
        </w:rPr>
        <w:t>components start to function as a larger, super component. If true, this</w:t>
      </w:r>
    </w:p>
    <w:p>
      <w:pPr>
        <w:pStyle w:val="Normal"/>
        <w:jc w:val="left"/>
        <w:rPr>
          <w:rFonts w:ascii="Plantin" w:hAnsi="Plantin" w:eastAsia="Calibri" w:cs="Plantin"/>
          <w:sz w:val="20"/>
          <w:szCs w:val="20"/>
        </w:rPr>
      </w:pPr>
      <w:r>
        <w:rPr>
          <w:rFonts w:eastAsia="Calibri" w:cs="Plantin" w:ascii="Plantin" w:hAnsi="Plantin"/>
          <w:sz w:val="20"/>
          <w:szCs w:val="20"/>
        </w:rPr>
        <w:t>would seriously upset the object-oriented applecart. Why? Because objects</w:t>
      </w:r>
    </w:p>
    <w:p>
      <w:pPr>
        <w:pStyle w:val="Normal"/>
        <w:jc w:val="left"/>
        <w:rPr>
          <w:rFonts w:ascii="Plantin" w:hAnsi="Plantin" w:eastAsia="Calibri" w:cs="Plantin"/>
          <w:sz w:val="20"/>
          <w:szCs w:val="20"/>
        </w:rPr>
      </w:pPr>
      <w:r>
        <w:rPr>
          <w:rFonts w:eastAsia="Calibri" w:cs="Plantin" w:ascii="Plantin" w:hAnsi="Plantin"/>
          <w:sz w:val="20"/>
          <w:szCs w:val="20"/>
        </w:rPr>
        <w:t>are the ontologically primary entities.</w:t>
      </w:r>
    </w:p>
    <w:p>
      <w:pPr>
        <w:pStyle w:val="Normal"/>
        <w:jc w:val="left"/>
        <w:rPr/>
      </w:pPr>
      <w:r>
        <w:rPr>
          <w:rFonts w:eastAsia="Calibri" w:cs="Plantin" w:ascii="Plantin" w:hAnsi="Plantin"/>
          <w:sz w:val="20"/>
          <w:szCs w:val="20"/>
        </w:rPr>
        <w:t xml:space="preserve">In an </w:t>
      </w:r>
      <w:r>
        <w:rPr>
          <w:rFonts w:eastAsia="PlantinExpert" w:cs="PlantinExpert" w:ascii="PlantinExpert" w:hAnsi="PlantinExpert"/>
          <w:sz w:val="20"/>
          <w:szCs w:val="20"/>
        </w:rPr>
        <w:t xml:space="preserve">ooo </w:t>
      </w:r>
      <w:r>
        <w:rPr>
          <w:rFonts w:eastAsia="Calibri" w:cs="Plantin" w:ascii="Plantin" w:hAnsi="Plantin"/>
          <w:sz w:val="20"/>
          <w:szCs w:val="20"/>
        </w:rPr>
        <w:t>reality, emergence must be a</w:t>
      </w:r>
    </w:p>
    <w:p>
      <w:pPr>
        <w:pStyle w:val="Normal"/>
        <w:jc w:val="left"/>
        <w:rPr>
          <w:rFonts w:ascii="Plantin" w:hAnsi="Plantin" w:eastAsia="Calibri" w:cs="Plantin"/>
          <w:sz w:val="20"/>
          <w:szCs w:val="20"/>
        </w:rPr>
      </w:pPr>
      <w:r>
        <w:rPr>
          <w:rFonts w:eastAsia="Calibri" w:cs="Plantin" w:ascii="Plantin" w:hAnsi="Plantin"/>
          <w:sz w:val="20"/>
          <w:szCs w:val="20"/>
        </w:rPr>
        <w:t>property of objects, not the other way</w:t>
      </w:r>
    </w:p>
    <w:p>
      <w:pPr>
        <w:pStyle w:val="Normal"/>
        <w:jc w:val="left"/>
        <w:rPr>
          <w:rFonts w:ascii="Plantin" w:hAnsi="Plantin" w:eastAsia="Calibri" w:cs="Plantin"/>
          <w:sz w:val="20"/>
          <w:szCs w:val="20"/>
        </w:rPr>
      </w:pPr>
      <w:r>
        <w:rPr>
          <w:rFonts w:eastAsia="Calibri" w:cs="Plantin" w:ascii="Plantin" w:hAnsi="Plantin"/>
          <w:sz w:val="20"/>
          <w:szCs w:val="20"/>
        </w:rPr>
        <w:t>around. In other words, emergence is</w:t>
      </w:r>
    </w:p>
    <w:p>
      <w:pPr>
        <w:pStyle w:val="Storybodytext"/>
        <w:spacing w:before="0" w:after="270"/>
        <w:rPr>
          <w:rFonts w:ascii="Plantin" w:hAnsi="Plantin" w:eastAsia="Calibri" w:cs="Plantin"/>
          <w:sz w:val="20"/>
          <w:szCs w:val="20"/>
        </w:rPr>
      </w:pPr>
      <w:r>
        <w:rPr>
          <w:rFonts w:eastAsia="Calibri" w:cs="Plantin" w:ascii="Plantin" w:hAnsi="Plantin"/>
          <w:sz w:val="20"/>
          <w:szCs w:val="20"/>
        </w:rPr>
        <w:t>always sensual. (137)</w:t>
      </w:r>
    </w:p>
    <w:p>
      <w:pPr>
        <w:pStyle w:val="Normal"/>
        <w:jc w:val="left"/>
        <w:rPr>
          <w:rFonts w:ascii="Plantin" w:hAnsi="Plantin" w:eastAsia="Calibri" w:cs="Plantin"/>
          <w:sz w:val="20"/>
          <w:szCs w:val="20"/>
        </w:rPr>
      </w:pPr>
      <w:r>
        <w:rPr>
          <w:rFonts w:eastAsia="Calibri" w:cs="Plantin" w:ascii="Plantin" w:hAnsi="Plantin"/>
          <w:sz w:val="20"/>
          <w:szCs w:val="20"/>
        </w:rPr>
        <w:t>Emergence steps in as a kind of magic grease to oil the engine presumed</w:t>
      </w:r>
    </w:p>
    <w:p>
      <w:pPr>
        <w:pStyle w:val="Normal"/>
        <w:jc w:val="left"/>
        <w:rPr>
          <w:rFonts w:ascii="Plantin" w:hAnsi="Plantin" w:eastAsia="Calibri" w:cs="Plantin"/>
          <w:sz w:val="20"/>
          <w:szCs w:val="20"/>
        </w:rPr>
      </w:pPr>
      <w:r>
        <w:rPr>
          <w:rFonts w:eastAsia="Calibri" w:cs="Plantin" w:ascii="Plantin" w:hAnsi="Plantin"/>
          <w:sz w:val="20"/>
          <w:szCs w:val="20"/>
        </w:rPr>
        <w:t>to lurk in the sub-basement of reality beneath objects. Yet emergence</w:t>
      </w:r>
    </w:p>
    <w:p>
      <w:pPr>
        <w:pStyle w:val="Normal"/>
        <w:jc w:val="left"/>
        <w:rPr>
          <w:rFonts w:ascii="Plantin" w:hAnsi="Plantin" w:eastAsia="Calibri" w:cs="Plantin"/>
          <w:sz w:val="20"/>
          <w:szCs w:val="20"/>
        </w:rPr>
      </w:pPr>
      <w:r>
        <w:rPr>
          <w:rFonts w:eastAsia="Calibri" w:cs="Plantin" w:ascii="Plantin" w:hAnsi="Plantin"/>
          <w:sz w:val="20"/>
          <w:szCs w:val="20"/>
        </w:rPr>
        <w:t>is always emergence-for or emergence-as (somewhat the same thing).</w:t>
      </w:r>
    </w:p>
    <w:p>
      <w:pPr>
        <w:pStyle w:val="Normal"/>
        <w:jc w:val="left"/>
        <w:rPr>
          <w:rFonts w:ascii="Plantin" w:hAnsi="Plantin" w:eastAsia="Calibri" w:cs="Plantin"/>
          <w:sz w:val="20"/>
          <w:szCs w:val="20"/>
        </w:rPr>
      </w:pPr>
      <w:r>
        <w:rPr>
          <w:rFonts w:eastAsia="Calibri" w:cs="Plantin" w:ascii="Plantin" w:hAnsi="Plantin"/>
          <w:sz w:val="20"/>
          <w:szCs w:val="20"/>
        </w:rPr>
        <w:t>Consider again the case of the boiling kettle. What is happening? Electrons</w:t>
      </w:r>
    </w:p>
    <w:p>
      <w:pPr>
        <w:pStyle w:val="Normal"/>
        <w:jc w:val="left"/>
        <w:rPr>
          <w:rFonts w:ascii="Plantin" w:hAnsi="Plantin" w:eastAsia="Calibri" w:cs="Plantin"/>
          <w:sz w:val="20"/>
          <w:szCs w:val="20"/>
        </w:rPr>
      </w:pPr>
      <w:r>
        <w:rPr>
          <w:rFonts w:eastAsia="Calibri" w:cs="Plantin" w:ascii="Plantin" w:hAnsi="Plantin"/>
          <w:sz w:val="20"/>
          <w:szCs w:val="20"/>
        </w:rPr>
        <w:t>are quantum jumping from lower to higher orbits. This behavior, a phase</w:t>
      </w:r>
    </w:p>
    <w:p>
      <w:pPr>
        <w:pStyle w:val="Normal"/>
        <w:jc w:val="left"/>
        <w:rPr>
          <w:rFonts w:ascii="Plantin" w:hAnsi="Plantin" w:eastAsia="Calibri" w:cs="Plantin"/>
          <w:sz w:val="20"/>
          <w:szCs w:val="20"/>
        </w:rPr>
      </w:pPr>
      <w:r>
        <w:rPr>
          <w:rFonts w:eastAsia="Calibri" w:cs="Plantin" w:ascii="Plantin" w:hAnsi="Plantin"/>
          <w:sz w:val="20"/>
          <w:szCs w:val="20"/>
        </w:rPr>
        <w:t>transition, emerges as boiling for an observer like me, waiting for my</w:t>
      </w:r>
    </w:p>
    <w:p>
      <w:pPr>
        <w:pStyle w:val="Normal"/>
        <w:jc w:val="left"/>
        <w:rPr>
          <w:rFonts w:ascii="Plantin" w:hAnsi="Plantin" w:eastAsia="Calibri" w:cs="Plantin"/>
          <w:sz w:val="20"/>
          <w:szCs w:val="20"/>
        </w:rPr>
      </w:pPr>
      <w:r>
        <w:rPr>
          <w:rFonts w:eastAsia="Calibri" w:cs="Plantin" w:ascii="Plantin" w:hAnsi="Plantin"/>
          <w:sz w:val="20"/>
          <w:szCs w:val="20"/>
        </w:rPr>
        <w:t>afternoon tea. The smooth, holistic slide of water from cool to boiling</w:t>
      </w:r>
    </w:p>
    <w:p>
      <w:pPr>
        <w:pStyle w:val="Normal"/>
        <w:jc w:val="left"/>
        <w:rPr>
          <w:rFonts w:ascii="Plantin" w:hAnsi="Plantin" w:eastAsia="Calibri" w:cs="Plantin"/>
          <w:sz w:val="20"/>
          <w:szCs w:val="20"/>
        </w:rPr>
      </w:pPr>
      <w:r>
        <w:rPr>
          <w:rFonts w:eastAsia="Calibri" w:cs="Plantin" w:ascii="Plantin" w:hAnsi="Plantin"/>
          <w:sz w:val="20"/>
          <w:szCs w:val="20"/>
        </w:rPr>
        <w:t>happens to me, an observer, just like the way the sphere pops out of the</w:t>
      </w:r>
    </w:p>
    <w:p>
      <w:pPr>
        <w:pStyle w:val="Normal"/>
        <w:jc w:val="left"/>
        <w:rPr>
          <w:rFonts w:ascii="Plantin" w:hAnsi="Plantin" w:eastAsia="Calibri" w:cs="Plantin"/>
          <w:sz w:val="20"/>
          <w:szCs w:val="20"/>
        </w:rPr>
      </w:pPr>
      <w:r>
        <w:rPr>
          <w:rFonts w:eastAsia="Calibri" w:cs="Plantin" w:ascii="Plantin" w:hAnsi="Plantin"/>
          <w:sz w:val="20"/>
          <w:szCs w:val="20"/>
        </w:rPr>
        <w:t>patches of black in Figure 1. Emergence appears unified and smooth, but</w:t>
      </w:r>
    </w:p>
    <w:p>
      <w:pPr>
        <w:pStyle w:val="Normal"/>
        <w:jc w:val="left"/>
        <w:rPr>
          <w:rFonts w:ascii="Plantin" w:hAnsi="Plantin" w:eastAsia="Calibri" w:cs="Plantin"/>
          <w:sz w:val="20"/>
          <w:szCs w:val="20"/>
        </w:rPr>
      </w:pPr>
      <w:r>
        <w:rPr>
          <w:rFonts w:eastAsia="Calibri" w:cs="Plantin" w:ascii="Plantin" w:hAnsi="Plantin"/>
          <w:sz w:val="20"/>
          <w:szCs w:val="20"/>
        </w:rPr>
        <w:t>this holistic event is always for-another-entity. It would be wrong to say that</w:t>
      </w:r>
    </w:p>
    <w:p>
      <w:pPr>
        <w:pStyle w:val="Normal"/>
        <w:jc w:val="left"/>
        <w:rPr>
          <w:rFonts w:ascii="Plantin" w:hAnsi="Plantin" w:eastAsia="Calibri" w:cs="Plantin"/>
          <w:sz w:val="20"/>
          <w:szCs w:val="20"/>
        </w:rPr>
      </w:pPr>
      <w:r>
        <w:rPr>
          <w:rFonts w:eastAsia="Calibri" w:cs="Plantin" w:ascii="Plantin" w:hAnsi="Plantin"/>
          <w:sz w:val="20"/>
          <w:szCs w:val="20"/>
        </w:rPr>
        <w:t>the water has emergent properties of boiling that somehow “come out” at</w:t>
      </w:r>
    </w:p>
    <w:p>
      <w:pPr>
        <w:pStyle w:val="Normal"/>
        <w:jc w:val="left"/>
        <w:rPr>
          <w:rFonts w:ascii="Plantin" w:hAnsi="Plantin" w:eastAsia="Calibri" w:cs="Plantin"/>
          <w:sz w:val="20"/>
          <w:szCs w:val="20"/>
        </w:rPr>
      </w:pPr>
      <w:r>
        <w:rPr>
          <w:rFonts w:eastAsia="Calibri" w:cs="Plantin" w:ascii="Plantin" w:hAnsi="Plantin"/>
          <w:sz w:val="20"/>
          <w:szCs w:val="20"/>
        </w:rPr>
        <w:t>the right point. It’s less mysterious to say that when the heating element</w:t>
      </w:r>
    </w:p>
    <w:p>
      <w:pPr>
        <w:pStyle w:val="Normal"/>
        <w:jc w:val="left"/>
        <w:rPr>
          <w:rFonts w:ascii="Plantin" w:hAnsi="Plantin" w:eastAsia="Calibri" w:cs="Plantin"/>
          <w:sz w:val="20"/>
          <w:szCs w:val="20"/>
        </w:rPr>
      </w:pPr>
      <w:r>
        <w:rPr>
          <w:rFonts w:eastAsia="Calibri" w:cs="Plantin" w:ascii="Plantin" w:hAnsi="Plantin"/>
          <w:sz w:val="20"/>
          <w:szCs w:val="20"/>
        </w:rPr>
        <w:t>on my stove interacts with the water, it boils. Its emergence-as-boiling is a</w:t>
      </w:r>
    </w:p>
    <w:p>
      <w:pPr>
        <w:pStyle w:val="Normal"/>
        <w:jc w:val="left"/>
        <w:rPr>
          <w:rFonts w:ascii="Plantin" w:hAnsi="Plantin" w:eastAsia="Calibri" w:cs="Plantin"/>
          <w:sz w:val="20"/>
          <w:szCs w:val="20"/>
        </w:rPr>
      </w:pPr>
      <w:r>
        <w:rPr>
          <w:rFonts w:eastAsia="Calibri" w:cs="Plantin" w:ascii="Plantin" w:hAnsi="Plantin"/>
          <w:sz w:val="20"/>
          <w:szCs w:val="20"/>
        </w:rPr>
        <w:t>sensual object, produced in an interaction between kettle and stove.</w:t>
      </w:r>
    </w:p>
    <w:p>
      <w:pPr>
        <w:pStyle w:val="Normal"/>
        <w:jc w:val="left"/>
        <w:rPr>
          <w:rFonts w:ascii="Plantin" w:hAnsi="Plantin" w:eastAsia="Calibri" w:cs="Plantin"/>
          <w:sz w:val="20"/>
          <w:szCs w:val="20"/>
        </w:rPr>
      </w:pPr>
      <w:r>
        <w:rPr>
          <w:rFonts w:eastAsia="Calibri" w:cs="Plantin" w:ascii="Plantin" w:hAnsi="Plantin"/>
          <w:sz w:val="20"/>
          <w:szCs w:val="20"/>
        </w:rPr>
        <w:t>Likewise, on this view, mind is not to be found “in” neurons, but in</w:t>
      </w:r>
    </w:p>
    <w:p>
      <w:pPr>
        <w:pStyle w:val="Normal"/>
        <w:jc w:val="left"/>
        <w:rPr>
          <w:rFonts w:ascii="Plantin" w:hAnsi="Plantin" w:eastAsia="Calibri" w:cs="Plantin"/>
          <w:sz w:val="20"/>
          <w:szCs w:val="20"/>
        </w:rPr>
      </w:pPr>
      <w:r>
        <w:rPr>
          <w:rFonts w:eastAsia="Calibri" w:cs="Plantin" w:ascii="Plantin" w:hAnsi="Plantin"/>
          <w:sz w:val="20"/>
          <w:szCs w:val="20"/>
        </w:rPr>
        <w:t>sensual interactions between neurons and other objects. There is some truth,</w:t>
      </w:r>
    </w:p>
    <w:p>
      <w:pPr>
        <w:pStyle w:val="Normal"/>
        <w:jc w:val="left"/>
        <w:rPr>
          <w:rFonts w:ascii="Plantin" w:hAnsi="Plantin" w:eastAsia="Calibri" w:cs="Plantin"/>
          <w:sz w:val="20"/>
          <w:szCs w:val="20"/>
        </w:rPr>
      </w:pPr>
      <w:r>
        <w:rPr>
          <w:rFonts w:eastAsia="Calibri" w:cs="Plantin" w:ascii="Plantin" w:hAnsi="Plantin"/>
          <w:sz w:val="20"/>
          <w:szCs w:val="20"/>
        </w:rPr>
        <w:t>then, in the esoteric Buddhist idea that mind is not to be found “in” your</w:t>
      </w:r>
    </w:p>
    <w:p>
      <w:pPr>
        <w:pStyle w:val="Normal"/>
        <w:jc w:val="left"/>
        <w:rPr>
          <w:rFonts w:ascii="Plantin" w:hAnsi="Plantin" w:eastAsia="Calibri" w:cs="Plantin"/>
          <w:sz w:val="20"/>
          <w:szCs w:val="20"/>
        </w:rPr>
      </w:pPr>
      <w:r>
        <w:rPr>
          <w:rFonts w:eastAsia="Calibri" w:cs="Plantin" w:ascii="Plantin" w:hAnsi="Plantin"/>
          <w:sz w:val="20"/>
          <w:szCs w:val="20"/>
        </w:rPr>
        <w:t>body—nor is it to be found “outside” it, nor “somewhere in between,” as the</w:t>
      </w:r>
    </w:p>
    <w:p>
      <w:pPr>
        <w:pStyle w:val="Normal"/>
        <w:jc w:val="left"/>
        <w:rPr>
          <w:rFonts w:ascii="Plantin" w:hAnsi="Plantin" w:eastAsia="Calibri" w:cs="Plantin"/>
          <w:sz w:val="20"/>
          <w:szCs w:val="20"/>
        </w:rPr>
      </w:pPr>
      <w:r>
        <w:rPr>
          <w:rFonts w:eastAsia="Calibri" w:cs="Plantin" w:ascii="Plantin" w:hAnsi="Plantin"/>
          <w:sz w:val="20"/>
          <w:szCs w:val="20"/>
        </w:rPr>
        <w:t>saying goes. There is far less mystery in this view, but perhaps there is a lot</w:t>
      </w:r>
    </w:p>
    <w:p>
      <w:pPr>
        <w:pStyle w:val="Normal"/>
        <w:jc w:val="left"/>
        <w:rPr>
          <w:rFonts w:ascii="Plantin" w:hAnsi="Plantin" w:eastAsia="Calibri" w:cs="Plantin"/>
          <w:sz w:val="20"/>
          <w:szCs w:val="20"/>
        </w:rPr>
      </w:pPr>
      <w:r>
        <w:rPr>
          <w:rFonts w:eastAsia="Calibri" w:cs="Plantin" w:ascii="Plantin" w:hAnsi="Plantin"/>
          <w:sz w:val="20"/>
          <w:szCs w:val="20"/>
        </w:rPr>
        <w:t>of magic. The ordinary world in which kettles boil and minds think about</w:t>
      </w:r>
    </w:p>
    <w:p>
      <w:pPr>
        <w:pStyle w:val="Normal"/>
        <w:jc w:val="left"/>
        <w:rPr>
          <w:rFonts w:ascii="Plantin" w:hAnsi="Plantin" w:eastAsia="Calibri" w:cs="Plantin"/>
          <w:sz w:val="20"/>
          <w:szCs w:val="20"/>
        </w:rPr>
      </w:pPr>
      <w:r>
        <w:rPr>
          <w:rFonts w:eastAsia="Calibri" w:cs="Plantin" w:ascii="Plantin" w:hAnsi="Plantin"/>
          <w:sz w:val="20"/>
          <w:szCs w:val="20"/>
        </w:rPr>
        <w:t>tea is an entangled mesh where it becomes impossible to say where one</w:t>
      </w:r>
    </w:p>
    <w:p>
      <w:pPr>
        <w:pStyle w:val="Storybodytext"/>
        <w:spacing w:before="0" w:after="270"/>
        <w:rPr>
          <w:rFonts w:ascii="Plantin" w:hAnsi="Plantin" w:eastAsia="Calibri" w:cs="Plantin"/>
          <w:sz w:val="20"/>
          <w:szCs w:val="20"/>
        </w:rPr>
      </w:pPr>
      <w:r>
        <w:rPr>
          <w:rFonts w:eastAsia="Calibri" w:cs="Plantin" w:ascii="Plantin" w:hAnsi="Plantin"/>
          <w:sz w:val="20"/>
          <w:szCs w:val="20"/>
        </w:rPr>
        <w:t>(sensual) object starts and another (sensual) object stops. (140) [many iedas referring to EMERGENCE are very similar)</w:t>
      </w:r>
    </w:p>
    <w:p>
      <w:pPr>
        <w:pStyle w:val="Normal"/>
        <w:jc w:val="left"/>
        <w:rPr/>
      </w:pPr>
      <w:r>
        <w:rPr>
          <w:rFonts w:eastAsia="Calibri" w:cs="Plantin" w:ascii="Plantin" w:hAnsi="Plantin"/>
          <w:sz w:val="20"/>
          <w:szCs w:val="20"/>
        </w:rPr>
        <w:t xml:space="preserve">All entities are uncanny, even to themselves. </w:t>
      </w:r>
      <w:r>
        <w:rPr>
          <w:rFonts w:eastAsia="Calibri" w:cs="Plantin-Italic" w:ascii="Plantin-Italic" w:hAnsi="Plantin-Italic"/>
          <w:i/>
          <w:iCs/>
          <w:sz w:val="20"/>
          <w:szCs w:val="20"/>
        </w:rPr>
        <w:t xml:space="preserve">Unique </w:t>
      </w:r>
      <w:r>
        <w:rPr>
          <w:rFonts w:eastAsia="Calibri" w:cs="Plantin" w:ascii="Plantin" w:hAnsi="Plantin"/>
          <w:sz w:val="20"/>
          <w:szCs w:val="20"/>
        </w:rPr>
        <w:t>doesn’t mean</w:t>
      </w:r>
    </w:p>
    <w:p>
      <w:pPr>
        <w:pStyle w:val="Normal"/>
        <w:jc w:val="left"/>
        <w:rPr/>
      </w:pPr>
      <w:r>
        <w:rPr>
          <w:rFonts w:eastAsia="Calibri" w:cs="Plantin-Italic" w:ascii="Plantin-Italic" w:hAnsi="Plantin-Italic"/>
          <w:i/>
          <w:iCs/>
          <w:sz w:val="20"/>
          <w:szCs w:val="20"/>
        </w:rPr>
        <w:t>individual</w:t>
      </w:r>
      <w:r>
        <w:rPr>
          <w:rFonts w:eastAsia="Calibri" w:cs="Plantin" w:ascii="Plantin" w:hAnsi="Plantin"/>
          <w:sz w:val="20"/>
          <w:szCs w:val="20"/>
        </w:rPr>
        <w:t>. Think of a front lawn. It’s an expression of individualism, but</w:t>
      </w:r>
    </w:p>
    <w:p>
      <w:pPr>
        <w:pStyle w:val="Normal"/>
        <w:jc w:val="left"/>
        <w:rPr>
          <w:rFonts w:ascii="Plantin" w:hAnsi="Plantin" w:eastAsia="Calibri" w:cs="Plantin"/>
          <w:sz w:val="20"/>
          <w:szCs w:val="20"/>
        </w:rPr>
      </w:pPr>
      <w:r>
        <w:rPr>
          <w:rFonts w:eastAsia="Calibri" w:cs="Plantin" w:ascii="Plantin" w:hAnsi="Plantin"/>
          <w:sz w:val="20"/>
          <w:szCs w:val="20"/>
        </w:rPr>
        <w:t>not uniqueness. As a matter of fact there are some very strict rules as to</w:t>
      </w:r>
    </w:p>
    <w:p>
      <w:pPr>
        <w:pStyle w:val="Normal"/>
        <w:jc w:val="left"/>
        <w:rPr>
          <w:rFonts w:ascii="Plantin" w:hAnsi="Plantin" w:eastAsia="Calibri" w:cs="Plantin"/>
          <w:sz w:val="20"/>
          <w:szCs w:val="20"/>
        </w:rPr>
      </w:pPr>
      <w:r>
        <w:rPr>
          <w:rFonts w:eastAsia="Calibri" w:cs="Plantin" w:ascii="Plantin" w:hAnsi="Plantin"/>
          <w:sz w:val="20"/>
          <w:szCs w:val="20"/>
        </w:rPr>
        <w:t>what counts as a proper front lawn, just as there are rules about proper</w:t>
      </w:r>
    </w:p>
    <w:p>
      <w:pPr>
        <w:pStyle w:val="Normal"/>
        <w:jc w:val="left"/>
        <w:rPr>
          <w:rFonts w:ascii="Plantin" w:hAnsi="Plantin" w:eastAsia="Calibri" w:cs="Plantin"/>
          <w:sz w:val="20"/>
          <w:szCs w:val="20"/>
        </w:rPr>
      </w:pPr>
      <w:r>
        <w:rPr>
          <w:rFonts w:eastAsia="Calibri" w:cs="Plantin" w:ascii="Plantin" w:hAnsi="Plantin"/>
          <w:sz w:val="20"/>
          <w:szCs w:val="20"/>
        </w:rPr>
        <w:t>individualism. In Colorado you can be arrested in certain towns for not</w:t>
      </w:r>
    </w:p>
    <w:p>
      <w:pPr>
        <w:pStyle w:val="Normal"/>
        <w:jc w:val="left"/>
        <w:rPr>
          <w:rFonts w:ascii="Plantin" w:hAnsi="Plantin" w:eastAsia="Calibri" w:cs="Plantin"/>
          <w:sz w:val="20"/>
          <w:szCs w:val="20"/>
        </w:rPr>
      </w:pPr>
      <w:r>
        <w:rPr>
          <w:rFonts w:eastAsia="Calibri" w:cs="Plantin" w:ascii="Plantin" w:hAnsi="Plantin"/>
          <w:sz w:val="20"/>
          <w:szCs w:val="20"/>
        </w:rPr>
        <w:t>trimming your lawn just right. Since objects withdraw, there is no top</w:t>
      </w:r>
    </w:p>
    <w:p>
      <w:pPr>
        <w:pStyle w:val="Normal"/>
        <w:jc w:val="left"/>
        <w:rPr>
          <w:rFonts w:ascii="Plantin" w:hAnsi="Plantin" w:eastAsia="Calibri" w:cs="Plantin"/>
          <w:sz w:val="20"/>
          <w:szCs w:val="20"/>
        </w:rPr>
      </w:pPr>
      <w:r>
        <w:rPr>
          <w:rFonts w:eastAsia="Calibri" w:cs="Plantin" w:ascii="Plantin" w:hAnsi="Plantin"/>
          <w:sz w:val="20"/>
          <w:szCs w:val="20"/>
        </w:rPr>
        <w:t>object and no bottom object: no “matter,” no lava, no holistic web, just a</w:t>
      </w:r>
    </w:p>
    <w:p>
      <w:pPr>
        <w:pStyle w:val="Normal"/>
        <w:jc w:val="left"/>
        <w:rPr>
          <w:rFonts w:ascii="Plantin" w:hAnsi="Plantin" w:eastAsia="Calibri" w:cs="Plantin"/>
          <w:sz w:val="20"/>
          <w:szCs w:val="20"/>
        </w:rPr>
      </w:pPr>
      <w:r>
        <w:rPr>
          <w:rFonts w:eastAsia="Calibri" w:cs="Plantin" w:ascii="Plantin" w:hAnsi="Plantin"/>
          <w:sz w:val="20"/>
          <w:szCs w:val="20"/>
        </w:rPr>
        <w:t>plenum of unique objects. Objects as irreducible units aren’t like trillions of</w:t>
      </w:r>
    </w:p>
    <w:p>
      <w:pPr>
        <w:pStyle w:val="Normal"/>
        <w:jc w:val="left"/>
        <w:rPr>
          <w:rFonts w:ascii="Plantin" w:hAnsi="Plantin" w:eastAsia="Calibri" w:cs="Plantin"/>
          <w:sz w:val="20"/>
          <w:szCs w:val="20"/>
        </w:rPr>
      </w:pPr>
      <w:r>
        <w:rPr>
          <w:rFonts w:eastAsia="Calibri" w:cs="Plantin" w:ascii="Plantin" w:hAnsi="Plantin"/>
          <w:sz w:val="20"/>
          <w:szCs w:val="20"/>
        </w:rPr>
        <w:t>garden lawns or iPhones all “personalized” in different ways: that would be</w:t>
      </w:r>
    </w:p>
    <w:p>
      <w:pPr>
        <w:pStyle w:val="Normal"/>
        <w:jc w:val="left"/>
        <w:rPr>
          <w:rFonts w:ascii="Plantin" w:hAnsi="Plantin" w:eastAsia="Calibri" w:cs="Plantin"/>
          <w:sz w:val="20"/>
          <w:szCs w:val="20"/>
        </w:rPr>
      </w:pPr>
      <w:r>
        <w:rPr>
          <w:rFonts w:eastAsia="Calibri" w:cs="Plantin" w:ascii="Plantin" w:hAnsi="Plantin"/>
          <w:sz w:val="20"/>
          <w:szCs w:val="20"/>
        </w:rPr>
        <w:t>overmining. Nor are irreducible objects like various things all made of the</w:t>
      </w:r>
    </w:p>
    <w:p>
      <w:pPr>
        <w:pStyle w:val="Normal"/>
        <w:jc w:val="left"/>
        <w:rPr/>
      </w:pPr>
      <w:r>
        <w:rPr>
          <w:rFonts w:eastAsia="Calibri" w:cs="Plantin" w:ascii="Plantin" w:hAnsi="Plantin"/>
          <w:sz w:val="20"/>
          <w:szCs w:val="20"/>
        </w:rPr>
        <w:t xml:space="preserve">same Lego bricks: that would be undermining. </w:t>
      </w:r>
      <w:r>
        <w:rPr>
          <w:rFonts w:eastAsia="PlantinExpert" w:cs="PlantinExpert" w:ascii="PlantinExpert" w:hAnsi="PlantinExpert"/>
          <w:sz w:val="20"/>
          <w:szCs w:val="20"/>
        </w:rPr>
        <w:t xml:space="preserve"> </w:t>
      </w:r>
      <w:r>
        <w:rPr>
          <w:rFonts w:eastAsia="Calibri" w:cs="Plantin" w:ascii="Plantin" w:hAnsi="Plantin"/>
          <w:sz w:val="20"/>
          <w:szCs w:val="20"/>
        </w:rPr>
        <w:t xml:space="preserve">is proclaiming this, </w:t>
      </w:r>
      <w:r>
        <w:rPr>
          <w:rFonts w:eastAsia="Calibri" w:cs="Plantin-Italic" w:ascii="Plantin-Italic" w:hAnsi="Plantin-Italic"/>
          <w:i/>
          <w:iCs/>
          <w:sz w:val="20"/>
          <w:szCs w:val="20"/>
        </w:rPr>
        <w:t>not</w:t>
      </w:r>
    </w:p>
    <w:p>
      <w:pPr>
        <w:pStyle w:val="Normal"/>
        <w:jc w:val="left"/>
        <w:rPr>
          <w:rFonts w:ascii="Plantin" w:hAnsi="Plantin" w:eastAsia="Calibri" w:cs="Plantin"/>
          <w:sz w:val="20"/>
          <w:szCs w:val="20"/>
        </w:rPr>
      </w:pPr>
      <w:r>
        <w:rPr>
          <w:rFonts w:eastAsia="Calibri" w:cs="Plantin" w:ascii="Plantin" w:hAnsi="Plantin"/>
          <w:sz w:val="20"/>
          <w:szCs w:val="20"/>
        </w:rPr>
        <w:t>that we should favor solids over liquids.</w:t>
      </w:r>
    </w:p>
    <w:p>
      <w:pPr>
        <w:pStyle w:val="Normal"/>
        <w:jc w:val="left"/>
        <w:rPr/>
      </w:pPr>
      <w:r>
        <w:rPr>
          <w:rFonts w:eastAsia="PlantinExpert" w:cs="PlantinExpert" w:ascii="PlantinExpert" w:hAnsi="PlantinExpert"/>
          <w:sz w:val="20"/>
          <w:szCs w:val="20"/>
        </w:rPr>
        <w:t xml:space="preserve">000 </w:t>
      </w:r>
      <w:r>
        <w:rPr>
          <w:rFonts w:eastAsia="Calibri" w:cs="Plantin" w:ascii="Plantin" w:hAnsi="Plantin"/>
          <w:sz w:val="20"/>
          <w:szCs w:val="20"/>
        </w:rPr>
        <w:t xml:space="preserve">objects are </w:t>
      </w:r>
      <w:r>
        <w:rPr>
          <w:rFonts w:eastAsia="Calibri" w:cs="Plantin-Italic" w:ascii="Plantin-Italic" w:hAnsi="Plantin-Italic"/>
          <w:i/>
          <w:iCs/>
          <w:sz w:val="20"/>
          <w:szCs w:val="20"/>
        </w:rPr>
        <w:t>units</w:t>
      </w:r>
      <w:r>
        <w:rPr>
          <w:rFonts w:eastAsia="Calibri" w:cs="Plantin" w:ascii="Plantin" w:hAnsi="Plantin"/>
          <w:sz w:val="20"/>
          <w:szCs w:val="20"/>
        </w:rPr>
        <w:t>, in Bogost's elegant terminology.27 A football team</w:t>
      </w:r>
    </w:p>
    <w:p>
      <w:pPr>
        <w:pStyle w:val="Normal"/>
        <w:jc w:val="left"/>
        <w:rPr>
          <w:rFonts w:ascii="Plantin" w:hAnsi="Plantin" w:eastAsia="Calibri" w:cs="Plantin"/>
          <w:sz w:val="20"/>
          <w:szCs w:val="20"/>
        </w:rPr>
      </w:pPr>
      <w:r>
        <w:rPr>
          <w:rFonts w:eastAsia="Calibri" w:cs="Plantin" w:ascii="Plantin" w:hAnsi="Plantin"/>
          <w:sz w:val="20"/>
          <w:szCs w:val="20"/>
        </w:rPr>
        <w:t>is a unit. A cloud is a unit. A quantum is a unit. Indeed, quantum theory</w:t>
      </w:r>
    </w:p>
    <w:p>
      <w:pPr>
        <w:pStyle w:val="Normal"/>
        <w:jc w:val="left"/>
        <w:rPr>
          <w:rFonts w:ascii="Plantin" w:hAnsi="Plantin" w:eastAsia="Calibri" w:cs="Plantin"/>
          <w:sz w:val="20"/>
          <w:szCs w:val="20"/>
        </w:rPr>
      </w:pPr>
      <w:r>
        <w:rPr>
          <w:rFonts w:eastAsia="Calibri" w:cs="Plantin" w:ascii="Plantin" w:hAnsi="Plantin"/>
          <w:sz w:val="20"/>
          <w:szCs w:val="20"/>
        </w:rPr>
        <w:t>works so beautifully precisely because it is unit based. Planck decided there</w:t>
      </w:r>
    </w:p>
    <w:p>
      <w:pPr>
        <w:pStyle w:val="Normal"/>
        <w:jc w:val="left"/>
        <w:rPr>
          <w:rFonts w:ascii="Plantin" w:hAnsi="Plantin" w:eastAsia="Calibri" w:cs="Plantin"/>
          <w:sz w:val="20"/>
          <w:szCs w:val="20"/>
        </w:rPr>
      </w:pPr>
      <w:r>
        <w:rPr>
          <w:rFonts w:eastAsia="Calibri" w:cs="Plantin" w:ascii="Plantin" w:hAnsi="Plantin"/>
          <w:sz w:val="20"/>
          <w:szCs w:val="20"/>
        </w:rPr>
        <w:t>were quanta in the first place to get around paradoxes of a relationist view. If</w:t>
      </w:r>
    </w:p>
    <w:p>
      <w:pPr>
        <w:pStyle w:val="Normal"/>
        <w:jc w:val="left"/>
        <w:rPr>
          <w:rFonts w:ascii="Plantin" w:hAnsi="Plantin" w:eastAsia="Calibri" w:cs="Plantin"/>
          <w:sz w:val="20"/>
          <w:szCs w:val="20"/>
        </w:rPr>
      </w:pPr>
      <w:r>
        <w:rPr>
          <w:rFonts w:eastAsia="Calibri" w:cs="Plantin" w:ascii="Plantin" w:hAnsi="Plantin"/>
          <w:sz w:val="20"/>
          <w:szCs w:val="20"/>
        </w:rPr>
        <w:t>everything is, at bottom, interlaced waves of energy (à la nineteenth-century</w:t>
      </w:r>
    </w:p>
    <w:p>
      <w:pPr>
        <w:pStyle w:val="Storybodytext"/>
        <w:spacing w:before="0" w:after="270"/>
        <w:rPr>
          <w:rFonts w:ascii="Plantin" w:hAnsi="Plantin" w:eastAsia="Calibri" w:cs="Plantin"/>
          <w:sz w:val="20"/>
          <w:szCs w:val="20"/>
        </w:rPr>
      </w:pPr>
      <w:r>
        <w:rPr>
          <w:rFonts w:eastAsia="Calibri" w:cs="Plantin" w:ascii="Plantin" w:hAnsi="Plantin"/>
          <w:sz w:val="20"/>
          <w:szCs w:val="20"/>
        </w:rPr>
        <w:t>physics), you get absurd results for black body radiation. (169)</w:t>
      </w:r>
    </w:p>
    <w:p>
      <w:pPr>
        <w:pStyle w:val="Normal"/>
        <w:jc w:val="left"/>
        <w:rPr>
          <w:rFonts w:ascii="Plantin" w:hAnsi="Plantin" w:eastAsia="Calibri" w:cs="Plantin"/>
          <w:sz w:val="20"/>
          <w:szCs w:val="20"/>
        </w:rPr>
      </w:pPr>
      <w:r>
        <w:rPr>
          <w:rFonts w:eastAsia="Calibri" w:cs="Plantin" w:ascii="Plantin" w:hAnsi="Plantin"/>
          <w:sz w:val="20"/>
          <w:szCs w:val="20"/>
        </w:rPr>
        <w:t>Quantum theory is about how there are independent things. As argued</w:t>
      </w:r>
    </w:p>
    <w:p>
      <w:pPr>
        <w:pStyle w:val="Normal"/>
        <w:jc w:val="left"/>
        <w:rPr>
          <w:rFonts w:ascii="Plantin" w:hAnsi="Plantin" w:eastAsia="Calibri" w:cs="Plantin"/>
          <w:sz w:val="20"/>
          <w:szCs w:val="20"/>
        </w:rPr>
      </w:pPr>
      <w:r>
        <w:rPr>
          <w:rFonts w:eastAsia="Calibri" w:cs="Plantin" w:ascii="Plantin" w:hAnsi="Plantin"/>
          <w:sz w:val="20"/>
          <w:szCs w:val="20"/>
        </w:rPr>
        <w:t>elsewhere in this book, to “measure” at the quantum level means “to hit</w:t>
      </w:r>
    </w:p>
    <w:p>
      <w:pPr>
        <w:pStyle w:val="Normal"/>
        <w:jc w:val="left"/>
        <w:rPr>
          <w:rFonts w:ascii="Plantin" w:hAnsi="Plantin" w:eastAsia="Calibri" w:cs="Plantin"/>
          <w:sz w:val="20"/>
          <w:szCs w:val="20"/>
        </w:rPr>
      </w:pPr>
      <w:r>
        <w:rPr>
          <w:rFonts w:eastAsia="Calibri" w:cs="Plantin" w:ascii="Plantin" w:hAnsi="Plantin"/>
          <w:sz w:val="20"/>
          <w:szCs w:val="20"/>
        </w:rPr>
        <w:t>with a photon or an electron” (and so on). When this happens the system is</w:t>
      </w:r>
    </w:p>
    <w:p>
      <w:pPr>
        <w:pStyle w:val="Normal"/>
        <w:jc w:val="left"/>
        <w:rPr>
          <w:rFonts w:ascii="Plantin" w:hAnsi="Plantin" w:eastAsia="Calibri" w:cs="Plantin"/>
          <w:sz w:val="20"/>
          <w:szCs w:val="20"/>
        </w:rPr>
      </w:pPr>
      <w:r>
        <w:rPr>
          <w:rFonts w:eastAsia="Calibri" w:cs="Plantin" w:ascii="Plantin" w:hAnsi="Plantin"/>
          <w:sz w:val="20"/>
          <w:szCs w:val="20"/>
        </w:rPr>
        <w:t>destroyed: it’s an assemblage of quanta, if you like, that can be disassembled.</w:t>
      </w:r>
    </w:p>
    <w:p>
      <w:pPr>
        <w:pStyle w:val="Normal"/>
        <w:jc w:val="left"/>
        <w:rPr>
          <w:rFonts w:ascii="Plantin" w:hAnsi="Plantin" w:eastAsia="Calibri" w:cs="Plantin"/>
          <w:sz w:val="20"/>
          <w:szCs w:val="20"/>
        </w:rPr>
      </w:pPr>
      <w:r>
        <w:rPr>
          <w:rFonts w:eastAsia="Calibri" w:cs="Plantin" w:ascii="Plantin" w:hAnsi="Plantin"/>
          <w:sz w:val="20"/>
          <w:szCs w:val="20"/>
        </w:rPr>
        <w:t>The quanta are independent of one another. If they were fundamentally</w:t>
      </w:r>
    </w:p>
    <w:p>
      <w:pPr>
        <w:pStyle w:val="Normal"/>
        <w:jc w:val="left"/>
        <w:rPr>
          <w:rFonts w:ascii="Plantin" w:hAnsi="Plantin" w:eastAsia="Calibri" w:cs="Plantin"/>
          <w:sz w:val="20"/>
          <w:szCs w:val="20"/>
        </w:rPr>
      </w:pPr>
      <w:r>
        <w:rPr>
          <w:rFonts w:eastAsia="Calibri" w:cs="Plantin" w:ascii="Plantin" w:hAnsi="Plantin"/>
          <w:sz w:val="20"/>
          <w:szCs w:val="20"/>
        </w:rPr>
        <w:t>relational rather than units, quanta could not be wrested out of “coherence”</w:t>
      </w:r>
    </w:p>
    <w:p>
      <w:pPr>
        <w:pStyle w:val="Normal"/>
        <w:jc w:val="left"/>
        <w:rPr>
          <w:rFonts w:ascii="Plantin" w:hAnsi="Plantin" w:eastAsia="Calibri" w:cs="Plantin"/>
          <w:sz w:val="20"/>
          <w:szCs w:val="20"/>
        </w:rPr>
      </w:pPr>
      <w:r>
        <w:rPr>
          <w:rFonts w:eastAsia="Calibri" w:cs="Plantin" w:ascii="Plantin" w:hAnsi="Plantin"/>
          <w:sz w:val="20"/>
          <w:szCs w:val="20"/>
        </w:rPr>
        <w:t>when they are “measured,” coherence being the term for the way quanta are</w:t>
      </w:r>
    </w:p>
    <w:p>
      <w:pPr>
        <w:pStyle w:val="Normal"/>
        <w:jc w:val="left"/>
        <w:rPr>
          <w:rFonts w:ascii="Plantin" w:hAnsi="Plantin" w:eastAsia="Calibri" w:cs="Plantin"/>
          <w:sz w:val="20"/>
          <w:szCs w:val="20"/>
        </w:rPr>
      </w:pPr>
      <w:r>
        <w:rPr>
          <w:rFonts w:eastAsia="Calibri" w:cs="Plantin" w:ascii="Plantin" w:hAnsi="Plantin"/>
          <w:sz w:val="20"/>
          <w:szCs w:val="20"/>
        </w:rPr>
        <w:t>smeared into one another in a closed system. If they were truly interlocked</w:t>
      </w:r>
    </w:p>
    <w:p>
      <w:pPr>
        <w:pStyle w:val="Normal"/>
        <w:jc w:val="left"/>
        <w:rPr>
          <w:rFonts w:ascii="Plantin" w:hAnsi="Plantin" w:eastAsia="Calibri" w:cs="Plantin"/>
          <w:sz w:val="20"/>
          <w:szCs w:val="20"/>
        </w:rPr>
      </w:pPr>
      <w:r>
        <w:rPr>
          <w:rFonts w:eastAsia="Calibri" w:cs="Plantin" w:ascii="Plantin" w:hAnsi="Plantin"/>
          <w:sz w:val="20"/>
          <w:szCs w:val="20"/>
        </w:rPr>
        <w:t>they could not be separated. But separating them is very easy. All that is</w:t>
      </w:r>
    </w:p>
    <w:p>
      <w:pPr>
        <w:pStyle w:val="Normal"/>
        <w:jc w:val="left"/>
        <w:rPr>
          <w:rFonts w:ascii="Plantin" w:hAnsi="Plantin" w:eastAsia="Calibri" w:cs="Plantin"/>
          <w:sz w:val="20"/>
          <w:szCs w:val="20"/>
        </w:rPr>
      </w:pPr>
      <w:r>
        <w:rPr>
          <w:rFonts w:eastAsia="Calibri" w:cs="Plantin" w:ascii="Plantin" w:hAnsi="Plantin"/>
          <w:sz w:val="20"/>
          <w:szCs w:val="20"/>
        </w:rPr>
        <w:t>required is some kind of interference. It is when quanta relate that their</w:t>
      </w:r>
    </w:p>
    <w:p>
      <w:pPr>
        <w:pStyle w:val="Normal"/>
        <w:jc w:val="left"/>
        <w:rPr>
          <w:rFonts w:ascii="Plantin" w:hAnsi="Plantin" w:eastAsia="Calibri" w:cs="Plantin"/>
          <w:sz w:val="20"/>
          <w:szCs w:val="20"/>
        </w:rPr>
      </w:pPr>
      <w:r>
        <w:rPr>
          <w:rFonts w:eastAsia="Calibri" w:cs="Plantin" w:ascii="Plantin" w:hAnsi="Plantin"/>
          <w:sz w:val="20"/>
          <w:szCs w:val="20"/>
        </w:rPr>
        <w:t>coherence is destroyed. There is something “underneath,” “different from”</w:t>
      </w:r>
    </w:p>
    <w:p>
      <w:pPr>
        <w:pStyle w:val="Normal"/>
        <w:jc w:val="left"/>
        <w:rPr>
          <w:rFonts w:ascii="Plantin" w:hAnsi="Plantin" w:eastAsia="Calibri" w:cs="Plantin"/>
          <w:sz w:val="20"/>
          <w:szCs w:val="20"/>
        </w:rPr>
      </w:pPr>
      <w:r>
        <w:rPr>
          <w:rFonts w:eastAsia="Calibri" w:cs="Plantin" w:ascii="Plantin" w:hAnsi="Plantin"/>
          <w:sz w:val="20"/>
          <w:szCs w:val="20"/>
        </w:rPr>
        <w:t>(or what have you) relations.</w:t>
      </w:r>
    </w:p>
    <w:p>
      <w:pPr>
        <w:pStyle w:val="Normal"/>
        <w:jc w:val="left"/>
        <w:rPr>
          <w:rFonts w:ascii="Plantin" w:hAnsi="Plantin" w:eastAsia="Calibri" w:cs="Plantin"/>
          <w:sz w:val="20"/>
          <w:szCs w:val="20"/>
        </w:rPr>
      </w:pPr>
      <w:r>
        <w:rPr>
          <w:rFonts w:eastAsia="Calibri" w:cs="Plantin" w:ascii="Plantin" w:hAnsi="Plantin"/>
          <w:sz w:val="20"/>
          <w:szCs w:val="20"/>
        </w:rPr>
        <w:t>Of course this hasn’t yet stopped quantum physicists and philosophers</w:t>
      </w:r>
    </w:p>
    <w:p>
      <w:pPr>
        <w:pStyle w:val="Normal"/>
        <w:jc w:val="left"/>
        <w:rPr>
          <w:rFonts w:ascii="Plantin" w:hAnsi="Plantin" w:eastAsia="Calibri" w:cs="Plantin"/>
          <w:sz w:val="20"/>
          <w:szCs w:val="20"/>
        </w:rPr>
      </w:pPr>
      <w:r>
        <w:rPr>
          <w:rFonts w:eastAsia="Calibri" w:cs="Plantin" w:ascii="Plantin" w:hAnsi="Plantin"/>
          <w:sz w:val="20"/>
          <w:szCs w:val="20"/>
        </w:rPr>
        <w:t>from promoting quantum theory as the ultimate guarantee that things are</w:t>
      </w:r>
    </w:p>
    <w:p>
      <w:pPr>
        <w:pStyle w:val="Normal"/>
        <w:jc w:val="left"/>
        <w:rPr>
          <w:rFonts w:ascii="Plantin" w:hAnsi="Plantin" w:eastAsia="Calibri" w:cs="Plantin"/>
          <w:sz w:val="20"/>
          <w:szCs w:val="20"/>
        </w:rPr>
      </w:pPr>
      <w:r>
        <w:rPr>
          <w:rFonts w:eastAsia="Calibri" w:cs="Plantin" w:ascii="Plantin" w:hAnsi="Plantin"/>
          <w:sz w:val="20"/>
          <w:szCs w:val="20"/>
        </w:rPr>
        <w:t>relational all the way down. The constant pronouncement that quantum</w:t>
      </w:r>
    </w:p>
    <w:p>
      <w:pPr>
        <w:pStyle w:val="Normal"/>
        <w:jc w:val="left"/>
        <w:rPr>
          <w:rFonts w:ascii="Plantin" w:hAnsi="Plantin" w:eastAsia="Calibri" w:cs="Plantin"/>
          <w:sz w:val="20"/>
          <w:szCs w:val="20"/>
        </w:rPr>
      </w:pPr>
      <w:r>
        <w:rPr>
          <w:rFonts w:eastAsia="Calibri" w:cs="Plantin" w:ascii="Plantin" w:hAnsi="Plantin"/>
          <w:sz w:val="20"/>
          <w:szCs w:val="20"/>
        </w:rPr>
        <w:t>entities prove relationism correct is only a symptom of the age in which we</w:t>
      </w:r>
    </w:p>
    <w:p>
      <w:pPr>
        <w:pStyle w:val="Normal"/>
        <w:jc w:val="left"/>
        <w:rPr>
          <w:rFonts w:ascii="Plantin" w:hAnsi="Plantin" w:eastAsia="Calibri" w:cs="Plantin"/>
          <w:sz w:val="20"/>
          <w:szCs w:val="20"/>
        </w:rPr>
      </w:pPr>
      <w:r>
        <w:rPr>
          <w:rFonts w:eastAsia="Calibri" w:cs="Plantin" w:ascii="Plantin" w:hAnsi="Plantin"/>
          <w:sz w:val="20"/>
          <w:szCs w:val="20"/>
        </w:rPr>
        <w:t>live, not of quanta themselves. The Standard Model promoted by Niels Bohr</w:t>
      </w:r>
    </w:p>
    <w:p>
      <w:pPr>
        <w:pStyle w:val="Normal"/>
        <w:jc w:val="left"/>
        <w:rPr>
          <w:rFonts w:ascii="Plantin" w:hAnsi="Plantin" w:eastAsia="Calibri" w:cs="Plantin"/>
          <w:sz w:val="20"/>
          <w:szCs w:val="20"/>
        </w:rPr>
      </w:pPr>
      <w:r>
        <w:rPr>
          <w:rFonts w:eastAsia="Calibri" w:cs="Plantin" w:ascii="Plantin" w:hAnsi="Plantin"/>
          <w:sz w:val="20"/>
          <w:szCs w:val="20"/>
        </w:rPr>
        <w:t>is a good example of correlationism: quanta are only meaningful when they</w:t>
      </w:r>
    </w:p>
    <w:p>
      <w:pPr>
        <w:pStyle w:val="Normal"/>
        <w:jc w:val="left"/>
        <w:rPr>
          <w:rFonts w:ascii="Plantin" w:hAnsi="Plantin" w:eastAsia="Calibri" w:cs="Plantin"/>
          <w:sz w:val="20"/>
          <w:szCs w:val="20"/>
        </w:rPr>
      </w:pPr>
      <w:r>
        <w:rPr>
          <w:rFonts w:eastAsia="Calibri" w:cs="Plantin" w:ascii="Plantin" w:hAnsi="Plantin"/>
          <w:sz w:val="20"/>
          <w:szCs w:val="20"/>
        </w:rPr>
        <w:t>are measured, and it makes no sense to think any further about them. There</w:t>
      </w:r>
    </w:p>
    <w:p>
      <w:pPr>
        <w:pStyle w:val="Normal"/>
        <w:jc w:val="left"/>
        <w:rPr>
          <w:rFonts w:ascii="Plantin" w:hAnsi="Plantin" w:eastAsia="Calibri" w:cs="Plantin"/>
          <w:sz w:val="20"/>
          <w:szCs w:val="20"/>
        </w:rPr>
      </w:pPr>
      <w:r>
        <w:rPr>
          <w:rFonts w:eastAsia="Calibri" w:cs="Plantin" w:ascii="Plantin" w:hAnsi="Plantin"/>
          <w:sz w:val="20"/>
          <w:szCs w:val="20"/>
        </w:rPr>
        <w:t>is a longstanding taboo on ontological probing beneath the closed hood of</w:t>
      </w:r>
    </w:p>
    <w:p>
      <w:pPr>
        <w:pStyle w:val="Normal"/>
        <w:jc w:val="left"/>
        <w:rPr>
          <w:rFonts w:ascii="Plantin" w:hAnsi="Plantin" w:eastAsia="Calibri" w:cs="Plantin"/>
          <w:sz w:val="20"/>
          <w:szCs w:val="20"/>
        </w:rPr>
      </w:pPr>
      <w:r>
        <w:rPr>
          <w:rFonts w:eastAsia="Calibri" w:cs="Plantin" w:ascii="Plantin" w:hAnsi="Plantin"/>
          <w:sz w:val="20"/>
          <w:szCs w:val="20"/>
        </w:rPr>
        <w:t>quanta, which is why the “ontological interpretation” of David Bohm and</w:t>
      </w:r>
    </w:p>
    <w:p>
      <w:pPr>
        <w:pStyle w:val="Normal"/>
        <w:jc w:val="left"/>
        <w:rPr>
          <w:rFonts w:ascii="Plantin" w:hAnsi="Plantin" w:eastAsia="Calibri" w:cs="Plantin"/>
          <w:sz w:val="20"/>
          <w:szCs w:val="20"/>
        </w:rPr>
      </w:pPr>
      <w:r>
        <w:rPr>
          <w:rFonts w:eastAsia="Calibri" w:cs="Plantin" w:ascii="Plantin" w:hAnsi="Plantin"/>
          <w:sz w:val="20"/>
          <w:szCs w:val="20"/>
        </w:rPr>
        <w:t>Basil Hiley has been vilified. This is not the place to debate the merits of</w:t>
      </w:r>
    </w:p>
    <w:p>
      <w:pPr>
        <w:pStyle w:val="Normal"/>
        <w:jc w:val="left"/>
        <w:rPr>
          <w:rFonts w:ascii="Plantin" w:hAnsi="Plantin" w:eastAsia="Calibri" w:cs="Plantin"/>
          <w:sz w:val="20"/>
          <w:szCs w:val="20"/>
        </w:rPr>
      </w:pPr>
      <w:r>
        <w:rPr>
          <w:rFonts w:eastAsia="Calibri" w:cs="Plantin" w:ascii="Plantin" w:hAnsi="Plantin"/>
          <w:sz w:val="20"/>
          <w:szCs w:val="20"/>
        </w:rPr>
        <w:t>different interpretations of quantum theory. But it is evident that it is quanta</w:t>
      </w:r>
    </w:p>
    <w:p>
      <w:pPr>
        <w:pStyle w:val="Normal"/>
        <w:jc w:val="left"/>
        <w:rPr>
          <w:rFonts w:ascii="Plantin" w:hAnsi="Plantin" w:eastAsia="Calibri" w:cs="Plantin"/>
          <w:sz w:val="20"/>
          <w:szCs w:val="20"/>
        </w:rPr>
      </w:pPr>
      <w:r>
        <w:rPr>
          <w:rFonts w:eastAsia="Calibri" w:cs="Plantin" w:ascii="Plantin" w:hAnsi="Plantin"/>
          <w:sz w:val="20"/>
          <w:szCs w:val="20"/>
        </w:rPr>
        <w:t>themselves, as units, which make phenomena such as entanglement and</w:t>
      </w:r>
    </w:p>
    <w:p>
      <w:pPr>
        <w:pStyle w:val="Normal"/>
        <w:jc w:val="left"/>
        <w:rPr>
          <w:rFonts w:ascii="Plantin" w:hAnsi="Plantin" w:eastAsia="Calibri" w:cs="Plantin"/>
          <w:sz w:val="20"/>
          <w:szCs w:val="20"/>
        </w:rPr>
      </w:pPr>
      <w:r>
        <w:rPr>
          <w:rFonts w:eastAsia="Calibri" w:cs="Plantin" w:ascii="Plantin" w:hAnsi="Plantin"/>
          <w:sz w:val="20"/>
          <w:szCs w:val="20"/>
        </w:rPr>
        <w:t>coherence so astonishing. These astonishing facts can easily be explained if we accept that units are</w:t>
      </w:r>
    </w:p>
    <w:p>
      <w:pPr>
        <w:pStyle w:val="Normal"/>
        <w:jc w:val="left"/>
        <w:rPr>
          <w:rFonts w:ascii="Plantin" w:hAnsi="Plantin" w:eastAsia="Calibri" w:cs="Plantin"/>
          <w:sz w:val="20"/>
          <w:szCs w:val="20"/>
        </w:rPr>
      </w:pPr>
      <w:r>
        <w:rPr>
          <w:rFonts w:eastAsia="Calibri" w:cs="Plantin" w:ascii="Plantin" w:hAnsi="Plantin"/>
          <w:sz w:val="20"/>
          <w:szCs w:val="20"/>
        </w:rPr>
        <w:t>ontologically prior to (aesthetic–causal) relations. Even process-relational</w:t>
      </w:r>
    </w:p>
    <w:p>
      <w:pPr>
        <w:pStyle w:val="Normal"/>
        <w:jc w:val="left"/>
        <w:rPr>
          <w:rFonts w:ascii="Plantin" w:hAnsi="Plantin" w:eastAsia="Calibri" w:cs="Plantin"/>
          <w:sz w:val="20"/>
          <w:szCs w:val="20"/>
        </w:rPr>
      </w:pPr>
      <w:r>
        <w:rPr>
          <w:rFonts w:eastAsia="Calibri" w:cs="Plantin" w:ascii="Plantin" w:hAnsi="Plantin"/>
          <w:sz w:val="20"/>
          <w:szCs w:val="20"/>
        </w:rPr>
        <w:t>ontological interpretations of quantum theory (de Broglie’s pilot waves,</w:t>
      </w:r>
    </w:p>
    <w:p>
      <w:pPr>
        <w:pStyle w:val="Normal"/>
        <w:jc w:val="left"/>
        <w:rPr>
          <w:rFonts w:ascii="Plantin" w:hAnsi="Plantin" w:eastAsia="Calibri" w:cs="Plantin"/>
          <w:sz w:val="20"/>
          <w:szCs w:val="20"/>
        </w:rPr>
      </w:pPr>
      <w:r>
        <w:rPr>
          <w:rFonts w:eastAsia="Calibri" w:cs="Plantin" w:ascii="Plantin" w:hAnsi="Plantin"/>
          <w:sz w:val="20"/>
          <w:szCs w:val="20"/>
        </w:rPr>
        <w:t>Bohm’s Implicate Order) rely on there being real entities that may enclose infinitesimal layers of smaller entities all the way down, below the size of</w:t>
      </w:r>
    </w:p>
    <w:p>
      <w:pPr>
        <w:pStyle w:val="Storybodytext"/>
        <w:spacing w:before="0" w:after="270"/>
        <w:rPr>
          <w:rFonts w:ascii="Plantin" w:hAnsi="Plantin" w:eastAsia="Calibri" w:cs="Plantin"/>
          <w:sz w:val="20"/>
          <w:szCs w:val="20"/>
        </w:rPr>
      </w:pPr>
      <w:r>
        <w:rPr>
          <w:rFonts w:eastAsia="Calibri" w:cs="Plantin" w:ascii="Plantin" w:hAnsi="Plantin"/>
          <w:sz w:val="20"/>
          <w:szCs w:val="20"/>
        </w:rPr>
        <w:t>an electron (10-17cm). (170-1)</w:t>
      </w:r>
    </w:p>
    <w:p>
      <w:pPr>
        <w:pStyle w:val="Normal"/>
        <w:jc w:val="left"/>
        <w:rPr>
          <w:rFonts w:ascii="Plantin" w:hAnsi="Plantin" w:eastAsia="Calibri" w:cs="Plantin"/>
          <w:sz w:val="20"/>
          <w:szCs w:val="20"/>
        </w:rPr>
      </w:pPr>
      <w:r>
        <w:rPr>
          <w:rFonts w:eastAsia="Calibri" w:cs="Plantin" w:ascii="Plantin" w:hAnsi="Plantin"/>
          <w:sz w:val="20"/>
          <w:szCs w:val="20"/>
        </w:rPr>
        <w:t>For ooo, the physical</w:t>
      </w:r>
    </w:p>
    <w:p>
      <w:pPr>
        <w:pStyle w:val="Normal"/>
        <w:jc w:val="left"/>
        <w:rPr>
          <w:rFonts w:ascii="Plantin" w:hAnsi="Plantin" w:eastAsia="Calibri" w:cs="Plantin"/>
          <w:sz w:val="20"/>
          <w:szCs w:val="20"/>
        </w:rPr>
      </w:pPr>
      <w:r>
        <w:rPr>
          <w:rFonts w:eastAsia="Calibri" w:cs="Plantin" w:ascii="Plantin" w:hAnsi="Plantin"/>
          <w:sz w:val="20"/>
          <w:szCs w:val="20"/>
        </w:rPr>
        <w:t>shape of an object, its form, is a form-as and a formed-by: in other words,</w:t>
      </w:r>
    </w:p>
    <w:p>
      <w:pPr>
        <w:pStyle w:val="Normal"/>
        <w:jc w:val="left"/>
        <w:rPr>
          <w:rFonts w:ascii="Plantin" w:hAnsi="Plantin" w:eastAsia="Calibri" w:cs="Plantin"/>
          <w:sz w:val="20"/>
          <w:szCs w:val="20"/>
        </w:rPr>
      </w:pPr>
      <w:r>
        <w:rPr>
          <w:rFonts w:eastAsia="Calibri" w:cs="Plantin" w:ascii="Plantin" w:hAnsi="Plantin"/>
          <w:sz w:val="20"/>
          <w:szCs w:val="20"/>
        </w:rPr>
        <w:t>it is interobjective and thus aesthetic. A glass is shaped the way the breath</w:t>
      </w:r>
    </w:p>
    <w:p>
      <w:pPr>
        <w:pStyle w:val="Normal"/>
        <w:jc w:val="left"/>
        <w:rPr>
          <w:rFonts w:ascii="Plantin" w:hAnsi="Plantin" w:eastAsia="Calibri" w:cs="Plantin"/>
          <w:sz w:val="20"/>
          <w:szCs w:val="20"/>
        </w:rPr>
      </w:pPr>
      <w:r>
        <w:rPr>
          <w:rFonts w:eastAsia="Calibri" w:cs="Plantin" w:ascii="Plantin" w:hAnsi="Plantin"/>
          <w:sz w:val="20"/>
          <w:szCs w:val="20"/>
        </w:rPr>
        <w:t>and hands of a glass blower, a tube and a blob of molten glass interacted.</w:t>
      </w:r>
    </w:p>
    <w:p>
      <w:pPr>
        <w:pStyle w:val="Storybodytext"/>
        <w:spacing w:before="0" w:after="270"/>
        <w:rPr>
          <w:rFonts w:ascii="Plantin" w:hAnsi="Plantin" w:eastAsia="Calibri" w:cs="Plantin"/>
          <w:sz w:val="20"/>
          <w:szCs w:val="20"/>
        </w:rPr>
      </w:pPr>
      <w:r>
        <w:rPr>
          <w:rFonts w:eastAsia="Calibri" w:cs="Plantin" w:ascii="Plantin" w:hAnsi="Plantin"/>
          <w:sz w:val="20"/>
          <w:szCs w:val="20"/>
        </w:rPr>
        <w:t>Its shape is the record, the trace of what happened to it. (212)</w:t>
      </w:r>
    </w:p>
    <w:p>
      <w:pPr>
        <w:pStyle w:val="Normal"/>
        <w:jc w:val="left"/>
        <w:rPr>
          <w:rFonts w:ascii="Plantin" w:hAnsi="Plantin" w:eastAsia="Calibri" w:cs="Plantin"/>
          <w:sz w:val="20"/>
          <w:szCs w:val="20"/>
        </w:rPr>
      </w:pPr>
      <w:r>
        <w:rPr>
          <w:rFonts w:eastAsia="Calibri" w:cs="Plantin" w:ascii="Plantin" w:hAnsi="Plantin"/>
          <w:sz w:val="20"/>
          <w:szCs w:val="20"/>
        </w:rPr>
        <w:t>Process relationism tries to reduce the intrinsic ambiguity of relations.</w:t>
      </w:r>
    </w:p>
    <w:p>
      <w:pPr>
        <w:pStyle w:val="Normal"/>
        <w:jc w:val="left"/>
        <w:rPr>
          <w:rFonts w:ascii="Plantin" w:hAnsi="Plantin" w:eastAsia="Calibri" w:cs="Plantin"/>
          <w:sz w:val="20"/>
          <w:szCs w:val="20"/>
        </w:rPr>
      </w:pPr>
      <w:r>
        <w:rPr>
          <w:rFonts w:eastAsia="Calibri" w:cs="Plantin" w:ascii="Plantin" w:hAnsi="Plantin"/>
          <w:sz w:val="20"/>
          <w:szCs w:val="20"/>
        </w:rPr>
        <w:t>The significance of an event is to come. There is something that appears</w:t>
      </w:r>
    </w:p>
    <w:p>
      <w:pPr>
        <w:pStyle w:val="Normal"/>
        <w:jc w:val="left"/>
        <w:rPr>
          <w:rFonts w:ascii="Plantin" w:hAnsi="Plantin" w:eastAsia="Calibri" w:cs="Plantin"/>
          <w:sz w:val="20"/>
          <w:szCs w:val="20"/>
        </w:rPr>
      </w:pPr>
      <w:r>
        <w:rPr>
          <w:rFonts w:eastAsia="Calibri" w:cs="Plantin" w:ascii="Plantin" w:hAnsi="Plantin"/>
          <w:sz w:val="20"/>
          <w:szCs w:val="20"/>
        </w:rPr>
        <w:t>process-like about this; hence the illusion that things are processes.</w:t>
      </w:r>
    </w:p>
    <w:p>
      <w:pPr>
        <w:pStyle w:val="Normal"/>
        <w:jc w:val="left"/>
        <w:rPr>
          <w:rFonts w:ascii="Plantin" w:hAnsi="Plantin" w:eastAsia="Calibri" w:cs="Plantin"/>
          <w:sz w:val="20"/>
          <w:szCs w:val="20"/>
        </w:rPr>
      </w:pPr>
      <w:r>
        <w:rPr>
          <w:rFonts w:eastAsia="Calibri" w:cs="Plantin" w:ascii="Plantin" w:hAnsi="Plantin"/>
          <w:sz w:val="20"/>
          <w:szCs w:val="20"/>
        </w:rPr>
        <w:t>Relations are uncanny and hollow; there is a not-yet quality to them. Process</w:t>
      </w:r>
    </w:p>
    <w:p>
      <w:pPr>
        <w:pStyle w:val="Normal"/>
        <w:jc w:val="left"/>
        <w:rPr>
          <w:rFonts w:ascii="Plantin" w:hAnsi="Plantin" w:eastAsia="Calibri" w:cs="Plantin"/>
          <w:sz w:val="20"/>
          <w:szCs w:val="20"/>
        </w:rPr>
      </w:pPr>
      <w:r>
        <w:rPr>
          <w:rFonts w:eastAsia="Calibri" w:cs="Plantin" w:ascii="Plantin" w:hAnsi="Plantin"/>
          <w:sz w:val="20"/>
          <w:szCs w:val="20"/>
        </w:rPr>
        <w:t>relationism reduces this uncanniness, which is ironically a feature of the</w:t>
      </w:r>
    </w:p>
    <w:p>
      <w:pPr>
        <w:pStyle w:val="Normal"/>
        <w:jc w:val="left"/>
        <w:rPr>
          <w:rFonts w:ascii="Plantin" w:hAnsi="Plantin" w:eastAsia="Calibri" w:cs="Plantin"/>
          <w:sz w:val="20"/>
          <w:szCs w:val="20"/>
        </w:rPr>
      </w:pPr>
      <w:r>
        <w:rPr>
          <w:rFonts w:eastAsia="Calibri" w:cs="Plantin" w:ascii="Plantin" w:hAnsi="Plantin"/>
          <w:sz w:val="20"/>
          <w:szCs w:val="20"/>
        </w:rPr>
        <w:t>realness of relations. For relations are inherently doppelgangers of objects,</w:t>
      </w:r>
    </w:p>
    <w:p>
      <w:pPr>
        <w:pStyle w:val="Normal"/>
        <w:jc w:val="left"/>
        <w:rPr>
          <w:rFonts w:ascii="Plantin" w:hAnsi="Plantin" w:eastAsia="Calibri" w:cs="Plantin"/>
          <w:sz w:val="20"/>
          <w:szCs w:val="20"/>
        </w:rPr>
      </w:pPr>
      <w:r>
        <w:rPr>
          <w:rFonts w:eastAsia="Calibri" w:cs="Plantin" w:ascii="Plantin" w:hAnsi="Plantin"/>
          <w:sz w:val="20"/>
          <w:szCs w:val="20"/>
        </w:rPr>
        <w:t>and thus they have the quality of demons, intermediaries between things.</w:t>
      </w:r>
    </w:p>
    <w:p>
      <w:pPr>
        <w:pStyle w:val="Normal"/>
        <w:jc w:val="left"/>
        <w:rPr>
          <w:rFonts w:ascii="Plantin" w:hAnsi="Plantin" w:eastAsia="Calibri" w:cs="Plantin"/>
          <w:sz w:val="20"/>
          <w:szCs w:val="20"/>
        </w:rPr>
      </w:pPr>
      <w:r>
        <w:rPr>
          <w:rFonts w:eastAsia="Calibri" w:cs="Plantin" w:ascii="Plantin" w:hAnsi="Plantin"/>
          <w:sz w:val="20"/>
          <w:szCs w:val="20"/>
        </w:rPr>
        <w:t>And so for object-oriented ontology, art is strikingly like what Socrates says</w:t>
      </w:r>
    </w:p>
    <w:p>
      <w:pPr>
        <w:pStyle w:val="Normal"/>
        <w:jc w:val="left"/>
        <w:rPr/>
      </w:pPr>
      <w:r>
        <w:rPr>
          <w:rFonts w:eastAsia="Calibri" w:cs="Plantin" w:ascii="Plantin" w:hAnsi="Plantin"/>
          <w:sz w:val="20"/>
          <w:szCs w:val="20"/>
        </w:rPr>
        <w:t xml:space="preserve">about art in the </w:t>
      </w:r>
      <w:r>
        <w:rPr>
          <w:rFonts w:eastAsia="Calibri" w:cs="Plantin-Italic" w:ascii="Plantin-Italic" w:hAnsi="Plantin-Italic"/>
          <w:i/>
          <w:iCs/>
          <w:sz w:val="20"/>
          <w:szCs w:val="20"/>
        </w:rPr>
        <w:t>Ion</w:t>
      </w:r>
      <w:r>
        <w:rPr>
          <w:rFonts w:eastAsia="Calibri" w:cs="Plantin" w:ascii="Plantin" w:hAnsi="Plantin"/>
          <w:sz w:val="20"/>
          <w:szCs w:val="20"/>
        </w:rPr>
        <w:t>: art is an attunement to a demonic force, akin to the</w:t>
      </w:r>
    </w:p>
    <w:p>
      <w:pPr>
        <w:pStyle w:val="Normal"/>
        <w:jc w:val="left"/>
        <w:rPr>
          <w:rFonts w:ascii="Plantin" w:hAnsi="Plantin" w:eastAsia="Calibri" w:cs="Plantin"/>
          <w:sz w:val="20"/>
          <w:szCs w:val="20"/>
        </w:rPr>
      </w:pPr>
      <w:r>
        <w:rPr>
          <w:rFonts w:eastAsia="Calibri" w:cs="Plantin" w:ascii="Plantin" w:hAnsi="Plantin"/>
          <w:sz w:val="20"/>
          <w:szCs w:val="20"/>
        </w:rPr>
        <w:t>way a magnet resonates with an electromagnetic field.62 Why? Because when</w:t>
      </w:r>
    </w:p>
    <w:p>
      <w:pPr>
        <w:pStyle w:val="Normal"/>
        <w:jc w:val="left"/>
        <w:rPr>
          <w:rFonts w:ascii="Plantin" w:hAnsi="Plantin" w:eastAsia="Calibri" w:cs="Plantin"/>
          <w:sz w:val="20"/>
          <w:szCs w:val="20"/>
        </w:rPr>
      </w:pPr>
      <w:r>
        <w:rPr>
          <w:rFonts w:eastAsia="Calibri" w:cs="Plantin" w:ascii="Plantin" w:hAnsi="Plantin"/>
          <w:sz w:val="20"/>
          <w:szCs w:val="20"/>
        </w:rPr>
        <w:t>a relation gives something meaning, it skates over the ontological surface</w:t>
      </w:r>
    </w:p>
    <w:p>
      <w:pPr>
        <w:pStyle w:val="Normal"/>
        <w:jc w:val="left"/>
        <w:rPr>
          <w:rFonts w:ascii="Plantin" w:hAnsi="Plantin" w:eastAsia="Calibri" w:cs="Plantin"/>
          <w:sz w:val="20"/>
          <w:szCs w:val="20"/>
        </w:rPr>
      </w:pPr>
      <w:r>
        <w:rPr>
          <w:rFonts w:eastAsia="Calibri" w:cs="Plantin" w:ascii="Plantin" w:hAnsi="Plantin"/>
          <w:sz w:val="20"/>
          <w:szCs w:val="20"/>
        </w:rPr>
        <w:t>of an object, unable to plumb its secret depth. (I use the surface–depth</w:t>
      </w:r>
    </w:p>
    <w:p>
      <w:pPr>
        <w:pStyle w:val="Normal"/>
        <w:jc w:val="left"/>
        <w:rPr>
          <w:rFonts w:ascii="Plantin" w:hAnsi="Plantin" w:eastAsia="Calibri" w:cs="Plantin"/>
          <w:sz w:val="20"/>
          <w:szCs w:val="20"/>
        </w:rPr>
      </w:pPr>
      <w:r>
        <w:rPr>
          <w:rFonts w:eastAsia="Calibri" w:cs="Plantin" w:ascii="Plantin" w:hAnsi="Plantin"/>
          <w:sz w:val="20"/>
          <w:szCs w:val="20"/>
        </w:rPr>
        <w:t>image fancifully: this skating also applies to two-dimensional objects, and</w:t>
      </w:r>
    </w:p>
    <w:p>
      <w:pPr>
        <w:pStyle w:val="Normal"/>
        <w:jc w:val="left"/>
        <w:rPr>
          <w:rFonts w:ascii="Plantin" w:hAnsi="Plantin" w:eastAsia="Calibri" w:cs="Plantin"/>
          <w:sz w:val="20"/>
          <w:szCs w:val="20"/>
        </w:rPr>
      </w:pPr>
      <w:r>
        <w:rPr>
          <w:rFonts w:eastAsia="Calibri" w:cs="Plantin" w:ascii="Plantin" w:hAnsi="Plantin"/>
          <w:sz w:val="20"/>
          <w:szCs w:val="20"/>
        </w:rPr>
        <w:t>so on.) To give meaning is to mistranslate. And furthermore, the meaning</w:t>
      </w:r>
    </w:p>
    <w:p>
      <w:pPr>
        <w:pStyle w:val="Normal"/>
        <w:jc w:val="left"/>
        <w:rPr>
          <w:rFonts w:ascii="Plantin" w:hAnsi="Plantin" w:eastAsia="Calibri" w:cs="Plantin"/>
          <w:sz w:val="20"/>
          <w:szCs w:val="20"/>
        </w:rPr>
      </w:pPr>
      <w:r>
        <w:rPr>
          <w:rFonts w:eastAsia="Calibri" w:cs="Plantin" w:ascii="Plantin" w:hAnsi="Plantin"/>
          <w:sz w:val="20"/>
          <w:szCs w:val="20"/>
        </w:rPr>
        <w:t>of a meaning is another mistranslation: the meaning of a relation is another</w:t>
      </w:r>
    </w:p>
    <w:p>
      <w:pPr>
        <w:pStyle w:val="Storybodytext"/>
        <w:spacing w:before="0" w:after="270"/>
        <w:rPr>
          <w:rFonts w:ascii="Plantin" w:hAnsi="Plantin" w:eastAsia="Calibri" w:cs="Plantin"/>
          <w:sz w:val="20"/>
          <w:szCs w:val="20"/>
        </w:rPr>
      </w:pPr>
      <w:r>
        <w:rPr>
          <w:rFonts w:eastAsia="Calibri" w:cs="Plantin" w:ascii="Plantin" w:hAnsi="Plantin"/>
          <w:sz w:val="20"/>
          <w:szCs w:val="20"/>
        </w:rPr>
        <w:t>relation. Time is born from this fundamental error. (216)</w:t>
      </w:r>
    </w:p>
    <w:p>
      <w:pPr>
        <w:pStyle w:val="Normal"/>
        <w:jc w:val="left"/>
        <w:rPr>
          <w:rFonts w:ascii="Plantin" w:hAnsi="Plantin" w:eastAsia="Calibri" w:cs="Plantin"/>
          <w:sz w:val="20"/>
          <w:szCs w:val="20"/>
        </w:rPr>
      </w:pPr>
      <w:r>
        <w:rPr>
          <w:rFonts w:eastAsia="Calibri" w:cs="Plantin" w:ascii="Plantin" w:hAnsi="Plantin"/>
          <w:sz w:val="20"/>
          <w:szCs w:val="20"/>
        </w:rPr>
        <w:t>In the moment of an object’s ending, two distinct modes of time</w:t>
      </w:r>
    </w:p>
    <w:p>
      <w:pPr>
        <w:pStyle w:val="Normal"/>
        <w:jc w:val="left"/>
        <w:rPr>
          <w:rFonts w:ascii="Plantin" w:hAnsi="Plantin" w:eastAsia="Calibri" w:cs="Plantin"/>
          <w:sz w:val="20"/>
          <w:szCs w:val="20"/>
        </w:rPr>
      </w:pPr>
      <w:r>
        <w:rPr>
          <w:rFonts w:eastAsia="Calibri" w:cs="Plantin" w:ascii="Plantin" w:hAnsi="Plantin"/>
          <w:sz w:val="20"/>
          <w:szCs w:val="20"/>
        </w:rPr>
        <w:t>emanating from two kinds of object relations intersect. The futural notyet-</w:t>
      </w:r>
    </w:p>
    <w:p>
      <w:pPr>
        <w:pStyle w:val="Normal"/>
        <w:jc w:val="left"/>
        <w:rPr>
          <w:rFonts w:ascii="Plantin" w:hAnsi="Plantin" w:eastAsia="Calibri" w:cs="Plantin"/>
          <w:sz w:val="20"/>
          <w:szCs w:val="20"/>
        </w:rPr>
      </w:pPr>
      <w:r>
        <w:rPr>
          <w:rFonts w:eastAsia="Calibri" w:cs="Plantin" w:ascii="Plantin" w:hAnsi="Plantin"/>
          <w:sz w:val="20"/>
          <w:szCs w:val="20"/>
        </w:rPr>
        <w:t>ness of relationality looms, but is cut off by the objectifying power</w:t>
      </w:r>
    </w:p>
    <w:p>
      <w:pPr>
        <w:pStyle w:val="Normal"/>
        <w:jc w:val="left"/>
        <w:rPr>
          <w:rFonts w:ascii="Plantin" w:hAnsi="Plantin" w:eastAsia="Calibri" w:cs="Plantin"/>
          <w:sz w:val="20"/>
          <w:szCs w:val="20"/>
        </w:rPr>
      </w:pPr>
      <w:r>
        <w:rPr>
          <w:rFonts w:eastAsia="Calibri" w:cs="Plantin" w:ascii="Plantin" w:hAnsi="Plantin"/>
          <w:sz w:val="20"/>
          <w:szCs w:val="20"/>
        </w:rPr>
        <w:t>of a destructive relating. The opera singer tunes her pitch just right—</w:t>
      </w:r>
    </w:p>
    <w:p>
      <w:pPr>
        <w:pStyle w:val="Normal"/>
        <w:jc w:val="left"/>
        <w:rPr>
          <w:rFonts w:ascii="Plantin" w:hAnsi="Plantin" w:eastAsia="Calibri" w:cs="Plantin"/>
          <w:sz w:val="20"/>
          <w:szCs w:val="20"/>
        </w:rPr>
      </w:pPr>
      <w:r>
        <w:rPr>
          <w:rFonts w:eastAsia="Calibri" w:cs="Plantin" w:ascii="Plantin" w:hAnsi="Plantin"/>
          <w:sz w:val="20"/>
          <w:szCs w:val="20"/>
        </w:rPr>
        <w:t>suddenly the glass is at an end. Yet a cone of time emanates into the “past,”</w:t>
      </w:r>
    </w:p>
    <w:p>
      <w:pPr>
        <w:pStyle w:val="Normal"/>
        <w:jc w:val="left"/>
        <w:rPr>
          <w:rFonts w:ascii="Plantin" w:hAnsi="Plantin" w:eastAsia="Calibri" w:cs="Plantin"/>
          <w:sz w:val="20"/>
          <w:szCs w:val="20"/>
        </w:rPr>
      </w:pPr>
      <w:r>
        <w:rPr>
          <w:rFonts w:eastAsia="Calibri" w:cs="Plantin" w:ascii="Plantin" w:hAnsi="Plantin"/>
          <w:sz w:val="20"/>
          <w:szCs w:val="20"/>
        </w:rPr>
        <w:t>retroactively positing a whole new set of objects: hey, that’s a shard of glass</w:t>
      </w:r>
    </w:p>
    <w:p>
      <w:pPr>
        <w:pStyle w:val="Normal"/>
        <w:jc w:val="left"/>
        <w:rPr>
          <w:rFonts w:ascii="Plantin" w:hAnsi="Plantin" w:eastAsia="Calibri" w:cs="Plantin"/>
          <w:sz w:val="20"/>
          <w:szCs w:val="20"/>
        </w:rPr>
      </w:pPr>
      <w:r>
        <w:rPr>
          <w:rFonts w:eastAsia="Calibri" w:cs="Plantin" w:ascii="Plantin" w:hAnsi="Plantin"/>
          <w:sz w:val="20"/>
          <w:szCs w:val="20"/>
        </w:rPr>
        <w:t>in my finger. Recall that the sublime is the discovery of the proximity of</w:t>
      </w:r>
    </w:p>
    <w:p>
      <w:pPr>
        <w:pStyle w:val="Normal"/>
        <w:jc w:val="left"/>
        <w:rPr>
          <w:rFonts w:ascii="Plantin" w:hAnsi="Plantin" w:eastAsia="Calibri" w:cs="Plantin"/>
          <w:sz w:val="20"/>
          <w:szCs w:val="20"/>
        </w:rPr>
      </w:pPr>
      <w:r>
        <w:rPr>
          <w:rFonts w:eastAsia="Calibri" w:cs="Plantin" w:ascii="Plantin" w:hAnsi="Plantin"/>
          <w:sz w:val="20"/>
          <w:szCs w:val="20"/>
        </w:rPr>
        <w:t>an object (Chapter 2). The object is always already there, before I reach</w:t>
      </w:r>
    </w:p>
    <w:p>
      <w:pPr>
        <w:pStyle w:val="Normal"/>
        <w:jc w:val="left"/>
        <w:rPr>
          <w:rFonts w:ascii="Plantin" w:hAnsi="Plantin" w:eastAsia="Calibri" w:cs="Plantin"/>
          <w:sz w:val="20"/>
          <w:szCs w:val="20"/>
        </w:rPr>
      </w:pPr>
      <w:r>
        <w:rPr>
          <w:rFonts w:eastAsia="Calibri" w:cs="Plantin" w:ascii="Plantin" w:hAnsi="Plantin"/>
          <w:sz w:val="20"/>
          <w:szCs w:val="20"/>
        </w:rPr>
        <w:t>out towards it with another set of relations. It isn’t the case that the glass</w:t>
      </w:r>
    </w:p>
    <w:p>
      <w:pPr>
        <w:pStyle w:val="Normal"/>
        <w:jc w:val="left"/>
        <w:rPr>
          <w:rFonts w:ascii="Plantin" w:hAnsi="Plantin" w:eastAsia="Calibri" w:cs="Plantin"/>
          <w:sz w:val="20"/>
          <w:szCs w:val="20"/>
        </w:rPr>
      </w:pPr>
      <w:r>
        <w:rPr>
          <w:rFonts w:eastAsia="Calibri" w:cs="Plantin" w:ascii="Plantin" w:hAnsi="Plantin"/>
          <w:sz w:val="20"/>
          <w:szCs w:val="20"/>
        </w:rPr>
        <w:t>disappears, and “then” the shards are born. The two events occur in</w:t>
      </w:r>
    </w:p>
    <w:p>
      <w:pPr>
        <w:pStyle w:val="Normal"/>
        <w:jc w:val="left"/>
        <w:rPr>
          <w:rFonts w:ascii="Plantin" w:hAnsi="Plantin" w:eastAsia="Calibri" w:cs="Plantin"/>
          <w:sz w:val="20"/>
          <w:szCs w:val="20"/>
        </w:rPr>
      </w:pPr>
      <w:r>
        <w:rPr>
          <w:rFonts w:eastAsia="Calibri" w:cs="Plantin" w:ascii="Plantin" w:hAnsi="Plantin"/>
          <w:sz w:val="20"/>
          <w:szCs w:val="20"/>
        </w:rPr>
        <w:t>different ontological dimensions. The glass forgets that it’s a glass, gives</w:t>
      </w:r>
    </w:p>
    <w:p>
      <w:pPr>
        <w:pStyle w:val="Normal"/>
        <w:jc w:val="left"/>
        <w:rPr>
          <w:rFonts w:ascii="Plantin" w:hAnsi="Plantin" w:eastAsia="Calibri" w:cs="Plantin"/>
          <w:sz w:val="20"/>
          <w:szCs w:val="20"/>
        </w:rPr>
      </w:pPr>
      <w:r>
        <w:rPr>
          <w:rFonts w:eastAsia="Calibri" w:cs="Plantin" w:ascii="Plantin" w:hAnsi="Plantin"/>
          <w:sz w:val="20"/>
          <w:szCs w:val="20"/>
        </w:rPr>
        <w:t>up its glassness when the destructive tuning exposes its not-glass qualities.</w:t>
      </w:r>
    </w:p>
    <w:p>
      <w:pPr>
        <w:pStyle w:val="Normal"/>
        <w:jc w:val="left"/>
        <w:rPr>
          <w:rFonts w:ascii="Plantin" w:hAnsi="Plantin" w:eastAsia="Calibri" w:cs="Plantin"/>
          <w:sz w:val="20"/>
          <w:szCs w:val="20"/>
        </w:rPr>
      </w:pPr>
      <w:r>
        <w:rPr>
          <w:rFonts w:eastAsia="Calibri" w:cs="Plantin" w:ascii="Plantin" w:hAnsi="Plantin"/>
          <w:sz w:val="20"/>
          <w:szCs w:val="20"/>
        </w:rPr>
        <w:t>Watch a slow-motion video of a glass shattering to a perfectly tuned</w:t>
      </w:r>
    </w:p>
    <w:p>
      <w:pPr>
        <w:pStyle w:val="Normal"/>
        <w:jc w:val="left"/>
        <w:rPr>
          <w:rFonts w:ascii="Plantin" w:hAnsi="Plantin" w:eastAsia="Calibri" w:cs="Plantin"/>
          <w:sz w:val="20"/>
          <w:szCs w:val="20"/>
        </w:rPr>
      </w:pPr>
      <w:r>
        <w:rPr>
          <w:rFonts w:eastAsia="Calibri" w:cs="Plantin" w:ascii="Plantin" w:hAnsi="Plantin"/>
          <w:sz w:val="20"/>
          <w:szCs w:val="20"/>
        </w:rPr>
        <w:t>soundwave. The glass wobbles, breathes; then the glass stops breathing</w:t>
      </w:r>
    </w:p>
    <w:p>
      <w:pPr>
        <w:pStyle w:val="Storybodytext"/>
        <w:spacing w:before="0" w:after="270"/>
        <w:rPr>
          <w:rFonts w:ascii="Plantin" w:hAnsi="Plantin" w:eastAsia="Calibri" w:cs="Plantin"/>
          <w:sz w:val="20"/>
          <w:szCs w:val="20"/>
        </w:rPr>
      </w:pPr>
      <w:r>
        <w:rPr>
          <w:rFonts w:eastAsia="Calibri" w:cs="Plantin" w:ascii="Plantin" w:hAnsi="Plantin"/>
          <w:sz w:val="20"/>
          <w:szCs w:val="20"/>
        </w:rPr>
        <w:t>and just shatters. We can’t specify when the glass becomes the not-glass. (218)</w:t>
      </w:r>
    </w:p>
    <w:p>
      <w:pPr>
        <w:pStyle w:val="Normal"/>
        <w:jc w:val="left"/>
        <w:rPr>
          <w:rFonts w:ascii="Plantin" w:hAnsi="Plantin" w:eastAsia="Calibri" w:cs="Plantin"/>
          <w:sz w:val="20"/>
          <w:szCs w:val="20"/>
        </w:rPr>
      </w:pPr>
      <w:r>
        <w:rPr>
          <w:rFonts w:eastAsia="Calibri" w:cs="Plantin" w:ascii="Plantin" w:hAnsi="Plantin"/>
          <w:sz w:val="20"/>
          <w:szCs w:val="20"/>
        </w:rPr>
        <w:t>Graham Harman discovered a gigantic coral reef of mysterious entities</w:t>
      </w:r>
    </w:p>
    <w:p>
      <w:pPr>
        <w:pStyle w:val="Normal"/>
        <w:jc w:val="left"/>
        <w:rPr>
          <w:rFonts w:ascii="Plantin" w:hAnsi="Plantin" w:eastAsia="Calibri" w:cs="Plantin"/>
          <w:sz w:val="20"/>
          <w:szCs w:val="20"/>
        </w:rPr>
      </w:pPr>
      <w:r>
        <w:rPr>
          <w:rFonts w:eastAsia="Calibri" w:cs="Plantin" w:ascii="Plantin" w:hAnsi="Plantin"/>
          <w:sz w:val="20"/>
          <w:szCs w:val="20"/>
        </w:rPr>
        <w:t>beneath the Heideggerian submarine of Da-sein, which itself is operating</w:t>
      </w:r>
    </w:p>
    <w:p>
      <w:pPr>
        <w:pStyle w:val="Normal"/>
        <w:jc w:val="left"/>
        <w:rPr>
          <w:rFonts w:ascii="Plantin" w:hAnsi="Plantin" w:eastAsia="Calibri" w:cs="Plantin"/>
          <w:sz w:val="20"/>
          <w:szCs w:val="20"/>
        </w:rPr>
      </w:pPr>
      <w:r>
        <w:rPr>
          <w:rFonts w:eastAsia="Calibri" w:cs="Plantin" w:ascii="Plantin" w:hAnsi="Plantin"/>
          <w:sz w:val="20"/>
          <w:szCs w:val="20"/>
        </w:rPr>
        <w:t>at an ontological depth way below the choppy surface of philosophy, beset</w:t>
      </w:r>
    </w:p>
    <w:p>
      <w:pPr>
        <w:pStyle w:val="Normal"/>
        <w:jc w:val="left"/>
        <w:rPr>
          <w:rFonts w:ascii="Plantin" w:hAnsi="Plantin" w:eastAsia="Calibri" w:cs="Plantin"/>
          <w:sz w:val="20"/>
          <w:szCs w:val="20"/>
        </w:rPr>
      </w:pPr>
      <w:r>
        <w:rPr>
          <w:rFonts w:eastAsia="Calibri" w:cs="Plantin" w:ascii="Plantin" w:hAnsi="Plantin"/>
          <w:sz w:val="20"/>
          <w:szCs w:val="20"/>
        </w:rPr>
        <w:t>by the winds of epistemology and infested with the sharks of materialism,</w:t>
      </w:r>
    </w:p>
    <w:p>
      <w:pPr>
        <w:pStyle w:val="Normal"/>
        <w:jc w:val="left"/>
        <w:rPr>
          <w:rFonts w:ascii="Plantin" w:hAnsi="Plantin" w:eastAsia="Calibri" w:cs="Plantin"/>
          <w:sz w:val="20"/>
          <w:szCs w:val="20"/>
        </w:rPr>
      </w:pPr>
      <w:r>
        <w:rPr>
          <w:rFonts w:eastAsia="Calibri" w:cs="Plantin" w:ascii="Plantin" w:hAnsi="Plantin"/>
          <w:sz w:val="20"/>
          <w:szCs w:val="20"/>
        </w:rPr>
        <w:t>idealism, empiricism and most of the other -isms that have defined what</w:t>
      </w:r>
    </w:p>
    <w:p>
      <w:pPr>
        <w:pStyle w:val="Normal"/>
        <w:jc w:val="left"/>
        <w:rPr>
          <w:rFonts w:ascii="Plantin" w:hAnsi="Plantin" w:eastAsia="Calibri" w:cs="Plantin"/>
          <w:sz w:val="20"/>
          <w:szCs w:val="20"/>
        </w:rPr>
      </w:pPr>
      <w:r>
        <w:rPr>
          <w:rFonts w:eastAsia="Calibri" w:cs="Plantin" w:ascii="Plantin" w:hAnsi="Plantin"/>
          <w:sz w:val="20"/>
          <w:szCs w:val="20"/>
        </w:rPr>
        <w:t>is and what isn’t for the last several hundred years. At a moment when the</w:t>
      </w:r>
    </w:p>
    <w:p>
      <w:pPr>
        <w:pStyle w:val="Normal"/>
        <w:jc w:val="left"/>
        <w:rPr>
          <w:rFonts w:ascii="Plantin" w:hAnsi="Plantin" w:eastAsia="Calibri" w:cs="Plantin"/>
          <w:sz w:val="20"/>
          <w:szCs w:val="20"/>
        </w:rPr>
      </w:pPr>
      <w:r>
        <w:rPr>
          <w:rFonts w:eastAsia="Calibri" w:cs="Plantin" w:ascii="Plantin" w:hAnsi="Plantin"/>
          <w:sz w:val="20"/>
          <w:szCs w:val="20"/>
        </w:rPr>
        <w:t>term “ontology” was left alone like a piece of well chewed old chewing gum</w:t>
      </w:r>
    </w:p>
    <w:p>
      <w:pPr>
        <w:pStyle w:val="Normal"/>
        <w:jc w:val="left"/>
        <w:rPr>
          <w:rFonts w:ascii="Plantin" w:hAnsi="Plantin" w:eastAsia="Calibri" w:cs="Plantin"/>
          <w:sz w:val="20"/>
          <w:szCs w:val="20"/>
        </w:rPr>
      </w:pPr>
      <w:r>
        <w:rPr>
          <w:rFonts w:eastAsia="Calibri" w:cs="Plantin" w:ascii="Plantin" w:hAnsi="Plantin"/>
          <w:sz w:val="20"/>
          <w:szCs w:val="20"/>
        </w:rPr>
        <w:t>that no one wants to have anything to do with, object-oriented ontology</w:t>
      </w:r>
    </w:p>
    <w:p>
      <w:pPr>
        <w:pStyle w:val="Storybodytext"/>
        <w:spacing w:before="0" w:after="270"/>
        <w:rPr/>
      </w:pPr>
      <w:r>
        <w:rPr>
          <w:rFonts w:eastAsia="Calibri" w:cs="Plantin" w:ascii="Plantin" w:hAnsi="Plantin"/>
          <w:sz w:val="20"/>
          <w:szCs w:val="20"/>
        </w:rPr>
        <w:t>(</w:t>
      </w:r>
      <w:r>
        <w:rPr>
          <w:rFonts w:eastAsia="PlantinExpert" w:cs="PlantinExpert" w:ascii="PlantinExpert" w:hAnsi="PlantinExpert"/>
          <w:sz w:val="20"/>
          <w:szCs w:val="20"/>
        </w:rPr>
        <w:t>ooo</w:t>
      </w:r>
      <w:r>
        <w:rPr>
          <w:rFonts w:eastAsia="Calibri" w:cs="Plantin" w:ascii="Plantin" w:hAnsi="Plantin"/>
          <w:sz w:val="20"/>
          <w:szCs w:val="20"/>
        </w:rPr>
        <w:t>) has put it back on the table. (222)</w:t>
      </w:r>
    </w:p>
    <w:p>
      <w:pPr>
        <w:pStyle w:val="Normal"/>
        <w:jc w:val="left"/>
        <w:rPr>
          <w:rFonts w:ascii="Plantin" w:hAnsi="Plantin" w:eastAsia="Calibri" w:cs="Plantin"/>
          <w:sz w:val="20"/>
          <w:szCs w:val="20"/>
        </w:rPr>
      </w:pPr>
      <w:r>
        <w:rPr>
          <w:rFonts w:eastAsia="Calibri" w:cs="Plantin" w:ascii="Plantin" w:hAnsi="Plantin"/>
          <w:sz w:val="20"/>
          <w:szCs w:val="20"/>
        </w:rPr>
        <w:t>Aristotle decided that “coming-to-be” is “a change into [the] perceptible</w:t>
      </w:r>
    </w:p>
    <w:p>
      <w:pPr>
        <w:pStyle w:val="Normal"/>
        <w:jc w:val="left"/>
        <w:rPr>
          <w:rFonts w:ascii="Plantin" w:hAnsi="Plantin" w:eastAsia="Calibri" w:cs="Plantin"/>
          <w:sz w:val="20"/>
          <w:szCs w:val="20"/>
        </w:rPr>
      </w:pPr>
      <w:r>
        <w:rPr>
          <w:rFonts w:eastAsia="Calibri" w:cs="Plantin" w:ascii="Plantin" w:hAnsi="Plantin"/>
          <w:sz w:val="20"/>
          <w:szCs w:val="20"/>
        </w:rPr>
        <w:t>material” of an object. In turn, ceasing to be, “passing-away,” is “when there</w:t>
      </w:r>
    </w:p>
    <w:p>
      <w:pPr>
        <w:pStyle w:val="Normal"/>
        <w:jc w:val="left"/>
        <w:rPr/>
      </w:pPr>
      <w:r>
        <w:rPr>
          <w:rFonts w:eastAsia="Calibri" w:cs="Plantin" w:ascii="Plantin" w:hAnsi="Plantin"/>
          <w:sz w:val="20"/>
          <w:szCs w:val="20"/>
        </w:rPr>
        <w:t xml:space="preserve">is a change into invisible material.”7 </w:t>
      </w:r>
      <w:r>
        <w:rPr>
          <w:rFonts w:eastAsia="Calibri" w:cs="Plantin-Italic" w:ascii="Plantin-Italic" w:hAnsi="Plantin-Italic"/>
          <w:i/>
          <w:iCs/>
          <w:sz w:val="20"/>
          <w:szCs w:val="20"/>
        </w:rPr>
        <w:t xml:space="preserve">Realist Magic </w:t>
      </w:r>
      <w:r>
        <w:rPr>
          <w:rFonts w:eastAsia="Calibri" w:cs="Plantin" w:ascii="Plantin" w:hAnsi="Plantin"/>
          <w:sz w:val="20"/>
          <w:szCs w:val="20"/>
        </w:rPr>
        <w:t>has argued something</w:t>
      </w:r>
    </w:p>
    <w:p>
      <w:pPr>
        <w:pStyle w:val="Normal"/>
        <w:jc w:val="left"/>
        <w:rPr>
          <w:rFonts w:ascii="Plantin" w:hAnsi="Plantin" w:eastAsia="Calibri" w:cs="Plantin"/>
          <w:sz w:val="20"/>
          <w:szCs w:val="20"/>
        </w:rPr>
      </w:pPr>
      <w:r>
        <w:rPr>
          <w:rFonts w:eastAsia="Calibri" w:cs="Plantin" w:ascii="Plantin" w:hAnsi="Plantin"/>
          <w:sz w:val="20"/>
          <w:szCs w:val="20"/>
        </w:rPr>
        <w:t>that seems like the inverse. The coming to be of an object is the opening of</w:t>
      </w:r>
    </w:p>
    <w:p>
      <w:pPr>
        <w:pStyle w:val="Normal"/>
        <w:jc w:val="left"/>
        <w:rPr>
          <w:rFonts w:ascii="Plantin" w:hAnsi="Plantin" w:eastAsia="Calibri" w:cs="Plantin"/>
          <w:sz w:val="20"/>
          <w:szCs w:val="20"/>
        </w:rPr>
      </w:pPr>
      <w:r>
        <w:rPr>
          <w:rFonts w:eastAsia="Calibri" w:cs="Plantin" w:ascii="Plantin" w:hAnsi="Plantin"/>
          <w:sz w:val="20"/>
          <w:szCs w:val="20"/>
        </w:rPr>
        <w:t>a fresh Rift between essence and appearance. This Rift is unique, just as the</w:t>
      </w:r>
    </w:p>
    <w:p>
      <w:pPr>
        <w:pStyle w:val="Normal"/>
        <w:jc w:val="left"/>
        <w:rPr>
          <w:rFonts w:ascii="Plantin" w:hAnsi="Plantin" w:eastAsia="Calibri" w:cs="Plantin"/>
          <w:sz w:val="20"/>
          <w:szCs w:val="20"/>
        </w:rPr>
      </w:pPr>
      <w:r>
        <w:rPr>
          <w:rFonts w:eastAsia="Calibri" w:cs="Plantin" w:ascii="Plantin" w:hAnsi="Plantin"/>
          <w:sz w:val="20"/>
          <w:szCs w:val="20"/>
        </w:rPr>
        <w:t>object is unique. The Rift is not a void or a chasm: it is “What constitutes</w:t>
      </w:r>
    </w:p>
    <w:p>
      <w:pPr>
        <w:pStyle w:val="Normal"/>
        <w:jc w:val="left"/>
        <w:rPr>
          <w:rFonts w:ascii="Plantin" w:hAnsi="Plantin" w:eastAsia="Calibri" w:cs="Plantin"/>
          <w:sz w:val="20"/>
          <w:szCs w:val="20"/>
        </w:rPr>
      </w:pPr>
      <w:r>
        <w:rPr>
          <w:rFonts w:eastAsia="Calibri" w:cs="Plantin" w:ascii="Plantin" w:hAnsi="Plantin"/>
          <w:sz w:val="20"/>
          <w:szCs w:val="20"/>
        </w:rPr>
        <w:t>pretense.” It is the collapse of the Rift, not a change into invisibility, that</w:t>
      </w:r>
    </w:p>
    <w:p>
      <w:pPr>
        <w:pStyle w:val="Normal"/>
        <w:jc w:val="left"/>
        <w:rPr>
          <w:rFonts w:ascii="Plantin" w:hAnsi="Plantin" w:eastAsia="Calibri" w:cs="Plantin"/>
          <w:sz w:val="20"/>
          <w:szCs w:val="20"/>
        </w:rPr>
      </w:pPr>
      <w:r>
        <w:rPr>
          <w:rFonts w:eastAsia="Calibri" w:cs="Plantin" w:ascii="Plantin" w:hAnsi="Plantin"/>
          <w:sz w:val="20"/>
          <w:szCs w:val="20"/>
        </w:rPr>
        <w:t>spells the end of a thing. In death, things appear: ashes, photographs,</w:t>
      </w:r>
    </w:p>
    <w:p>
      <w:pPr>
        <w:pStyle w:val="Normal"/>
        <w:jc w:val="left"/>
        <w:rPr>
          <w:rFonts w:ascii="Plantin" w:hAnsi="Plantin" w:eastAsia="Calibri" w:cs="Plantin"/>
          <w:sz w:val="20"/>
          <w:szCs w:val="20"/>
        </w:rPr>
      </w:pPr>
      <w:r>
        <w:rPr>
          <w:rFonts w:eastAsia="Calibri" w:cs="Plantin" w:ascii="Plantin" w:hAnsi="Plantin"/>
          <w:sz w:val="20"/>
          <w:szCs w:val="20"/>
        </w:rPr>
        <w:t>fingernails that carry on growing, hollow grief inside another person. In</w:t>
      </w:r>
    </w:p>
    <w:p>
      <w:pPr>
        <w:pStyle w:val="Normal"/>
        <w:jc w:val="left"/>
        <w:rPr/>
      </w:pPr>
      <w:r>
        <w:rPr>
          <w:rFonts w:eastAsia="Calibri" w:cs="Plantin" w:ascii="Plantin" w:hAnsi="Plantin"/>
          <w:sz w:val="20"/>
          <w:szCs w:val="20"/>
        </w:rPr>
        <w:t xml:space="preserve">a larger sense, however, </w:t>
      </w:r>
      <w:r>
        <w:rPr>
          <w:rFonts w:eastAsia="Calibri" w:cs="Plantin-Italic" w:ascii="Plantin-Italic" w:hAnsi="Plantin-Italic"/>
          <w:i/>
          <w:iCs/>
          <w:sz w:val="20"/>
          <w:szCs w:val="20"/>
        </w:rPr>
        <w:t xml:space="preserve">Realist Magic </w:t>
      </w:r>
      <w:r>
        <w:rPr>
          <w:rFonts w:eastAsia="Calibri" w:cs="Plantin" w:ascii="Plantin" w:hAnsi="Plantin"/>
          <w:sz w:val="20"/>
          <w:szCs w:val="20"/>
        </w:rPr>
        <w:t>simply places Aristotle in a wider</w:t>
      </w:r>
    </w:p>
    <w:p>
      <w:pPr>
        <w:pStyle w:val="Normal"/>
        <w:jc w:val="left"/>
        <w:rPr>
          <w:rFonts w:ascii="Plantin" w:hAnsi="Plantin" w:eastAsia="Calibri" w:cs="Plantin"/>
          <w:sz w:val="20"/>
          <w:szCs w:val="20"/>
        </w:rPr>
      </w:pPr>
      <w:r>
        <w:rPr>
          <w:rFonts w:eastAsia="Calibri" w:cs="Plantin" w:ascii="Plantin" w:hAnsi="Plantin"/>
          <w:sz w:val="20"/>
          <w:szCs w:val="20"/>
        </w:rPr>
        <w:t>conceptual space, yet not in a way that Aristotle would have anticipated. It</w:t>
      </w:r>
    </w:p>
    <w:p>
      <w:pPr>
        <w:pStyle w:val="Normal"/>
        <w:jc w:val="left"/>
        <w:rPr>
          <w:rFonts w:ascii="Plantin" w:hAnsi="Plantin" w:eastAsia="Calibri" w:cs="Plantin"/>
          <w:sz w:val="20"/>
          <w:szCs w:val="20"/>
        </w:rPr>
      </w:pPr>
      <w:r>
        <w:rPr>
          <w:rFonts w:eastAsia="Calibri" w:cs="Plantin" w:ascii="Plantin" w:hAnsi="Plantin"/>
          <w:sz w:val="20"/>
          <w:szCs w:val="20"/>
        </w:rPr>
        <w:t>is just that the positive appearance and disappearance of things happens in</w:t>
      </w:r>
    </w:p>
    <w:p>
      <w:pPr>
        <w:pStyle w:val="Normal"/>
        <w:jc w:val="left"/>
        <w:rPr>
          <w:rFonts w:ascii="Plantin" w:hAnsi="Plantin" w:eastAsia="Calibri" w:cs="Plantin"/>
          <w:sz w:val="20"/>
          <w:szCs w:val="20"/>
        </w:rPr>
      </w:pPr>
      <w:r>
        <w:rPr>
          <w:rFonts w:eastAsia="Calibri" w:cs="Plantin" w:ascii="Plantin" w:hAnsi="Plantin"/>
          <w:sz w:val="20"/>
          <w:szCs w:val="20"/>
        </w:rPr>
        <w:t>the sensual realm, not in some quality-free zone “beneath” it. And this is not</w:t>
      </w:r>
    </w:p>
    <w:p>
      <w:pPr>
        <w:pStyle w:val="Storybodytext"/>
        <w:spacing w:before="0" w:after="270"/>
        <w:rPr>
          <w:rFonts w:ascii="Plantin" w:hAnsi="Plantin" w:eastAsia="Calibri" w:cs="Plantin"/>
          <w:sz w:val="20"/>
          <w:szCs w:val="20"/>
        </w:rPr>
      </w:pPr>
      <w:r>
        <w:rPr>
          <w:rFonts w:eastAsia="Calibri" w:cs="Plantin" w:ascii="Plantin" w:hAnsi="Plantin"/>
          <w:sz w:val="20"/>
          <w:szCs w:val="20"/>
        </w:rPr>
        <w:t>because there are no real substances, but because indeed there are. (225)</w:t>
      </w:r>
    </w:p>
    <w:p>
      <w:pPr>
        <w:pStyle w:val="Storybodytext"/>
        <w:spacing w:before="0" w:after="270"/>
        <w:rPr>
          <w:rFonts w:ascii="Plantin" w:hAnsi="Plantin" w:eastAsia="Calibri" w:cs="Plantin"/>
          <w:sz w:val="20"/>
          <w:szCs w:val="20"/>
        </w:rPr>
      </w:pPr>
      <w:r>
        <w:rPr>
          <w:rFonts w:eastAsia="Calibri" w:cs="Plantin" w:ascii="Plantin" w:hAnsi="Plantin"/>
          <w:sz w:val="20"/>
          <w:szCs w:val="20"/>
        </w:rPr>
      </w:r>
    </w:p>
    <w:p>
      <w:pPr>
        <w:pStyle w:val="Normal"/>
        <w:rPr/>
      </w:pPr>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pStyle w:val="Normal"/>
        <w:rPr>
          <w:rFonts w:eastAsia="Calibri"/>
        </w:rPr>
      </w:pPr>
      <w:r>
        <w:rPr>
          <w:rFonts w:eastAsia="Calibri"/>
        </w:rPr>
        <w:t>University of Minnesota Press, 2012), 1–34</w:t>
      </w:r>
    </w:p>
    <w:p>
      <w:pPr>
        <w:pStyle w:val="Normal"/>
        <w:jc w:val="left"/>
        <w:rPr/>
      </w:pPr>
      <w:r>
        <w:rPr>
          <w:rFonts w:eastAsia="Calibri"/>
        </w:rPr>
        <w:t xml:space="preserve">Ian Bogost thinks objects as units: </w:t>
      </w:r>
      <w:r>
        <w:rPr>
          <w:rFonts w:eastAsia="Calibri"/>
          <w:i/>
          <w:iCs/>
        </w:rPr>
        <w:t>Unit Operations: An Approach to Videogame</w:t>
      </w:r>
    </w:p>
    <w:p>
      <w:pPr>
        <w:pStyle w:val="Normal"/>
        <w:rPr/>
      </w:pPr>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pStyle w:val="Storybodytext"/>
        <w:spacing w:before="0" w:after="270"/>
        <w:rPr>
          <w:rFonts w:ascii="Arial" w:hAnsi="Arial" w:eastAsia="Calibri" w:cs="Arial"/>
          <w:color w:val="FF0000"/>
        </w:rPr>
      </w:pPr>
      <w:r>
        <w:rPr>
          <w:rFonts w:eastAsia="Calibri" w:cs="Arial" w:ascii="Arial" w:hAnsi="Arial"/>
          <w:color w:val="FF0000"/>
        </w:rPr>
      </w:r>
    </w:p>
    <w:p>
      <w:pPr>
        <w:pStyle w:val="Normal"/>
        <w:jc w:val="left"/>
        <w:rPr/>
      </w:pPr>
      <w:r>
        <w:rPr>
          <w:rFonts w:eastAsia="Calibri" w:cs="Plantin" w:ascii="Plantin" w:hAnsi="Plantin"/>
          <w:sz w:val="19"/>
          <w:szCs w:val="19"/>
        </w:rPr>
        <w:t>Ian Bogost, one of the founders of object-oriented ontology (</w:t>
      </w:r>
      <w:r>
        <w:rPr>
          <w:rFonts w:eastAsia="PlantinExpert" w:cs="PlantinExpert" w:ascii="PlantinExpert" w:hAnsi="PlantinExpert"/>
          <w:sz w:val="19"/>
          <w:szCs w:val="19"/>
        </w:rPr>
        <w:t>ooo</w:t>
      </w:r>
      <w:r>
        <w:rPr>
          <w:rFonts w:eastAsia="Calibri" w:cs="Plantin" w:ascii="Plantin" w:hAnsi="Plantin"/>
          <w:sz w:val="19"/>
          <w:szCs w:val="19"/>
        </w:rPr>
        <w:t>),</w:t>
      </w:r>
    </w:p>
    <w:p>
      <w:pPr>
        <w:pStyle w:val="Normal"/>
        <w:jc w:val="left"/>
        <w:rPr>
          <w:rFonts w:ascii="Plantin" w:hAnsi="Plantin" w:eastAsia="Calibri" w:cs="Plantin"/>
          <w:sz w:val="19"/>
          <w:szCs w:val="19"/>
        </w:rPr>
      </w:pPr>
      <w:r>
        <w:rPr>
          <w:rFonts w:eastAsia="Calibri" w:cs="Plantin" w:ascii="Plantin" w:hAnsi="Plantin"/>
          <w:sz w:val="19"/>
          <w:szCs w:val="19"/>
        </w:rPr>
        <w:t>gave me the title at a highly spiced brainstorming session in Los Angeles</w:t>
      </w:r>
    </w:p>
    <w:p>
      <w:pPr>
        <w:pStyle w:val="Normal"/>
        <w:jc w:val="left"/>
        <w:rPr>
          <w:rFonts w:ascii="Plantin" w:hAnsi="Plantin" w:eastAsia="Calibri" w:cs="Plantin"/>
          <w:sz w:val="19"/>
          <w:szCs w:val="19"/>
        </w:rPr>
      </w:pPr>
      <w:r>
        <w:rPr>
          <w:rFonts w:eastAsia="Calibri" w:cs="Plantin" w:ascii="Plantin" w:hAnsi="Plantin"/>
          <w:sz w:val="19"/>
          <w:szCs w:val="19"/>
        </w:rPr>
        <w:t>in December 2010, and since then has shared his thinking in the most</w:t>
      </w:r>
    </w:p>
    <w:p>
      <w:pPr>
        <w:pStyle w:val="Storybodytext"/>
        <w:spacing w:before="0" w:after="270"/>
        <w:rPr/>
      </w:pPr>
      <w:r>
        <w:rPr>
          <w:rFonts w:eastAsia="Calibri" w:cs="Plantin" w:ascii="Plantin" w:hAnsi="Plantin"/>
          <w:sz w:val="19"/>
          <w:szCs w:val="19"/>
        </w:rPr>
        <w:t xml:space="preserve">generous ways possible. (in Morton 2013, </w:t>
      </w:r>
      <w:r>
        <w:rPr>
          <w:rFonts w:eastAsia="Calibri" w:cs="AkzidenzGroteskBE-Md" w:ascii="AkzidenzGroteskBE-Md" w:hAnsi="AkzidenzGroteskBE-Md"/>
          <w:sz w:val="22"/>
          <w:szCs w:val="22"/>
        </w:rPr>
        <w:t xml:space="preserve">Acknowledgments) </w:t>
      </w:r>
    </w:p>
    <w:p>
      <w:pPr>
        <w:pStyle w:val="Normal"/>
        <w:jc w:val="left"/>
        <w:rPr/>
      </w:pPr>
      <w:r>
        <w:rPr>
          <w:rFonts w:eastAsia="PlantinExpert" w:cs="PlantinExpert" w:ascii="PlantinExpert" w:hAnsi="PlantinExpert"/>
          <w:sz w:val="19"/>
          <w:szCs w:val="19"/>
        </w:rPr>
        <w:t xml:space="preserve">ooo </w:t>
      </w:r>
      <w:r>
        <w:rPr>
          <w:rFonts w:eastAsia="PlantinExpert" w:cs="Plantin" w:ascii="Plantin" w:hAnsi="Plantin"/>
          <w:sz w:val="19"/>
          <w:szCs w:val="19"/>
        </w:rPr>
        <w:t xml:space="preserve">objects are </w:t>
      </w:r>
      <w:r>
        <w:rPr>
          <w:rFonts w:eastAsia="PlantinExpert" w:cs="Plantin-Italic" w:ascii="Plantin-Italic" w:hAnsi="Plantin-Italic"/>
          <w:i/>
          <w:iCs/>
          <w:sz w:val="19"/>
          <w:szCs w:val="19"/>
        </w:rPr>
        <w:t>units</w:t>
      </w:r>
      <w:r>
        <w:rPr>
          <w:rFonts w:eastAsia="PlantinExpert" w:cs="Plantin" w:ascii="Plantin" w:hAnsi="Plantin"/>
          <w:sz w:val="19"/>
          <w:szCs w:val="19"/>
        </w:rPr>
        <w:t>, in Bogost's elegant terminology.</w:t>
      </w:r>
      <w:r>
        <w:rPr>
          <w:rFonts w:eastAsia="PlantinExpert" w:cs="Plantin" w:ascii="Plantin" w:hAnsi="Plantin"/>
          <w:sz w:val="11"/>
          <w:szCs w:val="11"/>
        </w:rPr>
        <w:t xml:space="preserve">27 </w:t>
      </w:r>
      <w:r>
        <w:rPr>
          <w:rFonts w:eastAsia="PlantinExpert" w:cs="Plantin" w:ascii="Plantin" w:hAnsi="Plantin"/>
          <w:sz w:val="19"/>
          <w:szCs w:val="19"/>
        </w:rPr>
        <w:t>A football team</w:t>
      </w:r>
    </w:p>
    <w:p>
      <w:pPr>
        <w:pStyle w:val="Normal"/>
        <w:jc w:val="left"/>
        <w:rPr>
          <w:rFonts w:ascii="Plantin" w:hAnsi="Plantin" w:eastAsia="PlantinExpert" w:cs="Plantin"/>
          <w:sz w:val="19"/>
          <w:szCs w:val="19"/>
        </w:rPr>
      </w:pPr>
      <w:r>
        <w:rPr>
          <w:rFonts w:eastAsia="PlantinExpert" w:cs="Plantin" w:ascii="Plantin" w:hAnsi="Plantin"/>
          <w:sz w:val="19"/>
          <w:szCs w:val="19"/>
        </w:rPr>
        <w:t>is a unit. A cloud is a unit. A quantum is a unit. Indeed, quantum theory</w:t>
      </w:r>
    </w:p>
    <w:p>
      <w:pPr>
        <w:pStyle w:val="Storybodytext"/>
        <w:spacing w:before="0" w:after="270"/>
        <w:rPr>
          <w:rFonts w:ascii="Plantin" w:hAnsi="Plantin" w:eastAsia="PlantinExpert" w:cs="Plantin"/>
          <w:color w:val="111111"/>
          <w:sz w:val="19"/>
          <w:szCs w:val="19"/>
        </w:rPr>
      </w:pPr>
      <w:r>
        <w:rPr>
          <w:rFonts w:eastAsia="PlantinExpert" w:cs="Plantin" w:ascii="Plantin" w:hAnsi="Plantin"/>
          <w:color w:val="111111"/>
          <w:sz w:val="19"/>
          <w:szCs w:val="19"/>
        </w:rPr>
        <w:t>works so beautifully precisely because it is unit based. (Morton 2013, p. 169)</w:t>
      </w:r>
    </w:p>
    <w:p>
      <w:pPr>
        <w:pStyle w:val="Storybodytext"/>
        <w:spacing w:before="0" w:after="270"/>
        <w:rPr>
          <w:rFonts w:ascii="Plantin" w:hAnsi="Plantin" w:eastAsia="PlantinExpert" w:cs="Plantin"/>
          <w:color w:val="111111"/>
          <w:sz w:val="19"/>
          <w:szCs w:val="19"/>
        </w:rPr>
      </w:pPr>
      <w:r>
        <w:rPr>
          <w:rFonts w:eastAsia="PlantinExpert" w:cs="Plantin" w:ascii="Plantin" w:hAnsi="Plantin"/>
          <w:color w:val="111111"/>
          <w:sz w:val="19"/>
          <w:szCs w:val="19"/>
        </w:rPr>
      </w:r>
    </w:p>
    <w:p>
      <w:pPr>
        <w:pStyle w:val="Heading1"/>
        <w:keepNext w:val="false"/>
        <w:keepLines w:val="false"/>
        <w:widowControl/>
        <w:shd w:val="clear" w:fill="F9F9F9"/>
        <w:spacing w:beforeAutospacing="0" w:before="0" w:afterAutospacing="0" w:after="0"/>
        <w:ind w:left="0" w:right="0" w:hanging="0"/>
        <w:rPr/>
      </w:pPr>
      <w:r>
        <w:rPr>
          <w:rFonts w:eastAsia="Arial" w:cs="Arial" w:ascii="Arial" w:hAnsi="Arial"/>
          <w:i w:val="false"/>
          <w:caps w:val="false"/>
          <w:smallCaps w:val="false"/>
          <w:spacing w:val="0"/>
          <w:shd w:fill="F9F9F9" w:val="clear"/>
        </w:rPr>
        <w:t>Alternate Realities from Relativity | Jason Padgett | TEDxTacoma</w:t>
      </w:r>
      <w:r>
        <w:rPr>
          <w:rFonts w:eastAsia="Arial" w:cs="Arial" w:ascii="Arial" w:hAnsi="Arial"/>
          <w:i w:val="false"/>
          <w:caps w:val="false"/>
          <w:smallCaps w:val="false"/>
          <w:spacing w:val="0"/>
          <w:shd w:fill="F9F9F9" w:val="clear"/>
          <w:lang w:val="en-US"/>
        </w:rPr>
        <w:t xml:space="preserve">, at </w:t>
      </w:r>
      <w:hyperlink r:id="rId469">
        <w:r>
          <w:rPr>
            <w:rStyle w:val="InternetLink"/>
            <w:rFonts w:eastAsia="SimSun" w:cs="SimSun" w:ascii="SimSun" w:hAnsi="SimSun"/>
            <w:sz w:val="24"/>
            <w:szCs w:val="24"/>
          </w:rPr>
          <w:t>https://www.youtube.com/watch?reload=9&amp;v=CyYQIcZacvA&amp;t=218s&amp;fbclid=IwAR1ABAO-k4upbPeEcfHxmWpyB-IAGt8DAoZ51MhYmPcysaWSqC3gCJNcvOw</w:t>
        </w:r>
      </w:hyperlink>
    </w:p>
    <w:p>
      <w:pPr>
        <w:pStyle w:val="Normal"/>
        <w:rPr>
          <w:rFonts w:ascii="SimSun" w:hAnsi="SimSun" w:eastAsia="SimSun" w:cs="SimSun"/>
          <w:sz w:val="24"/>
          <w:szCs w:val="24"/>
          <w:lang w:val="en-US"/>
        </w:rPr>
      </w:pPr>
      <w:r>
        <w:rPr>
          <w:rFonts w:eastAsia="SimSun" w:cs="SimSun" w:ascii="SimSun" w:hAnsi="SimSun"/>
          <w:sz w:val="24"/>
          <w:szCs w:val="24"/>
          <w:lang w:val="en-US"/>
        </w:rPr>
        <w:t xml:space="preserve"> </w:t>
      </w:r>
      <w:r>
        <w:rPr>
          <w:rFonts w:eastAsia="SimSun" w:cs="SimSun" w:ascii="SimSun" w:hAnsi="SimSun"/>
          <w:sz w:val="24"/>
          <w:szCs w:val="24"/>
          <w:lang w:val="en-US"/>
        </w:rPr>
        <w:t>(I saw this clip in April 2020)(He has a book written in 2014)</w:t>
      </w:r>
    </w:p>
    <w:p>
      <w:pPr>
        <w:pStyle w:val="Normal"/>
        <w:rPr>
          <w:rFonts w:ascii="SimSun" w:hAnsi="SimSun" w:eastAsia="SimSun" w:cs="SimSun"/>
          <w:sz w:val="24"/>
          <w:szCs w:val="24"/>
          <w:lang w:val="en-US"/>
        </w:rPr>
      </w:pPr>
      <w:r>
        <w:rPr>
          <w:rFonts w:eastAsia="SimSun" w:cs="SimSun" w:ascii="SimSun" w:hAnsi="SimSun"/>
          <w:sz w:val="24"/>
          <w:szCs w:val="24"/>
          <w:lang w:val="en-US"/>
        </w:rPr>
        <w:t xml:space="preserve">- the main idea is about “alternate realities from relativity” I wrote exactly this idea in my PhD thesis, my book 2008, 2010, 2012, 2016 (Springer) and some articles. </w:t>
      </w:r>
    </w:p>
    <w:p>
      <w:pPr>
        <w:pStyle w:val="Normal"/>
        <w:rPr>
          <w:rFonts w:ascii="SimSun" w:hAnsi="SimSun" w:eastAsia="SimSun" w:cs="SimSun"/>
          <w:sz w:val="24"/>
          <w:szCs w:val="24"/>
          <w:lang w:val="en-US"/>
        </w:rPr>
      </w:pPr>
      <w:r>
        <w:rPr>
          <w:rFonts w:eastAsia="SimSun" w:cs="SimSun" w:ascii="SimSun" w:hAnsi="SimSun"/>
          <w:sz w:val="24"/>
          <w:szCs w:val="24"/>
          <w:lang w:val="en-US"/>
        </w:rPr>
      </w:r>
    </w:p>
    <w:p>
      <w:pPr>
        <w:pStyle w:val="Normal"/>
        <w:spacing w:before="0" w:after="0"/>
        <w:contextualSpacing/>
        <w:rPr>
          <w:sz w:val="40"/>
          <w:szCs w:val="40"/>
          <w:lang w:val="en-US"/>
        </w:rPr>
      </w:pPr>
      <w:r>
        <w:rPr>
          <w:b/>
          <w:bCs/>
          <w:sz w:val="40"/>
          <w:szCs w:val="40"/>
          <w:lang w:val="en-US"/>
        </w:rPr>
        <w:t>2020</w:t>
      </w:r>
    </w:p>
    <w:p>
      <w:pPr>
        <w:pStyle w:val="Normal"/>
        <w:keepNext w:val="false"/>
        <w:keepLines w:val="false"/>
        <w:widowControl/>
        <w:jc w:val="left"/>
        <w:rPr>
          <w:rFonts w:ascii="AdvPTimes" w:hAnsi="AdvPTimes" w:eastAsia="AdvPTimes" w:cs="AdvPTimes"/>
          <w:color w:val="000000"/>
          <w:kern w:val="0"/>
          <w:sz w:val="15"/>
          <w:szCs w:val="15"/>
          <w:lang w:val="en-US" w:eastAsia="zh-CN" w:bidi="ar"/>
        </w:rPr>
      </w:pPr>
      <w:r>
        <w:rPr>
          <w:rFonts w:eastAsia="AdvPTimes" w:cs="AdvPTimes" w:ascii="AdvPTimes" w:hAnsi="AdvPTimes"/>
          <w:color w:val="000000"/>
          <w:kern w:val="0"/>
          <w:sz w:val="15"/>
          <w:szCs w:val="15"/>
          <w:lang w:val="en-US" w:eastAsia="zh-CN" w:bidi="ar"/>
        </w:rPr>
      </w:r>
    </w:p>
    <w:p>
      <w:pPr>
        <w:pStyle w:val="Normal"/>
        <w:keepNext w:val="false"/>
        <w:keepLines w:val="false"/>
        <w:widowControl/>
        <w:jc w:val="left"/>
        <w:rPr>
          <w:rFonts w:ascii="Times New Roman" w:hAnsi="Times New Roman" w:cs="Times New Roman"/>
          <w:b/>
          <w:b/>
          <w:bCs/>
          <w:sz w:val="24"/>
          <w:szCs w:val="24"/>
        </w:rPr>
      </w:pPr>
      <w:r>
        <w:rPr>
          <w:rFonts w:eastAsia="AdvPTimes" w:cs="Times New Roman"/>
          <w:b/>
          <w:bCs/>
          <w:color w:val="000000"/>
          <w:kern w:val="0"/>
          <w:sz w:val="24"/>
          <w:szCs w:val="24"/>
          <w:lang w:val="en-US" w:eastAsia="zh-CN" w:bidi="ar"/>
        </w:rPr>
        <w:t xml:space="preserve">Uzan Pierre (2014) On the nature of psychophysical correlations. </w:t>
      </w:r>
      <w:r>
        <w:rPr>
          <w:rFonts w:eastAsia="AdvPTimes" w:cs="Times New Roman"/>
          <w:b/>
          <w:bCs/>
          <w:i/>
          <w:iCs/>
          <w:color w:val="000000"/>
          <w:kern w:val="0"/>
          <w:sz w:val="24"/>
          <w:szCs w:val="24"/>
          <w:lang w:val="en-US" w:eastAsia="zh-CN" w:bidi="ar"/>
        </w:rPr>
        <w:t>Mind Matter</w:t>
      </w:r>
      <w:r>
        <w:rPr>
          <w:rFonts w:eastAsia="AdvPTimes" w:cs="Times New Roman"/>
          <w:b/>
          <w:bCs/>
          <w:color w:val="000000"/>
          <w:kern w:val="0"/>
          <w:sz w:val="24"/>
          <w:szCs w:val="24"/>
          <w:lang w:val="en-US" w:eastAsia="zh-CN" w:bidi="ar"/>
        </w:rPr>
        <w:t xml:space="preserve"> 12(1):7–36 </w:t>
      </w:r>
    </w:p>
    <w:p>
      <w:pPr>
        <w:pStyle w:val="Normal"/>
        <w:keepNext w:val="false"/>
        <w:keepLines w:val="false"/>
        <w:widowControl/>
        <w:jc w:val="left"/>
        <w:rPr>
          <w:rFonts w:ascii="Times New Roman" w:hAnsi="Times New Roman" w:eastAsia="AdvPTimes" w:cs="Times New Roman"/>
          <w:color w:val="000000"/>
          <w:kern w:val="0"/>
          <w:sz w:val="24"/>
          <w:szCs w:val="24"/>
          <w:lang w:val="en-US" w:eastAsia="zh-CN" w:bidi="ar"/>
        </w:rPr>
      </w:pPr>
      <w:r>
        <w:rPr>
          <w:rFonts w:cs="Times New Roman"/>
          <w:b/>
          <w:bCs/>
          <w:sz w:val="24"/>
          <w:szCs w:val="24"/>
          <w:lang w:val="en-US"/>
        </w:rPr>
        <w:t xml:space="preserve">Uzan </w:t>
      </w:r>
      <w:r>
        <w:rPr>
          <w:rFonts w:eastAsia="AdvPTimes" w:cs="Times New Roman"/>
          <w:b/>
          <w:bCs/>
          <w:color w:val="000000"/>
          <w:kern w:val="0"/>
          <w:sz w:val="24"/>
          <w:szCs w:val="24"/>
          <w:lang w:val="en-US" w:eastAsia="zh-CN" w:bidi="ar"/>
        </w:rPr>
        <w:t xml:space="preserve">Pierre </w:t>
      </w:r>
      <w:r>
        <w:rPr>
          <w:rFonts w:cs="Times New Roman"/>
          <w:b/>
          <w:bCs/>
          <w:sz w:val="24"/>
          <w:szCs w:val="24"/>
          <w:lang w:val="en-US"/>
        </w:rPr>
        <w:t xml:space="preserve">(2017) </w:t>
      </w:r>
      <w:r>
        <w:rPr>
          <w:rFonts w:eastAsia="AdvPTimesB" w:cs="Times New Roman"/>
          <w:b/>
          <w:bCs/>
          <w:color w:val="000000"/>
          <w:kern w:val="0"/>
          <w:sz w:val="24"/>
          <w:szCs w:val="24"/>
          <w:lang w:val="en-US" w:eastAsia="zh-CN" w:bidi="ar"/>
        </w:rPr>
        <w:t xml:space="preserve">Deciding the Mind–Body Problem Experimentally, </w:t>
      </w:r>
      <w:r>
        <w:rPr>
          <w:rFonts w:eastAsia="AdvPTimes" w:cs="Times New Roman"/>
          <w:b/>
          <w:bCs/>
          <w:i/>
          <w:iCs/>
          <w:color w:val="000000"/>
          <w:kern w:val="0"/>
          <w:sz w:val="24"/>
          <w:szCs w:val="24"/>
          <w:lang w:val="en-US" w:eastAsia="zh-CN" w:bidi="ar"/>
        </w:rPr>
        <w:t xml:space="preserve">Axiomathes </w:t>
      </w:r>
      <w:r>
        <w:rPr>
          <w:rFonts w:eastAsia="AdvPTimes" w:cs="Times New Roman"/>
          <w:b/>
          <w:bCs/>
          <w:color w:val="000000"/>
          <w:kern w:val="0"/>
          <w:sz w:val="24"/>
          <w:szCs w:val="24"/>
          <w:lang w:val="en-US" w:eastAsia="zh-CN" w:bidi="ar"/>
        </w:rPr>
        <w:t>(2017) 27:333–354</w:t>
      </w:r>
    </w:p>
    <w:p>
      <w:pPr>
        <w:pStyle w:val="Normal"/>
        <w:keepNext w:val="false"/>
        <w:keepLines w:val="false"/>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r>
    </w:p>
    <w:p>
      <w:pPr>
        <w:pStyle w:val="Normal"/>
        <w:keepNext w:val="false"/>
        <w:keepLines w:val="false"/>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these articles, Uzan wrote about “correlations” between mind and brain exactly in the same manner as I wrote in my works in 2002, 2003, 2005, 2007, etc.!!! Exactly as I did in my PhD thesis (2007) and other works (2008, 2010, 2011, 2012), Uzan claim these correlations are available for quantum systems. I investigated these notions EXACTLY as Uzan did in his articles!!! </w:t>
      </w:r>
    </w:p>
    <w:p>
      <w:pPr>
        <w:pStyle w:val="Normal"/>
        <w:keepNext w:val="false"/>
        <w:keepLines w:val="false"/>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Working within the EDWs perspective, I use “correspondences”, working within the unicorn world, Uzan uses already used notion, “correlations”.]</w:t>
      </w:r>
    </w:p>
    <w:p>
      <w:pPr>
        <w:pStyle w:val="Normal"/>
        <w:keepNext w:val="false"/>
        <w:keepLines w:val="false"/>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r>
    </w:p>
    <w:p>
      <w:pPr>
        <w:pStyle w:val="Normal"/>
        <w:keepNext w:val="false"/>
        <w:keepLines w:val="false"/>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2014: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However, causal explanations of psychophysical correlations are faced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with the question of the </w:t>
      </w:r>
      <w:r>
        <w:rPr>
          <w:rFonts w:eastAsia="CMTI10" w:cs="CMTI10" w:ascii="CMTI10" w:hAnsi="CMTI10"/>
          <w:i/>
          <w:color w:val="000000"/>
          <w:kern w:val="0"/>
          <w:sz w:val="19"/>
          <w:szCs w:val="19"/>
          <w:lang w:val="en-US" w:eastAsia="zh-CN" w:bidi="ar"/>
        </w:rPr>
        <w:t xml:space="preserve">explanatory gap </w:t>
      </w:r>
      <w:r>
        <w:rPr>
          <w:rFonts w:eastAsia="CMR10" w:cs="CMR10" w:ascii="CMR10" w:hAnsi="CMR10"/>
          <w:color w:val="000000"/>
          <w:kern w:val="0"/>
          <w:sz w:val="19"/>
          <w:szCs w:val="19"/>
          <w:lang w:val="en-US" w:eastAsia="zh-CN" w:bidi="ar"/>
        </w:rPr>
        <w:t xml:space="preserve">(Chalmers 1996, Nagel 1974): </w:t>
      </w:r>
    </w:p>
    <w:p>
      <w:pPr>
        <w:pStyle w:val="Normal"/>
        <w:keepNext w:val="false"/>
        <w:keepLines w:val="false"/>
        <w:widowControl/>
        <w:jc w:val="left"/>
        <w:rPr/>
      </w:pPr>
      <w:r>
        <w:rPr>
          <w:rFonts w:eastAsia="CMR10" w:cs="CMR10" w:ascii="CMR10" w:hAnsi="CMR10"/>
          <w:color w:val="000000"/>
          <w:kern w:val="0"/>
          <w:sz w:val="19"/>
          <w:szCs w:val="19"/>
          <w:lang w:val="en-US" w:eastAsia="zh-CN" w:bidi="ar"/>
        </w:rPr>
        <w:t>How can complex neural processes, which are governed by material (bio</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physical or biochemical) laws, “give rise to” or “cause” </w:t>
      </w:r>
      <w:r>
        <w:rPr>
          <w:rFonts w:eastAsia="CMTI10" w:cs="CMTI10" w:ascii="CMTI10" w:hAnsi="CMTI10"/>
          <w:i/>
          <w:color w:val="000000"/>
          <w:kern w:val="0"/>
          <w:sz w:val="19"/>
          <w:szCs w:val="19"/>
          <w:lang w:val="en-US" w:eastAsia="zh-CN" w:bidi="ar"/>
        </w:rPr>
        <w:t>subjective experi</w:t>
      </w:r>
    </w:p>
    <w:p>
      <w:pPr>
        <w:pStyle w:val="Normal"/>
        <w:keepNext w:val="false"/>
        <w:keepLines w:val="false"/>
        <w:widowControl/>
        <w:jc w:val="left"/>
        <w:rPr/>
      </w:pPr>
      <w:r>
        <w:rPr>
          <w:rFonts w:eastAsia="CMTI10" w:cs="CMTI10" w:ascii="CMTI10" w:hAnsi="CMTI10"/>
          <w:i/>
          <w:color w:val="000000"/>
          <w:kern w:val="0"/>
          <w:sz w:val="19"/>
          <w:szCs w:val="19"/>
          <w:lang w:val="en-US" w:eastAsia="zh-CN" w:bidi="ar"/>
        </w:rPr>
        <w:t>ence</w:t>
      </w:r>
      <w:r>
        <w:rPr>
          <w:rFonts w:eastAsia="CMR10" w:cs="CMR10" w:ascii="CMR10" w:hAnsi="CMR10"/>
          <w:color w:val="000000"/>
          <w:kern w:val="0"/>
          <w:sz w:val="19"/>
          <w:szCs w:val="19"/>
          <w:lang w:val="en-US" w:eastAsia="zh-CN" w:bidi="ar"/>
        </w:rPr>
        <w:t xml:space="preserve">, that is, a sensible quality which is subject to a fifirst-person account?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How could an </w:t>
      </w:r>
      <w:r>
        <w:rPr>
          <w:rFonts w:eastAsia="CMTI10" w:cs="CMTI10" w:ascii="CMTI10" w:hAnsi="CMTI10"/>
          <w:i/>
          <w:color w:val="000000"/>
          <w:kern w:val="0"/>
          <w:sz w:val="19"/>
          <w:szCs w:val="19"/>
          <w:lang w:val="en-US" w:eastAsia="zh-CN" w:bidi="ar"/>
        </w:rPr>
        <w:t xml:space="preserve">objective description </w:t>
      </w:r>
      <w:r>
        <w:rPr>
          <w:rFonts w:eastAsia="CMR10" w:cs="CMR10" w:ascii="CMR10" w:hAnsi="CMR10"/>
          <w:color w:val="000000"/>
          <w:kern w:val="0"/>
          <w:sz w:val="19"/>
          <w:szCs w:val="19"/>
          <w:lang w:val="en-US" w:eastAsia="zh-CN" w:bidi="ar"/>
        </w:rPr>
        <w:t>of physiological processes, in a third</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person account, explain the private experience of a particular subject?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Moreover, a well-known logical argument, referring to the exclusion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of mental causation, has been proposed by prominent philosophers like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Kim (2006, Chaps. VII and X) to show how problematic it is to maintain, </w:t>
      </w:r>
    </w:p>
    <w:p>
      <w:pPr>
        <w:pStyle w:val="Normal"/>
        <w:keepNext w:val="false"/>
        <w:keepLines w:val="false"/>
        <w:widowControl/>
        <w:jc w:val="left"/>
        <w:rPr/>
      </w:pPr>
      <w:r>
        <w:rPr>
          <w:rFonts w:eastAsia="CMR10" w:cs="CMR10" w:ascii="CMR10" w:hAnsi="CMR10"/>
          <w:color w:val="000000"/>
          <w:kern w:val="0"/>
          <w:sz w:val="19"/>
          <w:szCs w:val="19"/>
          <w:lang w:val="en-US" w:eastAsia="zh-CN" w:bidi="ar"/>
        </w:rPr>
        <w:t>within a (non-reductive) materialist position, the effiffifficacy of mental cau</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sation. This argument claims that, in virtue of the causal closure of the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physical, the very notion of mental causation is illusory or superflfluous –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which leads to the epiphenomenalist position presented above and makes </w:t>
      </w:r>
    </w:p>
    <w:p>
      <w:pPr>
        <w:pStyle w:val="Normal"/>
        <w:keepNext w:val="false"/>
        <w:keepLines w:val="false"/>
        <w:widowControl/>
        <w:jc w:val="left"/>
        <w:rPr>
          <w:lang w:val="en-US"/>
        </w:rPr>
      </w:pPr>
      <w:r>
        <w:rPr>
          <w:rFonts w:eastAsia="CMR10" w:cs="CMR10" w:ascii="CMR10" w:hAnsi="CMR10"/>
          <w:color w:val="000000"/>
          <w:kern w:val="0"/>
          <w:sz w:val="19"/>
          <w:szCs w:val="19"/>
          <w:lang w:val="en-US" w:eastAsia="zh-CN" w:bidi="ar"/>
        </w:rPr>
        <w:t>problematic any concept of psychophysical causation. (p. 13)</w:t>
      </w:r>
    </w:p>
    <w:p>
      <w:pPr>
        <w:pStyle w:val="Normal"/>
        <w:keepNext w:val="false"/>
        <w:keepLines w:val="false"/>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According to Spinoza, there exists one infifinite, eternal substance (called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God or Nature) which is neither mind nor matter. Everything in reality is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considered as a mode or a modifification of this “psychophysically neutral”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substance. Mind and matter are conceived as two such modes, that is,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as two intelligible aspects which we can apprehend. In Spinoza’s system,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one can thus already fifind the idea of an </w:t>
      </w:r>
      <w:r>
        <w:rPr>
          <w:rFonts w:eastAsia="CMTI10" w:cs="CMTI10" w:ascii="CMTI10" w:hAnsi="CMTI10"/>
          <w:i/>
          <w:color w:val="000000"/>
          <w:kern w:val="0"/>
          <w:sz w:val="19"/>
          <w:szCs w:val="19"/>
          <w:lang w:val="en-US" w:eastAsia="zh-CN" w:bidi="ar"/>
        </w:rPr>
        <w:t xml:space="preserve">epistemic distinction </w:t>
      </w:r>
      <w:r>
        <w:rPr>
          <w:rFonts w:eastAsia="CMR10" w:cs="CMR10" w:ascii="CMR10" w:hAnsi="CMR10"/>
          <w:color w:val="000000"/>
          <w:kern w:val="0"/>
          <w:sz w:val="19"/>
          <w:szCs w:val="19"/>
          <w:lang w:val="en-US" w:eastAsia="zh-CN" w:bidi="ar"/>
        </w:rPr>
        <w:t xml:space="preserve">between the </w:t>
      </w:r>
    </w:p>
    <w:p>
      <w:pPr>
        <w:pStyle w:val="Normal"/>
        <w:keepNext w:val="false"/>
        <w:keepLines w:val="false"/>
        <w:widowControl/>
        <w:jc w:val="left"/>
        <w:rPr>
          <w:rFonts w:ascii="CMR10" w:hAnsi="CMR10" w:eastAsia="CMR10" w:cs="CMR10"/>
          <w:color w:val="000000"/>
          <w:kern w:val="0"/>
          <w:sz w:val="19"/>
          <w:szCs w:val="19"/>
          <w:lang w:val="en-US" w:eastAsia="zh-CN" w:bidi="ar"/>
        </w:rPr>
      </w:pPr>
      <w:r>
        <w:rPr>
          <w:rFonts w:eastAsia="CMR10" w:cs="CMR10" w:ascii="CMR10" w:hAnsi="CMR10"/>
          <w:color w:val="000000"/>
          <w:kern w:val="0"/>
          <w:sz w:val="19"/>
          <w:szCs w:val="19"/>
          <w:lang w:val="en-US" w:eastAsia="zh-CN" w:bidi="ar"/>
        </w:rPr>
        <w:t>mental and physical aspects of an underlying substance. (p. 13)</w:t>
      </w:r>
    </w:p>
    <w:p>
      <w:pPr>
        <w:pStyle w:val="Normal"/>
        <w:keepNext w:val="false"/>
        <w:keepLines w:val="false"/>
        <w:widowControl/>
        <w:jc w:val="left"/>
        <w:rPr>
          <w:rFonts w:ascii="CMR10" w:hAnsi="CMR10" w:eastAsia="CMR10" w:cs="CMR10"/>
          <w:color w:val="000000"/>
          <w:kern w:val="0"/>
          <w:sz w:val="19"/>
          <w:szCs w:val="19"/>
          <w:lang w:val="en-US" w:eastAsia="zh-CN" w:bidi="ar"/>
        </w:rPr>
      </w:pPr>
      <w:r>
        <w:rPr>
          <w:rFonts w:eastAsia="CMR10" w:cs="CMR10" w:ascii="CMR10" w:hAnsi="CMR10"/>
          <w:color w:val="000000"/>
          <w:kern w:val="0"/>
          <w:sz w:val="19"/>
          <w:szCs w:val="19"/>
          <w:lang w:val="en-US" w:eastAsia="zh-CN" w:bidi="ar"/>
        </w:rPr>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The method of constructing complementary observables that will be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suggested hereafter is very general and can be used in both somatic and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mental domains. It relies on the idea of a complementarity between what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R¨omer (2006) calls </w:t>
      </w:r>
      <w:r>
        <w:rPr>
          <w:rFonts w:eastAsia="CMTI10" w:cs="CMTI10" w:ascii="CMTI10" w:hAnsi="CMTI10"/>
          <w:i/>
          <w:color w:val="000000"/>
          <w:kern w:val="0"/>
          <w:sz w:val="19"/>
          <w:szCs w:val="19"/>
          <w:lang w:val="en-US" w:eastAsia="zh-CN" w:bidi="ar"/>
        </w:rPr>
        <w:t xml:space="preserve">substance </w:t>
      </w:r>
      <w:r>
        <w:rPr>
          <w:rFonts w:eastAsia="CMR10" w:cs="CMR10" w:ascii="CMR10" w:hAnsi="CMR10"/>
          <w:color w:val="000000"/>
          <w:kern w:val="0"/>
          <w:sz w:val="19"/>
          <w:szCs w:val="19"/>
          <w:lang w:val="en-US" w:eastAsia="zh-CN" w:bidi="ar"/>
        </w:rPr>
        <w:t xml:space="preserve">observables and </w:t>
      </w:r>
      <w:r>
        <w:rPr>
          <w:rFonts w:eastAsia="CMTI10" w:cs="CMTI10" w:ascii="CMTI10" w:hAnsi="CMTI10"/>
          <w:i/>
          <w:color w:val="000000"/>
          <w:kern w:val="0"/>
          <w:sz w:val="19"/>
          <w:szCs w:val="19"/>
          <w:lang w:val="en-US" w:eastAsia="zh-CN" w:bidi="ar"/>
        </w:rPr>
        <w:t xml:space="preserve">process </w:t>
      </w:r>
      <w:r>
        <w:rPr>
          <w:rFonts w:eastAsia="CMR10" w:cs="CMR10" w:ascii="CMR10" w:hAnsi="CMR10"/>
          <w:color w:val="000000"/>
          <w:kern w:val="0"/>
          <w:sz w:val="19"/>
          <w:szCs w:val="19"/>
          <w:lang w:val="en-US" w:eastAsia="zh-CN" w:bidi="ar"/>
        </w:rPr>
        <w:t xml:space="preserve">observables within </w:t>
      </w:r>
    </w:p>
    <w:p>
      <w:pPr>
        <w:pStyle w:val="Normal"/>
        <w:keepNext w:val="false"/>
        <w:keepLines w:val="false"/>
        <w:widowControl/>
        <w:jc w:val="left"/>
        <w:rPr/>
      </w:pPr>
      <w:r>
        <w:rPr>
          <w:rFonts w:eastAsia="CMR10" w:cs="CMR10" w:ascii="CMR10" w:hAnsi="CMR10"/>
          <w:color w:val="000000"/>
          <w:kern w:val="0"/>
          <w:sz w:val="19"/>
          <w:szCs w:val="19"/>
          <w:lang w:val="en-US" w:eastAsia="zh-CN" w:bidi="ar"/>
        </w:rPr>
        <w:t>the framework of the weak version of generalized quantum theory (At</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manspacher </w:t>
      </w:r>
      <w:r>
        <w:rPr>
          <w:rFonts w:eastAsia="CMTI10" w:cs="CMTI10" w:ascii="CMTI10" w:hAnsi="CMTI10"/>
          <w:i/>
          <w:color w:val="000000"/>
          <w:kern w:val="0"/>
          <w:sz w:val="19"/>
          <w:szCs w:val="19"/>
          <w:lang w:val="en-US" w:eastAsia="zh-CN" w:bidi="ar"/>
        </w:rPr>
        <w:t xml:space="preserve">et al. </w:t>
      </w:r>
      <w:r>
        <w:rPr>
          <w:rFonts w:eastAsia="CMR10" w:cs="CMR10" w:ascii="CMR10" w:hAnsi="CMR10"/>
          <w:color w:val="000000"/>
          <w:kern w:val="0"/>
          <w:sz w:val="19"/>
          <w:szCs w:val="19"/>
          <w:lang w:val="en-US" w:eastAsia="zh-CN" w:bidi="ar"/>
        </w:rPr>
        <w:t xml:space="preserve">2002). In the present context, substance observables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refer to timeless features of a system, like the description of its state (for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example, its position, its shape, or its color), and are compatible with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an inner time observable. In contrast, </w:t>
      </w:r>
      <w:r>
        <w:rPr>
          <w:rFonts w:eastAsia="CMTI10" w:cs="CMTI10" w:ascii="CMTI10" w:hAnsi="CMTI10"/>
          <w:i/>
          <w:color w:val="000000"/>
          <w:kern w:val="0"/>
          <w:sz w:val="19"/>
          <w:szCs w:val="19"/>
          <w:lang w:val="en-US" w:eastAsia="zh-CN" w:bidi="ar"/>
        </w:rPr>
        <w:t xml:space="preserve">process </w:t>
      </w:r>
      <w:r>
        <w:rPr>
          <w:rFonts w:eastAsia="CMR10" w:cs="CMR10" w:ascii="CMR10" w:hAnsi="CMR10"/>
          <w:color w:val="000000"/>
          <w:kern w:val="0"/>
          <w:sz w:val="19"/>
          <w:szCs w:val="19"/>
          <w:lang w:val="en-US" w:eastAsia="zh-CN" w:bidi="ar"/>
        </w:rPr>
        <w:t xml:space="preserve">observables are relative to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its change, to the transition between its possible, intermediate states and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are complementary to an inner time observable. The energy observable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of quantum physics is a typical example of a process observable since it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is related to the temporal evolution of a system. It is expressed by the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fact that a precise value of energy and a precise location in time cannot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be provided together with arbitrary accuracy.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We might think that this idea could be implemented in the fifield of </w:t>
      </w:r>
    </w:p>
    <w:p>
      <w:pPr>
        <w:pStyle w:val="Normal"/>
        <w:keepNext w:val="false"/>
        <w:keepLines w:val="false"/>
        <w:widowControl/>
        <w:jc w:val="left"/>
        <w:rPr/>
      </w:pPr>
      <w:r>
        <w:rPr>
          <w:rFonts w:eastAsia="CMR10" w:cs="CMR10" w:ascii="CMR10" w:hAnsi="CMR10"/>
          <w:color w:val="000000"/>
          <w:kern w:val="0"/>
          <w:sz w:val="19"/>
          <w:szCs w:val="19"/>
          <w:lang w:val="en-US" w:eastAsia="zh-CN" w:bidi="ar"/>
        </w:rPr>
        <w:t>psychosomatics by merely considering couples of properties that charac</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terize the state of an individual and its rate of change (which defifines a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process). For example, we could consider the couple of properties that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refer to the physiological parameters of the body (state description) and </w:t>
      </w:r>
    </w:p>
    <w:p>
      <w:pPr>
        <w:pStyle w:val="Normal"/>
        <w:keepNext w:val="false"/>
        <w:keepLines w:val="false"/>
        <w:widowControl/>
        <w:jc w:val="left"/>
        <w:rPr/>
      </w:pPr>
      <w:r>
        <w:rPr>
          <w:rFonts w:eastAsia="CMR10" w:cs="CMR10" w:ascii="CMR10" w:hAnsi="CMR10"/>
          <w:color w:val="000000"/>
          <w:kern w:val="0"/>
          <w:sz w:val="19"/>
          <w:szCs w:val="19"/>
          <w:lang w:val="en-US" w:eastAsia="zh-CN" w:bidi="ar"/>
        </w:rPr>
        <w:t>to those that determine the velocity of its metabolism (process descrip</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tion). In the mental domain, we could consider, for example, the couple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of properties that respectively measure the degree of emotional sensibility,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which contributes to the description of the mental </w:t>
      </w:r>
      <w:r>
        <w:rPr>
          <w:rFonts w:eastAsia="CMTI10" w:cs="CMTI10" w:ascii="CMTI10" w:hAnsi="CMTI10"/>
          <w:i/>
          <w:color w:val="000000"/>
          <w:kern w:val="0"/>
          <w:sz w:val="19"/>
          <w:szCs w:val="19"/>
          <w:lang w:val="en-US" w:eastAsia="zh-CN" w:bidi="ar"/>
        </w:rPr>
        <w:t>state</w:t>
      </w:r>
      <w:r>
        <w:rPr>
          <w:rFonts w:eastAsia="CMR10" w:cs="CMR10" w:ascii="CMR10" w:hAnsi="CMR10"/>
          <w:color w:val="000000"/>
          <w:kern w:val="0"/>
          <w:sz w:val="19"/>
          <w:szCs w:val="19"/>
          <w:lang w:val="en-US" w:eastAsia="zh-CN" w:bidi="ar"/>
        </w:rPr>
        <w:t xml:space="preserve">, and its rate of </w:t>
      </w:r>
    </w:p>
    <w:p>
      <w:pPr>
        <w:pStyle w:val="Normal"/>
        <w:keepNext w:val="false"/>
        <w:keepLines w:val="false"/>
        <w:widowControl/>
        <w:jc w:val="left"/>
        <w:rPr>
          <w:rFonts w:ascii="CMR10" w:hAnsi="CMR10" w:eastAsia="CMR10" w:cs="CMR10"/>
          <w:color w:val="000000"/>
          <w:kern w:val="0"/>
          <w:sz w:val="19"/>
          <w:szCs w:val="19"/>
          <w:lang w:val="en-US" w:eastAsia="zh-CN" w:bidi="ar"/>
        </w:rPr>
      </w:pPr>
      <w:r>
        <w:rPr>
          <w:rFonts w:eastAsia="CMR10" w:cs="CMR10" w:ascii="CMR10" w:hAnsi="CMR10"/>
          <w:color w:val="000000"/>
          <w:kern w:val="0"/>
          <w:sz w:val="19"/>
          <w:szCs w:val="19"/>
          <w:lang w:val="en-US" w:eastAsia="zh-CN" w:bidi="ar"/>
        </w:rPr>
        <w:t xml:space="preserve">change, which describes a </w:t>
      </w:r>
      <w:r>
        <w:rPr>
          <w:rFonts w:eastAsia="CMTI10" w:cs="CMTI10" w:ascii="CMTI10" w:hAnsi="CMTI10"/>
          <w:i/>
          <w:color w:val="000000"/>
          <w:kern w:val="0"/>
          <w:sz w:val="19"/>
          <w:szCs w:val="19"/>
          <w:lang w:val="en-US" w:eastAsia="zh-CN" w:bidi="ar"/>
        </w:rPr>
        <w:t>process</w:t>
      </w:r>
      <w:r>
        <w:rPr>
          <w:rFonts w:eastAsia="CMR10" w:cs="CMR10" w:ascii="CMR10" w:hAnsi="CMR10"/>
          <w:color w:val="000000"/>
          <w:kern w:val="0"/>
          <w:sz w:val="19"/>
          <w:szCs w:val="19"/>
          <w:lang w:val="en-US" w:eastAsia="zh-CN" w:bidi="ar"/>
        </w:rPr>
        <w:t>. (p. 22)</w:t>
      </w:r>
    </w:p>
    <w:p>
      <w:pPr>
        <w:pStyle w:val="Normal"/>
        <w:keepNext w:val="false"/>
        <w:keepLines w:val="false"/>
        <w:widowControl/>
        <w:jc w:val="left"/>
        <w:rPr>
          <w:rFonts w:ascii="CMR10" w:hAnsi="CMR10" w:eastAsia="CMR10" w:cs="CMR10"/>
          <w:color w:val="000000"/>
          <w:kern w:val="0"/>
          <w:sz w:val="19"/>
          <w:szCs w:val="19"/>
          <w:lang w:val="en-US" w:eastAsia="zh-CN" w:bidi="ar"/>
        </w:rPr>
      </w:pPr>
      <w:r>
        <w:rPr>
          <w:rFonts w:eastAsia="CMR10" w:cs="CMR10" w:ascii="CMR10" w:hAnsi="CMR10"/>
          <w:color w:val="000000"/>
          <w:kern w:val="0"/>
          <w:sz w:val="19"/>
          <w:szCs w:val="19"/>
          <w:lang w:val="en-US" w:eastAsia="zh-CN" w:bidi="ar"/>
        </w:rPr>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The problem of the nature of psychophysical correlations can be de- </w:t>
      </w:r>
    </w:p>
    <w:p>
      <w:pPr>
        <w:pStyle w:val="Normal"/>
        <w:keepNext w:val="false"/>
        <w:keepLines w:val="false"/>
        <w:widowControl/>
        <w:jc w:val="left"/>
        <w:rPr/>
      </w:pPr>
      <w:r>
        <w:rPr>
          <w:rFonts w:eastAsia="CMR10" w:cs="CMR10" w:ascii="CMR10" w:hAnsi="CMR10"/>
          <w:color w:val="000000"/>
          <w:kern w:val="0"/>
          <w:sz w:val="19"/>
          <w:szCs w:val="19"/>
          <w:lang w:val="en-US" w:eastAsia="zh-CN" w:bidi="ar"/>
        </w:rPr>
        <w:t>fifined and in principle decided using the quantum paradigm. Typical quan</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tum concepts (complementarity and entanglement) and the formalism in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which they are expressed provide us with powerful tools, which can be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used to tackle this diffiffifficult problem. The proposed strategy of decision is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conditioned by quantum concepts and the associated quantum formalism. </w:t>
      </w:r>
    </w:p>
    <w:p>
      <w:pPr>
        <w:pStyle w:val="Normal"/>
        <w:keepNext w:val="false"/>
        <w:keepLines w:val="false"/>
        <w:widowControl/>
        <w:jc w:val="left"/>
        <w:rPr/>
      </w:pPr>
      <w:r>
        <w:rPr>
          <w:rFonts w:eastAsia="CMR10" w:cs="CMR10" w:ascii="CMR10" w:hAnsi="CMR10"/>
          <w:color w:val="000000"/>
          <w:kern w:val="0"/>
          <w:sz w:val="19"/>
          <w:szCs w:val="19"/>
          <w:lang w:val="en-US" w:eastAsia="zh-CN" w:bidi="ar"/>
        </w:rPr>
        <w:t>The proposed strategy relies on a statistical test, namely an evalu</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ation of the psychophysical correlation factor involved in two Bell-type </w:t>
      </w:r>
    </w:p>
    <w:p>
      <w:pPr>
        <w:pStyle w:val="Normal"/>
        <w:keepNext w:val="false"/>
        <w:keepLines w:val="false"/>
        <w:widowControl/>
        <w:jc w:val="left"/>
        <w:rPr/>
      </w:pPr>
      <w:r>
        <w:rPr>
          <w:rFonts w:eastAsia="CMR10" w:cs="CMR10" w:ascii="CMR10" w:hAnsi="CMR10"/>
          <w:color w:val="000000"/>
          <w:kern w:val="0"/>
          <w:sz w:val="19"/>
          <w:szCs w:val="19"/>
          <w:lang w:val="en-US" w:eastAsia="zh-CN" w:bidi="ar"/>
        </w:rPr>
        <w:t>conditions which have been analyzed within the framework of a gener</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alized quantum theory and for continuous observables. This test must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be conducted for a signifificant number of difffferent sets of complementary </w:t>
      </w:r>
    </w:p>
    <w:p>
      <w:pPr>
        <w:pStyle w:val="Normal"/>
        <w:keepNext w:val="false"/>
        <w:keepLines w:val="false"/>
        <w:widowControl/>
        <w:jc w:val="left"/>
        <w:rPr/>
      </w:pPr>
      <w:r>
        <w:rPr>
          <w:rFonts w:eastAsia="CMR10" w:cs="CMR10" w:ascii="CMR10" w:hAnsi="CMR10"/>
          <w:color w:val="000000"/>
          <w:kern w:val="0"/>
          <w:sz w:val="19"/>
          <w:szCs w:val="19"/>
          <w:lang w:val="en-US" w:eastAsia="zh-CN" w:bidi="ar"/>
        </w:rPr>
        <w:t>observables and for difffferent psychosomatic states. If the resulting corre</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lation factor </w:t>
      </w:r>
      <w:r>
        <w:rPr>
          <w:rFonts w:eastAsia="CMMI10" w:cs="CMMI10" w:ascii="CMMI10" w:hAnsi="CMMI10"/>
          <w:i/>
          <w:color w:val="000000"/>
          <w:kern w:val="0"/>
          <w:sz w:val="19"/>
          <w:szCs w:val="19"/>
          <w:lang w:val="en-US" w:eastAsia="zh-CN" w:bidi="ar"/>
        </w:rPr>
        <w:t xml:space="preserve">R </w:t>
      </w:r>
      <w:r>
        <w:rPr>
          <w:rFonts w:eastAsia="CMR10" w:cs="CMR10" w:ascii="CMR10" w:hAnsi="CMR10"/>
          <w:color w:val="000000"/>
          <w:kern w:val="0"/>
          <w:sz w:val="19"/>
          <w:szCs w:val="19"/>
          <w:lang w:val="en-US" w:eastAsia="zh-CN" w:bidi="ar"/>
        </w:rPr>
        <w:t>lies in the interval [2</w:t>
      </w:r>
      <w:r>
        <w:rPr>
          <w:rFonts w:eastAsia="CMMI10" w:cs="CMMI10" w:ascii="CMMI10" w:hAnsi="CMMI10"/>
          <w:i/>
          <w:color w:val="000000"/>
          <w:kern w:val="0"/>
          <w:sz w:val="19"/>
          <w:szCs w:val="19"/>
          <w:lang w:val="en-US" w:eastAsia="zh-CN" w:bidi="ar"/>
        </w:rPr>
        <w:t>, β</w:t>
      </w:r>
      <w:r>
        <w:rPr>
          <w:rFonts w:eastAsia="CMMI7" w:cs="CMMI7" w:ascii="CMMI7" w:hAnsi="CMMI7"/>
          <w:i/>
          <w:color w:val="000000"/>
          <w:kern w:val="0"/>
          <w:sz w:val="13"/>
          <w:szCs w:val="13"/>
          <w:lang w:val="en-US" w:eastAsia="zh-CN" w:bidi="ar"/>
        </w:rPr>
        <w:t xml:space="preserve">J </w:t>
      </w:r>
      <w:r>
        <w:rPr>
          <w:rFonts w:eastAsia="CMR10" w:cs="CMR10" w:ascii="CMR10" w:hAnsi="CMR10"/>
          <w:color w:val="000000"/>
          <w:kern w:val="0"/>
          <w:sz w:val="19"/>
          <w:szCs w:val="19"/>
          <w:lang w:val="en-US" w:eastAsia="zh-CN" w:bidi="ar"/>
        </w:rPr>
        <w:t xml:space="preserve">], where </w:t>
      </w:r>
      <w:r>
        <w:rPr>
          <w:rFonts w:eastAsia="CMMI10" w:cs="CMMI10" w:ascii="CMMI10" w:hAnsi="CMMI10"/>
          <w:i/>
          <w:color w:val="000000"/>
          <w:kern w:val="0"/>
          <w:sz w:val="19"/>
          <w:szCs w:val="19"/>
          <w:lang w:val="en-US" w:eastAsia="zh-CN" w:bidi="ar"/>
        </w:rPr>
        <w:t>β</w:t>
      </w:r>
      <w:r>
        <w:rPr>
          <w:rFonts w:eastAsia="CMMI7" w:cs="CMMI7" w:ascii="CMMI7" w:hAnsi="CMMI7"/>
          <w:i/>
          <w:color w:val="000000"/>
          <w:kern w:val="0"/>
          <w:sz w:val="13"/>
          <w:szCs w:val="13"/>
          <w:lang w:val="en-US" w:eastAsia="zh-CN" w:bidi="ar"/>
        </w:rPr>
        <w:t xml:space="preserve">J </w:t>
      </w:r>
      <w:r>
        <w:rPr>
          <w:rFonts w:eastAsia="CMR10" w:cs="CMR10" w:ascii="CMR10" w:hAnsi="CMR10"/>
          <w:color w:val="000000"/>
          <w:kern w:val="0"/>
          <w:sz w:val="19"/>
          <w:szCs w:val="19"/>
          <w:lang w:val="en-US" w:eastAsia="zh-CN" w:bidi="ar"/>
        </w:rPr>
        <w:t xml:space="preserve">is the maximal value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of </w:t>
      </w:r>
      <w:r>
        <w:rPr>
          <w:rFonts w:eastAsia="CMMI10" w:cs="CMMI10" w:ascii="CMMI10" w:hAnsi="CMMI10"/>
          <w:i/>
          <w:color w:val="000000"/>
          <w:kern w:val="0"/>
          <w:sz w:val="19"/>
          <w:szCs w:val="19"/>
          <w:lang w:val="en-US" w:eastAsia="zh-CN" w:bidi="ar"/>
        </w:rPr>
        <w:t xml:space="preserve">R </w:t>
      </w:r>
      <w:r>
        <w:rPr>
          <w:rFonts w:eastAsia="CMR10" w:cs="CMR10" w:ascii="CMR10" w:hAnsi="CMR10"/>
          <w:color w:val="000000"/>
          <w:kern w:val="0"/>
          <w:sz w:val="19"/>
          <w:szCs w:val="19"/>
          <w:lang w:val="en-US" w:eastAsia="zh-CN" w:bidi="ar"/>
        </w:rPr>
        <w:t>under the no-signaling assumption, it can be concluded on an exper</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imental basis that </w:t>
      </w:r>
      <w:r>
        <w:rPr>
          <w:rFonts w:eastAsia="CMTI10" w:cs="CMTI10" w:ascii="CMTI10" w:hAnsi="CMTI10"/>
          <w:i/>
          <w:color w:val="000000"/>
          <w:kern w:val="0"/>
          <w:sz w:val="19"/>
          <w:szCs w:val="19"/>
          <w:lang w:val="en-US" w:eastAsia="zh-CN" w:bidi="ar"/>
        </w:rPr>
        <w:t xml:space="preserve">the psychosomatic correlations must be understood in </w:t>
      </w:r>
    </w:p>
    <w:p>
      <w:pPr>
        <w:pStyle w:val="Normal"/>
        <w:keepNext w:val="false"/>
        <w:keepLines w:val="false"/>
        <w:widowControl/>
        <w:jc w:val="left"/>
        <w:rPr/>
      </w:pPr>
      <w:r>
        <w:rPr>
          <w:rFonts w:eastAsia="CMTI10" w:cs="CMTI10" w:ascii="CMTI10" w:hAnsi="CMTI10"/>
          <w:i/>
          <w:color w:val="000000"/>
          <w:kern w:val="0"/>
          <w:sz w:val="19"/>
          <w:szCs w:val="19"/>
          <w:lang w:val="en-US" w:eastAsia="zh-CN" w:bidi="ar"/>
        </w:rPr>
        <w:t>terms of an entanglement relation</w:t>
      </w:r>
      <w:r>
        <w:rPr>
          <w:rFonts w:eastAsia="CMR10" w:cs="CMR10" w:ascii="CMR10" w:hAnsi="CMR10"/>
          <w:color w:val="000000"/>
          <w:kern w:val="0"/>
          <w:sz w:val="19"/>
          <w:szCs w:val="19"/>
          <w:lang w:val="en-US" w:eastAsia="zh-CN" w:bidi="ar"/>
        </w:rPr>
        <w:t xml:space="preserve">.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Such a fifinding would reject a picture of individuals as the place where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physiological processes and mental processes “interact” (like in Descartes’ </w:t>
      </w:r>
    </w:p>
    <w:p>
      <w:pPr>
        <w:pStyle w:val="Normal"/>
        <w:keepNext w:val="false"/>
        <w:keepLines w:val="false"/>
        <w:widowControl/>
        <w:jc w:val="left"/>
        <w:rPr/>
      </w:pPr>
      <w:r>
        <w:rPr>
          <w:rFonts w:eastAsia="CMR10" w:cs="CMR10" w:ascii="CMR10" w:hAnsi="CMR10"/>
          <w:color w:val="000000"/>
          <w:kern w:val="0"/>
          <w:sz w:val="19"/>
          <w:szCs w:val="19"/>
          <w:lang w:val="en-US" w:eastAsia="zh-CN" w:bidi="ar"/>
        </w:rPr>
        <w:t>interactionist dualism) and the view according to which mental proper</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ties causally “emerge” from the material brain and are capable, in turn,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of “acting” on it. It would confifirm a line of thought developed for a long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time by ancient Greek physicians like Hippocrates, by great philosophers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like Spinoza and, more recently, by psychosomaticians like Alexander and </w:t>
      </w:r>
    </w:p>
    <w:p>
      <w:pPr>
        <w:pStyle w:val="Normal"/>
        <w:keepNext w:val="false"/>
        <w:keepLines w:val="false"/>
        <w:widowControl/>
        <w:jc w:val="left"/>
        <w:rPr/>
      </w:pPr>
      <w:r>
        <w:rPr>
          <w:rFonts w:eastAsia="CMR10" w:cs="CMR10" w:ascii="CMR10" w:hAnsi="CMR10"/>
          <w:color w:val="000000"/>
          <w:kern w:val="0"/>
          <w:sz w:val="19"/>
          <w:szCs w:val="19"/>
          <w:lang w:val="en-US" w:eastAsia="zh-CN" w:bidi="ar"/>
        </w:rPr>
        <w:t>by contemporary scientists developing quantum-like approaches to sys</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tems outside physics. The individual must then be conceived of as an </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undivided totality whose parallel physiological and mental processes are </w:t>
      </w:r>
    </w:p>
    <w:p>
      <w:pPr>
        <w:pStyle w:val="Normal"/>
        <w:keepNext w:val="false"/>
        <w:keepLines w:val="false"/>
        <w:widowControl/>
        <w:jc w:val="left"/>
        <w:rPr/>
      </w:pPr>
      <w:r>
        <w:rPr>
          <w:rFonts w:eastAsia="CMR10" w:cs="CMR10" w:ascii="CMR10" w:hAnsi="CMR10"/>
          <w:color w:val="000000"/>
          <w:kern w:val="0"/>
          <w:sz w:val="19"/>
          <w:szCs w:val="19"/>
          <w:lang w:val="en-US" w:eastAsia="zh-CN" w:bidi="ar"/>
        </w:rPr>
        <w:t>strongly correlated according to a strictly defifined, quantum-like entangle</w:t>
      </w:r>
    </w:p>
    <w:p>
      <w:pPr>
        <w:pStyle w:val="Normal"/>
        <w:keepNext w:val="false"/>
        <w:keepLines w:val="false"/>
        <w:widowControl/>
        <w:jc w:val="left"/>
        <w:rPr>
          <w:lang w:val="en-US"/>
        </w:rPr>
      </w:pPr>
      <w:r>
        <w:rPr>
          <w:rFonts w:eastAsia="CMR10" w:cs="CMR10" w:ascii="CMR10" w:hAnsi="CMR10"/>
          <w:color w:val="000000"/>
          <w:kern w:val="0"/>
          <w:sz w:val="19"/>
          <w:szCs w:val="19"/>
          <w:lang w:val="en-US" w:eastAsia="zh-CN" w:bidi="ar"/>
        </w:rPr>
        <w:t>ment relation. (32)</w:t>
      </w:r>
    </w:p>
    <w:p>
      <w:pPr>
        <w:pStyle w:val="Normal"/>
        <w:keepNext w:val="false"/>
        <w:keepLines w:val="false"/>
        <w:widowControl/>
        <w:jc w:val="left"/>
        <w:rPr>
          <w:rFonts w:ascii="CMR10" w:hAnsi="CMR10" w:eastAsia="CMR10" w:cs="CMR10"/>
          <w:color w:val="000000"/>
          <w:kern w:val="0"/>
          <w:sz w:val="19"/>
          <w:szCs w:val="19"/>
          <w:lang w:val="en-US" w:eastAsia="zh-CN" w:bidi="ar"/>
        </w:rPr>
      </w:pPr>
      <w:r>
        <w:rPr>
          <w:rFonts w:eastAsia="CMR10" w:cs="CMR10" w:ascii="CMR10" w:hAnsi="CMR10"/>
          <w:color w:val="000000"/>
          <w:kern w:val="0"/>
          <w:sz w:val="19"/>
          <w:szCs w:val="19"/>
          <w:lang w:val="en-US" w:eastAsia="zh-CN" w:bidi="ar"/>
        </w:rPr>
      </w:r>
    </w:p>
    <w:p>
      <w:pPr>
        <w:pStyle w:val="Normal"/>
        <w:keepNext w:val="false"/>
        <w:keepLines w:val="false"/>
        <w:widowControl/>
        <w:jc w:val="left"/>
        <w:rPr/>
      </w:pPr>
      <w:r>
        <w:rPr>
          <w:rFonts w:eastAsia="CMR10" w:cs="CMR10" w:ascii="CMR10" w:hAnsi="CMR10"/>
          <w:color w:val="000000"/>
          <w:kern w:val="0"/>
          <w:sz w:val="19"/>
          <w:szCs w:val="19"/>
          <w:lang w:val="en-US" w:eastAsia="zh-CN" w:bidi="ar"/>
        </w:rPr>
        <w:t>Generalized quantum theory suggests that this origin lies in the “prepa</w:t>
      </w:r>
    </w:p>
    <w:p>
      <w:pPr>
        <w:pStyle w:val="Normal"/>
        <w:keepNext w:val="false"/>
        <w:keepLines w:val="false"/>
        <w:widowControl/>
        <w:jc w:val="left"/>
        <w:rPr/>
      </w:pPr>
      <w:r>
        <w:rPr>
          <w:rFonts w:eastAsia="CMR10" w:cs="CMR10" w:ascii="CMR10" w:hAnsi="CMR10"/>
          <w:color w:val="000000"/>
          <w:kern w:val="0"/>
          <w:sz w:val="19"/>
          <w:szCs w:val="19"/>
          <w:lang w:val="en-US" w:eastAsia="zh-CN" w:bidi="ar"/>
        </w:rPr>
        <w:t xml:space="preserve">ration process” of the system under investigation, namely, the individual – </w:t>
      </w:r>
    </w:p>
    <w:p>
      <w:pPr>
        <w:pStyle w:val="Normal"/>
        <w:keepNext w:val="false"/>
        <w:keepLines w:val="false"/>
        <w:widowControl/>
        <w:jc w:val="left"/>
        <w:rPr>
          <w:lang w:val="en-US"/>
        </w:rPr>
      </w:pPr>
      <w:r>
        <w:rPr>
          <w:rFonts w:eastAsia="CMR10" w:cs="CMR10" w:ascii="CMR10" w:hAnsi="CMR10"/>
          <w:color w:val="000000"/>
          <w:kern w:val="0"/>
          <w:sz w:val="19"/>
          <w:szCs w:val="19"/>
          <w:lang w:val="en-US" w:eastAsia="zh-CN" w:bidi="ar"/>
        </w:rPr>
        <w:t>in both its ontogenesis and its phylogenesis. (33)</w:t>
      </w:r>
    </w:p>
    <w:p>
      <w:pPr>
        <w:pStyle w:val="Normal"/>
        <w:keepNext w:val="false"/>
        <w:keepLines w:val="false"/>
        <w:widowControl/>
        <w:jc w:val="left"/>
        <w:rPr>
          <w:rFonts w:ascii="CMR10" w:hAnsi="CMR10" w:eastAsia="CMR10" w:cs="CMR10"/>
          <w:color w:val="000000"/>
          <w:kern w:val="0"/>
          <w:sz w:val="19"/>
          <w:szCs w:val="19"/>
          <w:lang w:val="en-US" w:eastAsia="zh-CN" w:bidi="ar"/>
        </w:rPr>
      </w:pPr>
      <w:r>
        <w:rPr>
          <w:rFonts w:eastAsia="CMR10" w:cs="CMR10" w:ascii="CMR10" w:hAnsi="CMR10"/>
          <w:color w:val="000000"/>
          <w:kern w:val="0"/>
          <w:sz w:val="19"/>
          <w:szCs w:val="19"/>
          <w:lang w:val="en-US" w:eastAsia="zh-CN" w:bidi="ar"/>
        </w:rPr>
      </w:r>
    </w:p>
    <w:p>
      <w:pPr>
        <w:pStyle w:val="Normal"/>
        <w:keepNext w:val="false"/>
        <w:keepLines w:val="false"/>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r>
    </w:p>
    <w:p>
      <w:pPr>
        <w:pStyle w:val="Normal"/>
        <w:keepNext w:val="false"/>
        <w:keepLines w:val="false"/>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r>
    </w:p>
    <w:p>
      <w:pPr>
        <w:pStyle w:val="Normal"/>
        <w:keepNext w:val="false"/>
        <w:keepLines w:val="false"/>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r>
    </w:p>
    <w:p>
      <w:pPr>
        <w:pStyle w:val="Normal"/>
        <w:keepNext w:val="false"/>
        <w:keepLines w:val="false"/>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his article (2017) </w:t>
      </w:r>
    </w:p>
    <w:p>
      <w:pPr>
        <w:pStyle w:val="Normal"/>
        <w:keepNext w:val="false"/>
        <w:keepLines w:val="false"/>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r>
    </w:p>
    <w:p>
      <w:pPr>
        <w:pStyle w:val="Normal"/>
        <w:keepNext w:val="false"/>
        <w:keepLines w:val="false"/>
        <w:widowControl/>
        <w:jc w:val="left"/>
        <w:rPr/>
      </w:pPr>
      <w:r>
        <w:rPr>
          <w:rFonts w:eastAsia="AdvPTimes" w:cs="Times New Roman"/>
          <w:color w:val="000000"/>
          <w:kern w:val="0"/>
          <w:sz w:val="24"/>
          <w:szCs w:val="24"/>
          <w:lang w:val="en-US" w:eastAsia="zh-CN" w:bidi="ar"/>
        </w:rPr>
        <w:t>“</w:t>
      </w:r>
      <w:r>
        <w:rPr>
          <w:rFonts w:eastAsia="AdvPTimes" w:cs="AdvPTimes" w:ascii="AdvPTimes" w:hAnsi="AdvPTimes"/>
          <w:color w:val="000000"/>
          <w:kern w:val="0"/>
          <w:sz w:val="19"/>
          <w:szCs w:val="19"/>
          <w:lang w:val="en-US" w:eastAsia="zh-CN" w:bidi="ar"/>
        </w:rPr>
        <w:t xml:space="preserve">The violation of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the Bell bound, which closely relies on the complementarity of the two couples of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observables, gives rise to non-local correlations, which cannot be explained neither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by a direct interaction nor by their local properties, while the violation of the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Tsirelson bound entails that </w:t>
      </w:r>
      <w:r>
        <w:rPr>
          <w:rFonts w:eastAsia="AdvPTimesI" w:cs="AdvPTimesI" w:ascii="AdvPTimesI" w:hAnsi="AdvPTimesI"/>
          <w:color w:val="000000"/>
          <w:kern w:val="0"/>
          <w:sz w:val="19"/>
          <w:szCs w:val="19"/>
          <w:lang w:val="en-US" w:eastAsia="zh-CN" w:bidi="ar"/>
        </w:rPr>
        <w:t xml:space="preserve">these correlations are signalling, that is, they can be </w:t>
      </w:r>
    </w:p>
    <w:p>
      <w:pPr>
        <w:pStyle w:val="Normal"/>
        <w:keepNext w:val="false"/>
        <w:keepLines w:val="false"/>
        <w:widowControl/>
        <w:jc w:val="left"/>
        <w:rPr/>
      </w:pPr>
      <w:r>
        <w:rPr>
          <w:rFonts w:eastAsia="AdvPTimesI" w:cs="AdvPTimesI" w:ascii="AdvPTimesI" w:hAnsi="AdvPTimesI"/>
          <w:color w:val="000000"/>
          <w:kern w:val="0"/>
          <w:sz w:val="19"/>
          <w:szCs w:val="19"/>
          <w:lang w:val="en-US" w:eastAsia="zh-CN" w:bidi="ar"/>
        </w:rPr>
        <w:t xml:space="preserve">explained by a direct exchange of signals between these quantum systems. </w:t>
      </w:r>
      <w:r>
        <w:rPr>
          <w:rFonts w:eastAsia="AdvPTimes" w:cs="AdvPTimes" w:ascii="AdvPTimes" w:hAnsi="AdvPTimes"/>
          <w:color w:val="000000"/>
          <w:kern w:val="0"/>
          <w:sz w:val="19"/>
          <w:szCs w:val="19"/>
          <w:lang w:val="en-US" w:eastAsia="zh-CN" w:bidi="ar"/>
        </w:rPr>
        <w:t xml:space="preserve">As shown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in the reference (Uzan </w:t>
      </w:r>
      <w:r>
        <w:rPr>
          <w:rFonts w:eastAsia="AdvPTimes" w:cs="AdvPTimes" w:ascii="AdvPTimes" w:hAnsi="AdvPTimes"/>
          <w:color w:val="0000FF"/>
          <w:kern w:val="0"/>
          <w:sz w:val="19"/>
          <w:szCs w:val="19"/>
          <w:lang w:val="en-US" w:eastAsia="zh-CN" w:bidi="ar"/>
        </w:rPr>
        <w:t>2014</w:t>
      </w:r>
      <w:r>
        <w:rPr>
          <w:rFonts w:eastAsia="AdvPTimes" w:cs="AdvPTimes" w:ascii="AdvPTimes" w:hAnsi="AdvPTimes"/>
          <w:color w:val="000000"/>
          <w:kern w:val="0"/>
          <w:sz w:val="19"/>
          <w:szCs w:val="19"/>
          <w:lang w:val="en-US" w:eastAsia="zh-CN" w:bidi="ar"/>
        </w:rPr>
        <w:t xml:space="preserve">), these statistical conditions, which initially regard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correlations between physical observables, have been generalised within a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generalised version of quantum theory (that will be presented in Sect. </w:t>
      </w:r>
      <w:r>
        <w:rPr>
          <w:rFonts w:eastAsia="AdvPTimes" w:cs="AdvPTimes" w:ascii="AdvPTimes" w:hAnsi="AdvPTimes"/>
          <w:color w:val="0000FF"/>
          <w:kern w:val="0"/>
          <w:sz w:val="19"/>
          <w:szCs w:val="19"/>
          <w:lang w:val="en-US" w:eastAsia="zh-CN" w:bidi="ar"/>
        </w:rPr>
        <w:t>2</w:t>
      </w:r>
      <w:r>
        <w:rPr>
          <w:rFonts w:eastAsia="AdvPTimes" w:cs="AdvPTimes" w:ascii="AdvPTimes" w:hAnsi="AdvPTimes"/>
          <w:color w:val="000000"/>
          <w:kern w:val="0"/>
          <w:sz w:val="19"/>
          <w:szCs w:val="19"/>
          <w:lang w:val="en-US" w:eastAsia="zh-CN" w:bidi="ar"/>
        </w:rPr>
        <w:t xml:space="preserve">) to be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applied to any kind of system. This experimental approach for determining the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nature of the correlations between generalised systems is employed here for </w:t>
      </w:r>
    </w:p>
    <w:p>
      <w:pPr>
        <w:pStyle w:val="Normal"/>
        <w:keepNext w:val="false"/>
        <w:keepLines w:val="false"/>
        <w:widowControl/>
        <w:jc w:val="left"/>
        <w:rPr>
          <w:lang w:val="en-US"/>
        </w:rPr>
      </w:pPr>
      <w:r>
        <w:rPr>
          <w:rFonts w:eastAsia="AdvPTimes" w:cs="AdvPTimes" w:ascii="AdvPTimes" w:hAnsi="AdvPTimes"/>
          <w:color w:val="000000"/>
          <w:kern w:val="0"/>
          <w:sz w:val="19"/>
          <w:szCs w:val="19"/>
          <w:lang w:val="en-US" w:eastAsia="zh-CN" w:bidi="ar"/>
        </w:rPr>
        <w:t xml:space="preserve">analysing the question of the nature of </w:t>
      </w:r>
      <w:r>
        <w:rPr>
          <w:rFonts w:eastAsia="AdvPTimesI" w:cs="AdvPTimesI" w:ascii="AdvPTimesI" w:hAnsi="AdvPTimesI"/>
          <w:color w:val="000000"/>
          <w:kern w:val="0"/>
          <w:sz w:val="19"/>
          <w:szCs w:val="19"/>
          <w:lang w:val="en-US" w:eastAsia="zh-CN" w:bidi="ar"/>
        </w:rPr>
        <w:t>psychophysiological correlations</w:t>
      </w:r>
      <w:r>
        <w:rPr>
          <w:rFonts w:eastAsia="AdvPTimes" w:cs="AdvPTimes" w:ascii="AdvPTimes" w:hAnsi="AdvPTimes"/>
          <w:color w:val="000000"/>
          <w:kern w:val="0"/>
          <w:sz w:val="19"/>
          <w:szCs w:val="19"/>
          <w:lang w:val="en-US" w:eastAsia="zh-CN" w:bidi="ar"/>
        </w:rPr>
        <w:t>.” (p. 335)</w:t>
      </w:r>
    </w:p>
    <w:p>
      <w:pPr>
        <w:pStyle w:val="Normal"/>
        <w:keepNext w:val="false"/>
        <w:keepLines w:val="false"/>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This will lead us to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conclude that a substantial majority of these correlations are </w:t>
      </w:r>
      <w:r>
        <w:rPr>
          <w:rFonts w:eastAsia="AdvPTimesI" w:cs="AdvPTimesI" w:ascii="AdvPTimesI" w:hAnsi="AdvPTimesI"/>
          <w:color w:val="000000"/>
          <w:kern w:val="0"/>
          <w:sz w:val="19"/>
          <w:szCs w:val="19"/>
          <w:lang w:val="en-US" w:eastAsia="zh-CN" w:bidi="ar"/>
        </w:rPr>
        <w:t>non</w:t>
      </w:r>
      <w:r>
        <w:rPr>
          <w:rFonts w:eastAsia="AdvPTimes" w:cs="AdvPTimes" w:ascii="AdvPTimes" w:hAnsi="AdvPTimes"/>
          <w:color w:val="000000"/>
          <w:kern w:val="0"/>
          <w:sz w:val="19"/>
          <w:szCs w:val="19"/>
          <w:lang w:val="en-US" w:eastAsia="zh-CN" w:bidi="ar"/>
        </w:rPr>
        <w:t>-</w:t>
      </w:r>
      <w:r>
        <w:rPr>
          <w:rFonts w:eastAsia="AdvPTimesI" w:cs="AdvPTimesI" w:ascii="AdvPTimesI" w:hAnsi="AdvPTimesI"/>
          <w:color w:val="000000"/>
          <w:kern w:val="0"/>
          <w:sz w:val="19"/>
          <w:szCs w:val="19"/>
          <w:lang w:val="en-US" w:eastAsia="zh-CN" w:bidi="ar"/>
        </w:rPr>
        <w:t xml:space="preserve">signalling, that is,they cannot be explained by any exchange of signal or by any causal interaction, </w:t>
      </w:r>
    </w:p>
    <w:p>
      <w:pPr>
        <w:pStyle w:val="Normal"/>
        <w:keepNext w:val="false"/>
        <w:keepLines w:val="false"/>
        <w:widowControl/>
        <w:jc w:val="left"/>
        <w:rPr/>
      </w:pPr>
      <w:r>
        <w:rPr>
          <w:rFonts w:eastAsia="AdvPTimesI" w:cs="AdvPTimesI" w:ascii="AdvPTimesI" w:hAnsi="AdvPTimesI"/>
          <w:color w:val="000000"/>
          <w:kern w:val="0"/>
          <w:sz w:val="19"/>
          <w:szCs w:val="19"/>
          <w:lang w:val="en-US" w:eastAsia="zh-CN" w:bidi="ar"/>
        </w:rPr>
        <w:t xml:space="preserve">whatever their nature. </w:t>
      </w:r>
      <w:r>
        <w:rPr>
          <w:rFonts w:eastAsia="AdvPTimes" w:cs="AdvPTimes" w:ascii="AdvPTimes" w:hAnsi="AdvPTimes"/>
          <w:color w:val="000000"/>
          <w:kern w:val="0"/>
          <w:sz w:val="19"/>
          <w:szCs w:val="19"/>
          <w:lang w:val="en-US" w:eastAsia="zh-CN" w:bidi="ar"/>
        </w:rPr>
        <w:t xml:space="preserve">The scope and the limitations of this partial but signifificant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experimental result, as well as the alternative interpretations of the psychophysical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correlations that do not appeal to a notion of signalling (on which we focus here) </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t xml:space="preserve">will then be discussed in Sect. </w:t>
      </w:r>
      <w:r>
        <w:rPr>
          <w:rFonts w:eastAsia="AdvPTimes" w:cs="AdvPTimes" w:ascii="AdvPTimes" w:hAnsi="AdvPTimes"/>
          <w:color w:val="0000FF"/>
          <w:kern w:val="0"/>
          <w:sz w:val="19"/>
          <w:szCs w:val="19"/>
          <w:lang w:val="en-US" w:eastAsia="zh-CN" w:bidi="ar"/>
        </w:rPr>
        <w:t>4</w:t>
      </w:r>
      <w:r>
        <w:rPr>
          <w:rFonts w:eastAsia="AdvPTimes" w:cs="AdvPTimes" w:ascii="AdvPTimes" w:hAnsi="AdvPTimes"/>
          <w:color w:val="000000"/>
          <w:kern w:val="0"/>
          <w:sz w:val="19"/>
          <w:szCs w:val="19"/>
          <w:lang w:val="en-US" w:eastAsia="zh-CN" w:bidi="ar"/>
        </w:rPr>
        <w:t>.(pp. 335-6)</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In the mental domain, formal states and observables have already been defifined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and used in the literature on quantum cognition, for cognitive processes and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decision making (Aerts et al. </w:t>
      </w:r>
      <w:r>
        <w:rPr>
          <w:rFonts w:eastAsia="AdvPTimes" w:cs="AdvPTimes" w:ascii="AdvPTimes" w:hAnsi="AdvPTimes"/>
          <w:color w:val="0000FF"/>
          <w:kern w:val="0"/>
          <w:sz w:val="19"/>
          <w:szCs w:val="19"/>
          <w:lang w:val="en-US" w:eastAsia="zh-CN" w:bidi="ar"/>
        </w:rPr>
        <w:t>2011</w:t>
      </w:r>
      <w:r>
        <w:rPr>
          <w:rFonts w:eastAsia="AdvPTimes" w:cs="AdvPTimes" w:ascii="AdvPTimes" w:hAnsi="AdvPTimes"/>
          <w:color w:val="000000"/>
          <w:kern w:val="0"/>
          <w:sz w:val="19"/>
          <w:szCs w:val="19"/>
          <w:lang w:val="en-US" w:eastAsia="zh-CN" w:bidi="ar"/>
        </w:rPr>
        <w:t xml:space="preserve">; Busemeyer and Bruza </w:t>
      </w:r>
      <w:r>
        <w:rPr>
          <w:rFonts w:eastAsia="AdvPTimes" w:cs="AdvPTimes" w:ascii="AdvPTimes" w:hAnsi="AdvPTimes"/>
          <w:color w:val="0000FF"/>
          <w:kern w:val="0"/>
          <w:sz w:val="19"/>
          <w:szCs w:val="19"/>
          <w:lang w:val="en-US" w:eastAsia="zh-CN" w:bidi="ar"/>
        </w:rPr>
        <w:t>2012</w:t>
      </w:r>
      <w:r>
        <w:rPr>
          <w:rFonts w:eastAsia="AdvPTimes" w:cs="AdvPTimes" w:ascii="AdvPTimes" w:hAnsi="AdvPTimes"/>
          <w:color w:val="000000"/>
          <w:kern w:val="0"/>
          <w:sz w:val="19"/>
          <w:szCs w:val="19"/>
          <w:lang w:val="en-US" w:eastAsia="zh-CN" w:bidi="ar"/>
        </w:rPr>
        <w:t xml:space="preserve">). However, in order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to deal with the psychophysical correlations, we need here to focus on </w:t>
      </w:r>
      <w:r>
        <w:rPr>
          <w:rFonts w:eastAsia="AdvPTimesI" w:cs="AdvPTimesI" w:ascii="AdvPTimesI" w:hAnsi="AdvPTimesI"/>
          <w:color w:val="000000"/>
          <w:kern w:val="0"/>
          <w:sz w:val="19"/>
          <w:szCs w:val="19"/>
          <w:lang w:val="en-US" w:eastAsia="zh-CN" w:bidi="ar"/>
        </w:rPr>
        <w:t xml:space="preserve">the subjective </w:t>
      </w:r>
    </w:p>
    <w:p>
      <w:pPr>
        <w:pStyle w:val="Normal"/>
        <w:keepNext w:val="false"/>
        <w:keepLines w:val="false"/>
        <w:widowControl/>
        <w:jc w:val="left"/>
        <w:rPr/>
      </w:pPr>
      <w:r>
        <w:rPr>
          <w:rFonts w:eastAsia="AdvPTimesI" w:cs="AdvPTimesI" w:ascii="AdvPTimesI" w:hAnsi="AdvPTimesI"/>
          <w:color w:val="000000"/>
          <w:kern w:val="0"/>
          <w:sz w:val="19"/>
          <w:szCs w:val="19"/>
          <w:lang w:val="en-US" w:eastAsia="zh-CN" w:bidi="ar"/>
        </w:rPr>
        <w:t xml:space="preserve">experience </w:t>
      </w:r>
      <w:r>
        <w:rPr>
          <w:rFonts w:eastAsia="AdvPTimes" w:cs="AdvPTimes" w:ascii="AdvPTimes" w:hAnsi="AdvPTimes"/>
          <w:color w:val="000000"/>
          <w:kern w:val="0"/>
          <w:sz w:val="19"/>
          <w:szCs w:val="19"/>
          <w:lang w:val="en-US" w:eastAsia="zh-CN" w:bidi="ar"/>
        </w:rPr>
        <w:t xml:space="preserve">of a human subject, which means that we must work within </w:t>
      </w:r>
      <w:r>
        <w:rPr>
          <w:rFonts w:eastAsia="AdvPTimesI" w:cs="AdvPTimesI" w:ascii="AdvPTimesI" w:hAnsi="AdvPTimesI"/>
          <w:color w:val="000000"/>
          <w:kern w:val="0"/>
          <w:sz w:val="19"/>
          <w:szCs w:val="19"/>
          <w:lang w:val="en-US" w:eastAsia="zh-CN" w:bidi="ar"/>
        </w:rPr>
        <w:t xml:space="preserve">an algebra </w:t>
      </w:r>
    </w:p>
    <w:p>
      <w:pPr>
        <w:pStyle w:val="Normal"/>
        <w:keepNext w:val="false"/>
        <w:keepLines w:val="false"/>
        <w:widowControl/>
        <w:jc w:val="left"/>
        <w:rPr/>
      </w:pPr>
      <w:r>
        <w:rPr>
          <w:rFonts w:eastAsia="AdvPTimesI" w:cs="AdvPTimesI" w:ascii="AdvPTimesI" w:hAnsi="AdvPTimesI"/>
          <w:color w:val="000000"/>
          <w:kern w:val="0"/>
          <w:sz w:val="19"/>
          <w:szCs w:val="19"/>
          <w:lang w:val="en-US" w:eastAsia="zh-CN" w:bidi="ar"/>
        </w:rPr>
        <w:t xml:space="preserve">of observables defifined from the set of emotions she/he can feel. </w:t>
      </w:r>
      <w:r>
        <w:rPr>
          <w:rFonts w:eastAsia="AdvPTimes" w:cs="AdvPTimes" w:ascii="AdvPTimes" w:hAnsi="AdvPTimes"/>
          <w:color w:val="000000"/>
          <w:kern w:val="0"/>
          <w:sz w:val="19"/>
          <w:szCs w:val="19"/>
          <w:lang w:val="en-US" w:eastAsia="zh-CN" w:bidi="ar"/>
        </w:rPr>
        <w:t xml:space="preserve">The intensity of each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emotion felt by a subject can a priori be evaluated, for example by a questionnaire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(see hereafter), which leads us to the following defifinition of an emotional </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t xml:space="preserve">observable.(337) </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It is easy to check that this theorem still holds under the weaker assumption that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the </w:t>
      </w:r>
      <w:r>
        <w:rPr>
          <w:rFonts w:eastAsia="AdvPTimesI" w:cs="AdvPTimesI" w:ascii="AdvPTimesI" w:hAnsi="AdvPTimesI"/>
          <w:color w:val="000000"/>
          <w:kern w:val="0"/>
          <w:sz w:val="19"/>
          <w:szCs w:val="19"/>
          <w:lang w:val="en-US" w:eastAsia="zh-CN" w:bidi="ar"/>
        </w:rPr>
        <w:t>mean values</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A</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A</w:t>
      </w:r>
      <w:r>
        <w:rPr>
          <w:rFonts w:eastAsia="AdvP4C4E74" w:cs="AdvP4C4E74" w:ascii="AdvP4C4E74" w:hAnsi="AdvP4C4E74"/>
          <w:color w:val="000000"/>
          <w:kern w:val="0"/>
          <w:sz w:val="13"/>
          <w:szCs w:val="13"/>
          <w:lang w:val="en-US" w:eastAsia="zh-CN" w:bidi="ar"/>
        </w:rPr>
        <w:t>0</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B</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 xml:space="preserve">and </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B</w:t>
      </w:r>
      <w:r>
        <w:rPr>
          <w:rFonts w:eastAsia="AdvP4C4E74" w:cs="AdvP4C4E74" w:ascii="AdvP4C4E74" w:hAnsi="AdvP4C4E74"/>
          <w:color w:val="000000"/>
          <w:kern w:val="0"/>
          <w:sz w:val="13"/>
          <w:szCs w:val="13"/>
          <w:lang w:val="en-US" w:eastAsia="zh-CN" w:bidi="ar"/>
        </w:rPr>
        <w:t>0</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in state |</w:t>
      </w:r>
      <w:r>
        <w:rPr>
          <w:rFonts w:eastAsia="AdvPSMP13" w:cs="AdvPSMP13" w:ascii="AdvPSMP13" w:hAnsi="AdvPSMP13"/>
          <w:color w:val="000000"/>
          <w:kern w:val="0"/>
          <w:sz w:val="19"/>
          <w:szCs w:val="19"/>
          <w:lang w:val="en-US" w:eastAsia="zh-CN" w:bidi="ar"/>
        </w:rPr>
        <w:t>N</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 xml:space="preserve">of the observables are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bounded by 1—for, all the steps of its derivation remain valid under this weaker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assumption. This remark allows us to use the latter theorem in the present case,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where only mean values are known. It should also be noticed that </w:t>
      </w:r>
      <w:r>
        <w:rPr>
          <w:rFonts w:eastAsia="AdvPSMP13" w:cs="AdvPSMP13" w:ascii="AdvPSMP13" w:hAnsi="AdvPSMP13"/>
          <w:color w:val="000000"/>
          <w:kern w:val="0"/>
          <w:sz w:val="19"/>
          <w:szCs w:val="19"/>
          <w:lang w:val="en-US" w:eastAsia="zh-CN" w:bidi="ar"/>
        </w:rPr>
        <w:t>b</w:t>
      </w:r>
      <w:r>
        <w:rPr>
          <w:rFonts w:eastAsia="AdvPTimes" w:cs="AdvPTimes" w:ascii="AdvPTimes" w:hAnsi="AdvPTimes"/>
          <w:color w:val="000000"/>
          <w:kern w:val="0"/>
          <w:sz w:val="19"/>
          <w:szCs w:val="19"/>
          <w:lang w:val="en-US" w:eastAsia="zh-CN" w:bidi="ar"/>
        </w:rPr>
        <w:t xml:space="preserve">(J) is reduced to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2, the Bell bound, in the case where at least one of the couples of observables (A,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A</w:t>
      </w:r>
      <w:r>
        <w:rPr>
          <w:rFonts w:eastAsia="AdvP4C4E74" w:cs="AdvP4C4E74" w:ascii="AdvP4C4E74" w:hAnsi="AdvP4C4E74"/>
          <w:color w:val="000000"/>
          <w:kern w:val="0"/>
          <w:sz w:val="13"/>
          <w:szCs w:val="13"/>
          <w:lang w:val="en-US" w:eastAsia="zh-CN" w:bidi="ar"/>
        </w:rPr>
        <w:t xml:space="preserve">0 </w:t>
      </w:r>
      <w:r>
        <w:rPr>
          <w:rFonts w:eastAsia="AdvPTimes" w:cs="AdvPTimes" w:ascii="AdvPTimes" w:hAnsi="AdvPTimes"/>
          <w:color w:val="000000"/>
          <w:kern w:val="0"/>
          <w:sz w:val="19"/>
          <w:szCs w:val="19"/>
          <w:lang w:val="en-US" w:eastAsia="zh-CN" w:bidi="ar"/>
        </w:rPr>
        <w:t>) and (B, B</w:t>
      </w:r>
      <w:r>
        <w:rPr>
          <w:rFonts w:eastAsia="AdvP4C4E74" w:cs="AdvP4C4E74" w:ascii="AdvP4C4E74" w:hAnsi="AdvP4C4E74"/>
          <w:color w:val="000000"/>
          <w:kern w:val="0"/>
          <w:sz w:val="13"/>
          <w:szCs w:val="13"/>
          <w:lang w:val="en-US" w:eastAsia="zh-CN" w:bidi="ar"/>
        </w:rPr>
        <w:t xml:space="preserve">0 </w:t>
      </w:r>
      <w:r>
        <w:rPr>
          <w:rFonts w:eastAsia="AdvPTimes" w:cs="AdvPTimes" w:ascii="AdvPTimes" w:hAnsi="AdvPTimes"/>
          <w:color w:val="000000"/>
          <w:kern w:val="0"/>
          <w:sz w:val="19"/>
          <w:szCs w:val="19"/>
          <w:lang w:val="en-US" w:eastAsia="zh-CN" w:bidi="ar"/>
        </w:rPr>
        <w:t xml:space="preserve">) commutes, while </w:t>
      </w:r>
      <w:r>
        <w:rPr>
          <w:rFonts w:eastAsia="AdvPSMP13" w:cs="AdvPSMP13" w:ascii="AdvPSMP13" w:hAnsi="AdvPSMP13"/>
          <w:color w:val="000000"/>
          <w:kern w:val="0"/>
          <w:sz w:val="19"/>
          <w:szCs w:val="19"/>
          <w:lang w:val="en-US" w:eastAsia="zh-CN" w:bidi="ar"/>
        </w:rPr>
        <w:t>b</w:t>
      </w:r>
      <w:r>
        <w:rPr>
          <w:rFonts w:eastAsia="AdvPTimes" w:cs="AdvPTimes" w:ascii="AdvPTimes" w:hAnsi="AdvPTimes"/>
          <w:color w:val="000000"/>
          <w:kern w:val="0"/>
          <w:sz w:val="19"/>
          <w:szCs w:val="19"/>
          <w:lang w:val="en-US" w:eastAsia="zh-CN" w:bidi="ar"/>
        </w:rPr>
        <w:t>(J)</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 xml:space="preserve">2 if both couples of observables are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complementary. In the latter case, the fact that R(J, |</w:t>
      </w:r>
      <w:r>
        <w:rPr>
          <w:rFonts w:eastAsia="AdvPSMP13" w:cs="AdvPSMP13" w:ascii="AdvPSMP13" w:hAnsi="AdvPSMP13"/>
          <w:color w:val="000000"/>
          <w:kern w:val="0"/>
          <w:sz w:val="19"/>
          <w:szCs w:val="19"/>
          <w:lang w:val="en-US" w:eastAsia="zh-CN" w:bidi="ar"/>
        </w:rPr>
        <w:t>N</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 is such as 2</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|R(J, |</w:t>
      </w:r>
      <w:r>
        <w:rPr>
          <w:rFonts w:eastAsia="AdvPSMP13" w:cs="AdvPSMP13" w:ascii="AdvPSMP13" w:hAnsi="AdvPSMP13"/>
          <w:color w:val="000000"/>
          <w:kern w:val="0"/>
          <w:sz w:val="19"/>
          <w:szCs w:val="19"/>
          <w:lang w:val="en-US" w:eastAsia="zh-CN" w:bidi="ar"/>
        </w:rPr>
        <w:t>N</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 xml:space="preserve">) | </w:t>
      </w:r>
    </w:p>
    <w:p>
      <w:pPr>
        <w:pStyle w:val="Normal"/>
        <w:keepNext w:val="false"/>
        <w:keepLines w:val="false"/>
        <w:widowControl/>
        <w:jc w:val="left"/>
        <w:rPr/>
      </w:pPr>
      <w:r>
        <w:rPr>
          <w:rFonts w:eastAsia="AdvTir_symb" w:cs="AdvTir_symb" w:ascii="AdvTir_symb" w:hAnsi="AdvTir_symb"/>
          <w:color w:val="000000"/>
          <w:kern w:val="0"/>
          <w:sz w:val="19"/>
          <w:szCs w:val="19"/>
          <w:lang w:val="en-US" w:eastAsia="zh-CN" w:bidi="ar"/>
        </w:rPr>
        <w:t xml:space="preserve">B </w:t>
      </w:r>
      <w:r>
        <w:rPr>
          <w:rFonts w:eastAsia="AdvPSMP13" w:cs="AdvPSMP13" w:ascii="AdvPSMP13" w:hAnsi="AdvPSMP13"/>
          <w:color w:val="000000"/>
          <w:kern w:val="0"/>
          <w:sz w:val="19"/>
          <w:szCs w:val="19"/>
          <w:lang w:val="en-US" w:eastAsia="zh-CN" w:bidi="ar"/>
        </w:rPr>
        <w:t>b</w:t>
      </w:r>
      <w:r>
        <w:rPr>
          <w:rFonts w:eastAsia="AdvPTimes" w:cs="AdvPTimes" w:ascii="AdvPTimes" w:hAnsi="AdvPTimes"/>
          <w:color w:val="000000"/>
          <w:kern w:val="0"/>
          <w:sz w:val="19"/>
          <w:szCs w:val="19"/>
          <w:lang w:val="en-US" w:eastAsia="zh-CN" w:bidi="ar"/>
        </w:rPr>
        <w:t>(J) for some state |</w:t>
      </w:r>
      <w:r>
        <w:rPr>
          <w:rFonts w:eastAsia="AdvPSMP13" w:cs="AdvPSMP13" w:ascii="AdvPSMP13" w:hAnsi="AdvPSMP13"/>
          <w:color w:val="000000"/>
          <w:kern w:val="0"/>
          <w:sz w:val="19"/>
          <w:szCs w:val="19"/>
          <w:lang w:val="en-US" w:eastAsia="zh-CN" w:bidi="ar"/>
        </w:rPr>
        <w:t>N</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means that |</w:t>
      </w:r>
      <w:r>
        <w:rPr>
          <w:rFonts w:eastAsia="AdvPSMP13" w:cs="AdvPSMP13" w:ascii="AdvPSMP13" w:hAnsi="AdvPSMP13"/>
          <w:color w:val="000000"/>
          <w:kern w:val="0"/>
          <w:sz w:val="19"/>
          <w:szCs w:val="19"/>
          <w:lang w:val="en-US" w:eastAsia="zh-CN" w:bidi="ar"/>
        </w:rPr>
        <w:t>N</w:t>
      </w:r>
      <w:r>
        <w:rPr>
          <w:rFonts w:eastAsia="AdvPSMP4" w:cs="AdvPSMP4" w:ascii="AdvPSMP4" w:hAnsi="AdvPSMP4"/>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 xml:space="preserve">is an </w:t>
      </w:r>
      <w:r>
        <w:rPr>
          <w:rFonts w:eastAsia="AdvPTimesI" w:cs="AdvPTimesI" w:ascii="AdvPTimesI" w:hAnsi="AdvPTimesI"/>
          <w:color w:val="000000"/>
          <w:kern w:val="0"/>
          <w:sz w:val="19"/>
          <w:szCs w:val="19"/>
          <w:lang w:val="en-US" w:eastAsia="zh-CN" w:bidi="ar"/>
        </w:rPr>
        <w:t xml:space="preserve">entangled </w:t>
      </w:r>
      <w:r>
        <w:rPr>
          <w:rFonts w:eastAsia="AdvPTimes" w:cs="AdvPTimes" w:ascii="AdvPTimes" w:hAnsi="AdvPTimes"/>
          <w:color w:val="000000"/>
          <w:kern w:val="0"/>
          <w:sz w:val="19"/>
          <w:szCs w:val="19"/>
          <w:lang w:val="en-US" w:eastAsia="zh-CN" w:bidi="ar"/>
        </w:rPr>
        <w:t xml:space="preserve">state—which would mean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that there exist </w:t>
      </w:r>
      <w:r>
        <w:rPr>
          <w:rFonts w:eastAsia="AdvPTimesI" w:cs="AdvPTimesI" w:ascii="AdvPTimesI" w:hAnsi="AdvPTimesI"/>
          <w:color w:val="000000"/>
          <w:kern w:val="0"/>
          <w:sz w:val="19"/>
          <w:szCs w:val="19"/>
          <w:lang w:val="en-US" w:eastAsia="zh-CN" w:bidi="ar"/>
        </w:rPr>
        <w:t>non</w:t>
      </w:r>
      <w:r>
        <w:rPr>
          <w:rFonts w:eastAsia="AdvPTimes" w:cs="AdvPTimes" w:ascii="AdvPTimes" w:hAnsi="AdvPTimes"/>
          <w:color w:val="000000"/>
          <w:kern w:val="0"/>
          <w:sz w:val="19"/>
          <w:szCs w:val="19"/>
          <w:lang w:val="en-US" w:eastAsia="zh-CN" w:bidi="ar"/>
        </w:rPr>
        <w:t>-</w:t>
      </w:r>
      <w:r>
        <w:rPr>
          <w:rFonts w:eastAsia="AdvPTimesI" w:cs="AdvPTimesI" w:ascii="AdvPTimesI" w:hAnsi="AdvPTimesI"/>
          <w:color w:val="000000"/>
          <w:kern w:val="0"/>
          <w:sz w:val="19"/>
          <w:szCs w:val="19"/>
          <w:lang w:val="en-US" w:eastAsia="zh-CN" w:bidi="ar"/>
        </w:rPr>
        <w:t xml:space="preserve">local correlations </w:t>
      </w:r>
      <w:r>
        <w:rPr>
          <w:rFonts w:eastAsia="AdvPTimes" w:cs="AdvPTimes" w:ascii="AdvPTimes" w:hAnsi="AdvPTimes"/>
          <w:color w:val="000000"/>
          <w:kern w:val="0"/>
          <w:sz w:val="19"/>
          <w:szCs w:val="19"/>
          <w:lang w:val="en-US" w:eastAsia="zh-CN" w:bidi="ar"/>
        </w:rPr>
        <w:t xml:space="preserve">between the mental and the bodily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observables of J, which cannot be explained classically by the existence of pre</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determined values for these observables. However, for the experimental data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considered in Sect. </w:t>
      </w:r>
      <w:r>
        <w:rPr>
          <w:rFonts w:eastAsia="AdvPTimes" w:cs="AdvPTimes" w:ascii="AdvPTimes" w:hAnsi="AdvPTimes"/>
          <w:color w:val="0000FF"/>
          <w:kern w:val="0"/>
          <w:sz w:val="19"/>
          <w:szCs w:val="19"/>
          <w:lang w:val="en-US" w:eastAsia="zh-CN" w:bidi="ar"/>
        </w:rPr>
        <w:t xml:space="preserve">3 </w:t>
      </w:r>
      <w:r>
        <w:rPr>
          <w:rFonts w:eastAsia="AdvPTimes" w:cs="AdvPTimes" w:ascii="AdvPTimes" w:hAnsi="AdvPTimes"/>
          <w:color w:val="000000"/>
          <w:kern w:val="0"/>
          <w:sz w:val="19"/>
          <w:szCs w:val="19"/>
          <w:lang w:val="en-US" w:eastAsia="zh-CN" w:bidi="ar"/>
        </w:rPr>
        <w:t xml:space="preserve">below it will not be necessary to compute explicitly </w:t>
      </w:r>
      <w:r>
        <w:rPr>
          <w:rFonts w:eastAsia="AdvPSMP13" w:cs="AdvPSMP13" w:ascii="AdvPSMP13" w:hAnsi="AdvPSMP13"/>
          <w:color w:val="000000"/>
          <w:kern w:val="0"/>
          <w:sz w:val="19"/>
          <w:szCs w:val="19"/>
          <w:lang w:val="en-US" w:eastAsia="zh-CN" w:bidi="ar"/>
        </w:rPr>
        <w:t>b</w:t>
      </w:r>
      <w:r>
        <w:rPr>
          <w:rFonts w:eastAsia="AdvPTimes" w:cs="AdvPTimes" w:ascii="AdvPTimes" w:hAnsi="AdvPTimes"/>
          <w:color w:val="000000"/>
          <w:kern w:val="0"/>
          <w:sz w:val="19"/>
          <w:szCs w:val="19"/>
          <w:lang w:val="en-US" w:eastAsia="zh-CN" w:bidi="ar"/>
        </w:rPr>
        <w:t xml:space="preserve">(J) since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the CHSH factors relative to these experimental data will generally be smaller than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the Bell bound [and hence smaller than </w:t>
      </w:r>
      <w:r>
        <w:rPr>
          <w:rFonts w:eastAsia="AdvPSMP13" w:cs="AdvPSMP13" w:ascii="AdvPSMP13" w:hAnsi="AdvPSMP13"/>
          <w:color w:val="000000"/>
          <w:kern w:val="0"/>
          <w:sz w:val="19"/>
          <w:szCs w:val="19"/>
          <w:lang w:val="en-US" w:eastAsia="zh-CN" w:bidi="ar"/>
        </w:rPr>
        <w:t>b</w:t>
      </w:r>
      <w:r>
        <w:rPr>
          <w:rFonts w:eastAsia="AdvPTimes" w:cs="AdvPTimes" w:ascii="AdvPTimes" w:hAnsi="AdvPTimes"/>
          <w:color w:val="000000"/>
          <w:kern w:val="0"/>
          <w:sz w:val="19"/>
          <w:szCs w:val="19"/>
          <w:lang w:val="en-US" w:eastAsia="zh-CN" w:bidi="ar"/>
        </w:rPr>
        <w:t xml:space="preserve">(J)], which means that the correlations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under consideration will be explainable by their local properties, as a consequence </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t>of a common preparation. (340)</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These correlations are then </w:t>
      </w:r>
    </w:p>
    <w:p>
      <w:pPr>
        <w:pStyle w:val="Normal"/>
        <w:keepNext w:val="false"/>
        <w:keepLines w:val="false"/>
        <w:widowControl/>
        <w:jc w:val="left"/>
        <w:rPr/>
      </w:pPr>
      <w:r>
        <w:rPr>
          <w:rFonts w:eastAsia="AdvPTimesI" w:cs="AdvPTimesI" w:ascii="AdvPTimesI" w:hAnsi="AdvPTimesI"/>
          <w:color w:val="000000"/>
          <w:kern w:val="0"/>
          <w:sz w:val="19"/>
          <w:szCs w:val="19"/>
          <w:lang w:val="en-US" w:eastAsia="zh-CN" w:bidi="ar"/>
        </w:rPr>
        <w:t>non</w:t>
      </w:r>
      <w:r>
        <w:rPr>
          <w:rFonts w:eastAsia="AdvPTimes" w:cs="AdvPTimes" w:ascii="AdvPTimes" w:hAnsi="AdvPTimes"/>
          <w:color w:val="000000"/>
          <w:kern w:val="0"/>
          <w:sz w:val="19"/>
          <w:szCs w:val="19"/>
          <w:lang w:val="en-US" w:eastAsia="zh-CN" w:bidi="ar"/>
        </w:rPr>
        <w:t>-</w:t>
      </w:r>
      <w:r>
        <w:rPr>
          <w:rFonts w:eastAsia="AdvPTimesI" w:cs="AdvPTimesI" w:ascii="AdvPTimesI" w:hAnsi="AdvPTimesI"/>
          <w:color w:val="000000"/>
          <w:kern w:val="0"/>
          <w:sz w:val="19"/>
          <w:szCs w:val="19"/>
          <w:lang w:val="en-US" w:eastAsia="zh-CN" w:bidi="ar"/>
        </w:rPr>
        <w:t>signalling</w:t>
      </w:r>
      <w:r>
        <w:rPr>
          <w:rFonts w:eastAsia="AdvPTimes" w:cs="AdvPTimes" w:ascii="AdvPTimes" w:hAnsi="AdvPTimes"/>
          <w:color w:val="000000"/>
          <w:kern w:val="0"/>
          <w:sz w:val="19"/>
          <w:szCs w:val="19"/>
          <w:lang w:val="en-US" w:eastAsia="zh-CN" w:bidi="ar"/>
        </w:rPr>
        <w:t xml:space="preserve">. Moreover, the fact that a substantial proportion of these correlations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satisfy the Bell bound (|R| </w:t>
      </w:r>
      <w:r>
        <w:rPr>
          <w:rFonts w:eastAsia="AdvTir_symb" w:cs="AdvTir_symb" w:ascii="AdvTir_symb" w:hAnsi="AdvTir_symb"/>
          <w:color w:val="000000"/>
          <w:kern w:val="0"/>
          <w:sz w:val="19"/>
          <w:szCs w:val="19"/>
          <w:lang w:val="en-US" w:eastAsia="zh-CN" w:bidi="ar"/>
        </w:rPr>
        <w:t xml:space="preserve">B </w:t>
      </w:r>
      <w:r>
        <w:rPr>
          <w:rFonts w:eastAsia="AdvPTimes" w:cs="AdvPTimes" w:ascii="AdvPTimes" w:hAnsi="AdvPTimes"/>
          <w:color w:val="000000"/>
          <w:kern w:val="0"/>
          <w:sz w:val="19"/>
          <w:szCs w:val="19"/>
          <w:lang w:val="en-US" w:eastAsia="zh-CN" w:bidi="ar"/>
        </w:rPr>
        <w:t>2) leads to a classical explanation of these non</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signalling correlations that relies on the existence of a common preparation for the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couples of somatic/mental properties under consideration. In other words, the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reported experimental data show with a good level of confifidence that the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psychophysical correlations under consideration are </w:t>
      </w:r>
      <w:r>
        <w:rPr>
          <w:rFonts w:eastAsia="AdvPTimesI" w:cs="AdvPTimesI" w:ascii="AdvPTimesI" w:hAnsi="AdvPTimesI"/>
          <w:color w:val="000000"/>
          <w:kern w:val="0"/>
          <w:sz w:val="19"/>
          <w:szCs w:val="19"/>
          <w:lang w:val="en-US" w:eastAsia="zh-CN" w:bidi="ar"/>
        </w:rPr>
        <w:t xml:space="preserve">constitutive of the individual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and not due to an elusive and rather mysterious ‘‘interaction’’ between bodily and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mental processes. This conclusion, if confifirmed (see below), would lead us to an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evolutionist response of the question about the nature of the psychophysical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correlations. According to this approach, these correlations, which defifine the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specifific psychosomatic structure of any individual, should have been established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during the </w:t>
      </w:r>
      <w:r>
        <w:rPr>
          <w:rFonts w:eastAsia="AdvPTimesI" w:cs="AdvPTimesI" w:ascii="AdvPTimesI" w:hAnsi="AdvPTimesI"/>
          <w:color w:val="000000"/>
          <w:kern w:val="0"/>
          <w:sz w:val="19"/>
          <w:szCs w:val="19"/>
          <w:lang w:val="en-US" w:eastAsia="zh-CN" w:bidi="ar"/>
        </w:rPr>
        <w:t xml:space="preserve">evolution process </w:t>
      </w:r>
      <w:r>
        <w:rPr>
          <w:rFonts w:eastAsia="AdvPTimes" w:cs="AdvPTimes" w:ascii="AdvPTimes" w:hAnsi="AdvPTimes"/>
          <w:color w:val="000000"/>
          <w:kern w:val="0"/>
          <w:sz w:val="19"/>
          <w:szCs w:val="19"/>
          <w:lang w:val="en-US" w:eastAsia="zh-CN" w:bidi="ar"/>
        </w:rPr>
        <w:t xml:space="preserve">understood in a broad sense: in the phylogenetic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evolution, as a member of the human kind; in the ontogenetic evolution, as the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offspring of her/his parents; and even in the socio-cultural evolution, though her/his </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t>personal experience in the society.</w:t>
      </w:r>
      <w:r>
        <w:rPr>
          <w:rFonts w:eastAsia="AdvPTimes" w:cs="AdvPTimes" w:ascii="AdvPTimes" w:hAnsi="AdvPTimes"/>
          <w:color w:val="0000FF"/>
          <w:kern w:val="0"/>
          <w:sz w:val="14"/>
          <w:szCs w:val="14"/>
          <w:lang w:val="en-US" w:eastAsia="zh-CN" w:bidi="ar"/>
        </w:rPr>
        <w:t xml:space="preserve">6 </w:t>
      </w:r>
      <w:r>
        <w:rPr>
          <w:rFonts w:eastAsia="AdvPTimes" w:cs="AdvPTimes" w:ascii="AdvPTimes" w:hAnsi="AdvPTimes"/>
          <w:color w:val="000000"/>
          <w:kern w:val="0"/>
          <w:sz w:val="19"/>
          <w:szCs w:val="19"/>
          <w:lang w:val="en-US" w:eastAsia="zh-CN" w:bidi="ar"/>
        </w:rPr>
        <w:t>(349)</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For completing this analysis, an important point remains to be discussed. As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mentioned above, until then we have exclusively questioned the </w:t>
      </w:r>
      <w:r>
        <w:rPr>
          <w:rFonts w:eastAsia="AdvPTimesI" w:cs="AdvPTimesI" w:ascii="AdvPTimesI" w:hAnsi="AdvPTimesI"/>
          <w:color w:val="000000"/>
          <w:kern w:val="0"/>
          <w:sz w:val="19"/>
          <w:szCs w:val="19"/>
          <w:lang w:val="en-US" w:eastAsia="zh-CN" w:bidi="ar"/>
        </w:rPr>
        <w:t xml:space="preserve">signaling </w:t>
      </w:r>
    </w:p>
    <w:p>
      <w:pPr>
        <w:pStyle w:val="Normal"/>
        <w:keepNext w:val="false"/>
        <w:keepLines w:val="false"/>
        <w:widowControl/>
        <w:jc w:val="left"/>
        <w:rPr/>
      </w:pPr>
      <w:r>
        <w:rPr>
          <w:rFonts w:eastAsia="AdvPTimesI" w:cs="AdvPTimesI" w:ascii="AdvPTimesI" w:hAnsi="AdvPTimesI"/>
          <w:color w:val="000000"/>
          <w:kern w:val="0"/>
          <w:sz w:val="19"/>
          <w:szCs w:val="19"/>
          <w:lang w:val="en-US" w:eastAsia="zh-CN" w:bidi="ar"/>
        </w:rPr>
        <w:t xml:space="preserve">interpretation </w:t>
      </w:r>
      <w:r>
        <w:rPr>
          <w:rFonts w:eastAsia="AdvPTimes" w:cs="AdvPTimes" w:ascii="AdvPTimes" w:hAnsi="AdvPTimes"/>
          <w:color w:val="000000"/>
          <w:kern w:val="0"/>
          <w:sz w:val="19"/>
          <w:szCs w:val="19"/>
          <w:lang w:val="en-US" w:eastAsia="zh-CN" w:bidi="ar"/>
        </w:rPr>
        <w:t xml:space="preserve">of psychophysical correlations, which can be tested experimentally.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However, a complete analysis of the question about the nature of psychophysical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correlations should also take into consideration the alternative interpretations of the notion of psychophysical causation, and, in particular, of mental causation </w:t>
      </w:r>
      <w:r>
        <w:rPr>
          <w:rFonts w:eastAsia="AdvPTimesI" w:cs="AdvPTimesI" w:ascii="AdvPTimesI" w:hAnsi="AdvPTimesI"/>
          <w:color w:val="000000"/>
          <w:kern w:val="0"/>
          <w:sz w:val="19"/>
          <w:szCs w:val="19"/>
          <w:lang w:val="en-US" w:eastAsia="zh-CN" w:bidi="ar"/>
        </w:rPr>
        <w:t xml:space="preserve">that do </w:t>
      </w:r>
    </w:p>
    <w:p>
      <w:pPr>
        <w:pStyle w:val="Normal"/>
        <w:keepNext w:val="false"/>
        <w:keepLines w:val="false"/>
        <w:widowControl/>
        <w:jc w:val="left"/>
        <w:rPr/>
      </w:pPr>
      <w:r>
        <w:rPr>
          <w:rFonts w:eastAsia="AdvPTimesI" w:cs="AdvPTimesI" w:ascii="AdvPTimesI" w:hAnsi="AdvPTimesI"/>
          <w:color w:val="000000"/>
          <w:kern w:val="0"/>
          <w:sz w:val="19"/>
          <w:szCs w:val="19"/>
          <w:lang w:val="en-US" w:eastAsia="zh-CN" w:bidi="ar"/>
        </w:rPr>
        <w:t>not appeal to any exchange of signal</w:t>
      </w:r>
      <w:r>
        <w:rPr>
          <w:rFonts w:eastAsia="AdvPTimes" w:cs="AdvPTimes" w:ascii="AdvPTimes" w:hAnsi="AdvPTimes"/>
          <w:color w:val="000000"/>
          <w:kern w:val="0"/>
          <w:sz w:val="19"/>
          <w:szCs w:val="19"/>
          <w:lang w:val="en-US" w:eastAsia="zh-CN" w:bidi="ar"/>
        </w:rPr>
        <w:t xml:space="preserve">. Could a </w:t>
      </w:r>
      <w:r>
        <w:rPr>
          <w:rFonts w:eastAsia="AdvPTimesI" w:cs="AdvPTimesI" w:ascii="AdvPTimesI" w:hAnsi="AdvPTimesI"/>
          <w:color w:val="000000"/>
          <w:kern w:val="0"/>
          <w:sz w:val="19"/>
          <w:szCs w:val="19"/>
          <w:lang w:val="en-US" w:eastAsia="zh-CN" w:bidi="ar"/>
        </w:rPr>
        <w:t xml:space="preserve">consistent, </w:t>
      </w:r>
      <w:r>
        <w:rPr>
          <w:rFonts w:eastAsia="AdvPTimes" w:cs="AdvPTimes" w:ascii="AdvPTimes" w:hAnsi="AdvPTimes"/>
          <w:color w:val="000000"/>
          <w:kern w:val="0"/>
          <w:sz w:val="19"/>
          <w:szCs w:val="19"/>
          <w:lang w:val="en-US" w:eastAsia="zh-CN" w:bidi="ar"/>
        </w:rPr>
        <w:t xml:space="preserve">non-signaling </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t>interpretation of the notion of psychophysical ‘‘causation’’ be provided? (350-351)</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Kim’s argument shows that due to the causal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closure of the physical world, which should be accepted by any supporter of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physicalism, the mental properties cannot have any causal power on physical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properties</w:t>
      </w:r>
    </w:p>
    <w:p>
      <w:pPr>
        <w:pStyle w:val="Normal"/>
        <w:keepNext w:val="false"/>
        <w:keepLines w:val="false"/>
        <w:widowControl/>
        <w:jc w:val="left"/>
        <w:rPr/>
      </w:pPr>
      <w:r>
        <w:rPr>
          <w:rFonts w:eastAsia="AdvPTimes" w:cs="AdvPTimes" w:ascii="AdvPTimes" w:hAnsi="AdvPTimes"/>
          <w:color w:val="0000FF"/>
          <w:kern w:val="0"/>
          <w:sz w:val="14"/>
          <w:szCs w:val="14"/>
          <w:lang w:val="en-US" w:eastAsia="zh-CN" w:bidi="ar"/>
        </w:rPr>
        <w:t xml:space="preserve">8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w:t>
      </w:r>
      <w:r>
        <w:rPr>
          <w:rFonts w:eastAsia="AdvPTimes" w:cs="AdvPTimes" w:ascii="AdvPTimes" w:hAnsi="AdvPTimes"/>
          <w:color w:val="000000"/>
          <w:kern w:val="0"/>
          <w:sz w:val="19"/>
          <w:szCs w:val="19"/>
          <w:lang w:val="en-US" w:eastAsia="zh-CN" w:bidi="ar"/>
        </w:rPr>
        <w:t xml:space="preserve">and even on other mental properties, which are supposed to supervene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their physical «realizers» . This shows that within a physicalist framework the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dualism of properties (which has been clearly adopted in this article, as a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phenomenal distinction) cannot be reconciled with the notion of mental causation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and that, consequently, the psychophysical correlations cannot be interpreted as </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t>relations of ‘‘causation’’. (351) [the same idea in my thesis!!]</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Consequently, instead of restoring a substantial concept of mental causation that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does not necessarily rely on an exchange of signal, it seems that the failure of these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attempts, which actually empty the concept of mental causation of any specifific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meaning, lead to </w:t>
      </w:r>
      <w:r>
        <w:rPr>
          <w:rFonts w:eastAsia="AdvPTimesI" w:cs="AdvPTimesI" w:ascii="AdvPTimesI" w:hAnsi="AdvPTimesI"/>
          <w:color w:val="000000"/>
          <w:kern w:val="0"/>
          <w:sz w:val="19"/>
          <w:szCs w:val="19"/>
          <w:lang w:val="en-US" w:eastAsia="zh-CN" w:bidi="ar"/>
        </w:rPr>
        <w:t>a more radical conclusion</w:t>
      </w:r>
      <w:r>
        <w:rPr>
          <w:rFonts w:eastAsia="AdvPTimes" w:cs="AdvPTimes" w:ascii="AdvPTimes" w:hAnsi="AdvPTimes"/>
          <w:color w:val="000000"/>
          <w:kern w:val="0"/>
          <w:sz w:val="19"/>
          <w:szCs w:val="19"/>
          <w:lang w:val="en-US" w:eastAsia="zh-CN" w:bidi="ar"/>
        </w:rPr>
        <w:t xml:space="preserve">. What is more generally questioned now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is not only the possible exchange of signal between mental and bodily properties or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processes but also the main alternative explanations of the psychophysical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correlations in terms of causation, whatever its specifific form. This would mean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that, more generally, the very concept of ‘‘causation’’, if understood in terms of a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direct relation between two events or two properties, and being or not regarded as an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 xml:space="preserve">exchange of signal, seems to be </w:t>
      </w:r>
      <w:r>
        <w:rPr>
          <w:rFonts w:eastAsia="AdvPTimesI" w:cs="AdvPTimesI" w:ascii="AdvPTimesI" w:hAnsi="AdvPTimesI"/>
          <w:color w:val="000000"/>
          <w:kern w:val="0"/>
          <w:sz w:val="19"/>
          <w:szCs w:val="19"/>
          <w:lang w:val="en-US" w:eastAsia="zh-CN" w:bidi="ar"/>
        </w:rPr>
        <w:t xml:space="preserve">inapplicable </w:t>
      </w:r>
      <w:r>
        <w:rPr>
          <w:rFonts w:eastAsia="AdvPTimes" w:cs="AdvPTimes" w:ascii="AdvPTimes" w:hAnsi="AdvPTimes"/>
          <w:color w:val="000000"/>
          <w:kern w:val="0"/>
          <w:sz w:val="19"/>
          <w:szCs w:val="19"/>
          <w:lang w:val="en-US" w:eastAsia="zh-CN" w:bidi="ar"/>
        </w:rPr>
        <w:t xml:space="preserve">for explaining the psychophysical </w:t>
      </w:r>
    </w:p>
    <w:p>
      <w:pPr>
        <w:pStyle w:val="Normal"/>
        <w:keepNext w:val="false"/>
        <w:keepLines w:val="false"/>
        <w:widowControl/>
        <w:jc w:val="left"/>
        <w:rPr/>
      </w:pPr>
      <w:r>
        <w:rPr>
          <w:rFonts w:eastAsia="AdvPTimes" w:cs="AdvPTimes" w:ascii="AdvPTimes" w:hAnsi="AdvPTimes"/>
          <w:color w:val="000000"/>
          <w:kern w:val="0"/>
          <w:sz w:val="19"/>
          <w:szCs w:val="19"/>
          <w:lang w:val="en-US" w:eastAsia="zh-CN" w:bidi="ar"/>
        </w:rPr>
        <w:t>correlations.</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r>
    </w:p>
    <w:p>
      <w:pPr>
        <w:pStyle w:val="Normal"/>
        <w:keepNext w:val="false"/>
        <w:keepLines w:val="false"/>
        <w:widowControl/>
        <w:jc w:val="left"/>
        <w:rPr>
          <w:b/>
          <w:b/>
          <w:bCs/>
          <w:sz w:val="28"/>
          <w:szCs w:val="28"/>
          <w:lang w:val="en-US"/>
        </w:rPr>
      </w:pPr>
      <w:r>
        <w:rPr>
          <w:b/>
          <w:bCs/>
          <w:sz w:val="28"/>
          <w:szCs w:val="28"/>
          <w:lang w:val="en-US"/>
        </w:rPr>
        <w:t xml:space="preserve">[All these ideas - in other format - can be found in my article 2005, and especially in my PhD thesis 2007 and my book 2008!!! </w:t>
      </w:r>
    </w:p>
    <w:p>
      <w:pPr>
        <w:pStyle w:val="Normal"/>
        <w:keepNext w:val="false"/>
        <w:keepLines w:val="false"/>
        <w:widowControl/>
        <w:jc w:val="left"/>
        <w:rPr>
          <w:lang w:val="en-US"/>
        </w:rPr>
      </w:pPr>
      <w:r>
        <w:rPr>
          <w:b/>
          <w:bCs/>
          <w:sz w:val="28"/>
          <w:szCs w:val="28"/>
          <w:lang w:val="en-US"/>
        </w:rPr>
        <w:t>Uzan introduces certain technical  terms but the general framework in which we can find the relationship between the mind-brain problem and Quantum mechanics) is UNBELIEVABLE similar to my framework from my PhD thesis and my book 2008!!!]</w:t>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r>
    </w:p>
    <w:p>
      <w:pPr>
        <w:pStyle w:val="Normal"/>
        <w:keepNext w:val="false"/>
        <w:keepLines w:val="false"/>
        <w:widowControl/>
        <w:jc w:val="left"/>
        <w:rPr>
          <w:rFonts w:ascii="AdvPTimes" w:hAnsi="AdvPTimes" w:eastAsia="AdvPTimes" w:cs="AdvPTimes"/>
          <w:color w:val="000000"/>
          <w:kern w:val="0"/>
          <w:sz w:val="19"/>
          <w:szCs w:val="19"/>
          <w:lang w:val="en-US" w:eastAsia="zh-CN" w:bidi="ar"/>
        </w:rPr>
      </w:pPr>
      <w:r>
        <w:rPr>
          <w:rFonts w:eastAsia="AdvPTimes" w:cs="AdvPTimes" w:ascii="AdvPTimes" w:hAnsi="AdvPTimes"/>
          <w:color w:val="000000"/>
          <w:kern w:val="0"/>
          <w:sz w:val="19"/>
          <w:szCs w:val="19"/>
          <w:lang w:val="en-US" w:eastAsia="zh-CN" w:bidi="ar"/>
        </w:rPr>
      </w:r>
    </w:p>
    <w:p>
      <w:pPr>
        <w:pStyle w:val="Normal"/>
        <w:keepNext w:val="false"/>
        <w:keepLines w:val="false"/>
        <w:widowControl/>
        <w:jc w:val="left"/>
        <w:rPr/>
      </w:pPr>
      <w:r>
        <w:rPr/>
      </w:r>
    </w:p>
    <w:p>
      <w:pPr>
        <w:pStyle w:val="Normal"/>
        <w:keepNext w:val="false"/>
        <w:keepLines w:val="false"/>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r>
    </w:p>
    <w:p>
      <w:pPr>
        <w:pStyle w:val="Normal"/>
        <w:widowControl/>
        <w:jc w:val="left"/>
        <w:rPr/>
      </w:pPr>
      <w:r>
        <w:rPr>
          <w:rFonts w:eastAsia="AdvPTimes" w:cs="Times New Roman"/>
          <w:color w:val="000000"/>
          <w:kern w:val="0"/>
          <w:sz w:val="24"/>
          <w:szCs w:val="24"/>
          <w:lang w:val="en-US" w:eastAsia="zh-CN" w:bidi="ar"/>
        </w:rPr>
        <w:t>May 2021</w:t>
      </w:r>
    </w:p>
    <w:p>
      <w:pPr>
        <w:pStyle w:val="Normal"/>
        <w:widowControl/>
        <w:jc w:val="left"/>
        <w:rPr/>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w:t>
      </w:r>
      <w:r>
        <w:rPr>
          <w:rFonts w:eastAsia="AdvPTimes" w:cs="Times New Roman"/>
          <w:color w:val="000000"/>
          <w:kern w:val="0"/>
          <w:sz w:val="24"/>
          <w:szCs w:val="24"/>
          <w:lang w:val="en-US" w:eastAsia="zh-CN" w:bidi="ar"/>
        </w:rPr>
        <w:t xml:space="preserve">Sandia National Laboratory, Ret., </w:t>
      </w:r>
      <w:r>
        <w:rPr>
          <w:rFonts w:eastAsia="AdvPTimes" w:cs="Times New Roman"/>
          <w:color w:val="000000"/>
          <w:kern w:val="0"/>
          <w:sz w:val="24"/>
          <w:szCs w:val="24"/>
          <w:lang w:val="en-US" w:eastAsia="zh-CN" w:bidi="ar"/>
        </w:rPr>
        <w:t>Ph.D) (May 2021), “Is the Photon Really a Particle?”</w:t>
      </w:r>
    </w:p>
    <w:p>
      <w:pPr>
        <w:pStyle w:val="Normal"/>
        <w:widowControl/>
        <w:jc w:val="left"/>
        <w:rPr>
          <w:rFonts w:ascii="Times New Roman" w:hAnsi="Times New Roman" w:eastAsia="AdvPTimes" w:cs="Times New Roman"/>
          <w:color w:val="000000"/>
          <w:kern w:val="0"/>
          <w:sz w:val="24"/>
          <w:szCs w:val="24"/>
          <w:lang w:val="en-US" w:eastAsia="zh-CN" w:bidi="ar"/>
        </w:rPr>
      </w:pPr>
      <w:r>
        <w:rPr/>
      </w:r>
    </w:p>
    <w:p>
      <w:pPr>
        <w:pStyle w:val="Normal"/>
        <w:widowControl/>
        <w:jc w:val="left"/>
        <w:rPr/>
      </w:pPr>
      <w:r>
        <w:rPr>
          <w:rFonts w:eastAsia="AdvPTimes" w:cs="Times New Roman"/>
          <w:color w:val="000000"/>
          <w:kern w:val="0"/>
          <w:sz w:val="24"/>
          <w:szCs w:val="24"/>
          <w:lang w:val="en-US" w:eastAsia="zh-CN" w:bidi="ar"/>
        </w:rPr>
        <w:t xml:space="preserve">Abstract: </w:t>
      </w:r>
      <w:r>
        <w:rPr>
          <w:rFonts w:eastAsia="AdvPTimes" w:cs="Times New Roman"/>
          <w:color w:val="000000"/>
          <w:kern w:val="0"/>
          <w:sz w:val="24"/>
          <w:szCs w:val="24"/>
          <w:lang w:val="en-US" w:eastAsia="zh-CN" w:bidi="ar"/>
        </w:rPr>
        <w:t xml:space="preserve">Perhaps the photon has two linked-but-distinct identities: one supporting wave behavior and the other supporting discrete behavior. </w:t>
      </w:r>
    </w:p>
    <w:p>
      <w:pPr>
        <w:pStyle w:val="Normal"/>
        <w:widowControl/>
        <w:jc w:val="left"/>
        <w:rPr>
          <w:rFonts w:ascii="Times New Roman" w:hAnsi="Times New Roman" w:eastAsia="AdvPTimes" w:cs="Times New Roman"/>
          <w:color w:val="000000"/>
          <w:kern w:val="0"/>
          <w:sz w:val="24"/>
          <w:szCs w:val="24"/>
          <w:lang w:val="en-US" w:eastAsia="zh-CN" w:bidi="ar"/>
        </w:rPr>
      </w:pPr>
      <w:r>
        <w:rPr/>
      </w:r>
    </w:p>
    <w:p>
      <w:pPr>
        <w:pStyle w:val="Normal"/>
        <w:widowControl/>
        <w:jc w:val="left"/>
        <w:rPr/>
      </w:pPr>
      <w:r>
        <w:rPr>
          <w:rFonts w:eastAsia="AdvPTimes" w:cs="Times New Roman"/>
          <w:color w:val="000000"/>
          <w:kern w:val="0"/>
          <w:sz w:val="24"/>
          <w:szCs w:val="24"/>
          <w:lang w:val="en-US" w:eastAsia="zh-CN" w:bidi="ar"/>
        </w:rPr>
        <w:t xml:space="preserve">So perhaps the photon has two identities. Each identity addresses a specific feature of the photon that has long puzzled commentators. (p. 5) </w:t>
      </w:r>
    </w:p>
    <w:p>
      <w:pPr>
        <w:pStyle w:val="Normal"/>
        <w:widowControl/>
        <w:jc w:val="left"/>
        <w:rPr>
          <w:rFonts w:ascii="Times New Roman" w:hAnsi="Times New Roman" w:eastAsia="AdvPTimes" w:cs="Times New Roman"/>
          <w:color w:val="000000"/>
          <w:kern w:val="0"/>
          <w:sz w:val="24"/>
          <w:szCs w:val="24"/>
          <w:lang w:val="en-US" w:eastAsia="zh-CN" w:bidi="ar"/>
        </w:rPr>
      </w:pPr>
      <w:r>
        <w:rPr/>
      </w:r>
    </w:p>
    <w:p>
      <w:pPr>
        <w:pStyle w:val="Normal"/>
        <w:widowControl/>
        <w:jc w:val="left"/>
        <w:rPr/>
      </w:pPr>
      <w:r>
        <w:rPr>
          <w:rFonts w:eastAsia="AdvPTimes" w:cs="Times New Roman"/>
          <w:color w:val="000000"/>
          <w:kern w:val="0"/>
          <w:sz w:val="24"/>
          <w:szCs w:val="24"/>
          <w:lang w:val="en-US" w:eastAsia="zh-CN" w:bidi="ar"/>
        </w:rPr>
        <w:t>So it is possible there are two photon identities that are functionally different: spaceprogressing probability waves and time-residing energy, with the latter still accessible for space. Photons can only terminate on matter; it could be that this involves the transfer of timeresiding photon oscillation energy to space-residing rest mass. And the only way the two can meet/intersect is via an event which combines kinetic energy from time with rest mass from space. Ontologically, this is the intersection of occurrence (energy) with existence (mass) mediated by probability. Such an event/intersection is discrete in both space and time since the two actors are orthogonal in terms of where they reside. The transfer of time-residing kinetic energy to spaceresiding matter is necessarily localized, event based and discontinuous. And it mimics particle impact. (p. 6)</w:t>
      </w:r>
    </w:p>
    <w:p>
      <w:pPr>
        <w:pStyle w:val="Normal"/>
        <w:widowControl/>
        <w:jc w:val="left"/>
        <w:rPr>
          <w:rFonts w:ascii="Times New Roman" w:hAnsi="Times New Roman" w:eastAsia="AdvPTimes" w:cs="Times New Roman"/>
          <w:color w:val="000000"/>
          <w:kern w:val="0"/>
          <w:sz w:val="24"/>
          <w:szCs w:val="24"/>
          <w:lang w:val="en-US" w:eastAsia="zh-CN" w:bidi="ar"/>
        </w:rPr>
      </w:pPr>
      <w:r>
        <w:rPr/>
      </w:r>
    </w:p>
    <w:p>
      <w:pPr>
        <w:pStyle w:val="Normal"/>
        <w:widowControl/>
        <w:jc w:val="left"/>
        <w:rPr>
          <w:b/>
          <w:b/>
          <w:bCs/>
        </w:rPr>
      </w:pPr>
      <w:r>
        <w:rPr>
          <w:rFonts w:eastAsia="AdvPTimes" w:cs="Times New Roman"/>
          <w:b/>
          <w:bCs/>
          <w:color w:val="000000"/>
          <w:kern w:val="0"/>
          <w:sz w:val="24"/>
          <w:szCs w:val="24"/>
          <w:lang w:val="en-US" w:eastAsia="zh-CN" w:bidi="ar"/>
        </w:rPr>
        <w:t>Conclusion</w:t>
      </w:r>
    </w:p>
    <w:p>
      <w:pPr>
        <w:pStyle w:val="Normal"/>
        <w:widowControl/>
        <w:jc w:val="left"/>
        <w:rPr/>
      </w:pPr>
      <w:r>
        <w:rPr>
          <w:rFonts w:eastAsia="AdvPTimes" w:cs="Times New Roman"/>
          <w:color w:val="000000"/>
          <w:kern w:val="0"/>
          <w:sz w:val="24"/>
          <w:szCs w:val="24"/>
          <w:lang w:val="en-US" w:eastAsia="zh-CN" w:bidi="ar"/>
        </w:rPr>
        <w:t xml:space="preserve">The discrete nature of photon termination can be explained without recourse to the simplistic analogy of particle impact. Alternative explanations are possible; explanations that don’t treat photon energy as the payload of a massless particle. The possibility presented here involves a new way of regarding photon energy plus the presumption of photon identities. Entities in general possess two identities. A material object/entity has its rest mass as one identity and its stored energy (thermal or intrinsic) as a second identity. Granting the photon two identities allows it to function differently in space and in time. If photon oscillatory energy resides in time, its reception on a space target that is dimensionally orthogonal must be discrete. </w:t>
      </w:r>
    </w:p>
    <w:p>
      <w:pPr>
        <w:pStyle w:val="Normal"/>
        <w:widowControl/>
        <w:jc w:val="left"/>
        <w:rPr/>
      </w:pPr>
      <w:r>
        <w:rPr>
          <w:rFonts w:eastAsia="AdvPTimes" w:cs="Times New Roman"/>
          <w:color w:val="000000"/>
          <w:kern w:val="0"/>
          <w:sz w:val="24"/>
          <w:szCs w:val="24"/>
          <w:lang w:val="en-US" w:eastAsia="zh-CN" w:bidi="ar"/>
        </w:rPr>
        <w:t>As outlined, the wave nature of the photon has been well-established by experiment and theory. This is not true for the concept of the photon as particle. Radiation occurs; matter exists. Regarding the photon as a particle is to apply the ontology of existing matter to occurring radiation. (p. 7)</w:t>
      </w:r>
    </w:p>
    <w:p>
      <w:pPr>
        <w:pStyle w:val="Normal"/>
        <w:widowControl/>
        <w:jc w:val="left"/>
        <w:rPr>
          <w:rFonts w:ascii="Times New Roman" w:hAnsi="Times New Roman" w:eastAsia="AdvPTimes" w:cs="Times New Roman"/>
          <w:color w:val="000000"/>
          <w:kern w:val="0"/>
          <w:sz w:val="24"/>
          <w:szCs w:val="24"/>
          <w:lang w:val="en-US" w:eastAsia="zh-CN" w:bidi="ar"/>
        </w:rPr>
      </w:pPr>
      <w:r>
        <w:rPr/>
      </w:r>
    </w:p>
    <w:p>
      <w:pPr>
        <w:pStyle w:val="Normal"/>
        <w:widowControl/>
        <w:jc w:val="left"/>
        <w:rPr>
          <w:rFonts w:ascii="Times New Roman" w:hAnsi="Times New Roman" w:eastAsia="AdvPTimes" w:cs="Times New Roman"/>
          <w:color w:val="000000"/>
          <w:kern w:val="0"/>
          <w:sz w:val="24"/>
          <w:szCs w:val="24"/>
          <w:lang w:val="en-US" w:eastAsia="zh-CN" w:bidi="ar"/>
        </w:rPr>
      </w:pPr>
      <w:r>
        <w:rPr/>
      </w:r>
    </w:p>
    <w:sectPr>
      <w:headerReference w:type="default" r:id="rId470"/>
      <w:footerReference w:type="default" r:id="rId471"/>
      <w:footnotePr>
        <w:numFmt w:val="decimal"/>
        <w:numRestart w:val="eachPage"/>
      </w:footnotePr>
      <w:type w:val="nextPage"/>
      <w:pgSz w:w="12240" w:h="15840"/>
      <w:pgMar w:left="1440" w:right="1440" w:header="720" w:top="1440" w:footer="72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Cambria">
    <w:charset w:val="01"/>
    <w:family w:val="roman"/>
    <w:pitch w:val="default"/>
  </w:font>
  <w:font w:name="Verdana">
    <w:charset w:val="01"/>
    <w:family w:val="roman"/>
    <w:pitch w:val="default"/>
  </w:font>
  <w:font w:name="Tahoma">
    <w:charset w:val="01"/>
    <w:family w:val="roman"/>
    <w:pitch w:val="default"/>
  </w:font>
  <w:font w:name="MxkqpvAdvTT3713a231">
    <w:charset w:val="01"/>
    <w:family w:val="roman"/>
    <w:pitch w:val="default"/>
  </w:font>
  <w:font w:name="Georgia">
    <w:charset w:val="01"/>
    <w:family w:val="roman"/>
    <w:pitch w:val="default"/>
  </w:font>
  <w:font w:name="Arial">
    <w:charset w:val="01"/>
    <w:family w:val="roman"/>
    <w:pitch w:val="default"/>
  </w:font>
  <w:font w:name="Times-Roman">
    <w:altName w:val="Times New Roman"/>
    <w:charset w:val="01"/>
    <w:family w:val="roman"/>
    <w:pitch w:val="default"/>
  </w:font>
  <w:font w:name="CMBX12">
    <w:charset w:val="01"/>
    <w:family w:val="roman"/>
    <w:pitch w:val="default"/>
  </w:font>
  <w:font w:name="TimesNewRomanMTStd-Italic">
    <w:charset w:val="01"/>
    <w:family w:val="roman"/>
    <w:pitch w:val="default"/>
  </w:font>
  <w:font w:name="Segoe UI">
    <w:charset w:val="01"/>
    <w:family w:val="roman"/>
    <w:pitch w:val="default"/>
  </w:font>
  <w:font w:name="AdvOTea1a7398">
    <w:charset w:val="01"/>
    <w:family w:val="roman"/>
    <w:pitch w:val="default"/>
  </w:font>
  <w:font w:name="inherit">
    <w:charset w:val="01"/>
    <w:family w:val="roman"/>
    <w:pitch w:val="default"/>
  </w:font>
  <w:font w:name="Helvetica">
    <w:altName w:val="Arial"/>
    <w:charset w:val="01"/>
    <w:family w:val="roman"/>
    <w:pitch w:val="default"/>
  </w:font>
  <w:font w:name="OpenSymbol">
    <w:altName w:val="Arial Unicode MS"/>
    <w:charset w:val="01"/>
    <w:family w:val="roman"/>
    <w:pitch w:val="default"/>
  </w:font>
  <w:font w:name="RgsyshAdvTTb8864ccf.B">
    <w:charset w:val="01"/>
    <w:family w:val="roman"/>
    <w:pitch w:val="default"/>
  </w:font>
  <w:font w:name="SimSun">
    <w:charset w:val="01"/>
    <w:family w:val="roman"/>
    <w:pitch w:val="default"/>
  </w:font>
  <w:font w:name="Liberation Sans">
    <w:altName w:val="Arial"/>
    <w:charset w:val="01"/>
    <w:family w:val="roman"/>
    <w:pitch w:val="default"/>
  </w:font>
  <w:font w:name="Calibri">
    <w:charset w:val="01"/>
    <w:family w:val="roman"/>
    <w:pitch w:val="default"/>
  </w:font>
  <w:font w:name="Trade Gothic LT Std">
    <w:charset w:val="01"/>
    <w:family w:val="roman"/>
    <w:pitch w:val="default"/>
  </w:font>
  <w:font w:name="DGMetaSerifScience">
    <w:charset w:val="01"/>
    <w:family w:val="roman"/>
    <w:pitch w:val="default"/>
  </w:font>
  <w:font w:name="DGMetaScience-Bold">
    <w:charset w:val="01"/>
    <w:family w:val="roman"/>
    <w:pitch w:val="default"/>
  </w:font>
  <w:font w:name="DG Meta Science">
    <w:charset w:val="01"/>
    <w:family w:val="roman"/>
    <w:pitch w:val="default"/>
  </w:font>
  <w:font w:name="Liberation Mono">
    <w:altName w:val="Courier New"/>
    <w:charset w:val="01"/>
    <w:family w:val="roman"/>
    <w:pitch w:val="default"/>
  </w:font>
  <w:font w:name="PelicanGrotesque-Medium">
    <w:charset w:val="01"/>
    <w:family w:val="roman"/>
    <w:pitch w:val="default"/>
  </w:font>
  <w:font w:name="CMR12">
    <w:charset w:val="01"/>
    <w:family w:val="roman"/>
    <w:pitch w:val="default"/>
  </w:font>
  <w:font w:name="CMR8">
    <w:charset w:val="01"/>
    <w:family w:val="roman"/>
    <w:pitch w:val="default"/>
  </w:font>
  <w:font w:name="CMR17">
    <w:charset w:val="01"/>
    <w:family w:val="roman"/>
    <w:pitch w:val="default"/>
  </w:font>
  <w:font w:name="Cambria Math">
    <w:charset w:val="01"/>
    <w:family w:val="roman"/>
    <w:pitch w:val="default"/>
  </w:font>
  <w:font w:name="CMR10">
    <w:charset w:val="01"/>
    <w:family w:val="roman"/>
    <w:pitch w:val="default"/>
  </w:font>
  <w:font w:name="CMTI10">
    <w:charset w:val="01"/>
    <w:family w:val="roman"/>
    <w:pitch w:val="default"/>
  </w:font>
  <w:font w:name="Calibri-Bold">
    <w:charset w:val="01"/>
    <w:family w:val="roman"/>
    <w:pitch w:val="default"/>
  </w:font>
  <w:font w:name="MinionPro-Regular">
    <w:charset w:val="01"/>
    <w:family w:val="roman"/>
    <w:pitch w:val="default"/>
  </w:font>
  <w:font w:name="AdvOTea1a7398+01">
    <w:charset w:val="01"/>
    <w:family w:val="roman"/>
    <w:pitch w:val="default"/>
  </w:font>
  <w:font w:name="Palatino Linotype">
    <w:charset w:val="01"/>
    <w:family w:val="roman"/>
    <w:pitch w:val="default"/>
  </w:font>
  <w:font w:name="ITCFranklinGothicStd-DmCd">
    <w:charset w:val="01"/>
    <w:family w:val="roman"/>
    <w:pitch w:val="default"/>
  </w:font>
  <w:font w:name="SerifaStd-Bold">
    <w:charset w:val="01"/>
    <w:family w:val="roman"/>
    <w:pitch w:val="default"/>
  </w:font>
  <w:font w:name="GaramondPremrPro">
    <w:charset w:val="01"/>
    <w:family w:val="roman"/>
    <w:pitch w:val="default"/>
  </w:font>
  <w:font w:name="Times-Bold">
    <w:charset w:val="01"/>
    <w:family w:val="roman"/>
    <w:pitch w:val="default"/>
  </w:font>
  <w:font w:name="SFRM1000">
    <w:charset w:val="01"/>
    <w:family w:val="roman"/>
    <w:pitch w:val="default"/>
  </w:font>
  <w:font w:name="SFRM0700">
    <w:charset w:val="01"/>
    <w:family w:val="roman"/>
    <w:pitch w:val="default"/>
  </w:font>
  <w:font w:name="SFBX1200">
    <w:charset w:val="01"/>
    <w:family w:val="roman"/>
    <w:pitch w:val="default"/>
  </w:font>
  <w:font w:name="NimbusRomNo9L-Regu">
    <w:charset w:val="01"/>
    <w:family w:val="roman"/>
    <w:pitch w:val="default"/>
  </w:font>
  <w:font w:name="CMR7">
    <w:charset w:val="01"/>
    <w:family w:val="roman"/>
    <w:pitch w:val="default"/>
  </w:font>
  <w:font w:name="MS Gothic">
    <w:charset w:val="01"/>
    <w:family w:val="roman"/>
    <w:pitch w:val="default"/>
  </w:font>
  <w:font w:name="CMSY7">
    <w:charset w:val="01"/>
    <w:family w:val="roman"/>
    <w:pitch w:val="default"/>
  </w:font>
  <w:font w:name="NimbusRomNo9L-Medi">
    <w:charset w:val="01"/>
    <w:family w:val="roman"/>
    <w:pitch w:val="default"/>
  </w:font>
  <w:font w:name="rtxmi">
    <w:charset w:val="01"/>
    <w:family w:val="roman"/>
    <w:pitch w:val="default"/>
  </w:font>
  <w:font w:name="txsy">
    <w:charset w:val="01"/>
    <w:family w:val="roman"/>
    <w:pitch w:val="default"/>
  </w:font>
  <w:font w:name="CMMI7">
    <w:charset w:val="01"/>
    <w:family w:val="roman"/>
    <w:pitch w:val="default"/>
  </w:font>
  <w:font w:name="AdvPTimes">
    <w:charset w:val="01"/>
    <w:family w:val="roman"/>
    <w:pitch w:val="default"/>
  </w:font>
  <w:font w:name="Segoe UI Historic">
    <w:charset w:val="01"/>
    <w:family w:val="roman"/>
    <w:pitch w:val="default"/>
  </w:font>
  <w:font w:name="TimesNewRomanPSMT">
    <w:charset w:val="01"/>
    <w:family w:val="roman"/>
    <w:pitch w:val="default"/>
  </w:font>
  <w:font w:name="TimesNewRomanPS-ItalicMT">
    <w:charset w:val="01"/>
    <w:family w:val="roman"/>
    <w:pitch w:val="default"/>
  </w:font>
  <w:font w:name="CMR9">
    <w:charset w:val="01"/>
    <w:family w:val="roman"/>
    <w:pitch w:val="default"/>
  </w:font>
  <w:font w:name="CMTI9">
    <w:charset w:val="01"/>
    <w:family w:val="roman"/>
    <w:pitch w:val="default"/>
  </w:font>
  <w:font w:name="CMBX10">
    <w:charset w:val="01"/>
    <w:family w:val="roman"/>
    <w:pitch w:val="default"/>
  </w:font>
  <w:font w:name="CMMI10">
    <w:charset w:val="01"/>
    <w:family w:val="roman"/>
    <w:pitch w:val="default"/>
  </w:font>
  <w:font w:name="SFRM0900">
    <w:charset w:val="01"/>
    <w:family w:val="roman"/>
    <w:pitch w:val="default"/>
  </w:font>
  <w:font w:name="SFTI0900">
    <w:charset w:val="01"/>
    <w:family w:val="roman"/>
    <w:pitch w:val="default"/>
  </w:font>
  <w:font w:name="SFTI1000">
    <w:charset w:val="01"/>
    <w:family w:val="roman"/>
    <w:pitch w:val="default"/>
  </w:font>
  <w:font w:name="AdvTimes">
    <w:charset w:val="01"/>
    <w:family w:val="roman"/>
    <w:pitch w:val="default"/>
  </w:font>
  <w:font w:name="AdvMc_Times-i">
    <w:charset w:val="01"/>
    <w:family w:val="roman"/>
    <w:pitch w:val="default"/>
  </w:font>
  <w:font w:name="AdvEls-ent5">
    <w:charset w:val="01"/>
    <w:family w:val="roman"/>
    <w:pitch w:val="default"/>
  </w:font>
  <w:font w:name="Cambria-Italic">
    <w:charset w:val="01"/>
    <w:family w:val="roman"/>
    <w:pitch w:val="default"/>
  </w:font>
  <w:font w:name="Cambria-Bold">
    <w:charset w:val="01"/>
    <w:family w:val="roman"/>
    <w:pitch w:val="default"/>
  </w:font>
  <w:font w:name="TimesNRMT">
    <w:charset w:val="01"/>
    <w:family w:val="roman"/>
    <w:pitch w:val="default"/>
  </w:font>
  <w:font w:name="TimesNewRomanPS-BoldMT">
    <w:charset w:val="01"/>
    <w:family w:val="roman"/>
    <w:pitch w:val="default"/>
  </w:font>
  <w:font w:name="SFCC1000">
    <w:charset w:val="01"/>
    <w:family w:val="roman"/>
    <w:pitch w:val="default"/>
  </w:font>
  <w:font w:name="SFBX1000">
    <w:charset w:val="01"/>
    <w:family w:val="roman"/>
    <w:pitch w:val="default"/>
  </w:font>
  <w:font w:name="SFRM0600">
    <w:charset w:val="01"/>
    <w:family w:val="roman"/>
    <w:pitch w:val="default"/>
  </w:font>
  <w:font w:name="SFRM0800">
    <w:charset w:val="01"/>
    <w:family w:val="roman"/>
    <w:pitch w:val="default"/>
  </w:font>
  <w:font w:name="SFTI0800">
    <w:charset w:val="01"/>
    <w:family w:val="roman"/>
    <w:pitch w:val="default"/>
  </w:font>
  <w:font w:name="TimesNewRomanMTStd">
    <w:charset w:val="01"/>
    <w:family w:val="roman"/>
    <w:pitch w:val="default"/>
  </w:font>
  <w:font w:name="TimesNewRomanMTStd-Bold">
    <w:charset w:val="01"/>
    <w:family w:val="roman"/>
    <w:pitch w:val="default"/>
  </w:font>
  <w:font w:name="NimbusRomNo9L-ReguItal">
    <w:charset w:val="01"/>
    <w:family w:val="roman"/>
    <w:pitch w:val="default"/>
  </w:font>
  <w:font w:name="TTdcr10">
    <w:charset w:val="01"/>
    <w:family w:val="roman"/>
    <w:pitch w:val="default"/>
  </w:font>
  <w:font w:name="TTdcti10">
    <w:charset w:val="01"/>
    <w:family w:val="roman"/>
    <w:pitch w:val="default"/>
  </w:font>
  <w:font w:name="CMTI12">
    <w:charset w:val="01"/>
    <w:family w:val="roman"/>
    <w:pitch w:val="default"/>
  </w:font>
  <w:font w:name="CMMI12">
    <w:charset w:val="01"/>
    <w:family w:val="roman"/>
    <w:pitch w:val="default"/>
  </w:font>
  <w:font w:name="LMRoman10-Regular">
    <w:charset w:val="01"/>
    <w:family w:val="roman"/>
    <w:pitch w:val="default"/>
  </w:font>
  <w:font w:name="LMRoman10-Italic">
    <w:charset w:val="01"/>
    <w:family w:val="roman"/>
    <w:pitch w:val="default"/>
  </w:font>
  <w:font w:name="LMMathItalic10-Regular">
    <w:charset w:val="01"/>
    <w:family w:val="roman"/>
    <w:pitch w:val="default"/>
  </w:font>
  <w:font w:name="Helvetica Neue">
    <w:altName w:val="Helvetica"/>
    <w:charset w:val="01"/>
    <w:family w:val="roman"/>
    <w:pitch w:val="default"/>
  </w:font>
  <w:font w:name="AdvOT1ef757c0">
    <w:charset w:val="01"/>
    <w:family w:val="roman"/>
    <w:pitch w:val="default"/>
  </w:font>
  <w:font w:name="AdvOT1ef757c0+fb">
    <w:charset w:val="01"/>
    <w:family w:val="roman"/>
    <w:pitch w:val="default"/>
  </w:font>
  <w:font w:name="AdvOT1ef757c0+20">
    <w:charset w:val="01"/>
    <w:family w:val="roman"/>
    <w:pitch w:val="default"/>
  </w:font>
  <w:font w:name="AdvOT7d6df7ab.I">
    <w:charset w:val="01"/>
    <w:family w:val="roman"/>
    <w:pitch w:val="default"/>
  </w:font>
  <w:font w:name="AdvOT7d6df7ab.I+fb">
    <w:charset w:val="01"/>
    <w:family w:val="roman"/>
    <w:pitch w:val="default"/>
  </w:font>
  <w:font w:name="Georgia-Bold">
    <w:charset w:val="01"/>
    <w:family w:val="roman"/>
    <w:pitch w:val="default"/>
  </w:font>
  <w:font w:name="Georgia-Italic">
    <w:charset w:val="01"/>
    <w:family w:val="roman"/>
    <w:pitch w:val="default"/>
  </w:font>
  <w:font w:name="AdvOT635f2c37">
    <w:charset w:val="01"/>
    <w:family w:val="roman"/>
    <w:pitch w:val="default"/>
  </w:font>
  <w:font w:name="AdvOTa14f9db0.I">
    <w:charset w:val="01"/>
    <w:family w:val="roman"/>
    <w:pitch w:val="default"/>
  </w:font>
  <w:font w:name="AdvOT635f2c37+20">
    <w:charset w:val="01"/>
    <w:family w:val="roman"/>
    <w:pitch w:val="default"/>
  </w:font>
  <w:font w:name="AdvOT635f2c37+fb">
    <w:charset w:val="01"/>
    <w:family w:val="roman"/>
    <w:pitch w:val="default"/>
  </w:font>
  <w:font w:name="AdvOTa14f9db0.I+fb">
    <w:charset w:val="01"/>
    <w:family w:val="roman"/>
    <w:pitch w:val="default"/>
  </w:font>
  <w:font w:name="AdvOT97231e80.B">
    <w:charset w:val="01"/>
    <w:family w:val="roman"/>
    <w:pitch w:val="default"/>
  </w:font>
  <w:font w:name="AdvP4491A2">
    <w:charset w:val="01"/>
    <w:family w:val="roman"/>
    <w:pitch w:val="default"/>
  </w:font>
  <w:font w:name="AdvP4C4E74">
    <w:charset w:val="01"/>
    <w:family w:val="roman"/>
    <w:pitch w:val="default"/>
  </w:font>
  <w:font w:name="AdvP4C4E59">
    <w:charset w:val="01"/>
    <w:family w:val="roman"/>
    <w:pitch w:val="default"/>
  </w:font>
  <w:font w:name="NewBaskervilleStd-Roman">
    <w:charset w:val="01"/>
    <w:family w:val="roman"/>
    <w:pitch w:val="default"/>
  </w:font>
  <w:font w:name="NewBaskervilleStd-Italic">
    <w:charset w:val="01"/>
    <w:family w:val="roman"/>
    <w:pitch w:val="default"/>
  </w:font>
  <w:font w:name="AGaramond-Regular">
    <w:charset w:val="01"/>
    <w:family w:val="roman"/>
    <w:pitch w:val="default"/>
  </w:font>
  <w:font w:name="AGaramond-Italic">
    <w:charset w:val="01"/>
    <w:family w:val="roman"/>
    <w:pitch w:val="default"/>
  </w:font>
  <w:font w:name="AGaramondExp-Regular">
    <w:charset w:val="01"/>
    <w:family w:val="roman"/>
    <w:pitch w:val="default"/>
  </w:font>
  <w:font w:name="AGaramond-Semibold">
    <w:charset w:val="01"/>
    <w:family w:val="roman"/>
    <w:pitch w:val="default"/>
  </w:font>
  <w:font w:name="MyriadPro-Bold">
    <w:charset w:val="01"/>
    <w:family w:val="roman"/>
    <w:pitch w:val="default"/>
  </w:font>
  <w:font w:name="MinionPro-It">
    <w:charset w:val="01"/>
    <w:family w:val="roman"/>
    <w:pitch w:val="default"/>
  </w:font>
  <w:font w:name="Sabon-Roman">
    <w:charset w:val="01"/>
    <w:family w:val="roman"/>
    <w:pitch w:val="default"/>
  </w:font>
  <w:font w:name="Sabon-Italic">
    <w:charset w:val="01"/>
    <w:family w:val="roman"/>
    <w:pitch w:val="default"/>
  </w:font>
  <w:font w:name="Sabon-RomanSC">
    <w:charset w:val="01"/>
    <w:family w:val="roman"/>
    <w:pitch w:val="default"/>
  </w:font>
  <w:font w:name="FreightTextProBook-Regular">
    <w:charset w:val="01"/>
    <w:family w:val="roman"/>
    <w:pitch w:val="default"/>
  </w:font>
  <w:font w:name="FreightTextProBook-Italic">
    <w:charset w:val="01"/>
    <w:family w:val="roman"/>
    <w:pitch w:val="default"/>
  </w:font>
  <w:font w:name="FreightTextProSemibold-Regular">
    <w:charset w:val="01"/>
    <w:family w:val="roman"/>
    <w:pitch w:val="default"/>
  </w:font>
  <w:font w:name="CMSY10">
    <w:charset w:val="01"/>
    <w:family w:val="roman"/>
    <w:pitch w:val="default"/>
  </w:font>
  <w:font w:name="CMMI8">
    <w:charset w:val="01"/>
    <w:family w:val="roman"/>
    <w:pitch w:val="default"/>
  </w:font>
  <w:font w:name="Perpetua">
    <w:charset w:val="01"/>
    <w:family w:val="roman"/>
    <w:pitch w:val="default"/>
  </w:font>
  <w:font w:name="Perpetua-Italic">
    <w:charset w:val="01"/>
    <w:family w:val="roman"/>
    <w:pitch w:val="default"/>
  </w:font>
  <w:font w:name="Calibri-Italic">
    <w:charset w:val="01"/>
    <w:family w:val="roman"/>
    <w:pitch w:val="default"/>
  </w:font>
  <w:font w:name="SymbolMT">
    <w:charset w:val="01"/>
    <w:family w:val="roman"/>
    <w:pitch w:val="default"/>
  </w:font>
  <w:font w:name="StempelGaramond-Roman">
    <w:charset w:val="01"/>
    <w:family w:val="roman"/>
    <w:pitch w:val="default"/>
  </w:font>
  <w:font w:name="StempelGaramond-Italic">
    <w:charset w:val="01"/>
    <w:family w:val="roman"/>
    <w:pitch w:val="default"/>
  </w:font>
  <w:font w:name="BgnmpwWptfcpTimes-Roman">
    <w:charset w:val="01"/>
    <w:family w:val="roman"/>
    <w:pitch w:val="default"/>
  </w:font>
  <w:font w:name="KfjnvmNjhlcnTimes-Italic">
    <w:charset w:val="01"/>
    <w:family w:val="roman"/>
    <w:pitch w:val="default"/>
  </w:font>
  <w:font w:name="LknmqmBlpvqvTimes-Bold">
    <w:charset w:val="01"/>
    <w:family w:val="roman"/>
    <w:pitch w:val="default"/>
  </w:font>
  <w:font w:name="HlshrbCnhnhfMTSYN">
    <w:charset w:val="01"/>
    <w:family w:val="roman"/>
    <w:pitch w:val="default"/>
  </w:font>
  <w:font w:name="StcqctClkprsMTMI">
    <w:charset w:val="01"/>
    <w:family w:val="roman"/>
    <w:pitch w:val="default"/>
  </w:font>
  <w:font w:name="SkcggrDvwsfhMTSYB">
    <w:charset w:val="01"/>
    <w:family w:val="roman"/>
    <w:pitch w:val="default"/>
  </w:font>
  <w:font w:name="AdvOTea1a7398+20">
    <w:charset w:val="01"/>
    <w:family w:val="roman"/>
    <w:pitch w:val="default"/>
  </w:font>
  <w:font w:name="AdvOTea1a7398+fb">
    <w:charset w:val="01"/>
    <w:family w:val="roman"/>
    <w:pitch w:val="default"/>
  </w:font>
  <w:font w:name="AdvOT125c650c">
    <w:charset w:val="01"/>
    <w:family w:val="roman"/>
    <w:pitch w:val="default"/>
  </w:font>
  <w:font w:name="AdvOT7d6df7ab.I+03">
    <w:charset w:val="01"/>
    <w:family w:val="roman"/>
    <w:pitch w:val="default"/>
  </w:font>
  <w:font w:name="AdvOTcb88df00">
    <w:charset w:val="01"/>
    <w:family w:val="roman"/>
    <w:pitch w:val="default"/>
  </w:font>
  <w:font w:name="QlhcscAdvTT3713a231+20">
    <w:charset w:val="01"/>
    <w:family w:val="roman"/>
    <w:pitch w:val="default"/>
  </w:font>
  <w:font w:name="QndjggAdvP0004">
    <w:charset w:val="01"/>
    <w:family w:val="roman"/>
    <w:pitch w:val="default"/>
  </w:font>
  <w:font w:name="RhkwgmAdvP0005">
    <w:charset w:val="01"/>
    <w:family w:val="roman"/>
    <w:pitch w:val="default"/>
  </w:font>
  <w:font w:name="VptfcqAdvTT50a2f13e.I">
    <w:charset w:val="01"/>
    <w:family w:val="roman"/>
    <w:pitch w:val="default"/>
  </w:font>
  <w:font w:name="GaramondPremrPro-It">
    <w:charset w:val="01"/>
    <w:family w:val="roman"/>
    <w:pitch w:val="default"/>
  </w:font>
  <w:font w:name="Times-Italic">
    <w:charset w:val="01"/>
    <w:family w:val="roman"/>
    <w:pitch w:val="default"/>
  </w:font>
  <w:font w:name="rtxr">
    <w:charset w:val="01"/>
    <w:family w:val="roman"/>
    <w:pitch w:val="default"/>
  </w:font>
  <w:font w:name="Palatino-Roman">
    <w:charset w:val="01"/>
    <w:family w:val="roman"/>
    <w:pitch w:val="default"/>
  </w:font>
  <w:font w:name="Palatino-Italic">
    <w:charset w:val="01"/>
    <w:family w:val="roman"/>
    <w:pitch w:val="default"/>
  </w:font>
  <w:font w:name="TeXPalladioL-SC">
    <w:charset w:val="01"/>
    <w:family w:val="roman"/>
    <w:pitch w:val="default"/>
  </w:font>
  <w:font w:name="Palatino-Bold">
    <w:charset w:val="01"/>
    <w:family w:val="roman"/>
    <w:pitch w:val="default"/>
  </w:font>
  <w:font w:name="CMTT10">
    <w:charset w:val="01"/>
    <w:family w:val="roman"/>
    <w:pitch w:val="default"/>
  </w:font>
  <w:font w:name="CMBX9">
    <w:charset w:val="01"/>
    <w:family w:val="roman"/>
    <w:pitch w:val="default"/>
  </w:font>
  <w:font w:name="txex">
    <w:charset w:val="01"/>
    <w:family w:val="roman"/>
    <w:pitch w:val="default"/>
  </w:font>
  <w:font w:name="txsyb">
    <w:charset w:val="01"/>
    <w:family w:val="roman"/>
    <w:pitch w:val="default"/>
  </w:font>
  <w:font w:name="LinBiolinumTB">
    <w:charset w:val="01"/>
    <w:family w:val="roman"/>
    <w:pitch w:val="default"/>
  </w:font>
  <w:font w:name="LinLibertineT">
    <w:charset w:val="01"/>
    <w:family w:val="roman"/>
    <w:pitch w:val="default"/>
  </w:font>
  <w:font w:name="LinLibertineTI">
    <w:charset w:val="01"/>
    <w:family w:val="roman"/>
    <w:pitch w:val="default"/>
  </w:font>
  <w:font w:name="LibertinusT1Math">
    <w:charset w:val="01"/>
    <w:family w:val="roman"/>
    <w:pitch w:val="default"/>
  </w:font>
  <w:font w:name="STIXMathCalligraphy-Regular">
    <w:charset w:val="01"/>
    <w:family w:val="roman"/>
    <w:pitch w:val="default"/>
  </w:font>
  <w:font w:name="HiddenHorzOCR">
    <w:charset w:val="01"/>
    <w:family w:val="roman"/>
    <w:pitch w:val="default"/>
  </w:font>
  <w:font w:name="AkzidenzGroteskBE-Md">
    <w:charset w:val="01"/>
    <w:family w:val="roman"/>
    <w:pitch w:val="default"/>
  </w:font>
  <w:font w:name="Plantin">
    <w:charset w:val="01"/>
    <w:family w:val="roman"/>
    <w:pitch w:val="default"/>
  </w:font>
  <w:font w:name="Plantin-Italic">
    <w:charset w:val="01"/>
    <w:family w:val="roman"/>
    <w:pitch w:val="default"/>
  </w:font>
  <w:font w:name="PlantinExpert">
    <w:charset w:val="01"/>
    <w:family w:val="roman"/>
    <w:pitch w:val="default"/>
  </w:font>
  <w:font w:name="AdvPTimesI">
    <w:charset w:val="01"/>
    <w:family w:val="roman"/>
    <w:pitch w:val="default"/>
  </w:font>
  <w:font w:name="AdvPSMP4">
    <w:charset w:val="01"/>
    <w:family w:val="roman"/>
    <w:pitch w:val="default"/>
  </w:font>
  <w:font w:name="AdvPSMP13">
    <w:charset w:val="01"/>
    <w:family w:val="roman"/>
    <w:pitch w:val="default"/>
  </w:font>
  <w:font w:name="AdvTir_symb">
    <w:charset w:val="01"/>
    <w:family w:val="roman"/>
    <w:pitch w:val="default"/>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9</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256</w:t>
    </w:r>
    <w:r>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502</w:t>
    </w:r>
    <w:r>
      <w:rPr/>
      <w:fldChar w:fldCharType="end"/>
    </w:r>
  </w:p>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
        <w:spacing w:before="0" w:after="0"/>
        <w:contextualSpacing/>
        <w:rPr/>
      </w:pPr>
      <w:r>
        <w:rPr>
          <w:rStyle w:val="FootnoteCharacters"/>
        </w:rPr>
        <w:footnoteRef/>
      </w:r>
      <w:r>
        <w:rP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3">
    <w:p>
      <w:pPr>
        <w:pStyle w:val="Footnote"/>
        <w:spacing w:before="0" w:after="0"/>
        <w:contextualSpacing/>
        <w:rPr/>
      </w:pPr>
      <w:r>
        <w:rPr>
          <w:rStyle w:val="FootnoteCharacters"/>
        </w:rPr>
        <w:footnoteRef/>
      </w:r>
      <w:r>
        <w:rPr/>
        <w:t xml:space="preserve"> </w:t>
      </w:r>
      <w:r>
        <w:rPr/>
        <w:t>Even if those who plagiarized my ideas understood some of them, they were not able to understand completely my EDWs. The thieves cannot understand completely what they stole…</w:t>
      </w:r>
    </w:p>
  </w:footnote>
  <w:footnote w:id="4">
    <w:p>
      <w:pPr>
        <w:pStyle w:val="Footnote"/>
        <w:spacing w:before="0" w:after="0"/>
        <w:contextualSpacing/>
        <w:rPr/>
      </w:pPr>
      <w:r>
        <w:rPr>
          <w:rStyle w:val="FootnoteCharacters"/>
        </w:rPr>
        <w:footnoteRef/>
      </w:r>
      <w:r>
        <w:rPr/>
        <w:t xml:space="preserve"> </w:t>
      </w:r>
      <w:r>
        <w:rPr/>
        <w:t xml:space="preserve">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5">
    <w:p>
      <w:pPr>
        <w:pStyle w:val="Footnote"/>
        <w:spacing w:before="0" w:after="0"/>
        <w:contextualSpacing/>
        <w:rPr/>
      </w:pPr>
      <w:r>
        <w:rPr>
          <w:rStyle w:val="FootnoteCharacters"/>
        </w:rPr>
        <w:footnoteRef/>
      </w:r>
      <w:r>
        <w:rPr/>
        <w:t xml:space="preserve"> </w:t>
      </w:r>
      <w:r>
        <w:rPr/>
        <w:t xml:space="preserve">For understanding completely this statement, any reader can take a look at my books on my webpage. </w:t>
      </w:r>
    </w:p>
  </w:footnote>
  <w:footnote w:id="6">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As we will see in this section, the notions of observation and interaction are equivalent.</w:t>
      </w:r>
    </w:p>
  </w:footnote>
  <w:footnote w:id="8">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9">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10">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11">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3">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4">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5">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A scientific example against this division is Planck’s constant.</w:t>
      </w:r>
    </w:p>
  </w:footnote>
  <w:footnote w:id="16">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8">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w:t>
      </w:r>
      <w:r>
        <w:rPr>
          <w:rFonts w:eastAsia="TimesNewRomanPSMT"/>
          <w:sz w:val="20"/>
          <w:szCs w:val="20"/>
        </w:rPr>
        <w:t>Conceptual containment” is Kaiser’s expression. (Kaiser 1992, p. 219)</w:t>
      </w:r>
    </w:p>
  </w:footnote>
  <w:footnote w:id="19">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I am highly indebted to Ilie Parvu for recommending me Kaiser's article.</w:t>
      </w:r>
    </w:p>
  </w:footnote>
  <w:footnote w:id="20">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21">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3">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4">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This neural pattern is changeable depending on the past experience of each individual.</w:t>
      </w:r>
    </w:p>
  </w:footnote>
  <w:footnote w:id="25">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6">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8">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9">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30">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31">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pStyle w:val="Normal"/>
        <w:spacing w:before="0" w:after="0"/>
        <w:contextualSpacing/>
        <w:rPr/>
      </w:pPr>
      <w:r>
        <w:rPr>
          <w:rFonts w:eastAsia="TimesNewRomanPSMT"/>
          <w:sz w:val="20"/>
          <w:szCs w:val="20"/>
        </w:rPr>
        <w:t>only by physically analyzing a human subject that belongs to the macro-EW. In that EW, the “I” does not exist as an entity.</w:t>
      </w:r>
    </w:p>
  </w:footnote>
  <w:footnote w:id="33">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pStyle w:val="Footnote"/>
        <w:spacing w:before="0" w:after="0"/>
        <w:contextualSpacing/>
        <w:rPr/>
      </w:pPr>
      <w:r>
        <w:rPr/>
      </w:r>
    </w:p>
  </w:footnote>
  <w:footnote w:id="34">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5">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6">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8">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9">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40">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41">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3">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4">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5">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6">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With the perspective of the observer we go beyond the eternal realism-antirealism debate.</w:t>
      </w:r>
    </w:p>
  </w:footnote>
  <w:footnote w:id="4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8">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9">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50">
    <w:p>
      <w:pPr>
        <w:pStyle w:val="Footnote"/>
        <w:spacing w:before="0" w:after="0"/>
        <w:contextualSpacing/>
        <w:rPr/>
      </w:pPr>
      <w:r>
        <w:rPr>
          <w:rStyle w:val="FootnoteCharacters"/>
        </w:rPr>
        <w:footnoteRef/>
      </w:r>
      <w:r>
        <w:rPr/>
        <w:t xml:space="preserve"> </w:t>
      </w:r>
      <w:r>
        <w:rPr>
          <w:lang w:val="en-GB"/>
        </w:rPr>
        <w:t xml:space="preserve">This paper has been written in 2017. </w:t>
      </w:r>
    </w:p>
  </w:footnote>
  <w:footnote w:id="51">
    <w:p>
      <w:pPr>
        <w:pStyle w:val="Footnote"/>
        <w:spacing w:before="0" w:after="0"/>
        <w:contextualSpacing/>
        <w:rPr/>
      </w:pPr>
      <w:r>
        <w:rPr>
          <w:rStyle w:val="FootnoteCharacters"/>
        </w:rPr>
        <w:footnoteRef/>
      </w:r>
      <w:r>
        <w:rP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2">
    <w:p>
      <w:pPr>
        <w:pStyle w:val="Normal"/>
        <w:spacing w:before="0" w:after="0"/>
        <w:contextualSpacing/>
        <w:rPr/>
      </w:pPr>
      <w:r>
        <w:rPr>
          <w:rStyle w:val="FootnoteCharacters"/>
        </w:rPr>
        <w:footnoteRef/>
      </w:r>
      <w:r>
        <w:rPr>
          <w:sz w:val="20"/>
          <w:szCs w:val="20"/>
        </w:rPr>
        <w:t xml:space="preserve"> </w:t>
      </w:r>
      <w:r>
        <w:rPr>
          <w:sz w:val="20"/>
          <w:szCs w:val="20"/>
        </w:rPr>
        <w:t>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3">
    <w:p>
      <w:pPr>
        <w:pStyle w:val="Footnote"/>
        <w:spacing w:before="0" w:after="0"/>
        <w:contextualSpacing/>
        <w:rPr/>
      </w:pPr>
      <w:r>
        <w:rPr>
          <w:rStyle w:val="FootnoteCharacters"/>
        </w:rPr>
        <w:footnoteRef/>
      </w:r>
      <w:r>
        <w:rPr/>
        <w:t xml:space="preserve"> </w:t>
      </w:r>
      <w:r>
        <w:rPr/>
        <w:t>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4">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5">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6">
    <w:p>
      <w:pPr>
        <w:pStyle w:val="Normal"/>
        <w:spacing w:before="0" w:after="0"/>
        <w:contextualSpacing/>
        <w:rPr/>
      </w:pPr>
      <w:r>
        <w:rPr>
          <w:rStyle w:val="FootnoteCharacters"/>
        </w:rPr>
        <w:footnoteRef/>
      </w:r>
      <w:r>
        <w:rPr>
          <w:sz w:val="20"/>
          <w:szCs w:val="20"/>
        </w:rPr>
        <w:t xml:space="preserve"> </w:t>
      </w:r>
      <w:r>
        <w:rPr>
          <w:sz w:val="20"/>
          <w:szCs w:val="20"/>
        </w:rPr>
        <w:t>Also, the notion of “different kinds of stuff” or “different descriptions” appears Fodor (1974) which also reject “reductionism” (but working within the unicorn world) investigated in Vacariu 2008: “</w:t>
      </w:r>
      <w:r>
        <w:rPr>
          <w:rFonts w:eastAsia="TimesNewRomanPSMT" w:cs="TimesNewRomanPSMT" w:ascii="TimesNewRomanPSMT" w:hAnsi="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eastAsia="TimesNewRomanPSMT" w:cs="TimesNewRomanPSMT" w:ascii="TimesNewRomanPSMT" w:hAnsi="TimesNewRomanPSMT"/>
          <w:sz w:val="20"/>
          <w:szCs w:val="20"/>
        </w:rPr>
        <w:t xml:space="preserve">sciences (neuroscience, psychology, economics, etc.) and </w:t>
      </w:r>
      <w:r>
        <w:rPr>
          <w:rFonts w:eastAsia="TimesNewRomanPSMT"/>
          <w:i/>
          <w:iCs/>
          <w:sz w:val="20"/>
          <w:szCs w:val="20"/>
        </w:rPr>
        <w:t xml:space="preserve">basic </w:t>
      </w:r>
      <w:r>
        <w:rPr>
          <w:rFonts w:eastAsia="TimesNewRomanPSMT" w:cs="TimesNewRomanPSMT" w:ascii="TimesNewRomanPSMT" w:hAnsi="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eastAsia="TimesNewRomanPSMT" w:cs="TimesNewRomanPSMT" w:ascii="TimesNewRomanPSMT" w:hAnsi="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8">
    <w:p>
      <w:pPr>
        <w:pStyle w:val="Normal"/>
        <w:spacing w:before="0" w:after="0"/>
        <w:contextualSpacing/>
        <w:rPr/>
      </w:pPr>
      <w:r>
        <w:rPr>
          <w:rStyle w:val="FootnoteCharacters"/>
        </w:rPr>
        <w:footnoteRef/>
      </w:r>
      <w:r>
        <w:rPr>
          <w:sz w:val="20"/>
          <w:szCs w:val="20"/>
        </w:rPr>
        <w:t xml:space="preserve"> </w:t>
      </w:r>
      <w:r>
        <w:rPr>
          <w:sz w:val="20"/>
          <w:szCs w:val="20"/>
        </w:rPr>
        <w:t xml:space="preserve">I remind to the reader again that his expression remind us about Goodman’s article from 1978: </w:t>
      </w:r>
      <w:r>
        <w:rPr>
          <w:rFonts w:eastAsia="TimesNewRomanPSMT"/>
          <w:sz w:val="20"/>
          <w:szCs w:val="20"/>
        </w:rPr>
        <w:t>“The Way the World Is”</w:t>
      </w:r>
      <w:r>
        <w:rPr>
          <w:rFonts w:eastAsia="TimesNewRomanPSMT" w:cs="TimesNewRomanPSMT" w:ascii="TimesNewRomanPSMT" w:hAnsi="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9">
    <w:p>
      <w:pPr>
        <w:pStyle w:val="Normal"/>
        <w:spacing w:before="0" w:after="0"/>
        <w:contextualSpacing/>
        <w:rPr/>
      </w:pPr>
      <w:r>
        <w:rPr>
          <w:rStyle w:val="FootnoteCharacters"/>
        </w:rPr>
        <w:footnoteRef/>
      </w:r>
      <w:r>
        <w:rPr>
          <w:sz w:val="20"/>
          <w:szCs w:val="20"/>
        </w:rPr>
        <w:t xml:space="preserve"> </w:t>
      </w:r>
      <w:r>
        <w:rPr>
          <w:sz w:val="20"/>
          <w:szCs w:val="20"/>
        </w:rPr>
        <w:t>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60">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61">
    <w:p>
      <w:pPr>
        <w:pStyle w:val="Footnote"/>
        <w:spacing w:before="0" w:after="0"/>
        <w:contextualSpacing/>
        <w:rPr/>
      </w:pPr>
      <w:r>
        <w:rPr>
          <w:rStyle w:val="FootnoteCharacters"/>
        </w:rPr>
        <w:footnoteRef/>
      </w:r>
      <w:r>
        <w:rP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3">
    <w:p>
      <w:pPr>
        <w:pStyle w:val="Footnote"/>
        <w:spacing w:before="0" w:after="0"/>
        <w:contextualSpacing/>
        <w:rPr/>
      </w:pPr>
      <w:r>
        <w:rPr>
          <w:rStyle w:val="FootnoteCharacters"/>
        </w:rPr>
        <w:footnoteRef/>
      </w:r>
      <w:r>
        <w:rPr/>
        <w:t xml:space="preserve"> </w:t>
      </w:r>
      <w:r>
        <w:rPr/>
        <w:t>In fact, in Vacariu 2008, I wrote about Fodor’s idea of autonomy (in his article from 1974!) of different “special sciences”. I emphasize again that this “taxonomy” sends directly to Carnap’s “linguistic frameworks” investigated by me in book 2008 (section 6.2)!</w:t>
      </w:r>
    </w:p>
  </w:footnote>
  <w:footnote w:id="64">
    <w:p>
      <w:pPr>
        <w:pStyle w:val="Normal"/>
        <w:spacing w:before="0" w:after="0"/>
        <w:contextualSpacing/>
        <w:rPr/>
      </w:pPr>
      <w:r>
        <w:rPr>
          <w:rStyle w:val="FootnoteCharacters"/>
        </w:rPr>
        <w:footnoteRef/>
      </w:r>
      <w:r>
        <w:rPr>
          <w:sz w:val="20"/>
          <w:szCs w:val="20"/>
        </w:rPr>
        <w:t xml:space="preserve"> </w:t>
      </w:r>
      <w:r>
        <w:rPr>
          <w:sz w:val="20"/>
          <w:szCs w:val="20"/>
        </w:rPr>
        <w:t>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5">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6">
    <w:p>
      <w:pPr>
        <w:pStyle w:val="Footnote"/>
        <w:spacing w:before="0" w:after="0"/>
        <w:contextualSpacing/>
        <w:rPr/>
      </w:pPr>
      <w:r>
        <w:rPr>
          <w:rStyle w:val="FootnoteCharacters"/>
        </w:rPr>
        <w:footnoteRef/>
      </w:r>
      <w:r>
        <w:rPr/>
        <w:t xml:space="preserve"> </w:t>
      </w:r>
      <w:r>
        <w:rPr/>
        <w:t>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7">
    <w:p>
      <w:pPr>
        <w:pStyle w:val="Footnote"/>
        <w:spacing w:before="0" w:after="0"/>
        <w:contextualSpacing/>
        <w:rPr/>
      </w:pPr>
      <w:r>
        <w:rPr>
          <w:rStyle w:val="FootnoteCharacters"/>
        </w:rPr>
        <w:footnoteRef/>
      </w:r>
      <w:r>
        <w:rPr/>
        <w:t xml:space="preserve"> </w:t>
      </w:r>
      <w:r>
        <w:rPr/>
        <w:t xml:space="preserve">At one moment, </w:t>
      </w:r>
      <w:r>
        <w:rPr>
          <w:rFonts w:eastAsia="TimesNewRomanPSMT"/>
        </w:rPr>
        <w:t>Carroll switches the “vocabulary” from Physics to other vocabulary that includes “person” and “human beings”!</w:t>
      </w:r>
    </w:p>
  </w:footnote>
  <w:footnote w:id="68">
    <w:p>
      <w:pPr>
        <w:pStyle w:val="Normal"/>
        <w:spacing w:before="0" w:after="0"/>
        <w:contextualSpacing/>
        <w:rPr/>
      </w:pPr>
      <w:r>
        <w:rPr>
          <w:rStyle w:val="FootnoteCharacters"/>
        </w:rPr>
        <w:footnoteRef/>
      </w:r>
      <w:r>
        <w:rPr>
          <w:sz w:val="20"/>
          <w:szCs w:val="20"/>
        </w:rPr>
        <w:t xml:space="preserve"> </w:t>
      </w:r>
      <w:r>
        <w:rPr>
          <w:sz w:val="20"/>
          <w:szCs w:val="20"/>
        </w:rPr>
        <w:t>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9">
    <w:p>
      <w:pPr>
        <w:pStyle w:val="Footnote"/>
        <w:spacing w:before="0" w:after="0"/>
        <w:contextualSpacing/>
        <w:rPr/>
      </w:pPr>
      <w:r>
        <w:rPr>
          <w:rStyle w:val="FootnoteCharacters"/>
        </w:rPr>
        <w:footnoteRef/>
      </w:r>
      <w:r>
        <w:rPr/>
        <w:t xml:space="preserve"> </w:t>
      </w:r>
      <w:r>
        <w:rPr/>
        <w:t xml:space="preserve">In Chapter 41, Carroll investigates the difference between “substance dualism” and “property dualism”. </w:t>
      </w:r>
    </w:p>
  </w:footnote>
  <w:footnote w:id="70">
    <w:p>
      <w:pPr>
        <w:pStyle w:val="Footnote"/>
        <w:spacing w:before="0" w:after="0"/>
        <w:contextualSpacing/>
        <w:rPr/>
      </w:pPr>
      <w:r>
        <w:rPr>
          <w:rStyle w:val="FootnoteCharacters"/>
        </w:rPr>
        <w:footnoteRef/>
      </w:r>
      <w:r>
        <w:rPr/>
        <w:t xml:space="preserve"> </w:t>
      </w:r>
      <w:r>
        <w:rPr/>
        <w:t>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71">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3">
    <w:p>
      <w:pPr>
        <w:pStyle w:val="Footnote"/>
        <w:spacing w:before="0" w:after="0"/>
        <w:contextualSpacing/>
        <w:rPr/>
      </w:pPr>
      <w:r>
        <w:rPr>
          <w:rStyle w:val="FootnoteCharacters"/>
        </w:rPr>
        <w:footnoteRef/>
      </w:r>
      <w:r>
        <w:rPr/>
        <w:t xml:space="preserve"> </w:t>
      </w:r>
      <w:r>
        <w:rPr/>
        <w:t xml:space="preserve">About “entropy” and EDWs, see my next book. </w:t>
      </w:r>
    </w:p>
  </w:footnote>
  <w:footnote w:id="74">
    <w:p>
      <w:pPr>
        <w:pStyle w:val="Footnote"/>
        <w:spacing w:before="0" w:after="0"/>
        <w:contextualSpacing/>
        <w:rPr/>
      </w:pPr>
      <w:r>
        <w:rPr>
          <w:rStyle w:val="FootnoteCharacters"/>
        </w:rPr>
        <w:footnoteRef/>
      </w:r>
      <w:r>
        <w:rPr/>
        <w:t xml:space="preserve"> </w:t>
      </w:r>
      <w:r>
        <w:rPr/>
        <w:t xml:space="preserve">We investigated “complexity” in our book from 2010. </w:t>
      </w:r>
    </w:p>
  </w:footnote>
  <w:footnote w:id="75">
    <w:p>
      <w:pPr>
        <w:pStyle w:val="Normal"/>
        <w:spacing w:before="0" w:after="0"/>
        <w:contextualSpacing/>
        <w:rPr/>
      </w:pPr>
      <w:r>
        <w:rPr>
          <w:rStyle w:val="FootnoteCharacters"/>
        </w:rPr>
        <w:footnoteRef/>
      </w:r>
      <w:r>
        <w:rPr>
          <w:sz w:val="20"/>
          <w:szCs w:val="20"/>
        </w:rPr>
        <w:t xml:space="preserve"> “</w:t>
      </w:r>
      <w:r>
        <w:rPr>
          <w:rFonts w:eastAsia="TimesNewRomanPSMT" w:cs="TimesNewRomanPSMT" w:ascii="TimesNewRomanPSMT" w:hAnsi="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eastAsia="TimesNewRomanPS-ItalicMT" w:cs="TimesNewRomanPS-ItalicMT" w:ascii="TimesNewRomanPS-ItalicMT" w:hAnsi="TimesNewRomanPS-ItalicMT"/>
          <w:i/>
          <w:iCs/>
          <w:sz w:val="20"/>
          <w:szCs w:val="20"/>
        </w:rPr>
        <w:t>collectively autocatalytic systems of molecules</w:t>
      </w:r>
      <w:r>
        <w:rPr>
          <w:rFonts w:eastAsia="TimesNewRomanPSMT" w:cs="TimesNewRomanPSMT" w:ascii="TimesNewRomanPSMT" w:hAnsi="TimesNewRomanPSMT"/>
          <w:sz w:val="20"/>
          <w:szCs w:val="20"/>
        </w:rPr>
        <w:t>”. (1995, 2000, 2008)” (Vacariu and Vacariu 2010, p. 245)</w:t>
      </w:r>
    </w:p>
  </w:footnote>
  <w:footnote w:id="76">
    <w:p>
      <w:pPr>
        <w:pStyle w:val="Normal"/>
        <w:spacing w:before="0" w:after="0"/>
        <w:contextualSpacing/>
        <w:rPr/>
      </w:pPr>
      <w:r>
        <w:rPr>
          <w:rStyle w:val="FootnoteCharacters"/>
        </w:rPr>
        <w:footnoteRef/>
      </w:r>
      <w:r>
        <w:rPr>
          <w:sz w:val="20"/>
          <w:szCs w:val="20"/>
        </w:rPr>
        <w:t xml:space="preserve"> </w:t>
      </w:r>
      <w:r>
        <w:rPr>
          <w:sz w:val="20"/>
          <w:szCs w:val="20"/>
        </w:rPr>
        <w:t>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pStyle w:val="Normal"/>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pStyle w:val="Normal"/>
        <w:spacing w:before="0" w:after="0"/>
        <w:ind w:left="0" w:right="0" w:firstLine="708"/>
        <w:contextualSpacing/>
        <w:rPr/>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pStyle w:val="Normal"/>
        <w:spacing w:before="0" w:after="0"/>
        <w:ind w:left="0" w:right="0" w:firstLine="708"/>
        <w:contextualSpacing/>
        <w:rPr/>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8">
    <w:p>
      <w:pPr>
        <w:pStyle w:val="Normal"/>
        <w:spacing w:before="0" w:after="0"/>
        <w:contextualSpacing/>
        <w:rPr/>
      </w:pPr>
      <w:r>
        <w:rPr>
          <w:rStyle w:val="FootnoteCharacters"/>
        </w:rPr>
        <w:footnoteRef/>
      </w:r>
      <w:r>
        <w:rPr>
          <w:sz w:val="20"/>
          <w:szCs w:val="20"/>
        </w:rPr>
        <w:t xml:space="preserve"> </w:t>
      </w:r>
      <w:r>
        <w:rPr>
          <w:sz w:val="20"/>
          <w:szCs w:val="20"/>
        </w:rPr>
        <w:t xml:space="preserve">At the same page, </w:t>
      </w:r>
      <w:r>
        <w:rPr>
          <w:rFonts w:eastAsia="TimesNewRomanPSMT"/>
          <w:sz w:val="20"/>
          <w:szCs w:val="20"/>
        </w:rPr>
        <w:t xml:space="preserve">Carroll introduces even the notion of “functionalism” but, as usually, he did not indicate the source of this notion. </w:t>
      </w:r>
    </w:p>
  </w:footnote>
  <w:footnote w:id="79">
    <w:p>
      <w:pPr>
        <w:pStyle w:val="Footnote"/>
        <w:spacing w:before="0" w:after="0"/>
        <w:contextualSpacing/>
        <w:rPr/>
      </w:pPr>
      <w:r>
        <w:rPr>
          <w:rStyle w:val="FootnoteCharacters"/>
        </w:rPr>
        <w:footnoteRef/>
      </w:r>
      <w:r>
        <w:rPr/>
        <w:t xml:space="preserve"> </w:t>
      </w:r>
      <w:r>
        <w:rPr/>
        <w:t xml:space="preserve">It is really amazing how such a famous physicist had time to read and write about qualia, consciousness, first-person and third person views, and many other philosophical problems! Really amazing! </w:t>
      </w:r>
    </w:p>
  </w:footnote>
  <w:footnote w:id="80">
    <w:p>
      <w:pPr>
        <w:pStyle w:val="Footnote"/>
        <w:spacing w:before="0" w:after="0"/>
        <w:contextualSpacing/>
        <w:rPr/>
      </w:pPr>
      <w:r>
        <w:rPr>
          <w:rStyle w:val="FootnoteCharacters"/>
        </w:rPr>
        <w:footnoteRef/>
      </w:r>
      <w:r>
        <w:rPr/>
        <w:t xml:space="preserve"> </w:t>
      </w:r>
      <w:r>
        <w:rPr/>
        <w:t>Another coincidence: in my book from 2008, I dedicated a sub-chapter to Putnam’s view…</w:t>
      </w:r>
    </w:p>
  </w:footnote>
  <w:footnote w:id="81">
    <w:p>
      <w:pPr>
        <w:pStyle w:val="Footnote"/>
        <w:spacing w:before="0" w:after="0"/>
        <w:contextualSpacing/>
        <w:rPr/>
      </w:pPr>
      <w:r>
        <w:rPr>
          <w:rStyle w:val="FootnoteCharacters"/>
        </w:rPr>
        <w:footnoteRef/>
      </w:r>
      <w:r>
        <w:rPr/>
        <w:t xml:space="preserve"> </w:t>
      </w:r>
      <w:r>
        <w:rPr/>
        <w:t>I did not notice Carroll quotes from where did he get this philosophical expression, indeed quite common but anyway, I believe it was necessary for him to indicate the source… I investigate, in detail, this notion in my book 2008!</w:t>
      </w:r>
    </w:p>
  </w:footnote>
  <w:footnote w:id="8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3">
    <w:p>
      <w:pPr>
        <w:pStyle w:val="Normal"/>
        <w:spacing w:before="0" w:after="0"/>
        <w:contextualSpacing/>
        <w:rPr/>
      </w:pPr>
      <w:r>
        <w:rPr>
          <w:rStyle w:val="FootnoteCharacters"/>
        </w:rPr>
        <w:footnoteRef/>
      </w:r>
      <w:r>
        <w:rPr>
          <w:sz w:val="20"/>
          <w:szCs w:val="20"/>
        </w:rPr>
        <w:t xml:space="preserve"> </w:t>
      </w:r>
      <w:r>
        <w:rPr>
          <w:sz w:val="20"/>
          <w:szCs w:val="20"/>
        </w:rPr>
        <w:t>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4">
    <w:p>
      <w:pPr>
        <w:pStyle w:val="Footnote"/>
        <w:spacing w:before="0" w:after="0"/>
        <w:contextualSpacing/>
        <w:rPr/>
      </w:pPr>
      <w:r>
        <w:rPr>
          <w:rStyle w:val="FootnoteCharacters"/>
        </w:rPr>
        <w:footnoteRef/>
      </w:r>
      <w:r>
        <w:rPr/>
        <w:t xml:space="preserve"> </w:t>
      </w:r>
      <w:r>
        <w:rPr/>
        <w:t>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5">
    <w:p>
      <w:pPr>
        <w:pStyle w:val="Footnote"/>
        <w:spacing w:before="0" w:after="0"/>
        <w:contextualSpacing/>
        <w:rPr/>
      </w:pPr>
      <w:r>
        <w:rPr>
          <w:rStyle w:val="FootnoteCharacters"/>
        </w:rPr>
        <w:footnoteRef/>
      </w:r>
      <w:r>
        <w:rPr/>
        <w:t xml:space="preserve"> </w:t>
      </w:r>
      <w:r>
        <w:rPr>
          <w:lang w:val="en-GB"/>
        </w:rPr>
        <w:t>I cheked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6">
    <w:p>
      <w:pPr>
        <w:pStyle w:val="Normal"/>
        <w:spacing w:before="0" w:after="0"/>
        <w:contextualSpacing/>
        <w:rPr/>
      </w:pPr>
      <w:r>
        <w:rPr>
          <w:rStyle w:val="FootnoteCharacters"/>
        </w:rPr>
        <w:footnoteRef/>
      </w:r>
      <w:r>
        <w:rPr>
          <w:sz w:val="20"/>
          <w:szCs w:val="20"/>
        </w:rPr>
        <w:t xml:space="preserve"> “</w:t>
      </w:r>
      <w:r>
        <w:rPr>
          <w:sz w:val="20"/>
          <w:szCs w:val="20"/>
        </w:rPr>
        <w:t>What does this mean? That the essential reality of a system is indescribable? Does it mean that we only lack a piece of the puzzle? Or does it mean, as it seems to me, that we must accept the idea that reality is only interaction?” (p. 15) Exactly my EDWs!</w:t>
      </w:r>
    </w:p>
  </w:footnote>
  <w:footnote w:id="87">
    <w:p>
      <w:pPr>
        <w:pStyle w:val="Normal"/>
        <w:spacing w:before="0" w:after="0"/>
        <w:contextualSpacing/>
        <w:rPr/>
      </w:pPr>
      <w:r>
        <w:rPr>
          <w:rStyle w:val="FootnoteCharacters"/>
        </w:rPr>
        <w:footnoteRef/>
      </w:r>
      <w:r>
        <w:rPr>
          <w:sz w:val="20"/>
          <w:szCs w:val="20"/>
        </w:rPr>
        <w:t xml:space="preserve"> “</w:t>
      </w:r>
      <w:r>
        <w:rPr>
          <w:sz w:val="20"/>
          <w:szCs w:val="20"/>
        </w:rPr>
        <w:t>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8">
    <w:p>
      <w:pPr>
        <w:pStyle w:val="Footnote"/>
        <w:spacing w:before="0" w:after="0"/>
        <w:contextualSpacing/>
        <w:rPr/>
      </w:pPr>
      <w:r>
        <w:rPr>
          <w:rStyle w:val="FootnoteCharacters"/>
        </w:rPr>
        <w:footnoteRef/>
      </w:r>
      <w:r>
        <w:rPr/>
        <w:t xml:space="preserve"> </w:t>
      </w:r>
      <w:r>
        <w:rPr>
          <w:rFonts w:eastAsia="Calibri"/>
        </w:rPr>
        <w:t>About Ronde and Moujan UNBELIEVALBE similarities, see below.</w:t>
      </w:r>
    </w:p>
  </w:footnote>
  <w:footnote w:id="89">
    <w:p>
      <w:pPr>
        <w:pStyle w:val="Footnote"/>
        <w:spacing w:before="0" w:after="0"/>
        <w:contextualSpacing/>
        <w:rPr/>
      </w:pPr>
      <w:r>
        <w:rPr>
          <w:rStyle w:val="FootnoteCharacters"/>
        </w:rPr>
        <w:footnoteRef/>
      </w:r>
      <w:r>
        <w:rPr/>
        <w:t xml:space="preserve"> </w:t>
      </w:r>
      <w:r>
        <w:rPr/>
        <w:t>I mention here that Rovelli’s ideas from 1996 are much different than his ideas from 2015!!!</w:t>
      </w:r>
    </w:p>
  </w:footnote>
  <w:footnote w:id="90">
    <w:p>
      <w:pPr>
        <w:pStyle w:val="Footnote"/>
        <w:spacing w:before="0" w:after="0"/>
        <w:contextualSpacing/>
        <w:rPr/>
      </w:pPr>
      <w:r>
        <w:rPr>
          <w:rStyle w:val="FootnoteCharacters"/>
        </w:rPr>
        <w:footnoteRef/>
      </w:r>
      <w:r>
        <w:rPr/>
        <w:t xml:space="preserve"> </w:t>
      </w:r>
      <w:r>
        <w:rPr/>
        <w:t>I wrote this chapter in August 2017.</w:t>
      </w:r>
    </w:p>
  </w:footnote>
  <w:footnote w:id="91">
    <w:p>
      <w:pPr>
        <w:pStyle w:val="Normal"/>
        <w:spacing w:before="0" w:after="0"/>
        <w:contextualSpacing/>
        <w:rPr/>
      </w:pPr>
      <w:r>
        <w:rPr>
          <w:rStyle w:val="FootnoteCharacters"/>
        </w:rPr>
        <w:footnoteRef/>
      </w:r>
      <w:r>
        <w:rPr>
          <w:sz w:val="20"/>
          <w:szCs w:val="20"/>
        </w:rPr>
        <w:t xml:space="preserve"> </w:t>
      </w:r>
      <w:r>
        <w:rPr>
          <w:sz w:val="20"/>
          <w:szCs w:val="20"/>
        </w:rPr>
        <w:t>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2">
    <w:p>
      <w:pPr>
        <w:pStyle w:val="Footnote"/>
        <w:spacing w:before="0" w:after="0"/>
        <w:contextualSpacing/>
        <w:rPr/>
      </w:pPr>
      <w:r>
        <w:rPr>
          <w:rStyle w:val="FootnoteCharacters"/>
        </w:rPr>
        <w:footnoteRef/>
      </w:r>
      <w:r>
        <w:rPr/>
        <w:t xml:space="preserve"> </w:t>
      </w:r>
      <w:r>
        <w:rPr/>
        <w:t>Reading this paper, I realized that there would be other authors who published, after 2014, very similar ideas to my idea!</w:t>
      </w:r>
    </w:p>
  </w:footnote>
  <w:footnote w:id="93">
    <w:p>
      <w:pPr>
        <w:pStyle w:val="Footnote"/>
        <w:spacing w:before="0" w:after="0"/>
        <w:contextualSpacing/>
        <w:rPr/>
      </w:pPr>
      <w:r>
        <w:rPr>
          <w:rStyle w:val="FootnoteCharacters"/>
        </w:rPr>
        <w:footnoteRef/>
      </w:r>
      <w:r>
        <w:rPr/>
        <w:t xml:space="preserve"> </w:t>
      </w:r>
      <w:r>
        <w:rPr/>
        <w:t>Foundations of Physics Group, University of Maryland, College Park</w:t>
      </w:r>
    </w:p>
  </w:footnote>
  <w:footnote w:id="94">
    <w:p>
      <w:pPr>
        <w:pStyle w:val="Footnote"/>
        <w:spacing w:before="0" w:after="0"/>
        <w:contextualSpacing/>
        <w:rPr/>
      </w:pPr>
      <w:r>
        <w:rPr>
          <w:rStyle w:val="FootnoteCharacters"/>
        </w:rPr>
        <w:footnoteRef/>
      </w:r>
      <w:r>
        <w:rPr/>
        <w:t xml:space="preserve"> </w:t>
      </w:r>
      <w:r>
        <w:rPr/>
        <w:t>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5">
    <w:p>
      <w:pPr>
        <w:pStyle w:val="Footnote"/>
        <w:spacing w:before="0" w:after="0"/>
        <w:contextualSpacing/>
        <w:rPr/>
      </w:pPr>
      <w:r>
        <w:rPr>
          <w:rStyle w:val="FootnoteCharacters"/>
        </w:rPr>
        <w:footnoteRef/>
      </w:r>
      <w:r>
        <w:rPr/>
        <w:t xml:space="preserve"> </w:t>
      </w:r>
      <w:r>
        <w:rPr/>
        <w:t>Center for Philosophy and the Natural Sciences, College of Natural Sciences and Mathematics, California State University Sacramento</w:t>
      </w:r>
    </w:p>
  </w:footnote>
  <w:footnote w:id="96">
    <w:p>
      <w:pPr>
        <w:pStyle w:val="Footnote"/>
        <w:spacing w:before="0" w:after="0"/>
        <w:contextualSpacing/>
        <w:rPr/>
      </w:pPr>
      <w:r>
        <w:rPr>
          <w:rStyle w:val="FootnoteCharacters"/>
        </w:rPr>
        <w:footnoteRef/>
      </w:r>
      <w:r>
        <w:rPr/>
        <w:t xml:space="preserve"> </w:t>
      </w:r>
      <w:r>
        <w:rPr/>
        <w:t>I mention other reborn dinosaurs that published UNBELIEVABLE similar ideas to my ideas: sean carroll, wilcezk, carlo rovelli…</w:t>
      </w:r>
    </w:p>
  </w:footnote>
  <w:footnote w:id="97">
    <w:p>
      <w:pPr>
        <w:pStyle w:val="Normal"/>
        <w:spacing w:before="0" w:after="0"/>
        <w:contextualSpacing/>
        <w:rPr/>
      </w:pPr>
      <w:r>
        <w:rPr>
          <w:rStyle w:val="FootnoteCharacters"/>
        </w:rPr>
        <w:footnoteRef/>
      </w:r>
      <w:r>
        <w:rPr>
          <w:sz w:val="20"/>
          <w:szCs w:val="20"/>
        </w:rPr>
        <w:t xml:space="preserve"> </w:t>
      </w:r>
      <w:r>
        <w:rPr>
          <w:sz w:val="20"/>
          <w:szCs w:val="20"/>
        </w:rPr>
        <w:t>Many scientists and philosophers come with a ‘new metaphysics’ (all almost the same metaphysics) that is UNBELIEVABLE similar to my ED ontologies.</w:t>
      </w:r>
    </w:p>
  </w:footnote>
  <w:footnote w:id="98">
    <w:p>
      <w:pPr>
        <w:pStyle w:val="Footnote"/>
        <w:spacing w:before="0" w:after="0"/>
        <w:contextualSpacing/>
        <w:rPr/>
      </w:pPr>
      <w:r>
        <w:rPr>
          <w:rStyle w:val="FootnoteCharacters"/>
        </w:rPr>
        <w:footnoteRef/>
      </w:r>
      <w:r>
        <w:rP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9">
    <w:p>
      <w:pPr>
        <w:pStyle w:val="Footnote"/>
        <w:spacing w:before="0" w:after="0"/>
        <w:contextualSpacing/>
        <w:rPr/>
      </w:pPr>
      <w:r>
        <w:rPr>
          <w:rStyle w:val="FootnoteCharacters"/>
        </w:rPr>
        <w:footnoteRef/>
      </w:r>
      <w:r>
        <w:rPr/>
        <w:t xml:space="preserve"> </w:t>
      </w:r>
      <w:r>
        <w:rPr/>
        <w:t>This text is a surreal dialogue is between a death person and a living one, therefore it does not refer to any real people or event. Any similarity with real people or event is just accidental…</w:t>
      </w:r>
    </w:p>
  </w:footnote>
  <w:footnote w:id="100">
    <w:p>
      <w:pPr>
        <w:pStyle w:val="Footnote"/>
        <w:spacing w:before="0" w:after="0"/>
        <w:contextualSpacing/>
        <w:rPr/>
      </w:pPr>
      <w:r>
        <w:rPr>
          <w:rStyle w:val="FootnoteCharacters"/>
        </w:rPr>
        <w:footnoteRef/>
      </w:r>
      <w:r>
        <w:rPr/>
        <w:t xml:space="preserve"> </w:t>
      </w:r>
      <w:r>
        <w:rPr/>
        <w:t xml:space="preserve">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101">
    <w:p>
      <w:pPr>
        <w:pStyle w:val="Footnote"/>
        <w:spacing w:before="0" w:after="0"/>
        <w:contextualSpacing/>
        <w:rPr/>
      </w:pPr>
      <w:r>
        <w:rPr>
          <w:rStyle w:val="FootnoteCharacters"/>
        </w:rPr>
        <w:footnoteRef/>
      </w:r>
      <w:r>
        <w:rPr/>
        <w:t xml:space="preserve"> </w:t>
      </w:r>
      <w:r>
        <w:rPr/>
        <w:t>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2">
    <w:p>
      <w:pPr>
        <w:pStyle w:val="Footnote"/>
        <w:spacing w:before="0" w:after="0"/>
        <w:contextualSpacing/>
        <w:rPr/>
      </w:pPr>
      <w:r>
        <w:rPr>
          <w:rStyle w:val="FootnoteCharacters"/>
        </w:rPr>
        <w:footnoteRef/>
      </w:r>
      <w:r>
        <w:rPr/>
        <w:t xml:space="preserve"> </w:t>
      </w:r>
      <w:r>
        <w:rPr/>
        <w:t>I would like to thank a lot to the student (Medicine) Vlad-Andrei Smochina who indicated me this dialogue in Nietzsche’s work! (This student is very smart person - even if I have talked to him just several times in the garden of campus…)</w:t>
      </w:r>
    </w:p>
  </w:footnote>
  <w:footnote w:id="103">
    <w:p>
      <w:pPr>
        <w:pStyle w:val="Footnote"/>
        <w:spacing w:before="0" w:after="0"/>
        <w:contextualSpacing/>
        <w:rPr/>
      </w:pPr>
      <w:r>
        <w:rPr>
          <w:rStyle w:val="FootnoteCharacters"/>
        </w:rPr>
        <w:footnoteRef/>
      </w:r>
      <w:r>
        <w:rPr/>
        <w:t xml:space="preserve"> </w:t>
      </w:r>
      <w:r>
        <w:rPr/>
        <w:t xml:space="preserve">The Idiot has these idols (in this order): Constantin Brancusi, Andrei Tarkovsky, Leonardo da Vinci, Barca Hannibal, Nikola Tesla, Genghis Han, and </w:t>
      </w:r>
      <w:r>
        <w:rPr>
          <w:rFonts w:eastAsia="Times New Roman"/>
        </w:rPr>
        <w:t>Richard Feynman</w:t>
      </w:r>
      <w:r>
        <w:rPr>
          <w:rFonts w:eastAsia="Times New Roman" w:cs="Arial" w:ascii="Arial" w:hAnsi="Arial"/>
          <w:color w:val="555555"/>
        </w:rPr>
        <w:t xml:space="preserve">. </w:t>
      </w:r>
    </w:p>
  </w:footnote>
  <w:footnote w:id="104">
    <w:p>
      <w:pPr>
        <w:pStyle w:val="Footnote"/>
        <w:spacing w:before="0" w:after="0"/>
        <w:contextualSpacing/>
        <w:rPr/>
      </w:pPr>
      <w:r>
        <w:rPr>
          <w:rStyle w:val="FootnoteCharacters"/>
        </w:rPr>
        <w:footnoteRef/>
      </w:r>
      <w:r>
        <w:rPr/>
        <w:t xml:space="preserve"> </w:t>
      </w:r>
      <w:r>
        <w:rPr/>
        <w:t xml:space="preserve">I wrote this chapter in 2014. </w:t>
      </w:r>
    </w:p>
  </w:footnote>
  <w:footnote w:id="105">
    <w:p>
      <w:pPr>
        <w:pStyle w:val="Footnote"/>
        <w:spacing w:before="0" w:after="0"/>
        <w:contextualSpacing/>
        <w:rPr/>
      </w:pPr>
      <w:r>
        <w:rPr>
          <w:rStyle w:val="FootnoteCharacters"/>
        </w:rPr>
        <w:footnoteRef/>
      </w:r>
      <w:r>
        <w:rPr/>
        <w:t xml:space="preserve"> </w:t>
      </w:r>
      <w:r>
        <w:rPr/>
        <w:t xml:space="preserve">I wrote this chapter in 2016. </w:t>
      </w:r>
    </w:p>
  </w:footnote>
  <w:footnote w:id="106">
    <w:p>
      <w:pPr>
        <w:pStyle w:val="Footnote"/>
        <w:spacing w:before="0" w:after="0"/>
        <w:contextualSpacing/>
        <w:rPr/>
      </w:pPr>
      <w:r>
        <w:rPr>
          <w:rStyle w:val="FootnoteCharacters"/>
        </w:rPr>
        <w:footnoteRef/>
      </w:r>
      <w:r>
        <w:rPr/>
        <w:t xml:space="preserve"> </w:t>
      </w:r>
      <w:r>
        <w:rPr/>
        <w:t>I wrote this chapter in 2015.</w:t>
      </w:r>
    </w:p>
  </w:footnote>
  <w:footnote w:id="107">
    <w:p>
      <w:pPr>
        <w:pStyle w:val="Default"/>
        <w:spacing w:before="0" w:after="0"/>
        <w:contextualSpacing/>
        <w:jc w:val="both"/>
        <w:rPr/>
      </w:pPr>
      <w:r>
        <w:rPr>
          <w:rStyle w:val="FootnoteCharacters"/>
        </w:rPr>
        <w:footnoteRef/>
      </w:r>
      <w:r>
        <w:rPr>
          <w:rFonts w:cs="Times New Roman" w:ascii="Times New Roman" w:hAnsi="Times New Roman"/>
          <w:sz w:val="20"/>
          <w:szCs w:val="20"/>
        </w:rPr>
        <w:t xml:space="preserve"> </w:t>
      </w:r>
      <w:r>
        <w:rPr>
          <w:rFonts w:cs="Times New Roman" w:ascii="Times New Roman" w:hAnsi="Times New Roman"/>
          <w:sz w:val="20"/>
          <w:szCs w:val="20"/>
        </w:rPr>
        <w:t xml:space="preserve">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8">
    <w:p>
      <w:pPr>
        <w:pStyle w:val="Default"/>
        <w:spacing w:before="0" w:after="0"/>
        <w:contextualSpacing/>
        <w:rPr/>
      </w:pPr>
      <w:r>
        <w:rPr>
          <w:rStyle w:val="FootnoteCharacters"/>
        </w:rPr>
        <w:footnoteRef/>
      </w:r>
      <w:r>
        <w:rPr>
          <w:rFonts w:cs="Times New Roman" w:ascii="Times New Roman" w:hAnsi="Times New Roman"/>
          <w:sz w:val="20"/>
          <w:szCs w:val="20"/>
        </w:rPr>
        <w:t xml:space="preserve"> “</w:t>
      </w:r>
      <w:r>
        <w:rPr>
          <w:rFonts w:cs="Times New Roman" w:ascii="Times New Roman" w:hAnsi="Times New Roman"/>
          <w:sz w:val="20"/>
          <w:szCs w:val="20"/>
        </w:rPr>
        <w:t xml:space="preserve">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9">
    <w:p>
      <w:pPr>
        <w:pStyle w:val="Default"/>
        <w:spacing w:before="0" w:after="0"/>
        <w:contextualSpacing/>
        <w:jc w:val="both"/>
        <w:rPr/>
      </w:pPr>
      <w:r>
        <w:rPr>
          <w:rStyle w:val="FootnoteCharacters"/>
        </w:rPr>
        <w:footnoteRef/>
      </w:r>
      <w:r>
        <w:rPr>
          <w:rFonts w:cs="Times New Roman" w:ascii="Times New Roman" w:hAnsi="Times New Roman"/>
          <w:sz w:val="20"/>
          <w:szCs w:val="20"/>
        </w:rPr>
        <w:t xml:space="preserve"> “</w:t>
      </w:r>
      <w:r>
        <w:rPr>
          <w:rFonts w:cs="Times New Roman" w:ascii="Times New Roman" w:hAnsi="Times New Roman"/>
          <w:sz w:val="20"/>
          <w:szCs w:val="20"/>
        </w:rPr>
        <w:t xml:space="preserve">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10">
    <w:p>
      <w:pPr>
        <w:pStyle w:val="Default"/>
        <w:spacing w:before="0" w:after="0"/>
        <w:contextualSpacing/>
        <w:jc w:val="both"/>
        <w:rPr/>
      </w:pPr>
      <w:r>
        <w:rPr>
          <w:rStyle w:val="FootnoteCharacters"/>
        </w:rPr>
        <w:footnoteRef/>
      </w:r>
      <w:r>
        <w:rPr>
          <w:rFonts w:cs="Times New Roman" w:ascii="Times New Roman" w:hAnsi="Times New Roman"/>
          <w:color w:val="auto"/>
          <w:sz w:val="20"/>
          <w:szCs w:val="20"/>
        </w:rPr>
        <w:t xml:space="preserve"> </w:t>
      </w:r>
      <w:r>
        <w:rPr>
          <w:rFonts w:cs="Times New Roman" w:ascii="Times New Roman" w:hAnsi="Times New Roman"/>
          <w:color w:val="auto"/>
          <w:sz w:val="20"/>
          <w:szCs w:val="20"/>
        </w:rPr>
        <w:t xml:space="preserve">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11">
    <w:p>
      <w:pPr>
        <w:pStyle w:val="Normal"/>
        <w:spacing w:before="0" w:after="0"/>
        <w:contextualSpacing/>
        <w:rPr/>
      </w:pPr>
      <w:r>
        <w:rPr>
          <w:rStyle w:val="FootnoteCharacters"/>
        </w:rPr>
        <w:footnoteRef/>
      </w:r>
      <w:r>
        <w:rPr>
          <w:sz w:val="20"/>
          <w:szCs w:val="20"/>
        </w:rPr>
        <w:t xml:space="preserve"> “</w:t>
      </w:r>
      <w:r>
        <w:rPr>
          <w:sz w:val="20"/>
          <w:szCs w:val="20"/>
        </w:rPr>
        <w:t xml:space="preserve">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2">
    <w:p>
      <w:pPr>
        <w:pStyle w:val="Normal"/>
        <w:spacing w:before="0" w:after="0"/>
        <w:contextualSpacing/>
        <w:rPr/>
      </w:pPr>
      <w:r>
        <w:rPr>
          <w:rStyle w:val="FootnoteCharacters"/>
        </w:rPr>
        <w:footnoteRef/>
      </w:r>
      <w:r>
        <w:rPr>
          <w:sz w:val="20"/>
          <w:szCs w:val="20"/>
        </w:rPr>
        <w:t xml:space="preserve"> </w:t>
      </w:r>
      <w:r>
        <w:rPr>
          <w:sz w:val="20"/>
          <w:szCs w:val="20"/>
        </w:rPr>
        <w:t xml:space="preserve">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3">
    <w:p>
      <w:pPr>
        <w:pStyle w:val="Normal"/>
        <w:spacing w:before="0" w:after="0"/>
        <w:contextualSpacing/>
        <w:rPr/>
      </w:pPr>
      <w:r>
        <w:rPr>
          <w:rStyle w:val="FootnoteCharacters"/>
        </w:rPr>
        <w:footnoteRef/>
      </w:r>
      <w:r>
        <w:rPr>
          <w:sz w:val="20"/>
          <w:szCs w:val="20"/>
        </w:rPr>
        <w:t xml:space="preserve"> “</w:t>
      </w:r>
      <w:r>
        <w:rPr>
          <w:sz w:val="20"/>
          <w:szCs w:val="20"/>
        </w:rPr>
        <w:t xml:space="preserve">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4">
    <w:p>
      <w:pPr>
        <w:pStyle w:val="Default"/>
        <w:spacing w:before="0" w:after="0"/>
        <w:contextualSpacing/>
        <w:jc w:val="both"/>
        <w:rPr/>
      </w:pPr>
      <w:r>
        <w:rPr>
          <w:rStyle w:val="FootnoteCharacters"/>
        </w:rPr>
        <w:footnoteRef/>
      </w:r>
      <w:r>
        <w:rPr>
          <w:rFonts w:cs="Times New Roman" w:ascii="Times New Roman" w:hAnsi="Times New Roman"/>
          <w:sz w:val="20"/>
          <w:szCs w:val="20"/>
        </w:rPr>
        <w:t xml:space="preserve"> </w:t>
      </w:r>
      <w:r>
        <w:rPr>
          <w:rFonts w:cs="Times New Roman" w:ascii="Times New Roman" w:hAnsi="Times New Roman"/>
          <w:sz w:val="20"/>
          <w:szCs w:val="20"/>
        </w:rPr>
        <w:t xml:space="preserve">Against this invented notion of “multiverse” see Vacariu (2008). </w:t>
      </w:r>
    </w:p>
  </w:footnote>
  <w:footnote w:id="115">
    <w:p>
      <w:pPr>
        <w:pStyle w:val="Normal"/>
        <w:spacing w:before="0" w:after="0"/>
        <w:contextualSpacing/>
        <w:rPr/>
      </w:pPr>
      <w:r>
        <w:rPr>
          <w:rStyle w:val="FootnoteCharacters"/>
        </w:rPr>
        <w:footnoteRef/>
      </w:r>
      <w:r>
        <w:rPr>
          <w:sz w:val="20"/>
          <w:szCs w:val="20"/>
        </w:rPr>
        <w:t xml:space="preserve"> </w:t>
      </w:r>
      <w:r>
        <w:rPr>
          <w:sz w:val="20"/>
          <w:szCs w:val="20"/>
        </w:rPr>
        <w:t xml:space="preserve">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6">
    <w:p>
      <w:pPr>
        <w:pStyle w:val="Normal"/>
        <w:spacing w:before="0" w:after="0"/>
        <w:contextualSpacing/>
        <w:rPr/>
      </w:pPr>
      <w:r>
        <w:rPr>
          <w:rStyle w:val="FootnoteCharacters"/>
        </w:rPr>
        <w:footnoteRef/>
      </w:r>
      <w:r>
        <w:rPr>
          <w:sz w:val="20"/>
          <w:szCs w:val="20"/>
        </w:rPr>
        <w:t xml:space="preserve"> </w:t>
      </w:r>
      <w:r>
        <w:rPr>
          <w:sz w:val="20"/>
          <w:szCs w:val="20"/>
        </w:rPr>
        <w:t xml:space="preserve">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7">
    <w:p>
      <w:pPr>
        <w:pStyle w:val="Default"/>
        <w:spacing w:before="0" w:after="0"/>
        <w:contextualSpacing/>
        <w:jc w:val="both"/>
        <w:rPr/>
      </w:pPr>
      <w:r>
        <w:rPr>
          <w:rStyle w:val="FootnoteCharacters"/>
        </w:rPr>
        <w:footnoteRef/>
      </w:r>
      <w:r>
        <w:rPr>
          <w:rFonts w:cs="Times New Roman" w:ascii="Times New Roman" w:hAnsi="Times New Roman"/>
          <w:sz w:val="20"/>
          <w:szCs w:val="20"/>
        </w:rPr>
        <w:t xml:space="preserve"> </w:t>
      </w:r>
      <w:r>
        <w:rPr>
          <w:rFonts w:cs="Times New Roman" w:ascii="Times New Roman" w:hAnsi="Times New Roman"/>
          <w:sz w:val="20"/>
          <w:szCs w:val="20"/>
        </w:rPr>
        <w:t xml:space="preserve">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8">
    <w:p>
      <w:pPr>
        <w:pStyle w:val="Normal"/>
        <w:spacing w:before="0" w:after="0"/>
        <w:contextualSpacing/>
        <w:rPr/>
      </w:pPr>
      <w:r>
        <w:rPr>
          <w:rStyle w:val="FootnoteCharacters"/>
        </w:rPr>
        <w:footnoteRef/>
      </w:r>
      <w:r>
        <w:rPr>
          <w:sz w:val="20"/>
          <w:szCs w:val="20"/>
        </w:rPr>
        <w:t xml:space="preserve"> </w:t>
      </w:r>
      <w:r>
        <w:rPr>
          <w:sz w:val="20"/>
          <w:szCs w:val="20"/>
        </w:rPr>
        <w:t xml:space="preserve">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9">
    <w:p>
      <w:pPr>
        <w:pStyle w:val="Footnote"/>
        <w:spacing w:before="0" w:after="0"/>
        <w:contextualSpacing/>
        <w:rPr/>
      </w:pPr>
      <w:r>
        <w:rPr>
          <w:rStyle w:val="FootnoteCharacters"/>
        </w:rPr>
        <w:footnoteRef/>
      </w:r>
      <w:r>
        <w:rPr/>
        <w:t xml:space="preserve"> </w:t>
      </w:r>
      <w:r>
        <w:rPr/>
        <w:t xml:space="preserve">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20">
    <w:p>
      <w:pPr>
        <w:pStyle w:val="Footnote"/>
        <w:spacing w:before="0" w:after="0"/>
        <w:contextualSpacing/>
        <w:rPr/>
      </w:pPr>
      <w:r>
        <w:rPr>
          <w:rStyle w:val="FootnoteCharacters"/>
        </w:rPr>
        <w:footnoteRef/>
      </w:r>
      <w:r>
        <w:rPr/>
        <w:t xml:space="preserve"> </w:t>
      </w:r>
      <w:r>
        <w:rPr/>
        <w:t xml:space="preserve">Wolfram Schommers works in science (Physics). </w:t>
      </w:r>
    </w:p>
  </w:footnote>
  <w:footnote w:id="121">
    <w:p>
      <w:pPr>
        <w:pStyle w:val="Footnote"/>
        <w:spacing w:before="0" w:after="0"/>
        <w:contextualSpacing/>
        <w:rPr/>
      </w:pPr>
      <w:r>
        <w:rPr>
          <w:rStyle w:val="FootnoteCharacters"/>
        </w:rPr>
        <w:footnoteRef/>
      </w:r>
      <w:r>
        <w:rPr/>
        <w:t xml:space="preserve"> </w:t>
      </w:r>
      <w:r>
        <w:rPr/>
        <w:t>This book was published at “World Scientific” publishing company in 2015.</w:t>
      </w:r>
    </w:p>
  </w:footnote>
  <w:footnote w:id="122">
    <w:p>
      <w:pPr>
        <w:pStyle w:val="Normal"/>
        <w:spacing w:before="0" w:after="0"/>
        <w:contextualSpacing/>
        <w:rPr/>
      </w:pPr>
      <w:r>
        <w:rPr>
          <w:rStyle w:val="FootnoteCharacters"/>
        </w:rPr>
        <w:footnoteRef/>
      </w:r>
      <w:r>
        <w:rPr>
          <w:sz w:val="20"/>
          <w:szCs w:val="20"/>
        </w:rPr>
        <w:t xml:space="preserve"> “</w:t>
      </w:r>
      <w:r>
        <w:rPr>
          <w:sz w:val="20"/>
          <w:szCs w:val="20"/>
        </w:rPr>
        <w:t xml:space="preserve">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3">
    <w:p>
      <w:pPr>
        <w:pStyle w:val="Footnote"/>
        <w:spacing w:before="0" w:after="0"/>
        <w:contextualSpacing/>
        <w:rPr/>
      </w:pPr>
      <w:r>
        <w:rPr>
          <w:rStyle w:val="FootnoteCharacters"/>
        </w:rPr>
        <w:footnoteRef/>
      </w:r>
      <w:r>
        <w:rPr/>
        <w:t xml:space="preserve"> </w:t>
      </w:r>
      <w:r>
        <w:rPr/>
        <w:t>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pStyle w:val="Normal"/>
        <w:spacing w:before="0" w:after="0"/>
        <w:contextualSpacing/>
        <w:rPr/>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4">
    <w:p>
      <w:pPr>
        <w:pStyle w:val="Footnote"/>
        <w:spacing w:before="0" w:after="0"/>
        <w:contextualSpacing/>
        <w:rPr/>
      </w:pPr>
      <w:r>
        <w:rPr>
          <w:rStyle w:val="FootnoteCharacters"/>
        </w:rPr>
        <w:footnoteRef/>
      </w:r>
      <w:r>
        <w:rPr/>
        <w:t xml:space="preserve"> </w:t>
      </w:r>
      <w:r>
        <w:rPr/>
        <w:t xml:space="preserve">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5">
    <w:p>
      <w:pPr>
        <w:pStyle w:val="Normal"/>
        <w:spacing w:before="0" w:after="0"/>
        <w:contextualSpacing/>
        <w:rPr/>
      </w:pPr>
      <w:r>
        <w:rPr>
          <w:rStyle w:val="FootnoteCharacters"/>
        </w:rPr>
        <w:footnoteRef/>
      </w:r>
      <w:r>
        <w:rPr>
          <w:sz w:val="20"/>
          <w:szCs w:val="20"/>
        </w:rPr>
        <w:t xml:space="preserve"> </w:t>
      </w:r>
      <w:r>
        <w:rPr>
          <w:sz w:val="20"/>
          <w:szCs w:val="20"/>
        </w:rPr>
        <w:t xml:space="preserve">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pStyle w:val="Normal"/>
        <w:spacing w:before="0" w:after="0"/>
        <w:contextualSpacing/>
        <w:rPr/>
      </w:pPr>
      <w:r>
        <w:rPr>
          <w:sz w:val="20"/>
          <w:szCs w:val="20"/>
        </w:rPr>
        <w:t>existence. It is nothing!” (p. 23)</w:t>
      </w:r>
    </w:p>
  </w:footnote>
  <w:footnote w:id="126">
    <w:p>
      <w:pPr>
        <w:pStyle w:val="Normal"/>
        <w:spacing w:before="0" w:after="0"/>
        <w:contextualSpacing/>
        <w:rPr/>
      </w:pPr>
      <w:r>
        <w:rPr>
          <w:rStyle w:val="FootnoteCharacters"/>
        </w:rPr>
        <w:footnoteRef/>
      </w:r>
      <w:r>
        <w:rPr>
          <w:sz w:val="20"/>
          <w:szCs w:val="20"/>
        </w:rPr>
        <w:t xml:space="preserve"> </w:t>
      </w:r>
      <w:r>
        <w:rPr>
          <w:sz w:val="20"/>
          <w:szCs w:val="20"/>
        </w:rPr>
        <w:t>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7">
    <w:p>
      <w:pPr>
        <w:pStyle w:val="Footnote"/>
        <w:spacing w:before="0" w:after="0"/>
        <w:contextualSpacing/>
        <w:rPr/>
      </w:pPr>
      <w:r>
        <w:rPr>
          <w:rStyle w:val="FootnoteCharacters"/>
        </w:rPr>
        <w:footnoteRef/>
      </w:r>
      <w:r>
        <w:rPr/>
        <w:t xml:space="preserve"> </w:t>
      </w:r>
      <w:r>
        <w:rPr/>
        <w:t xml:space="preserve">Frith (2007) also has this idea in his book. </w:t>
      </w:r>
    </w:p>
  </w:footnote>
  <w:footnote w:id="128">
    <w:p>
      <w:pPr>
        <w:pStyle w:val="Normal"/>
        <w:spacing w:before="0" w:after="0"/>
        <w:contextualSpacing/>
        <w:rPr/>
      </w:pPr>
      <w:r>
        <w:rPr>
          <w:rStyle w:val="FootnoteCharacters"/>
        </w:rPr>
        <w:footnoteRef/>
      </w:r>
      <w:r>
        <w:rPr>
          <w:sz w:val="20"/>
          <w:szCs w:val="20"/>
        </w:rPr>
        <w:t xml:space="preserve"> “</w:t>
      </w:r>
      <w:r>
        <w:rPr>
          <w:sz w:val="20"/>
          <w:szCs w:val="20"/>
        </w:rPr>
        <w:t>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9">
    <w:p>
      <w:pPr>
        <w:pStyle w:val="Normal"/>
        <w:spacing w:before="0" w:after="0"/>
        <w:contextualSpacing/>
        <w:rPr/>
      </w:pPr>
      <w:r>
        <w:rPr>
          <w:rStyle w:val="FootnoteCharacters"/>
        </w:rPr>
        <w:footnoteRef/>
      </w:r>
      <w:r>
        <w:rPr>
          <w:sz w:val="20"/>
          <w:szCs w:val="20"/>
        </w:rPr>
        <w:t xml:space="preserve"> </w:t>
      </w:r>
      <w:r>
        <w:rPr>
          <w:sz w:val="20"/>
          <w:szCs w:val="20"/>
        </w:rPr>
        <w:t xml:space="preserve">[“In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30">
    <w:p>
      <w:pPr>
        <w:pStyle w:val="Normal"/>
        <w:spacing w:before="0" w:after="0"/>
        <w:contextualSpacing/>
        <w:rPr/>
      </w:pPr>
      <w:r>
        <w:rPr>
          <w:rStyle w:val="FootnoteCharacters"/>
        </w:rPr>
        <w:footnoteRef/>
      </w:r>
      <w:r>
        <w:rPr>
          <w:sz w:val="20"/>
          <w:szCs w:val="20"/>
        </w:rPr>
        <w:t xml:space="preserve"> “</w:t>
      </w:r>
      <w:r>
        <w:rPr>
          <w:sz w:val="20"/>
          <w:szCs w:val="20"/>
        </w:rPr>
        <w:t xml:space="preserve">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31">
    <w:p>
      <w:pPr>
        <w:pStyle w:val="Normal"/>
        <w:spacing w:before="0" w:after="0"/>
        <w:contextualSpacing/>
        <w:rPr/>
      </w:pPr>
      <w:r>
        <w:rPr>
          <w:rStyle w:val="FootnoteCharacters"/>
        </w:rPr>
        <w:footnoteRef/>
      </w:r>
      <w:r>
        <w:rPr>
          <w:sz w:val="20"/>
          <w:szCs w:val="20"/>
        </w:rPr>
        <w:t xml:space="preserve"> “</w:t>
      </w:r>
      <w:r>
        <w:rPr>
          <w:sz w:val="20"/>
          <w:szCs w:val="20"/>
        </w:rPr>
        <w:t>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2">
    <w:p>
      <w:pPr>
        <w:pStyle w:val="Normal"/>
        <w:spacing w:before="0" w:after="0"/>
        <w:contextualSpacing/>
        <w:rPr/>
      </w:pPr>
      <w:r>
        <w:rPr>
          <w:rStyle w:val="FootnoteCharacters"/>
        </w:rPr>
        <w:footnoteRef/>
      </w:r>
      <w:r>
        <w:rPr>
          <w:sz w:val="20"/>
          <w:szCs w:val="20"/>
        </w:rPr>
        <w:t xml:space="preserve"> “</w:t>
      </w:r>
      <w:r>
        <w:rPr>
          <w:sz w:val="20"/>
          <w:szCs w:val="20"/>
        </w:rPr>
        <w:t xml:space="preserve">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pStyle w:val="Normal"/>
        <w:spacing w:before="0" w:after="0"/>
        <w:contextualSpacing/>
        <w:rPr/>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3">
    <w:p>
      <w:pPr>
        <w:pStyle w:val="Normal"/>
        <w:spacing w:before="0" w:after="0"/>
        <w:contextualSpacing/>
        <w:rPr/>
      </w:pPr>
      <w:r>
        <w:rPr>
          <w:rStyle w:val="FootnoteCharacters"/>
        </w:rPr>
        <w:footnoteRef/>
      </w:r>
      <w:r>
        <w:rPr>
          <w:sz w:val="20"/>
          <w:szCs w:val="20"/>
        </w:rPr>
        <w:t xml:space="preserve"> </w:t>
      </w:r>
      <w:r>
        <w:rPr>
          <w:sz w:val="20"/>
          <w:szCs w:val="20"/>
        </w:rPr>
        <w:t xml:space="preserve">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4">
    <w:p>
      <w:pPr>
        <w:pStyle w:val="Normal"/>
        <w:spacing w:before="0" w:after="0"/>
        <w:contextualSpacing/>
        <w:rPr/>
      </w:pPr>
      <w:r>
        <w:rPr>
          <w:rStyle w:val="FootnoteCharacters"/>
        </w:rPr>
        <w:footnoteRef/>
      </w:r>
      <w:r>
        <w:rPr>
          <w:sz w:val="20"/>
          <w:szCs w:val="20"/>
        </w:rPr>
        <w:t xml:space="preserve"> “</w:t>
      </w:r>
      <w:r>
        <w:rPr>
          <w:sz w:val="20"/>
          <w:szCs w:val="20"/>
        </w:rPr>
        <w:t>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5">
    <w:p>
      <w:pPr>
        <w:pStyle w:val="Normal"/>
        <w:spacing w:before="0" w:after="0"/>
        <w:contextualSpacing/>
        <w:rPr>
          <w:sz w:val="20"/>
          <w:szCs w:val="20"/>
        </w:rPr>
      </w:pPr>
      <w:r>
        <w:rPr>
          <w:rStyle w:val="FootnoteCharacters"/>
        </w:rPr>
        <w:footnoteRef/>
      </w:r>
      <w:r>
        <w:rPr>
          <w:sz w:val="20"/>
          <w:szCs w:val="20"/>
        </w:rPr>
        <w:t xml:space="preserve"> </w:t>
      </w:r>
      <w:r>
        <w:rPr>
          <w:sz w:val="20"/>
          <w:szCs w:val="20"/>
        </w:rPr>
        <w:t>Schommers writes that “the biological cognition apparatus develops the world in front of us from the information,</w:t>
      </w:r>
    </w:p>
    <w:p>
      <w:pPr>
        <w:pStyle w:val="Normal"/>
        <w:spacing w:before="0" w:after="0"/>
        <w:contextualSpacing/>
        <w:rPr/>
      </w:pPr>
      <w:r>
        <w:rPr>
          <w:sz w:val="20"/>
          <w:szCs w:val="20"/>
        </w:rPr>
        <w:t>which we obtain from the outside world through the five senses (Fig. 1).” (p. 50) I quoted Konrad Lorenz works to support this idea and Schommers quoted the same author for the same idea!</w:t>
      </w:r>
    </w:p>
  </w:footnote>
  <w:footnote w:id="136">
    <w:p>
      <w:pPr>
        <w:pStyle w:val="Normal"/>
        <w:spacing w:before="0" w:after="0"/>
        <w:contextualSpacing/>
        <w:rPr/>
      </w:pPr>
      <w:r>
        <w:rPr>
          <w:rStyle w:val="FootnoteCharacters"/>
        </w:rPr>
        <w:footnoteRef/>
      </w:r>
      <w:r>
        <w:rPr>
          <w:sz w:val="20"/>
          <w:szCs w:val="20"/>
        </w:rPr>
        <w:t xml:space="preserve"> “</w:t>
      </w:r>
      <w:r>
        <w:rPr>
          <w:sz w:val="20"/>
          <w:szCs w:val="20"/>
        </w:rPr>
        <w:t>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7">
    <w:p>
      <w:pPr>
        <w:pStyle w:val="Normal"/>
        <w:spacing w:before="0" w:after="0"/>
        <w:contextualSpacing/>
        <w:rPr/>
      </w:pPr>
      <w:r>
        <w:rPr>
          <w:rStyle w:val="FootnoteCharacters"/>
        </w:rPr>
        <w:footnoteRef/>
      </w:r>
      <w:r>
        <w:rPr>
          <w:sz w:val="20"/>
          <w:szCs w:val="20"/>
        </w:rPr>
        <w:t xml:space="preserve"> </w:t>
      </w:r>
      <w:r>
        <w:rPr>
          <w:sz w:val="20"/>
          <w:szCs w:val="20"/>
        </w:rPr>
        <w:t xml:space="preserve">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8">
    <w:p>
      <w:pPr>
        <w:pStyle w:val="Normal"/>
        <w:spacing w:before="0" w:after="0"/>
        <w:contextualSpacing/>
        <w:rPr/>
      </w:pPr>
      <w:r>
        <w:rPr>
          <w:rStyle w:val="FootnoteCharacters"/>
        </w:rPr>
        <w:footnoteRef/>
      </w:r>
      <w:r>
        <w:rPr>
          <w:sz w:val="20"/>
          <w:szCs w:val="20"/>
        </w:rPr>
        <w:t xml:space="preserve"> “</w:t>
      </w:r>
      <w:r>
        <w:rPr>
          <w:sz w:val="20"/>
          <w:szCs w:val="20"/>
        </w:rPr>
        <w:t>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9">
    <w:p>
      <w:pPr>
        <w:pStyle w:val="Footnote"/>
        <w:spacing w:before="0" w:after="0"/>
        <w:contextualSpacing/>
        <w:rPr/>
      </w:pPr>
      <w:r>
        <w:rPr>
          <w:rStyle w:val="FootnoteCharacters"/>
        </w:rPr>
        <w:footnoteRef/>
      </w:r>
      <w:r>
        <w:rPr/>
        <w:t xml:space="preserve"> </w:t>
      </w:r>
      <w:r>
        <w:rPr/>
        <w:t xml:space="preserve">Schommers introduce also “products of imaginations” and “spontaneously images in front of us” very similar to Kant’s ideas. Schommers has the impressions he introduced new ideas! </w:t>
      </w:r>
    </w:p>
  </w:footnote>
  <w:footnote w:id="140">
    <w:p>
      <w:pPr>
        <w:pStyle w:val="Normal"/>
        <w:spacing w:before="0" w:after="0"/>
        <w:contextualSpacing/>
        <w:rPr/>
      </w:pPr>
      <w:r>
        <w:rPr>
          <w:rStyle w:val="FootnoteCharacters"/>
        </w:rPr>
        <w:footnoteRef/>
      </w:r>
      <w:r>
        <w:rPr>
          <w:sz w:val="20"/>
          <w:szCs w:val="20"/>
        </w:rPr>
        <w:t xml:space="preserve"> “</w:t>
      </w:r>
      <w:r>
        <w:rPr>
          <w:sz w:val="20"/>
          <w:szCs w:val="20"/>
        </w:rPr>
        <w:t xml:space="preserve">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41">
    <w:p>
      <w:pPr>
        <w:pStyle w:val="Normal"/>
        <w:spacing w:before="0" w:after="0"/>
        <w:contextualSpacing/>
        <w:rPr/>
      </w:pPr>
      <w:r>
        <w:rPr>
          <w:rStyle w:val="FootnoteCharacters"/>
        </w:rPr>
        <w:footnoteRef/>
      </w:r>
      <w:r>
        <w:rPr>
          <w:sz w:val="20"/>
          <w:szCs w:val="20"/>
        </w:rPr>
        <w:t xml:space="preserve"> </w:t>
      </w:r>
      <w:r>
        <w:rPr>
          <w:sz w:val="20"/>
          <w:szCs w:val="20"/>
        </w:rPr>
        <w:t>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2">
    <w:p>
      <w:pPr>
        <w:pStyle w:val="Normal"/>
        <w:spacing w:before="0" w:after="0"/>
        <w:contextualSpacing/>
        <w:rPr/>
      </w:pPr>
      <w:r>
        <w:rPr>
          <w:rStyle w:val="FootnoteCharacters"/>
        </w:rPr>
        <w:footnoteRef/>
      </w:r>
      <w:r>
        <w:rPr>
          <w:sz w:val="20"/>
          <w:szCs w:val="20"/>
        </w:rPr>
        <w:t xml:space="preserve"> “</w:t>
      </w:r>
      <w:r>
        <w:rPr>
          <w:sz w:val="20"/>
          <w:szCs w:val="20"/>
        </w:rPr>
        <w:t>Furthermore, ‘mind is not created by matter’, as in traditional physics, but mind and its products (phantasy, etc.) can obviously exist without the material part of the brain; the source of mind is obviously not on the material level.” (p. 139)</w:t>
      </w:r>
    </w:p>
  </w:footnote>
  <w:footnote w:id="143">
    <w:p>
      <w:pPr>
        <w:pStyle w:val="Normal"/>
        <w:spacing w:before="0" w:after="0"/>
        <w:contextualSpacing/>
        <w:rPr/>
      </w:pPr>
      <w:r>
        <w:rPr>
          <w:rStyle w:val="FootnoteCharacters"/>
        </w:rPr>
        <w:footnoteRef/>
      </w:r>
      <w:r>
        <w:rPr>
          <w:sz w:val="20"/>
          <w:szCs w:val="20"/>
        </w:rPr>
        <w:t xml:space="preserve"> “</w:t>
      </w:r>
      <w:r>
        <w:rPr>
          <w:sz w:val="20"/>
          <w:szCs w:val="20"/>
        </w:rPr>
        <w:t xml:space="preserve">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4">
    <w:p>
      <w:pPr>
        <w:pStyle w:val="Normal"/>
        <w:spacing w:before="0" w:after="0"/>
        <w:contextualSpacing/>
        <w:rPr/>
      </w:pPr>
      <w:r>
        <w:rPr>
          <w:rStyle w:val="FootnoteCharacters"/>
        </w:rPr>
        <w:footnoteRef/>
      </w:r>
      <w:r>
        <w:rPr>
          <w:sz w:val="20"/>
          <w:szCs w:val="20"/>
        </w:rPr>
        <w:t xml:space="preserve"> </w:t>
      </w:r>
      <w:r>
        <w:rPr>
          <w:sz w:val="20"/>
          <w:szCs w:val="20"/>
        </w:rPr>
        <w:t>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5">
    <w:p>
      <w:pPr>
        <w:pStyle w:val="Normal"/>
        <w:spacing w:before="0" w:after="0"/>
        <w:contextualSpacing/>
        <w:rPr/>
      </w:pPr>
      <w:r>
        <w:rPr>
          <w:rStyle w:val="FootnoteCharacters"/>
        </w:rPr>
        <w:footnoteRef/>
      </w:r>
      <w:r>
        <w:rPr>
          <w:sz w:val="20"/>
          <w:szCs w:val="20"/>
        </w:rPr>
        <w:t xml:space="preserve"> “</w:t>
      </w:r>
      <w:r>
        <w:rPr>
          <w:sz w:val="20"/>
          <w:szCs w:val="20"/>
        </w:rPr>
        <w:t xml:space="preserve">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6">
    <w:p>
      <w:pPr>
        <w:pStyle w:val="Normal"/>
        <w:spacing w:before="0" w:after="0"/>
        <w:contextualSpacing/>
        <w:rPr/>
      </w:pPr>
      <w:r>
        <w:rPr>
          <w:rStyle w:val="FootnoteCharacters"/>
        </w:rPr>
        <w:footnoteRef/>
      </w:r>
      <w:r>
        <w:rPr>
          <w:sz w:val="20"/>
          <w:szCs w:val="20"/>
        </w:rPr>
        <w:t xml:space="preserve"> “</w:t>
      </w:r>
      <w:r>
        <w:rPr>
          <w:sz w:val="20"/>
          <w:szCs w:val="20"/>
        </w:rPr>
        <w:t xml:space="preserve">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7">
    <w:p>
      <w:pPr>
        <w:pStyle w:val="Normal"/>
        <w:spacing w:before="0" w:after="0"/>
        <w:contextualSpacing/>
        <w:rPr/>
      </w:pPr>
      <w:r>
        <w:rPr>
          <w:rStyle w:val="FootnoteCharacters"/>
        </w:rPr>
        <w:footnoteRef/>
      </w:r>
      <w:r>
        <w:rPr>
          <w:sz w:val="20"/>
          <w:szCs w:val="20"/>
        </w:rPr>
        <w:t xml:space="preserve"> “</w:t>
      </w:r>
      <w:r>
        <w:rPr>
          <w:sz w:val="20"/>
          <w:szCs w:val="20"/>
        </w:rPr>
        <w:t>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8">
    <w:p>
      <w:pPr>
        <w:pStyle w:val="Normal"/>
        <w:spacing w:before="0" w:after="0"/>
        <w:contextualSpacing/>
        <w:rPr/>
      </w:pPr>
      <w:r>
        <w:rPr>
          <w:rStyle w:val="FootnoteCharacters"/>
        </w:rPr>
        <w:footnoteRef/>
      </w:r>
      <w:r>
        <w:rPr>
          <w:sz w:val="20"/>
          <w:szCs w:val="20"/>
        </w:rPr>
        <w:t xml:space="preserve"> “</w:t>
      </w:r>
      <w:r>
        <w:rPr>
          <w:sz w:val="20"/>
          <w:szCs w:val="20"/>
        </w:rPr>
        <w:t xml:space="preserve">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9">
    <w:p>
      <w:pPr>
        <w:pStyle w:val="Normal"/>
        <w:spacing w:before="0" w:after="0"/>
        <w:contextualSpacing/>
        <w:rPr/>
      </w:pPr>
      <w:r>
        <w:rPr>
          <w:rStyle w:val="FootnoteCharacters"/>
        </w:rPr>
        <w:footnoteRef/>
      </w:r>
      <w:r>
        <w:rPr>
          <w:sz w:val="20"/>
          <w:szCs w:val="20"/>
        </w:rPr>
        <w:t xml:space="preserve"> “</w:t>
      </w:r>
      <w:r>
        <w:rPr>
          <w:sz w:val="20"/>
          <w:szCs w:val="20"/>
        </w:rPr>
        <w:t xml:space="preserve">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50">
    <w:p>
      <w:pPr>
        <w:pStyle w:val="Normal"/>
        <w:spacing w:before="0" w:after="0"/>
        <w:contextualSpacing/>
        <w:rPr/>
      </w:pPr>
      <w:r>
        <w:rPr>
          <w:rStyle w:val="FootnoteCharacters"/>
        </w:rPr>
        <w:footnoteRef/>
      </w:r>
      <w:r>
        <w:rPr>
          <w:sz w:val="20"/>
          <w:szCs w:val="20"/>
        </w:rPr>
        <w:t xml:space="preserve"> </w:t>
      </w:r>
      <w:r>
        <w:rPr>
          <w:sz w:val="20"/>
          <w:szCs w:val="20"/>
        </w:rPr>
        <w:t>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51">
    <w:p>
      <w:pPr>
        <w:pStyle w:val="Normal"/>
        <w:spacing w:before="0" w:after="0"/>
        <w:contextualSpacing/>
        <w:rPr/>
      </w:pPr>
      <w:r>
        <w:rPr>
          <w:rStyle w:val="FootnoteCharacters"/>
        </w:rPr>
        <w:footnoteRef/>
      </w:r>
      <w:r>
        <w:rPr>
          <w:sz w:val="20"/>
          <w:szCs w:val="20"/>
        </w:rPr>
        <w:t xml:space="preserve"> “</w:t>
      </w:r>
      <w:r>
        <w:rPr>
          <w:sz w:val="20"/>
          <w:szCs w:val="20"/>
        </w:rPr>
        <w:t>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2">
    <w:p>
      <w:pPr>
        <w:pStyle w:val="Footnote"/>
        <w:spacing w:before="0" w:after="0"/>
        <w:contextualSpacing/>
        <w:rPr/>
      </w:pPr>
      <w:r>
        <w:rPr>
          <w:rStyle w:val="FootnoteCharacters"/>
        </w:rPr>
        <w:footnoteRef/>
      </w:r>
      <w:r>
        <w:rPr/>
        <w:t xml:space="preserve"> </w:t>
      </w:r>
      <w:r>
        <w:rPr/>
        <w:t>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3">
    <w:p>
      <w:pPr>
        <w:pStyle w:val="Footnote"/>
        <w:spacing w:before="0" w:after="0"/>
        <w:contextualSpacing/>
        <w:rPr/>
      </w:pPr>
      <w:r>
        <w:rPr>
          <w:rStyle w:val="FootnoteCharacters"/>
        </w:rPr>
        <w:footnoteRef/>
      </w:r>
      <w:r>
        <w:rPr/>
        <w:t xml:space="preserve"> </w:t>
      </w:r>
      <w:r>
        <w:rPr/>
        <w:t xml:space="preserve">I wrote this chapter in 2016. </w:t>
      </w:r>
    </w:p>
  </w:footnote>
  <w:footnote w:id="154">
    <w:p>
      <w:pPr>
        <w:pStyle w:val="Footnote"/>
        <w:spacing w:before="0" w:after="0"/>
        <w:contextualSpacing/>
        <w:rPr/>
      </w:pPr>
      <w:r>
        <w:rPr>
          <w:rStyle w:val="FootnoteCharacters"/>
        </w:rPr>
        <w:footnoteRef/>
      </w:r>
      <w:r>
        <w:rPr/>
        <w:t xml:space="preserve"> </w:t>
      </w:r>
      <w:r>
        <w:rPr/>
        <w:t xml:space="preserve">I wrote this chapter in 2016. </w:t>
      </w:r>
    </w:p>
  </w:footnote>
  <w:footnote w:id="155">
    <w:p>
      <w:pPr>
        <w:pStyle w:val="Footnote"/>
        <w:spacing w:before="0" w:after="0"/>
        <w:contextualSpacing/>
        <w:rPr/>
      </w:pPr>
      <w:r>
        <w:rPr>
          <w:rStyle w:val="FootnoteCharacters"/>
        </w:rPr>
        <w:footnoteRef/>
      </w:r>
      <w:r>
        <w:rPr/>
        <w:t xml:space="preserve"> “</w:t>
      </w:r>
      <w:r>
        <w:rPr/>
        <w:t xml:space="preserve">Adam Frank </w:t>
      </w:r>
      <w:r>
        <w:rPr>
          <w:highlight w:val="white"/>
        </w:rPr>
        <w:t>is professor of astronomy at the University of Rochester</w:t>
      </w:r>
      <w:r>
        <w:rPr>
          <w:rStyle w:val="Appleconvertedspace"/>
          <w:highlight w:val="white"/>
        </w:rPr>
        <w:t> </w:t>
      </w:r>
      <w:r>
        <w:rPr>
          <w:highlight w:val="white"/>
        </w:rPr>
        <w:t>in New York and the co-founder of NPR's blog </w:t>
      </w:r>
      <w:r>
        <w:rPr>
          <w:rStyle w:val="Emphasis"/>
          <w:highlight w:val="white"/>
        </w:rPr>
        <w:t>13.7: Cosmos &amp; Culture </w:t>
      </w:r>
      <w:r>
        <w:rPr>
          <w:highlight w:val="white"/>
        </w:rPr>
        <w:t>where he is also a regular contributor. He is the author of several books, the latest being </w:t>
      </w:r>
      <w:r>
        <w:rPr>
          <w:rStyle w:val="Emphasis"/>
          <w:highlight w:val="white"/>
        </w:rPr>
        <w:t>About Time: Cosmology and Culture at the Twilight of the Big Bang </w:t>
      </w:r>
      <w:r>
        <w:rPr>
          <w:highlight w:val="white"/>
        </w:rPr>
        <w:t>(2011).” (on the web indicate above.)</w:t>
      </w:r>
    </w:p>
  </w:footnote>
  <w:footnote w:id="156">
    <w:p>
      <w:pPr>
        <w:pStyle w:val="Normal"/>
        <w:shd w:val="clear" w:fill="FFFFFF"/>
        <w:spacing w:before="0" w:after="0"/>
        <w:contextualSpacing/>
        <w:rPr/>
      </w:pPr>
      <w:r>
        <w:rPr>
          <w:rStyle w:val="FootnoteCharacters"/>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eastAsia="TimesNewRomanPSMT" w:cs="TimesNewRomanPSMT" w:ascii="TimesNewRomanPSMT" w:hAnsi="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7">
    <w:p>
      <w:pPr>
        <w:pStyle w:val="Normal"/>
        <w:shd w:val="clear" w:fill="FFFFFF"/>
        <w:spacing w:before="0" w:after="0"/>
        <w:contextualSpacing/>
        <w:rPr/>
      </w:pPr>
      <w:r>
        <w:rPr>
          <w:rStyle w:val="FootnoteCharacters"/>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8">
    <w:p>
      <w:pPr>
        <w:pStyle w:val="Footnote"/>
        <w:spacing w:before="0" w:after="0"/>
        <w:contextualSpacing/>
        <w:rPr/>
      </w:pPr>
      <w:r>
        <w:rPr>
          <w:rStyle w:val="FootnoteCharacters"/>
        </w:rPr>
        <w:footnoteRef/>
      </w:r>
      <w:r>
        <w:rPr/>
        <w:t xml:space="preserve"> </w:t>
      </w:r>
      <w:r>
        <w:rPr/>
        <w:t xml:space="preserve">Forthcoming in Huggett, N. and Wuthrich, C. (2018), </w:t>
      </w:r>
      <w:r>
        <w:rPr>
          <w:i/>
        </w:rPr>
        <w:t>Space and Time After Quantum Gravity</w:t>
      </w:r>
      <w:r>
        <w:rPr/>
        <w:t>.</w:t>
      </w:r>
    </w:p>
  </w:footnote>
  <w:footnote w:id="159">
    <w:p>
      <w:pPr>
        <w:pStyle w:val="Footnote"/>
        <w:spacing w:before="0" w:after="0"/>
        <w:contextualSpacing/>
        <w:rPr/>
      </w:pPr>
      <w:r>
        <w:rPr>
          <w:rStyle w:val="FootnoteCharacters"/>
        </w:rPr>
        <w:footnoteRef/>
      </w:r>
      <w:r>
        <w:rPr/>
        <w:t xml:space="preserve"> </w:t>
      </w:r>
      <w:r>
        <w:rPr/>
        <w:t>I wrote this chapter on 18.09.2017.</w:t>
      </w:r>
    </w:p>
  </w:footnote>
  <w:footnote w:id="160">
    <w:p>
      <w:pPr>
        <w:pStyle w:val="Normal"/>
        <w:spacing w:before="0" w:after="0"/>
        <w:contextualSpacing/>
        <w:rPr/>
      </w:pPr>
      <w:r>
        <w:rPr>
          <w:rStyle w:val="FootnoteCharacters"/>
        </w:rPr>
        <w:footnoteRef/>
      </w:r>
      <w:r>
        <w:rPr>
          <w:sz w:val="20"/>
          <w:szCs w:val="20"/>
        </w:rPr>
        <w:t xml:space="preserve"> “</w:t>
      </w:r>
      <w:r>
        <w:rPr>
          <w:rFonts w:eastAsia="Calibri"/>
          <w:sz w:val="20"/>
          <w:szCs w:val="20"/>
        </w:rPr>
        <w:t>Empirically adequate mathematical structures are not enough to produce a meaningful physical representation</w:t>
      </w:r>
    </w:p>
    <w:p>
      <w:pPr>
        <w:pStyle w:val="Normal"/>
        <w:spacing w:before="0" w:after="0"/>
        <w:contextualSpacing/>
        <w:rPr/>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61">
    <w:p>
      <w:pPr>
        <w:pStyle w:val="Normal"/>
        <w:spacing w:before="0" w:after="0"/>
        <w:contextualSpacing/>
        <w:rPr/>
      </w:pPr>
      <w:r>
        <w:rPr>
          <w:rStyle w:val="FootnoteCharacters"/>
        </w:rPr>
        <w:footnoteRef/>
      </w:r>
      <w:r>
        <w:rPr>
          <w:sz w:val="20"/>
          <w:szCs w:val="20"/>
        </w:rPr>
        <w:t xml:space="preserve"> </w:t>
      </w:r>
      <w:r>
        <w:rPr>
          <w:sz w:val="20"/>
          <w:szCs w:val="20"/>
        </w:rPr>
        <w:t>Also this: “</w:t>
      </w:r>
      <w:r>
        <w:rPr>
          <w:rFonts w:eastAsia="Calibri" w:cs="SFRM1000" w:ascii="SFRM1000" w:hAnsi="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eastAsia="Calibri" w:cs="SFTI1000" w:ascii="SFTI1000" w:hAnsi="SFTI1000"/>
          <w:sz w:val="20"/>
          <w:szCs w:val="20"/>
        </w:rPr>
        <w:t xml:space="preserve">what there is </w:t>
      </w:r>
      <w:r>
        <w:rPr>
          <w:rFonts w:eastAsia="Calibri" w:cs="SFRM1000" w:ascii="SFRM1000" w:hAnsi="SFRM1000"/>
          <w:sz w:val="20"/>
          <w:szCs w:val="20"/>
        </w:rPr>
        <w:t xml:space="preserve">(independently of subjects) according to a theory obviously cannot be solved from an epistemic viewpoint which assumes that theories only make reference to the </w:t>
      </w:r>
      <w:r>
        <w:rPr>
          <w:rFonts w:eastAsia="Calibri" w:cs="SFTI1000" w:ascii="SFTI1000" w:hAnsi="SFTI1000"/>
          <w:sz w:val="20"/>
          <w:szCs w:val="20"/>
        </w:rPr>
        <w:t xml:space="preserve">prediction of observations </w:t>
      </w:r>
      <w:r>
        <w:rPr>
          <w:rFonts w:eastAsia="Calibri" w:cs="SFRM1000" w:ascii="SFRM1000" w:hAnsi="SFRM1000"/>
          <w:sz w:val="20"/>
          <w:szCs w:val="20"/>
        </w:rPr>
        <w:t>by individual subjects (agents or users).” (p. 12) I draw the attention that this paragraph is not from my writings!</w:t>
      </w:r>
    </w:p>
  </w:footnote>
  <w:footnote w:id="162">
    <w:p>
      <w:pPr>
        <w:pStyle w:val="Normal"/>
        <w:spacing w:before="0" w:after="0"/>
        <w:contextualSpacing/>
        <w:rPr/>
      </w:pPr>
      <w:r>
        <w:rPr>
          <w:rStyle w:val="FootnoteCharacters"/>
        </w:rPr>
        <w:footnoteRef/>
      </w:r>
      <w:r>
        <w:rPr>
          <w:sz w:val="20"/>
          <w:szCs w:val="20"/>
        </w:rPr>
        <w:t xml:space="preserve"> “</w:t>
      </w:r>
      <w:r>
        <w:rPr>
          <w:sz w:val="20"/>
          <w:szCs w:val="20"/>
        </w:rPr>
        <w:t>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3">
    <w:p>
      <w:pPr>
        <w:pStyle w:val="Normal"/>
        <w:spacing w:before="0" w:after="0"/>
        <w:contextualSpacing/>
        <w:rPr/>
      </w:pPr>
      <w:r>
        <w:rPr>
          <w:rStyle w:val="FootnoteCharacters"/>
        </w:rPr>
        <w:footnoteRef/>
      </w:r>
      <w:r>
        <w:rPr>
          <w:sz w:val="20"/>
          <w:szCs w:val="20"/>
        </w:rPr>
        <w:t xml:space="preserve"> “</w:t>
      </w:r>
      <w:r>
        <w:rPr>
          <w:sz w:val="20"/>
          <w:szCs w:val="20"/>
        </w:rPr>
        <w:t xml:space="preserve">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4">
    <w:p>
      <w:pPr>
        <w:pStyle w:val="Normal"/>
        <w:spacing w:before="0" w:after="0"/>
        <w:contextualSpacing/>
        <w:rPr>
          <w:sz w:val="20"/>
          <w:szCs w:val="20"/>
        </w:rPr>
      </w:pPr>
      <w:r>
        <w:rPr>
          <w:rStyle w:val="FootnoteCharacters"/>
        </w:rPr>
        <w:footnoteRef/>
      </w:r>
      <w:r>
        <w:rPr>
          <w:sz w:val="20"/>
          <w:szCs w:val="20"/>
        </w:rPr>
        <w:t xml:space="preserve"> “</w:t>
      </w:r>
      <w:r>
        <w:rPr>
          <w:sz w:val="20"/>
          <w:szCs w:val="20"/>
        </w:rPr>
        <w:t>In the observational and historical sciences the research unit acts in the choice and development of tools of</w:t>
      </w:r>
    </w:p>
    <w:p>
      <w:pPr>
        <w:pStyle w:val="Normal"/>
        <w:spacing w:before="0" w:after="0"/>
        <w:contextualSpacing/>
        <w:rPr/>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5">
    <w:p>
      <w:pPr>
        <w:pStyle w:val="Normal"/>
        <w:spacing w:before="0" w:after="0"/>
        <w:contextualSpacing/>
        <w:rPr/>
      </w:pPr>
      <w:r>
        <w:rPr>
          <w:rStyle w:val="FootnoteCharacters"/>
        </w:rPr>
        <w:footnoteRef/>
      </w:r>
      <w:r>
        <w:rPr>
          <w:sz w:val="20"/>
          <w:szCs w:val="20"/>
        </w:rPr>
        <w:t xml:space="preserve"> “</w:t>
      </w:r>
      <w:r>
        <w:rPr>
          <w:sz w:val="20"/>
          <w:szCs w:val="20"/>
        </w:rPr>
        <w:t>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6">
    <w:p>
      <w:pPr>
        <w:pStyle w:val="Normal"/>
        <w:spacing w:before="0" w:after="0"/>
        <w:contextualSpacing/>
        <w:rPr/>
      </w:pPr>
      <w:r>
        <w:rPr>
          <w:rStyle w:val="FootnoteCharacters"/>
        </w:rPr>
        <w:footnoteRef/>
      </w:r>
      <w:r>
        <w:rPr>
          <w:sz w:val="20"/>
          <w:szCs w:val="20"/>
        </w:rPr>
        <w:t xml:space="preserve"> </w:t>
      </w:r>
      <w:r>
        <w:rPr>
          <w:sz w:val="20"/>
          <w:szCs w:val="20"/>
        </w:rPr>
        <w:t>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7">
    <w:p>
      <w:pPr>
        <w:pStyle w:val="Normal"/>
        <w:spacing w:before="0" w:after="0"/>
        <w:contextualSpacing/>
        <w:rPr/>
      </w:pPr>
      <w:r>
        <w:rPr>
          <w:rStyle w:val="FootnoteCharacters"/>
        </w:rPr>
        <w:footnoteRef/>
      </w:r>
      <w:r>
        <w:rPr>
          <w:sz w:val="20"/>
          <w:szCs w:val="20"/>
        </w:rPr>
        <w:t xml:space="preserve"> “</w:t>
      </w:r>
      <w:r>
        <w:rPr>
          <w:rFonts w:cs="TimesNewRomanMTStd" w:ascii="TimesNewRomanMTStd" w:hAnsi="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8">
    <w:p>
      <w:pPr>
        <w:pStyle w:val="Normal"/>
        <w:spacing w:before="0" w:after="0"/>
        <w:contextualSpacing/>
        <w:rPr/>
      </w:pPr>
      <w:r>
        <w:rPr>
          <w:rStyle w:val="FootnoteCharacters"/>
        </w:rPr>
        <w:footnoteRef/>
      </w:r>
      <w:r>
        <w:rPr>
          <w:sz w:val="20"/>
          <w:szCs w:val="20"/>
        </w:rPr>
        <w:t xml:space="preserve"> “</w:t>
      </w:r>
      <w:r>
        <w:rPr>
          <w:rFonts w:cs="TimesNewRomanMTStd" w:ascii="TimesNewRomanMTStd" w:hAnsi="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9">
    <w:p>
      <w:pPr>
        <w:pStyle w:val="Normal"/>
        <w:spacing w:before="0" w:after="0"/>
        <w:contextualSpacing/>
        <w:rPr/>
      </w:pPr>
      <w:r>
        <w:rPr>
          <w:rStyle w:val="FootnoteCharacters"/>
        </w:rPr>
        <w:footnoteRef/>
      </w:r>
      <w:r>
        <w:rPr>
          <w:sz w:val="20"/>
          <w:szCs w:val="20"/>
        </w:rPr>
        <w:t xml:space="preserve"> “</w:t>
      </w:r>
      <w:r>
        <w:rPr>
          <w:rFonts w:cs="TimesNewRomanMTStd" w:ascii="TimesNewRomanMTStd" w:hAnsi="TimesNewRomanMTStd"/>
          <w:sz w:val="20"/>
          <w:szCs w:val="20"/>
        </w:rPr>
        <w:t>An improved understanding of complementarity as a general issue in science can help in two ways:</w:t>
      </w:r>
    </w:p>
    <w:p>
      <w:pPr>
        <w:pStyle w:val="Normal"/>
        <w:spacing w:before="0" w:after="0"/>
        <w:contextualSpacing/>
        <w:rPr/>
      </w:pPr>
      <w:r>
        <w:rPr>
          <w:rFonts w:cs="TimesNewRomanMTStd-Bold" w:ascii="TimesNewRomanMTStd-Bold" w:hAnsi="TimesNewRomanMTStd-Bold"/>
          <w:b/>
          <w:bCs/>
          <w:sz w:val="20"/>
          <w:szCs w:val="20"/>
        </w:rPr>
        <w:t xml:space="preserve">1. </w:t>
      </w:r>
      <w:r>
        <w:rPr>
          <w:rFonts w:cs="TimesNewRomanMTStd" w:ascii="TimesNewRomanMTStd" w:hAnsi="TimesNewRomanMTStd"/>
          <w:sz w:val="20"/>
          <w:szCs w:val="20"/>
        </w:rPr>
        <w:t>It can help understanding the fundamental cognitive character of complementarity, which means that complementarity cannot be overcome by methodological advances, only handled in better or worse ways, and focus</w:t>
      </w:r>
    </w:p>
    <w:p>
      <w:pPr>
        <w:pStyle w:val="Normal"/>
        <w:spacing w:before="0" w:after="0"/>
        <w:contextualSpacing/>
        <w:rPr>
          <w:rFonts w:ascii="TimesNewRomanMTStd" w:hAnsi="TimesNewRomanMTStd" w:cs="TimesNewRomanMTStd"/>
          <w:sz w:val="20"/>
          <w:szCs w:val="20"/>
        </w:rPr>
      </w:pPr>
      <w:r>
        <w:rPr>
          <w:rFonts w:cs="TimesNewRomanMTStd" w:ascii="TimesNewRomanMTStd" w:hAnsi="TimesNewRomanMTStd"/>
          <w:sz w:val="20"/>
          <w:szCs w:val="20"/>
        </w:rPr>
        <w:t>attention on how to handle issues of complementarity better.</w:t>
      </w:r>
    </w:p>
    <w:p>
      <w:pPr>
        <w:pStyle w:val="Normal"/>
        <w:spacing w:before="0" w:after="0"/>
        <w:contextualSpacing/>
        <w:rPr/>
      </w:pPr>
      <w:r>
        <w:rPr>
          <w:rFonts w:cs="TimesNewRomanMTStd-Bold" w:ascii="TimesNewRomanMTStd-Bold" w:hAnsi="TimesNewRomanMTStd-Bold"/>
          <w:b/>
          <w:bCs/>
          <w:sz w:val="20"/>
          <w:szCs w:val="20"/>
        </w:rPr>
        <w:t xml:space="preserve">2. </w:t>
      </w:r>
      <w:r>
        <w:rPr>
          <w:rFonts w:cs="TimesNewRomanMTStd" w:ascii="TimesNewRomanMTStd" w:hAnsi="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70">
    <w:p>
      <w:pPr>
        <w:pStyle w:val="Footnote"/>
        <w:spacing w:before="0" w:after="0"/>
        <w:contextualSpacing/>
        <w:rPr/>
      </w:pPr>
      <w:r>
        <w:rPr>
          <w:rStyle w:val="FootnoteCharacters"/>
        </w:rPr>
        <w:footnoteRef/>
      </w:r>
      <w:r>
        <w:rPr/>
        <w:t xml:space="preserve"> </w:t>
      </w:r>
      <w:r>
        <w:rPr/>
        <w:t xml:space="preserve">I wrote this chapter in 2014. </w:t>
      </w:r>
    </w:p>
  </w:footnote>
  <w:footnote w:id="171">
    <w:p>
      <w:pPr>
        <w:pStyle w:val="Footnote"/>
        <w:spacing w:before="0" w:after="0"/>
        <w:contextualSpacing/>
        <w:rPr/>
      </w:pPr>
      <w:r>
        <w:rPr>
          <w:rStyle w:val="FootnoteCharacters"/>
        </w:rPr>
        <w:footnoteRef/>
      </w:r>
      <w:r>
        <w:rPr/>
        <w:t xml:space="preserve"> </w:t>
      </w:r>
      <w:r>
        <w:rPr/>
        <w:t xml:space="preserve">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2">
    <w:p>
      <w:pPr>
        <w:pStyle w:val="Footnote"/>
        <w:spacing w:before="0" w:after="0"/>
        <w:contextualSpacing/>
        <w:rPr/>
      </w:pPr>
      <w:r>
        <w:rPr>
          <w:rStyle w:val="FootnoteCharacters"/>
        </w:rPr>
        <w:footnoteRef/>
      </w:r>
      <w:r>
        <w:rPr/>
        <w:t xml:space="preserve"> “</w:t>
      </w:r>
      <w:r>
        <w:rPr/>
        <w:t xml:space="preserve">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3">
    <w:p>
      <w:pPr>
        <w:pStyle w:val="Footnote"/>
        <w:spacing w:before="0" w:after="0"/>
        <w:contextualSpacing/>
        <w:rPr/>
      </w:pPr>
      <w:r>
        <w:rPr>
          <w:rStyle w:val="FootnoteCharacters"/>
        </w:rPr>
        <w:footnoteRef/>
      </w:r>
      <w:r>
        <w:rPr/>
        <w:t xml:space="preserve"> </w:t>
      </w:r>
      <w:r>
        <w:rPr/>
        <w:t>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4">
    <w:p>
      <w:pPr>
        <w:pStyle w:val="Footnote"/>
        <w:spacing w:before="0" w:after="0"/>
        <w:contextualSpacing/>
        <w:rPr/>
      </w:pPr>
      <w:r>
        <w:rPr>
          <w:rStyle w:val="FootnoteCharacters"/>
        </w:rPr>
        <w:footnoteRef/>
      </w:r>
      <w:r>
        <w:rPr/>
        <w:t xml:space="preserve"> </w:t>
      </w:r>
      <w:r>
        <w:rPr/>
        <w:t xml:space="preserve">This idea is related to “superposition” from connectionism. (See Vacariu 2008) This superposition is available for real neuronal networks that correspond to the “I”. </w:t>
      </w:r>
    </w:p>
  </w:footnote>
  <w:footnote w:id="175">
    <w:p>
      <w:pPr>
        <w:pStyle w:val="Footnote"/>
        <w:spacing w:before="0" w:after="0"/>
        <w:contextualSpacing/>
        <w:rPr/>
      </w:pPr>
      <w:r>
        <w:rPr>
          <w:rStyle w:val="FootnoteCharacters"/>
        </w:rPr>
        <w:footnoteRef/>
      </w:r>
      <w:r>
        <w:rPr/>
        <w:t xml:space="preserve"> </w:t>
      </w:r>
      <w:r>
        <w:rPr/>
        <w:t>It would require the homunculus. Moreover, the parts-whole relationship cannot be applied to mental states/processes-self.</w:t>
      </w:r>
    </w:p>
    <w:p>
      <w:pPr>
        <w:pStyle w:val="Footnote"/>
        <w:spacing w:before="0" w:after="0"/>
        <w:contextualSpacing/>
        <w:rPr/>
      </w:pPr>
      <w:r>
        <w:rPr>
          <w:rStyle w:val="FootnoteCharacters"/>
        </w:rPr>
        <w:t>4</w:t>
      </w:r>
      <w:r>
        <w:rP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6">
    <w:p>
      <w:pPr>
        <w:pStyle w:val="Normal"/>
        <w:spacing w:before="0" w:after="0"/>
        <w:contextualSpacing/>
        <w:rPr/>
      </w:pPr>
      <w:r>
        <w:rPr>
          <w:rStyle w:val="FootnoteCharacters"/>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7">
    <w:p>
      <w:pPr>
        <w:pStyle w:val="Footnote"/>
        <w:spacing w:before="0" w:after="0"/>
        <w:contextualSpacing/>
        <w:rPr/>
      </w:pPr>
      <w:r>
        <w:rPr>
          <w:rStyle w:val="FootnoteCharacters"/>
        </w:rPr>
        <w:footnoteRef/>
      </w:r>
      <w:r>
        <w:rPr>
          <w:rStyle w:val="FootnoteCharacters"/>
        </w:rPr>
        <w:t>1</w:t>
      </w:r>
      <w:r>
        <w:rP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pStyle w:val="Footnote"/>
        <w:spacing w:before="0" w:after="0"/>
        <w:contextualSpacing/>
        <w:rPr/>
      </w:pPr>
      <w:r>
        <w:rPr/>
        <w:t xml:space="preserve"> </w:t>
      </w:r>
      <w:r>
        <w:rPr/>
        <w:t>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8">
    <w:p>
      <w:pPr>
        <w:pStyle w:val="Normal"/>
        <w:spacing w:before="0" w:after="0"/>
        <w:contextualSpacing/>
        <w:rPr/>
      </w:pPr>
      <w:r>
        <w:rPr>
          <w:rStyle w:val="FootnoteCharacters"/>
        </w:rPr>
        <w:footnoteRef/>
      </w:r>
      <w:r>
        <w:rPr>
          <w:sz w:val="20"/>
          <w:szCs w:val="20"/>
        </w:rPr>
        <w:t xml:space="preserve"> “</w:t>
      </w:r>
      <w:r>
        <w:rPr>
          <w:sz w:val="20"/>
          <w:szCs w:val="20"/>
        </w:rPr>
        <w:t xml:space="preserve">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9">
    <w:p>
      <w:pPr>
        <w:pStyle w:val="Normal"/>
        <w:spacing w:before="0" w:after="0"/>
        <w:contextualSpacing/>
        <w:rPr/>
      </w:pPr>
      <w:r>
        <w:rPr>
          <w:rStyle w:val="FootnoteCharacters"/>
        </w:rPr>
        <w:footnoteRef/>
      </w:r>
      <w:r>
        <w:rPr>
          <w:sz w:val="20"/>
          <w:szCs w:val="20"/>
        </w:rPr>
        <w:t xml:space="preserve"> “</w:t>
      </w:r>
      <w:r>
        <w:rPr>
          <w:sz w:val="20"/>
          <w:szCs w:val="20"/>
        </w:rPr>
        <w:t xml:space="preserve">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80">
    <w:p>
      <w:pPr>
        <w:pStyle w:val="Normal"/>
        <w:spacing w:before="0" w:after="0"/>
        <w:contextualSpacing/>
        <w:rPr/>
      </w:pPr>
      <w:r>
        <w:rPr>
          <w:rStyle w:val="FootnoteCharacters"/>
        </w:rPr>
        <w:footnoteRef/>
      </w:r>
      <w:r>
        <w:rPr>
          <w:sz w:val="20"/>
          <w:szCs w:val="20"/>
        </w:rPr>
        <w:t xml:space="preserve"> “</w:t>
      </w:r>
      <w:r>
        <w:rPr>
          <w:sz w:val="20"/>
          <w:szCs w:val="20"/>
        </w:rPr>
        <w:t xml:space="preserve">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81">
    <w:p>
      <w:pPr>
        <w:pStyle w:val="Footnote"/>
        <w:spacing w:before="0" w:after="0"/>
        <w:contextualSpacing/>
        <w:rPr/>
      </w:pPr>
      <w:r>
        <w:rPr>
          <w:rStyle w:val="FootnoteCharacters"/>
        </w:rPr>
        <w:footnoteRef/>
      </w:r>
      <w:r>
        <w:rPr/>
        <w:t xml:space="preserve"> “</w:t>
      </w:r>
      <w:r>
        <w:rPr/>
        <w:t>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2">
    <w:p>
      <w:pPr>
        <w:pStyle w:val="Normal"/>
        <w:spacing w:before="0" w:after="0"/>
        <w:contextualSpacing/>
        <w:rPr/>
      </w:pPr>
      <w:r>
        <w:rPr>
          <w:rStyle w:val="FootnoteCharacters"/>
        </w:rPr>
        <w:footnoteRef/>
      </w:r>
      <w:r>
        <w:rPr>
          <w:sz w:val="20"/>
          <w:szCs w:val="20"/>
        </w:rPr>
        <w:t xml:space="preserve"> “</w:t>
      </w:r>
      <w:r>
        <w:rPr>
          <w:sz w:val="20"/>
          <w:szCs w:val="20"/>
        </w:rPr>
        <w:t>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3">
    <w:p>
      <w:pPr>
        <w:pStyle w:val="Normal"/>
        <w:spacing w:before="0" w:after="0"/>
        <w:contextualSpacing/>
        <w:rPr/>
      </w:pPr>
      <w:r>
        <w:rPr>
          <w:rStyle w:val="FootnoteCharacters"/>
        </w:rPr>
        <w:footnoteRef/>
      </w:r>
      <w:r>
        <w:rPr>
          <w:sz w:val="20"/>
          <w:szCs w:val="20"/>
        </w:rPr>
        <w:t xml:space="preserve"> </w:t>
      </w:r>
      <w:r>
        <w:rPr>
          <w:sz w:val="20"/>
          <w:szCs w:val="20"/>
        </w:rPr>
        <w:t>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pStyle w:val="Normal"/>
        <w:spacing w:before="0" w:after="0"/>
        <w:contextualSpacing/>
        <w:rPr/>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4">
    <w:p>
      <w:pPr>
        <w:pStyle w:val="Footnote"/>
        <w:spacing w:before="0" w:after="0"/>
        <w:contextualSpacing/>
        <w:rPr/>
      </w:pPr>
      <w:r>
        <w:rPr>
          <w:rStyle w:val="FootnoteCharacters"/>
        </w:rPr>
        <w:footnoteRef/>
      </w:r>
      <w:r>
        <w:rPr/>
        <w:t xml:space="preserve"> </w:t>
      </w:r>
      <w:r>
        <w:rPr/>
        <w:t>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5">
    <w:p>
      <w:pPr>
        <w:pStyle w:val="Normal"/>
        <w:spacing w:before="0" w:after="0"/>
        <w:contextualSpacing/>
        <w:rPr/>
      </w:pPr>
      <w:r>
        <w:rPr>
          <w:rStyle w:val="FootnoteCharacters"/>
        </w:rPr>
        <w:footnoteRef/>
      </w:r>
      <w:r>
        <w:rPr>
          <w:sz w:val="20"/>
          <w:szCs w:val="20"/>
        </w:rPr>
        <w:t xml:space="preserve"> “</w:t>
      </w:r>
      <w:r>
        <w:rPr>
          <w:sz w:val="20"/>
          <w:szCs w:val="20"/>
        </w:rPr>
        <w:t xml:space="preserve">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6">
    <w:p>
      <w:pPr>
        <w:pStyle w:val="Normal"/>
        <w:spacing w:before="0" w:after="0"/>
        <w:contextualSpacing/>
        <w:rPr/>
      </w:pPr>
      <w:r>
        <w:rPr>
          <w:rStyle w:val="FootnoteCharacters"/>
        </w:rPr>
        <w:footnoteRef/>
      </w:r>
      <w:r>
        <w:rPr>
          <w:sz w:val="20"/>
          <w:szCs w:val="20"/>
        </w:rPr>
        <w:t xml:space="preserve"> “</w:t>
      </w:r>
      <w:r>
        <w:rPr>
          <w:sz w:val="20"/>
          <w:szCs w:val="20"/>
        </w:rPr>
        <w:t>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7">
    <w:p>
      <w:pPr>
        <w:pStyle w:val="Footnote"/>
        <w:spacing w:before="0" w:after="0"/>
        <w:contextualSpacing/>
        <w:rPr/>
      </w:pPr>
      <w:r>
        <w:rPr>
          <w:rStyle w:val="FootnoteCharacters"/>
        </w:rPr>
        <w:footnoteRef/>
      </w:r>
      <w:r>
        <w:rPr/>
        <w:t xml:space="preserve"> </w:t>
      </w:r>
      <w:r>
        <w:rPr/>
        <w:t xml:space="preserve">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pStyle w:val="Footnote"/>
        <w:spacing w:before="0" w:after="0"/>
        <w:contextualSpacing/>
        <w:rPr/>
      </w:pPr>
      <w:r>
        <w:rP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8">
    <w:p>
      <w:pPr>
        <w:pStyle w:val="Footnote"/>
        <w:spacing w:before="0" w:after="0"/>
        <w:contextualSpacing/>
        <w:rPr/>
      </w:pPr>
      <w:r>
        <w:rPr>
          <w:rStyle w:val="FootnoteCharacters"/>
        </w:rPr>
        <w:footnoteRef/>
      </w:r>
      <w:r>
        <w:rPr/>
        <w:t xml:space="preserve"> </w:t>
      </w:r>
      <w:r>
        <w:rPr/>
        <w:t xml:space="preserve">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9">
    <w:p>
      <w:pPr>
        <w:pStyle w:val="Footnote"/>
        <w:spacing w:before="0" w:after="0"/>
        <w:contextualSpacing/>
        <w:rPr/>
      </w:pPr>
      <w:r>
        <w:rPr>
          <w:rStyle w:val="FootnoteCharacters"/>
        </w:rPr>
        <w:footnoteRef/>
      </w:r>
      <w:r>
        <w:rPr/>
        <w:t xml:space="preserve"> </w:t>
      </w:r>
      <w:r>
        <w:rPr/>
        <w:t>In my books (2012 and 2014), I dedicated a section and a chapter, respectively, to the default mode network.</w:t>
      </w:r>
    </w:p>
  </w:footnote>
  <w:footnote w:id="190">
    <w:p>
      <w:pPr>
        <w:pStyle w:val="Normal"/>
        <w:spacing w:before="0" w:after="0"/>
        <w:contextualSpacing/>
        <w:rPr/>
      </w:pPr>
      <w:r>
        <w:rPr>
          <w:rStyle w:val="FootnoteCharacters"/>
        </w:rPr>
        <w:footnoteRef/>
      </w:r>
      <w:r>
        <w:rPr>
          <w:sz w:val="20"/>
          <w:szCs w:val="20"/>
        </w:rPr>
        <w:t xml:space="preserve"> </w:t>
      </w:r>
      <w:r>
        <w:rPr>
          <w:sz w:val="20"/>
          <w:szCs w:val="20"/>
        </w:rPr>
        <w:t>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91">
    <w:p>
      <w:pPr>
        <w:pStyle w:val="Normal"/>
        <w:spacing w:before="0" w:after="0"/>
        <w:contextualSpacing/>
        <w:rPr/>
      </w:pPr>
      <w:r>
        <w:rPr>
          <w:rStyle w:val="FootnoteCharacters"/>
        </w:rPr>
        <w:footnoteRef/>
      </w:r>
      <w:r>
        <w:rPr>
          <w:sz w:val="20"/>
          <w:szCs w:val="20"/>
        </w:rPr>
        <w:t xml:space="preserve"> </w:t>
      </w:r>
      <w:r>
        <w:rPr>
          <w:sz w:val="20"/>
          <w:szCs w:val="20"/>
        </w:rPr>
        <w:t xml:space="preserve">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2">
    <w:p>
      <w:pPr>
        <w:pStyle w:val="Footnote"/>
        <w:spacing w:before="0" w:after="0"/>
        <w:contextualSpacing/>
        <w:rPr/>
      </w:pPr>
      <w:r>
        <w:rPr>
          <w:rStyle w:val="FootnoteCharacters"/>
        </w:rPr>
        <w:footnoteRef/>
      </w:r>
      <w:r>
        <w:rPr/>
        <w:t xml:space="preserve"> </w:t>
      </w:r>
      <w:r>
        <w:rPr/>
        <w:t>However, in a paper (2004), he uses the notion of “correspondence” but the meaning is not exactly the same.</w:t>
      </w:r>
    </w:p>
  </w:footnote>
  <w:footnote w:id="193">
    <w:p>
      <w:pPr>
        <w:pStyle w:val="Normal"/>
        <w:spacing w:before="0" w:after="0"/>
        <w:contextualSpacing/>
        <w:rPr/>
      </w:pPr>
      <w:r>
        <w:rPr>
          <w:rStyle w:val="FootnoteCharacters"/>
        </w:rPr>
        <w:footnoteRef/>
      </w:r>
      <w:r>
        <w:rPr>
          <w:sz w:val="20"/>
          <w:szCs w:val="20"/>
        </w:rPr>
        <w:t xml:space="preserve"> “</w:t>
      </w:r>
      <w:r>
        <w:rPr>
          <w:sz w:val="20"/>
          <w:szCs w:val="20"/>
        </w:rPr>
        <w:t xml:space="preserve">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4">
    <w:p>
      <w:pPr>
        <w:pStyle w:val="Normal"/>
        <w:spacing w:before="0" w:after="0"/>
        <w:contextualSpacing/>
        <w:rPr/>
      </w:pPr>
      <w:r>
        <w:rPr>
          <w:rStyle w:val="FootnoteCharacters"/>
        </w:rPr>
        <w:footnoteRef/>
      </w:r>
      <w:r>
        <w:rPr>
          <w:sz w:val="20"/>
          <w:szCs w:val="20"/>
        </w:rPr>
        <w:t xml:space="preserve"> </w:t>
      </w:r>
      <w:r>
        <w:rPr>
          <w:sz w:val="20"/>
          <w:szCs w:val="20"/>
        </w:rPr>
        <w:t xml:space="preserve">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5">
    <w:p>
      <w:pPr>
        <w:pStyle w:val="Normal"/>
        <w:spacing w:before="0" w:after="0"/>
        <w:contextualSpacing/>
        <w:rPr/>
      </w:pPr>
      <w:r>
        <w:rPr>
          <w:rStyle w:val="FootnoteCharacters"/>
        </w:rPr>
        <w:footnoteRef/>
      </w:r>
      <w:r>
        <w:rPr>
          <w:sz w:val="20"/>
          <w:szCs w:val="20"/>
        </w:rPr>
        <w:t xml:space="preserve"> </w:t>
      </w:r>
      <w:r>
        <w:rPr>
          <w:sz w:val="20"/>
          <w:szCs w:val="20"/>
        </w:rPr>
        <w:t>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6">
    <w:p>
      <w:pPr>
        <w:pStyle w:val="Footnote"/>
        <w:spacing w:before="0" w:after="0"/>
        <w:contextualSpacing/>
        <w:rPr/>
      </w:pPr>
      <w:r>
        <w:rPr>
          <w:rStyle w:val="FootnoteCharacters"/>
        </w:rPr>
        <w:footnoteRef/>
      </w:r>
      <w:r>
        <w:rPr/>
        <w:t xml:space="preserve"> </w:t>
      </w:r>
      <w:r>
        <w:rPr/>
        <w:t xml:space="preserve">From my knowledge, Northoff does not use the notion of the “observer” in any of his works prior to 2010. </w:t>
      </w:r>
    </w:p>
  </w:footnote>
  <w:footnote w:id="197">
    <w:p>
      <w:pPr>
        <w:pStyle w:val="NormalWeb"/>
        <w:shd w:val="clear" w:fill="FFFFFF"/>
        <w:spacing w:before="0" w:after="0"/>
        <w:contextualSpacing/>
        <w:jc w:val="both"/>
        <w:rPr/>
      </w:pPr>
      <w:r>
        <w:rPr>
          <w:rStyle w:val="FootnoteCharacters"/>
        </w:rPr>
        <w:footnoteRef/>
      </w:r>
      <w:r>
        <w:rPr>
          <w:sz w:val="20"/>
          <w:szCs w:val="20"/>
        </w:rPr>
        <w:t xml:space="preserve"> </w:t>
      </w:r>
      <w:r>
        <w:rPr>
          <w:sz w:val="20"/>
          <w:szCs w:val="20"/>
        </w:rPr>
        <w:t>(2002) Terhesiu D., and Vacariu G. “</w:t>
      </w:r>
      <w:hyperlink r:id="rId1">
        <w:r>
          <w:rPr>
            <w:rStyle w:val="InternetLink"/>
            <w:color w:val="auto"/>
            <w:sz w:val="20"/>
            <w:szCs w:val="20"/>
            <w:u w:val="none"/>
          </w:rPr>
          <w:t>Brain, mind and the perspective of the observer</w:t>
        </w:r>
      </w:hyperlink>
      <w:r>
        <w:rPr>
          <w:sz w:val="20"/>
          <w:szCs w:val="20"/>
        </w:rPr>
        <w:t>”,</w:t>
      </w:r>
      <w:r>
        <w:rPr>
          <w:rStyle w:val="Appleconvertedspace"/>
          <w:sz w:val="20"/>
          <w:szCs w:val="20"/>
        </w:rPr>
        <w:t> </w:t>
      </w:r>
      <w:r>
        <w:rPr>
          <w:rStyle w:val="Emphasis"/>
          <w:sz w:val="20"/>
          <w:szCs w:val="20"/>
        </w:rPr>
        <w:t>Revue Roumanie de Philosophie</w:t>
      </w:r>
      <w:r>
        <w:rPr>
          <w:sz w:val="20"/>
          <w:szCs w:val="20"/>
        </w:rPr>
        <w:t>, 46, no. 1-2; (2002) Vacariu, G. and Terhesiu, D. “Brain, mind and the role of the observer”, in</w:t>
      </w:r>
      <w:r>
        <w:rPr>
          <w:rStyle w:val="Appleconvertedspace"/>
          <w:sz w:val="20"/>
          <w:szCs w:val="20"/>
        </w:rPr>
        <w:t> </w:t>
      </w:r>
      <w:r>
        <w:rPr>
          <w:rStyle w:val="Emphasis"/>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Appleconvertedspace"/>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8">
    <w:p>
      <w:pPr>
        <w:pStyle w:val="Normal"/>
        <w:spacing w:before="0" w:after="0"/>
        <w:contextualSpacing/>
        <w:rPr/>
      </w:pPr>
      <w:r>
        <w:rPr>
          <w:rStyle w:val="FootnoteCharacters"/>
        </w:rPr>
        <w:footnoteRef/>
      </w:r>
      <w:r>
        <w:rPr>
          <w:sz w:val="20"/>
          <w:szCs w:val="20"/>
        </w:rPr>
        <w:t xml:space="preserve"> </w:t>
      </w:r>
      <w:r>
        <w:rPr>
          <w:sz w:val="20"/>
          <w:szCs w:val="20"/>
        </w:rPr>
        <w:t xml:space="preserve">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9">
    <w:p>
      <w:pPr>
        <w:pStyle w:val="Normal"/>
        <w:spacing w:before="0" w:after="0"/>
        <w:contextualSpacing/>
        <w:rPr/>
      </w:pPr>
      <w:r>
        <w:rPr>
          <w:rStyle w:val="FootnoteCharacters"/>
        </w:rPr>
        <w:footnoteRef/>
      </w:r>
      <w:r>
        <w:rPr>
          <w:sz w:val="20"/>
          <w:szCs w:val="20"/>
        </w:rPr>
        <w:t xml:space="preserve"> </w:t>
      </w:r>
      <w:r>
        <w:rPr>
          <w:sz w:val="20"/>
          <w:szCs w:val="20"/>
        </w:rPr>
        <w:t>This paragraph has the following footnote: “We can recognize this myth from Plato and Kant until our day when physicists search in vain for ‘ultimate reality’ or ‘fundamental’ particles that would explain ‘everything’. (See Chapter 6)”</w:t>
      </w:r>
    </w:p>
  </w:footnote>
  <w:footnote w:id="200">
    <w:p>
      <w:pPr>
        <w:pStyle w:val="Normal"/>
        <w:spacing w:before="0" w:after="0"/>
        <w:contextualSpacing/>
        <w:rPr>
          <w:sz w:val="20"/>
          <w:szCs w:val="20"/>
        </w:rPr>
      </w:pPr>
      <w:r>
        <w:rPr>
          <w:rStyle w:val="FootnoteCharacters"/>
        </w:rPr>
        <w:footnoteRef/>
      </w:r>
      <w:r>
        <w:rPr>
          <w:sz w:val="20"/>
          <w:szCs w:val="20"/>
        </w:rPr>
        <w:t xml:space="preserve"> </w:t>
      </w:r>
      <w:r>
        <w:rPr>
          <w:sz w:val="20"/>
          <w:szCs w:val="20"/>
        </w:rPr>
        <w:t>This paragraph has the following footnote: “All representations/processes that refer to entities and phenomena that</w:t>
      </w:r>
    </w:p>
    <w:p>
      <w:pPr>
        <w:pStyle w:val="Normal"/>
        <w:spacing w:before="0" w:after="0"/>
        <w:contextualSpacing/>
        <w:rPr/>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201">
    <w:p>
      <w:pPr>
        <w:pStyle w:val="Normal"/>
        <w:spacing w:before="0" w:after="0"/>
        <w:contextualSpacing/>
        <w:rPr/>
      </w:pPr>
      <w:r>
        <w:rPr>
          <w:rStyle w:val="FootnoteCharacters"/>
        </w:rPr>
        <w:footnoteRef/>
      </w:r>
      <w:r>
        <w:rPr>
          <w:sz w:val="20"/>
          <w:szCs w:val="20"/>
        </w:rPr>
        <w:t xml:space="preserve"> </w:t>
      </w:r>
      <w:r>
        <w:rPr>
          <w:sz w:val="20"/>
          <w:szCs w:val="20"/>
        </w:rPr>
        <w:t xml:space="preserve">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2">
    <w:p>
      <w:pPr>
        <w:pStyle w:val="Normal"/>
        <w:spacing w:before="0" w:after="0"/>
        <w:contextualSpacing/>
        <w:rPr/>
      </w:pPr>
      <w:r>
        <w:rPr>
          <w:rStyle w:val="FootnoteCharacters"/>
        </w:rPr>
        <w:footnoteRef/>
      </w:r>
      <w:r>
        <w:rPr>
          <w:sz w:val="20"/>
          <w:szCs w:val="20"/>
        </w:rPr>
        <w:t xml:space="preserve"> </w:t>
      </w:r>
      <w:r>
        <w:rPr>
          <w:sz w:val="20"/>
          <w:szCs w:val="20"/>
        </w:rPr>
        <w:t>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3">
    <w:p>
      <w:pPr>
        <w:pStyle w:val="Normal"/>
        <w:spacing w:before="0" w:after="0"/>
        <w:contextualSpacing/>
        <w:rPr>
          <w:sz w:val="20"/>
          <w:szCs w:val="20"/>
        </w:rPr>
      </w:pPr>
      <w:r>
        <w:rPr>
          <w:rStyle w:val="FootnoteCharacters"/>
        </w:rPr>
        <w:footnoteRef/>
      </w:r>
      <w:r>
        <w:rPr>
          <w:sz w:val="20"/>
          <w:szCs w:val="20"/>
        </w:rPr>
        <w:t xml:space="preserve"> “</w:t>
      </w:r>
      <w:r>
        <w:rPr>
          <w:sz w:val="20"/>
          <w:szCs w:val="20"/>
        </w:rPr>
        <w:t>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pStyle w:val="Normal"/>
        <w:spacing w:before="0" w:after="0"/>
        <w:contextualSpacing/>
        <w:rPr/>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4">
    <w:p>
      <w:pPr>
        <w:pStyle w:val="Normal"/>
        <w:spacing w:before="0" w:after="0"/>
        <w:contextualSpacing/>
        <w:rPr/>
      </w:pPr>
      <w:r>
        <w:rPr>
          <w:rStyle w:val="FootnoteCharacters"/>
        </w:rPr>
        <w:footnoteRef/>
      </w:r>
      <w:r>
        <w:rPr>
          <w:sz w:val="20"/>
          <w:szCs w:val="20"/>
        </w:rPr>
        <w:t xml:space="preserve"> “</w:t>
      </w:r>
      <w:r>
        <w:rPr>
          <w:sz w:val="20"/>
          <w:szCs w:val="20"/>
        </w:rPr>
        <w:t xml:space="preserve">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5">
    <w:p>
      <w:pPr>
        <w:pStyle w:val="Normal"/>
        <w:spacing w:before="0" w:after="0"/>
        <w:contextualSpacing/>
        <w:rPr/>
      </w:pPr>
      <w:r>
        <w:rPr>
          <w:rStyle w:val="FootnoteCharacters"/>
        </w:rPr>
        <w:footnoteRef/>
      </w:r>
      <w:r>
        <w:rPr>
          <w:sz w:val="20"/>
          <w:szCs w:val="20"/>
        </w:rPr>
        <w:t xml:space="preserve"> “</w:t>
      </w:r>
      <w:r>
        <w:rPr>
          <w:sz w:val="20"/>
          <w:szCs w:val="20"/>
        </w:rPr>
        <w:t>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6">
    <w:p>
      <w:pPr>
        <w:pStyle w:val="Footnote"/>
        <w:spacing w:before="0" w:after="0"/>
        <w:contextualSpacing/>
        <w:rPr/>
      </w:pPr>
      <w:r>
        <w:rPr>
          <w:rStyle w:val="FootnoteCharacters"/>
        </w:rPr>
        <w:footnoteRef/>
      </w:r>
      <w:r>
        <w:rPr/>
        <w:t xml:space="preserve"> </w:t>
      </w:r>
      <w:r>
        <w:rPr/>
        <w:t xml:space="preserve">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7">
    <w:p>
      <w:pPr>
        <w:pStyle w:val="Normal"/>
        <w:spacing w:before="0" w:after="0"/>
        <w:contextualSpacing/>
        <w:rPr/>
      </w:pPr>
      <w:r>
        <w:rPr>
          <w:rStyle w:val="FootnoteCharacters"/>
        </w:rPr>
        <w:footnoteRef/>
      </w:r>
      <w:r>
        <w:rPr>
          <w:sz w:val="20"/>
          <w:szCs w:val="20"/>
        </w:rPr>
        <w:t xml:space="preserve"> “</w:t>
      </w:r>
      <w:r>
        <w:rPr>
          <w:sz w:val="20"/>
          <w:szCs w:val="20"/>
        </w:rPr>
        <w:t>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8">
    <w:p>
      <w:pPr>
        <w:pStyle w:val="Normal"/>
        <w:spacing w:before="0" w:after="0"/>
        <w:contextualSpacing/>
        <w:rPr/>
      </w:pPr>
      <w:r>
        <w:rPr>
          <w:rStyle w:val="FootnoteCharacters"/>
        </w:rPr>
        <w:footnoteRef/>
      </w:r>
      <w:r>
        <w:rPr>
          <w:sz w:val="20"/>
          <w:szCs w:val="20"/>
        </w:rPr>
        <w:t xml:space="preserve"> “</w:t>
      </w:r>
      <w:r>
        <w:rPr>
          <w:sz w:val="20"/>
          <w:szCs w:val="20"/>
        </w:rPr>
        <w:t>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9">
    <w:p>
      <w:pPr>
        <w:pStyle w:val="Normal"/>
        <w:spacing w:before="0" w:after="0"/>
        <w:contextualSpacing/>
        <w:rPr/>
      </w:pPr>
      <w:r>
        <w:rPr>
          <w:rStyle w:val="FootnoteCharacters"/>
        </w:rPr>
        <w:footnoteRef/>
      </w:r>
      <w:r>
        <w:rPr>
          <w:sz w:val="20"/>
          <w:szCs w:val="20"/>
        </w:rPr>
        <w:t xml:space="preserve"> “</w:t>
      </w:r>
      <w:r>
        <w:rPr>
          <w:sz w:val="20"/>
          <w:szCs w:val="20"/>
        </w:rPr>
        <w:t>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10">
    <w:p>
      <w:pPr>
        <w:pStyle w:val="Normal"/>
        <w:spacing w:before="0" w:after="0"/>
        <w:contextualSpacing/>
        <w:rPr>
          <w:sz w:val="20"/>
          <w:szCs w:val="20"/>
        </w:rPr>
      </w:pPr>
      <w:r>
        <w:rPr>
          <w:rStyle w:val="FootnoteCharacters"/>
        </w:rPr>
        <w:footnoteRef/>
      </w:r>
      <w:r>
        <w:rPr>
          <w:sz w:val="20"/>
          <w:szCs w:val="20"/>
        </w:rPr>
        <w:t xml:space="preserve"> “</w:t>
      </w:r>
      <w:r>
        <w:rPr>
          <w:sz w:val="20"/>
          <w:szCs w:val="20"/>
        </w:rPr>
        <w:t>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pStyle w:val="Normal"/>
        <w:spacing w:before="0" w:after="0"/>
        <w:contextualSpacing/>
        <w:rPr/>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11">
    <w:p>
      <w:pPr>
        <w:pStyle w:val="Normal"/>
        <w:spacing w:before="0" w:after="0"/>
        <w:contextualSpacing/>
        <w:rPr/>
      </w:pPr>
      <w:r>
        <w:rPr>
          <w:rStyle w:val="FootnoteCharacters"/>
        </w:rPr>
        <w:footnoteRef/>
      </w:r>
      <w:r>
        <w:rPr>
          <w:sz w:val="20"/>
          <w:szCs w:val="20"/>
        </w:rPr>
        <w:t xml:space="preserve"> </w:t>
      </w:r>
      <w:r>
        <w:rPr>
          <w:sz w:val="20"/>
          <w:szCs w:val="20"/>
        </w:rPr>
        <w:t>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2">
    <w:p>
      <w:pPr>
        <w:pStyle w:val="Normal"/>
        <w:spacing w:before="0" w:after="0"/>
        <w:contextualSpacing/>
        <w:rPr/>
      </w:pPr>
      <w:r>
        <w:rPr>
          <w:rStyle w:val="FootnoteCharacters"/>
        </w:rPr>
        <w:footnoteRef/>
      </w:r>
      <w:r>
        <w:rPr>
          <w:sz w:val="20"/>
          <w:szCs w:val="20"/>
        </w:rPr>
        <w:t xml:space="preserve"> </w:t>
      </w:r>
      <w:r>
        <w:rPr>
          <w:sz w:val="20"/>
          <w:szCs w:val="20"/>
        </w:rPr>
        <w:t xml:space="preserve">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3">
    <w:p>
      <w:pPr>
        <w:pStyle w:val="Footnote"/>
        <w:spacing w:before="0" w:after="0"/>
        <w:contextualSpacing/>
        <w:rPr/>
      </w:pPr>
      <w:r>
        <w:rPr>
          <w:rStyle w:val="FootnoteCharacters"/>
        </w:rPr>
        <w:footnoteRef/>
      </w:r>
      <w:r>
        <w:rPr/>
        <w:t xml:space="preserve"> </w:t>
      </w:r>
      <w:r>
        <w:rPr/>
        <w:t xml:space="preserve">For instance: “correspondence”, “relatedness” (p. 98), “rest-stimulus interaction”, etc. </w:t>
      </w:r>
    </w:p>
  </w:footnote>
  <w:footnote w:id="214">
    <w:p>
      <w:pPr>
        <w:pStyle w:val="Normal"/>
        <w:spacing w:before="0" w:after="0"/>
        <w:contextualSpacing/>
        <w:rPr/>
      </w:pPr>
      <w:r>
        <w:rPr>
          <w:rStyle w:val="FootnoteCharacters"/>
        </w:rPr>
        <w:footnoteRef/>
      </w:r>
      <w:r>
        <w:rPr>
          <w:sz w:val="20"/>
          <w:szCs w:val="20"/>
        </w:rPr>
        <w:t xml:space="preserve"> </w:t>
      </w:r>
      <w:r>
        <w:rPr>
          <w:sz w:val="20"/>
          <w:szCs w:val="20"/>
        </w:rPr>
        <w:t xml:space="preserve">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5">
    <w:p>
      <w:pPr>
        <w:pStyle w:val="Normal"/>
        <w:spacing w:before="0" w:after="0"/>
        <w:contextualSpacing/>
        <w:rPr/>
      </w:pPr>
      <w:r>
        <w:rPr>
          <w:rStyle w:val="FootnoteCharacters"/>
        </w:rPr>
        <w:footnoteRef/>
      </w:r>
      <w:r>
        <w:rPr>
          <w:sz w:val="20"/>
          <w:szCs w:val="20"/>
        </w:rPr>
        <w:t xml:space="preserve"> “</w:t>
      </w:r>
      <w:r>
        <w:rPr>
          <w:sz w:val="20"/>
          <w:szCs w:val="20"/>
        </w:rPr>
        <w:t xml:space="preserve">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6">
    <w:p>
      <w:pPr>
        <w:pStyle w:val="Footnote"/>
        <w:spacing w:before="0" w:after="0"/>
        <w:contextualSpacing/>
        <w:rPr/>
      </w:pPr>
      <w:r>
        <w:rPr>
          <w:rStyle w:val="FootnoteCharacters"/>
        </w:rPr>
        <w:footnoteRef/>
      </w:r>
      <w:r>
        <w:rPr/>
        <w:t xml:space="preserve"> </w:t>
      </w:r>
      <w:r>
        <w:rPr/>
        <w:t xml:space="preserve">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7">
    <w:p>
      <w:pPr>
        <w:pStyle w:val="Normal"/>
        <w:spacing w:before="0" w:after="0"/>
        <w:contextualSpacing/>
        <w:rPr/>
      </w:pPr>
      <w:r>
        <w:rPr>
          <w:rStyle w:val="FootnoteCharacters"/>
        </w:rPr>
        <w:footnoteRef/>
      </w:r>
      <w:r>
        <w:rPr>
          <w:sz w:val="20"/>
          <w:szCs w:val="20"/>
        </w:rPr>
        <w:t xml:space="preserve"> “</w:t>
      </w:r>
      <w:r>
        <w:rPr>
          <w:sz w:val="20"/>
          <w:szCs w:val="20"/>
        </w:rPr>
        <w:t>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8">
    <w:p>
      <w:pPr>
        <w:pStyle w:val="Normal"/>
        <w:spacing w:before="0" w:after="0"/>
        <w:contextualSpacing/>
        <w:rPr/>
      </w:pPr>
      <w:r>
        <w:rPr>
          <w:rStyle w:val="FootnoteCharacters"/>
        </w:rPr>
        <w:footnoteRef/>
      </w:r>
      <w:r>
        <w:rPr>
          <w:sz w:val="20"/>
          <w:szCs w:val="20"/>
        </w:rPr>
        <w:t xml:space="preserve"> </w:t>
      </w:r>
      <w:r>
        <w:rPr>
          <w:sz w:val="20"/>
          <w:szCs w:val="20"/>
        </w:rPr>
        <w:t xml:space="preserve">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9">
    <w:p>
      <w:pPr>
        <w:pStyle w:val="Normal"/>
        <w:spacing w:before="0" w:after="0"/>
        <w:contextualSpacing/>
        <w:rPr/>
      </w:pPr>
      <w:r>
        <w:rPr>
          <w:rStyle w:val="FootnoteCharacters"/>
        </w:rPr>
        <w:footnoteRef/>
      </w:r>
      <w:r>
        <w:rPr>
          <w:sz w:val="20"/>
          <w:szCs w:val="20"/>
        </w:rPr>
        <w:t xml:space="preserve"> </w:t>
      </w:r>
      <w:r>
        <w:rPr>
          <w:sz w:val="20"/>
          <w:szCs w:val="20"/>
        </w:rPr>
        <w:t xml:space="preserve">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20">
    <w:p>
      <w:pPr>
        <w:pStyle w:val="Normal"/>
        <w:shd w:val="clear" w:fill="FFFFFF"/>
        <w:spacing w:before="0" w:after="0"/>
        <w:contextualSpacing/>
        <w:rPr/>
      </w:pPr>
      <w:r>
        <w:rPr>
          <w:rStyle w:val="FootnoteCharacters"/>
        </w:rPr>
        <w:footnoteRef/>
      </w:r>
      <w:r>
        <w:rPr>
          <w:sz w:val="20"/>
          <w:szCs w:val="20"/>
          <w:highlight w:val="white"/>
        </w:rPr>
        <w:t xml:space="preserve"> </w:t>
      </w:r>
      <w:r>
        <w:rPr>
          <w:sz w:val="20"/>
          <w:szCs w:val="20"/>
          <w:highlight w:val="white"/>
        </w:rPr>
        <w:t xml:space="preserve">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21">
    <w:p>
      <w:pPr>
        <w:pStyle w:val="Normal"/>
        <w:spacing w:before="0" w:after="0"/>
        <w:contextualSpacing/>
        <w:rPr/>
      </w:pPr>
      <w:r>
        <w:rPr>
          <w:rStyle w:val="FootnoteCharacters"/>
        </w:rPr>
        <w:footnoteRef/>
      </w:r>
      <w:r>
        <w:rPr>
          <w:sz w:val="20"/>
          <w:szCs w:val="20"/>
        </w:rPr>
        <w:t xml:space="preserve"> “</w:t>
      </w:r>
      <w:r>
        <w:rPr>
          <w:sz w:val="20"/>
          <w:szCs w:val="20"/>
        </w:rPr>
        <w:t>I now shift from the purely neuronal context of Volume I to a more phenomenal or better neurophenomenal context here in Volume II.” (Northoff 2014, vol. II, p. xii)</w:t>
      </w:r>
    </w:p>
  </w:footnote>
  <w:footnote w:id="222">
    <w:p>
      <w:pPr>
        <w:pStyle w:val="Footnote"/>
        <w:spacing w:before="0" w:after="0"/>
        <w:contextualSpacing/>
        <w:rPr/>
      </w:pPr>
      <w:r>
        <w:rPr>
          <w:rStyle w:val="FootnoteCharacters"/>
        </w:rPr>
        <w:footnoteRef/>
      </w:r>
      <w:r>
        <w:rPr/>
        <w:t xml:space="preserve"> </w:t>
      </w:r>
      <w:r>
        <w:rPr/>
        <w:t xml:space="preserve">Northoff’s notions remind me of Markus Gabriel who used directly synonyms to my words. (See Vacariu 2014) </w:t>
      </w:r>
    </w:p>
  </w:footnote>
  <w:footnote w:id="223">
    <w:p>
      <w:pPr>
        <w:pStyle w:val="Footnote"/>
        <w:spacing w:before="0" w:after="0"/>
        <w:contextualSpacing/>
        <w:rPr/>
      </w:pPr>
      <w:r>
        <w:rPr>
          <w:rStyle w:val="FootnoteCharacters"/>
        </w:rPr>
        <w:footnoteRef/>
      </w:r>
      <w:r>
        <w:rPr/>
        <w:t xml:space="preserve"> </w:t>
      </w:r>
      <w:r>
        <w:rPr/>
        <w:t xml:space="preserve">Even if Kant developed very well this idea, space and time in consciousness or in mind is a wrong idea since space and time do not exist at all. </w:t>
      </w:r>
    </w:p>
  </w:footnote>
  <w:footnote w:id="224">
    <w:p>
      <w:pPr>
        <w:pStyle w:val="Normal"/>
        <w:spacing w:before="0" w:after="0"/>
        <w:contextualSpacing/>
        <w:rPr>
          <w:sz w:val="20"/>
          <w:szCs w:val="20"/>
        </w:rPr>
      </w:pPr>
      <w:r>
        <w:rPr>
          <w:rStyle w:val="FootnoteCharacters"/>
        </w:rPr>
        <w:footnoteRef/>
      </w:r>
      <w:r>
        <w:rPr>
          <w:sz w:val="20"/>
          <w:szCs w:val="20"/>
        </w:rPr>
        <w:t xml:space="preserve"> “‘</w:t>
      </w:r>
      <w:r>
        <w:rPr>
          <w:sz w:val="20"/>
          <w:szCs w:val="20"/>
        </w:rPr>
        <w:t>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pStyle w:val="Normal"/>
        <w:spacing w:before="0" w:after="0"/>
        <w:contextualSpacing/>
        <w:rPr/>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5">
    <w:p>
      <w:pPr>
        <w:pStyle w:val="Footnote"/>
        <w:spacing w:before="0" w:after="0"/>
        <w:contextualSpacing/>
        <w:rPr/>
      </w:pPr>
      <w:r>
        <w:rPr>
          <w:rStyle w:val="FootnoteCharacters"/>
        </w:rPr>
        <w:footnoteRef/>
      </w:r>
      <w:r>
        <w:rPr/>
        <w:t xml:space="preserve"> </w:t>
      </w:r>
      <w:r>
        <w:rPr/>
        <w:t>I mention again that I posted my first five books on the Internet immediately after being published!</w:t>
      </w:r>
    </w:p>
  </w:footnote>
  <w:footnote w:id="226">
    <w:p>
      <w:pPr>
        <w:pStyle w:val="Normal"/>
        <w:spacing w:before="0" w:after="0"/>
        <w:contextualSpacing/>
        <w:rPr/>
      </w:pPr>
      <w:r>
        <w:rPr>
          <w:rStyle w:val="FootnoteCharacters"/>
        </w:rPr>
        <w:footnoteRef/>
      </w:r>
      <w:r>
        <w:rPr>
          <w:sz w:val="20"/>
          <w:szCs w:val="20"/>
        </w:rPr>
        <w:t xml:space="preserve"> </w:t>
      </w:r>
      <w:r>
        <w:rPr>
          <w:sz w:val="20"/>
          <w:szCs w:val="20"/>
        </w:rPr>
        <w:t>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7">
    <w:p>
      <w:pPr>
        <w:pStyle w:val="Normal"/>
        <w:spacing w:before="0" w:after="0"/>
        <w:contextualSpacing/>
        <w:rPr/>
      </w:pPr>
      <w:r>
        <w:rPr>
          <w:rStyle w:val="FootnoteCharacters"/>
        </w:rPr>
        <w:footnoteRef/>
      </w:r>
      <w:r>
        <w:rPr>
          <w:sz w:val="20"/>
          <w:szCs w:val="20"/>
        </w:rPr>
        <w:t xml:space="preserve"> “</w:t>
      </w:r>
      <w:r>
        <w:rPr>
          <w:sz w:val="20"/>
          <w:szCs w:val="20"/>
        </w:rPr>
        <w:t xml:space="preserve">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8">
    <w:p>
      <w:pPr>
        <w:pStyle w:val="Footnote"/>
        <w:spacing w:before="0" w:after="0"/>
        <w:contextualSpacing/>
        <w:rPr/>
      </w:pPr>
      <w:r>
        <w:rPr>
          <w:rStyle w:val="FootnoteCharacters"/>
        </w:rPr>
        <w:footnoteRef/>
      </w:r>
      <w:r>
        <w:rPr/>
        <w:t xml:space="preserve"> </w:t>
      </w:r>
      <w:r>
        <w:rPr/>
        <w:t>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9">
    <w:p>
      <w:pPr>
        <w:pStyle w:val="Normal"/>
        <w:spacing w:before="0" w:after="0"/>
        <w:contextualSpacing/>
        <w:rPr/>
      </w:pPr>
      <w:r>
        <w:rPr>
          <w:rStyle w:val="FootnoteCharacters"/>
        </w:rPr>
        <w:footnoteRef/>
      </w:r>
      <w:r>
        <w:rPr>
          <w:sz w:val="20"/>
          <w:szCs w:val="20"/>
        </w:rPr>
        <w:t xml:space="preserve"> </w:t>
      </w:r>
      <w:r>
        <w:rPr>
          <w:sz w:val="20"/>
          <w:szCs w:val="20"/>
        </w:rPr>
        <w:t xml:space="preserve">Importantly, Northoff mentions that “I postulate that phenomenal functions precede psychological functions”. (xlii) From my viewpoint, this idea is quite wrong: there are unconscious mental states that precede conscious and phenomenal states. </w:t>
      </w:r>
    </w:p>
  </w:footnote>
  <w:footnote w:id="230">
    <w:p>
      <w:pPr>
        <w:pStyle w:val="Normal"/>
        <w:spacing w:before="0" w:after="0"/>
        <w:contextualSpacing/>
        <w:rPr/>
      </w:pPr>
      <w:r>
        <w:rPr>
          <w:rStyle w:val="FootnoteCharacters"/>
        </w:rPr>
        <w:footnoteRef/>
      </w:r>
      <w:r>
        <w:rPr>
          <w:sz w:val="20"/>
          <w:szCs w:val="20"/>
        </w:rPr>
        <w:t xml:space="preserve"> </w:t>
      </w:r>
      <w:r>
        <w:rPr>
          <w:sz w:val="20"/>
          <w:szCs w:val="20"/>
        </w:rPr>
        <w:t>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31">
    <w:p>
      <w:pPr>
        <w:pStyle w:val="Normal"/>
        <w:spacing w:before="0" w:after="0"/>
        <w:contextualSpacing/>
        <w:rPr/>
      </w:pPr>
      <w:r>
        <w:rPr>
          <w:rStyle w:val="FootnoteCharacters"/>
        </w:rPr>
        <w:footnoteRef/>
      </w:r>
      <w:r>
        <w:rPr>
          <w:sz w:val="20"/>
          <w:szCs w:val="20"/>
        </w:rPr>
        <w:t xml:space="preserve"> </w:t>
      </w:r>
      <w:r>
        <w:rPr>
          <w:sz w:val="20"/>
          <w:szCs w:val="20"/>
        </w:rPr>
        <w:t xml:space="preserve">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2">
    <w:p>
      <w:pPr>
        <w:pStyle w:val="Normal"/>
        <w:spacing w:before="0" w:after="0"/>
        <w:contextualSpacing/>
        <w:rPr/>
      </w:pPr>
      <w:r>
        <w:rPr>
          <w:rStyle w:val="FootnoteCharacters"/>
        </w:rPr>
        <w:footnoteRef/>
      </w:r>
      <w:r>
        <w:rPr>
          <w:sz w:val="20"/>
          <w:szCs w:val="20"/>
        </w:rPr>
        <w:t xml:space="preserve"> “</w:t>
      </w:r>
      <w:r>
        <w:rPr>
          <w:sz w:val="20"/>
          <w:szCs w:val="20"/>
        </w:rPr>
        <w:t xml:space="preserve">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3">
    <w:p>
      <w:pPr>
        <w:pStyle w:val="Normal"/>
        <w:spacing w:before="0" w:after="0"/>
        <w:contextualSpacing/>
        <w:rPr/>
      </w:pPr>
      <w:r>
        <w:rPr>
          <w:rStyle w:val="FootnoteCharacters"/>
        </w:rPr>
        <w:footnoteRef/>
      </w:r>
      <w:r>
        <w:rPr>
          <w:sz w:val="20"/>
          <w:szCs w:val="20"/>
        </w:rPr>
        <w:t xml:space="preserve"> </w:t>
      </w:r>
      <w:r>
        <w:rPr>
          <w:sz w:val="20"/>
          <w:szCs w:val="20"/>
        </w:rPr>
        <w:t xml:space="preserve">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4">
    <w:p>
      <w:pPr>
        <w:pStyle w:val="Normal"/>
        <w:spacing w:before="0" w:after="0"/>
        <w:contextualSpacing/>
        <w:rPr/>
      </w:pPr>
      <w:r>
        <w:rPr>
          <w:rStyle w:val="FootnoteCharacters"/>
        </w:rPr>
        <w:footnoteRef/>
      </w:r>
      <w:r>
        <w:rPr>
          <w:sz w:val="20"/>
          <w:szCs w:val="20"/>
        </w:rPr>
        <w:t xml:space="preserve"> </w:t>
      </w:r>
      <w:r>
        <w:rPr>
          <w:sz w:val="20"/>
          <w:szCs w:val="20"/>
        </w:rPr>
        <w:t xml:space="preserve">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5">
    <w:p>
      <w:pPr>
        <w:pStyle w:val="Normal"/>
        <w:spacing w:before="0" w:after="0"/>
        <w:contextualSpacing/>
        <w:rPr/>
      </w:pPr>
      <w:r>
        <w:rPr>
          <w:rStyle w:val="FootnoteCharacters"/>
        </w:rPr>
        <w:footnoteRef/>
      </w:r>
      <w:r>
        <w:rPr>
          <w:sz w:val="20"/>
          <w:szCs w:val="20"/>
        </w:rPr>
        <w:t xml:space="preserve"> “</w:t>
      </w:r>
      <w:r>
        <w:rPr>
          <w:sz w:val="20"/>
          <w:szCs w:val="20"/>
        </w:rPr>
        <w:t>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6">
    <w:p>
      <w:pPr>
        <w:pStyle w:val="Normal"/>
        <w:spacing w:before="0" w:after="0"/>
        <w:contextualSpacing/>
        <w:rPr>
          <w:sz w:val="20"/>
          <w:szCs w:val="20"/>
        </w:rPr>
      </w:pPr>
      <w:r>
        <w:rPr>
          <w:rStyle w:val="FootnoteCharacters"/>
        </w:rPr>
        <w:footnoteRef/>
      </w:r>
      <w:r>
        <w:rPr>
          <w:sz w:val="20"/>
          <w:szCs w:val="20"/>
        </w:rPr>
        <w:t xml:space="preserve"> </w:t>
      </w:r>
      <w:r>
        <w:rPr>
          <w:sz w:val="20"/>
          <w:szCs w:val="20"/>
        </w:rPr>
        <w:t>Northoff continues with the following paragraph: “The focus of this Part is to investigate the neuronal mechanisms</w:t>
      </w:r>
    </w:p>
    <w:p>
      <w:pPr>
        <w:pStyle w:val="Normal"/>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pStyle w:val="Normal"/>
        <w:spacing w:before="0" w:after="0"/>
        <w:contextualSpacing/>
        <w:rPr/>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7">
    <w:p>
      <w:pPr>
        <w:pStyle w:val="Footnote"/>
        <w:spacing w:before="0" w:after="0"/>
        <w:contextualSpacing/>
        <w:rPr/>
      </w:pPr>
      <w:r>
        <w:rPr>
          <w:rStyle w:val="FootnoteCharacters"/>
        </w:rPr>
        <w:footnoteRef/>
      </w:r>
      <w:r>
        <w:rPr/>
        <w:t xml:space="preserve"> </w:t>
      </w:r>
      <w:r>
        <w:rPr/>
        <w:t>Also, the same thing in Northoff’s idea about that qualia and consciousness are “relational”, i.e., “purely operational way”. (vol. II, p. 527)</w:t>
      </w:r>
    </w:p>
  </w:footnote>
  <w:footnote w:id="238">
    <w:p>
      <w:pPr>
        <w:pStyle w:val="Normal"/>
        <w:spacing w:before="0" w:after="0"/>
        <w:contextualSpacing/>
        <w:rPr/>
      </w:pPr>
      <w:r>
        <w:rPr>
          <w:rStyle w:val="FootnoteCharacters"/>
        </w:rPr>
        <w:footnoteRef/>
      </w:r>
      <w:r>
        <w:rPr>
          <w:sz w:val="20"/>
          <w:szCs w:val="20"/>
        </w:rPr>
        <w:t xml:space="preserve"> “</w:t>
      </w:r>
      <w:r>
        <w:rPr>
          <w:sz w:val="20"/>
          <w:szCs w:val="20"/>
        </w:rPr>
        <w:t>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9">
    <w:p>
      <w:pPr>
        <w:pStyle w:val="Normal"/>
        <w:spacing w:before="0" w:after="0"/>
        <w:contextualSpacing/>
        <w:rPr/>
      </w:pPr>
      <w:r>
        <w:rPr>
          <w:rStyle w:val="FootnoteCharacters"/>
        </w:rPr>
        <w:footnoteRef/>
      </w:r>
      <w:r>
        <w:rPr>
          <w:sz w:val="20"/>
          <w:szCs w:val="20"/>
        </w:rPr>
        <w:t xml:space="preserve"> </w:t>
      </w:r>
      <w:r>
        <w:rPr>
          <w:sz w:val="20"/>
          <w:szCs w:val="20"/>
        </w:rPr>
        <w:t>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40">
    <w:p>
      <w:pPr>
        <w:pStyle w:val="Normal"/>
        <w:spacing w:before="0" w:after="0"/>
        <w:contextualSpacing/>
        <w:rPr/>
      </w:pPr>
      <w:r>
        <w:rPr>
          <w:rStyle w:val="FootnoteCharacters"/>
        </w:rPr>
        <w:footnoteRef/>
      </w:r>
      <w:r>
        <w:rPr>
          <w:sz w:val="20"/>
          <w:szCs w:val="20"/>
        </w:rPr>
        <w:t xml:space="preserve"> </w:t>
      </w:r>
      <w:r>
        <w:rPr>
          <w:sz w:val="20"/>
          <w:szCs w:val="20"/>
        </w:rPr>
        <w:t xml:space="preserve">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41">
    <w:p>
      <w:pPr>
        <w:pStyle w:val="Normal"/>
        <w:spacing w:before="0" w:after="0"/>
        <w:contextualSpacing/>
        <w:rPr>
          <w:sz w:val="20"/>
          <w:szCs w:val="20"/>
        </w:rPr>
      </w:pPr>
      <w:r>
        <w:rPr>
          <w:rStyle w:val="FootnoteCharacters"/>
        </w:rPr>
        <w:footnoteRef/>
      </w:r>
      <w:r>
        <w:rPr>
          <w:sz w:val="20"/>
          <w:szCs w:val="20"/>
        </w:rPr>
        <w:t xml:space="preserve"> “</w:t>
      </w:r>
      <w:r>
        <w:rPr>
          <w:sz w:val="20"/>
          <w:szCs w:val="20"/>
        </w:rPr>
        <w:t>In sum, I postulate that the neuronal, that is, empirical mechanisms underlying the species-specific environment–brain unity make possible the constitution of what theoretically is described by the concept of ‘the point of view’ of</w:t>
      </w:r>
    </w:p>
    <w:p>
      <w:pPr>
        <w:pStyle w:val="Normal"/>
        <w:spacing w:before="0" w:after="0"/>
        <w:contextualSpacing/>
        <w:rPr/>
      </w:pPr>
      <w:r>
        <w:rPr>
          <w:sz w:val="20"/>
          <w:szCs w:val="20"/>
        </w:rPr>
        <w:t xml:space="preserve">a particular species and its species-specific biophysically based subjectivity.” (Northoff 2014, vol. II, p. 221) </w:t>
      </w:r>
    </w:p>
  </w:footnote>
  <w:footnote w:id="242">
    <w:p>
      <w:pPr>
        <w:pStyle w:val="Normal"/>
        <w:spacing w:before="0" w:after="0"/>
        <w:contextualSpacing/>
        <w:rPr>
          <w:sz w:val="20"/>
          <w:szCs w:val="20"/>
        </w:rPr>
      </w:pPr>
      <w:r>
        <w:rPr>
          <w:rStyle w:val="FootnoteCharacters"/>
        </w:rPr>
        <w:footnoteRef/>
      </w:r>
      <w:r>
        <w:rPr>
          <w:sz w:val="20"/>
          <w:szCs w:val="20"/>
        </w:rPr>
        <w:t xml:space="preserve"> “</w:t>
      </w:r>
      <w:r>
        <w:rPr>
          <w:sz w:val="20"/>
          <w:szCs w:val="20"/>
        </w:rPr>
        <w:t>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pStyle w:val="Normal"/>
        <w:spacing w:before="0" w:after="0"/>
        <w:contextualSpacing/>
        <w:rPr/>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3">
    <w:p>
      <w:pPr>
        <w:pStyle w:val="Normal"/>
        <w:spacing w:before="0" w:after="0"/>
        <w:contextualSpacing/>
        <w:rPr/>
      </w:pPr>
      <w:r>
        <w:rPr>
          <w:rStyle w:val="FootnoteCharacters"/>
        </w:rPr>
        <w:footnoteRef/>
      </w:r>
      <w:r>
        <w:rPr>
          <w:sz w:val="20"/>
          <w:szCs w:val="20"/>
        </w:rPr>
        <w:t xml:space="preserve"> </w:t>
      </w:r>
      <w:r>
        <w:rPr>
          <w:sz w:val="20"/>
          <w:szCs w:val="20"/>
        </w:rPr>
        <w:t>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4">
    <w:p>
      <w:pPr>
        <w:pStyle w:val="Normal"/>
        <w:spacing w:before="0" w:after="0"/>
        <w:contextualSpacing/>
        <w:rPr/>
      </w:pPr>
      <w:r>
        <w:rPr>
          <w:rStyle w:val="FootnoteCharacters"/>
        </w:rPr>
        <w:footnoteRef/>
      </w:r>
      <w:r>
        <w:rPr>
          <w:sz w:val="20"/>
          <w:szCs w:val="20"/>
        </w:rPr>
        <w:t xml:space="preserve"> </w:t>
      </w:r>
      <w:r>
        <w:rPr>
          <w:sz w:val="20"/>
          <w:szCs w:val="20"/>
        </w:rPr>
        <w:t>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5">
    <w:p>
      <w:pPr>
        <w:pStyle w:val="Normal"/>
        <w:spacing w:before="0" w:after="0"/>
        <w:contextualSpacing/>
        <w:rPr/>
      </w:pPr>
      <w:r>
        <w:rPr>
          <w:rStyle w:val="FootnoteCharacters"/>
        </w:rPr>
        <w:footnoteRef/>
      </w:r>
      <w:r>
        <w:rPr>
          <w:sz w:val="20"/>
          <w:szCs w:val="20"/>
        </w:rPr>
        <w:t xml:space="preserve"> “</w:t>
      </w:r>
      <w:r>
        <w:rPr>
          <w:sz w:val="20"/>
          <w:szCs w:val="20"/>
        </w:rPr>
        <w:t xml:space="preserve">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6">
    <w:p>
      <w:pPr>
        <w:pStyle w:val="Normal"/>
        <w:spacing w:before="0" w:after="0"/>
        <w:contextualSpacing/>
        <w:rPr/>
      </w:pPr>
      <w:r>
        <w:rPr>
          <w:rStyle w:val="FootnoteCharacters"/>
        </w:rPr>
        <w:footnoteRef/>
      </w:r>
      <w:r>
        <w:rPr>
          <w:sz w:val="20"/>
          <w:szCs w:val="20"/>
        </w:rPr>
        <w:t xml:space="preserve"> “</w:t>
      </w:r>
      <w:r>
        <w:rPr>
          <w:sz w:val="20"/>
          <w:szCs w:val="20"/>
        </w:rPr>
        <w:t xml:space="preserve">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7">
    <w:p>
      <w:pPr>
        <w:pStyle w:val="Normal"/>
        <w:spacing w:before="0" w:after="0"/>
        <w:contextualSpacing/>
        <w:rPr/>
      </w:pPr>
      <w:r>
        <w:rPr>
          <w:rStyle w:val="FootnoteCharacters"/>
        </w:rPr>
        <w:footnoteRef/>
      </w:r>
      <w:r>
        <w:rPr>
          <w:sz w:val="20"/>
          <w:szCs w:val="20"/>
        </w:rPr>
        <w:t xml:space="preserve"> </w:t>
      </w:r>
      <w:r>
        <w:rPr>
          <w:sz w:val="20"/>
          <w:szCs w:val="20"/>
        </w:rPr>
        <w:t>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8">
    <w:p>
      <w:pPr>
        <w:pStyle w:val="Normal"/>
        <w:spacing w:before="0" w:after="0"/>
        <w:contextualSpacing/>
        <w:rPr/>
      </w:pPr>
      <w:r>
        <w:rPr>
          <w:rStyle w:val="FootnoteCharacters"/>
        </w:rPr>
        <w:footnoteRef/>
      </w:r>
      <w:r>
        <w:rPr>
          <w:sz w:val="20"/>
          <w:szCs w:val="20"/>
        </w:rPr>
        <w:t xml:space="preserve"> “</w:t>
      </w:r>
      <w:r>
        <w:rPr>
          <w:sz w:val="20"/>
          <w:szCs w:val="20"/>
        </w:rPr>
        <w:t xml:space="preserve">This implies a strict distinction between phenomenal and cognitive functions of the brain.” (vol. II, p. 447) This idea can be found in Chalmers’ paper from 1995. </w:t>
      </w:r>
    </w:p>
  </w:footnote>
  <w:footnote w:id="249">
    <w:p>
      <w:pPr>
        <w:pStyle w:val="Normal"/>
        <w:spacing w:before="0" w:after="0"/>
        <w:contextualSpacing/>
        <w:rPr/>
      </w:pPr>
      <w:r>
        <w:rPr>
          <w:rStyle w:val="FootnoteCharacters"/>
        </w:rPr>
        <w:footnoteRef/>
      </w:r>
      <w:r>
        <w:rPr>
          <w:sz w:val="20"/>
          <w:szCs w:val="20"/>
        </w:rPr>
        <w:t xml:space="preserve"> “</w:t>
      </w:r>
      <w:r>
        <w:rPr>
          <w:sz w:val="20"/>
          <w:szCs w:val="20"/>
        </w:rPr>
        <w:t xml:space="preserve">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50">
    <w:p>
      <w:pPr>
        <w:pStyle w:val="Normal"/>
        <w:spacing w:before="0" w:after="0"/>
        <w:contextualSpacing/>
        <w:rPr/>
      </w:pPr>
      <w:r>
        <w:rPr>
          <w:rStyle w:val="FootnoteCharacters"/>
        </w:rPr>
        <w:footnoteRef/>
      </w:r>
      <w:r>
        <w:rPr>
          <w:sz w:val="20"/>
          <w:szCs w:val="20"/>
        </w:rPr>
        <w:t xml:space="preserve"> “</w:t>
      </w:r>
      <w:r>
        <w:rPr>
          <w:sz w:val="20"/>
          <w:szCs w:val="20"/>
        </w:rPr>
        <w:t>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51">
    <w:p>
      <w:pPr>
        <w:pStyle w:val="Normal"/>
        <w:spacing w:before="0" w:after="0"/>
        <w:contextualSpacing/>
        <w:rPr/>
      </w:pPr>
      <w:r>
        <w:rPr>
          <w:rStyle w:val="FootnoteCharacters"/>
        </w:rPr>
        <w:footnoteRef/>
      </w:r>
      <w:r>
        <w:rPr>
          <w:sz w:val="20"/>
          <w:szCs w:val="20"/>
        </w:rPr>
        <w:t xml:space="preserve"> </w:t>
      </w:r>
      <w:r>
        <w:rPr>
          <w:sz w:val="20"/>
          <w:szCs w:val="20"/>
        </w:rPr>
        <w:t xml:space="preserve">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2">
    <w:p>
      <w:pPr>
        <w:pStyle w:val="Footnote"/>
        <w:spacing w:before="0" w:after="0"/>
        <w:contextualSpacing/>
        <w:rPr/>
      </w:pPr>
      <w:r>
        <w:rPr>
          <w:rStyle w:val="FootnoteCharacters"/>
        </w:rPr>
        <w:footnoteRef/>
      </w:r>
      <w:r>
        <w:rPr/>
        <w:t xml:space="preserve"> </w:t>
      </w:r>
      <w:r>
        <w:rPr/>
        <w:t>Obviously, the notion of “stance” is from Dennett, by I do not see Dennett’s work being quoted.</w:t>
      </w:r>
    </w:p>
  </w:footnote>
  <w:footnote w:id="253">
    <w:p>
      <w:pPr>
        <w:pStyle w:val="Normal"/>
        <w:spacing w:before="0" w:after="0"/>
        <w:contextualSpacing/>
        <w:rPr>
          <w:sz w:val="20"/>
          <w:szCs w:val="20"/>
        </w:rPr>
      </w:pPr>
      <w:r>
        <w:rPr>
          <w:rStyle w:val="FootnoteCharacters"/>
        </w:rPr>
        <w:footnoteRef/>
      </w:r>
      <w:r>
        <w:rPr>
          <w:sz w:val="20"/>
          <w:szCs w:val="20"/>
        </w:rPr>
        <w:t xml:space="preserve"> “</w:t>
      </w:r>
      <w:r>
        <w:rPr>
          <w:sz w:val="20"/>
          <w:szCs w:val="20"/>
        </w:rPr>
        <w:t>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pStyle w:val="Normal"/>
        <w:spacing w:before="0" w:after="0"/>
        <w:contextualSpacing/>
        <w:rPr/>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4">
    <w:p>
      <w:pPr>
        <w:pStyle w:val="Normal"/>
        <w:spacing w:before="0" w:after="0"/>
        <w:contextualSpacing/>
        <w:rPr>
          <w:sz w:val="20"/>
          <w:szCs w:val="20"/>
        </w:rPr>
      </w:pPr>
      <w:r>
        <w:rPr>
          <w:rStyle w:val="FootnoteCharacters"/>
        </w:rPr>
        <w:footnoteRef/>
      </w:r>
      <w:r>
        <w:rPr>
          <w:sz w:val="20"/>
          <w:szCs w:val="20"/>
        </w:rPr>
        <w:t xml:space="preserve"> </w:t>
      </w:r>
      <w:r>
        <w:rPr>
          <w:sz w:val="20"/>
          <w:szCs w:val="20"/>
        </w:rPr>
        <w:t>The same observation for this paragraph: “Taking all this together, I postulate that qualia can in principle be associated with the neural processing of all regions, networks, and their respectively associated functions, including</w:t>
      </w:r>
    </w:p>
    <w:p>
      <w:pPr>
        <w:pStyle w:val="Normal"/>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pStyle w:val="Footnote"/>
        <w:spacing w:before="0" w:after="0"/>
        <w:contextualSpacing/>
        <w:rPr/>
      </w:pPr>
      <w:r>
        <w:rPr/>
        <w:t>functions, and so on.” (vol. II, p. 507) Again, “association”! In my paper from 2005 and my book 2008, with my principles (and their application in Chapter 4 for qualia), I indicate exactly the same idea, word by word!</w:t>
      </w:r>
    </w:p>
  </w:footnote>
  <w:footnote w:id="255">
    <w:p>
      <w:pPr>
        <w:pStyle w:val="Normal"/>
        <w:spacing w:before="0" w:after="0"/>
        <w:contextualSpacing/>
        <w:rPr/>
      </w:pPr>
      <w:r>
        <w:rPr>
          <w:rStyle w:val="FootnoteCharacters"/>
        </w:rPr>
        <w:footnoteRef/>
      </w:r>
      <w:r>
        <w:rPr>
          <w:sz w:val="20"/>
          <w:szCs w:val="20"/>
        </w:rPr>
        <w:t xml:space="preserve"> </w:t>
      </w:r>
      <w:r>
        <w:rPr>
          <w:sz w:val="20"/>
          <w:szCs w:val="20"/>
        </w:rPr>
        <w:t>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6">
    <w:p>
      <w:pPr>
        <w:pStyle w:val="Normal"/>
        <w:spacing w:before="0" w:after="0"/>
        <w:contextualSpacing/>
        <w:rPr/>
      </w:pPr>
      <w:r>
        <w:rPr>
          <w:rStyle w:val="FootnoteCharacters"/>
        </w:rPr>
        <w:footnoteRef/>
      </w:r>
      <w:r>
        <w:rPr>
          <w:sz w:val="20"/>
          <w:szCs w:val="20"/>
        </w:rPr>
        <w:t xml:space="preserve"> </w:t>
      </w:r>
      <w:r>
        <w:rPr>
          <w:sz w:val="20"/>
          <w:szCs w:val="20"/>
        </w:rPr>
        <w:t>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7">
    <w:p>
      <w:pPr>
        <w:pStyle w:val="Normal"/>
        <w:spacing w:before="0" w:after="0"/>
        <w:contextualSpacing/>
        <w:rPr/>
      </w:pPr>
      <w:r>
        <w:rPr>
          <w:rStyle w:val="FootnoteCharacters"/>
        </w:rPr>
        <w:footnoteRef/>
      </w:r>
      <w:r>
        <w:rPr>
          <w:sz w:val="20"/>
          <w:szCs w:val="20"/>
        </w:rPr>
        <w:t xml:space="preserve"> “</w:t>
      </w:r>
      <w:r>
        <w:rPr>
          <w:sz w:val="20"/>
          <w:szCs w:val="20"/>
        </w:rPr>
        <w:t xml:space="preserve">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8">
    <w:p>
      <w:pPr>
        <w:pStyle w:val="Normal"/>
        <w:spacing w:before="0" w:after="0"/>
        <w:contextualSpacing/>
        <w:rPr/>
      </w:pPr>
      <w:r>
        <w:rPr>
          <w:rStyle w:val="FootnoteCharacters"/>
        </w:rPr>
        <w:footnoteRef/>
      </w:r>
      <w:r>
        <w:rPr>
          <w:sz w:val="20"/>
          <w:szCs w:val="20"/>
        </w:rPr>
        <w:t xml:space="preserve"> “</w:t>
      </w:r>
      <w:r>
        <w:rPr>
          <w:sz w:val="20"/>
          <w:szCs w:val="20"/>
        </w:rPr>
        <w:t xml:space="preserve">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9">
    <w:p>
      <w:pPr>
        <w:pStyle w:val="Normal"/>
        <w:spacing w:before="0" w:after="0"/>
        <w:contextualSpacing/>
        <w:rPr/>
      </w:pPr>
      <w:r>
        <w:rPr>
          <w:rStyle w:val="FootnoteCharacters"/>
        </w:rPr>
        <w:footnoteRef/>
      </w:r>
      <w:r>
        <w:rPr>
          <w:sz w:val="20"/>
          <w:szCs w:val="20"/>
        </w:rPr>
        <w:t xml:space="preserve"> </w:t>
      </w:r>
      <w:r>
        <w:rPr>
          <w:sz w:val="20"/>
          <w:szCs w:val="20"/>
        </w:rPr>
        <w:t>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60">
    <w:p>
      <w:pPr>
        <w:pStyle w:val="Normal"/>
        <w:spacing w:before="0" w:after="0"/>
        <w:contextualSpacing/>
        <w:rPr>
          <w:sz w:val="20"/>
          <w:szCs w:val="20"/>
        </w:rPr>
      </w:pPr>
      <w:r>
        <w:rPr>
          <w:rStyle w:val="FootnoteCharacters"/>
        </w:rPr>
        <w:footnoteRef/>
      </w:r>
      <w:r>
        <w:rPr>
          <w:sz w:val="20"/>
          <w:szCs w:val="20"/>
        </w:rPr>
        <w:t xml:space="preserve"> “</w:t>
      </w:r>
      <w:r>
        <w:rPr>
          <w:sz w:val="20"/>
          <w:szCs w:val="20"/>
        </w:rPr>
        <w:t>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pStyle w:val="Normal"/>
        <w:spacing w:before="0" w:after="0"/>
        <w:contextualSpacing/>
        <w:rPr/>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61">
    <w:p>
      <w:pPr>
        <w:pStyle w:val="Footnote"/>
        <w:spacing w:before="0" w:after="0"/>
        <w:contextualSpacing/>
        <w:rPr/>
      </w:pPr>
      <w:r>
        <w:rPr>
          <w:rStyle w:val="FootnoteCharacters"/>
        </w:rPr>
        <w:footnoteRef/>
      </w:r>
      <w:r>
        <w:rPr/>
        <w:t xml:space="preserve"> </w:t>
      </w:r>
      <w:r>
        <w:rPr/>
        <w:t xml:space="preserve">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2">
    <w:p>
      <w:pPr>
        <w:pStyle w:val="Normal"/>
        <w:spacing w:before="0" w:after="0"/>
        <w:contextualSpacing/>
        <w:rPr/>
      </w:pPr>
      <w:r>
        <w:rPr>
          <w:rStyle w:val="FootnoteCharacters"/>
        </w:rPr>
        <w:footnoteRef/>
      </w:r>
      <w:r>
        <w:rPr>
          <w:sz w:val="20"/>
          <w:szCs w:val="20"/>
        </w:rPr>
        <w:t xml:space="preserve"> “</w:t>
      </w:r>
      <w:r>
        <w:rPr>
          <w:sz w:val="20"/>
          <w:szCs w:val="20"/>
        </w:rPr>
        <w:t xml:space="preserve">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3">
    <w:p>
      <w:pPr>
        <w:pStyle w:val="Normal"/>
        <w:spacing w:before="0" w:after="0"/>
        <w:contextualSpacing/>
        <w:rPr/>
      </w:pPr>
      <w:r>
        <w:rPr>
          <w:rStyle w:val="FootnoteCharacters"/>
        </w:rPr>
        <w:footnoteRef/>
      </w:r>
      <w:r>
        <w:rPr>
          <w:sz w:val="20"/>
          <w:szCs w:val="20"/>
        </w:rPr>
        <w:t xml:space="preserve"> </w:t>
      </w:r>
      <w:r>
        <w:rPr>
          <w:sz w:val="20"/>
          <w:szCs w:val="20"/>
        </w:rPr>
        <w:t>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4">
    <w:p>
      <w:pPr>
        <w:pStyle w:val="Footnote"/>
        <w:spacing w:before="0" w:after="0"/>
        <w:contextualSpacing/>
        <w:rPr/>
      </w:pPr>
      <w:r>
        <w:rPr>
          <w:rStyle w:val="FootnoteCharacters"/>
        </w:rPr>
        <w:footnoteRef/>
      </w:r>
      <w:r>
        <w:rPr/>
        <w:t xml:space="preserve"> </w:t>
      </w:r>
      <w:r>
        <w:rPr/>
        <w:t>I wrote this chapter in 2015.</w:t>
      </w:r>
    </w:p>
  </w:footnote>
  <w:footnote w:id="265">
    <w:p>
      <w:pPr>
        <w:pStyle w:val="Normal"/>
        <w:spacing w:before="0" w:after="0"/>
        <w:contextualSpacing/>
        <w:rPr/>
      </w:pPr>
      <w:r>
        <w:rPr>
          <w:rStyle w:val="FootnoteCharacters"/>
        </w:rPr>
        <w:footnoteRef/>
      </w:r>
      <w:r>
        <w:rPr>
          <w:sz w:val="20"/>
          <w:szCs w:val="20"/>
        </w:rPr>
        <w:t xml:space="preserve"> “</w:t>
      </w:r>
      <w:r>
        <w:rPr>
          <w:sz w:val="20"/>
          <w:szCs w:val="20"/>
        </w:rPr>
        <w:t xml:space="preserve">We call these processes ‘self-specifying’ because they implement a functional self/non-self distinction that implicitly specifies the self as subject and agent [6,16].” (Christoff et al. 2014, p. 105) </w:t>
      </w:r>
    </w:p>
  </w:footnote>
  <w:footnote w:id="266">
    <w:p>
      <w:pPr>
        <w:pStyle w:val="Footnote"/>
        <w:spacing w:before="0" w:after="0"/>
        <w:contextualSpacing/>
        <w:rPr/>
      </w:pPr>
      <w:r>
        <w:rPr>
          <w:rStyle w:val="FootnoteCharacters"/>
        </w:rPr>
        <w:footnoteRef/>
      </w:r>
      <w:r>
        <w:rPr/>
        <w:t xml:space="preserve"> </w:t>
      </w:r>
      <w:r>
        <w:rPr/>
        <w:t xml:space="preserve">It reminds me the famous case of amputee arm presented by Ramachandran (1998). (See my book 2008) That case is a clear example of the mental motor states that would correspond to the physical states. </w:t>
      </w:r>
    </w:p>
  </w:footnote>
  <w:footnote w:id="267">
    <w:p>
      <w:pPr>
        <w:pStyle w:val="Footnote"/>
        <w:spacing w:before="0" w:after="0"/>
        <w:contextualSpacing/>
        <w:rPr/>
      </w:pPr>
      <w:r>
        <w:rPr>
          <w:rStyle w:val="FootnoteCharacters"/>
        </w:rPr>
        <w:footnoteRef/>
      </w:r>
      <w:r>
        <w:rPr/>
        <w:t xml:space="preserve"> </w:t>
      </w:r>
      <w:r>
        <w:rPr/>
        <w:t>At [25], it is quoted Wolpert et al. 1995’s work.</w:t>
      </w:r>
    </w:p>
  </w:footnote>
  <w:footnote w:id="268">
    <w:p>
      <w:pPr>
        <w:pStyle w:val="Normal"/>
        <w:spacing w:before="0" w:after="0"/>
        <w:contextualSpacing/>
        <w:rPr/>
      </w:pPr>
      <w:r>
        <w:rPr>
          <w:rStyle w:val="FootnoteCharacters"/>
        </w:rPr>
        <w:footnoteRef/>
      </w:r>
      <w:r>
        <w:rPr>
          <w:sz w:val="20"/>
          <w:szCs w:val="20"/>
        </w:rPr>
        <w:t xml:space="preserve"> “</w:t>
      </w:r>
      <w:r>
        <w:rPr>
          <w:sz w:val="20"/>
          <w:szCs w:val="20"/>
        </w:rPr>
        <w:t>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9">
    <w:p>
      <w:pPr>
        <w:pStyle w:val="Normal"/>
        <w:spacing w:before="0" w:after="0"/>
        <w:contextualSpacing/>
        <w:rPr/>
      </w:pPr>
      <w:r>
        <w:rPr>
          <w:rStyle w:val="FootnoteCharacters"/>
        </w:rPr>
        <w:footnoteRef/>
      </w:r>
      <w:r>
        <w:rPr>
          <w:sz w:val="20"/>
          <w:szCs w:val="20"/>
        </w:rPr>
        <w:t xml:space="preserve"> “</w:t>
      </w:r>
      <w:r>
        <w:rPr>
          <w:sz w:val="20"/>
          <w:szCs w:val="20"/>
        </w:rPr>
        <w:t>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70">
    <w:p>
      <w:pPr>
        <w:pStyle w:val="Footnote"/>
        <w:spacing w:before="0" w:after="0"/>
        <w:contextualSpacing/>
        <w:rPr/>
      </w:pPr>
      <w:r>
        <w:rPr>
          <w:rStyle w:val="FootnoteCharacters"/>
        </w:rPr>
        <w:footnoteRef/>
      </w:r>
      <w:r>
        <w:rPr/>
        <w:t xml:space="preserve"> </w:t>
      </w:r>
      <w:r>
        <w:rPr/>
        <w:t>I wrote this chapter in July 2016.</w:t>
      </w:r>
    </w:p>
  </w:footnote>
  <w:footnote w:id="271">
    <w:p>
      <w:pPr>
        <w:pStyle w:val="Footnote"/>
        <w:spacing w:before="0" w:after="0"/>
        <w:contextualSpacing/>
        <w:rPr/>
      </w:pPr>
      <w:r>
        <w:rPr>
          <w:rStyle w:val="FootnoteCharacters"/>
        </w:rPr>
        <w:footnoteRef/>
      </w:r>
      <w:r>
        <w:rPr/>
        <w:t xml:space="preserve"> </w:t>
      </w:r>
      <w:r>
        <w:rPr/>
        <w:t xml:space="preserve">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2">
    <w:p>
      <w:pPr>
        <w:pStyle w:val="Footnote"/>
        <w:spacing w:before="0" w:after="0"/>
        <w:contextualSpacing/>
        <w:rPr/>
      </w:pPr>
      <w:r>
        <w:rPr>
          <w:rStyle w:val="FootnoteCharacters"/>
        </w:rPr>
        <w:footnoteRef/>
      </w:r>
      <w:r>
        <w:rPr/>
        <w:t xml:space="preserve"> </w:t>
      </w:r>
      <w:r>
        <w:rPr/>
        <w:t>Obviously, I exaggerated with this conclusion. Against this conclusion, at page 68, David Ludwig mentions, for instance, Howard Gardner’s book from 1985 and Waterhouse’s work from 2006!</w:t>
      </w:r>
    </w:p>
  </w:footnote>
  <w:footnote w:id="273">
    <w:p>
      <w:pPr>
        <w:pStyle w:val="Footnote"/>
        <w:spacing w:before="0" w:after="0"/>
        <w:contextualSpacing/>
        <w:rPr/>
      </w:pPr>
      <w:r>
        <w:rPr>
          <w:rStyle w:val="FootnoteCharacters"/>
        </w:rPr>
        <w:footnoteRef/>
      </w:r>
      <w:r>
        <w:rPr/>
        <w:t xml:space="preserve"> </w:t>
      </w:r>
      <w:r>
        <w:rPr/>
        <w:t xml:space="preserve">I mention that I noticed David Ludwig mentioned many authors without writing anything about the ideas that are in those papers! Just a remark… </w:t>
      </w:r>
    </w:p>
  </w:footnote>
  <w:footnote w:id="274">
    <w:p>
      <w:pPr>
        <w:pStyle w:val="Normal"/>
        <w:spacing w:before="0" w:after="0"/>
        <w:contextualSpacing/>
        <w:rPr/>
      </w:pPr>
      <w:r>
        <w:rPr>
          <w:rStyle w:val="FootnoteCharacters"/>
        </w:rPr>
        <w:footnoteRef/>
      </w:r>
      <w:r>
        <w:rPr>
          <w:sz w:val="20"/>
          <w:szCs w:val="20"/>
        </w:rPr>
        <w:t xml:space="preserve"> </w:t>
      </w:r>
      <w:r>
        <w:rPr>
          <w:sz w:val="20"/>
          <w:szCs w:val="20"/>
        </w:rPr>
        <w:t>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5">
    <w:p>
      <w:pPr>
        <w:pStyle w:val="Normal"/>
        <w:spacing w:before="0" w:after="0"/>
        <w:contextualSpacing/>
        <w:rPr/>
      </w:pPr>
      <w:r>
        <w:rPr>
          <w:rStyle w:val="FootnoteCharacters"/>
        </w:rPr>
        <w:footnoteRef/>
      </w:r>
      <w:r>
        <w:rPr>
          <w:sz w:val="20"/>
          <w:szCs w:val="20"/>
        </w:rPr>
        <w:t xml:space="preserve"> “</w:t>
      </w:r>
      <w:r>
        <w:rPr>
          <w:sz w:val="20"/>
          <w:szCs w:val="20"/>
        </w:rPr>
        <w:t>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6">
    <w:p>
      <w:pPr>
        <w:pStyle w:val="Normal"/>
        <w:spacing w:before="0" w:after="0"/>
        <w:contextualSpacing/>
        <w:rPr>
          <w:sz w:val="20"/>
          <w:szCs w:val="20"/>
        </w:rPr>
      </w:pPr>
      <w:r>
        <w:rPr>
          <w:rStyle w:val="FootnoteCharacters"/>
        </w:rPr>
        <w:footnoteRef/>
      </w:r>
      <w:r>
        <w:rPr>
          <w:sz w:val="20"/>
          <w:szCs w:val="20"/>
        </w:rPr>
        <w:t xml:space="preserve"> </w:t>
      </w:r>
      <w:r>
        <w:rPr>
          <w:sz w:val="20"/>
          <w:szCs w:val="20"/>
        </w:rPr>
        <w:t>Few lines later, David Ludwig writes that “Our accounts of the world could be partly unified and partly disunified</w:t>
      </w:r>
    </w:p>
    <w:p>
      <w:pPr>
        <w:pStyle w:val="Normal"/>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pStyle w:val="Footnote"/>
        <w:spacing w:before="0" w:after="0"/>
        <w:contextualSpacing/>
        <w:rPr/>
      </w:pPr>
      <w:r>
        <w:rPr/>
      </w:r>
    </w:p>
  </w:footnote>
  <w:footnote w:id="277">
    <w:p>
      <w:pPr>
        <w:pStyle w:val="Normal"/>
        <w:spacing w:before="0" w:after="0"/>
        <w:contextualSpacing/>
        <w:rPr/>
      </w:pPr>
      <w:r>
        <w:rPr>
          <w:rStyle w:val="FootnoteCharacters"/>
        </w:rPr>
        <w:footnoteRef/>
      </w:r>
      <w:r>
        <w:rPr>
          <w:sz w:val="20"/>
          <w:szCs w:val="20"/>
        </w:rPr>
        <w:t xml:space="preserve"> </w:t>
      </w:r>
      <w:r>
        <w:rPr>
          <w:rFonts w:cs="AdvOT1ef757c0" w:ascii="AdvOT1ef757c0" w:hAnsi="AdvOT1ef757c0"/>
          <w:sz w:val="20"/>
          <w:szCs w:val="20"/>
        </w:rPr>
        <w:t>“</w:t>
      </w:r>
      <w:r>
        <w:rPr>
          <w:rFonts w:cs="AdvOT1ef757c0" w:ascii="AdvOT1ef757c0" w:hAnsi="AdvOT1ef757c0"/>
          <w:sz w:val="20"/>
          <w:szCs w:val="20"/>
        </w:rPr>
        <w:t xml:space="preserve">Recursion (accepting for the simplifying concept of temporal </w:t>
      </w:r>
      <w:r>
        <w:rPr>
          <w:rFonts w:cs="AdvOT1ef757c0+fb" w:ascii="AdvOT1ef757c0+fb" w:hAnsi="AdvOT1ef757c0+fb"/>
          <w:sz w:val="20"/>
          <w:szCs w:val="20"/>
        </w:rPr>
        <w:t>fl</w:t>
      </w:r>
      <w:r>
        <w:rPr>
          <w:rFonts w:cs="AdvOT1ef757c0" w:ascii="AdvOT1ef757c0" w:hAnsi="AdvOT1ef757c0"/>
          <w:sz w:val="20"/>
          <w:szCs w:val="20"/>
        </w:rPr>
        <w:t xml:space="preserve">ow) can be thought of as </w:t>
      </w:r>
      <w:r>
        <w:rPr>
          <w:rFonts w:cs="AdvOT1ef757c0+20" w:ascii="AdvOT1ef757c0+20" w:hAnsi="AdvOT1ef757c0+20"/>
          <w:sz w:val="20"/>
          <w:szCs w:val="20"/>
        </w:rPr>
        <w:t>‘</w:t>
      </w:r>
      <w:r>
        <w:rPr>
          <w:rFonts w:cs="AdvOT1ef757c0" w:ascii="AdvOT1ef757c0" w:hAnsi="AdvOT1ef757c0"/>
          <w:sz w:val="20"/>
          <w:szCs w:val="20"/>
        </w:rPr>
        <w:t>deriving</w:t>
      </w:r>
      <w:r>
        <w:rPr>
          <w:rFonts w:cs="AdvOT1ef757c0+20" w:ascii="AdvOT1ef757c0+20" w:hAnsi="AdvOT1ef757c0+20"/>
          <w:sz w:val="20"/>
          <w:szCs w:val="20"/>
        </w:rPr>
        <w:t xml:space="preserve">’ </w:t>
      </w:r>
      <w:r>
        <w:rPr>
          <w:rFonts w:cs="AdvOT1ef757c0" w:ascii="AdvOT1ef757c0" w:hAnsi="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8">
    <w:p>
      <w:pPr>
        <w:pStyle w:val="Footnote"/>
        <w:spacing w:before="0" w:after="0"/>
        <w:contextualSpacing/>
        <w:rPr/>
      </w:pPr>
      <w:r>
        <w:rPr>
          <w:rStyle w:val="FootnoteCharacters"/>
        </w:rPr>
        <w:footnoteRef/>
      </w:r>
      <w:r>
        <w:rPr/>
        <w:t xml:space="preserve"> </w:t>
      </w:r>
      <w:r>
        <w:rPr/>
        <w:t xml:space="preserve">The authors claim that some of their ideas were elaborated earlier (2013, or later!). </w:t>
      </w:r>
    </w:p>
  </w:footnote>
  <w:footnote w:id="279">
    <w:p>
      <w:pPr>
        <w:pStyle w:val="Footnote"/>
        <w:spacing w:before="0" w:after="0"/>
        <w:contextualSpacing/>
        <w:rPr/>
      </w:pPr>
      <w:r>
        <w:rPr>
          <w:rStyle w:val="FootnoteCharacters"/>
        </w:rPr>
        <w:footnoteRef/>
      </w:r>
      <w:r>
        <w:rPr/>
        <w:t xml:space="preserve"> </w:t>
      </w:r>
      <w:r>
        <w:rPr/>
        <w:t xml:space="preserve">In the same volume (or philpapers), the reader can find Chalmers’ paper on the same topic… Amazing, David Bourget is (or was) ‘director’ (something similar) to the site of articles/books </w:t>
      </w:r>
      <w:r>
        <w:rPr>
          <w:b/>
        </w:rPr>
        <w:t>philpapers.org</w:t>
      </w:r>
      <w:r>
        <w:rPr/>
        <w:t>. Since I posted this paper on their site, my webpage from philpaper.org hahave had GREAT PROBLEMS!!!!! Coincidence? I leave the reader to draw the conclusion….</w:t>
      </w:r>
    </w:p>
  </w:footnote>
  <w:footnote w:id="280">
    <w:p>
      <w:pPr>
        <w:pStyle w:val="Normal"/>
        <w:spacing w:before="0" w:after="0"/>
        <w:contextualSpacing/>
        <w:jc w:val="left"/>
        <w:rPr/>
      </w:pPr>
      <w:r>
        <w:rPr>
          <w:rStyle w:val="FootnoteCharacters"/>
        </w:rPr>
        <w:footnoteRef/>
      </w:r>
      <w:r>
        <w:rPr>
          <w:sz w:val="20"/>
          <w:szCs w:val="20"/>
        </w:rPr>
        <w:t xml:space="preserve"> </w:t>
      </w:r>
      <w:r>
        <w:rPr>
          <w:sz w:val="20"/>
          <w:szCs w:val="20"/>
        </w:rPr>
        <w:t>This paper will appear in The Routledge Handbook of Panpsychism edited by William Seager (expected 2018).  I found it on philpapers.</w:t>
      </w:r>
    </w:p>
  </w:footnote>
  <w:footnote w:id="281">
    <w:p>
      <w:pPr>
        <w:pStyle w:val="Normal"/>
        <w:spacing w:before="0" w:after="0"/>
        <w:contextualSpacing/>
        <w:rPr/>
      </w:pPr>
      <w:r>
        <w:rPr>
          <w:rStyle w:val="FootnoteCharacters"/>
        </w:rPr>
        <w:footnoteRef/>
      </w:r>
      <w:r>
        <w:rPr>
          <w:sz w:val="20"/>
          <w:szCs w:val="20"/>
        </w:rPr>
        <w:t xml:space="preserve"> </w:t>
      </w:r>
      <w:r>
        <w:rPr>
          <w:sz w:val="20"/>
          <w:szCs w:val="20"/>
        </w:rPr>
        <w:t xml:space="preserve">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2">
    <w:p>
      <w:pPr>
        <w:pStyle w:val="Normal"/>
        <w:spacing w:before="0" w:after="0"/>
        <w:contextualSpacing/>
        <w:rPr/>
      </w:pPr>
      <w:r>
        <w:rPr>
          <w:rStyle w:val="FootnoteCharacters"/>
        </w:rPr>
        <w:footnoteRef/>
      </w:r>
      <w:r>
        <w:rPr>
          <w:sz w:val="20"/>
          <w:szCs w:val="20"/>
        </w:rPr>
        <w:t xml:space="preserve"> “</w:t>
      </w:r>
      <w:r>
        <w:rPr>
          <w:sz w:val="20"/>
          <w:szCs w:val="20"/>
        </w:rPr>
        <w:t xml:space="preserve">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3">
    <w:p>
      <w:pPr>
        <w:pStyle w:val="Footnote"/>
        <w:spacing w:before="0" w:after="0"/>
        <w:contextualSpacing/>
        <w:rPr/>
      </w:pPr>
      <w:r>
        <w:rPr>
          <w:rStyle w:val="FootnoteCharacters"/>
        </w:rPr>
        <w:footnoteRef/>
      </w:r>
      <w:r>
        <w:rPr/>
        <w:t xml:space="preserve"> </w:t>
      </w:r>
      <w:r>
        <w:rPr/>
        <w:t>I wrote this chapter in 2015.</w:t>
      </w:r>
    </w:p>
  </w:footnote>
  <w:footnote w:id="284">
    <w:p>
      <w:pPr>
        <w:pStyle w:val="Footnote"/>
        <w:spacing w:before="0" w:after="0"/>
        <w:contextualSpacing/>
        <w:rPr/>
      </w:pPr>
      <w:r>
        <w:rPr>
          <w:rStyle w:val="FootnoteCharacters"/>
        </w:rPr>
        <w:footnoteRef/>
      </w:r>
      <w:r>
        <w:rPr/>
        <w:t xml:space="preserve"> </w:t>
      </w:r>
      <w:r>
        <w:rPr/>
        <w:t>I draw the attention that a professor from USA quoted my book 2014 in his book 2015!</w:t>
      </w:r>
    </w:p>
  </w:footnote>
  <w:footnote w:id="285">
    <w:p>
      <w:pPr>
        <w:pStyle w:val="Normal"/>
        <w:spacing w:before="0" w:after="0"/>
        <w:contextualSpacing/>
        <w:rPr/>
      </w:pPr>
      <w:r>
        <w:rPr>
          <w:rStyle w:val="FootnoteCharacters"/>
        </w:rPr>
        <w:footnoteRef/>
      </w:r>
      <w:r>
        <w:rPr>
          <w:sz w:val="20"/>
          <w:szCs w:val="20"/>
        </w:rPr>
        <w:t xml:space="preserve"> </w:t>
      </w:r>
      <w:r>
        <w:rPr>
          <w:sz w:val="20"/>
          <w:szCs w:val="20"/>
        </w:rPr>
        <w:t>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Watchpagelink"/>
          <w:sz w:val="20"/>
          <w:szCs w:val="20"/>
        </w:rPr>
        <w:t xml:space="preserve">Also, I present the main ideas of my EDWs perspective in a movie (two parts) on YouTube. All my YouTube videos are at </w:t>
      </w:r>
      <w:hyperlink r:id="rId2">
        <w:r>
          <w:rPr>
            <w:rStyle w:val="InternetLink"/>
            <w:sz w:val="20"/>
            <w:szCs w:val="20"/>
          </w:rPr>
          <w:t>http://www.youtube.com/channel/UC_3I96MSwXpUjm2x6f6SaUA</w:t>
        </w:r>
      </w:hyperlink>
      <w:r>
        <w:rPr>
          <w:sz w:val="20"/>
          <w:szCs w:val="20"/>
        </w:rPr>
        <w:t xml:space="preserve">. </w:t>
      </w:r>
    </w:p>
  </w:footnote>
  <w:footnote w:id="286">
    <w:p>
      <w:pPr>
        <w:pStyle w:val="Footnote"/>
        <w:spacing w:before="0" w:after="0"/>
        <w:contextualSpacing/>
        <w:rPr/>
      </w:pPr>
      <w:r>
        <w:rPr>
          <w:rStyle w:val="FootnoteCharacters"/>
        </w:rPr>
        <w:footnoteRef/>
      </w:r>
      <w:r>
        <w:rPr/>
        <w:t xml:space="preserve"> </w:t>
      </w:r>
      <w:r>
        <w:rPr/>
        <w:t xml:space="preserve">I would like to thank you very much to my colleague and friend Gheorghe Stefanov who informed me about this TED clip. </w:t>
      </w:r>
    </w:p>
  </w:footnote>
  <w:footnote w:id="287">
    <w:p>
      <w:pPr>
        <w:pStyle w:val="Footnote"/>
        <w:spacing w:before="0" w:after="0"/>
        <w:contextualSpacing/>
        <w:rPr/>
      </w:pPr>
      <w:r>
        <w:rPr>
          <w:rStyle w:val="FootnoteCharacters"/>
        </w:rPr>
        <w:footnoteRef/>
      </w:r>
      <w:r>
        <w:rPr/>
        <w:t xml:space="preserve"> </w:t>
      </w:r>
      <w:r>
        <w:rPr/>
        <w:t xml:space="preserve">I indicate the reader to compare the </w:t>
      </w:r>
      <w:r>
        <w:rPr>
          <w:b/>
        </w:rPr>
        <w:t>bolded</w:t>
      </w:r>
      <w:r>
        <w:rPr/>
        <w:t xml:space="preserve"> notions from my paragraphs with </w:t>
      </w:r>
      <w:r>
        <w:rPr>
          <w:i/>
        </w:rPr>
        <w:t>italic</w:t>
      </w:r>
      <w:r>
        <w:rPr/>
        <w:t xml:space="preserve"> notions from Markus Gabriel’s paragraphs.</w:t>
      </w:r>
    </w:p>
  </w:footnote>
  <w:footnote w:id="288">
    <w:p>
      <w:pPr>
        <w:pStyle w:val="Footnote"/>
        <w:spacing w:before="0" w:after="0"/>
        <w:contextualSpacing/>
        <w:rPr/>
      </w:pPr>
      <w:r>
        <w:rPr>
          <w:rStyle w:val="FootnoteCharacters"/>
        </w:rPr>
        <w:footnoteRef/>
      </w:r>
      <w:r>
        <w:rPr/>
        <w:t xml:space="preserve"> </w:t>
      </w:r>
      <w:r>
        <w:rPr/>
        <w:t>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9">
    <w:p>
      <w:pPr>
        <w:pStyle w:val="Footnote"/>
        <w:spacing w:before="0" w:after="0"/>
        <w:contextualSpacing/>
        <w:rPr/>
      </w:pPr>
      <w:r>
        <w:rPr>
          <w:rStyle w:val="FootnoteCharacters"/>
        </w:rPr>
        <w:footnoteRef/>
      </w:r>
      <w:r>
        <w:rPr/>
        <w:t xml:space="preserve"> </w:t>
      </w:r>
      <w:r>
        <w:rPr/>
        <w:t>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90">
    <w:p>
      <w:pPr>
        <w:pStyle w:val="Footnote"/>
        <w:spacing w:before="0" w:after="0"/>
        <w:contextualSpacing/>
        <w:rPr/>
      </w:pPr>
      <w:r>
        <w:rPr>
          <w:rStyle w:val="FootnoteCharacters"/>
        </w:rPr>
        <w:footnoteRef/>
      </w:r>
      <w:r>
        <w:rPr/>
        <w:t xml:space="preserve"> </w:t>
      </w:r>
      <w:r>
        <w:rPr/>
        <w:t>In his TED clip, Markus Gabriel just mentions this expression without clearly explaining it. It is clear that he wants to refer to the real existence of objects and not to Carnap’s linguistic frameworks.</w:t>
      </w:r>
    </w:p>
  </w:footnote>
  <w:footnote w:id="291">
    <w:p>
      <w:pPr>
        <w:pStyle w:val="Normal"/>
        <w:shd w:val="clear" w:fill="FFFFFF"/>
        <w:spacing w:before="0" w:after="0"/>
        <w:contextualSpacing/>
        <w:rPr/>
      </w:pPr>
      <w:r>
        <w:rPr>
          <w:rStyle w:val="FootnoteCharacters"/>
        </w:rPr>
        <w:footnoteRef/>
      </w:r>
      <w:r>
        <w:rPr>
          <w:sz w:val="20"/>
          <w:szCs w:val="20"/>
        </w:rPr>
        <w:t xml:space="preserve"> </w:t>
      </w:r>
      <w:r>
        <w:rPr>
          <w:sz w:val="20"/>
          <w:szCs w:val="20"/>
        </w:rPr>
        <w:t xml:space="preserve">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2">
    <w:p>
      <w:pPr>
        <w:pStyle w:val="Normal"/>
        <w:spacing w:before="0" w:after="0"/>
        <w:contextualSpacing/>
        <w:rPr/>
      </w:pPr>
      <w:r>
        <w:rPr>
          <w:rStyle w:val="FootnoteCharacters"/>
        </w:rPr>
        <w:footnoteRef/>
      </w:r>
      <w:r>
        <w:rPr>
          <w:sz w:val="20"/>
          <w:szCs w:val="20"/>
        </w:rPr>
        <w:t xml:space="preserve"> </w:t>
      </w:r>
      <w:r>
        <w:rPr>
          <w:rStyle w:val="InternetLink"/>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3">
    <w:p>
      <w:pPr>
        <w:pStyle w:val="NormalWeb"/>
        <w:shd w:val="clear" w:fill="FFFFFF"/>
        <w:spacing w:before="0" w:after="0"/>
        <w:contextualSpacing/>
        <w:jc w:val="both"/>
        <w:rPr/>
      </w:pPr>
      <w:r>
        <w:rPr>
          <w:rStyle w:val="FootnoteCharacters"/>
        </w:rPr>
        <w:footnoteRef/>
      </w:r>
      <w:r>
        <w:rPr>
          <w:sz w:val="20"/>
          <w:szCs w:val="20"/>
        </w:rPr>
        <w:t xml:space="preserve"> </w:t>
      </w:r>
      <w:r>
        <w:rPr>
          <w:sz w:val="20"/>
          <w:szCs w:val="20"/>
        </w:rPr>
        <w:t>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4">
    <w:p>
      <w:pPr>
        <w:pStyle w:val="Footnote"/>
        <w:spacing w:before="0" w:after="0"/>
        <w:contextualSpacing/>
        <w:rPr/>
      </w:pPr>
      <w:r>
        <w:rPr>
          <w:rStyle w:val="FootnoteCharacters"/>
        </w:rPr>
        <w:footnoteRef/>
      </w:r>
      <w:r>
        <w:rPr/>
        <w:t xml:space="preserve"> </w:t>
      </w:r>
      <w:r>
        <w:rPr/>
        <w:t>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5">
    <w:p>
      <w:pPr>
        <w:pStyle w:val="Normal"/>
        <w:spacing w:before="0" w:after="0"/>
        <w:contextualSpacing/>
        <w:rPr/>
      </w:pPr>
      <w:r>
        <w:rPr>
          <w:rStyle w:val="FootnoteCharacters"/>
        </w:rPr>
        <w:footnoteRef/>
      </w:r>
      <w:r>
        <w:rPr>
          <w:sz w:val="20"/>
          <w:szCs w:val="20"/>
        </w:rPr>
        <w:t xml:space="preserve"> </w:t>
      </w:r>
      <w:r>
        <w:rPr>
          <w:sz w:val="20"/>
          <w:szCs w:val="20"/>
        </w:rPr>
        <w:t xml:space="preserve">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6">
    <w:p>
      <w:pPr>
        <w:pStyle w:val="Footnote"/>
        <w:spacing w:before="0" w:after="0"/>
        <w:contextualSpacing/>
        <w:rPr/>
      </w:pPr>
      <w:r>
        <w:rPr>
          <w:rStyle w:val="FootnoteCharacters"/>
        </w:rPr>
        <w:footnoteRef/>
      </w:r>
      <w:r>
        <w:rPr/>
        <w:t xml:space="preserve"> </w:t>
      </w:r>
      <w:r>
        <w:rPr/>
        <w:t>Essential: when mg mentions an author firs time, the name is followed by the year of born! (instead of the year of published work)!</w:t>
      </w:r>
    </w:p>
  </w:footnote>
  <w:footnote w:id="297">
    <w:p>
      <w:pPr>
        <w:pStyle w:val="Normal"/>
        <w:spacing w:before="0" w:after="0"/>
        <w:contextualSpacing/>
        <w:rPr/>
      </w:pPr>
      <w:r>
        <w:rPr>
          <w:rStyle w:val="FootnoteCharacters"/>
        </w:rPr>
        <w:footnoteRef/>
      </w:r>
      <w:r>
        <w:rPr>
          <w:sz w:val="20"/>
          <w:szCs w:val="20"/>
        </w:rPr>
        <w:t xml:space="preserve"> </w:t>
      </w:r>
      <w:r>
        <w:rPr>
          <w:sz w:val="20"/>
          <w:szCs w:val="20"/>
        </w:rPr>
        <w:t>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8">
    <w:p>
      <w:pPr>
        <w:pStyle w:val="Normal"/>
        <w:spacing w:before="0" w:after="0"/>
        <w:contextualSpacing/>
        <w:rPr/>
      </w:pPr>
      <w:r>
        <w:rPr>
          <w:rStyle w:val="FootnoteCharacters"/>
        </w:rPr>
        <w:footnoteRef/>
      </w:r>
      <w:r>
        <w:rPr>
          <w:sz w:val="20"/>
          <w:szCs w:val="20"/>
        </w:rPr>
        <w:t xml:space="preserve"> “</w:t>
      </w:r>
      <w:r>
        <w:rPr>
          <w:rFonts w:cs="Georgia" w:ascii="Georgia" w:hAnsi="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9">
    <w:p>
      <w:pPr>
        <w:pStyle w:val="Footnote"/>
        <w:spacing w:before="0" w:after="0"/>
        <w:contextualSpacing/>
        <w:rPr/>
      </w:pPr>
      <w:r>
        <w:rPr>
          <w:rStyle w:val="FootnoteCharacters"/>
        </w:rPr>
        <w:footnoteRef/>
      </w:r>
      <w:r>
        <w:rPr/>
        <w:t xml:space="preserve"> </w:t>
      </w:r>
      <w:r>
        <w:rPr/>
        <w:t>I wrote this chapter in 2016.</w:t>
      </w:r>
    </w:p>
  </w:footnote>
  <w:footnote w:id="300">
    <w:p>
      <w:pPr>
        <w:pStyle w:val="Normal"/>
        <w:spacing w:before="0" w:after="0"/>
        <w:contextualSpacing/>
        <w:rPr/>
      </w:pPr>
      <w:r>
        <w:rPr>
          <w:rStyle w:val="FootnoteCharacters"/>
        </w:rPr>
        <w:footnoteRef/>
      </w:r>
      <w:r>
        <w:rPr>
          <w:sz w:val="20"/>
          <w:szCs w:val="20"/>
        </w:rPr>
        <w:t xml:space="preserve"> “</w:t>
      </w:r>
      <w:r>
        <w:rPr>
          <w:sz w:val="20"/>
          <w:szCs w:val="20"/>
        </w:rPr>
        <w:t xml:space="preserve">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301">
    <w:p>
      <w:pPr>
        <w:pStyle w:val="Normal"/>
        <w:spacing w:before="0" w:after="0"/>
        <w:contextualSpacing/>
        <w:rPr/>
      </w:pPr>
      <w:r>
        <w:rPr>
          <w:rStyle w:val="FootnoteCharacters"/>
        </w:rPr>
        <w:footnoteRef/>
      </w:r>
      <w:r>
        <w:rPr>
          <w:sz w:val="20"/>
          <w:szCs w:val="20"/>
        </w:rPr>
        <w:t xml:space="preserve"> </w:t>
      </w:r>
      <w:r>
        <w:rPr>
          <w:sz w:val="20"/>
          <w:szCs w:val="20"/>
        </w:rPr>
        <w:t xml:space="preserve">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2">
    <w:p>
      <w:pPr>
        <w:pStyle w:val="Normal"/>
        <w:spacing w:before="0" w:after="0"/>
        <w:contextualSpacing/>
        <w:rPr/>
      </w:pPr>
      <w:r>
        <w:rPr>
          <w:rStyle w:val="FootnoteCharacters"/>
        </w:rPr>
        <w:footnoteRef/>
      </w:r>
      <w:r>
        <w:rPr>
          <w:sz w:val="20"/>
          <w:szCs w:val="20"/>
        </w:rPr>
        <w:t xml:space="preserve"> “</w:t>
      </w:r>
      <w:r>
        <w:rPr>
          <w:sz w:val="20"/>
          <w:szCs w:val="20"/>
        </w:rPr>
        <w:t>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3">
    <w:p>
      <w:pPr>
        <w:pStyle w:val="Normal"/>
        <w:spacing w:before="0" w:after="0"/>
        <w:contextualSpacing/>
        <w:rPr>
          <w:sz w:val="20"/>
          <w:szCs w:val="20"/>
        </w:rPr>
      </w:pPr>
      <w:r>
        <w:rPr>
          <w:rStyle w:val="FootnoteCharacters"/>
        </w:rPr>
        <w:footnoteRef/>
      </w:r>
      <w:r>
        <w:rPr>
          <w:sz w:val="20"/>
          <w:szCs w:val="20"/>
        </w:rPr>
        <w:t xml:space="preserve"> “</w:t>
      </w:r>
      <w:r>
        <w:rPr>
          <w:sz w:val="20"/>
          <w:szCs w:val="20"/>
        </w:rPr>
        <w:t>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pStyle w:val="Normal"/>
        <w:spacing w:before="0" w:after="0"/>
        <w:contextualSpacing/>
        <w:rPr/>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4">
    <w:p>
      <w:pPr>
        <w:pStyle w:val="Normal"/>
        <w:spacing w:before="0" w:after="0"/>
        <w:contextualSpacing/>
        <w:rPr/>
      </w:pPr>
      <w:r>
        <w:rPr>
          <w:rStyle w:val="FootnoteCharacters"/>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5">
    <w:p>
      <w:pPr>
        <w:pStyle w:val="Normal"/>
        <w:spacing w:before="0" w:after="0"/>
        <w:contextualSpacing/>
        <w:rPr/>
      </w:pPr>
      <w:r>
        <w:rPr>
          <w:rStyle w:val="FootnoteCharacters"/>
        </w:rPr>
        <w:footnoteRef/>
      </w:r>
      <w:r>
        <w:rPr>
          <w:sz w:val="20"/>
          <w:szCs w:val="20"/>
        </w:rPr>
        <w:t xml:space="preserve"> </w:t>
      </w:r>
      <w:r>
        <w:rPr>
          <w:sz w:val="20"/>
          <w:szCs w:val="20"/>
        </w:rPr>
        <w:t>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6">
    <w:p>
      <w:pPr>
        <w:pStyle w:val="Footnote"/>
        <w:spacing w:before="0" w:after="0"/>
        <w:contextualSpacing/>
        <w:rPr/>
      </w:pPr>
      <w:r>
        <w:rPr>
          <w:rStyle w:val="FootnoteCharacters"/>
        </w:rPr>
        <w:footnoteRef/>
      </w:r>
      <w:r>
        <w:rPr/>
        <w:t xml:space="preserve"> </w:t>
      </w:r>
      <w:r>
        <w:rPr/>
        <w:t>[My footnote] These authors mention other authors that have published similar ideas in the last years. It seems that I have to include many more people on my list!</w:t>
      </w:r>
    </w:p>
  </w:footnote>
  <w:footnote w:id="307">
    <w:p>
      <w:pPr>
        <w:pStyle w:val="Normal"/>
        <w:spacing w:before="0" w:after="0"/>
        <w:contextualSpacing/>
        <w:rPr/>
      </w:pPr>
      <w:r>
        <w:rPr>
          <w:rStyle w:val="FootnoteCharacters"/>
        </w:rPr>
        <w:footnoteRef/>
      </w:r>
      <w:r>
        <w:rPr>
          <w:sz w:val="20"/>
          <w:szCs w:val="20"/>
        </w:rPr>
        <w:t xml:space="preserve"> </w:t>
      </w:r>
      <w:r>
        <w:rPr>
          <w:sz w:val="20"/>
          <w:szCs w:val="20"/>
        </w:rPr>
        <w:t>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pStyle w:val="Footnote"/>
        <w:spacing w:before="0" w:after="0"/>
        <w:contextualSpacing/>
        <w:rPr/>
      </w:pPr>
      <w:r>
        <w:rPr/>
      </w:r>
    </w:p>
  </w:footnote>
  <w:footnote w:id="308">
    <w:p>
      <w:pPr>
        <w:pStyle w:val="Footnote"/>
        <w:spacing w:before="0" w:after="0"/>
        <w:contextualSpacing/>
        <w:rPr/>
      </w:pPr>
      <w:r>
        <w:rPr>
          <w:rStyle w:val="FootnoteCharacters"/>
        </w:rPr>
        <w:footnoteRef/>
      </w:r>
      <w:r>
        <w:rPr/>
        <w:t xml:space="preserve"> </w:t>
      </w:r>
      <w:r>
        <w:rPr>
          <w:lang w:val="en-GB"/>
        </w:rPr>
        <w:t>My footnote: Obviously, Benovsky’s article has VERY similar ideas to my ideas! (I haven’t read this article yet…)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680"/>
        <w:tab w:val="clear" w:pos="9360"/>
        <w:tab w:val="left" w:pos="3165" w:leader="none"/>
      </w:tabs>
      <w:rPr/>
    </w:pP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Roman"/>
      <w:lvlText w:val="%1."/>
      <w:lvlJc w:val="left"/>
      <w:pPr>
        <w:ind w:left="1080" w:hanging="720"/>
      </w:pPr>
      <w:rPr>
        <w:sz w:val="24"/>
        <w:b/>
        <w:szCs w:val="28"/>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sz w:val="24"/>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sz w:val="24"/>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1800" w:hanging="360"/>
      </w:pPr>
      <w:rPr>
        <w:rFonts w:ascii="Symbol" w:hAnsi="Symbol" w:cs="Symbol" w:hint="default"/>
        <w:sz w:val="24"/>
        <w:szCs w:val="32"/>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Wingdings" w:hAnsi="Wingdings" w:cs="Wingdings" w:hint="default"/>
        <w:sz w:val="22"/>
        <w:rFonts w:cs="Wingdings"/>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11">
    <w:lvl w:ilvl="0">
      <w:start w:val="1"/>
      <w:numFmt w:val="bullet"/>
      <w:lvlText w:val=""/>
      <w:lvlJc w:val="left"/>
      <w:pPr>
        <w:tabs>
          <w:tab w:val="num" w:pos="720"/>
        </w:tabs>
        <w:ind w:left="720" w:hanging="360"/>
      </w:pPr>
      <w:rPr>
        <w:rFonts w:ascii="Wingdings" w:hAnsi="Wingdings" w:cs="Wingdings" w:hint="default"/>
        <w:sz w:val="22"/>
        <w:rFonts w:cs="Wingdings"/>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7">
    <w:lvl w:ilvl="0">
      <w:start w:val="1"/>
      <w:numFmt w:val="bullet"/>
      <w:lvlText w:val=""/>
      <w:lvlJc w:val="left"/>
      <w:pPr>
        <w:ind w:left="720" w:hanging="360"/>
      </w:pPr>
      <w:rPr>
        <w:rFonts w:ascii="Symbol" w:hAnsi="Symbol" w:cs="Symbol" w:hint="default"/>
        <w:sz w:val="28"/>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8">
    <w:lvl w:ilvl="0">
      <w:start w:val="1"/>
      <w:numFmt w:val="bullet"/>
      <w:lvlText w:val=""/>
      <w:lvlJc w:val="left"/>
      <w:pPr>
        <w:ind w:left="720" w:hanging="360"/>
      </w:pPr>
      <w:rPr>
        <w:rFonts w:ascii="Symbol" w:hAnsi="Symbol" w:cs="Symbol" w:hint="default"/>
        <w:sz w:val="28"/>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9">
    <w:lvl w:ilvl="0">
      <w:start w:val="1"/>
      <w:numFmt w:val="bullet"/>
      <w:lvlText w:val="-"/>
      <w:lvlJc w:val="left"/>
      <w:pPr>
        <w:ind w:left="720" w:hanging="360"/>
      </w:pPr>
      <w:rPr>
        <w:rFonts w:ascii="Times New Roman" w:hAnsi="Times New Roman" w:cs="Times New Roman" w:hint="default"/>
        <w:sz w:val="24"/>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bullet"/>
      <w:lvlText w:val="-"/>
      <w:lvlJc w:val="left"/>
      <w:pPr>
        <w:ind w:left="720" w:hanging="360"/>
      </w:pPr>
      <w:rPr>
        <w:rFonts w:ascii="Times New Roman" w:hAnsi="Times New Roman" w:cs="Times New Roman" w:hint="default"/>
        <w:sz w:val="20"/>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2">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lvl w:ilvl="0">
      <w:start w:val="1"/>
      <w:numFmt w:val="decimal"/>
      <w:lvlText w:val="(%1)"/>
      <w:lvlJc w:val="left"/>
      <w:pPr>
        <w:ind w:left="720" w:hanging="360"/>
      </w:pPr>
      <w:rPr>
        <w:sz w:val="24"/>
        <w:rFonts w:ascii="Times New Roman" w:hAnsi="Times New Roman" w:eastAsia="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lvl w:ilvl="0">
      <w:start w:val="2"/>
      <w:numFmt w:val="decimal"/>
      <w:lvlText w:val="%1."/>
      <w:lvlJc w:val="left"/>
      <w:pPr>
        <w:ind w:left="720" w:hanging="360"/>
      </w:pPr>
    </w:lvl>
    <w:lvl w:ilvl="1">
      <w:start w:val="6"/>
      <w:numFmt w:val="decimal"/>
      <w:lvlText w:val="%1.%2"/>
      <w:lvlJc w:val="left"/>
      <w:pPr>
        <w:ind w:left="756" w:hanging="396"/>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7">
    <w:lvl w:ilvl="0">
      <w:start w:val="1"/>
      <w:numFmt w:val="bullet"/>
      <w:lvlText w:val="-"/>
      <w:lvlJc w:val="left"/>
      <w:pPr>
        <w:ind w:left="720" w:hanging="360"/>
      </w:pPr>
      <w:rPr>
        <w:rFonts w:ascii="Times New Roman" w:hAnsi="Times New Roman" w:cs="Times New Roman" w:hint="default"/>
        <w:sz w:val="24"/>
        <w:b/>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8">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9">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lvl w:ilvl="0">
      <w:start w:val="1"/>
      <w:numFmt w:val="bullet"/>
      <w:lvlText w:val=""/>
      <w:lvlJc w:val="left"/>
      <w:pPr>
        <w:ind w:left="720" w:hanging="360"/>
      </w:pPr>
      <w:rPr>
        <w:rFonts w:ascii="Symbol" w:hAnsi="Symbol" w:cs="Symbol" w:hint="default"/>
        <w:sz w:val="28"/>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2">
    <w:lvl w:ilvl="0">
      <w:start w:val="1"/>
      <w:numFmt w:val="bullet"/>
      <w:lvlText w:val="-"/>
      <w:lvlJc w:val="left"/>
      <w:pPr>
        <w:ind w:left="450" w:hanging="360"/>
      </w:pPr>
      <w:rPr>
        <w:rFonts w:ascii="Times New Roman" w:hAnsi="Times New Roman" w:cs="Times New Roman" w:hint="default"/>
        <w:sz w:val="22"/>
        <w:b/>
        <w:rFonts w:cs="Times New Roman"/>
        <w:color w:val="auto"/>
      </w:rPr>
    </w:lvl>
    <w:lvl w:ilvl="1">
      <w:start w:val="1"/>
      <w:numFmt w:val="bullet"/>
      <w:lvlText w:val="o"/>
      <w:lvlJc w:val="left"/>
      <w:pPr>
        <w:ind w:left="1170" w:hanging="360"/>
      </w:pPr>
      <w:rPr>
        <w:rFonts w:ascii="Courier New" w:hAnsi="Courier New" w:cs="Courier New" w:hint="default"/>
        <w:rFonts w:cs="Courier New"/>
      </w:rPr>
    </w:lvl>
    <w:lvl w:ilvl="2">
      <w:start w:val="1"/>
      <w:numFmt w:val="bullet"/>
      <w:lvlText w:val=""/>
      <w:lvlJc w:val="left"/>
      <w:pPr>
        <w:ind w:left="1890" w:hanging="360"/>
      </w:pPr>
      <w:rPr>
        <w:rFonts w:ascii="Wingdings" w:hAnsi="Wingdings" w:cs="Wingdings" w:hint="default"/>
        <w:rFonts w:cs="Wingdings"/>
      </w:rPr>
    </w:lvl>
    <w:lvl w:ilvl="3">
      <w:start w:val="1"/>
      <w:numFmt w:val="bullet"/>
      <w:lvlText w:val=""/>
      <w:lvlJc w:val="left"/>
      <w:pPr>
        <w:ind w:left="2610" w:hanging="360"/>
      </w:pPr>
      <w:rPr>
        <w:rFonts w:ascii="Symbol" w:hAnsi="Symbol" w:cs="Symbol" w:hint="default"/>
        <w:rFonts w:cs="Symbol"/>
      </w:rPr>
    </w:lvl>
    <w:lvl w:ilvl="4">
      <w:start w:val="1"/>
      <w:numFmt w:val="bullet"/>
      <w:lvlText w:val="o"/>
      <w:lvlJc w:val="left"/>
      <w:pPr>
        <w:ind w:left="3330" w:hanging="360"/>
      </w:pPr>
      <w:rPr>
        <w:rFonts w:ascii="Courier New" w:hAnsi="Courier New" w:cs="Courier New" w:hint="default"/>
        <w:rFonts w:cs="Courier New"/>
      </w:rPr>
    </w:lvl>
    <w:lvl w:ilvl="5">
      <w:start w:val="1"/>
      <w:numFmt w:val="bullet"/>
      <w:lvlText w:val=""/>
      <w:lvlJc w:val="left"/>
      <w:pPr>
        <w:ind w:left="4050" w:hanging="360"/>
      </w:pPr>
      <w:rPr>
        <w:rFonts w:ascii="Wingdings" w:hAnsi="Wingdings" w:cs="Wingdings" w:hint="default"/>
        <w:rFonts w:cs="Wingdings"/>
      </w:rPr>
    </w:lvl>
    <w:lvl w:ilvl="6">
      <w:start w:val="1"/>
      <w:numFmt w:val="bullet"/>
      <w:lvlText w:val=""/>
      <w:lvlJc w:val="left"/>
      <w:pPr>
        <w:ind w:left="4770" w:hanging="360"/>
      </w:pPr>
      <w:rPr>
        <w:rFonts w:ascii="Symbol" w:hAnsi="Symbol" w:cs="Symbol" w:hint="default"/>
        <w:rFonts w:cs="Symbol"/>
      </w:rPr>
    </w:lvl>
    <w:lvl w:ilvl="7">
      <w:start w:val="1"/>
      <w:numFmt w:val="bullet"/>
      <w:lvlText w:val="o"/>
      <w:lvlJc w:val="left"/>
      <w:pPr>
        <w:ind w:left="5490" w:hanging="360"/>
      </w:pPr>
      <w:rPr>
        <w:rFonts w:ascii="Courier New" w:hAnsi="Courier New" w:cs="Courier New" w:hint="default"/>
        <w:rFonts w:cs="Courier New"/>
      </w:rPr>
    </w:lvl>
    <w:lvl w:ilvl="8">
      <w:start w:val="1"/>
      <w:numFmt w:val="bullet"/>
      <w:lvlText w:val=""/>
      <w:lvlJc w:val="left"/>
      <w:pPr>
        <w:ind w:left="6210" w:hanging="360"/>
      </w:pPr>
      <w:rPr>
        <w:rFonts w:ascii="Wingdings" w:hAnsi="Wingdings" w:cs="Wingdings" w:hint="default"/>
        <w:rFonts w:cs="Wingdings"/>
      </w:rPr>
    </w:lvl>
  </w:abstractNum>
  <w:abstractNum w:abstractNumId="33">
    <w:lvl w:ilvl="0">
      <w:start w:val="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lvl w:ilvl="0">
      <w:start w:val="1"/>
      <w:numFmt w:val="bullet"/>
      <w:lvlText w:val=""/>
      <w:lvlJc w:val="left"/>
      <w:pPr>
        <w:ind w:left="1800" w:hanging="360"/>
      </w:pPr>
      <w:rPr>
        <w:rFonts w:ascii="Symbol" w:hAnsi="Symbol" w:cs="Symbol" w:hint="default"/>
        <w:sz w:val="28"/>
        <w:b/>
        <w:szCs w:val="32"/>
        <w:rFonts w:cs="Symbol"/>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Fonts w:cs="Wingdings"/>
      </w:rPr>
    </w:lvl>
    <w:lvl w:ilvl="3">
      <w:start w:val="1"/>
      <w:numFmt w:val="bullet"/>
      <w:lvlText w:val=""/>
      <w:lvlJc w:val="left"/>
      <w:pPr>
        <w:ind w:left="3960" w:hanging="360"/>
      </w:pPr>
      <w:rPr>
        <w:rFonts w:ascii="Symbol" w:hAnsi="Symbol" w:cs="Symbol" w:hint="default"/>
        <w:rFonts w:cs="Symbol"/>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Fonts w:cs="Wingdings"/>
      </w:rPr>
    </w:lvl>
    <w:lvl w:ilvl="6">
      <w:start w:val="1"/>
      <w:numFmt w:val="bullet"/>
      <w:lvlText w:val=""/>
      <w:lvlJc w:val="left"/>
      <w:pPr>
        <w:ind w:left="6120" w:hanging="360"/>
      </w:pPr>
      <w:rPr>
        <w:rFonts w:ascii="Symbol" w:hAnsi="Symbol" w:cs="Symbol" w:hint="default"/>
        <w:rFonts w:cs="Symbol"/>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Fonts w:cs="Wingdings"/>
      </w:rPr>
    </w:lvl>
  </w:abstractNum>
  <w:abstractNum w:abstractNumId="35">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3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90"/>
  <w:defaultTabStop w:val="720"/>
  <w:compat>
    <w:doNotExpandShiftReturn/>
  </w:compat>
  <w:footnotePr>
    <w:numFmt w:val="decimal"/>
    <w:numRestart w:val="eachPage"/>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Times New Roman"/>
        <w:lang w:val="en-US" w:eastAsia="zh-CN" w:bidi="hi-IN"/>
      </w:rPr>
    </w:rPrDefault>
    <w:pPrDefault>
      <w:pPr/>
    </w:p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0" w:semiHidden="0" w:unhideWhenUsed="0" w:qFormat="1"/>
    <w:lsdException w:name="heading 4" w:uiPriority="0" w:semiHidden="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semiHidden="0" w:unhideWhenUsed="0"/>
    <w:lsdException w:name="index 2" w:uiPriority="0" w:semiHidden="0" w:unhideWhenUsed="0"/>
    <w:lsdException w:name="index 3" w:uiPriority="0" w:semiHidden="0" w:unhideWhenUsed="0"/>
    <w:lsdException w:name="index 4" w:uiPriority="0" w:semiHidden="0" w:unhideWhenUsed="0"/>
    <w:lsdException w:name="index 5" w:uiPriority="0" w:semiHidden="0" w:unhideWhenUsed="0"/>
    <w:lsdException w:name="index 6" w:uiPriority="0" w:semiHidden="0" w:unhideWhenUsed="0"/>
    <w:lsdException w:name="index 7" w:uiPriority="0" w:semiHidden="0" w:unhideWhenUsed="0"/>
    <w:lsdException w:name="index 8" w:uiPriority="0" w:semiHidden="0" w:unhideWhenUsed="0"/>
    <w:lsdException w:name="index 9" w:uiPriority="0" w:semiHidden="0" w:unhideWhenUsed="0"/>
    <w:lsdException w:name="toc 1" w:uiPriority="0" w:semiHidden="0" w:unhideWhenUsed="0"/>
    <w:lsdException w:name="toc 2" w:uiPriority="0" w:semiHidden="0" w:unhideWhenUsed="0"/>
    <w:lsdException w:name="toc 3" w:uiPriority="0" w:semiHidden="0" w:unhideWhenUsed="0"/>
    <w:lsdException w:name="toc 4" w:uiPriority="0" w:semiHidden="0" w:unhideWhenUsed="0"/>
    <w:lsdException w:name="toc 5" w:uiPriority="0" w:semiHidden="0" w:unhideWhenUsed="0"/>
    <w:lsdException w:name="toc 6" w:uiPriority="0" w:semiHidden="0" w:unhideWhenUsed="0"/>
    <w:lsdException w:name="toc 7" w:uiPriority="0" w:semiHidden="0" w:unhideWhenUsed="0"/>
    <w:lsdException w:name="toc 8" w:uiPriority="0" w:semiHidden="0" w:unhideWhenUsed="0"/>
    <w:lsdException w:name="toc 9" w:uiPriority="0" w:semiHidden="0" w:unhideWhenUsed="0"/>
    <w:lsdException w:name="Normal Indent" w:uiPriority="0" w:semiHidden="0" w:unhideWhenUsed="0"/>
    <w:lsdException w:name="footnote text" w:uiPriority="0" w:semiHidden="0" w:unhideWhenUsed="0" w:qFormat="1"/>
    <w:lsdException w:name="annotation text" w:uiPriority="0" w:semiHidden="0" w:unhideWhenUsed="0"/>
    <w:lsdException w:name="header" w:uiPriority="0" w:semiHidden="0" w:unhideWhenUsed="0" w:qFormat="1"/>
    <w:lsdException w:name="footer" w:uiPriority="0" w:semiHidden="0" w:unhideWhenUsed="0" w:qFormat="1"/>
    <w:lsdException w:name="index heading" w:uiPriority="0" w:semiHidden="0" w:unhideWhenUsed="0"/>
    <w:lsdException w:name="caption" w:uiPriority="0" w:semiHidden="0" w:unhideWhenUsed="0" w:qFormat="1"/>
    <w:lsdException w:name="table of figures" w:uiPriority="0" w:semiHidden="0" w:unhideWhenUsed="0"/>
    <w:lsdException w:name="envelope address" w:uiPriority="0" w:semiHidden="0" w:unhideWhenUsed="0"/>
    <w:lsdException w:name="envelope return" w:uiPriority="0" w:semiHidden="0" w:unhideWhenUsed="0"/>
    <w:lsdException w:name="footnote reference" w:uiPriority="0" w:semiHidden="0" w:unhideWhenUsed="0"/>
    <w:lsdException w:name="annotation reference" w:uiPriority="0" w:semiHidden="0" w:unhideWhenUsed="0"/>
    <w:lsdException w:name="line number" w:uiPriority="0" w:semiHidden="0" w:unhideWhenUsed="0"/>
    <w:lsdException w:name="page number" w:uiPriority="0" w:semiHidden="0" w:unhideWhenUsed="0"/>
    <w:lsdException w:name="endnote reference" w:uiPriority="0" w:semiHidden="0" w:unhideWhenUsed="0"/>
    <w:lsdException w:name="endnote text" w:uiPriority="0" w:semiHidden="0" w:unhideWhenUsed="0"/>
    <w:lsdException w:name="table of authorities" w:uiPriority="0" w:semiHidden="0" w:unhideWhenUsed="0"/>
    <w:lsdException w:name="macro" w:uiPriority="0" w:semiHidden="0" w:unhideWhenUsed="0"/>
    <w:lsdException w:name="toa heading" w:uiPriority="0" w:semiHidden="0" w:unhideWhenUsed="0"/>
    <w:lsdException w:name="List" w:uiPriority="0" w:semiHidden="0" w:unhideWhenUsed="0" w:qFormat="1"/>
    <w:lsdException w:name="List Bullet" w:uiPriority="0" w:semiHidden="0" w:unhideWhenUsed="0"/>
    <w:lsdException w:name="List Number" w:uiPriority="0" w:semiHidden="0" w:unhideWhenUsed="0"/>
    <w:lsdException w:name="List 2" w:uiPriority="0" w:semiHidden="0" w:unhideWhenUsed="0"/>
    <w:lsdException w:name="List 3" w:uiPriority="0" w:semiHidden="0" w:unhideWhenUsed="0"/>
    <w:lsdException w:name="List 4" w:uiPriority="0" w:semiHidden="0" w:unhideWhenUsed="0"/>
    <w:lsdException w:name="List 5" w:uiPriority="0" w:semiHidden="0" w:unhideWhenUsed="0"/>
    <w:lsdException w:name="List Bullet 2" w:uiPriority="0" w:semiHidden="0" w:unhideWhenUsed="0"/>
    <w:lsdException w:name="List Bullet 3" w:uiPriority="0" w:semiHidden="0" w:unhideWhenUsed="0"/>
    <w:lsdException w:name="List Bullet 4" w:uiPriority="0" w:semiHidden="0" w:unhideWhenUsed="0"/>
    <w:lsdException w:name="List Bullet 5" w:uiPriority="0" w:semiHidden="0" w:unhideWhenUsed="0"/>
    <w:lsdException w:name="List Number 2" w:uiPriority="0" w:semiHidden="0" w:unhideWhenUsed="0"/>
    <w:lsdException w:name="List Number 3" w:uiPriority="0" w:semiHidden="0" w:unhideWhenUsed="0"/>
    <w:lsdException w:name="List Number 4" w:uiPriority="0" w:semiHidden="0" w:unhideWhenUsed="0"/>
    <w:lsdException w:name="List Number 5" w:uiPriority="0" w:semiHidden="0" w:unhideWhenUsed="0"/>
    <w:lsdException w:name="Title" w:uiPriority="0" w:semiHidden="0" w:unhideWhenUsed="0" w:qFormat="1"/>
    <w:lsdException w:name="Closing" w:uiPriority="0" w:semiHidden="0" w:unhideWhenUsed="0"/>
    <w:lsdException w:name="Signature" w:uiPriority="0" w:semiHidden="0" w:unhideWhenUsed="0"/>
    <w:lsdException w:name="Default Paragraph Font" w:uiPriority="0" w:semiHidden="0" w:unhideWhenUsed="0" w:qFormat="1"/>
    <w:lsdException w:name="Body Text" w:uiPriority="0" w:semiHidden="0" w:unhideWhenUsed="0" w:qFormat="1"/>
    <w:lsdException w:name="Body Text Indent" w:uiPriority="0" w:semiHidden="0" w:unhideWhenUsed="0"/>
    <w:lsdException w:name="List Continue" w:uiPriority="0" w:semiHidden="0" w:unhideWhenUsed="0"/>
    <w:lsdException w:name="List Continue 2" w:uiPriority="0" w:semiHidden="0" w:unhideWhenUsed="0"/>
    <w:lsdException w:name="List Continue 3" w:uiPriority="0" w:semiHidden="0" w:unhideWhenUsed="0"/>
    <w:lsdException w:name="List Continue 4" w:uiPriority="0" w:semiHidden="0" w:unhideWhenUsed="0"/>
    <w:lsdException w:name="List Continue 5" w:uiPriority="0" w:semiHidden="0" w:unhideWhenUsed="0"/>
    <w:lsdException w:name="Message Header" w:uiPriority="0" w:semiHidden="0" w:unhideWhenUsed="0"/>
    <w:lsdException w:name="Subtitle" w:uiPriority="0" w:semiHidden="0" w:unhideWhenUsed="0" w:qFormat="1"/>
    <w:lsdException w:name="Salutation" w:uiPriority="0" w:semiHidden="0" w:unhideWhenUsed="0"/>
    <w:lsdException w:name="Date" w:uiPriority="0" w:semiHidden="0" w:unhideWhenUsed="0"/>
    <w:lsdException w:name="Body Text First Indent" w:uiPriority="0" w:semiHidden="0" w:unhideWhenUsed="0"/>
    <w:lsdException w:name="Body Text First Indent 2" w:uiPriority="0" w:semiHidden="0" w:unhideWhenUsed="0"/>
    <w:lsdException w:name="Note Heading" w:uiPriority="0" w:semiHidden="0" w:unhideWhenUsed="0"/>
    <w:lsdException w:name="Body Text 2" w:uiPriority="0" w:semiHidden="0" w:unhideWhenUsed="0"/>
    <w:lsdException w:name="Body Text 3" w:uiPriority="0" w:semiHidden="0" w:unhideWhenUsed="0"/>
    <w:lsdException w:name="Body Text Indent 2" w:uiPriority="0" w:semiHidden="0" w:unhideWhenUsed="0"/>
    <w:lsdException w:name="Body Text Indent 3" w:uiPriority="0" w:semiHidden="0" w:unhideWhenUsed="0"/>
    <w:lsdException w:name="Block Text" w:uiPriority="0" w:semiHidden="0" w:unhideWhenUsed="0"/>
    <w:lsdException w:name="Hyperlink" w:uiPriority="0" w:semiHidden="0" w:unhideWhenUsed="0" w:qFormat="1"/>
    <w:lsdException w:name="FollowedHyperlink" w:uiPriority="0" w:semiHidden="0" w:unhideWhenUsed="0"/>
    <w:lsdException w:name="Strong" w:uiPriority="0" w:semiHidden="0" w:unhideWhenUsed="0" w:qFormat="1"/>
    <w:lsdException w:name="Emphasis" w:uiPriority="0" w:semiHidden="0" w:unhideWhenUsed="0" w:qFormat="1"/>
    <w:lsdException w:name="Document Map" w:uiPriority="0" w:semiHidden="0" w:unhideWhenUsed="0"/>
    <w:lsdException w:name="Plain Text" w:uiPriority="0" w:semiHidden="0" w:unhideWhenUsed="0"/>
    <w:lsdException w:name="E-mail Signature" w:uiPriority="0" w:semiHidden="0" w:unhideWhenUsed="0"/>
    <w:lsdException w:name="Normal (Web)" w:uiPriority="0" w:semiHidden="0" w:unhideWhenUsed="0" w:qFormat="1"/>
    <w:lsdException w:name="HTML Acronym" w:uiPriority="0" w:semiHidden="0" w:unhideWhenUsed="0"/>
    <w:lsdException w:name="HTML Address" w:uiPriority="0" w:semiHidden="0" w:unhideWhenUsed="0" w:qFormat="1"/>
    <w:lsdException w:name="HTML Cite" w:uiPriority="0" w:semiHidden="0" w:unhideWhenUsed="0"/>
    <w:lsdException w:name="HTML Code" w:uiPriority="0" w:semiHidden="0" w:unhideWhenUsed="0"/>
    <w:lsdException w:name="HTML Definition" w:uiPriority="0" w:semiHidden="0" w:unhideWhenUsed="0"/>
    <w:lsdException w:name="HTML Keyboard" w:uiPriority="0" w:semiHidden="0" w:unhideWhenUsed="0"/>
    <w:lsdException w:name="HTML Preformatted" w:uiPriority="0" w:semiHidden="0" w:unhideWhenUsed="0"/>
    <w:lsdException w:name="HTML Sample" w:uiPriority="0" w:semiHidden="0" w:unhideWhenUsed="0"/>
    <w:lsdException w:name="HTML Typewriter" w:uiPriority="0" w:semiHidden="0" w:unhideWhenUsed="0"/>
    <w:lsdException w:name="HTML Variable" w:uiPriority="0" w:semiHidden="0" w:unhideWhenUsed="0"/>
    <w:lsdException w:name="Normal Table" w:uiPriority="0" w:unhideWhenUsed="0" w:qFormat="1"/>
    <w:lsdException w:name="annotation subject" w:uiPriority="0" w:semiHidden="0" w:unhideWhenUsed="0"/>
    <w:lsdException w:name="Table Simple 1" w:uiPriority="0" w:semiHidden="0" w:unhideWhenUsed="0"/>
    <w:lsdException w:name="Table Simple 2" w:uiPriority="0" w:semiHidden="0" w:unhideWhenUsed="0"/>
    <w:lsdException w:name="Table Simple 3" w:uiPriority="0" w:semiHidden="0" w:unhideWhenUsed="0"/>
    <w:lsdException w:name="Table Classic 1" w:uiPriority="0" w:semiHidden="0" w:unhideWhenUsed="0"/>
    <w:lsdException w:name="Table Classic 2" w:uiPriority="0" w:semiHidden="0" w:unhideWhenUsed="0"/>
    <w:lsdException w:name="Table Classic 3" w:uiPriority="0" w:semiHidden="0" w:unhideWhenUsed="0"/>
    <w:lsdException w:name="Table Classic 4" w:uiPriority="0" w:semiHidden="0" w:unhideWhenUsed="0"/>
    <w:lsdException w:name="Table Colorful 1" w:uiPriority="0" w:semiHidden="0" w:unhideWhenUsed="0"/>
    <w:lsdException w:name="Table Colorful 2" w:uiPriority="0" w:semiHidden="0" w:unhideWhenUsed="0"/>
    <w:lsdException w:name="Table Colorful 3" w:uiPriority="0" w:semiHidden="0" w:unhideWhenUsed="0"/>
    <w:lsdException w:name="Table Columns 1" w:uiPriority="0" w:semiHidden="0" w:unhideWhenUsed="0"/>
    <w:lsdException w:name="Table Columns 2" w:uiPriority="0" w:semiHidden="0" w:unhideWhenUsed="0"/>
    <w:lsdException w:name="Table Columns 3" w:uiPriority="0" w:semiHidden="0" w:unhideWhenUsed="0"/>
    <w:lsdException w:name="Table Columns 4" w:uiPriority="0" w:semiHidden="0" w:unhideWhenUsed="0"/>
    <w:lsdException w:name="Table Columns 5" w:uiPriority="0" w:semiHidden="0" w:unhideWhenUsed="0"/>
    <w:lsdException w:name="Table Grid 1" w:uiPriority="0" w:semiHidden="0" w:unhideWhenUsed="0"/>
    <w:lsdException w:name="Table Grid 2" w:uiPriority="0" w:semiHidden="0" w:unhideWhenUsed="0"/>
    <w:lsdException w:name="Table Grid 3" w:uiPriority="0" w:semiHidden="0" w:unhideWhenUsed="0"/>
    <w:lsdException w:name="Table Grid 4" w:uiPriority="0" w:semiHidden="0" w:unhideWhenUsed="0"/>
    <w:lsdException w:name="Table Grid 5" w:uiPriority="0" w:semiHidden="0" w:unhideWhenUsed="0"/>
    <w:lsdException w:name="Table Grid 6" w:uiPriority="0" w:semiHidden="0" w:unhideWhenUsed="0"/>
    <w:lsdException w:name="Table Grid 7" w:uiPriority="0" w:semiHidden="0" w:unhideWhenUsed="0"/>
    <w:lsdException w:name="Table Grid 8" w:uiPriority="0" w:semiHidden="0" w:unhideWhenUsed="0"/>
    <w:lsdException w:name="Table List 1" w:uiPriority="0" w:semiHidden="0" w:unhideWhenUsed="0"/>
    <w:lsdException w:name="Table List 2" w:uiPriority="0" w:semiHidden="0" w:unhideWhenUsed="0"/>
    <w:lsdException w:name="Table List 3" w:uiPriority="0" w:semiHidden="0" w:unhideWhenUsed="0"/>
    <w:lsdException w:name="Table List 4" w:uiPriority="0" w:semiHidden="0" w:unhideWhenUsed="0"/>
    <w:lsdException w:name="Table List 5" w:uiPriority="0" w:semiHidden="0" w:unhideWhenUsed="0"/>
    <w:lsdException w:name="Table List 6" w:uiPriority="0" w:semiHidden="0" w:unhideWhenUsed="0"/>
    <w:lsdException w:name="Table List 7" w:uiPriority="0" w:semiHidden="0" w:unhideWhenUsed="0"/>
    <w:lsdException w:name="Table List 8" w:uiPriority="0" w:semiHidden="0" w:unhideWhenUsed="0"/>
    <w:lsdException w:name="Table 3D effects 1" w:uiPriority="0" w:semiHidden="0" w:unhideWhenUsed="0"/>
    <w:lsdException w:name="Table 3D effects 2" w:uiPriority="0" w:semiHidden="0" w:unhideWhenUsed="0"/>
    <w:lsdException w:name="Table 3D effects 3" w:uiPriority="0" w:semiHidden="0" w:unhideWhenUsed="0"/>
    <w:lsdException w:name="Table Contemporary" w:uiPriority="0" w:semiHidden="0" w:unhideWhenUsed="0"/>
    <w:lsdException w:name="Table Elegant" w:uiPriority="0" w:semiHidden="0" w:unhideWhenUsed="0"/>
    <w:lsdException w:name="Table Professional" w:uiPriority="0" w:semiHidden="0" w:unhideWhenUsed="0"/>
    <w:lsdException w:name="Table Subtle 1" w:uiPriority="0" w:semiHidden="0" w:unhideWhenUsed="0"/>
    <w:lsdException w:name="Table Subtle 2" w:uiPriority="0" w:semiHidden="0" w:unhideWhenUsed="0"/>
    <w:lsdException w:name="Table Web 1" w:uiPriority="0" w:semiHidden="0" w:unhideWhenUsed="0"/>
    <w:lsdException w:name="Table Web 2" w:uiPriority="0" w:semiHidden="0" w:unhideWhenUsed="0"/>
    <w:lsdException w:name="Table Web 3" w:uiPriority="0" w:semiHidden="0" w:unhideWhenUsed="0"/>
    <w:lsdException w:name="Balloon Text" w:uiPriority="0" w:semiHidden="0" w:unhideWhenUsed="0" w:qFormat="1"/>
    <w:lsdException w:name="Table Grid" w:uiPriority="0" w:semiHidden="0" w:unhideWhenUsed="0"/>
    <w:lsdException w:name="Table Theme" w:uiPriority="0"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List Paragraph" w:uiPriority="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Normal" w:default="1">
    <w:name w:val="Normal"/>
    <w:uiPriority w:val="0"/>
    <w:qFormat/>
    <w:pPr>
      <w:widowControl/>
      <w:overflowPunct w:val="true"/>
      <w:bidi w:val="0"/>
      <w:jc w:val="both"/>
    </w:pPr>
    <w:rPr>
      <w:rFonts w:ascii="Times New Roman" w:hAnsi="Times New Roman" w:eastAsia="Calibri" w:cs="Times New Roman"/>
      <w:color w:val="auto"/>
      <w:kern w:val="0"/>
      <w:sz w:val="24"/>
      <w:szCs w:val="24"/>
      <w:lang w:val="en-US" w:eastAsia="en-US" w:bidi="ar-SA"/>
    </w:rPr>
  </w:style>
  <w:style w:type="paragraph" w:styleId="Heading1">
    <w:name w:val="Heading 1"/>
    <w:basedOn w:val="Normal"/>
    <w:next w:val="Normal"/>
    <w:uiPriority w:val="0"/>
    <w:qFormat/>
    <w:pPr>
      <w:keepNext w:val="true"/>
      <w:spacing w:before="240" w:after="60"/>
      <w:outlineLvl w:val="0"/>
    </w:pPr>
    <w:rPr>
      <w:rFonts w:ascii="Cambria" w:hAnsi="Cambria" w:eastAsia="Times New Roman"/>
      <w:b/>
      <w:bCs/>
      <w:kern w:val="2"/>
      <w:sz w:val="32"/>
      <w:szCs w:val="32"/>
    </w:rPr>
  </w:style>
  <w:style w:type="paragraph" w:styleId="Heading2">
    <w:name w:val="Heading 2"/>
    <w:basedOn w:val="Normal"/>
    <w:next w:val="Normal"/>
    <w:uiPriority w:val="0"/>
    <w:qFormat/>
    <w:pPr>
      <w:keepNext w:val="true"/>
      <w:keepLines/>
      <w:spacing w:before="200" w:after="0"/>
      <w:jc w:val="left"/>
      <w:outlineLvl w:val="1"/>
    </w:pPr>
    <w:rPr>
      <w:rFonts w:ascii="Cambria" w:hAnsi="Cambria" w:eastAsia="Times New Roman"/>
      <w:b/>
      <w:bCs/>
      <w:color w:val="4F81BD"/>
      <w:sz w:val="26"/>
      <w:szCs w:val="26"/>
    </w:rPr>
  </w:style>
  <w:style w:type="paragraph" w:styleId="Heading3">
    <w:name w:val="Heading 3"/>
    <w:basedOn w:val="Normal"/>
    <w:next w:val="Normal"/>
    <w:uiPriority w:val="0"/>
    <w:qFormat/>
    <w:pPr>
      <w:keepNext w:val="true"/>
      <w:keepLines/>
      <w:spacing w:before="200" w:after="0"/>
      <w:outlineLvl w:val="2"/>
    </w:pPr>
    <w:rPr>
      <w:rFonts w:ascii="Cambria" w:hAnsi="Cambria" w:eastAsia="Calibri" w:cs="Tahoma"/>
      <w:b/>
      <w:bCs/>
      <w:color w:val="4F81BD"/>
    </w:rPr>
  </w:style>
  <w:style w:type="paragraph" w:styleId="Heading4">
    <w:name w:val="Heading 4"/>
    <w:basedOn w:val="Normal"/>
    <w:next w:val="Normal"/>
    <w:uiPriority w:val="0"/>
    <w:qFormat/>
    <w:pPr>
      <w:keepNext w:val="true"/>
      <w:keepLines/>
      <w:spacing w:before="200" w:after="0"/>
      <w:outlineLvl w:val="3"/>
    </w:pPr>
    <w:rPr>
      <w:rFonts w:ascii="Cambria" w:hAnsi="Cambria" w:eastAsia="Calibri" w:cs="Tahoma"/>
      <w:b/>
      <w:bCs/>
      <w:i/>
      <w:iCs/>
      <w:color w:val="4F81BD"/>
    </w:rPr>
  </w:style>
  <w:style w:type="character" w:styleId="DefaultParagraphFont" w:default="1">
    <w:name w:val="Default Paragraph Font"/>
    <w:uiPriority w:val="0"/>
    <w:qFormat/>
    <w:rPr/>
  </w:style>
  <w:style w:type="character" w:styleId="Emphasis">
    <w:name w:val="Emphasis"/>
    <w:uiPriority w:val="0"/>
    <w:qFormat/>
    <w:rPr>
      <w:i/>
      <w:iCs/>
    </w:rPr>
  </w:style>
  <w:style w:type="character" w:styleId="InternetLink" w:customStyle="1">
    <w:name w:val="Internet Link"/>
    <w:uiPriority w:val="0"/>
    <w:qFormat/>
    <w:rPr>
      <w:color w:val="0000FF"/>
      <w:u w:val="single"/>
    </w:rPr>
  </w:style>
  <w:style w:type="character" w:styleId="Strong">
    <w:name w:val="Strong"/>
    <w:uiPriority w:val="0"/>
    <w:qFormat/>
    <w:rPr>
      <w:b/>
      <w:bCs/>
    </w:rPr>
  </w:style>
  <w:style w:type="character" w:styleId="FootnoteTextChar" w:customStyle="1">
    <w:name w:val="Footnote Text Char"/>
    <w:basedOn w:val="DefaultParagraphFont"/>
    <w:uiPriority w:val="0"/>
    <w:qFormat/>
    <w:rPr>
      <w:rFonts w:ascii="Times New Roman" w:hAnsi="Times New Roman" w:eastAsia="Calibri" w:cs="Times New Roman"/>
      <w:sz w:val="20"/>
      <w:szCs w:val="20"/>
    </w:rPr>
  </w:style>
  <w:style w:type="character" w:styleId="Heading1Char" w:customStyle="1">
    <w:name w:val="Heading 1 Char"/>
    <w:basedOn w:val="DefaultParagraphFont"/>
    <w:uiPriority w:val="0"/>
    <w:qFormat/>
    <w:rPr>
      <w:rFonts w:ascii="Cambria" w:hAnsi="Cambria" w:eastAsia="Times New Roman" w:cs="Times New Roman"/>
      <w:b/>
      <w:bCs/>
      <w:kern w:val="2"/>
      <w:sz w:val="32"/>
      <w:szCs w:val="32"/>
    </w:rPr>
  </w:style>
  <w:style w:type="character" w:styleId="Heading2Char" w:customStyle="1">
    <w:name w:val="Heading 2 Char"/>
    <w:basedOn w:val="DefaultParagraphFont"/>
    <w:uiPriority w:val="0"/>
    <w:qFormat/>
    <w:rPr>
      <w:rFonts w:ascii="Cambria" w:hAnsi="Cambria" w:eastAsia="Times New Roman" w:cs="Times New Roman"/>
      <w:b/>
      <w:bCs/>
      <w:color w:val="4F81BD"/>
      <w:sz w:val="26"/>
      <w:szCs w:val="26"/>
    </w:rPr>
  </w:style>
  <w:style w:type="character" w:styleId="FootnoteCharacters" w:customStyle="1">
    <w:name w:val="Footnote Characters"/>
    <w:uiPriority w:val="0"/>
    <w:qFormat/>
    <w:rPr>
      <w:vertAlign w:val="superscript"/>
    </w:rPr>
  </w:style>
  <w:style w:type="character" w:styleId="FootnoteAnchor" w:customStyle="1">
    <w:name w:val="Footnote Anchor"/>
    <w:uiPriority w:val="0"/>
    <w:qFormat/>
    <w:rPr>
      <w:vertAlign w:val="superscript"/>
    </w:rPr>
  </w:style>
  <w:style w:type="character" w:styleId="Appleconvertedspace" w:customStyle="1">
    <w:name w:val="apple-converted-space"/>
    <w:uiPriority w:val="0"/>
    <w:qFormat/>
    <w:rPr/>
  </w:style>
  <w:style w:type="character" w:styleId="HeaderChar" w:customStyle="1">
    <w:name w:val="Header Char"/>
    <w:basedOn w:val="DefaultParagraphFont"/>
    <w:uiPriority w:val="0"/>
    <w:qFormat/>
    <w:rPr>
      <w:rFonts w:ascii="Times New Roman" w:hAnsi="Times New Roman" w:eastAsia="Calibri" w:cs="Times New Roman"/>
      <w:sz w:val="24"/>
      <w:szCs w:val="24"/>
    </w:rPr>
  </w:style>
  <w:style w:type="character" w:styleId="FooterChar" w:customStyle="1">
    <w:name w:val="Footer Char"/>
    <w:basedOn w:val="DefaultParagraphFont"/>
    <w:uiPriority w:val="0"/>
    <w:qFormat/>
    <w:rPr>
      <w:rFonts w:ascii="Times New Roman" w:hAnsi="Times New Roman" w:eastAsia="Calibri" w:cs="Times New Roman"/>
      <w:sz w:val="24"/>
      <w:szCs w:val="24"/>
    </w:rPr>
  </w:style>
  <w:style w:type="character" w:styleId="Textnormal1" w:customStyle="1">
    <w:name w:val="text_normal1"/>
    <w:uiPriority w:val="0"/>
    <w:qFormat/>
    <w:rPr>
      <w:rFonts w:ascii="Verdana" w:hAnsi="Verdana"/>
      <w:color w:val="000000"/>
      <w:sz w:val="18"/>
      <w:szCs w:val="18"/>
    </w:rPr>
  </w:style>
  <w:style w:type="character" w:styleId="Referencetext" w:customStyle="1">
    <w:name w:val="reference-text"/>
    <w:uiPriority w:val="0"/>
    <w:qFormat/>
    <w:rPr/>
  </w:style>
  <w:style w:type="character" w:styleId="Style10" w:customStyle="1">
    <w:name w:val="_"/>
    <w:uiPriority w:val="0"/>
    <w:qFormat/>
    <w:rPr/>
  </w:style>
  <w:style w:type="character" w:styleId="BalloonTextChar" w:customStyle="1">
    <w:name w:val="Balloon Text Char"/>
    <w:basedOn w:val="DefaultParagraphFont"/>
    <w:uiPriority w:val="0"/>
    <w:qFormat/>
    <w:rPr>
      <w:rFonts w:ascii="Tahoma" w:hAnsi="Tahoma" w:eastAsia="Calibri" w:cs="Tahoma"/>
      <w:sz w:val="16"/>
      <w:szCs w:val="16"/>
    </w:rPr>
  </w:style>
  <w:style w:type="character" w:styleId="Heading3Char" w:customStyle="1">
    <w:name w:val="Heading 3 Char"/>
    <w:basedOn w:val="DefaultParagraphFont"/>
    <w:uiPriority w:val="0"/>
    <w:qFormat/>
    <w:rPr>
      <w:rFonts w:ascii="Cambria" w:hAnsi="Cambria" w:eastAsia="Calibri" w:cs="Tahoma"/>
      <w:b/>
      <w:bCs/>
      <w:color w:val="4F81BD"/>
      <w:sz w:val="24"/>
      <w:szCs w:val="24"/>
    </w:rPr>
  </w:style>
  <w:style w:type="character" w:styleId="Heading4Char" w:customStyle="1">
    <w:name w:val="Heading 4 Char"/>
    <w:basedOn w:val="DefaultParagraphFont"/>
    <w:uiPriority w:val="0"/>
    <w:qFormat/>
    <w:rPr>
      <w:rFonts w:ascii="Cambria" w:hAnsi="Cambria" w:eastAsia="Calibri" w:cs="Tahoma"/>
      <w:b/>
      <w:bCs/>
      <w:i/>
      <w:iCs/>
      <w:color w:val="4F81BD"/>
      <w:sz w:val="24"/>
      <w:szCs w:val="24"/>
    </w:rPr>
  </w:style>
  <w:style w:type="character" w:styleId="Uficommentbody" w:customStyle="1">
    <w:name w:val="uficommentbody"/>
    <w:basedOn w:val="DefaultParagraphFont"/>
    <w:uiPriority w:val="0"/>
    <w:qFormat/>
    <w:rPr/>
  </w:style>
  <w:style w:type="character" w:styleId="Accessibleelem" w:customStyle="1">
    <w:name w:val="accessible_elem"/>
    <w:basedOn w:val="DefaultParagraphFont"/>
    <w:uiPriority w:val="0"/>
    <w:qFormat/>
    <w:rPr/>
  </w:style>
  <w:style w:type="character" w:styleId="Timestampcontent" w:customStyle="1">
    <w:name w:val="timestampcontent"/>
    <w:basedOn w:val="DefaultParagraphFont"/>
    <w:uiPriority w:val="0"/>
    <w:qFormat/>
    <w:rPr/>
  </w:style>
  <w:style w:type="character" w:styleId="Name" w:customStyle="1">
    <w:name w:val="name"/>
    <w:basedOn w:val="DefaultParagraphFont"/>
    <w:uiPriority w:val="0"/>
    <w:qFormat/>
    <w:rPr/>
  </w:style>
  <w:style w:type="character" w:styleId="Watchpagelink" w:customStyle="1">
    <w:name w:val="watch-page-link"/>
    <w:uiPriority w:val="0"/>
    <w:qFormat/>
    <w:rPr/>
  </w:style>
  <w:style w:type="character" w:styleId="UnresolvedMention" w:customStyle="1">
    <w:name w:val="Unresolved Mention"/>
    <w:basedOn w:val="DefaultParagraphFont"/>
    <w:uiPriority w:val="0"/>
    <w:qFormat/>
    <w:rPr>
      <w:color w:val="605E5C"/>
      <w:highlight w:val="lightGray"/>
    </w:rPr>
  </w:style>
  <w:style w:type="character" w:styleId="Pullquoteattribution" w:customStyle="1">
    <w:name w:val="pullquote__attribution"/>
    <w:basedOn w:val="DefaultParagraphFont"/>
    <w:uiPriority w:val="0"/>
    <w:qFormat/>
    <w:rPr/>
  </w:style>
  <w:style w:type="character" w:styleId="S1" w:customStyle="1">
    <w:name w:val="s1"/>
    <w:basedOn w:val="DefaultParagraphFont"/>
    <w:uiPriority w:val="0"/>
    <w:qFormat/>
    <w:rPr/>
  </w:style>
  <w:style w:type="character" w:styleId="HTMLAddressChar" w:customStyle="1">
    <w:name w:val="HTML Address Char"/>
    <w:basedOn w:val="DefaultParagraphFont"/>
    <w:uiPriority w:val="0"/>
    <w:qFormat/>
    <w:rPr>
      <w:rFonts w:ascii="Times New Roman" w:hAnsi="Times New Roman" w:eastAsia="Times New Roman" w:cs="Times New Roman"/>
      <w:i/>
      <w:iCs/>
      <w:sz w:val="24"/>
      <w:szCs w:val="24"/>
    </w:rPr>
  </w:style>
  <w:style w:type="character" w:styleId="6qdm" w:customStyle="1">
    <w:name w:val="_6qdm"/>
    <w:basedOn w:val="DefaultParagraphFont"/>
    <w:uiPriority w:val="0"/>
    <w:qFormat/>
    <w:rPr/>
  </w:style>
  <w:style w:type="character" w:styleId="Vcard" w:customStyle="1">
    <w:name w:val="vcard"/>
    <w:basedOn w:val="DefaultParagraphFont"/>
    <w:uiPriority w:val="0"/>
    <w:qFormat/>
    <w:rPr/>
  </w:style>
  <w:style w:type="character" w:styleId="ListLabel1" w:customStyle="1">
    <w:name w:val="ListLabel 1"/>
    <w:uiPriority w:val="0"/>
    <w:qFormat/>
    <w:rPr>
      <w:rFonts w:ascii="MxkqpvAdvTT3713a231" w:hAnsi="MxkqpvAdvTT3713a231"/>
      <w:b/>
      <w:sz w:val="28"/>
      <w:szCs w:val="32"/>
    </w:rPr>
  </w:style>
  <w:style w:type="character" w:styleId="ListLabel2" w:customStyle="1">
    <w:name w:val="ListLabel 2"/>
    <w:uiPriority w:val="0"/>
    <w:qFormat/>
    <w:rPr>
      <w:rFonts w:cs="Courier New"/>
    </w:rPr>
  </w:style>
  <w:style w:type="character" w:styleId="ListLabel3" w:customStyle="1">
    <w:name w:val="ListLabel 3"/>
    <w:uiPriority w:val="0"/>
    <w:qFormat/>
    <w:rPr>
      <w:rFonts w:cs="Courier New"/>
    </w:rPr>
  </w:style>
  <w:style w:type="character" w:styleId="ListLabel4" w:customStyle="1">
    <w:name w:val="ListLabel 4"/>
    <w:uiPriority w:val="0"/>
    <w:qFormat/>
    <w:rPr>
      <w:rFonts w:cs="Courier New"/>
    </w:rPr>
  </w:style>
  <w:style w:type="character" w:styleId="ListLabel5" w:customStyle="1">
    <w:name w:val="ListLabel 5"/>
    <w:uiPriority w:val="0"/>
    <w:qFormat/>
    <w:rPr>
      <w:rFonts w:cs="Courier New"/>
    </w:rPr>
  </w:style>
  <w:style w:type="character" w:styleId="ListLabel6" w:customStyle="1">
    <w:name w:val="ListLabel 6"/>
    <w:uiPriority w:val="0"/>
    <w:qFormat/>
    <w:rPr>
      <w:rFonts w:cs="Courier New"/>
    </w:rPr>
  </w:style>
  <w:style w:type="character" w:styleId="ListLabel7" w:customStyle="1">
    <w:name w:val="ListLabel 7"/>
    <w:uiPriority w:val="0"/>
    <w:qFormat/>
    <w:rPr>
      <w:rFonts w:cs="Courier New"/>
    </w:rPr>
  </w:style>
  <w:style w:type="character" w:styleId="ListLabel8" w:customStyle="1">
    <w:name w:val="ListLabel 8"/>
    <w:uiPriority w:val="0"/>
    <w:qFormat/>
    <w:rPr>
      <w:rFonts w:ascii="Georgia" w:hAnsi="Georgia" w:eastAsia="Calibri" w:cs="Times New Roman"/>
      <w:b/>
      <w:color w:val="auto"/>
      <w:sz w:val="22"/>
    </w:rPr>
  </w:style>
  <w:style w:type="character" w:styleId="ListLabel9" w:customStyle="1">
    <w:name w:val="ListLabel 9"/>
    <w:uiPriority w:val="0"/>
    <w:qFormat/>
    <w:rPr>
      <w:rFonts w:cs="Courier New"/>
    </w:rPr>
  </w:style>
  <w:style w:type="character" w:styleId="ListLabel10" w:customStyle="1">
    <w:name w:val="ListLabel 10"/>
    <w:uiPriority w:val="0"/>
    <w:qFormat/>
    <w:rPr>
      <w:rFonts w:cs="Courier New"/>
    </w:rPr>
  </w:style>
  <w:style w:type="character" w:styleId="ListLabel11" w:customStyle="1">
    <w:name w:val="ListLabel 11"/>
    <w:uiPriority w:val="0"/>
    <w:qFormat/>
    <w:rPr>
      <w:rFonts w:cs="Courier New"/>
    </w:rPr>
  </w:style>
  <w:style w:type="character" w:styleId="ListLabel12" w:customStyle="1">
    <w:name w:val="ListLabel 12"/>
    <w:uiPriority w:val="0"/>
    <w:qFormat/>
    <w:rPr>
      <w:rFonts w:ascii="Times New Roman" w:hAnsi="Times New Roman" w:eastAsia="Calibri" w:cs="Times New Roman"/>
      <w:sz w:val="24"/>
    </w:rPr>
  </w:style>
  <w:style w:type="character" w:styleId="ListLabel13" w:customStyle="1">
    <w:name w:val="ListLabel 13"/>
    <w:uiPriority w:val="0"/>
    <w:qFormat/>
    <w:rPr>
      <w:rFonts w:cs="Courier New"/>
    </w:rPr>
  </w:style>
  <w:style w:type="character" w:styleId="ListLabel14" w:customStyle="1">
    <w:name w:val="ListLabel 14"/>
    <w:uiPriority w:val="0"/>
    <w:qFormat/>
    <w:rPr>
      <w:rFonts w:cs="Courier New"/>
    </w:rPr>
  </w:style>
  <w:style w:type="character" w:styleId="ListLabel15" w:customStyle="1">
    <w:name w:val="ListLabel 15"/>
    <w:uiPriority w:val="0"/>
    <w:qFormat/>
    <w:rPr>
      <w:rFonts w:cs="Courier New"/>
    </w:rPr>
  </w:style>
  <w:style w:type="character" w:styleId="ListLabel16" w:customStyle="1">
    <w:name w:val="ListLabel 16"/>
    <w:uiPriority w:val="0"/>
    <w:qFormat/>
    <w:rPr>
      <w:rFonts w:ascii="Times New Roman" w:hAnsi="Times New Roman" w:eastAsia="Times New Roman" w:cs="Times New Roman"/>
      <w:b/>
      <w:sz w:val="24"/>
    </w:rPr>
  </w:style>
  <w:style w:type="character" w:styleId="ListLabel17" w:customStyle="1">
    <w:name w:val="ListLabel 17"/>
    <w:uiPriority w:val="0"/>
    <w:qFormat/>
    <w:rPr>
      <w:rFonts w:cs="Courier New"/>
    </w:rPr>
  </w:style>
  <w:style w:type="character" w:styleId="ListLabel18" w:customStyle="1">
    <w:name w:val="ListLabel 18"/>
    <w:uiPriority w:val="0"/>
    <w:qFormat/>
    <w:rPr>
      <w:rFonts w:cs="Courier New"/>
    </w:rPr>
  </w:style>
  <w:style w:type="character" w:styleId="ListLabel19" w:customStyle="1">
    <w:name w:val="ListLabel 19"/>
    <w:uiPriority w:val="0"/>
    <w:qFormat/>
    <w:rPr>
      <w:rFonts w:cs="Courier New"/>
    </w:rPr>
  </w:style>
  <w:style w:type="character" w:styleId="ListLabel20" w:customStyle="1">
    <w:name w:val="ListLabel 20"/>
    <w:uiPriority w:val="0"/>
    <w:qFormat/>
    <w:rPr>
      <w:sz w:val="22"/>
    </w:rPr>
  </w:style>
  <w:style w:type="character" w:styleId="ListLabel21" w:customStyle="1">
    <w:name w:val="ListLabel 21"/>
    <w:uiPriority w:val="0"/>
    <w:qFormat/>
    <w:rPr>
      <w:sz w:val="20"/>
    </w:rPr>
  </w:style>
  <w:style w:type="character" w:styleId="ListLabel22" w:customStyle="1">
    <w:name w:val="ListLabel 22"/>
    <w:uiPriority w:val="0"/>
    <w:qFormat/>
    <w:rPr>
      <w:sz w:val="20"/>
    </w:rPr>
  </w:style>
  <w:style w:type="character" w:styleId="ListLabel23" w:customStyle="1">
    <w:name w:val="ListLabel 23"/>
    <w:uiPriority w:val="0"/>
    <w:qFormat/>
    <w:rPr>
      <w:sz w:val="20"/>
    </w:rPr>
  </w:style>
  <w:style w:type="character" w:styleId="ListLabel24" w:customStyle="1">
    <w:name w:val="ListLabel 24"/>
    <w:uiPriority w:val="0"/>
    <w:qFormat/>
    <w:rPr>
      <w:sz w:val="20"/>
    </w:rPr>
  </w:style>
  <w:style w:type="character" w:styleId="ListLabel25" w:customStyle="1">
    <w:name w:val="ListLabel 25"/>
    <w:uiPriority w:val="0"/>
    <w:qFormat/>
    <w:rPr>
      <w:sz w:val="20"/>
    </w:rPr>
  </w:style>
  <w:style w:type="character" w:styleId="ListLabel26" w:customStyle="1">
    <w:name w:val="ListLabel 26"/>
    <w:uiPriority w:val="0"/>
    <w:qFormat/>
    <w:rPr>
      <w:sz w:val="20"/>
    </w:rPr>
  </w:style>
  <w:style w:type="character" w:styleId="ListLabel27" w:customStyle="1">
    <w:name w:val="ListLabel 27"/>
    <w:uiPriority w:val="0"/>
    <w:qFormat/>
    <w:rPr>
      <w:sz w:val="20"/>
    </w:rPr>
  </w:style>
  <w:style w:type="character" w:styleId="ListLabel28" w:customStyle="1">
    <w:name w:val="ListLabel 28"/>
    <w:uiPriority w:val="0"/>
    <w:qFormat/>
    <w:rPr>
      <w:sz w:val="20"/>
    </w:rPr>
  </w:style>
  <w:style w:type="character" w:styleId="ListLabel29" w:customStyle="1">
    <w:name w:val="ListLabel 29"/>
    <w:uiPriority w:val="0"/>
    <w:qFormat/>
    <w:rPr>
      <w:sz w:val="22"/>
    </w:rPr>
  </w:style>
  <w:style w:type="character" w:styleId="ListLabel30" w:customStyle="1">
    <w:name w:val="ListLabel 30"/>
    <w:uiPriority w:val="0"/>
    <w:qFormat/>
    <w:rPr>
      <w:sz w:val="20"/>
    </w:rPr>
  </w:style>
  <w:style w:type="character" w:styleId="ListLabel31" w:customStyle="1">
    <w:name w:val="ListLabel 31"/>
    <w:uiPriority w:val="0"/>
    <w:qFormat/>
    <w:rPr>
      <w:sz w:val="20"/>
    </w:rPr>
  </w:style>
  <w:style w:type="character" w:styleId="ListLabel32" w:customStyle="1">
    <w:name w:val="ListLabel 32"/>
    <w:uiPriority w:val="0"/>
    <w:qFormat/>
    <w:rPr>
      <w:sz w:val="20"/>
    </w:rPr>
  </w:style>
  <w:style w:type="character" w:styleId="ListLabel33" w:customStyle="1">
    <w:name w:val="ListLabel 33"/>
    <w:uiPriority w:val="0"/>
    <w:qFormat/>
    <w:rPr>
      <w:sz w:val="20"/>
    </w:rPr>
  </w:style>
  <w:style w:type="character" w:styleId="ListLabel34" w:customStyle="1">
    <w:name w:val="ListLabel 34"/>
    <w:uiPriority w:val="0"/>
    <w:qFormat/>
    <w:rPr>
      <w:sz w:val="20"/>
    </w:rPr>
  </w:style>
  <w:style w:type="character" w:styleId="ListLabel35" w:customStyle="1">
    <w:name w:val="ListLabel 35"/>
    <w:uiPriority w:val="0"/>
    <w:qFormat/>
    <w:rPr>
      <w:sz w:val="20"/>
    </w:rPr>
  </w:style>
  <w:style w:type="character" w:styleId="ListLabel36" w:customStyle="1">
    <w:name w:val="ListLabel 36"/>
    <w:uiPriority w:val="0"/>
    <w:qFormat/>
    <w:rPr>
      <w:sz w:val="20"/>
    </w:rPr>
  </w:style>
  <w:style w:type="character" w:styleId="ListLabel37" w:customStyle="1">
    <w:name w:val="ListLabel 37"/>
    <w:uiPriority w:val="0"/>
    <w:qFormat/>
    <w:rPr>
      <w:sz w:val="20"/>
    </w:rPr>
  </w:style>
  <w:style w:type="character" w:styleId="ListLabel38" w:customStyle="1">
    <w:name w:val="ListLabel 38"/>
    <w:uiPriority w:val="0"/>
    <w:qFormat/>
    <w:rPr>
      <w:rFonts w:ascii="Times New Roman" w:hAnsi="Times New Roman"/>
      <w:sz w:val="22"/>
    </w:rPr>
  </w:style>
  <w:style w:type="character" w:styleId="ListLabel39" w:customStyle="1">
    <w:name w:val="ListLabel 39"/>
    <w:uiPriority w:val="0"/>
    <w:qFormat/>
    <w:rPr>
      <w:sz w:val="20"/>
    </w:rPr>
  </w:style>
  <w:style w:type="character" w:styleId="ListLabel40" w:customStyle="1">
    <w:name w:val="ListLabel 40"/>
    <w:uiPriority w:val="0"/>
    <w:qFormat/>
    <w:rPr>
      <w:sz w:val="20"/>
    </w:rPr>
  </w:style>
  <w:style w:type="character" w:styleId="ListLabel41" w:customStyle="1">
    <w:name w:val="ListLabel 41"/>
    <w:uiPriority w:val="0"/>
    <w:qFormat/>
    <w:rPr>
      <w:sz w:val="20"/>
    </w:rPr>
  </w:style>
  <w:style w:type="character" w:styleId="ListLabel42" w:customStyle="1">
    <w:name w:val="ListLabel 42"/>
    <w:uiPriority w:val="0"/>
    <w:qFormat/>
    <w:rPr>
      <w:sz w:val="20"/>
    </w:rPr>
  </w:style>
  <w:style w:type="character" w:styleId="ListLabel43" w:customStyle="1">
    <w:name w:val="ListLabel 43"/>
    <w:uiPriority w:val="0"/>
    <w:qFormat/>
    <w:rPr>
      <w:sz w:val="20"/>
    </w:rPr>
  </w:style>
  <w:style w:type="character" w:styleId="ListLabel44" w:customStyle="1">
    <w:name w:val="ListLabel 44"/>
    <w:uiPriority w:val="0"/>
    <w:qFormat/>
    <w:rPr>
      <w:sz w:val="20"/>
    </w:rPr>
  </w:style>
  <w:style w:type="character" w:styleId="ListLabel45" w:customStyle="1">
    <w:name w:val="ListLabel 45"/>
    <w:uiPriority w:val="0"/>
    <w:qFormat/>
    <w:rPr>
      <w:sz w:val="20"/>
    </w:rPr>
  </w:style>
  <w:style w:type="character" w:styleId="ListLabel46" w:customStyle="1">
    <w:name w:val="ListLabel 46"/>
    <w:uiPriority w:val="0"/>
    <w:qFormat/>
    <w:rPr>
      <w:sz w:val="20"/>
    </w:rPr>
  </w:style>
  <w:style w:type="character" w:styleId="ListLabel47" w:customStyle="1">
    <w:name w:val="ListLabel 47"/>
    <w:uiPriority w:val="0"/>
    <w:qFormat/>
    <w:rPr>
      <w:rFonts w:cs="Courier New"/>
    </w:rPr>
  </w:style>
  <w:style w:type="character" w:styleId="ListLabel48" w:customStyle="1">
    <w:name w:val="ListLabel 48"/>
    <w:uiPriority w:val="0"/>
    <w:qFormat/>
    <w:rPr>
      <w:rFonts w:cs="Courier New"/>
    </w:rPr>
  </w:style>
  <w:style w:type="character" w:styleId="ListLabel49" w:customStyle="1">
    <w:name w:val="ListLabel 49"/>
    <w:uiPriority w:val="0"/>
    <w:qFormat/>
    <w:rPr>
      <w:rFonts w:cs="Courier New"/>
    </w:rPr>
  </w:style>
  <w:style w:type="character" w:styleId="ListLabel50" w:customStyle="1">
    <w:name w:val="ListLabel 50"/>
    <w:uiPriority w:val="0"/>
    <w:qFormat/>
    <w:rPr>
      <w:rFonts w:ascii="Times New Roman" w:hAnsi="Times New Roman"/>
      <w:b/>
      <w:sz w:val="24"/>
      <w:szCs w:val="28"/>
    </w:rPr>
  </w:style>
  <w:style w:type="character" w:styleId="ListLabel51" w:customStyle="1">
    <w:name w:val="ListLabel 51"/>
    <w:uiPriority w:val="0"/>
    <w:qFormat/>
    <w:rPr>
      <w:rFonts w:ascii="Times New Roman" w:hAnsi="Times New Roman" w:eastAsia="Calibri" w:cs="Times New Roman"/>
      <w:sz w:val="20"/>
    </w:rPr>
  </w:style>
  <w:style w:type="character" w:styleId="ListLabel52" w:customStyle="1">
    <w:name w:val="ListLabel 52"/>
    <w:uiPriority w:val="0"/>
    <w:qFormat/>
    <w:rPr>
      <w:rFonts w:cs="Courier New"/>
    </w:rPr>
  </w:style>
  <w:style w:type="character" w:styleId="ListLabel53" w:customStyle="1">
    <w:name w:val="ListLabel 53"/>
    <w:uiPriority w:val="0"/>
    <w:qFormat/>
    <w:rPr>
      <w:rFonts w:cs="Courier New"/>
    </w:rPr>
  </w:style>
  <w:style w:type="character" w:styleId="ListLabel54" w:customStyle="1">
    <w:name w:val="ListLabel 54"/>
    <w:uiPriority w:val="0"/>
    <w:qFormat/>
    <w:rPr>
      <w:rFonts w:cs="Courier New"/>
    </w:rPr>
  </w:style>
  <w:style w:type="character" w:styleId="ListLabel55" w:customStyle="1">
    <w:name w:val="ListLabel 55"/>
    <w:uiPriority w:val="0"/>
    <w:qFormat/>
    <w:rPr>
      <w:rFonts w:cs="Courier New"/>
    </w:rPr>
  </w:style>
  <w:style w:type="character" w:styleId="ListLabel56" w:customStyle="1">
    <w:name w:val="ListLabel 56"/>
    <w:uiPriority w:val="0"/>
    <w:qFormat/>
    <w:rPr>
      <w:rFonts w:cs="Courier New"/>
    </w:rPr>
  </w:style>
  <w:style w:type="character" w:styleId="ListLabel57" w:customStyle="1">
    <w:name w:val="ListLabel 57"/>
    <w:uiPriority w:val="0"/>
    <w:qFormat/>
    <w:rPr>
      <w:rFonts w:cs="Courier New"/>
    </w:rPr>
  </w:style>
  <w:style w:type="character" w:styleId="ListLabel58" w:customStyle="1">
    <w:name w:val="ListLabel 58"/>
    <w:uiPriority w:val="0"/>
    <w:qFormat/>
    <w:rPr>
      <w:rFonts w:cs="Courier New"/>
    </w:rPr>
  </w:style>
  <w:style w:type="character" w:styleId="ListLabel59" w:customStyle="1">
    <w:name w:val="ListLabel 59"/>
    <w:uiPriority w:val="0"/>
    <w:qFormat/>
    <w:rPr>
      <w:rFonts w:cs="Courier New"/>
    </w:rPr>
  </w:style>
  <w:style w:type="character" w:styleId="ListLabel60" w:customStyle="1">
    <w:name w:val="ListLabel 60"/>
    <w:uiPriority w:val="0"/>
    <w:qFormat/>
    <w:rPr>
      <w:rFonts w:cs="Courier New"/>
    </w:rPr>
  </w:style>
  <w:style w:type="character" w:styleId="ListLabel61" w:customStyle="1">
    <w:name w:val="ListLabel 61"/>
    <w:uiPriority w:val="0"/>
    <w:qFormat/>
    <w:rPr>
      <w:rFonts w:cs="Courier New"/>
    </w:rPr>
  </w:style>
  <w:style w:type="character" w:styleId="ListLabel62" w:customStyle="1">
    <w:name w:val="ListLabel 62"/>
    <w:uiPriority w:val="0"/>
    <w:qFormat/>
    <w:rPr>
      <w:rFonts w:cs="Courier New"/>
    </w:rPr>
  </w:style>
  <w:style w:type="character" w:styleId="ListLabel63" w:customStyle="1">
    <w:name w:val="ListLabel 63"/>
    <w:uiPriority w:val="0"/>
    <w:qFormat/>
    <w:rPr>
      <w:rFonts w:cs="Courier New"/>
    </w:rPr>
  </w:style>
  <w:style w:type="character" w:styleId="ListLabel64" w:customStyle="1">
    <w:name w:val="ListLabel 64"/>
    <w:uiPriority w:val="0"/>
    <w:qFormat/>
    <w:rPr>
      <w:rFonts w:cs="Courier New"/>
    </w:rPr>
  </w:style>
  <w:style w:type="character" w:styleId="ListLabel65" w:customStyle="1">
    <w:name w:val="ListLabel 65"/>
    <w:uiPriority w:val="0"/>
    <w:qFormat/>
    <w:rPr>
      <w:rFonts w:cs="Courier New"/>
    </w:rPr>
  </w:style>
  <w:style w:type="character" w:styleId="ListLabel66" w:customStyle="1">
    <w:name w:val="ListLabel 66"/>
    <w:uiPriority w:val="0"/>
    <w:qFormat/>
    <w:rPr>
      <w:rFonts w:cs="Courier New"/>
    </w:rPr>
  </w:style>
  <w:style w:type="character" w:styleId="ListLabel67" w:customStyle="1">
    <w:name w:val="ListLabel 67"/>
    <w:uiPriority w:val="0"/>
    <w:qFormat/>
    <w:rPr>
      <w:rFonts w:eastAsia="Calibri" w:cs="Times New Roman"/>
    </w:rPr>
  </w:style>
  <w:style w:type="character" w:styleId="ListLabel68" w:customStyle="1">
    <w:name w:val="ListLabel 68"/>
    <w:uiPriority w:val="0"/>
    <w:qFormat/>
    <w:rPr>
      <w:rFonts w:cs="Courier New"/>
    </w:rPr>
  </w:style>
  <w:style w:type="character" w:styleId="ListLabel69" w:customStyle="1">
    <w:name w:val="ListLabel 69"/>
    <w:uiPriority w:val="0"/>
    <w:qFormat/>
    <w:rPr>
      <w:rFonts w:cs="Courier New"/>
    </w:rPr>
  </w:style>
  <w:style w:type="character" w:styleId="ListLabel70" w:customStyle="1">
    <w:name w:val="ListLabel 70"/>
    <w:uiPriority w:val="0"/>
    <w:qFormat/>
    <w:rPr>
      <w:rFonts w:cs="Courier New"/>
    </w:rPr>
  </w:style>
  <w:style w:type="character" w:styleId="ListLabel71" w:customStyle="1">
    <w:name w:val="ListLabel 71"/>
    <w:uiPriority w:val="0"/>
    <w:qFormat/>
    <w:rPr>
      <w:rFonts w:cs="Courier New"/>
    </w:rPr>
  </w:style>
  <w:style w:type="character" w:styleId="ListLabel72" w:customStyle="1">
    <w:name w:val="ListLabel 72"/>
    <w:uiPriority w:val="0"/>
    <w:qFormat/>
    <w:rPr>
      <w:rFonts w:cs="Courier New"/>
    </w:rPr>
  </w:style>
  <w:style w:type="character" w:styleId="ListLabel73" w:customStyle="1">
    <w:name w:val="ListLabel 73"/>
    <w:uiPriority w:val="0"/>
    <w:qFormat/>
    <w:rPr>
      <w:rFonts w:cs="Courier New"/>
    </w:rPr>
  </w:style>
  <w:style w:type="character" w:styleId="ListLabel74" w:customStyle="1">
    <w:name w:val="ListLabel 74"/>
    <w:uiPriority w:val="0"/>
    <w:qFormat/>
    <w:rPr>
      <w:rFonts w:ascii="Arial" w:hAnsi="Arial"/>
      <w:sz w:val="22"/>
    </w:rPr>
  </w:style>
  <w:style w:type="character" w:styleId="ListLabel75" w:customStyle="1">
    <w:name w:val="ListLabel 75"/>
    <w:uiPriority w:val="0"/>
    <w:qFormat/>
    <w:rPr>
      <w:sz w:val="20"/>
    </w:rPr>
  </w:style>
  <w:style w:type="character" w:styleId="ListLabel76" w:customStyle="1">
    <w:name w:val="ListLabel 76"/>
    <w:uiPriority w:val="0"/>
    <w:qFormat/>
    <w:rPr>
      <w:sz w:val="20"/>
    </w:rPr>
  </w:style>
  <w:style w:type="character" w:styleId="ListLabel77" w:customStyle="1">
    <w:name w:val="ListLabel 77"/>
    <w:uiPriority w:val="0"/>
    <w:qFormat/>
    <w:rPr>
      <w:sz w:val="20"/>
    </w:rPr>
  </w:style>
  <w:style w:type="character" w:styleId="ListLabel78" w:customStyle="1">
    <w:name w:val="ListLabel 78"/>
    <w:uiPriority w:val="0"/>
    <w:qFormat/>
    <w:rPr>
      <w:sz w:val="20"/>
    </w:rPr>
  </w:style>
  <w:style w:type="character" w:styleId="ListLabel79" w:customStyle="1">
    <w:name w:val="ListLabel 79"/>
    <w:uiPriority w:val="0"/>
    <w:qFormat/>
    <w:rPr>
      <w:sz w:val="20"/>
    </w:rPr>
  </w:style>
  <w:style w:type="character" w:styleId="ListLabel80" w:customStyle="1">
    <w:name w:val="ListLabel 80"/>
    <w:uiPriority w:val="0"/>
    <w:qFormat/>
    <w:rPr>
      <w:sz w:val="20"/>
    </w:rPr>
  </w:style>
  <w:style w:type="character" w:styleId="ListLabel81" w:customStyle="1">
    <w:name w:val="ListLabel 81"/>
    <w:uiPriority w:val="0"/>
    <w:qFormat/>
    <w:rPr>
      <w:sz w:val="20"/>
    </w:rPr>
  </w:style>
  <w:style w:type="character" w:styleId="ListLabel82" w:customStyle="1">
    <w:name w:val="ListLabel 82"/>
    <w:uiPriority w:val="0"/>
    <w:qFormat/>
    <w:rPr>
      <w:sz w:val="20"/>
    </w:rPr>
  </w:style>
  <w:style w:type="character" w:styleId="ListLabel83" w:customStyle="1">
    <w:name w:val="ListLabel 83"/>
    <w:uiPriority w:val="0"/>
    <w:qFormat/>
    <w:rPr>
      <w:rFonts w:eastAsia="Calibri" w:cs="Times New Roman"/>
      <w:sz w:val="24"/>
    </w:rPr>
  </w:style>
  <w:style w:type="character" w:styleId="ListLabel84" w:customStyle="1">
    <w:name w:val="ListLabel 84"/>
    <w:uiPriority w:val="0"/>
    <w:qFormat/>
    <w:rPr>
      <w:rFonts w:cs="Courier New"/>
    </w:rPr>
  </w:style>
  <w:style w:type="character" w:styleId="ListLabel85" w:customStyle="1">
    <w:name w:val="ListLabel 85"/>
    <w:uiPriority w:val="0"/>
    <w:qFormat/>
    <w:rPr>
      <w:rFonts w:cs="Courier New"/>
    </w:rPr>
  </w:style>
  <w:style w:type="character" w:styleId="ListLabel86" w:customStyle="1">
    <w:name w:val="ListLabel 86"/>
    <w:uiPriority w:val="0"/>
    <w:qFormat/>
    <w:rPr>
      <w:rFonts w:cs="Courier New"/>
    </w:rPr>
  </w:style>
  <w:style w:type="character" w:styleId="ListLabel87" w:customStyle="1">
    <w:name w:val="ListLabel 87"/>
    <w:uiPriority w:val="0"/>
    <w:qFormat/>
    <w:rPr>
      <w:rFonts w:ascii="Georgia" w:hAnsi="Georgia" w:eastAsia="Times New Roman" w:cs="Times New Roman"/>
    </w:rPr>
  </w:style>
  <w:style w:type="character" w:styleId="ListLabel88" w:customStyle="1">
    <w:name w:val="ListLabel 88"/>
    <w:uiPriority w:val="0"/>
    <w:qFormat/>
    <w:rPr>
      <w:rFonts w:cs="Courier New"/>
    </w:rPr>
  </w:style>
  <w:style w:type="character" w:styleId="ListLabel89" w:customStyle="1">
    <w:name w:val="ListLabel 89"/>
    <w:uiPriority w:val="0"/>
    <w:qFormat/>
    <w:rPr>
      <w:rFonts w:cs="Courier New"/>
    </w:rPr>
  </w:style>
  <w:style w:type="character" w:styleId="ListLabel90" w:customStyle="1">
    <w:name w:val="ListLabel 90"/>
    <w:uiPriority w:val="0"/>
    <w:qFormat/>
    <w:rPr>
      <w:rFonts w:cs="Courier New"/>
    </w:rPr>
  </w:style>
  <w:style w:type="character" w:styleId="ListLabel91" w:customStyle="1">
    <w:name w:val="ListLabel 91"/>
    <w:uiPriority w:val="0"/>
    <w:qFormat/>
    <w:rPr>
      <w:sz w:val="22"/>
    </w:rPr>
  </w:style>
  <w:style w:type="character" w:styleId="ListLabel92" w:customStyle="1">
    <w:name w:val="ListLabel 92"/>
    <w:uiPriority w:val="0"/>
    <w:qFormat/>
    <w:rPr>
      <w:sz w:val="20"/>
    </w:rPr>
  </w:style>
  <w:style w:type="character" w:styleId="ListLabel93" w:customStyle="1">
    <w:name w:val="ListLabel 93"/>
    <w:uiPriority w:val="0"/>
    <w:qFormat/>
    <w:rPr>
      <w:sz w:val="20"/>
    </w:rPr>
  </w:style>
  <w:style w:type="character" w:styleId="ListLabel94" w:customStyle="1">
    <w:name w:val="ListLabel 94"/>
    <w:uiPriority w:val="0"/>
    <w:qFormat/>
    <w:rPr>
      <w:sz w:val="20"/>
    </w:rPr>
  </w:style>
  <w:style w:type="character" w:styleId="ListLabel95" w:customStyle="1">
    <w:name w:val="ListLabel 95"/>
    <w:uiPriority w:val="0"/>
    <w:qFormat/>
    <w:rPr>
      <w:sz w:val="20"/>
    </w:rPr>
  </w:style>
  <w:style w:type="character" w:styleId="ListLabel96" w:customStyle="1">
    <w:name w:val="ListLabel 96"/>
    <w:uiPriority w:val="0"/>
    <w:qFormat/>
    <w:rPr>
      <w:sz w:val="20"/>
    </w:rPr>
  </w:style>
  <w:style w:type="character" w:styleId="ListLabel97" w:customStyle="1">
    <w:name w:val="ListLabel 97"/>
    <w:uiPriority w:val="0"/>
    <w:qFormat/>
    <w:rPr>
      <w:sz w:val="20"/>
    </w:rPr>
  </w:style>
  <w:style w:type="character" w:styleId="ListLabel98" w:customStyle="1">
    <w:name w:val="ListLabel 98"/>
    <w:uiPriority w:val="0"/>
    <w:qFormat/>
    <w:rPr>
      <w:sz w:val="20"/>
    </w:rPr>
  </w:style>
  <w:style w:type="character" w:styleId="ListLabel99" w:customStyle="1">
    <w:name w:val="ListLabel 99"/>
    <w:uiPriority w:val="0"/>
    <w:qFormat/>
    <w:rPr>
      <w:sz w:val="20"/>
    </w:rPr>
  </w:style>
  <w:style w:type="character" w:styleId="ListLabel100" w:customStyle="1">
    <w:name w:val="ListLabel 100"/>
    <w:uiPriority w:val="0"/>
    <w:qFormat/>
    <w:rPr>
      <w:sz w:val="22"/>
    </w:rPr>
  </w:style>
  <w:style w:type="character" w:styleId="ListLabel101" w:customStyle="1">
    <w:name w:val="ListLabel 101"/>
    <w:uiPriority w:val="0"/>
    <w:qFormat/>
    <w:rPr>
      <w:sz w:val="20"/>
    </w:rPr>
  </w:style>
  <w:style w:type="character" w:styleId="ListLabel102" w:customStyle="1">
    <w:name w:val="ListLabel 102"/>
    <w:uiPriority w:val="0"/>
    <w:qFormat/>
    <w:rPr>
      <w:sz w:val="20"/>
    </w:rPr>
  </w:style>
  <w:style w:type="character" w:styleId="ListLabel103" w:customStyle="1">
    <w:name w:val="ListLabel 103"/>
    <w:uiPriority w:val="0"/>
    <w:qFormat/>
    <w:rPr>
      <w:sz w:val="20"/>
    </w:rPr>
  </w:style>
  <w:style w:type="character" w:styleId="ListLabel104" w:customStyle="1">
    <w:name w:val="ListLabel 104"/>
    <w:uiPriority w:val="0"/>
    <w:qFormat/>
    <w:rPr>
      <w:sz w:val="20"/>
    </w:rPr>
  </w:style>
  <w:style w:type="character" w:styleId="ListLabel105" w:customStyle="1">
    <w:name w:val="ListLabel 105"/>
    <w:uiPriority w:val="0"/>
    <w:qFormat/>
    <w:rPr>
      <w:sz w:val="20"/>
    </w:rPr>
  </w:style>
  <w:style w:type="character" w:styleId="ListLabel106" w:customStyle="1">
    <w:name w:val="ListLabel 106"/>
    <w:uiPriority w:val="0"/>
    <w:qFormat/>
    <w:rPr>
      <w:sz w:val="20"/>
    </w:rPr>
  </w:style>
  <w:style w:type="character" w:styleId="ListLabel107" w:customStyle="1">
    <w:name w:val="ListLabel 107"/>
    <w:uiPriority w:val="0"/>
    <w:qFormat/>
    <w:rPr>
      <w:sz w:val="20"/>
    </w:rPr>
  </w:style>
  <w:style w:type="character" w:styleId="ListLabel108" w:customStyle="1">
    <w:name w:val="ListLabel 108"/>
    <w:uiPriority w:val="0"/>
    <w:qFormat/>
    <w:rPr>
      <w:sz w:val="20"/>
    </w:rPr>
  </w:style>
  <w:style w:type="character" w:styleId="ListLabel109" w:customStyle="1">
    <w:name w:val="ListLabel 109"/>
    <w:uiPriority w:val="0"/>
    <w:qFormat/>
    <w:rPr>
      <w:sz w:val="22"/>
    </w:rPr>
  </w:style>
  <w:style w:type="character" w:styleId="ListLabel110" w:customStyle="1">
    <w:name w:val="ListLabel 110"/>
    <w:uiPriority w:val="0"/>
    <w:qFormat/>
    <w:rPr>
      <w:sz w:val="20"/>
    </w:rPr>
  </w:style>
  <w:style w:type="character" w:styleId="ListLabel111" w:customStyle="1">
    <w:name w:val="ListLabel 111"/>
    <w:uiPriority w:val="0"/>
    <w:qFormat/>
    <w:rPr>
      <w:sz w:val="20"/>
    </w:rPr>
  </w:style>
  <w:style w:type="character" w:styleId="ListLabel112" w:customStyle="1">
    <w:name w:val="ListLabel 112"/>
    <w:uiPriority w:val="0"/>
    <w:qFormat/>
    <w:rPr>
      <w:sz w:val="20"/>
    </w:rPr>
  </w:style>
  <w:style w:type="character" w:styleId="ListLabel113" w:customStyle="1">
    <w:name w:val="ListLabel 113"/>
    <w:uiPriority w:val="0"/>
    <w:qFormat/>
    <w:rPr>
      <w:sz w:val="20"/>
    </w:rPr>
  </w:style>
  <w:style w:type="character" w:styleId="ListLabel114" w:customStyle="1">
    <w:name w:val="ListLabel 114"/>
    <w:uiPriority w:val="0"/>
    <w:qFormat/>
    <w:rPr>
      <w:sz w:val="20"/>
    </w:rPr>
  </w:style>
  <w:style w:type="character" w:styleId="ListLabel115" w:customStyle="1">
    <w:name w:val="ListLabel 115"/>
    <w:uiPriority w:val="0"/>
    <w:qFormat/>
    <w:rPr>
      <w:sz w:val="20"/>
    </w:rPr>
  </w:style>
  <w:style w:type="character" w:styleId="ListLabel116" w:customStyle="1">
    <w:name w:val="ListLabel 116"/>
    <w:uiPriority w:val="0"/>
    <w:qFormat/>
    <w:rPr>
      <w:sz w:val="20"/>
    </w:rPr>
  </w:style>
  <w:style w:type="character" w:styleId="ListLabel117" w:customStyle="1">
    <w:name w:val="ListLabel 117"/>
    <w:uiPriority w:val="0"/>
    <w:qFormat/>
    <w:rPr>
      <w:sz w:val="20"/>
    </w:rPr>
  </w:style>
  <w:style w:type="character" w:styleId="ListLabel118" w:customStyle="1">
    <w:name w:val="ListLabel 118"/>
    <w:uiPriority w:val="0"/>
    <w:qFormat/>
    <w:rPr>
      <w:sz w:val="22"/>
    </w:rPr>
  </w:style>
  <w:style w:type="character" w:styleId="ListLabel119" w:customStyle="1">
    <w:name w:val="ListLabel 119"/>
    <w:uiPriority w:val="0"/>
    <w:qFormat/>
    <w:rPr>
      <w:sz w:val="20"/>
    </w:rPr>
  </w:style>
  <w:style w:type="character" w:styleId="ListLabel120" w:customStyle="1">
    <w:name w:val="ListLabel 120"/>
    <w:uiPriority w:val="0"/>
    <w:qFormat/>
    <w:rPr>
      <w:sz w:val="20"/>
    </w:rPr>
  </w:style>
  <w:style w:type="character" w:styleId="ListLabel121" w:customStyle="1">
    <w:name w:val="ListLabel 121"/>
    <w:uiPriority w:val="0"/>
    <w:qFormat/>
    <w:rPr>
      <w:sz w:val="20"/>
    </w:rPr>
  </w:style>
  <w:style w:type="character" w:styleId="ListLabel122" w:customStyle="1">
    <w:name w:val="ListLabel 122"/>
    <w:uiPriority w:val="0"/>
    <w:qFormat/>
    <w:rPr>
      <w:sz w:val="20"/>
    </w:rPr>
  </w:style>
  <w:style w:type="character" w:styleId="ListLabel123" w:customStyle="1">
    <w:name w:val="ListLabel 123"/>
    <w:uiPriority w:val="0"/>
    <w:qFormat/>
    <w:rPr>
      <w:sz w:val="20"/>
    </w:rPr>
  </w:style>
  <w:style w:type="character" w:styleId="ListLabel124" w:customStyle="1">
    <w:name w:val="ListLabel 124"/>
    <w:uiPriority w:val="0"/>
    <w:qFormat/>
    <w:rPr>
      <w:sz w:val="20"/>
    </w:rPr>
  </w:style>
  <w:style w:type="character" w:styleId="ListLabel125" w:customStyle="1">
    <w:name w:val="ListLabel 125"/>
    <w:uiPriority w:val="0"/>
    <w:qFormat/>
    <w:rPr>
      <w:sz w:val="20"/>
    </w:rPr>
  </w:style>
  <w:style w:type="character" w:styleId="ListLabel126" w:customStyle="1">
    <w:name w:val="ListLabel 126"/>
    <w:uiPriority w:val="0"/>
    <w:qFormat/>
    <w:rPr>
      <w:sz w:val="20"/>
    </w:rPr>
  </w:style>
  <w:style w:type="character" w:styleId="ListLabel127" w:customStyle="1">
    <w:name w:val="ListLabel 127"/>
    <w:uiPriority w:val="0"/>
    <w:qFormat/>
    <w:rPr>
      <w:sz w:val="22"/>
    </w:rPr>
  </w:style>
  <w:style w:type="character" w:styleId="ListLabel128" w:customStyle="1">
    <w:name w:val="ListLabel 128"/>
    <w:uiPriority w:val="0"/>
    <w:qFormat/>
    <w:rPr>
      <w:sz w:val="20"/>
    </w:rPr>
  </w:style>
  <w:style w:type="character" w:styleId="ListLabel129" w:customStyle="1">
    <w:name w:val="ListLabel 129"/>
    <w:uiPriority w:val="0"/>
    <w:qFormat/>
    <w:rPr>
      <w:sz w:val="20"/>
    </w:rPr>
  </w:style>
  <w:style w:type="character" w:styleId="ListLabel130" w:customStyle="1">
    <w:name w:val="ListLabel 130"/>
    <w:uiPriority w:val="0"/>
    <w:qFormat/>
    <w:rPr>
      <w:sz w:val="20"/>
    </w:rPr>
  </w:style>
  <w:style w:type="character" w:styleId="ListLabel131" w:customStyle="1">
    <w:name w:val="ListLabel 131"/>
    <w:uiPriority w:val="0"/>
    <w:qFormat/>
    <w:rPr>
      <w:sz w:val="20"/>
    </w:rPr>
  </w:style>
  <w:style w:type="character" w:styleId="ListLabel132" w:customStyle="1">
    <w:name w:val="ListLabel 132"/>
    <w:uiPriority w:val="0"/>
    <w:qFormat/>
    <w:rPr>
      <w:sz w:val="20"/>
    </w:rPr>
  </w:style>
  <w:style w:type="character" w:styleId="ListLabel133" w:customStyle="1">
    <w:name w:val="ListLabel 133"/>
    <w:uiPriority w:val="0"/>
    <w:qFormat/>
    <w:rPr>
      <w:sz w:val="20"/>
    </w:rPr>
  </w:style>
  <w:style w:type="character" w:styleId="ListLabel134" w:customStyle="1">
    <w:name w:val="ListLabel 134"/>
    <w:uiPriority w:val="0"/>
    <w:qFormat/>
    <w:rPr>
      <w:sz w:val="20"/>
    </w:rPr>
  </w:style>
  <w:style w:type="character" w:styleId="ListLabel135" w:customStyle="1">
    <w:name w:val="ListLabel 135"/>
    <w:uiPriority w:val="0"/>
    <w:qFormat/>
    <w:rPr>
      <w:sz w:val="20"/>
    </w:rPr>
  </w:style>
  <w:style w:type="character" w:styleId="ListLabel136" w:customStyle="1">
    <w:name w:val="ListLabel 136"/>
    <w:uiPriority w:val="0"/>
    <w:qFormat/>
    <w:rPr>
      <w:sz w:val="22"/>
    </w:rPr>
  </w:style>
  <w:style w:type="character" w:styleId="ListLabel137" w:customStyle="1">
    <w:name w:val="ListLabel 137"/>
    <w:uiPriority w:val="0"/>
    <w:qFormat/>
    <w:rPr>
      <w:sz w:val="20"/>
    </w:rPr>
  </w:style>
  <w:style w:type="character" w:styleId="ListLabel138" w:customStyle="1">
    <w:name w:val="ListLabel 138"/>
    <w:uiPriority w:val="0"/>
    <w:qFormat/>
    <w:rPr>
      <w:sz w:val="20"/>
    </w:rPr>
  </w:style>
  <w:style w:type="character" w:styleId="ListLabel139" w:customStyle="1">
    <w:name w:val="ListLabel 139"/>
    <w:uiPriority w:val="0"/>
    <w:qFormat/>
    <w:rPr>
      <w:sz w:val="20"/>
    </w:rPr>
  </w:style>
  <w:style w:type="character" w:styleId="ListLabel140" w:customStyle="1">
    <w:name w:val="ListLabel 140"/>
    <w:uiPriority w:val="0"/>
    <w:qFormat/>
    <w:rPr>
      <w:sz w:val="20"/>
    </w:rPr>
  </w:style>
  <w:style w:type="character" w:styleId="ListLabel141" w:customStyle="1">
    <w:name w:val="ListLabel 141"/>
    <w:uiPriority w:val="0"/>
    <w:qFormat/>
    <w:rPr>
      <w:sz w:val="20"/>
    </w:rPr>
  </w:style>
  <w:style w:type="character" w:styleId="ListLabel142" w:customStyle="1">
    <w:name w:val="ListLabel 142"/>
    <w:uiPriority w:val="0"/>
    <w:qFormat/>
    <w:rPr>
      <w:sz w:val="20"/>
    </w:rPr>
  </w:style>
  <w:style w:type="character" w:styleId="ListLabel143" w:customStyle="1">
    <w:name w:val="ListLabel 143"/>
    <w:uiPriority w:val="0"/>
    <w:qFormat/>
    <w:rPr>
      <w:sz w:val="20"/>
    </w:rPr>
  </w:style>
  <w:style w:type="character" w:styleId="ListLabel144" w:customStyle="1">
    <w:name w:val="ListLabel 144"/>
    <w:uiPriority w:val="0"/>
    <w:qFormat/>
    <w:rPr>
      <w:sz w:val="20"/>
    </w:rPr>
  </w:style>
  <w:style w:type="character" w:styleId="ListLabel145" w:customStyle="1">
    <w:name w:val="ListLabel 145"/>
    <w:uiPriority w:val="0"/>
    <w:qFormat/>
    <w:rPr>
      <w:sz w:val="22"/>
    </w:rPr>
  </w:style>
  <w:style w:type="character" w:styleId="ListLabel146" w:customStyle="1">
    <w:name w:val="ListLabel 146"/>
    <w:uiPriority w:val="0"/>
    <w:qFormat/>
    <w:rPr>
      <w:sz w:val="20"/>
    </w:rPr>
  </w:style>
  <w:style w:type="character" w:styleId="ListLabel147" w:customStyle="1">
    <w:name w:val="ListLabel 147"/>
    <w:uiPriority w:val="0"/>
    <w:qFormat/>
    <w:rPr>
      <w:sz w:val="20"/>
    </w:rPr>
  </w:style>
  <w:style w:type="character" w:styleId="ListLabel148" w:customStyle="1">
    <w:name w:val="ListLabel 148"/>
    <w:uiPriority w:val="0"/>
    <w:qFormat/>
    <w:rPr>
      <w:sz w:val="20"/>
    </w:rPr>
  </w:style>
  <w:style w:type="character" w:styleId="ListLabel149" w:customStyle="1">
    <w:name w:val="ListLabel 149"/>
    <w:uiPriority w:val="0"/>
    <w:qFormat/>
    <w:rPr>
      <w:sz w:val="20"/>
    </w:rPr>
  </w:style>
  <w:style w:type="character" w:styleId="ListLabel150" w:customStyle="1">
    <w:name w:val="ListLabel 150"/>
    <w:uiPriority w:val="0"/>
    <w:qFormat/>
    <w:rPr>
      <w:sz w:val="20"/>
    </w:rPr>
  </w:style>
  <w:style w:type="character" w:styleId="ListLabel151" w:customStyle="1">
    <w:name w:val="ListLabel 151"/>
    <w:uiPriority w:val="0"/>
    <w:qFormat/>
    <w:rPr>
      <w:sz w:val="20"/>
    </w:rPr>
  </w:style>
  <w:style w:type="character" w:styleId="ListLabel152" w:customStyle="1">
    <w:name w:val="ListLabel 152"/>
    <w:uiPriority w:val="0"/>
    <w:qFormat/>
    <w:rPr>
      <w:sz w:val="20"/>
    </w:rPr>
  </w:style>
  <w:style w:type="character" w:styleId="ListLabel153" w:customStyle="1">
    <w:name w:val="ListLabel 153"/>
    <w:uiPriority w:val="0"/>
    <w:qFormat/>
    <w:rPr>
      <w:sz w:val="20"/>
    </w:rPr>
  </w:style>
  <w:style w:type="character" w:styleId="ListLabel154" w:customStyle="1">
    <w:name w:val="ListLabel 154"/>
    <w:uiPriority w:val="0"/>
    <w:qFormat/>
    <w:rPr>
      <w:sz w:val="22"/>
    </w:rPr>
  </w:style>
  <w:style w:type="character" w:styleId="ListLabel155" w:customStyle="1">
    <w:name w:val="ListLabel 155"/>
    <w:uiPriority w:val="0"/>
    <w:qFormat/>
    <w:rPr>
      <w:sz w:val="20"/>
    </w:rPr>
  </w:style>
  <w:style w:type="character" w:styleId="ListLabel156" w:customStyle="1">
    <w:name w:val="ListLabel 156"/>
    <w:uiPriority w:val="0"/>
    <w:qFormat/>
    <w:rPr>
      <w:sz w:val="20"/>
    </w:rPr>
  </w:style>
  <w:style w:type="character" w:styleId="ListLabel157" w:customStyle="1">
    <w:name w:val="ListLabel 157"/>
    <w:uiPriority w:val="0"/>
    <w:qFormat/>
    <w:rPr>
      <w:sz w:val="20"/>
    </w:rPr>
  </w:style>
  <w:style w:type="character" w:styleId="ListLabel158" w:customStyle="1">
    <w:name w:val="ListLabel 158"/>
    <w:uiPriority w:val="0"/>
    <w:qFormat/>
    <w:rPr>
      <w:sz w:val="20"/>
    </w:rPr>
  </w:style>
  <w:style w:type="character" w:styleId="ListLabel159" w:customStyle="1">
    <w:name w:val="ListLabel 159"/>
    <w:uiPriority w:val="0"/>
    <w:qFormat/>
    <w:rPr>
      <w:sz w:val="20"/>
    </w:rPr>
  </w:style>
  <w:style w:type="character" w:styleId="ListLabel160" w:customStyle="1">
    <w:name w:val="ListLabel 160"/>
    <w:uiPriority w:val="0"/>
    <w:qFormat/>
    <w:rPr>
      <w:sz w:val="20"/>
    </w:rPr>
  </w:style>
  <w:style w:type="character" w:styleId="ListLabel161" w:customStyle="1">
    <w:name w:val="ListLabel 161"/>
    <w:uiPriority w:val="0"/>
    <w:qFormat/>
    <w:rPr>
      <w:sz w:val="20"/>
    </w:rPr>
  </w:style>
  <w:style w:type="character" w:styleId="ListLabel162" w:customStyle="1">
    <w:name w:val="ListLabel 162"/>
    <w:uiPriority w:val="0"/>
    <w:qFormat/>
    <w:rPr>
      <w:sz w:val="20"/>
    </w:rPr>
  </w:style>
  <w:style w:type="character" w:styleId="ListLabel163" w:customStyle="1">
    <w:name w:val="ListLabel 163"/>
    <w:uiPriority w:val="0"/>
    <w:qFormat/>
    <w:rPr>
      <w:sz w:val="22"/>
    </w:rPr>
  </w:style>
  <w:style w:type="character" w:styleId="ListLabel164" w:customStyle="1">
    <w:name w:val="ListLabel 164"/>
    <w:uiPriority w:val="0"/>
    <w:qFormat/>
    <w:rPr>
      <w:sz w:val="20"/>
    </w:rPr>
  </w:style>
  <w:style w:type="character" w:styleId="ListLabel165" w:customStyle="1">
    <w:name w:val="ListLabel 165"/>
    <w:uiPriority w:val="0"/>
    <w:qFormat/>
    <w:rPr>
      <w:sz w:val="20"/>
    </w:rPr>
  </w:style>
  <w:style w:type="character" w:styleId="ListLabel166" w:customStyle="1">
    <w:name w:val="ListLabel 166"/>
    <w:uiPriority w:val="0"/>
    <w:qFormat/>
    <w:rPr>
      <w:sz w:val="20"/>
    </w:rPr>
  </w:style>
  <w:style w:type="character" w:styleId="ListLabel167" w:customStyle="1">
    <w:name w:val="ListLabel 167"/>
    <w:uiPriority w:val="0"/>
    <w:qFormat/>
    <w:rPr>
      <w:sz w:val="20"/>
    </w:rPr>
  </w:style>
  <w:style w:type="character" w:styleId="ListLabel168" w:customStyle="1">
    <w:name w:val="ListLabel 168"/>
    <w:uiPriority w:val="0"/>
    <w:qFormat/>
    <w:rPr>
      <w:sz w:val="20"/>
    </w:rPr>
  </w:style>
  <w:style w:type="character" w:styleId="ListLabel169" w:customStyle="1">
    <w:name w:val="ListLabel 169"/>
    <w:uiPriority w:val="0"/>
    <w:qFormat/>
    <w:rPr>
      <w:sz w:val="20"/>
    </w:rPr>
  </w:style>
  <w:style w:type="character" w:styleId="ListLabel170" w:customStyle="1">
    <w:name w:val="ListLabel 170"/>
    <w:uiPriority w:val="0"/>
    <w:qFormat/>
    <w:rPr>
      <w:sz w:val="20"/>
    </w:rPr>
  </w:style>
  <w:style w:type="character" w:styleId="ListLabel171" w:customStyle="1">
    <w:name w:val="ListLabel 171"/>
    <w:uiPriority w:val="0"/>
    <w:qFormat/>
    <w:rPr>
      <w:sz w:val="20"/>
    </w:rPr>
  </w:style>
  <w:style w:type="character" w:styleId="ListLabel172" w:customStyle="1">
    <w:name w:val="ListLabel 172"/>
    <w:uiPriority w:val="0"/>
    <w:qFormat/>
    <w:rPr>
      <w:rFonts w:cs="Courier New"/>
    </w:rPr>
  </w:style>
  <w:style w:type="character" w:styleId="ListLabel173" w:customStyle="1">
    <w:name w:val="ListLabel 173"/>
    <w:uiPriority w:val="0"/>
    <w:qFormat/>
    <w:rPr>
      <w:rFonts w:cs="Courier New"/>
    </w:rPr>
  </w:style>
  <w:style w:type="character" w:styleId="ListLabel174" w:customStyle="1">
    <w:name w:val="ListLabel 174"/>
    <w:uiPriority w:val="0"/>
    <w:qFormat/>
    <w:rPr>
      <w:rFonts w:cs="Courier New"/>
    </w:rPr>
  </w:style>
  <w:style w:type="character" w:styleId="ListLabel175" w:customStyle="1">
    <w:name w:val="ListLabel 175"/>
    <w:uiPriority w:val="0"/>
    <w:qFormat/>
    <w:rPr>
      <w:rFonts w:cs="Courier New"/>
    </w:rPr>
  </w:style>
  <w:style w:type="character" w:styleId="ListLabel176" w:customStyle="1">
    <w:name w:val="ListLabel 176"/>
    <w:uiPriority w:val="0"/>
    <w:qFormat/>
    <w:rPr>
      <w:rFonts w:cs="Courier New"/>
    </w:rPr>
  </w:style>
  <w:style w:type="character" w:styleId="ListLabel177" w:customStyle="1">
    <w:name w:val="ListLabel 177"/>
    <w:uiPriority w:val="0"/>
    <w:qFormat/>
    <w:rPr>
      <w:rFonts w:cs="Courier New"/>
    </w:rPr>
  </w:style>
  <w:style w:type="character" w:styleId="ListLabel178" w:customStyle="1">
    <w:name w:val="ListLabel 178"/>
    <w:uiPriority w:val="0"/>
    <w:qFormat/>
    <w:rPr>
      <w:rFonts w:ascii="Times-Roman" w:hAnsi="Times-Roman"/>
      <w:sz w:val="24"/>
      <w:szCs w:val="32"/>
    </w:rPr>
  </w:style>
  <w:style w:type="character" w:styleId="ListLabel179" w:customStyle="1">
    <w:name w:val="ListLabel 179"/>
    <w:uiPriority w:val="0"/>
    <w:qFormat/>
    <w:rPr>
      <w:rFonts w:cs="Courier New"/>
    </w:rPr>
  </w:style>
  <w:style w:type="character" w:styleId="ListLabel180" w:customStyle="1">
    <w:name w:val="ListLabel 180"/>
    <w:uiPriority w:val="0"/>
    <w:qFormat/>
    <w:rPr>
      <w:rFonts w:cs="Courier New"/>
    </w:rPr>
  </w:style>
  <w:style w:type="character" w:styleId="ListLabel181" w:customStyle="1">
    <w:name w:val="ListLabel 181"/>
    <w:uiPriority w:val="0"/>
    <w:qFormat/>
    <w:rPr>
      <w:rFonts w:cs="Courier New"/>
    </w:rPr>
  </w:style>
  <w:style w:type="character" w:styleId="ListLabel182" w:customStyle="1">
    <w:name w:val="ListLabel 182"/>
    <w:uiPriority w:val="0"/>
    <w:qFormat/>
    <w:rPr>
      <w:rFonts w:cs="Courier New"/>
    </w:rPr>
  </w:style>
  <w:style w:type="character" w:styleId="ListLabel183" w:customStyle="1">
    <w:name w:val="ListLabel 183"/>
    <w:uiPriority w:val="0"/>
    <w:qFormat/>
    <w:rPr>
      <w:rFonts w:cs="Courier New"/>
    </w:rPr>
  </w:style>
  <w:style w:type="character" w:styleId="ListLabel184" w:customStyle="1">
    <w:name w:val="ListLabel 184"/>
    <w:uiPriority w:val="0"/>
    <w:qFormat/>
    <w:rPr>
      <w:rFonts w:cs="Courier New"/>
    </w:rPr>
  </w:style>
  <w:style w:type="character" w:styleId="ListLabel185" w:customStyle="1">
    <w:name w:val="ListLabel 185"/>
    <w:uiPriority w:val="0"/>
    <w:qFormat/>
    <w:rPr>
      <w:rFonts w:cs="Courier New"/>
    </w:rPr>
  </w:style>
  <w:style w:type="character" w:styleId="ListLabel186" w:customStyle="1">
    <w:name w:val="ListLabel 186"/>
    <w:uiPriority w:val="0"/>
    <w:qFormat/>
    <w:rPr>
      <w:rFonts w:cs="Courier New"/>
    </w:rPr>
  </w:style>
  <w:style w:type="character" w:styleId="ListLabel187" w:customStyle="1">
    <w:name w:val="ListLabel 187"/>
    <w:uiPriority w:val="0"/>
    <w:qFormat/>
    <w:rPr>
      <w:rFonts w:cs="Courier New"/>
    </w:rPr>
  </w:style>
  <w:style w:type="character" w:styleId="ListLabel188" w:customStyle="1">
    <w:name w:val="ListLabel 188"/>
    <w:uiPriority w:val="0"/>
    <w:qFormat/>
    <w:rPr>
      <w:rFonts w:cs="Courier New"/>
    </w:rPr>
  </w:style>
  <w:style w:type="character" w:styleId="ListLabel189" w:customStyle="1">
    <w:name w:val="ListLabel 189"/>
    <w:uiPriority w:val="0"/>
    <w:qFormat/>
    <w:rPr>
      <w:rFonts w:cs="Courier New"/>
    </w:rPr>
  </w:style>
  <w:style w:type="character" w:styleId="ListLabel190" w:customStyle="1">
    <w:name w:val="ListLabel 190"/>
    <w:uiPriority w:val="0"/>
    <w:qFormat/>
    <w:rPr>
      <w:rFonts w:cs="Courier New"/>
    </w:rPr>
  </w:style>
  <w:style w:type="character" w:styleId="ListLabel191" w:customStyle="1">
    <w:name w:val="ListLabel 191"/>
    <w:uiPriority w:val="0"/>
    <w:qFormat/>
    <w:rPr>
      <w:rFonts w:cs="Courier New"/>
    </w:rPr>
  </w:style>
  <w:style w:type="character" w:styleId="ListLabel192" w:customStyle="1">
    <w:name w:val="ListLabel 192"/>
    <w:uiPriority w:val="0"/>
    <w:qFormat/>
    <w:rPr>
      <w:rFonts w:cs="Courier New"/>
    </w:rPr>
  </w:style>
  <w:style w:type="character" w:styleId="ListLabel193" w:customStyle="1">
    <w:name w:val="ListLabel 193"/>
    <w:uiPriority w:val="0"/>
    <w:qFormat/>
    <w:rPr>
      <w:rFonts w:cs="Courier New"/>
    </w:rPr>
  </w:style>
  <w:style w:type="character" w:styleId="ListLabel194" w:customStyle="1">
    <w:name w:val="ListLabel 194"/>
    <w:uiPriority w:val="0"/>
    <w:qFormat/>
    <w:rPr>
      <w:rFonts w:cs="Courier New"/>
    </w:rPr>
  </w:style>
  <w:style w:type="character" w:styleId="ListLabel195" w:customStyle="1">
    <w:name w:val="ListLabel 195"/>
    <w:uiPriority w:val="0"/>
    <w:qFormat/>
    <w:rPr>
      <w:rFonts w:cs="Courier New"/>
    </w:rPr>
  </w:style>
  <w:style w:type="character" w:styleId="ListLabel196" w:customStyle="1">
    <w:name w:val="ListLabel 196"/>
    <w:uiPriority w:val="0"/>
    <w:qFormat/>
    <w:rPr>
      <w:rFonts w:cs="Courier New"/>
    </w:rPr>
  </w:style>
  <w:style w:type="character" w:styleId="ListLabel197" w:customStyle="1">
    <w:name w:val="ListLabel 197"/>
    <w:uiPriority w:val="0"/>
    <w:qFormat/>
    <w:rPr>
      <w:rFonts w:cs="Courier New"/>
    </w:rPr>
  </w:style>
  <w:style w:type="character" w:styleId="ListLabel198" w:customStyle="1">
    <w:name w:val="ListLabel 198"/>
    <w:uiPriority w:val="0"/>
    <w:qFormat/>
    <w:rPr>
      <w:rFonts w:cs="Courier New"/>
    </w:rPr>
  </w:style>
  <w:style w:type="character" w:styleId="ListLabel199" w:customStyle="1">
    <w:name w:val="ListLabel 199"/>
    <w:uiPriority w:val="0"/>
    <w:qFormat/>
    <w:rPr>
      <w:rFonts w:cs="Courier New"/>
    </w:rPr>
  </w:style>
  <w:style w:type="character" w:styleId="ListLabel200" w:customStyle="1">
    <w:name w:val="ListLabel 200"/>
    <w:uiPriority w:val="0"/>
    <w:qFormat/>
    <w:rPr>
      <w:sz w:val="20"/>
    </w:rPr>
  </w:style>
  <w:style w:type="character" w:styleId="ListLabel201" w:customStyle="1">
    <w:name w:val="ListLabel 201"/>
    <w:uiPriority w:val="0"/>
    <w:qFormat/>
    <w:rPr>
      <w:sz w:val="20"/>
    </w:rPr>
  </w:style>
  <w:style w:type="character" w:styleId="ListLabel202" w:customStyle="1">
    <w:name w:val="ListLabel 202"/>
    <w:uiPriority w:val="0"/>
    <w:qFormat/>
    <w:rPr>
      <w:sz w:val="20"/>
    </w:rPr>
  </w:style>
  <w:style w:type="character" w:styleId="ListLabel203" w:customStyle="1">
    <w:name w:val="ListLabel 203"/>
    <w:uiPriority w:val="0"/>
    <w:qFormat/>
    <w:rPr>
      <w:sz w:val="20"/>
    </w:rPr>
  </w:style>
  <w:style w:type="character" w:styleId="ListLabel204" w:customStyle="1">
    <w:name w:val="ListLabel 204"/>
    <w:uiPriority w:val="0"/>
    <w:qFormat/>
    <w:rPr>
      <w:sz w:val="20"/>
    </w:rPr>
  </w:style>
  <w:style w:type="character" w:styleId="ListLabel205" w:customStyle="1">
    <w:name w:val="ListLabel 205"/>
    <w:uiPriority w:val="0"/>
    <w:qFormat/>
    <w:rPr>
      <w:sz w:val="20"/>
    </w:rPr>
  </w:style>
  <w:style w:type="character" w:styleId="ListLabel206" w:customStyle="1">
    <w:name w:val="ListLabel 206"/>
    <w:uiPriority w:val="0"/>
    <w:qFormat/>
    <w:rPr>
      <w:sz w:val="20"/>
    </w:rPr>
  </w:style>
  <w:style w:type="character" w:styleId="ListLabel207" w:customStyle="1">
    <w:name w:val="ListLabel 207"/>
    <w:uiPriority w:val="0"/>
    <w:qFormat/>
    <w:rPr>
      <w:sz w:val="20"/>
    </w:rPr>
  </w:style>
  <w:style w:type="character" w:styleId="ListLabel208" w:customStyle="1">
    <w:name w:val="ListLabel 208"/>
    <w:uiPriority w:val="0"/>
    <w:qFormat/>
    <w:rPr>
      <w:sz w:val="20"/>
    </w:rPr>
  </w:style>
  <w:style w:type="character" w:styleId="ListLabel209" w:customStyle="1">
    <w:name w:val="ListLabel 209"/>
    <w:uiPriority w:val="0"/>
    <w:qFormat/>
    <w:rPr>
      <w:rFonts w:ascii="Arial" w:hAnsi="Arial"/>
      <w:sz w:val="20"/>
    </w:rPr>
  </w:style>
  <w:style w:type="character" w:styleId="ListLabel210" w:customStyle="1">
    <w:name w:val="ListLabel 210"/>
    <w:uiPriority w:val="0"/>
    <w:qFormat/>
    <w:rPr>
      <w:sz w:val="20"/>
    </w:rPr>
  </w:style>
  <w:style w:type="character" w:styleId="ListLabel211" w:customStyle="1">
    <w:name w:val="ListLabel 211"/>
    <w:uiPriority w:val="0"/>
    <w:qFormat/>
    <w:rPr>
      <w:sz w:val="20"/>
    </w:rPr>
  </w:style>
  <w:style w:type="character" w:styleId="ListLabel212" w:customStyle="1">
    <w:name w:val="ListLabel 212"/>
    <w:uiPriority w:val="0"/>
    <w:qFormat/>
    <w:rPr>
      <w:sz w:val="20"/>
    </w:rPr>
  </w:style>
  <w:style w:type="character" w:styleId="ListLabel213" w:customStyle="1">
    <w:name w:val="ListLabel 213"/>
    <w:uiPriority w:val="0"/>
    <w:qFormat/>
    <w:rPr>
      <w:sz w:val="20"/>
    </w:rPr>
  </w:style>
  <w:style w:type="character" w:styleId="ListLabel214" w:customStyle="1">
    <w:name w:val="ListLabel 214"/>
    <w:uiPriority w:val="0"/>
    <w:qFormat/>
    <w:rPr>
      <w:sz w:val="20"/>
    </w:rPr>
  </w:style>
  <w:style w:type="character" w:styleId="ListLabel215" w:customStyle="1">
    <w:name w:val="ListLabel 215"/>
    <w:uiPriority w:val="0"/>
    <w:qFormat/>
    <w:rPr>
      <w:sz w:val="20"/>
    </w:rPr>
  </w:style>
  <w:style w:type="character" w:styleId="ListLabel216" w:customStyle="1">
    <w:name w:val="ListLabel 216"/>
    <w:uiPriority w:val="0"/>
    <w:qFormat/>
    <w:rPr>
      <w:sz w:val="20"/>
    </w:rPr>
  </w:style>
  <w:style w:type="character" w:styleId="ListLabel217" w:customStyle="1">
    <w:name w:val="ListLabel 217"/>
    <w:uiPriority w:val="0"/>
    <w:qFormat/>
    <w:rPr>
      <w:sz w:val="20"/>
    </w:rPr>
  </w:style>
  <w:style w:type="character" w:styleId="ListLabel218" w:customStyle="1">
    <w:name w:val="ListLabel 218"/>
    <w:uiPriority w:val="0"/>
    <w:qFormat/>
    <w:rPr>
      <w:sz w:val="22"/>
      <w:szCs w:val="22"/>
      <w:highlight w:val="blue"/>
    </w:rPr>
  </w:style>
  <w:style w:type="character" w:styleId="ListLabel219" w:customStyle="1">
    <w:name w:val="ListLabel 219"/>
    <w:uiPriority w:val="0"/>
    <w:qFormat/>
    <w:rPr>
      <w:sz w:val="22"/>
      <w:szCs w:val="22"/>
      <w:lang w:val="ro-RO"/>
    </w:rPr>
  </w:style>
  <w:style w:type="character" w:styleId="ListLabel220" w:customStyle="1">
    <w:name w:val="ListLabel 220"/>
    <w:uiPriority w:val="0"/>
    <w:qFormat/>
    <w:rPr>
      <w:bCs/>
    </w:rPr>
  </w:style>
  <w:style w:type="character" w:styleId="ListLabel221" w:customStyle="1">
    <w:name w:val="ListLabel 221"/>
    <w:uiPriority w:val="0"/>
    <w:qFormat/>
    <w:rPr>
      <w:rFonts w:ascii="Times New Roman" w:hAnsi="Times New Roman"/>
      <w:bCs/>
      <w:color w:val="auto"/>
      <w:sz w:val="24"/>
      <w:szCs w:val="24"/>
      <w:highlight w:val="white"/>
      <w:u w:val="none"/>
    </w:rPr>
  </w:style>
  <w:style w:type="character" w:styleId="ListLabel222" w:customStyle="1">
    <w:name w:val="ListLabel 222"/>
    <w:uiPriority w:val="0"/>
    <w:qFormat/>
    <w:rPr>
      <w:rFonts w:ascii="Times New Roman" w:hAnsi="Times New Roman"/>
      <w:color w:val="000000"/>
      <w:sz w:val="24"/>
      <w:szCs w:val="24"/>
      <w:highlight w:val="white"/>
      <w:u w:val="none"/>
    </w:rPr>
  </w:style>
  <w:style w:type="character" w:styleId="ListLabel223" w:customStyle="1">
    <w:name w:val="ListLabel 223"/>
    <w:uiPriority w:val="0"/>
    <w:qFormat/>
    <w:rPr>
      <w:rFonts w:ascii="Times New Roman" w:hAnsi="Times New Roman" w:eastAsia="Calibri"/>
      <w:b/>
      <w:color w:val="000000"/>
      <w:sz w:val="24"/>
      <w:szCs w:val="24"/>
      <w:highlight w:val="white"/>
    </w:rPr>
  </w:style>
  <w:style w:type="character" w:styleId="ListLabel224" w:customStyle="1">
    <w:name w:val="ListLabel 224"/>
    <w:uiPriority w:val="0"/>
    <w:qFormat/>
    <w:rPr>
      <w:rFonts w:ascii="Times New Roman" w:hAnsi="Times New Roman"/>
      <w:b/>
      <w:sz w:val="24"/>
      <w:szCs w:val="24"/>
      <w:lang w:eastAsia="en-GB"/>
    </w:rPr>
  </w:style>
  <w:style w:type="character" w:styleId="ListLabel225" w:customStyle="1">
    <w:name w:val="ListLabel 225"/>
    <w:uiPriority w:val="0"/>
    <w:qFormat/>
    <w:rPr>
      <w:rFonts w:ascii="Times New Roman" w:hAnsi="Times New Roman"/>
      <w:color w:val="auto"/>
      <w:sz w:val="24"/>
      <w:szCs w:val="24"/>
      <w:highlight w:val="white"/>
      <w:u w:val="none"/>
    </w:rPr>
  </w:style>
  <w:style w:type="character" w:styleId="ListLabel226" w:customStyle="1">
    <w:name w:val="ListLabel 226"/>
    <w:uiPriority w:val="0"/>
    <w:qFormat/>
    <w:rPr>
      <w:rFonts w:ascii="Times New Roman" w:hAnsi="Times New Roman"/>
      <w:color w:val="auto"/>
      <w:sz w:val="24"/>
      <w:szCs w:val="24"/>
      <w:u w:val="none"/>
    </w:rPr>
  </w:style>
  <w:style w:type="character" w:styleId="ListLabel227" w:customStyle="1">
    <w:name w:val="ListLabel 227"/>
    <w:uiPriority w:val="0"/>
    <w:qFormat/>
    <w:rPr>
      <w:rFonts w:ascii="Times New Roman" w:hAnsi="Times New Roman"/>
      <w:i/>
      <w:iCs/>
      <w:sz w:val="24"/>
      <w:szCs w:val="24"/>
      <w:lang w:eastAsia="en-GB"/>
    </w:rPr>
  </w:style>
  <w:style w:type="character" w:styleId="ListLabel228" w:customStyle="1">
    <w:name w:val="ListLabel 228"/>
    <w:uiPriority w:val="0"/>
    <w:qFormat/>
    <w:rPr>
      <w:rFonts w:ascii="Times New Roman" w:hAnsi="Times New Roman" w:eastAsia="Calibri"/>
      <w:b/>
      <w:bCs/>
      <w:color w:val="auto"/>
      <w:sz w:val="24"/>
      <w:szCs w:val="24"/>
      <w:u w:val="none"/>
    </w:rPr>
  </w:style>
  <w:style w:type="character" w:styleId="ListLabel229" w:customStyle="1">
    <w:name w:val="ListLabel 229"/>
    <w:uiPriority w:val="0"/>
    <w:qFormat/>
    <w:rPr>
      <w:rFonts w:ascii="Times New Roman" w:hAnsi="Times New Roman" w:eastAsia="Calibri"/>
      <w:color w:val="auto"/>
      <w:sz w:val="24"/>
      <w:szCs w:val="24"/>
      <w:u w:val="none"/>
    </w:rPr>
  </w:style>
  <w:style w:type="character" w:styleId="ListLabel230" w:customStyle="1">
    <w:name w:val="ListLabel 230"/>
    <w:uiPriority w:val="0"/>
    <w:qFormat/>
    <w:rPr>
      <w:color w:val="auto"/>
      <w:sz w:val="24"/>
      <w:szCs w:val="24"/>
      <w:highlight w:val="white"/>
      <w:u w:val="none"/>
    </w:rPr>
  </w:style>
  <w:style w:type="character" w:styleId="ListLabel231" w:customStyle="1">
    <w:name w:val="ListLabel 231"/>
    <w:uiPriority w:val="0"/>
    <w:qFormat/>
    <w:rPr>
      <w:b/>
      <w:color w:val="auto"/>
      <w:sz w:val="24"/>
      <w:szCs w:val="24"/>
      <w:highlight w:val="white"/>
      <w:u w:val="none"/>
    </w:rPr>
  </w:style>
  <w:style w:type="character" w:styleId="ListLabel232" w:customStyle="1">
    <w:name w:val="ListLabel 232"/>
    <w:uiPriority w:val="0"/>
    <w:qFormat/>
    <w:rPr>
      <w:color w:val="auto"/>
      <w:sz w:val="24"/>
      <w:szCs w:val="24"/>
      <w:u w:val="none"/>
    </w:rPr>
  </w:style>
  <w:style w:type="character" w:styleId="ListLabel233" w:customStyle="1">
    <w:name w:val="ListLabel 233"/>
    <w:uiPriority w:val="0"/>
    <w:qFormat/>
    <w:rPr>
      <w:rFonts w:ascii="CMBX12" w:hAnsi="CMBX12" w:cs="CMBX12"/>
      <w:kern w:val="0"/>
      <w:sz w:val="24"/>
      <w:szCs w:val="24"/>
    </w:rPr>
  </w:style>
  <w:style w:type="character" w:styleId="ListLabel234" w:customStyle="1">
    <w:name w:val="ListLabel 234"/>
    <w:uiPriority w:val="0"/>
    <w:qFormat/>
    <w:rPr>
      <w:rFonts w:eastAsia="Calibri"/>
      <w:highlight w:val="blue"/>
    </w:rPr>
  </w:style>
  <w:style w:type="character" w:styleId="ListLabel235" w:customStyle="1">
    <w:name w:val="ListLabel 235"/>
    <w:uiPriority w:val="0"/>
    <w:qFormat/>
    <w:rPr>
      <w:bCs/>
      <w:lang w:val="ro-RO"/>
    </w:rPr>
  </w:style>
  <w:style w:type="character" w:styleId="ListLabel236" w:customStyle="1">
    <w:name w:val="ListLabel 236"/>
    <w:uiPriority w:val="0"/>
    <w:qFormat/>
    <w:rPr>
      <w:rFonts w:eastAsia="Calibri"/>
    </w:rPr>
  </w:style>
  <w:style w:type="character" w:styleId="ListLabel237" w:customStyle="1">
    <w:name w:val="ListLabel 237"/>
    <w:uiPriority w:val="0"/>
    <w:qFormat/>
    <w:rPr/>
  </w:style>
  <w:style w:type="character" w:styleId="ListLabel238" w:customStyle="1">
    <w:name w:val="ListLabel 238"/>
    <w:uiPriority w:val="0"/>
    <w:qFormat/>
    <w:rPr>
      <w:rFonts w:eastAsia="Calibri"/>
      <w:sz w:val="24"/>
      <w:szCs w:val="24"/>
      <w:lang w:eastAsia="en-GB"/>
    </w:rPr>
  </w:style>
  <w:style w:type="character" w:styleId="ListLabel239" w:customStyle="1">
    <w:name w:val="ListLabel 239"/>
    <w:uiPriority w:val="0"/>
    <w:qFormat/>
    <w:rPr>
      <w:rFonts w:ascii="Arial" w:hAnsi="Arial" w:cs="Arial"/>
      <w:color w:val="auto"/>
      <w:sz w:val="22"/>
      <w:szCs w:val="22"/>
    </w:rPr>
  </w:style>
  <w:style w:type="character" w:styleId="ListLabel240" w:customStyle="1">
    <w:name w:val="ListLabel 240"/>
    <w:uiPriority w:val="0"/>
    <w:qFormat/>
    <w:rPr>
      <w:sz w:val="22"/>
      <w:szCs w:val="22"/>
    </w:rPr>
  </w:style>
  <w:style w:type="character" w:styleId="ListLabel241" w:customStyle="1">
    <w:name w:val="ListLabel 241"/>
    <w:uiPriority w:val="0"/>
    <w:qFormat/>
    <w:rPr>
      <w:sz w:val="22"/>
      <w:szCs w:val="22"/>
      <w:highlight w:val="white"/>
    </w:rPr>
  </w:style>
  <w:style w:type="character" w:styleId="ListLabel242" w:customStyle="1">
    <w:name w:val="ListLabel 242"/>
    <w:uiPriority w:val="0"/>
    <w:qFormat/>
    <w:rPr>
      <w:lang w:eastAsia="en-GB"/>
    </w:rPr>
  </w:style>
  <w:style w:type="character" w:styleId="ListLabel243" w:customStyle="1">
    <w:name w:val="ListLabel 243"/>
    <w:uiPriority w:val="0"/>
    <w:qFormat/>
    <w:rPr>
      <w:color w:val="auto"/>
    </w:rPr>
  </w:style>
  <w:style w:type="character" w:styleId="ListLabel244" w:customStyle="1">
    <w:name w:val="ListLabel 244"/>
    <w:uiPriority w:val="0"/>
    <w:qFormat/>
    <w:rPr>
      <w:rFonts w:ascii="Times New Roman" w:hAnsi="Times New Roman"/>
      <w:sz w:val="24"/>
      <w:szCs w:val="24"/>
    </w:rPr>
  </w:style>
  <w:style w:type="character" w:styleId="ListLabel245" w:customStyle="1">
    <w:name w:val="ListLabel 245"/>
    <w:uiPriority w:val="0"/>
    <w:qFormat/>
    <w:rPr>
      <w:rFonts w:ascii="Times New Roman" w:hAnsi="Times New Roman"/>
      <w:sz w:val="24"/>
      <w:szCs w:val="24"/>
    </w:rPr>
  </w:style>
  <w:style w:type="character" w:styleId="ListLabel246" w:customStyle="1">
    <w:name w:val="ListLabel 246"/>
    <w:uiPriority w:val="0"/>
    <w:qFormat/>
    <w:rPr>
      <w:sz w:val="24"/>
      <w:szCs w:val="24"/>
    </w:rPr>
  </w:style>
  <w:style w:type="character" w:styleId="ListLabel247" w:customStyle="1">
    <w:name w:val="ListLabel 247"/>
    <w:uiPriority w:val="0"/>
    <w:qFormat/>
    <w:rPr>
      <w:color w:val="7C93A1"/>
      <w:sz w:val="20"/>
      <w:szCs w:val="20"/>
      <w:highlight w:val="white"/>
    </w:rPr>
  </w:style>
  <w:style w:type="character" w:styleId="ListLabel248" w:customStyle="1">
    <w:name w:val="ListLabel 248"/>
    <w:uiPriority w:val="0"/>
    <w:qFormat/>
    <w:rPr>
      <w:b/>
      <w:bCs/>
      <w:color w:val="7C93A1"/>
      <w:sz w:val="20"/>
      <w:szCs w:val="20"/>
      <w:highlight w:val="white"/>
    </w:rPr>
  </w:style>
  <w:style w:type="character" w:styleId="ListLabel249" w:customStyle="1">
    <w:name w:val="ListLabel 249"/>
    <w:uiPriority w:val="0"/>
    <w:qFormat/>
    <w:rPr>
      <w:color w:val="auto"/>
      <w:u w:val="none"/>
    </w:rPr>
  </w:style>
  <w:style w:type="character" w:styleId="ListLabel250" w:customStyle="1">
    <w:name w:val="ListLabel 250"/>
    <w:uiPriority w:val="0"/>
    <w:qFormat/>
    <w:rPr>
      <w:bCs/>
      <w:color w:val="auto"/>
      <w:u w:val="none"/>
      <w:lang w:val="ro-RO"/>
    </w:rPr>
  </w:style>
  <w:style w:type="character" w:styleId="ListLabel251" w:customStyle="1">
    <w:name w:val="ListLabel 251"/>
    <w:uiPriority w:val="0"/>
    <w:qFormat/>
    <w:rPr>
      <w:b/>
      <w:bCs/>
      <w:sz w:val="28"/>
      <w:szCs w:val="28"/>
    </w:rPr>
  </w:style>
  <w:style w:type="character" w:styleId="ListLabel252" w:customStyle="1">
    <w:name w:val="ListLabel 252"/>
    <w:uiPriority w:val="0"/>
    <w:qFormat/>
    <w:rPr>
      <w:b/>
      <w:bCs/>
      <w:color w:val="auto"/>
      <w:sz w:val="20"/>
      <w:szCs w:val="20"/>
      <w:u w:val="none"/>
    </w:rPr>
  </w:style>
  <w:style w:type="character" w:styleId="ListLabel253" w:customStyle="1">
    <w:name w:val="ListLabel 253"/>
    <w:uiPriority w:val="0"/>
    <w:qFormat/>
    <w:rPr>
      <w:rFonts w:eastAsia="Times New Roman"/>
      <w:sz w:val="20"/>
      <w:szCs w:val="20"/>
    </w:rPr>
  </w:style>
  <w:style w:type="character" w:styleId="ListLabel254" w:customStyle="1">
    <w:name w:val="ListLabel 254"/>
    <w:uiPriority w:val="0"/>
    <w:qFormat/>
    <w:rPr>
      <w:rFonts w:eastAsia="Times New Roman"/>
      <w:sz w:val="20"/>
      <w:szCs w:val="20"/>
    </w:rPr>
  </w:style>
  <w:style w:type="character" w:styleId="ListLabel255" w:customStyle="1">
    <w:name w:val="ListLabel 255"/>
    <w:uiPriority w:val="0"/>
    <w:qFormat/>
    <w:rPr>
      <w:b/>
      <w:sz w:val="28"/>
      <w:szCs w:val="28"/>
    </w:rPr>
  </w:style>
  <w:style w:type="character" w:styleId="ListLabel256" w:customStyle="1">
    <w:name w:val="ListLabel 256"/>
    <w:uiPriority w:val="0"/>
    <w:qFormat/>
    <w:rPr>
      <w:rFonts w:ascii="TimesNewRomanMTStd-Italic" w:hAnsi="TimesNewRomanMTStd-Italic" w:cs="TimesNewRomanMTStd-Italic"/>
      <w:i/>
      <w:iCs/>
    </w:rPr>
  </w:style>
  <w:style w:type="character" w:styleId="ListLabel257" w:customStyle="1">
    <w:name w:val="ListLabel 257"/>
    <w:uiPriority w:val="0"/>
    <w:qFormat/>
    <w:rPr>
      <w:b/>
      <w:bCs/>
      <w:color w:val="auto"/>
      <w:sz w:val="28"/>
      <w:szCs w:val="28"/>
      <w:highlight w:val="white"/>
      <w:u w:val="none"/>
    </w:rPr>
  </w:style>
  <w:style w:type="character" w:styleId="ListLabel258" w:customStyle="1">
    <w:name w:val="ListLabel 258"/>
    <w:uiPriority w:val="0"/>
    <w:qFormat/>
    <w:rPr>
      <w:b/>
      <w:color w:val="auto"/>
      <w:sz w:val="28"/>
      <w:szCs w:val="28"/>
      <w:highlight w:val="white"/>
      <w:u w:val="none"/>
    </w:rPr>
  </w:style>
  <w:style w:type="character" w:styleId="ListLabel259" w:customStyle="1">
    <w:name w:val="ListLabel 259"/>
    <w:uiPriority w:val="0"/>
    <w:qFormat/>
    <w:rPr>
      <w:b/>
      <w:i/>
      <w:iCs/>
      <w:color w:val="auto"/>
      <w:sz w:val="28"/>
      <w:szCs w:val="28"/>
      <w:highlight w:val="white"/>
      <w:u w:val="none"/>
    </w:rPr>
  </w:style>
  <w:style w:type="character" w:styleId="ListLabel260" w:customStyle="1">
    <w:name w:val="ListLabel 260"/>
    <w:uiPriority w:val="0"/>
    <w:qFormat/>
    <w:rPr>
      <w:color w:val="auto"/>
      <w:sz w:val="20"/>
      <w:szCs w:val="20"/>
    </w:rPr>
  </w:style>
  <w:style w:type="character" w:styleId="ListLabel261" w:customStyle="1">
    <w:name w:val="ListLabel 261"/>
    <w:uiPriority w:val="0"/>
    <w:qFormat/>
    <w:rPr>
      <w:rFonts w:eastAsia="Calibri"/>
      <w:i/>
      <w:iCs/>
      <w:color w:val="auto"/>
      <w:sz w:val="20"/>
      <w:szCs w:val="20"/>
    </w:rPr>
  </w:style>
  <w:style w:type="character" w:styleId="ListLabel262" w:customStyle="1">
    <w:name w:val="ListLabel 262"/>
    <w:uiPriority w:val="0"/>
    <w:qFormat/>
    <w:rPr>
      <w:color w:val="auto"/>
      <w:highlight w:val="white"/>
      <w:u w:val="none"/>
    </w:rPr>
  </w:style>
  <w:style w:type="character" w:styleId="ListLabel263" w:customStyle="1">
    <w:name w:val="ListLabel 263"/>
    <w:uiPriority w:val="0"/>
    <w:qFormat/>
    <w:rPr>
      <w:b/>
      <w:color w:val="000000"/>
      <w:sz w:val="28"/>
      <w:szCs w:val="28"/>
      <w:highlight w:val="white"/>
    </w:rPr>
  </w:style>
  <w:style w:type="character" w:styleId="ListLabel264" w:customStyle="1">
    <w:name w:val="ListLabel 264"/>
    <w:uiPriority w:val="0"/>
    <w:qFormat/>
    <w:rPr>
      <w:rFonts w:ascii="Times New Roman" w:hAnsi="Times New Roman" w:cs="Times New Roman"/>
    </w:rPr>
  </w:style>
  <w:style w:type="character" w:styleId="ListLabel265" w:customStyle="1">
    <w:name w:val="ListLabel 265"/>
    <w:uiPriority w:val="0"/>
    <w:qFormat/>
    <w:rPr>
      <w:b/>
      <w:color w:val="auto"/>
      <w:spacing w:val="15"/>
      <w:sz w:val="20"/>
      <w:szCs w:val="20"/>
      <w:u w:val="none"/>
    </w:rPr>
  </w:style>
  <w:style w:type="character" w:styleId="ListLabel266" w:customStyle="1">
    <w:name w:val="ListLabel 266"/>
    <w:uiPriority w:val="0"/>
    <w:qFormat/>
    <w:rPr>
      <w:color w:val="auto"/>
      <w:spacing w:val="15"/>
      <w:sz w:val="20"/>
      <w:szCs w:val="20"/>
    </w:rPr>
  </w:style>
  <w:style w:type="character" w:styleId="ListLabel267" w:customStyle="1">
    <w:name w:val="ListLabel 267"/>
    <w:uiPriority w:val="0"/>
    <w:qFormat/>
    <w:rPr>
      <w:rFonts w:ascii="Times New Roman" w:hAnsi="Times New Roman"/>
      <w:sz w:val="28"/>
      <w:szCs w:val="28"/>
      <w:lang w:eastAsia="en-GB"/>
    </w:rPr>
  </w:style>
  <w:style w:type="character" w:styleId="ListLabel268" w:customStyle="1">
    <w:name w:val="ListLabel 268"/>
    <w:uiPriority w:val="0"/>
    <w:qFormat/>
    <w:rPr>
      <w:rFonts w:ascii="Times New Roman" w:hAnsi="Times New Roman"/>
      <w:color w:val="auto"/>
      <w:sz w:val="28"/>
      <w:szCs w:val="28"/>
      <w:highlight w:val="white"/>
      <w:u w:val="none"/>
    </w:rPr>
  </w:style>
  <w:style w:type="character" w:styleId="ListLabel269" w:customStyle="1">
    <w:name w:val="ListLabel 269"/>
    <w:uiPriority w:val="0"/>
    <w:qFormat/>
    <w:rPr>
      <w:rFonts w:ascii="Times New Roman" w:hAnsi="Times New Roman"/>
      <w:color w:val="auto"/>
      <w:sz w:val="28"/>
      <w:szCs w:val="28"/>
      <w:u w:val="none"/>
    </w:rPr>
  </w:style>
  <w:style w:type="character" w:styleId="ListLabel270" w:customStyle="1">
    <w:name w:val="ListLabel 270"/>
    <w:uiPriority w:val="0"/>
    <w:qFormat/>
    <w:rPr>
      <w:rFonts w:ascii="Times New Roman" w:hAnsi="Times New Roman"/>
      <w:i/>
      <w:iCs/>
      <w:sz w:val="28"/>
      <w:szCs w:val="28"/>
      <w:lang w:eastAsia="en-GB"/>
    </w:rPr>
  </w:style>
  <w:style w:type="character" w:styleId="ListLabel271" w:customStyle="1">
    <w:name w:val="ListLabel 271"/>
    <w:uiPriority w:val="0"/>
    <w:qFormat/>
    <w:rPr>
      <w:sz w:val="22"/>
      <w:szCs w:val="22"/>
    </w:rPr>
  </w:style>
  <w:style w:type="character" w:styleId="ListLabel272" w:customStyle="1">
    <w:name w:val="ListLabel 272"/>
    <w:uiPriority w:val="0"/>
    <w:qFormat/>
    <w:rPr>
      <w:color w:val="auto"/>
      <w:sz w:val="22"/>
      <w:szCs w:val="22"/>
      <w:u w:val="none"/>
    </w:rPr>
  </w:style>
  <w:style w:type="character" w:styleId="ListLabel273" w:customStyle="1">
    <w:name w:val="ListLabel 273"/>
    <w:uiPriority w:val="0"/>
    <w:qFormat/>
    <w:rPr>
      <w:b/>
      <w:bCs/>
      <w:color w:val="auto"/>
      <w:sz w:val="22"/>
      <w:szCs w:val="22"/>
      <w:u w:val="none"/>
    </w:rPr>
  </w:style>
  <w:style w:type="character" w:styleId="ListLabel274" w:customStyle="1">
    <w:name w:val="ListLabel 274"/>
    <w:uiPriority w:val="0"/>
    <w:qFormat/>
    <w:rPr>
      <w:spacing w:val="2"/>
      <w:sz w:val="20"/>
      <w:szCs w:val="20"/>
    </w:rPr>
  </w:style>
  <w:style w:type="character" w:styleId="ListLabel275" w:customStyle="1">
    <w:name w:val="ListLabel 275"/>
    <w:uiPriority w:val="0"/>
    <w:qFormat/>
    <w:rPr>
      <w:sz w:val="20"/>
      <w:szCs w:val="20"/>
    </w:rPr>
  </w:style>
  <w:style w:type="character" w:styleId="ListLabel276" w:customStyle="1">
    <w:name w:val="ListLabel 276"/>
    <w:uiPriority w:val="0"/>
    <w:qFormat/>
    <w:rPr>
      <w:spacing w:val="-2"/>
      <w:sz w:val="20"/>
      <w:szCs w:val="20"/>
    </w:rPr>
  </w:style>
  <w:style w:type="character" w:styleId="ListLabel277" w:customStyle="1">
    <w:name w:val="ListLabel 277"/>
    <w:uiPriority w:val="0"/>
    <w:qFormat/>
    <w:rPr>
      <w:spacing w:val="1"/>
      <w:sz w:val="20"/>
      <w:szCs w:val="20"/>
    </w:rPr>
  </w:style>
  <w:style w:type="character" w:styleId="ListLabel278" w:customStyle="1">
    <w:name w:val="ListLabel 278"/>
    <w:uiPriority w:val="0"/>
    <w:qFormat/>
    <w:rPr>
      <w:spacing w:val="-1"/>
      <w:sz w:val="20"/>
      <w:szCs w:val="20"/>
    </w:rPr>
  </w:style>
  <w:style w:type="character" w:styleId="ListLabel279" w:customStyle="1">
    <w:name w:val="ListLabel 279"/>
    <w:uiPriority w:val="0"/>
    <w:qFormat/>
    <w:rPr>
      <w:spacing w:val="3"/>
      <w:sz w:val="20"/>
      <w:szCs w:val="20"/>
    </w:rPr>
  </w:style>
  <w:style w:type="character" w:styleId="ListLabel280" w:customStyle="1">
    <w:name w:val="ListLabel 280"/>
    <w:uiPriority w:val="0"/>
    <w:qFormat/>
    <w:rPr>
      <w:spacing w:val="-6"/>
      <w:sz w:val="20"/>
      <w:szCs w:val="20"/>
    </w:rPr>
  </w:style>
  <w:style w:type="character" w:styleId="ListLabel281" w:customStyle="1">
    <w:name w:val="ListLabel 281"/>
    <w:uiPriority w:val="0"/>
    <w:qFormat/>
    <w:rPr>
      <w:spacing w:val="-3"/>
      <w:sz w:val="20"/>
      <w:szCs w:val="20"/>
    </w:rPr>
  </w:style>
  <w:style w:type="character" w:styleId="ListLabel282" w:customStyle="1">
    <w:name w:val="ListLabel 282"/>
    <w:uiPriority w:val="0"/>
    <w:qFormat/>
    <w:rPr>
      <w:spacing w:val="-8"/>
      <w:sz w:val="20"/>
      <w:szCs w:val="20"/>
    </w:rPr>
  </w:style>
  <w:style w:type="character" w:styleId="ListLabel283" w:customStyle="1">
    <w:name w:val="ListLabel 283"/>
    <w:uiPriority w:val="0"/>
    <w:qFormat/>
    <w:rPr>
      <w:spacing w:val="-7"/>
      <w:sz w:val="20"/>
      <w:szCs w:val="20"/>
    </w:rPr>
  </w:style>
  <w:style w:type="character" w:styleId="ListLabel284" w:customStyle="1">
    <w:name w:val="ListLabel 284"/>
    <w:uiPriority w:val="0"/>
    <w:qFormat/>
    <w:rPr>
      <w:spacing w:val="-9"/>
      <w:sz w:val="20"/>
      <w:szCs w:val="20"/>
    </w:rPr>
  </w:style>
  <w:style w:type="character" w:styleId="ListLabel285" w:customStyle="1">
    <w:name w:val="ListLabel 285"/>
    <w:uiPriority w:val="0"/>
    <w:qFormat/>
    <w:rPr>
      <w:spacing w:val="-11"/>
      <w:sz w:val="20"/>
      <w:szCs w:val="20"/>
    </w:rPr>
  </w:style>
  <w:style w:type="character" w:styleId="ListLabel286" w:customStyle="1">
    <w:name w:val="ListLabel 286"/>
    <w:uiPriority w:val="0"/>
    <w:qFormat/>
    <w:rPr>
      <w:spacing w:val="-8"/>
      <w:sz w:val="20"/>
      <w:szCs w:val="20"/>
    </w:rPr>
  </w:style>
  <w:style w:type="character" w:styleId="ListLabel287" w:customStyle="1">
    <w:name w:val="ListLabel 287"/>
    <w:uiPriority w:val="0"/>
    <w:qFormat/>
    <w:rPr>
      <w:spacing w:val="-9"/>
      <w:sz w:val="20"/>
      <w:szCs w:val="20"/>
    </w:rPr>
  </w:style>
  <w:style w:type="character" w:styleId="ListLabel288" w:customStyle="1">
    <w:name w:val="ListLabel 288"/>
    <w:uiPriority w:val="0"/>
    <w:qFormat/>
    <w:rPr>
      <w:spacing w:val="-7"/>
      <w:sz w:val="20"/>
      <w:szCs w:val="20"/>
    </w:rPr>
  </w:style>
  <w:style w:type="character" w:styleId="ListLabel289" w:customStyle="1">
    <w:name w:val="ListLabel 289"/>
    <w:uiPriority w:val="0"/>
    <w:qFormat/>
    <w:rPr>
      <w:spacing w:val="-6"/>
      <w:sz w:val="20"/>
      <w:szCs w:val="20"/>
    </w:rPr>
  </w:style>
  <w:style w:type="character" w:styleId="ListLabel290" w:customStyle="1">
    <w:name w:val="ListLabel 290"/>
    <w:uiPriority w:val="0"/>
    <w:qFormat/>
    <w:rPr>
      <w:spacing w:val="-11"/>
      <w:sz w:val="20"/>
      <w:szCs w:val="20"/>
    </w:rPr>
  </w:style>
  <w:style w:type="character" w:styleId="ListLabel291" w:customStyle="1">
    <w:name w:val="ListLabel 291"/>
    <w:uiPriority w:val="0"/>
    <w:qFormat/>
    <w:rPr>
      <w:sz w:val="20"/>
      <w:szCs w:val="20"/>
    </w:rPr>
  </w:style>
  <w:style w:type="character" w:styleId="ListLabel292" w:customStyle="1">
    <w:name w:val="ListLabel 292"/>
    <w:uiPriority w:val="0"/>
    <w:qFormat/>
    <w:rPr>
      <w:spacing w:val="12"/>
      <w:sz w:val="20"/>
      <w:szCs w:val="20"/>
    </w:rPr>
  </w:style>
  <w:style w:type="character" w:styleId="ListLabel293" w:customStyle="1">
    <w:name w:val="ListLabel 293"/>
    <w:uiPriority w:val="0"/>
    <w:qFormat/>
    <w:rPr>
      <w:spacing w:val="4"/>
      <w:sz w:val="20"/>
      <w:szCs w:val="20"/>
    </w:rPr>
  </w:style>
  <w:style w:type="character" w:styleId="ListLabel294" w:customStyle="1">
    <w:name w:val="ListLabel 294"/>
    <w:uiPriority w:val="0"/>
    <w:qFormat/>
    <w:rPr>
      <w:spacing w:val="10"/>
      <w:sz w:val="20"/>
      <w:szCs w:val="20"/>
    </w:rPr>
  </w:style>
  <w:style w:type="character" w:styleId="ListLabel295" w:customStyle="1">
    <w:name w:val="ListLabel 295"/>
    <w:uiPriority w:val="0"/>
    <w:qFormat/>
    <w:rPr>
      <w:spacing w:val="47"/>
      <w:sz w:val="20"/>
      <w:szCs w:val="20"/>
    </w:rPr>
  </w:style>
  <w:style w:type="character" w:styleId="ListLabel296" w:customStyle="1">
    <w:name w:val="ListLabel 296"/>
    <w:uiPriority w:val="0"/>
    <w:qFormat/>
    <w:rPr>
      <w:spacing w:val="46"/>
      <w:sz w:val="20"/>
      <w:szCs w:val="20"/>
    </w:rPr>
  </w:style>
  <w:style w:type="character" w:styleId="ListLabel297" w:customStyle="1">
    <w:name w:val="ListLabel 297"/>
    <w:uiPriority w:val="0"/>
    <w:qFormat/>
    <w:rPr>
      <w:spacing w:val="-5"/>
      <w:sz w:val="20"/>
      <w:szCs w:val="20"/>
    </w:rPr>
  </w:style>
  <w:style w:type="character" w:styleId="ListLabel298" w:customStyle="1">
    <w:name w:val="ListLabel 298"/>
    <w:uiPriority w:val="0"/>
    <w:qFormat/>
    <w:rPr>
      <w:rFonts w:ascii="Segoe UI" w:hAnsi="Segoe UI" w:eastAsia="Calibri" w:cs="Segoe UI"/>
      <w:b/>
      <w:bCs/>
      <w:caps/>
      <w:color w:val="auto"/>
      <w:sz w:val="22"/>
      <w:szCs w:val="22"/>
    </w:rPr>
  </w:style>
  <w:style w:type="character" w:styleId="ListLabel299" w:customStyle="1">
    <w:name w:val="ListLabel 299"/>
    <w:uiPriority w:val="0"/>
    <w:qFormat/>
    <w:rPr>
      <w:rFonts w:ascii="Segoe UI" w:hAnsi="Segoe UI" w:cs="Segoe UI"/>
      <w:color w:val="000000"/>
      <w:sz w:val="22"/>
      <w:szCs w:val="22"/>
    </w:rPr>
  </w:style>
  <w:style w:type="character" w:styleId="ListLabel300" w:customStyle="1">
    <w:name w:val="ListLabel 300"/>
    <w:uiPriority w:val="0"/>
    <w:qFormat/>
    <w:rPr>
      <w:b/>
      <w:sz w:val="22"/>
      <w:szCs w:val="22"/>
    </w:rPr>
  </w:style>
  <w:style w:type="character" w:styleId="ListLabel301" w:customStyle="1">
    <w:name w:val="ListLabel 301"/>
    <w:uiPriority w:val="0"/>
    <w:qFormat/>
    <w:rPr>
      <w:rFonts w:ascii="Georgia" w:hAnsi="Georgia"/>
      <w:color w:val="000000"/>
      <w:sz w:val="22"/>
      <w:szCs w:val="22"/>
    </w:rPr>
  </w:style>
  <w:style w:type="character" w:styleId="ListLabel302" w:customStyle="1">
    <w:name w:val="ListLabel 302"/>
    <w:uiPriority w:val="0"/>
    <w:qFormat/>
    <w:rPr>
      <w:b/>
    </w:rPr>
  </w:style>
  <w:style w:type="character" w:styleId="ListLabel303" w:customStyle="1">
    <w:name w:val="ListLabel 303"/>
    <w:uiPriority w:val="0"/>
    <w:qFormat/>
    <w:rPr>
      <w:rFonts w:ascii="Arial" w:hAnsi="Arial" w:cs="Arial"/>
      <w:color w:val="109D49"/>
    </w:rPr>
  </w:style>
  <w:style w:type="character" w:styleId="ListLabel304" w:customStyle="1">
    <w:name w:val="ListLabel 304"/>
    <w:uiPriority w:val="0"/>
    <w:qFormat/>
    <w:rPr>
      <w:rFonts w:ascii="AdvOTea1a7398" w:hAnsi="AdvOTea1a7398" w:eastAsia="Calibri" w:cs="AdvOTea1a7398"/>
      <w:sz w:val="24"/>
      <w:szCs w:val="24"/>
    </w:rPr>
  </w:style>
  <w:style w:type="character" w:styleId="ListLabel305" w:customStyle="1">
    <w:name w:val="ListLabel 305"/>
    <w:uiPriority w:val="0"/>
    <w:qFormat/>
    <w:rPr>
      <w:rFonts w:ascii="inherit" w:hAnsi="inherit" w:eastAsia="Times New Roman" w:cs="Helvetica"/>
      <w:sz w:val="22"/>
      <w:szCs w:val="22"/>
      <w:u w:val="single"/>
    </w:rPr>
  </w:style>
  <w:style w:type="character" w:styleId="ListLabel306" w:customStyle="1">
    <w:name w:val="ListLabel 306"/>
    <w:uiPriority w:val="0"/>
    <w:qFormat/>
    <w:rPr>
      <w:rFonts w:ascii="Helvetica" w:hAnsi="Helvetica" w:eastAsia="Times New Roman" w:cs="Helvetica"/>
      <w:sz w:val="22"/>
      <w:szCs w:val="22"/>
    </w:rPr>
  </w:style>
  <w:style w:type="character" w:styleId="ListLabel307" w:customStyle="1">
    <w:name w:val="ListLabel 307"/>
    <w:uiPriority w:val="0"/>
    <w:qFormat/>
    <w:rPr>
      <w:rFonts w:ascii="inherit" w:hAnsi="inherit" w:cs="Arial"/>
      <w:sz w:val="22"/>
      <w:szCs w:val="22"/>
    </w:rPr>
  </w:style>
  <w:style w:type="character" w:styleId="ListLabel308" w:customStyle="1">
    <w:name w:val="ListLabel 308"/>
    <w:uiPriority w:val="0"/>
    <w:qFormat/>
    <w:rPr>
      <w:b/>
      <w:color w:val="auto"/>
      <w:sz w:val="28"/>
      <w:szCs w:val="28"/>
      <w:u w:val="none"/>
    </w:rPr>
  </w:style>
  <w:style w:type="character" w:styleId="ListLabel309" w:customStyle="1">
    <w:name w:val="ListLabel 309"/>
    <w:uiPriority w:val="0"/>
    <w:qFormat/>
    <w:rPr>
      <w:rFonts w:ascii="CMBX12" w:hAnsi="CMBX12" w:cs="CMBX12"/>
      <w:sz w:val="28"/>
      <w:szCs w:val="28"/>
    </w:rPr>
  </w:style>
  <w:style w:type="character" w:styleId="ListLabel310" w:customStyle="1">
    <w:name w:val="ListLabel 310"/>
    <w:uiPriority w:val="0"/>
    <w:qFormat/>
    <w:rPr>
      <w:rFonts w:ascii="Arial" w:hAnsi="Arial" w:cs="Arial"/>
      <w:b/>
      <w:bCs/>
      <w:color w:val="FF6600"/>
    </w:rPr>
  </w:style>
  <w:style w:type="character" w:styleId="ListLabel311" w:customStyle="1">
    <w:name w:val="ListLabel 311"/>
    <w:uiPriority w:val="0"/>
    <w:qFormat/>
    <w:rPr>
      <w:rFonts w:ascii="Arial" w:hAnsi="Arial" w:cs="Arial"/>
      <w:color w:val="326891"/>
      <w:spacing w:val="15"/>
      <w:sz w:val="20"/>
      <w:szCs w:val="20"/>
      <w:highlight w:val="white"/>
    </w:rPr>
  </w:style>
  <w:style w:type="character" w:styleId="ListLabel312" w:customStyle="1">
    <w:name w:val="ListLabel 312"/>
    <w:uiPriority w:val="0"/>
    <w:qFormat/>
    <w:rPr>
      <w:color w:val="326891"/>
      <w:spacing w:val="15"/>
    </w:rPr>
  </w:style>
  <w:style w:type="character" w:styleId="ListLabel313" w:customStyle="1">
    <w:name w:val="ListLabel 313"/>
    <w:uiPriority w:val="0"/>
    <w:qFormat/>
    <w:rPr>
      <w:color w:val="326891"/>
      <w:spacing w:val="15"/>
    </w:rPr>
  </w:style>
  <w:style w:type="character" w:styleId="ListLabel314" w:customStyle="1">
    <w:name w:val="ListLabel 314"/>
    <w:uiPriority w:val="0"/>
    <w:qFormat/>
    <w:rPr>
      <w:i/>
      <w:iCs/>
      <w:color w:val="FF7800"/>
      <w:spacing w:val="15"/>
    </w:rPr>
  </w:style>
  <w:style w:type="character" w:styleId="StrongEmphasis" w:customStyle="1">
    <w:name w:val="Strong Emphasis"/>
    <w:uiPriority w:val="0"/>
    <w:qFormat/>
    <w:rPr>
      <w:b/>
      <w:bCs/>
    </w:rPr>
  </w:style>
  <w:style w:type="character" w:styleId="Bullets" w:customStyle="1">
    <w:name w:val="Bullets"/>
    <w:uiPriority w:val="0"/>
    <w:qFormat/>
    <w:rPr>
      <w:rFonts w:ascii="OpenSymbol" w:hAnsi="OpenSymbol" w:eastAsia="OpenSymbol" w:cs="OpenSymbol"/>
    </w:rPr>
  </w:style>
  <w:style w:type="character" w:styleId="EndnoteAnchor" w:customStyle="1">
    <w:name w:val="Endnote Anchor"/>
    <w:uiPriority w:val="0"/>
    <w:qFormat/>
    <w:rPr>
      <w:vertAlign w:val="superscript"/>
    </w:rPr>
  </w:style>
  <w:style w:type="character" w:styleId="EndnoteCharacters" w:customStyle="1">
    <w:name w:val="Endnote Characters"/>
    <w:uiPriority w:val="0"/>
    <w:qFormat/>
    <w:rPr/>
  </w:style>
  <w:style w:type="character" w:styleId="ListLabel315">
    <w:name w:val="ListLabel 315"/>
    <w:qFormat/>
    <w:rPr>
      <w:rFonts w:ascii="Times New Roman" w:hAnsi="Times New Roman"/>
      <w:b/>
      <w:sz w:val="24"/>
      <w:szCs w:val="28"/>
    </w:rPr>
  </w:style>
  <w:style w:type="character" w:styleId="ListLabel316">
    <w:name w:val="ListLabel 316"/>
    <w:qFormat/>
    <w:rPr>
      <w:rFonts w:cs="Symbol"/>
    </w:rPr>
  </w:style>
  <w:style w:type="character" w:styleId="ListLabel317">
    <w:name w:val="ListLabel 317"/>
    <w:qFormat/>
    <w:rPr>
      <w:rFonts w:cs="Courier New"/>
    </w:rPr>
  </w:style>
  <w:style w:type="character" w:styleId="ListLabel318">
    <w:name w:val="ListLabel 318"/>
    <w:qFormat/>
    <w:rPr>
      <w:rFonts w:cs="Wingdings"/>
    </w:rPr>
  </w:style>
  <w:style w:type="character" w:styleId="ListLabel319">
    <w:name w:val="ListLabel 319"/>
    <w:qFormat/>
    <w:rPr>
      <w:rFonts w:cs="Symbol"/>
    </w:rPr>
  </w:style>
  <w:style w:type="character" w:styleId="ListLabel320">
    <w:name w:val="ListLabel 320"/>
    <w:qFormat/>
    <w:rPr>
      <w:rFonts w:cs="Courier New"/>
    </w:rPr>
  </w:style>
  <w:style w:type="character" w:styleId="ListLabel321">
    <w:name w:val="ListLabel 321"/>
    <w:qFormat/>
    <w:rPr>
      <w:rFonts w:cs="Wingdings"/>
    </w:rPr>
  </w:style>
  <w:style w:type="character" w:styleId="ListLabel322">
    <w:name w:val="ListLabel 322"/>
    <w:qFormat/>
    <w:rPr>
      <w:rFonts w:cs="Symbol"/>
    </w:rPr>
  </w:style>
  <w:style w:type="character" w:styleId="ListLabel323">
    <w:name w:val="ListLabel 323"/>
    <w:qFormat/>
    <w:rPr>
      <w:rFonts w:cs="Courier New"/>
    </w:rPr>
  </w:style>
  <w:style w:type="character" w:styleId="ListLabel324">
    <w:name w:val="ListLabel 324"/>
    <w:qFormat/>
    <w:rPr>
      <w:rFonts w:cs="Wingdings"/>
    </w:rPr>
  </w:style>
  <w:style w:type="character" w:styleId="ListLabel325">
    <w:name w:val="ListLabel 325"/>
    <w:qFormat/>
    <w:rPr>
      <w:rFonts w:cs="Symbol"/>
      <w:b/>
      <w:sz w:val="24"/>
    </w:rPr>
  </w:style>
  <w:style w:type="character" w:styleId="ListLabel326">
    <w:name w:val="ListLabel 326"/>
    <w:qFormat/>
    <w:rPr>
      <w:rFonts w:cs="Courier New"/>
    </w:rPr>
  </w:style>
  <w:style w:type="character" w:styleId="ListLabel327">
    <w:name w:val="ListLabel 327"/>
    <w:qFormat/>
    <w:rPr>
      <w:rFonts w:cs="Wingdings"/>
    </w:rPr>
  </w:style>
  <w:style w:type="character" w:styleId="ListLabel328">
    <w:name w:val="ListLabel 328"/>
    <w:qFormat/>
    <w:rPr>
      <w:rFonts w:cs="Symbol"/>
    </w:rPr>
  </w:style>
  <w:style w:type="character" w:styleId="ListLabel329">
    <w:name w:val="ListLabel 329"/>
    <w:qFormat/>
    <w:rPr>
      <w:rFonts w:cs="Courier New"/>
    </w:rPr>
  </w:style>
  <w:style w:type="character" w:styleId="ListLabel330">
    <w:name w:val="ListLabel 330"/>
    <w:qFormat/>
    <w:rPr>
      <w:rFonts w:cs="Wingdings"/>
    </w:rPr>
  </w:style>
  <w:style w:type="character" w:styleId="ListLabel331">
    <w:name w:val="ListLabel 331"/>
    <w:qFormat/>
    <w:rPr>
      <w:rFonts w:cs="Symbol"/>
    </w:rPr>
  </w:style>
  <w:style w:type="character" w:styleId="ListLabel332">
    <w:name w:val="ListLabel 332"/>
    <w:qFormat/>
    <w:rPr>
      <w:rFonts w:cs="Courier New"/>
    </w:rPr>
  </w:style>
  <w:style w:type="character" w:styleId="ListLabel333">
    <w:name w:val="ListLabel 333"/>
    <w:qFormat/>
    <w:rPr>
      <w:rFonts w:cs="Wingdings"/>
    </w:rPr>
  </w:style>
  <w:style w:type="character" w:styleId="ListLabel334">
    <w:name w:val="ListLabel 334"/>
    <w:qFormat/>
    <w:rPr>
      <w:rFonts w:cs="Symbol"/>
    </w:rPr>
  </w:style>
  <w:style w:type="character" w:styleId="ListLabel335">
    <w:name w:val="ListLabel 335"/>
    <w:qFormat/>
    <w:rPr>
      <w:rFonts w:cs="Courier New"/>
    </w:rPr>
  </w:style>
  <w:style w:type="character" w:styleId="ListLabel336">
    <w:name w:val="ListLabel 336"/>
    <w:qFormat/>
    <w:rPr>
      <w:rFonts w:cs="Wingdings"/>
    </w:rPr>
  </w:style>
  <w:style w:type="character" w:styleId="ListLabel337">
    <w:name w:val="ListLabel 337"/>
    <w:qFormat/>
    <w:rPr>
      <w:rFonts w:cs="Symbol"/>
    </w:rPr>
  </w:style>
  <w:style w:type="character" w:styleId="ListLabel338">
    <w:name w:val="ListLabel 338"/>
    <w:qFormat/>
    <w:rPr>
      <w:rFonts w:cs="Courier New"/>
    </w:rPr>
  </w:style>
  <w:style w:type="character" w:styleId="ListLabel339">
    <w:name w:val="ListLabel 339"/>
    <w:qFormat/>
    <w:rPr>
      <w:rFonts w:cs="Wingdings"/>
    </w:rPr>
  </w:style>
  <w:style w:type="character" w:styleId="ListLabel340">
    <w:name w:val="ListLabel 340"/>
    <w:qFormat/>
    <w:rPr>
      <w:rFonts w:cs="Symbol"/>
    </w:rPr>
  </w:style>
  <w:style w:type="character" w:styleId="ListLabel341">
    <w:name w:val="ListLabel 341"/>
    <w:qFormat/>
    <w:rPr>
      <w:rFonts w:cs="Courier New"/>
    </w:rPr>
  </w:style>
  <w:style w:type="character" w:styleId="ListLabel342">
    <w:name w:val="ListLabel 342"/>
    <w:qFormat/>
    <w:rPr>
      <w:rFonts w:cs="Wingdings"/>
    </w:rPr>
  </w:style>
  <w:style w:type="character" w:styleId="ListLabel343">
    <w:name w:val="ListLabel 343"/>
    <w:qFormat/>
    <w:rPr>
      <w:rFonts w:cs="Symbol"/>
    </w:rPr>
  </w:style>
  <w:style w:type="character" w:styleId="ListLabel344">
    <w:name w:val="ListLabel 344"/>
    <w:qFormat/>
    <w:rPr>
      <w:rFonts w:cs="Courier New"/>
    </w:rPr>
  </w:style>
  <w:style w:type="character" w:styleId="ListLabel345">
    <w:name w:val="ListLabel 345"/>
    <w:qFormat/>
    <w:rPr>
      <w:rFonts w:cs="Wingdings"/>
    </w:rPr>
  </w:style>
  <w:style w:type="character" w:styleId="ListLabel346">
    <w:name w:val="ListLabel 346"/>
    <w:qFormat/>
    <w:rPr>
      <w:rFonts w:cs="Symbol"/>
    </w:rPr>
  </w:style>
  <w:style w:type="character" w:styleId="ListLabel347">
    <w:name w:val="ListLabel 347"/>
    <w:qFormat/>
    <w:rPr>
      <w:rFonts w:cs="Courier New"/>
    </w:rPr>
  </w:style>
  <w:style w:type="character" w:styleId="ListLabel348">
    <w:name w:val="ListLabel 348"/>
    <w:qFormat/>
    <w:rPr>
      <w:rFonts w:cs="Wingdings"/>
    </w:rPr>
  </w:style>
  <w:style w:type="character" w:styleId="ListLabel349">
    <w:name w:val="ListLabel 349"/>
    <w:qFormat/>
    <w:rPr>
      <w:rFonts w:cs="Symbol"/>
    </w:rPr>
  </w:style>
  <w:style w:type="character" w:styleId="ListLabel350">
    <w:name w:val="ListLabel 350"/>
    <w:qFormat/>
    <w:rPr>
      <w:rFonts w:cs="Courier New"/>
    </w:rPr>
  </w:style>
  <w:style w:type="character" w:styleId="ListLabel351">
    <w:name w:val="ListLabel 351"/>
    <w:qFormat/>
    <w:rPr>
      <w:rFonts w:cs="Wingdings"/>
    </w:rPr>
  </w:style>
  <w:style w:type="character" w:styleId="ListLabel352">
    <w:name w:val="ListLabel 352"/>
    <w:qFormat/>
    <w:rPr>
      <w:rFonts w:ascii="RgsyshAdvTTb8864ccf.B" w:hAnsi="RgsyshAdvTTb8864ccf.B" w:cs="Symbol"/>
      <w:b/>
      <w:sz w:val="24"/>
    </w:rPr>
  </w:style>
  <w:style w:type="character" w:styleId="ListLabel353">
    <w:name w:val="ListLabel 353"/>
    <w:qFormat/>
    <w:rPr>
      <w:rFonts w:cs="Courier New"/>
    </w:rPr>
  </w:style>
  <w:style w:type="character" w:styleId="ListLabel354">
    <w:name w:val="ListLabel 354"/>
    <w:qFormat/>
    <w:rPr>
      <w:rFonts w:cs="Wingdings"/>
    </w:rPr>
  </w:style>
  <w:style w:type="character" w:styleId="ListLabel355">
    <w:name w:val="ListLabel 355"/>
    <w:qFormat/>
    <w:rPr>
      <w:rFonts w:cs="Symbol"/>
    </w:rPr>
  </w:style>
  <w:style w:type="character" w:styleId="ListLabel356">
    <w:name w:val="ListLabel 356"/>
    <w:qFormat/>
    <w:rPr>
      <w:rFonts w:cs="Courier New"/>
    </w:rPr>
  </w:style>
  <w:style w:type="character" w:styleId="ListLabel357">
    <w:name w:val="ListLabel 357"/>
    <w:qFormat/>
    <w:rPr>
      <w:rFonts w:cs="Wingdings"/>
    </w:rPr>
  </w:style>
  <w:style w:type="character" w:styleId="ListLabel358">
    <w:name w:val="ListLabel 358"/>
    <w:qFormat/>
    <w:rPr>
      <w:rFonts w:cs="Symbol"/>
    </w:rPr>
  </w:style>
  <w:style w:type="character" w:styleId="ListLabel359">
    <w:name w:val="ListLabel 359"/>
    <w:qFormat/>
    <w:rPr>
      <w:rFonts w:cs="Courier New"/>
    </w:rPr>
  </w:style>
  <w:style w:type="character" w:styleId="ListLabel360">
    <w:name w:val="ListLabel 360"/>
    <w:qFormat/>
    <w:rPr>
      <w:rFonts w:cs="Wingdings"/>
    </w:rPr>
  </w:style>
  <w:style w:type="character" w:styleId="ListLabel361">
    <w:name w:val="ListLabel 361"/>
    <w:qFormat/>
    <w:rPr>
      <w:rFonts w:cs="Symbol"/>
      <w:sz w:val="24"/>
      <w:szCs w:val="32"/>
    </w:rPr>
  </w:style>
  <w:style w:type="character" w:styleId="ListLabel362">
    <w:name w:val="ListLabel 362"/>
    <w:qFormat/>
    <w:rPr>
      <w:rFonts w:cs="Courier New"/>
    </w:rPr>
  </w:style>
  <w:style w:type="character" w:styleId="ListLabel363">
    <w:name w:val="ListLabel 363"/>
    <w:qFormat/>
    <w:rPr>
      <w:rFonts w:cs="Wingdings"/>
    </w:rPr>
  </w:style>
  <w:style w:type="character" w:styleId="ListLabel364">
    <w:name w:val="ListLabel 364"/>
    <w:qFormat/>
    <w:rPr>
      <w:rFonts w:cs="Symbol"/>
    </w:rPr>
  </w:style>
  <w:style w:type="character" w:styleId="ListLabel365">
    <w:name w:val="ListLabel 365"/>
    <w:qFormat/>
    <w:rPr>
      <w:rFonts w:cs="Courier New"/>
    </w:rPr>
  </w:style>
  <w:style w:type="character" w:styleId="ListLabel366">
    <w:name w:val="ListLabel 366"/>
    <w:qFormat/>
    <w:rPr>
      <w:rFonts w:cs="Wingdings"/>
    </w:rPr>
  </w:style>
  <w:style w:type="character" w:styleId="ListLabel367">
    <w:name w:val="ListLabel 367"/>
    <w:qFormat/>
    <w:rPr>
      <w:rFonts w:cs="Symbol"/>
    </w:rPr>
  </w:style>
  <w:style w:type="character" w:styleId="ListLabel368">
    <w:name w:val="ListLabel 368"/>
    <w:qFormat/>
    <w:rPr>
      <w:rFonts w:cs="Courier New"/>
    </w:rPr>
  </w:style>
  <w:style w:type="character" w:styleId="ListLabel369">
    <w:name w:val="ListLabel 369"/>
    <w:qFormat/>
    <w:rPr>
      <w:rFonts w:cs="Wingdings"/>
    </w:rPr>
  </w:style>
  <w:style w:type="character" w:styleId="ListLabel370">
    <w:name w:val="ListLabel 370"/>
    <w:qFormat/>
    <w:rPr>
      <w:rFonts w:cs="Symbol"/>
    </w:rPr>
  </w:style>
  <w:style w:type="character" w:styleId="ListLabel371">
    <w:name w:val="ListLabel 371"/>
    <w:qFormat/>
    <w:rPr>
      <w:rFonts w:cs="Courier New"/>
    </w:rPr>
  </w:style>
  <w:style w:type="character" w:styleId="ListLabel372">
    <w:name w:val="ListLabel 372"/>
    <w:qFormat/>
    <w:rPr>
      <w:rFonts w:cs="Wingdings"/>
    </w:rPr>
  </w:style>
  <w:style w:type="character" w:styleId="ListLabel373">
    <w:name w:val="ListLabel 373"/>
    <w:qFormat/>
    <w:rPr>
      <w:rFonts w:cs="Symbol"/>
    </w:rPr>
  </w:style>
  <w:style w:type="character" w:styleId="ListLabel374">
    <w:name w:val="ListLabel 374"/>
    <w:qFormat/>
    <w:rPr>
      <w:rFonts w:cs="Courier New"/>
    </w:rPr>
  </w:style>
  <w:style w:type="character" w:styleId="ListLabel375">
    <w:name w:val="ListLabel 375"/>
    <w:qFormat/>
    <w:rPr>
      <w:rFonts w:cs="Wingdings"/>
    </w:rPr>
  </w:style>
  <w:style w:type="character" w:styleId="ListLabel376">
    <w:name w:val="ListLabel 376"/>
    <w:qFormat/>
    <w:rPr>
      <w:rFonts w:cs="Symbol"/>
    </w:rPr>
  </w:style>
  <w:style w:type="character" w:styleId="ListLabel377">
    <w:name w:val="ListLabel 377"/>
    <w:qFormat/>
    <w:rPr>
      <w:rFonts w:cs="Courier New"/>
    </w:rPr>
  </w:style>
  <w:style w:type="character" w:styleId="ListLabel378">
    <w:name w:val="ListLabel 378"/>
    <w:qFormat/>
    <w:rPr>
      <w:rFonts w:cs="Wingdings"/>
    </w:rPr>
  </w:style>
  <w:style w:type="character" w:styleId="ListLabel379">
    <w:name w:val="ListLabel 379"/>
    <w:qFormat/>
    <w:rPr>
      <w:rFonts w:cs="OpenSymbol"/>
    </w:rPr>
  </w:style>
  <w:style w:type="character" w:styleId="ListLabel380">
    <w:name w:val="ListLabel 380"/>
    <w:qFormat/>
    <w:rPr>
      <w:rFonts w:cs="OpenSymbol"/>
    </w:rPr>
  </w:style>
  <w:style w:type="character" w:styleId="ListLabel381">
    <w:name w:val="ListLabel 381"/>
    <w:qFormat/>
    <w:rPr>
      <w:rFonts w:cs="OpenSymbol"/>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Wingdings"/>
      <w:sz w:val="22"/>
    </w:rPr>
  </w:style>
  <w:style w:type="character" w:styleId="ListLabel389">
    <w:name w:val="ListLabel 389"/>
    <w:qFormat/>
    <w:rPr>
      <w:rFonts w:cs="Courier New"/>
      <w:sz w:val="20"/>
    </w:rPr>
  </w:style>
  <w:style w:type="character" w:styleId="ListLabel390">
    <w:name w:val="ListLabel 390"/>
    <w:qFormat/>
    <w:rPr>
      <w:rFonts w:cs="Wingdings"/>
      <w:sz w:val="20"/>
    </w:rPr>
  </w:style>
  <w:style w:type="character" w:styleId="ListLabel391">
    <w:name w:val="ListLabel 391"/>
    <w:qFormat/>
    <w:rPr>
      <w:rFonts w:cs="Wingdings"/>
      <w:sz w:val="20"/>
    </w:rPr>
  </w:style>
  <w:style w:type="character" w:styleId="ListLabel392">
    <w:name w:val="ListLabel 392"/>
    <w:qFormat/>
    <w:rPr>
      <w:rFonts w:cs="Wingdings"/>
      <w:sz w:val="20"/>
    </w:rPr>
  </w:style>
  <w:style w:type="character" w:styleId="ListLabel393">
    <w:name w:val="ListLabel 393"/>
    <w:qFormat/>
    <w:rPr>
      <w:rFonts w:cs="Wingdings"/>
      <w:sz w:val="20"/>
    </w:rPr>
  </w:style>
  <w:style w:type="character" w:styleId="ListLabel394">
    <w:name w:val="ListLabel 394"/>
    <w:qFormat/>
    <w:rPr>
      <w:rFonts w:cs="Wingdings"/>
      <w:sz w:val="20"/>
    </w:rPr>
  </w:style>
  <w:style w:type="character" w:styleId="ListLabel395">
    <w:name w:val="ListLabel 395"/>
    <w:qFormat/>
    <w:rPr>
      <w:rFonts w:cs="Wingdings"/>
      <w:sz w:val="20"/>
    </w:rPr>
  </w:style>
  <w:style w:type="character" w:styleId="ListLabel396">
    <w:name w:val="ListLabel 396"/>
    <w:qFormat/>
    <w:rPr>
      <w:rFonts w:cs="Wingdings"/>
      <w:sz w:val="20"/>
    </w:rPr>
  </w:style>
  <w:style w:type="character" w:styleId="ListLabel397">
    <w:name w:val="ListLabel 397"/>
    <w:qFormat/>
    <w:rPr>
      <w:rFonts w:ascii="Times New Roman" w:hAnsi="Times New Roman" w:cs="Wingdings"/>
      <w:sz w:val="22"/>
    </w:rPr>
  </w:style>
  <w:style w:type="character" w:styleId="ListLabel398">
    <w:name w:val="ListLabel 398"/>
    <w:qFormat/>
    <w:rPr>
      <w:rFonts w:cs="Courier New"/>
      <w:sz w:val="20"/>
    </w:rPr>
  </w:style>
  <w:style w:type="character" w:styleId="ListLabel399">
    <w:name w:val="ListLabel 399"/>
    <w:qFormat/>
    <w:rPr>
      <w:rFonts w:cs="Wingdings"/>
      <w:sz w:val="20"/>
    </w:rPr>
  </w:style>
  <w:style w:type="character" w:styleId="ListLabel400">
    <w:name w:val="ListLabel 400"/>
    <w:qFormat/>
    <w:rPr>
      <w:rFonts w:cs="Wingdings"/>
      <w:sz w:val="20"/>
    </w:rPr>
  </w:style>
  <w:style w:type="character" w:styleId="ListLabel401">
    <w:name w:val="ListLabel 401"/>
    <w:qFormat/>
    <w:rPr>
      <w:rFonts w:cs="Wingdings"/>
      <w:sz w:val="20"/>
    </w:rPr>
  </w:style>
  <w:style w:type="character" w:styleId="ListLabel402">
    <w:name w:val="ListLabel 402"/>
    <w:qFormat/>
    <w:rPr>
      <w:rFonts w:cs="Wingdings"/>
      <w:sz w:val="20"/>
    </w:rPr>
  </w:style>
  <w:style w:type="character" w:styleId="ListLabel403">
    <w:name w:val="ListLabel 403"/>
    <w:qFormat/>
    <w:rPr>
      <w:rFonts w:cs="Wingdings"/>
      <w:sz w:val="20"/>
    </w:rPr>
  </w:style>
  <w:style w:type="character" w:styleId="ListLabel404">
    <w:name w:val="ListLabel 404"/>
    <w:qFormat/>
    <w:rPr>
      <w:rFonts w:cs="Wingdings"/>
      <w:sz w:val="20"/>
    </w:rPr>
  </w:style>
  <w:style w:type="character" w:styleId="ListLabel405">
    <w:name w:val="ListLabel 405"/>
    <w:qFormat/>
    <w:rPr>
      <w:rFonts w:cs="Wingdings"/>
      <w:sz w:val="20"/>
    </w:rPr>
  </w:style>
  <w:style w:type="character" w:styleId="ListLabel406">
    <w:name w:val="ListLabel 406"/>
    <w:qFormat/>
    <w:rPr>
      <w:rFonts w:cs="Symbol"/>
    </w:rPr>
  </w:style>
  <w:style w:type="character" w:styleId="ListLabel407">
    <w:name w:val="ListLabel 407"/>
    <w:qFormat/>
    <w:rPr>
      <w:rFonts w:cs="Courier New"/>
    </w:rPr>
  </w:style>
  <w:style w:type="character" w:styleId="ListLabel408">
    <w:name w:val="ListLabel 408"/>
    <w:qFormat/>
    <w:rPr>
      <w:rFonts w:cs="Wingdings"/>
    </w:rPr>
  </w:style>
  <w:style w:type="character" w:styleId="ListLabel409">
    <w:name w:val="ListLabel 409"/>
    <w:qFormat/>
    <w:rPr>
      <w:rFonts w:cs="Symbol"/>
    </w:rPr>
  </w:style>
  <w:style w:type="character" w:styleId="ListLabel410">
    <w:name w:val="ListLabel 410"/>
    <w:qFormat/>
    <w:rPr>
      <w:rFonts w:cs="Courier New"/>
    </w:rPr>
  </w:style>
  <w:style w:type="character" w:styleId="ListLabel411">
    <w:name w:val="ListLabel 411"/>
    <w:qFormat/>
    <w:rPr>
      <w:rFonts w:cs="Wingdings"/>
    </w:rPr>
  </w:style>
  <w:style w:type="character" w:styleId="ListLabel412">
    <w:name w:val="ListLabel 412"/>
    <w:qFormat/>
    <w:rPr>
      <w:rFonts w:cs="Symbol"/>
    </w:rPr>
  </w:style>
  <w:style w:type="character" w:styleId="ListLabel413">
    <w:name w:val="ListLabel 413"/>
    <w:qFormat/>
    <w:rPr>
      <w:rFonts w:cs="Courier New"/>
    </w:rPr>
  </w:style>
  <w:style w:type="character" w:styleId="ListLabel414">
    <w:name w:val="ListLabel 414"/>
    <w:qFormat/>
    <w:rPr>
      <w:rFonts w:cs="Wingdings"/>
    </w:rPr>
  </w:style>
  <w:style w:type="character" w:styleId="ListLabel415">
    <w:name w:val="ListLabel 415"/>
    <w:qFormat/>
    <w:rPr>
      <w:rFonts w:cs="Symbol"/>
      <w:sz w:val="20"/>
    </w:rPr>
  </w:style>
  <w:style w:type="character" w:styleId="ListLabel416">
    <w:name w:val="ListLabel 416"/>
    <w:qFormat/>
    <w:rPr>
      <w:rFonts w:cs="Courier New"/>
    </w:rPr>
  </w:style>
  <w:style w:type="character" w:styleId="ListLabel417">
    <w:name w:val="ListLabel 417"/>
    <w:qFormat/>
    <w:rPr>
      <w:rFonts w:cs="Wingdings"/>
    </w:rPr>
  </w:style>
  <w:style w:type="character" w:styleId="ListLabel418">
    <w:name w:val="ListLabel 418"/>
    <w:qFormat/>
    <w:rPr>
      <w:rFonts w:cs="Symbol"/>
    </w:rPr>
  </w:style>
  <w:style w:type="character" w:styleId="ListLabel419">
    <w:name w:val="ListLabel 419"/>
    <w:qFormat/>
    <w:rPr>
      <w:rFonts w:cs="Courier New"/>
    </w:rPr>
  </w:style>
  <w:style w:type="character" w:styleId="ListLabel420">
    <w:name w:val="ListLabel 420"/>
    <w:qFormat/>
    <w:rPr>
      <w:rFonts w:cs="Wingdings"/>
    </w:rPr>
  </w:style>
  <w:style w:type="character" w:styleId="ListLabel421">
    <w:name w:val="ListLabel 421"/>
    <w:qFormat/>
    <w:rPr>
      <w:rFonts w:cs="Symbol"/>
    </w:rPr>
  </w:style>
  <w:style w:type="character" w:styleId="ListLabel422">
    <w:name w:val="ListLabel 422"/>
    <w:qFormat/>
    <w:rPr>
      <w:rFonts w:cs="Courier New"/>
    </w:rPr>
  </w:style>
  <w:style w:type="character" w:styleId="ListLabel423">
    <w:name w:val="ListLabel 423"/>
    <w:qFormat/>
    <w:rPr>
      <w:rFonts w:cs="Wingdings"/>
    </w:rPr>
  </w:style>
  <w:style w:type="character" w:styleId="ListLabel424">
    <w:name w:val="ListLabel 424"/>
    <w:qFormat/>
    <w:rPr>
      <w:rFonts w:ascii="Georgia" w:hAnsi="Georgia" w:cs="Times New Roman"/>
    </w:rPr>
  </w:style>
  <w:style w:type="character" w:styleId="ListLabel425">
    <w:name w:val="ListLabel 425"/>
    <w:qFormat/>
    <w:rPr>
      <w:rFonts w:cs="Courier New"/>
    </w:rPr>
  </w:style>
  <w:style w:type="character" w:styleId="ListLabel426">
    <w:name w:val="ListLabel 426"/>
    <w:qFormat/>
    <w:rPr>
      <w:rFonts w:cs="Wingdings"/>
    </w:rPr>
  </w:style>
  <w:style w:type="character" w:styleId="ListLabel427">
    <w:name w:val="ListLabel 427"/>
    <w:qFormat/>
    <w:rPr>
      <w:rFonts w:cs="Symbol"/>
    </w:rPr>
  </w:style>
  <w:style w:type="character" w:styleId="ListLabel428">
    <w:name w:val="ListLabel 428"/>
    <w:qFormat/>
    <w:rPr>
      <w:rFonts w:cs="Courier New"/>
    </w:rPr>
  </w:style>
  <w:style w:type="character" w:styleId="ListLabel429">
    <w:name w:val="ListLabel 429"/>
    <w:qFormat/>
    <w:rPr>
      <w:rFonts w:cs="Wingdings"/>
    </w:rPr>
  </w:style>
  <w:style w:type="character" w:styleId="ListLabel430">
    <w:name w:val="ListLabel 430"/>
    <w:qFormat/>
    <w:rPr>
      <w:rFonts w:cs="Symbol"/>
    </w:rPr>
  </w:style>
  <w:style w:type="character" w:styleId="ListLabel431">
    <w:name w:val="ListLabel 431"/>
    <w:qFormat/>
    <w:rPr>
      <w:rFonts w:cs="Courier New"/>
    </w:rPr>
  </w:style>
  <w:style w:type="character" w:styleId="ListLabel432">
    <w:name w:val="ListLabel 432"/>
    <w:qFormat/>
    <w:rPr>
      <w:rFonts w:cs="Wingdings"/>
    </w:rPr>
  </w:style>
  <w:style w:type="character" w:styleId="ListLabel433">
    <w:name w:val="ListLabel 433"/>
    <w:qFormat/>
    <w:rPr>
      <w:rFonts w:cs="Symbol"/>
      <w:b/>
      <w:sz w:val="28"/>
    </w:rPr>
  </w:style>
  <w:style w:type="character" w:styleId="ListLabel434">
    <w:name w:val="ListLabel 434"/>
    <w:qFormat/>
    <w:rPr>
      <w:rFonts w:cs="Courier New"/>
    </w:rPr>
  </w:style>
  <w:style w:type="character" w:styleId="ListLabel435">
    <w:name w:val="ListLabel 435"/>
    <w:qFormat/>
    <w:rPr>
      <w:rFonts w:cs="Wingdings"/>
    </w:rPr>
  </w:style>
  <w:style w:type="character" w:styleId="ListLabel436">
    <w:name w:val="ListLabel 436"/>
    <w:qFormat/>
    <w:rPr>
      <w:rFonts w:cs="Symbol"/>
    </w:rPr>
  </w:style>
  <w:style w:type="character" w:styleId="ListLabel437">
    <w:name w:val="ListLabel 437"/>
    <w:qFormat/>
    <w:rPr>
      <w:rFonts w:cs="Courier New"/>
    </w:rPr>
  </w:style>
  <w:style w:type="character" w:styleId="ListLabel438">
    <w:name w:val="ListLabel 438"/>
    <w:qFormat/>
    <w:rPr>
      <w:rFonts w:cs="Wingdings"/>
    </w:rPr>
  </w:style>
  <w:style w:type="character" w:styleId="ListLabel439">
    <w:name w:val="ListLabel 439"/>
    <w:qFormat/>
    <w:rPr>
      <w:rFonts w:cs="Symbol"/>
    </w:rPr>
  </w:style>
  <w:style w:type="character" w:styleId="ListLabel440">
    <w:name w:val="ListLabel 440"/>
    <w:qFormat/>
    <w:rPr>
      <w:rFonts w:cs="Courier New"/>
    </w:rPr>
  </w:style>
  <w:style w:type="character" w:styleId="ListLabel441">
    <w:name w:val="ListLabel 441"/>
    <w:qFormat/>
    <w:rPr>
      <w:rFonts w:cs="Wingdings"/>
    </w:rPr>
  </w:style>
  <w:style w:type="character" w:styleId="ListLabel442">
    <w:name w:val="ListLabel 442"/>
    <w:qFormat/>
    <w:rPr>
      <w:rFonts w:cs="Symbol"/>
      <w:b/>
      <w:sz w:val="28"/>
    </w:rPr>
  </w:style>
  <w:style w:type="character" w:styleId="ListLabel443">
    <w:name w:val="ListLabel 443"/>
    <w:qFormat/>
    <w:rPr>
      <w:rFonts w:cs="Courier New"/>
    </w:rPr>
  </w:style>
  <w:style w:type="character" w:styleId="ListLabel444">
    <w:name w:val="ListLabel 444"/>
    <w:qFormat/>
    <w:rPr>
      <w:rFonts w:cs="Wingdings"/>
    </w:rPr>
  </w:style>
  <w:style w:type="character" w:styleId="ListLabel445">
    <w:name w:val="ListLabel 445"/>
    <w:qFormat/>
    <w:rPr>
      <w:rFonts w:cs="Symbol"/>
    </w:rPr>
  </w:style>
  <w:style w:type="character" w:styleId="ListLabel446">
    <w:name w:val="ListLabel 446"/>
    <w:qFormat/>
    <w:rPr>
      <w:rFonts w:cs="Courier New"/>
    </w:rPr>
  </w:style>
  <w:style w:type="character" w:styleId="ListLabel447">
    <w:name w:val="ListLabel 447"/>
    <w:qFormat/>
    <w:rPr>
      <w:rFonts w:cs="Wingdings"/>
    </w:rPr>
  </w:style>
  <w:style w:type="character" w:styleId="ListLabel448">
    <w:name w:val="ListLabel 448"/>
    <w:qFormat/>
    <w:rPr>
      <w:rFonts w:cs="Symbol"/>
    </w:rPr>
  </w:style>
  <w:style w:type="character" w:styleId="ListLabel449">
    <w:name w:val="ListLabel 449"/>
    <w:qFormat/>
    <w:rPr>
      <w:rFonts w:cs="Courier New"/>
    </w:rPr>
  </w:style>
  <w:style w:type="character" w:styleId="ListLabel450">
    <w:name w:val="ListLabel 450"/>
    <w:qFormat/>
    <w:rPr>
      <w:rFonts w:cs="Wingdings"/>
    </w:rPr>
  </w:style>
  <w:style w:type="character" w:styleId="ListLabel451">
    <w:name w:val="ListLabel 451"/>
    <w:qFormat/>
    <w:rPr>
      <w:rFonts w:ascii="Georgia" w:hAnsi="Georgia" w:cs="Times New Roman"/>
      <w:sz w:val="24"/>
    </w:rPr>
  </w:style>
  <w:style w:type="character" w:styleId="ListLabel452">
    <w:name w:val="ListLabel 452"/>
    <w:qFormat/>
    <w:rPr>
      <w:rFonts w:cs="Courier New"/>
    </w:rPr>
  </w:style>
  <w:style w:type="character" w:styleId="ListLabel453">
    <w:name w:val="ListLabel 453"/>
    <w:qFormat/>
    <w:rPr>
      <w:rFonts w:cs="Wingdings"/>
    </w:rPr>
  </w:style>
  <w:style w:type="character" w:styleId="ListLabel454">
    <w:name w:val="ListLabel 454"/>
    <w:qFormat/>
    <w:rPr>
      <w:rFonts w:cs="Symbol"/>
    </w:rPr>
  </w:style>
  <w:style w:type="character" w:styleId="ListLabel455">
    <w:name w:val="ListLabel 455"/>
    <w:qFormat/>
    <w:rPr>
      <w:rFonts w:cs="Courier New"/>
    </w:rPr>
  </w:style>
  <w:style w:type="character" w:styleId="ListLabel456">
    <w:name w:val="ListLabel 456"/>
    <w:qFormat/>
    <w:rPr>
      <w:rFonts w:cs="Wingdings"/>
    </w:rPr>
  </w:style>
  <w:style w:type="character" w:styleId="ListLabel457">
    <w:name w:val="ListLabel 457"/>
    <w:qFormat/>
    <w:rPr>
      <w:rFonts w:cs="Symbol"/>
    </w:rPr>
  </w:style>
  <w:style w:type="character" w:styleId="ListLabel458">
    <w:name w:val="ListLabel 458"/>
    <w:qFormat/>
    <w:rPr>
      <w:rFonts w:cs="Courier New"/>
    </w:rPr>
  </w:style>
  <w:style w:type="character" w:styleId="ListLabel459">
    <w:name w:val="ListLabel 459"/>
    <w:qFormat/>
    <w:rPr>
      <w:rFonts w:cs="Wingdings"/>
    </w:rPr>
  </w:style>
  <w:style w:type="character" w:styleId="ListLabel460">
    <w:name w:val="ListLabel 460"/>
    <w:qFormat/>
    <w:rPr>
      <w:rFonts w:ascii="Times New Roman" w:hAnsi="Times New Roman" w:cs="Times New Roman"/>
      <w:sz w:val="20"/>
    </w:rPr>
  </w:style>
  <w:style w:type="character" w:styleId="ListLabel461">
    <w:name w:val="ListLabel 461"/>
    <w:qFormat/>
    <w:rPr>
      <w:rFonts w:cs="Courier New"/>
    </w:rPr>
  </w:style>
  <w:style w:type="character" w:styleId="ListLabel462">
    <w:name w:val="ListLabel 462"/>
    <w:qFormat/>
    <w:rPr>
      <w:rFonts w:cs="Wingdings"/>
    </w:rPr>
  </w:style>
  <w:style w:type="character" w:styleId="ListLabel463">
    <w:name w:val="ListLabel 463"/>
    <w:qFormat/>
    <w:rPr>
      <w:rFonts w:cs="Symbol"/>
    </w:rPr>
  </w:style>
  <w:style w:type="character" w:styleId="ListLabel464">
    <w:name w:val="ListLabel 464"/>
    <w:qFormat/>
    <w:rPr>
      <w:rFonts w:cs="Courier New"/>
    </w:rPr>
  </w:style>
  <w:style w:type="character" w:styleId="ListLabel465">
    <w:name w:val="ListLabel 465"/>
    <w:qFormat/>
    <w:rPr>
      <w:rFonts w:cs="Wingdings"/>
    </w:rPr>
  </w:style>
  <w:style w:type="character" w:styleId="ListLabel466">
    <w:name w:val="ListLabel 466"/>
    <w:qFormat/>
    <w:rPr>
      <w:rFonts w:cs="Symbol"/>
    </w:rPr>
  </w:style>
  <w:style w:type="character" w:styleId="ListLabel467">
    <w:name w:val="ListLabel 467"/>
    <w:qFormat/>
    <w:rPr>
      <w:rFonts w:cs="Courier New"/>
    </w:rPr>
  </w:style>
  <w:style w:type="character" w:styleId="ListLabel468">
    <w:name w:val="ListLabel 468"/>
    <w:qFormat/>
    <w:rPr>
      <w:rFonts w:cs="Wingdings"/>
    </w:rPr>
  </w:style>
  <w:style w:type="character" w:styleId="ListLabel469">
    <w:name w:val="ListLabel 469"/>
    <w:qFormat/>
    <w:rPr>
      <w:rFonts w:cs="Times New Roman"/>
    </w:rPr>
  </w:style>
  <w:style w:type="character" w:styleId="ListLabel470">
    <w:name w:val="ListLabel 470"/>
    <w:qFormat/>
    <w:rPr>
      <w:rFonts w:cs="Courier New"/>
    </w:rPr>
  </w:style>
  <w:style w:type="character" w:styleId="ListLabel471">
    <w:name w:val="ListLabel 471"/>
    <w:qFormat/>
    <w:rPr>
      <w:rFonts w:cs="Wingdings"/>
    </w:rPr>
  </w:style>
  <w:style w:type="character" w:styleId="ListLabel472">
    <w:name w:val="ListLabel 472"/>
    <w:qFormat/>
    <w:rPr>
      <w:rFonts w:cs="Symbol"/>
    </w:rPr>
  </w:style>
  <w:style w:type="character" w:styleId="ListLabel473">
    <w:name w:val="ListLabel 473"/>
    <w:qFormat/>
    <w:rPr>
      <w:rFonts w:cs="Courier New"/>
    </w:rPr>
  </w:style>
  <w:style w:type="character" w:styleId="ListLabel474">
    <w:name w:val="ListLabel 474"/>
    <w:qFormat/>
    <w:rPr>
      <w:rFonts w:cs="Wingdings"/>
    </w:rPr>
  </w:style>
  <w:style w:type="character" w:styleId="ListLabel475">
    <w:name w:val="ListLabel 475"/>
    <w:qFormat/>
    <w:rPr>
      <w:rFonts w:cs="Symbol"/>
    </w:rPr>
  </w:style>
  <w:style w:type="character" w:styleId="ListLabel476">
    <w:name w:val="ListLabel 476"/>
    <w:qFormat/>
    <w:rPr>
      <w:rFonts w:cs="Courier New"/>
    </w:rPr>
  </w:style>
  <w:style w:type="character" w:styleId="ListLabel477">
    <w:name w:val="ListLabel 477"/>
    <w:qFormat/>
    <w:rPr>
      <w:rFonts w:cs="Wingdings"/>
    </w:rPr>
  </w:style>
  <w:style w:type="character" w:styleId="ListLabel478">
    <w:name w:val="ListLabel 478"/>
    <w:qFormat/>
    <w:rPr>
      <w:rFonts w:ascii="Times New Roman" w:hAnsi="Times New Roman" w:eastAsia="Calibri" w:cs="Times New Roman"/>
      <w:sz w:val="24"/>
    </w:rPr>
  </w:style>
  <w:style w:type="character" w:styleId="ListLabel479">
    <w:name w:val="ListLabel 479"/>
    <w:qFormat/>
    <w:rPr>
      <w:rFonts w:ascii="Times New Roman" w:hAnsi="Times New Roman" w:cs="Times New Roman"/>
      <w:b/>
      <w:sz w:val="24"/>
    </w:rPr>
  </w:style>
  <w:style w:type="character" w:styleId="ListLabel480">
    <w:name w:val="ListLabel 480"/>
    <w:qFormat/>
    <w:rPr>
      <w:rFonts w:cs="Courier New"/>
    </w:rPr>
  </w:style>
  <w:style w:type="character" w:styleId="ListLabel481">
    <w:name w:val="ListLabel 481"/>
    <w:qFormat/>
    <w:rPr>
      <w:rFonts w:cs="Wingdings"/>
    </w:rPr>
  </w:style>
  <w:style w:type="character" w:styleId="ListLabel482">
    <w:name w:val="ListLabel 482"/>
    <w:qFormat/>
    <w:rPr>
      <w:rFonts w:cs="Symbol"/>
    </w:rPr>
  </w:style>
  <w:style w:type="character" w:styleId="ListLabel483">
    <w:name w:val="ListLabel 483"/>
    <w:qFormat/>
    <w:rPr>
      <w:rFonts w:cs="Courier New"/>
    </w:rPr>
  </w:style>
  <w:style w:type="character" w:styleId="ListLabel484">
    <w:name w:val="ListLabel 484"/>
    <w:qFormat/>
    <w:rPr>
      <w:rFonts w:cs="Wingdings"/>
    </w:rPr>
  </w:style>
  <w:style w:type="character" w:styleId="ListLabel485">
    <w:name w:val="ListLabel 485"/>
    <w:qFormat/>
    <w:rPr>
      <w:rFonts w:cs="Symbol"/>
    </w:rPr>
  </w:style>
  <w:style w:type="character" w:styleId="ListLabel486">
    <w:name w:val="ListLabel 486"/>
    <w:qFormat/>
    <w:rPr>
      <w:rFonts w:cs="Courier New"/>
    </w:rPr>
  </w:style>
  <w:style w:type="character" w:styleId="ListLabel487">
    <w:name w:val="ListLabel 487"/>
    <w:qFormat/>
    <w:rPr>
      <w:rFonts w:cs="Wingdings"/>
    </w:rPr>
  </w:style>
  <w:style w:type="character" w:styleId="ListLabel488">
    <w:name w:val="ListLabel 488"/>
    <w:qFormat/>
    <w:rPr>
      <w:rFonts w:ascii="Times New Roman" w:hAnsi="Times New Roman" w:cs="Symbol"/>
      <w:sz w:val="24"/>
    </w:rPr>
  </w:style>
  <w:style w:type="character" w:styleId="ListLabel489">
    <w:name w:val="ListLabel 489"/>
    <w:qFormat/>
    <w:rPr>
      <w:rFonts w:cs="Courier New"/>
    </w:rPr>
  </w:style>
  <w:style w:type="character" w:styleId="ListLabel490">
    <w:name w:val="ListLabel 490"/>
    <w:qFormat/>
    <w:rPr>
      <w:rFonts w:cs="Wingdings"/>
    </w:rPr>
  </w:style>
  <w:style w:type="character" w:styleId="ListLabel491">
    <w:name w:val="ListLabel 491"/>
    <w:qFormat/>
    <w:rPr>
      <w:rFonts w:cs="Symbol"/>
    </w:rPr>
  </w:style>
  <w:style w:type="character" w:styleId="ListLabel492">
    <w:name w:val="ListLabel 492"/>
    <w:qFormat/>
    <w:rPr>
      <w:rFonts w:cs="Courier New"/>
    </w:rPr>
  </w:style>
  <w:style w:type="character" w:styleId="ListLabel493">
    <w:name w:val="ListLabel 493"/>
    <w:qFormat/>
    <w:rPr>
      <w:rFonts w:cs="Wingdings"/>
    </w:rPr>
  </w:style>
  <w:style w:type="character" w:styleId="ListLabel494">
    <w:name w:val="ListLabel 494"/>
    <w:qFormat/>
    <w:rPr>
      <w:rFonts w:cs="Symbol"/>
    </w:rPr>
  </w:style>
  <w:style w:type="character" w:styleId="ListLabel495">
    <w:name w:val="ListLabel 495"/>
    <w:qFormat/>
    <w:rPr>
      <w:rFonts w:cs="Courier New"/>
    </w:rPr>
  </w:style>
  <w:style w:type="character" w:styleId="ListLabel496">
    <w:name w:val="ListLabel 496"/>
    <w:qFormat/>
    <w:rPr>
      <w:rFonts w:cs="Wingdings"/>
    </w:rPr>
  </w:style>
  <w:style w:type="character" w:styleId="ListLabel497">
    <w:name w:val="ListLabel 497"/>
    <w:qFormat/>
    <w:rPr>
      <w:rFonts w:ascii="Times New Roman" w:hAnsi="Times New Roman" w:cs="Symbol"/>
      <w:b/>
      <w:sz w:val="28"/>
    </w:rPr>
  </w:style>
  <w:style w:type="character" w:styleId="ListLabel498">
    <w:name w:val="ListLabel 498"/>
    <w:qFormat/>
    <w:rPr>
      <w:rFonts w:cs="Courier New"/>
    </w:rPr>
  </w:style>
  <w:style w:type="character" w:styleId="ListLabel499">
    <w:name w:val="ListLabel 499"/>
    <w:qFormat/>
    <w:rPr>
      <w:rFonts w:cs="Wingdings"/>
    </w:rPr>
  </w:style>
  <w:style w:type="character" w:styleId="ListLabel500">
    <w:name w:val="ListLabel 500"/>
    <w:qFormat/>
    <w:rPr>
      <w:rFonts w:cs="Symbol"/>
    </w:rPr>
  </w:style>
  <w:style w:type="character" w:styleId="ListLabel501">
    <w:name w:val="ListLabel 501"/>
    <w:qFormat/>
    <w:rPr>
      <w:rFonts w:cs="Courier New"/>
    </w:rPr>
  </w:style>
  <w:style w:type="character" w:styleId="ListLabel502">
    <w:name w:val="ListLabel 502"/>
    <w:qFormat/>
    <w:rPr>
      <w:rFonts w:cs="Wingdings"/>
    </w:rPr>
  </w:style>
  <w:style w:type="character" w:styleId="ListLabel503">
    <w:name w:val="ListLabel 503"/>
    <w:qFormat/>
    <w:rPr>
      <w:rFonts w:cs="Symbol"/>
    </w:rPr>
  </w:style>
  <w:style w:type="character" w:styleId="ListLabel504">
    <w:name w:val="ListLabel 504"/>
    <w:qFormat/>
    <w:rPr>
      <w:rFonts w:cs="Courier New"/>
    </w:rPr>
  </w:style>
  <w:style w:type="character" w:styleId="ListLabel505">
    <w:name w:val="ListLabel 505"/>
    <w:qFormat/>
    <w:rPr>
      <w:rFonts w:cs="Wingdings"/>
    </w:rPr>
  </w:style>
  <w:style w:type="character" w:styleId="ListLabel506">
    <w:name w:val="ListLabel 506"/>
    <w:qFormat/>
    <w:rPr>
      <w:rFonts w:ascii="Georgia" w:hAnsi="Georgia" w:cs="Times New Roman"/>
      <w:b/>
      <w:color w:val="auto"/>
      <w:sz w:val="22"/>
    </w:rPr>
  </w:style>
  <w:style w:type="character" w:styleId="ListLabel507">
    <w:name w:val="ListLabel 507"/>
    <w:qFormat/>
    <w:rPr>
      <w:rFonts w:cs="Courier New"/>
    </w:rPr>
  </w:style>
  <w:style w:type="character" w:styleId="ListLabel508">
    <w:name w:val="ListLabel 508"/>
    <w:qFormat/>
    <w:rPr>
      <w:rFonts w:cs="Wingdings"/>
    </w:rPr>
  </w:style>
  <w:style w:type="character" w:styleId="ListLabel509">
    <w:name w:val="ListLabel 509"/>
    <w:qFormat/>
    <w:rPr>
      <w:rFonts w:cs="Symbol"/>
    </w:rPr>
  </w:style>
  <w:style w:type="character" w:styleId="ListLabel510">
    <w:name w:val="ListLabel 510"/>
    <w:qFormat/>
    <w:rPr>
      <w:rFonts w:cs="Courier New"/>
    </w:rPr>
  </w:style>
  <w:style w:type="character" w:styleId="ListLabel511">
    <w:name w:val="ListLabel 511"/>
    <w:qFormat/>
    <w:rPr>
      <w:rFonts w:cs="Wingdings"/>
    </w:rPr>
  </w:style>
  <w:style w:type="character" w:styleId="ListLabel512">
    <w:name w:val="ListLabel 512"/>
    <w:qFormat/>
    <w:rPr>
      <w:rFonts w:cs="Symbol"/>
    </w:rPr>
  </w:style>
  <w:style w:type="character" w:styleId="ListLabel513">
    <w:name w:val="ListLabel 513"/>
    <w:qFormat/>
    <w:rPr>
      <w:rFonts w:cs="Courier New"/>
    </w:rPr>
  </w:style>
  <w:style w:type="character" w:styleId="ListLabel514">
    <w:name w:val="ListLabel 514"/>
    <w:qFormat/>
    <w:rPr>
      <w:rFonts w:cs="Wingdings"/>
    </w:rPr>
  </w:style>
  <w:style w:type="character" w:styleId="ListLabel515">
    <w:name w:val="ListLabel 515"/>
    <w:qFormat/>
    <w:rPr>
      <w:rFonts w:ascii="RgsyshAdvTTb8864ccf.B" w:hAnsi="RgsyshAdvTTb8864ccf.B" w:cs="Symbol"/>
      <w:b/>
      <w:sz w:val="28"/>
      <w:szCs w:val="32"/>
    </w:rPr>
  </w:style>
  <w:style w:type="character" w:styleId="ListLabel516">
    <w:name w:val="ListLabel 516"/>
    <w:qFormat/>
    <w:rPr>
      <w:rFonts w:cs="Courier New"/>
    </w:rPr>
  </w:style>
  <w:style w:type="character" w:styleId="ListLabel517">
    <w:name w:val="ListLabel 517"/>
    <w:qFormat/>
    <w:rPr>
      <w:rFonts w:cs="Wingdings"/>
    </w:rPr>
  </w:style>
  <w:style w:type="character" w:styleId="ListLabel518">
    <w:name w:val="ListLabel 518"/>
    <w:qFormat/>
    <w:rPr>
      <w:rFonts w:cs="Symbol"/>
    </w:rPr>
  </w:style>
  <w:style w:type="character" w:styleId="ListLabel519">
    <w:name w:val="ListLabel 519"/>
    <w:qFormat/>
    <w:rPr>
      <w:rFonts w:cs="Courier New"/>
    </w:rPr>
  </w:style>
  <w:style w:type="character" w:styleId="ListLabel520">
    <w:name w:val="ListLabel 520"/>
    <w:qFormat/>
    <w:rPr>
      <w:rFonts w:cs="Wingdings"/>
    </w:rPr>
  </w:style>
  <w:style w:type="character" w:styleId="ListLabel521">
    <w:name w:val="ListLabel 521"/>
    <w:qFormat/>
    <w:rPr>
      <w:rFonts w:cs="Symbol"/>
    </w:rPr>
  </w:style>
  <w:style w:type="character" w:styleId="ListLabel522">
    <w:name w:val="ListLabel 522"/>
    <w:qFormat/>
    <w:rPr>
      <w:rFonts w:cs="Courier New"/>
    </w:rPr>
  </w:style>
  <w:style w:type="character" w:styleId="ListLabel523">
    <w:name w:val="ListLabel 523"/>
    <w:qFormat/>
    <w:rPr>
      <w:rFonts w:cs="Wingdings"/>
    </w:rPr>
  </w:style>
  <w:style w:type="character" w:styleId="ListLabel524">
    <w:name w:val="ListLabel 524"/>
    <w:qFormat/>
    <w:rPr>
      <w:rFonts w:cs="Symbol"/>
      <w:sz w:val="20"/>
    </w:rPr>
  </w:style>
  <w:style w:type="character" w:styleId="ListLabel525">
    <w:name w:val="ListLabel 525"/>
    <w:qFormat/>
    <w:rPr>
      <w:rFonts w:cs="Courier New"/>
      <w:sz w:val="20"/>
    </w:rPr>
  </w:style>
  <w:style w:type="character" w:styleId="ListLabel526">
    <w:name w:val="ListLabel 526"/>
    <w:qFormat/>
    <w:rPr>
      <w:rFonts w:cs="Wingdings"/>
      <w:sz w:val="20"/>
    </w:rPr>
  </w:style>
  <w:style w:type="character" w:styleId="ListLabel527">
    <w:name w:val="ListLabel 527"/>
    <w:qFormat/>
    <w:rPr>
      <w:rFonts w:cs="Wingdings"/>
      <w:sz w:val="20"/>
    </w:rPr>
  </w:style>
  <w:style w:type="character" w:styleId="ListLabel528">
    <w:name w:val="ListLabel 528"/>
    <w:qFormat/>
    <w:rPr>
      <w:rFonts w:cs="Wingdings"/>
      <w:sz w:val="20"/>
    </w:rPr>
  </w:style>
  <w:style w:type="character" w:styleId="ListLabel529">
    <w:name w:val="ListLabel 529"/>
    <w:qFormat/>
    <w:rPr>
      <w:rFonts w:cs="Wingdings"/>
      <w:sz w:val="20"/>
    </w:rPr>
  </w:style>
  <w:style w:type="character" w:styleId="ListLabel530">
    <w:name w:val="ListLabel 530"/>
    <w:qFormat/>
    <w:rPr>
      <w:rFonts w:cs="Wingdings"/>
      <w:sz w:val="20"/>
    </w:rPr>
  </w:style>
  <w:style w:type="character" w:styleId="ListLabel531">
    <w:name w:val="ListLabel 531"/>
    <w:qFormat/>
    <w:rPr>
      <w:rFonts w:cs="Wingdings"/>
      <w:sz w:val="20"/>
    </w:rPr>
  </w:style>
  <w:style w:type="character" w:styleId="ListLabel532">
    <w:name w:val="ListLabel 532"/>
    <w:qFormat/>
    <w:rPr>
      <w:rFonts w:cs="Wingdings"/>
      <w:sz w:val="20"/>
    </w:rPr>
  </w:style>
  <w:style w:type="character" w:styleId="ListLabel533">
    <w:name w:val="ListLabel 533"/>
    <w:qFormat/>
    <w:rPr>
      <w:sz w:val="22"/>
      <w:szCs w:val="22"/>
      <w:highlight w:val="blue"/>
    </w:rPr>
  </w:style>
  <w:style w:type="character" w:styleId="ListLabel534">
    <w:name w:val="ListLabel 534"/>
    <w:qFormat/>
    <w:rPr>
      <w:sz w:val="22"/>
      <w:szCs w:val="22"/>
      <w:lang w:val="ro-RO"/>
    </w:rPr>
  </w:style>
  <w:style w:type="character" w:styleId="ListLabel535">
    <w:name w:val="ListLabel 535"/>
    <w:qFormat/>
    <w:rPr>
      <w:bCs/>
    </w:rPr>
  </w:style>
  <w:style w:type="character" w:styleId="ListLabel536">
    <w:name w:val="ListLabel 536"/>
    <w:qFormat/>
    <w:rPr>
      <w:rFonts w:ascii="Times New Roman" w:hAnsi="Times New Roman"/>
      <w:bCs/>
      <w:color w:val="auto"/>
      <w:sz w:val="24"/>
      <w:szCs w:val="24"/>
      <w:highlight w:val="white"/>
      <w:u w:val="none"/>
    </w:rPr>
  </w:style>
  <w:style w:type="character" w:styleId="ListLabel537">
    <w:name w:val="ListLabel 537"/>
    <w:qFormat/>
    <w:rPr>
      <w:rFonts w:ascii="Times New Roman" w:hAnsi="Times New Roman"/>
      <w:color w:val="000000"/>
      <w:sz w:val="24"/>
      <w:szCs w:val="24"/>
      <w:highlight w:val="white"/>
      <w:u w:val="none"/>
    </w:rPr>
  </w:style>
  <w:style w:type="character" w:styleId="ListLabel538">
    <w:name w:val="ListLabel 538"/>
    <w:qFormat/>
    <w:rPr>
      <w:rFonts w:ascii="Times New Roman" w:hAnsi="Times New Roman" w:eastAsia="Calibri"/>
      <w:b/>
      <w:color w:val="000000"/>
      <w:sz w:val="24"/>
      <w:szCs w:val="24"/>
      <w:highlight w:val="white"/>
    </w:rPr>
  </w:style>
  <w:style w:type="character" w:styleId="ListLabel539">
    <w:name w:val="ListLabel 539"/>
    <w:qFormat/>
    <w:rPr>
      <w:rFonts w:ascii="Times New Roman" w:hAnsi="Times New Roman"/>
      <w:b/>
      <w:sz w:val="24"/>
      <w:szCs w:val="24"/>
      <w:lang w:eastAsia="en-GB"/>
    </w:rPr>
  </w:style>
  <w:style w:type="character" w:styleId="ListLabel540">
    <w:name w:val="ListLabel 540"/>
    <w:qFormat/>
    <w:rPr>
      <w:rFonts w:ascii="Times New Roman" w:hAnsi="Times New Roman"/>
      <w:color w:val="auto"/>
      <w:sz w:val="24"/>
      <w:szCs w:val="24"/>
      <w:highlight w:val="white"/>
      <w:u w:val="none"/>
    </w:rPr>
  </w:style>
  <w:style w:type="character" w:styleId="ListLabel541">
    <w:name w:val="ListLabel 541"/>
    <w:qFormat/>
    <w:rPr>
      <w:rFonts w:ascii="Times New Roman" w:hAnsi="Times New Roman"/>
      <w:color w:val="auto"/>
      <w:sz w:val="24"/>
      <w:szCs w:val="24"/>
      <w:u w:val="none"/>
    </w:rPr>
  </w:style>
  <w:style w:type="character" w:styleId="ListLabel542">
    <w:name w:val="ListLabel 542"/>
    <w:qFormat/>
    <w:rPr>
      <w:rFonts w:ascii="Times New Roman" w:hAnsi="Times New Roman"/>
      <w:i/>
      <w:iCs/>
      <w:sz w:val="24"/>
      <w:szCs w:val="24"/>
      <w:lang w:eastAsia="en-GB"/>
    </w:rPr>
  </w:style>
  <w:style w:type="character" w:styleId="ListLabel543">
    <w:name w:val="ListLabel 543"/>
    <w:qFormat/>
    <w:rPr>
      <w:rFonts w:ascii="Times New Roman" w:hAnsi="Times New Roman" w:eastAsia="Calibri"/>
      <w:b/>
      <w:bCs/>
      <w:color w:val="auto"/>
      <w:sz w:val="24"/>
      <w:szCs w:val="24"/>
      <w:u w:val="none"/>
    </w:rPr>
  </w:style>
  <w:style w:type="character" w:styleId="ListLabel544">
    <w:name w:val="ListLabel 544"/>
    <w:qFormat/>
    <w:rPr>
      <w:rFonts w:ascii="Times New Roman" w:hAnsi="Times New Roman" w:eastAsia="Calibri"/>
      <w:color w:val="auto"/>
      <w:sz w:val="24"/>
      <w:szCs w:val="24"/>
      <w:u w:val="none"/>
    </w:rPr>
  </w:style>
  <w:style w:type="character" w:styleId="ListLabel545">
    <w:name w:val="ListLabel 545"/>
    <w:qFormat/>
    <w:rPr>
      <w:color w:val="auto"/>
      <w:sz w:val="24"/>
      <w:szCs w:val="24"/>
      <w:highlight w:val="white"/>
      <w:u w:val="none"/>
    </w:rPr>
  </w:style>
  <w:style w:type="character" w:styleId="ListLabel546">
    <w:name w:val="ListLabel 546"/>
    <w:qFormat/>
    <w:rPr>
      <w:b/>
      <w:color w:val="auto"/>
      <w:sz w:val="24"/>
      <w:szCs w:val="24"/>
      <w:highlight w:val="white"/>
      <w:u w:val="none"/>
    </w:rPr>
  </w:style>
  <w:style w:type="character" w:styleId="ListLabel547">
    <w:name w:val="ListLabel 547"/>
    <w:qFormat/>
    <w:rPr>
      <w:color w:val="auto"/>
      <w:sz w:val="24"/>
      <w:szCs w:val="24"/>
      <w:u w:val="none"/>
    </w:rPr>
  </w:style>
  <w:style w:type="character" w:styleId="ListLabel548">
    <w:name w:val="ListLabel 548"/>
    <w:qFormat/>
    <w:rPr>
      <w:rFonts w:ascii="CMBX12" w:hAnsi="CMBX12" w:cs="CMBX12"/>
      <w:kern w:val="0"/>
      <w:sz w:val="24"/>
      <w:szCs w:val="24"/>
    </w:rPr>
  </w:style>
  <w:style w:type="character" w:styleId="ListLabel549">
    <w:name w:val="ListLabel 549"/>
    <w:qFormat/>
    <w:rPr>
      <w:b/>
      <w:i w:val="false"/>
      <w:caps w:val="false"/>
      <w:smallCaps w:val="false"/>
      <w:color w:val="000000"/>
      <w:spacing w:val="0"/>
      <w:sz w:val="24"/>
      <w:szCs w:val="24"/>
      <w:highlight w:val="white"/>
      <w:u w:val="single"/>
    </w:rPr>
  </w:style>
  <w:style w:type="character" w:styleId="ListLabel550">
    <w:name w:val="ListLabel 550"/>
    <w:qFormat/>
    <w:rPr>
      <w:b w:val="false"/>
      <w:i w:val="false"/>
      <w:caps w:val="false"/>
      <w:smallCaps w:val="false"/>
      <w:color w:val="000000"/>
      <w:spacing w:val="0"/>
      <w:sz w:val="24"/>
      <w:szCs w:val="24"/>
      <w:highlight w:val="white"/>
      <w:u w:val="single"/>
    </w:rPr>
  </w:style>
  <w:style w:type="character" w:styleId="ListLabel551">
    <w:name w:val="ListLabel 551"/>
    <w:qFormat/>
    <w:rPr/>
  </w:style>
  <w:style w:type="character" w:styleId="ListLabel552">
    <w:name w:val="ListLabel 552"/>
    <w:qFormat/>
    <w:rPr>
      <w:rFonts w:ascii="Times New Roman" w:hAnsi="Times New Roman"/>
      <w:sz w:val="22"/>
      <w:szCs w:val="22"/>
    </w:rPr>
  </w:style>
  <w:style w:type="character" w:styleId="ListLabel553">
    <w:name w:val="ListLabel 553"/>
    <w:qFormat/>
    <w:rPr>
      <w:rFonts w:ascii="Times New Roman" w:hAnsi="Times New Roman"/>
      <w:b w:val="false"/>
      <w:bCs/>
      <w:i w:val="false"/>
      <w:caps w:val="false"/>
      <w:smallCaps w:val="false"/>
      <w:strike w:val="false"/>
      <w:dstrike w:val="false"/>
      <w:color w:val="385898"/>
      <w:spacing w:val="0"/>
      <w:sz w:val="22"/>
      <w:szCs w:val="22"/>
      <w:u w:val="none"/>
    </w:rPr>
  </w:style>
  <w:style w:type="character" w:styleId="ListLabel554">
    <w:name w:val="ListLabel 554"/>
    <w:qFormat/>
    <w:rPr>
      <w:sz w:val="22"/>
      <w:szCs w:val="22"/>
    </w:rPr>
  </w:style>
  <w:style w:type="character" w:styleId="ListLabel555">
    <w:name w:val="ListLabel 555"/>
    <w:qFormat/>
    <w:rPr>
      <w:rFonts w:ascii="Times New Roman" w:hAnsi="Times New Roman"/>
      <w:sz w:val="24"/>
      <w:szCs w:val="24"/>
    </w:rPr>
  </w:style>
  <w:style w:type="character" w:styleId="ListLabel556">
    <w:name w:val="ListLabel 556"/>
    <w:qFormat/>
    <w:rPr/>
  </w:style>
  <w:style w:type="character" w:styleId="ListLabel557">
    <w:name w:val="ListLabel 557"/>
    <w:qFormat/>
    <w:rPr>
      <w:color w:val="auto"/>
    </w:rPr>
  </w:style>
  <w:style w:type="character" w:styleId="ListLabel558">
    <w:name w:val="ListLabel 558"/>
    <w:qFormat/>
    <w:rPr>
      <w:rFonts w:ascii="Times New Roman" w:hAnsi="Times New Roman"/>
      <w:b w:val="false"/>
      <w:sz w:val="24"/>
      <w:szCs w:val="24"/>
    </w:rPr>
  </w:style>
  <w:style w:type="character" w:styleId="ListLabel559">
    <w:name w:val="ListLabel 559"/>
    <w:qFormat/>
    <w:rPr>
      <w:rFonts w:ascii="Times New Roman" w:hAnsi="Times New Roman"/>
      <w:b w:val="false"/>
      <w:bCs w:val="false"/>
      <w:sz w:val="24"/>
      <w:szCs w:val="24"/>
    </w:rPr>
  </w:style>
  <w:style w:type="character" w:styleId="ListLabel560">
    <w:name w:val="ListLabel 560"/>
    <w:qFormat/>
    <w:rPr>
      <w:sz w:val="24"/>
      <w:szCs w:val="24"/>
    </w:rPr>
  </w:style>
  <w:style w:type="character" w:styleId="ListLabel561">
    <w:name w:val="ListLabel 561"/>
    <w:qFormat/>
    <w:rPr>
      <w:color w:val="7C93A1"/>
      <w:sz w:val="20"/>
      <w:szCs w:val="20"/>
      <w:highlight w:val="white"/>
    </w:rPr>
  </w:style>
  <w:style w:type="character" w:styleId="ListLabel562">
    <w:name w:val="ListLabel 562"/>
    <w:qFormat/>
    <w:rPr>
      <w:b/>
      <w:bCs/>
      <w:color w:val="7C93A1"/>
      <w:sz w:val="20"/>
      <w:szCs w:val="20"/>
      <w:highlight w:val="white"/>
    </w:rPr>
  </w:style>
  <w:style w:type="character" w:styleId="ListLabel563">
    <w:name w:val="ListLabel 563"/>
    <w:qFormat/>
    <w:rPr>
      <w:color w:val="auto"/>
      <w:u w:val="none"/>
    </w:rPr>
  </w:style>
  <w:style w:type="character" w:styleId="ListLabel564">
    <w:name w:val="ListLabel 564"/>
    <w:qFormat/>
    <w:rPr>
      <w:bCs/>
      <w:color w:val="auto"/>
      <w:u w:val="none"/>
      <w:lang w:val="ro-RO"/>
    </w:rPr>
  </w:style>
  <w:style w:type="character" w:styleId="ListLabel565">
    <w:name w:val="ListLabel 565"/>
    <w:qFormat/>
    <w:rPr>
      <w:b/>
      <w:bCs/>
      <w:sz w:val="28"/>
      <w:szCs w:val="28"/>
    </w:rPr>
  </w:style>
  <w:style w:type="character" w:styleId="ListLabel566">
    <w:name w:val="ListLabel 566"/>
    <w:qFormat/>
    <w:rPr>
      <w:b/>
      <w:bCs/>
      <w:color w:val="auto"/>
      <w:sz w:val="20"/>
      <w:szCs w:val="20"/>
      <w:u w:val="none"/>
    </w:rPr>
  </w:style>
  <w:style w:type="character" w:styleId="ListLabel567">
    <w:name w:val="ListLabel 567"/>
    <w:qFormat/>
    <w:rPr>
      <w:rFonts w:eastAsia="Times New Roman"/>
      <w:sz w:val="20"/>
      <w:szCs w:val="20"/>
    </w:rPr>
  </w:style>
  <w:style w:type="character" w:styleId="ListLabel568">
    <w:name w:val="ListLabel 568"/>
    <w:qFormat/>
    <w:rPr>
      <w:rFonts w:eastAsia="Times New Roman"/>
      <w:sz w:val="20"/>
      <w:szCs w:val="20"/>
    </w:rPr>
  </w:style>
  <w:style w:type="character" w:styleId="ListLabel569">
    <w:name w:val="ListLabel 569"/>
    <w:qFormat/>
    <w:rPr>
      <w:b/>
      <w:sz w:val="28"/>
      <w:szCs w:val="28"/>
    </w:rPr>
  </w:style>
  <w:style w:type="character" w:styleId="ListLabel570">
    <w:name w:val="ListLabel 570"/>
    <w:qFormat/>
    <w:rPr>
      <w:rFonts w:ascii="TimesNewRomanMTStd-Italic" w:hAnsi="TimesNewRomanMTStd-Italic" w:cs="TimesNewRomanMTStd-Italic"/>
      <w:i/>
      <w:iCs/>
    </w:rPr>
  </w:style>
  <w:style w:type="character" w:styleId="ListLabel571">
    <w:name w:val="ListLabel 571"/>
    <w:qFormat/>
    <w:rPr>
      <w:b/>
      <w:bCs/>
      <w:color w:val="auto"/>
      <w:sz w:val="28"/>
      <w:szCs w:val="28"/>
      <w:highlight w:val="white"/>
      <w:u w:val="none"/>
    </w:rPr>
  </w:style>
  <w:style w:type="character" w:styleId="ListLabel572">
    <w:name w:val="ListLabel 572"/>
    <w:qFormat/>
    <w:rPr>
      <w:b/>
      <w:color w:val="auto"/>
      <w:sz w:val="28"/>
      <w:szCs w:val="28"/>
      <w:highlight w:val="white"/>
      <w:u w:val="none"/>
    </w:rPr>
  </w:style>
  <w:style w:type="character" w:styleId="ListLabel573">
    <w:name w:val="ListLabel 573"/>
    <w:qFormat/>
    <w:rPr>
      <w:b/>
      <w:i/>
      <w:iCs/>
      <w:color w:val="auto"/>
      <w:sz w:val="28"/>
      <w:szCs w:val="28"/>
      <w:highlight w:val="white"/>
      <w:u w:val="none"/>
    </w:rPr>
  </w:style>
  <w:style w:type="character" w:styleId="ListLabel574">
    <w:name w:val="ListLabel 574"/>
    <w:qFormat/>
    <w:rPr>
      <w:color w:val="auto"/>
      <w:sz w:val="20"/>
      <w:szCs w:val="20"/>
    </w:rPr>
  </w:style>
  <w:style w:type="character" w:styleId="ListLabel575">
    <w:name w:val="ListLabel 575"/>
    <w:qFormat/>
    <w:rPr>
      <w:rFonts w:eastAsia="Calibri"/>
      <w:i/>
      <w:iCs/>
      <w:color w:val="auto"/>
      <w:sz w:val="20"/>
      <w:szCs w:val="20"/>
    </w:rPr>
  </w:style>
  <w:style w:type="character" w:styleId="ListLabel576">
    <w:name w:val="ListLabel 576"/>
    <w:qFormat/>
    <w:rPr>
      <w:color w:val="auto"/>
      <w:highlight w:val="white"/>
      <w:u w:val="none"/>
    </w:rPr>
  </w:style>
  <w:style w:type="character" w:styleId="ListLabel577">
    <w:name w:val="ListLabel 577"/>
    <w:qFormat/>
    <w:rPr>
      <w:b/>
      <w:color w:val="000000"/>
      <w:sz w:val="28"/>
      <w:szCs w:val="28"/>
      <w:highlight w:val="white"/>
    </w:rPr>
  </w:style>
  <w:style w:type="character" w:styleId="ListLabel578">
    <w:name w:val="ListLabel 578"/>
    <w:qFormat/>
    <w:rPr>
      <w:rFonts w:ascii="Times New Roman" w:hAnsi="Times New Roman" w:cs="Times New Roman"/>
    </w:rPr>
  </w:style>
  <w:style w:type="character" w:styleId="ListLabel579">
    <w:name w:val="ListLabel 579"/>
    <w:qFormat/>
    <w:rPr>
      <w:b/>
      <w:color w:val="auto"/>
      <w:spacing w:val="15"/>
      <w:sz w:val="20"/>
      <w:szCs w:val="20"/>
      <w:u w:val="none"/>
    </w:rPr>
  </w:style>
  <w:style w:type="character" w:styleId="ListLabel580">
    <w:name w:val="ListLabel 580"/>
    <w:qFormat/>
    <w:rPr>
      <w:color w:val="auto"/>
      <w:spacing w:val="15"/>
      <w:sz w:val="20"/>
      <w:szCs w:val="20"/>
    </w:rPr>
  </w:style>
  <w:style w:type="character" w:styleId="ListLabel581">
    <w:name w:val="ListLabel 581"/>
    <w:qFormat/>
    <w:rPr>
      <w:rFonts w:ascii="Times New Roman" w:hAnsi="Times New Roman"/>
      <w:sz w:val="28"/>
      <w:szCs w:val="28"/>
      <w:lang w:eastAsia="en-GB"/>
    </w:rPr>
  </w:style>
  <w:style w:type="character" w:styleId="ListLabel582">
    <w:name w:val="ListLabel 582"/>
    <w:qFormat/>
    <w:rPr>
      <w:rFonts w:ascii="Times New Roman" w:hAnsi="Times New Roman"/>
      <w:color w:val="auto"/>
      <w:sz w:val="28"/>
      <w:szCs w:val="28"/>
      <w:highlight w:val="white"/>
      <w:u w:val="none"/>
    </w:rPr>
  </w:style>
  <w:style w:type="character" w:styleId="ListLabel583">
    <w:name w:val="ListLabel 583"/>
    <w:qFormat/>
    <w:rPr>
      <w:rFonts w:ascii="Times New Roman" w:hAnsi="Times New Roman"/>
      <w:color w:val="auto"/>
      <w:sz w:val="28"/>
      <w:szCs w:val="28"/>
      <w:u w:val="none"/>
    </w:rPr>
  </w:style>
  <w:style w:type="character" w:styleId="ListLabel584">
    <w:name w:val="ListLabel 584"/>
    <w:qFormat/>
    <w:rPr>
      <w:rFonts w:ascii="Times New Roman" w:hAnsi="Times New Roman"/>
      <w:i/>
      <w:iCs/>
      <w:sz w:val="28"/>
      <w:szCs w:val="28"/>
      <w:lang w:eastAsia="en-GB"/>
    </w:rPr>
  </w:style>
  <w:style w:type="character" w:styleId="ListLabel585">
    <w:name w:val="ListLabel 585"/>
    <w:qFormat/>
    <w:rPr>
      <w:sz w:val="22"/>
      <w:szCs w:val="22"/>
    </w:rPr>
  </w:style>
  <w:style w:type="character" w:styleId="ListLabel586">
    <w:name w:val="ListLabel 586"/>
    <w:qFormat/>
    <w:rPr>
      <w:color w:val="auto"/>
      <w:sz w:val="22"/>
      <w:szCs w:val="22"/>
      <w:u w:val="none"/>
    </w:rPr>
  </w:style>
  <w:style w:type="character" w:styleId="ListLabel587">
    <w:name w:val="ListLabel 587"/>
    <w:qFormat/>
    <w:rPr>
      <w:b/>
      <w:bCs/>
      <w:color w:val="auto"/>
      <w:sz w:val="22"/>
      <w:szCs w:val="22"/>
      <w:u w:val="none"/>
    </w:rPr>
  </w:style>
  <w:style w:type="character" w:styleId="ListLabel588">
    <w:name w:val="ListLabel 588"/>
    <w:qFormat/>
    <w:rPr>
      <w:spacing w:val="2"/>
      <w:sz w:val="20"/>
      <w:szCs w:val="20"/>
    </w:rPr>
  </w:style>
  <w:style w:type="character" w:styleId="ListLabel589">
    <w:name w:val="ListLabel 589"/>
    <w:qFormat/>
    <w:rPr>
      <w:sz w:val="20"/>
      <w:szCs w:val="20"/>
    </w:rPr>
  </w:style>
  <w:style w:type="character" w:styleId="ListLabel590">
    <w:name w:val="ListLabel 590"/>
    <w:qFormat/>
    <w:rPr>
      <w:spacing w:val="-2"/>
      <w:sz w:val="20"/>
      <w:szCs w:val="20"/>
    </w:rPr>
  </w:style>
  <w:style w:type="character" w:styleId="ListLabel591">
    <w:name w:val="ListLabel 591"/>
    <w:qFormat/>
    <w:rPr>
      <w:spacing w:val="1"/>
      <w:sz w:val="20"/>
      <w:szCs w:val="20"/>
    </w:rPr>
  </w:style>
  <w:style w:type="character" w:styleId="ListLabel592">
    <w:name w:val="ListLabel 592"/>
    <w:qFormat/>
    <w:rPr>
      <w:spacing w:val="-1"/>
      <w:sz w:val="20"/>
      <w:szCs w:val="20"/>
    </w:rPr>
  </w:style>
  <w:style w:type="character" w:styleId="ListLabel593">
    <w:name w:val="ListLabel 593"/>
    <w:qFormat/>
    <w:rPr>
      <w:spacing w:val="3"/>
      <w:sz w:val="20"/>
      <w:szCs w:val="20"/>
    </w:rPr>
  </w:style>
  <w:style w:type="character" w:styleId="ListLabel594">
    <w:name w:val="ListLabel 594"/>
    <w:qFormat/>
    <w:rPr>
      <w:spacing w:val="-6"/>
      <w:sz w:val="20"/>
      <w:szCs w:val="20"/>
    </w:rPr>
  </w:style>
  <w:style w:type="character" w:styleId="ListLabel595">
    <w:name w:val="ListLabel 595"/>
    <w:qFormat/>
    <w:rPr>
      <w:spacing w:val="-3"/>
      <w:sz w:val="20"/>
      <w:szCs w:val="20"/>
    </w:rPr>
  </w:style>
  <w:style w:type="character" w:styleId="ListLabel596">
    <w:name w:val="ListLabel 596"/>
    <w:qFormat/>
    <w:rPr>
      <w:spacing w:val="-8"/>
      <w:sz w:val="20"/>
      <w:szCs w:val="20"/>
    </w:rPr>
  </w:style>
  <w:style w:type="character" w:styleId="ListLabel597">
    <w:name w:val="ListLabel 597"/>
    <w:qFormat/>
    <w:rPr>
      <w:spacing w:val="-7"/>
      <w:sz w:val="20"/>
      <w:szCs w:val="20"/>
    </w:rPr>
  </w:style>
  <w:style w:type="character" w:styleId="ListLabel598">
    <w:name w:val="ListLabel 598"/>
    <w:qFormat/>
    <w:rPr>
      <w:spacing w:val="-9"/>
      <w:sz w:val="20"/>
      <w:szCs w:val="20"/>
    </w:rPr>
  </w:style>
  <w:style w:type="character" w:styleId="ListLabel599">
    <w:name w:val="ListLabel 599"/>
    <w:qFormat/>
    <w:rPr>
      <w:spacing w:val="-11"/>
      <w:sz w:val="20"/>
      <w:szCs w:val="20"/>
    </w:rPr>
  </w:style>
  <w:style w:type="character" w:styleId="ListLabel600">
    <w:name w:val="ListLabel 600"/>
    <w:qFormat/>
    <w:rPr>
      <w:spacing w:val="-8"/>
      <w:sz w:val="20"/>
      <w:szCs w:val="20"/>
    </w:rPr>
  </w:style>
  <w:style w:type="character" w:styleId="ListLabel601">
    <w:name w:val="ListLabel 601"/>
    <w:qFormat/>
    <w:rPr>
      <w:spacing w:val="-9"/>
      <w:sz w:val="20"/>
      <w:szCs w:val="20"/>
    </w:rPr>
  </w:style>
  <w:style w:type="character" w:styleId="ListLabel602">
    <w:name w:val="ListLabel 602"/>
    <w:qFormat/>
    <w:rPr>
      <w:spacing w:val="-7"/>
      <w:sz w:val="20"/>
      <w:szCs w:val="20"/>
    </w:rPr>
  </w:style>
  <w:style w:type="character" w:styleId="ListLabel603">
    <w:name w:val="ListLabel 603"/>
    <w:qFormat/>
    <w:rPr>
      <w:spacing w:val="-6"/>
      <w:sz w:val="20"/>
      <w:szCs w:val="20"/>
    </w:rPr>
  </w:style>
  <w:style w:type="character" w:styleId="ListLabel604">
    <w:name w:val="ListLabel 604"/>
    <w:qFormat/>
    <w:rPr>
      <w:spacing w:val="-11"/>
      <w:sz w:val="20"/>
      <w:szCs w:val="20"/>
    </w:rPr>
  </w:style>
  <w:style w:type="character" w:styleId="ListLabel605">
    <w:name w:val="ListLabel 605"/>
    <w:qFormat/>
    <w:rPr>
      <w:sz w:val="20"/>
      <w:szCs w:val="20"/>
    </w:rPr>
  </w:style>
  <w:style w:type="character" w:styleId="ListLabel606">
    <w:name w:val="ListLabel 606"/>
    <w:qFormat/>
    <w:rPr>
      <w:sz w:val="20"/>
      <w:szCs w:val="20"/>
    </w:rPr>
  </w:style>
  <w:style w:type="character" w:styleId="ListLabel607">
    <w:name w:val="ListLabel 607"/>
    <w:qFormat/>
    <w:rPr>
      <w:spacing w:val="-1"/>
      <w:sz w:val="20"/>
      <w:szCs w:val="20"/>
    </w:rPr>
  </w:style>
  <w:style w:type="character" w:styleId="ListLabel608">
    <w:name w:val="ListLabel 608"/>
    <w:qFormat/>
    <w:rPr>
      <w:spacing w:val="1"/>
      <w:sz w:val="20"/>
      <w:szCs w:val="20"/>
    </w:rPr>
  </w:style>
  <w:style w:type="character" w:styleId="ListLabel609">
    <w:name w:val="ListLabel 609"/>
    <w:qFormat/>
    <w:rPr>
      <w:spacing w:val="-2"/>
      <w:sz w:val="20"/>
      <w:szCs w:val="20"/>
    </w:rPr>
  </w:style>
  <w:style w:type="character" w:styleId="ListLabel610">
    <w:name w:val="ListLabel 610"/>
    <w:qFormat/>
    <w:rPr>
      <w:sz w:val="20"/>
      <w:szCs w:val="20"/>
    </w:rPr>
  </w:style>
  <w:style w:type="character" w:styleId="ListLabel611">
    <w:name w:val="ListLabel 611"/>
    <w:qFormat/>
    <w:rPr>
      <w:spacing w:val="1"/>
      <w:sz w:val="20"/>
      <w:szCs w:val="20"/>
    </w:rPr>
  </w:style>
  <w:style w:type="character" w:styleId="ListLabel612">
    <w:name w:val="ListLabel 612"/>
    <w:qFormat/>
    <w:rPr>
      <w:spacing w:val="-1"/>
      <w:sz w:val="20"/>
      <w:szCs w:val="20"/>
    </w:rPr>
  </w:style>
  <w:style w:type="character" w:styleId="ListLabel613">
    <w:name w:val="ListLabel 613"/>
    <w:qFormat/>
    <w:rPr>
      <w:spacing w:val="-1"/>
      <w:sz w:val="20"/>
      <w:szCs w:val="20"/>
    </w:rPr>
  </w:style>
  <w:style w:type="character" w:styleId="ListLabel614">
    <w:name w:val="ListLabel 614"/>
    <w:qFormat/>
    <w:rPr>
      <w:sz w:val="20"/>
      <w:szCs w:val="20"/>
    </w:rPr>
  </w:style>
  <w:style w:type="character" w:styleId="ListLabel615">
    <w:name w:val="ListLabel 615"/>
    <w:qFormat/>
    <w:rPr>
      <w:spacing w:val="2"/>
      <w:sz w:val="20"/>
      <w:szCs w:val="20"/>
    </w:rPr>
  </w:style>
  <w:style w:type="character" w:styleId="ListLabel616">
    <w:name w:val="ListLabel 616"/>
    <w:qFormat/>
    <w:rPr>
      <w:spacing w:val="12"/>
      <w:sz w:val="20"/>
      <w:szCs w:val="20"/>
    </w:rPr>
  </w:style>
  <w:style w:type="character" w:styleId="ListLabel617">
    <w:name w:val="ListLabel 617"/>
    <w:qFormat/>
    <w:rPr>
      <w:spacing w:val="-6"/>
      <w:sz w:val="20"/>
      <w:szCs w:val="20"/>
    </w:rPr>
  </w:style>
  <w:style w:type="character" w:styleId="ListLabel618">
    <w:name w:val="ListLabel 618"/>
    <w:qFormat/>
    <w:rPr>
      <w:spacing w:val="4"/>
      <w:sz w:val="20"/>
      <w:szCs w:val="20"/>
    </w:rPr>
  </w:style>
  <w:style w:type="character" w:styleId="ListLabel619">
    <w:name w:val="ListLabel 619"/>
    <w:qFormat/>
    <w:rPr>
      <w:spacing w:val="-2"/>
      <w:sz w:val="20"/>
      <w:szCs w:val="20"/>
    </w:rPr>
  </w:style>
  <w:style w:type="character" w:styleId="ListLabel620">
    <w:name w:val="ListLabel 620"/>
    <w:qFormat/>
    <w:rPr>
      <w:spacing w:val="10"/>
      <w:sz w:val="20"/>
      <w:szCs w:val="20"/>
    </w:rPr>
  </w:style>
  <w:style w:type="character" w:styleId="ListLabel621">
    <w:name w:val="ListLabel 621"/>
    <w:qFormat/>
    <w:rPr>
      <w:spacing w:val="2"/>
      <w:sz w:val="20"/>
      <w:szCs w:val="20"/>
    </w:rPr>
  </w:style>
  <w:style w:type="character" w:styleId="ListLabel622">
    <w:name w:val="ListLabel 622"/>
    <w:qFormat/>
    <w:rPr>
      <w:sz w:val="20"/>
      <w:szCs w:val="20"/>
    </w:rPr>
  </w:style>
  <w:style w:type="character" w:styleId="ListLabel623">
    <w:name w:val="ListLabel 623"/>
    <w:qFormat/>
    <w:rPr>
      <w:spacing w:val="-2"/>
      <w:sz w:val="20"/>
      <w:szCs w:val="20"/>
    </w:rPr>
  </w:style>
  <w:style w:type="character" w:styleId="ListLabel624">
    <w:name w:val="ListLabel 624"/>
    <w:qFormat/>
    <w:rPr>
      <w:spacing w:val="47"/>
      <w:sz w:val="20"/>
      <w:szCs w:val="20"/>
    </w:rPr>
  </w:style>
  <w:style w:type="character" w:styleId="ListLabel625">
    <w:name w:val="ListLabel 625"/>
    <w:qFormat/>
    <w:rPr>
      <w:spacing w:val="46"/>
      <w:sz w:val="20"/>
      <w:szCs w:val="20"/>
    </w:rPr>
  </w:style>
  <w:style w:type="character" w:styleId="ListLabel626">
    <w:name w:val="ListLabel 626"/>
    <w:qFormat/>
    <w:rPr>
      <w:sz w:val="20"/>
      <w:szCs w:val="20"/>
    </w:rPr>
  </w:style>
  <w:style w:type="character" w:styleId="ListLabel627">
    <w:name w:val="ListLabel 627"/>
    <w:qFormat/>
    <w:rPr>
      <w:spacing w:val="1"/>
      <w:sz w:val="20"/>
      <w:szCs w:val="20"/>
    </w:rPr>
  </w:style>
  <w:style w:type="character" w:styleId="ListLabel628">
    <w:name w:val="ListLabel 628"/>
    <w:qFormat/>
    <w:rPr>
      <w:spacing w:val="-1"/>
      <w:sz w:val="20"/>
      <w:szCs w:val="20"/>
    </w:rPr>
  </w:style>
  <w:style w:type="character" w:styleId="ListLabel629">
    <w:name w:val="ListLabel 629"/>
    <w:qFormat/>
    <w:rPr>
      <w:spacing w:val="-5"/>
      <w:sz w:val="20"/>
      <w:szCs w:val="20"/>
    </w:rPr>
  </w:style>
  <w:style w:type="character" w:styleId="ListLabel630">
    <w:name w:val="ListLabel 630"/>
    <w:qFormat/>
    <w:rPr>
      <w:spacing w:val="2"/>
      <w:sz w:val="20"/>
      <w:szCs w:val="20"/>
    </w:rPr>
  </w:style>
  <w:style w:type="character" w:styleId="ListLabel631">
    <w:name w:val="ListLabel 631"/>
    <w:qFormat/>
    <w:rPr>
      <w:spacing w:val="-2"/>
      <w:sz w:val="20"/>
      <w:szCs w:val="20"/>
    </w:rPr>
  </w:style>
  <w:style w:type="character" w:styleId="ListLabel632">
    <w:name w:val="ListLabel 632"/>
    <w:qFormat/>
    <w:rPr>
      <w:spacing w:val="3"/>
      <w:sz w:val="20"/>
      <w:szCs w:val="20"/>
    </w:rPr>
  </w:style>
  <w:style w:type="character" w:styleId="ListLabel633">
    <w:name w:val="ListLabel 633"/>
    <w:qFormat/>
    <w:rPr>
      <w:rFonts w:ascii="Segoe UI" w:hAnsi="Segoe UI" w:eastAsia="Calibri" w:cs="Segoe UI"/>
      <w:b/>
      <w:bCs/>
      <w:i w:val="false"/>
      <w:iCs w:val="false"/>
      <w:caps/>
      <w:color w:val="auto"/>
      <w:sz w:val="22"/>
      <w:szCs w:val="22"/>
    </w:rPr>
  </w:style>
  <w:style w:type="character" w:styleId="ListLabel634">
    <w:name w:val="ListLabel 634"/>
    <w:qFormat/>
    <w:rPr>
      <w:rFonts w:ascii="Segoe UI" w:hAnsi="Segoe UI" w:cs="Segoe UI"/>
      <w:color w:val="000000"/>
      <w:sz w:val="22"/>
      <w:szCs w:val="22"/>
    </w:rPr>
  </w:style>
  <w:style w:type="character" w:styleId="ListLabel635">
    <w:name w:val="ListLabel 635"/>
    <w:qFormat/>
    <w:rPr>
      <w:b/>
      <w:sz w:val="22"/>
      <w:szCs w:val="22"/>
    </w:rPr>
  </w:style>
  <w:style w:type="character" w:styleId="ListLabel636">
    <w:name w:val="ListLabel 636"/>
    <w:qFormat/>
    <w:rPr>
      <w:rFonts w:ascii="Georgia" w:hAnsi="Georgia"/>
      <w:color w:val="000000"/>
      <w:sz w:val="22"/>
      <w:szCs w:val="22"/>
    </w:rPr>
  </w:style>
  <w:style w:type="character" w:styleId="ListLabel637">
    <w:name w:val="ListLabel 637"/>
    <w:qFormat/>
    <w:rPr>
      <w:b/>
    </w:rPr>
  </w:style>
  <w:style w:type="character" w:styleId="ListLabel638">
    <w:name w:val="ListLabel 638"/>
    <w:qFormat/>
    <w:rPr>
      <w:rFonts w:ascii="Arial" w:hAnsi="Arial" w:cs="Arial"/>
      <w:color w:val="109D49"/>
    </w:rPr>
  </w:style>
  <w:style w:type="character" w:styleId="ListLabel639">
    <w:name w:val="ListLabel 639"/>
    <w:qFormat/>
    <w:rPr>
      <w:rFonts w:ascii="AdvOTea1a7398" w:hAnsi="AdvOTea1a7398" w:eastAsia="Calibri" w:cs="AdvOTea1a7398"/>
      <w:sz w:val="24"/>
      <w:szCs w:val="24"/>
    </w:rPr>
  </w:style>
  <w:style w:type="character" w:styleId="ListLabel640">
    <w:name w:val="ListLabel 640"/>
    <w:qFormat/>
    <w:rPr>
      <w:rFonts w:ascii="inherit" w:hAnsi="inherit" w:eastAsia="Times New Roman" w:cs="Helvetica"/>
      <w:sz w:val="22"/>
      <w:szCs w:val="22"/>
      <w:u w:val="single"/>
    </w:rPr>
  </w:style>
  <w:style w:type="character" w:styleId="ListLabel641">
    <w:name w:val="ListLabel 641"/>
    <w:qFormat/>
    <w:rPr>
      <w:rFonts w:ascii="Helvetica" w:hAnsi="Helvetica" w:eastAsia="Times New Roman" w:cs="Helvetica"/>
      <w:sz w:val="22"/>
      <w:szCs w:val="22"/>
    </w:rPr>
  </w:style>
  <w:style w:type="character" w:styleId="ListLabel642">
    <w:name w:val="ListLabel 642"/>
    <w:qFormat/>
    <w:rPr>
      <w:rFonts w:ascii="inherit" w:hAnsi="inherit" w:cs="Arial"/>
      <w:sz w:val="22"/>
      <w:szCs w:val="22"/>
    </w:rPr>
  </w:style>
  <w:style w:type="character" w:styleId="ListLabel643">
    <w:name w:val="ListLabel 643"/>
    <w:qFormat/>
    <w:rPr>
      <w:sz w:val="22"/>
      <w:szCs w:val="22"/>
    </w:rPr>
  </w:style>
  <w:style w:type="character" w:styleId="ListLabel644">
    <w:name w:val="ListLabel 644"/>
    <w:qFormat/>
    <w:rPr>
      <w:b/>
      <w:color w:val="auto"/>
      <w:sz w:val="28"/>
      <w:szCs w:val="28"/>
      <w:u w:val="none"/>
    </w:rPr>
  </w:style>
  <w:style w:type="character" w:styleId="ListLabel645">
    <w:name w:val="ListLabel 645"/>
    <w:qFormat/>
    <w:rPr>
      <w:rFonts w:ascii="CMBX12" w:hAnsi="CMBX12" w:cs="CMBX12"/>
      <w:sz w:val="28"/>
      <w:szCs w:val="28"/>
    </w:rPr>
  </w:style>
  <w:style w:type="character" w:styleId="ListLabel646">
    <w:name w:val="ListLabel 646"/>
    <w:qFormat/>
    <w:rPr>
      <w:rFonts w:ascii="Arial" w:hAnsi="Arial" w:cs="Arial"/>
      <w:b/>
      <w:bCs/>
      <w:color w:val="FF6600"/>
    </w:rPr>
  </w:style>
  <w:style w:type="character" w:styleId="ListLabel647">
    <w:name w:val="ListLabel 647"/>
    <w:qFormat/>
    <w:rPr>
      <w:rFonts w:ascii="Arial" w:hAnsi="Arial" w:cs="Arial"/>
      <w:color w:val="326891"/>
      <w:spacing w:val="15"/>
      <w:sz w:val="20"/>
      <w:szCs w:val="20"/>
      <w:highlight w:val="white"/>
    </w:rPr>
  </w:style>
  <w:style w:type="character" w:styleId="ListLabel648">
    <w:name w:val="ListLabel 648"/>
    <w:qFormat/>
    <w:rPr>
      <w:color w:val="326891"/>
      <w:spacing w:val="15"/>
    </w:rPr>
  </w:style>
  <w:style w:type="character" w:styleId="ListLabel649">
    <w:name w:val="ListLabel 649"/>
    <w:qFormat/>
    <w:rPr>
      <w:color w:val="326891"/>
      <w:spacing w:val="15"/>
    </w:rPr>
  </w:style>
  <w:style w:type="character" w:styleId="ListLabel650">
    <w:name w:val="ListLabel 650"/>
    <w:qFormat/>
    <w:rPr>
      <w:i/>
      <w:iCs/>
      <w:color w:val="FF7800"/>
      <w:spacing w:val="15"/>
    </w:rPr>
  </w:style>
  <w:style w:type="character" w:styleId="ListLabel651">
    <w:name w:val="ListLabel 651"/>
    <w:qFormat/>
    <w:rPr>
      <w:rFonts w:ascii="SimSun" w:hAnsi="SimSun" w:eastAsia="SimSun" w:cs="SimSun"/>
      <w:sz w:val="24"/>
      <w:szCs w:val="24"/>
    </w:rPr>
  </w:style>
  <w:style w:type="character" w:styleId="VisitedInternetLink">
    <w:name w:val="Visited Internet Link"/>
    <w:rPr>
      <w:color w:val="800000"/>
      <w:u w:val="single"/>
      <w:lang w:val="zxx" w:eastAsia="zxx" w:bidi="zxx"/>
    </w:rPr>
  </w:style>
  <w:style w:type="character" w:styleId="ListLabel652">
    <w:name w:val="ListLabel 652"/>
    <w:qFormat/>
    <w:rPr>
      <w:rFonts w:ascii="Times New Roman" w:hAnsi="Times New Roman"/>
      <w:b/>
      <w:sz w:val="24"/>
      <w:szCs w:val="28"/>
    </w:rPr>
  </w:style>
  <w:style w:type="character" w:styleId="ListLabel653">
    <w:name w:val="ListLabel 653"/>
    <w:qFormat/>
    <w:rPr>
      <w:rFonts w:cs="Symbol"/>
    </w:rPr>
  </w:style>
  <w:style w:type="character" w:styleId="ListLabel654">
    <w:name w:val="ListLabel 654"/>
    <w:qFormat/>
    <w:rPr>
      <w:rFonts w:cs="Courier New"/>
    </w:rPr>
  </w:style>
  <w:style w:type="character" w:styleId="ListLabel655">
    <w:name w:val="ListLabel 655"/>
    <w:qFormat/>
    <w:rPr>
      <w:rFonts w:cs="Wingdings"/>
    </w:rPr>
  </w:style>
  <w:style w:type="character" w:styleId="ListLabel656">
    <w:name w:val="ListLabel 656"/>
    <w:qFormat/>
    <w:rPr>
      <w:rFonts w:cs="Symbol"/>
    </w:rPr>
  </w:style>
  <w:style w:type="character" w:styleId="ListLabel657">
    <w:name w:val="ListLabel 657"/>
    <w:qFormat/>
    <w:rPr>
      <w:rFonts w:cs="Courier New"/>
    </w:rPr>
  </w:style>
  <w:style w:type="character" w:styleId="ListLabel658">
    <w:name w:val="ListLabel 658"/>
    <w:qFormat/>
    <w:rPr>
      <w:rFonts w:cs="Wingdings"/>
    </w:rPr>
  </w:style>
  <w:style w:type="character" w:styleId="ListLabel659">
    <w:name w:val="ListLabel 659"/>
    <w:qFormat/>
    <w:rPr>
      <w:rFonts w:cs="Symbol"/>
    </w:rPr>
  </w:style>
  <w:style w:type="character" w:styleId="ListLabel660">
    <w:name w:val="ListLabel 660"/>
    <w:qFormat/>
    <w:rPr>
      <w:rFonts w:cs="Courier New"/>
    </w:rPr>
  </w:style>
  <w:style w:type="character" w:styleId="ListLabel661">
    <w:name w:val="ListLabel 661"/>
    <w:qFormat/>
    <w:rPr>
      <w:rFonts w:cs="Wingdings"/>
    </w:rPr>
  </w:style>
  <w:style w:type="character" w:styleId="ListLabel662">
    <w:name w:val="ListLabel 662"/>
    <w:qFormat/>
    <w:rPr>
      <w:rFonts w:cs="Symbol"/>
      <w:b/>
      <w:sz w:val="24"/>
    </w:rPr>
  </w:style>
  <w:style w:type="character" w:styleId="ListLabel663">
    <w:name w:val="ListLabel 663"/>
    <w:qFormat/>
    <w:rPr>
      <w:rFonts w:cs="Courier New"/>
    </w:rPr>
  </w:style>
  <w:style w:type="character" w:styleId="ListLabel664">
    <w:name w:val="ListLabel 664"/>
    <w:qFormat/>
    <w:rPr>
      <w:rFonts w:cs="Wingdings"/>
    </w:rPr>
  </w:style>
  <w:style w:type="character" w:styleId="ListLabel665">
    <w:name w:val="ListLabel 665"/>
    <w:qFormat/>
    <w:rPr>
      <w:rFonts w:cs="Symbol"/>
    </w:rPr>
  </w:style>
  <w:style w:type="character" w:styleId="ListLabel666">
    <w:name w:val="ListLabel 666"/>
    <w:qFormat/>
    <w:rPr>
      <w:rFonts w:cs="Courier New"/>
    </w:rPr>
  </w:style>
  <w:style w:type="character" w:styleId="ListLabel667">
    <w:name w:val="ListLabel 667"/>
    <w:qFormat/>
    <w:rPr>
      <w:rFonts w:cs="Wingdings"/>
    </w:rPr>
  </w:style>
  <w:style w:type="character" w:styleId="ListLabel668">
    <w:name w:val="ListLabel 668"/>
    <w:qFormat/>
    <w:rPr>
      <w:rFonts w:cs="Symbol"/>
    </w:rPr>
  </w:style>
  <w:style w:type="character" w:styleId="ListLabel669">
    <w:name w:val="ListLabel 669"/>
    <w:qFormat/>
    <w:rPr>
      <w:rFonts w:cs="Courier New"/>
    </w:rPr>
  </w:style>
  <w:style w:type="character" w:styleId="ListLabel670">
    <w:name w:val="ListLabel 670"/>
    <w:qFormat/>
    <w:rPr>
      <w:rFonts w:cs="Wingdings"/>
    </w:rPr>
  </w:style>
  <w:style w:type="character" w:styleId="ListLabel671">
    <w:name w:val="ListLabel 671"/>
    <w:qFormat/>
    <w:rPr>
      <w:rFonts w:cs="Symbol"/>
    </w:rPr>
  </w:style>
  <w:style w:type="character" w:styleId="ListLabel672">
    <w:name w:val="ListLabel 672"/>
    <w:qFormat/>
    <w:rPr>
      <w:rFonts w:cs="Courier New"/>
    </w:rPr>
  </w:style>
  <w:style w:type="character" w:styleId="ListLabel673">
    <w:name w:val="ListLabel 673"/>
    <w:qFormat/>
    <w:rPr>
      <w:rFonts w:cs="Wingdings"/>
    </w:rPr>
  </w:style>
  <w:style w:type="character" w:styleId="ListLabel674">
    <w:name w:val="ListLabel 674"/>
    <w:qFormat/>
    <w:rPr>
      <w:rFonts w:cs="Symbol"/>
    </w:rPr>
  </w:style>
  <w:style w:type="character" w:styleId="ListLabel675">
    <w:name w:val="ListLabel 675"/>
    <w:qFormat/>
    <w:rPr>
      <w:rFonts w:cs="Courier New"/>
    </w:rPr>
  </w:style>
  <w:style w:type="character" w:styleId="ListLabel676">
    <w:name w:val="ListLabel 676"/>
    <w:qFormat/>
    <w:rPr>
      <w:rFonts w:cs="Wingdings"/>
    </w:rPr>
  </w:style>
  <w:style w:type="character" w:styleId="ListLabel677">
    <w:name w:val="ListLabel 677"/>
    <w:qFormat/>
    <w:rPr>
      <w:rFonts w:cs="Symbol"/>
    </w:rPr>
  </w:style>
  <w:style w:type="character" w:styleId="ListLabel678">
    <w:name w:val="ListLabel 678"/>
    <w:qFormat/>
    <w:rPr>
      <w:rFonts w:cs="Courier New"/>
    </w:rPr>
  </w:style>
  <w:style w:type="character" w:styleId="ListLabel679">
    <w:name w:val="ListLabel 679"/>
    <w:qFormat/>
    <w:rPr>
      <w:rFonts w:cs="Wingdings"/>
    </w:rPr>
  </w:style>
  <w:style w:type="character" w:styleId="ListLabel680">
    <w:name w:val="ListLabel 680"/>
    <w:qFormat/>
    <w:rPr>
      <w:rFonts w:cs="Symbol"/>
    </w:rPr>
  </w:style>
  <w:style w:type="character" w:styleId="ListLabel681">
    <w:name w:val="ListLabel 681"/>
    <w:qFormat/>
    <w:rPr>
      <w:rFonts w:cs="Courier New"/>
    </w:rPr>
  </w:style>
  <w:style w:type="character" w:styleId="ListLabel682">
    <w:name w:val="ListLabel 682"/>
    <w:qFormat/>
    <w:rPr>
      <w:rFonts w:cs="Wingdings"/>
    </w:rPr>
  </w:style>
  <w:style w:type="character" w:styleId="ListLabel683">
    <w:name w:val="ListLabel 683"/>
    <w:qFormat/>
    <w:rPr>
      <w:rFonts w:cs="Symbol"/>
    </w:rPr>
  </w:style>
  <w:style w:type="character" w:styleId="ListLabel684">
    <w:name w:val="ListLabel 684"/>
    <w:qFormat/>
    <w:rPr>
      <w:rFonts w:cs="Courier New"/>
    </w:rPr>
  </w:style>
  <w:style w:type="character" w:styleId="ListLabel685">
    <w:name w:val="ListLabel 685"/>
    <w:qFormat/>
    <w:rPr>
      <w:rFonts w:cs="Wingdings"/>
    </w:rPr>
  </w:style>
  <w:style w:type="character" w:styleId="ListLabel686">
    <w:name w:val="ListLabel 686"/>
    <w:qFormat/>
    <w:rPr>
      <w:rFonts w:cs="Symbol"/>
    </w:rPr>
  </w:style>
  <w:style w:type="character" w:styleId="ListLabel687">
    <w:name w:val="ListLabel 687"/>
    <w:qFormat/>
    <w:rPr>
      <w:rFonts w:cs="Courier New"/>
    </w:rPr>
  </w:style>
  <w:style w:type="character" w:styleId="ListLabel688">
    <w:name w:val="ListLabel 688"/>
    <w:qFormat/>
    <w:rPr>
      <w:rFonts w:cs="Wingdings"/>
    </w:rPr>
  </w:style>
  <w:style w:type="character" w:styleId="ListLabel689">
    <w:name w:val="ListLabel 689"/>
    <w:qFormat/>
    <w:rPr>
      <w:rFonts w:ascii="RgsyshAdvTTb8864ccf.B" w:hAnsi="RgsyshAdvTTb8864ccf.B" w:cs="Symbol"/>
      <w:b/>
      <w:sz w:val="24"/>
    </w:rPr>
  </w:style>
  <w:style w:type="character" w:styleId="ListLabel690">
    <w:name w:val="ListLabel 690"/>
    <w:qFormat/>
    <w:rPr>
      <w:rFonts w:cs="Courier New"/>
    </w:rPr>
  </w:style>
  <w:style w:type="character" w:styleId="ListLabel691">
    <w:name w:val="ListLabel 691"/>
    <w:qFormat/>
    <w:rPr>
      <w:rFonts w:cs="Wingdings"/>
    </w:rPr>
  </w:style>
  <w:style w:type="character" w:styleId="ListLabel692">
    <w:name w:val="ListLabel 692"/>
    <w:qFormat/>
    <w:rPr>
      <w:rFonts w:cs="Symbol"/>
    </w:rPr>
  </w:style>
  <w:style w:type="character" w:styleId="ListLabel693">
    <w:name w:val="ListLabel 693"/>
    <w:qFormat/>
    <w:rPr>
      <w:rFonts w:cs="Courier New"/>
    </w:rPr>
  </w:style>
  <w:style w:type="character" w:styleId="ListLabel694">
    <w:name w:val="ListLabel 694"/>
    <w:qFormat/>
    <w:rPr>
      <w:rFonts w:cs="Wingdings"/>
    </w:rPr>
  </w:style>
  <w:style w:type="character" w:styleId="ListLabel695">
    <w:name w:val="ListLabel 695"/>
    <w:qFormat/>
    <w:rPr>
      <w:rFonts w:cs="Symbol"/>
    </w:rPr>
  </w:style>
  <w:style w:type="character" w:styleId="ListLabel696">
    <w:name w:val="ListLabel 696"/>
    <w:qFormat/>
    <w:rPr>
      <w:rFonts w:cs="Courier New"/>
    </w:rPr>
  </w:style>
  <w:style w:type="character" w:styleId="ListLabel697">
    <w:name w:val="ListLabel 697"/>
    <w:qFormat/>
    <w:rPr>
      <w:rFonts w:cs="Wingdings"/>
    </w:rPr>
  </w:style>
  <w:style w:type="character" w:styleId="ListLabel698">
    <w:name w:val="ListLabel 698"/>
    <w:qFormat/>
    <w:rPr>
      <w:rFonts w:cs="Symbol"/>
      <w:sz w:val="24"/>
      <w:szCs w:val="32"/>
    </w:rPr>
  </w:style>
  <w:style w:type="character" w:styleId="ListLabel699">
    <w:name w:val="ListLabel 699"/>
    <w:qFormat/>
    <w:rPr>
      <w:rFonts w:cs="Courier New"/>
    </w:rPr>
  </w:style>
  <w:style w:type="character" w:styleId="ListLabel700">
    <w:name w:val="ListLabel 700"/>
    <w:qFormat/>
    <w:rPr>
      <w:rFonts w:cs="Wingdings"/>
    </w:rPr>
  </w:style>
  <w:style w:type="character" w:styleId="ListLabel701">
    <w:name w:val="ListLabel 701"/>
    <w:qFormat/>
    <w:rPr>
      <w:rFonts w:cs="Symbol"/>
    </w:rPr>
  </w:style>
  <w:style w:type="character" w:styleId="ListLabel702">
    <w:name w:val="ListLabel 702"/>
    <w:qFormat/>
    <w:rPr>
      <w:rFonts w:cs="Courier New"/>
    </w:rPr>
  </w:style>
  <w:style w:type="character" w:styleId="ListLabel703">
    <w:name w:val="ListLabel 703"/>
    <w:qFormat/>
    <w:rPr>
      <w:rFonts w:cs="Wingdings"/>
    </w:rPr>
  </w:style>
  <w:style w:type="character" w:styleId="ListLabel704">
    <w:name w:val="ListLabel 704"/>
    <w:qFormat/>
    <w:rPr>
      <w:rFonts w:cs="Symbol"/>
    </w:rPr>
  </w:style>
  <w:style w:type="character" w:styleId="ListLabel705">
    <w:name w:val="ListLabel 705"/>
    <w:qFormat/>
    <w:rPr>
      <w:rFonts w:cs="Courier New"/>
    </w:rPr>
  </w:style>
  <w:style w:type="character" w:styleId="ListLabel706">
    <w:name w:val="ListLabel 706"/>
    <w:qFormat/>
    <w:rPr>
      <w:rFonts w:cs="Wingdings"/>
    </w:rPr>
  </w:style>
  <w:style w:type="character" w:styleId="ListLabel707">
    <w:name w:val="ListLabel 707"/>
    <w:qFormat/>
    <w:rPr>
      <w:rFonts w:cs="Symbol"/>
    </w:rPr>
  </w:style>
  <w:style w:type="character" w:styleId="ListLabel708">
    <w:name w:val="ListLabel 708"/>
    <w:qFormat/>
    <w:rPr>
      <w:rFonts w:cs="Courier New"/>
    </w:rPr>
  </w:style>
  <w:style w:type="character" w:styleId="ListLabel709">
    <w:name w:val="ListLabel 709"/>
    <w:qFormat/>
    <w:rPr>
      <w:rFonts w:cs="Wingdings"/>
    </w:rPr>
  </w:style>
  <w:style w:type="character" w:styleId="ListLabel710">
    <w:name w:val="ListLabel 710"/>
    <w:qFormat/>
    <w:rPr>
      <w:rFonts w:cs="Symbol"/>
    </w:rPr>
  </w:style>
  <w:style w:type="character" w:styleId="ListLabel711">
    <w:name w:val="ListLabel 711"/>
    <w:qFormat/>
    <w:rPr>
      <w:rFonts w:cs="Courier New"/>
    </w:rPr>
  </w:style>
  <w:style w:type="character" w:styleId="ListLabel712">
    <w:name w:val="ListLabel 712"/>
    <w:qFormat/>
    <w:rPr>
      <w:rFonts w:cs="Wingdings"/>
    </w:rPr>
  </w:style>
  <w:style w:type="character" w:styleId="ListLabel713">
    <w:name w:val="ListLabel 713"/>
    <w:qFormat/>
    <w:rPr>
      <w:rFonts w:cs="Symbol"/>
    </w:rPr>
  </w:style>
  <w:style w:type="character" w:styleId="ListLabel714">
    <w:name w:val="ListLabel 714"/>
    <w:qFormat/>
    <w:rPr>
      <w:rFonts w:cs="Courier New"/>
    </w:rPr>
  </w:style>
  <w:style w:type="character" w:styleId="ListLabel715">
    <w:name w:val="ListLabel 715"/>
    <w:qFormat/>
    <w:rPr>
      <w:rFonts w:cs="Wingdings"/>
    </w:rPr>
  </w:style>
  <w:style w:type="character" w:styleId="ListLabel716">
    <w:name w:val="ListLabel 716"/>
    <w:qFormat/>
    <w:rPr>
      <w:rFonts w:cs="OpenSymbol"/>
    </w:rPr>
  </w:style>
  <w:style w:type="character" w:styleId="ListLabel717">
    <w:name w:val="ListLabel 717"/>
    <w:qFormat/>
    <w:rPr>
      <w:rFonts w:cs="OpenSymbol"/>
    </w:rPr>
  </w:style>
  <w:style w:type="character" w:styleId="ListLabel718">
    <w:name w:val="ListLabel 718"/>
    <w:qFormat/>
    <w:rPr>
      <w:rFonts w:cs="OpenSymbol"/>
    </w:rPr>
  </w:style>
  <w:style w:type="character" w:styleId="ListLabel719">
    <w:name w:val="ListLabel 719"/>
    <w:qFormat/>
    <w:rPr>
      <w:rFonts w:cs="OpenSymbol"/>
    </w:rPr>
  </w:style>
  <w:style w:type="character" w:styleId="ListLabel720">
    <w:name w:val="ListLabel 720"/>
    <w:qFormat/>
    <w:rPr>
      <w:rFonts w:cs="OpenSymbol"/>
    </w:rPr>
  </w:style>
  <w:style w:type="character" w:styleId="ListLabel721">
    <w:name w:val="ListLabel 721"/>
    <w:qFormat/>
    <w:rPr>
      <w:rFonts w:cs="OpenSymbol"/>
    </w:rPr>
  </w:style>
  <w:style w:type="character" w:styleId="ListLabel722">
    <w:name w:val="ListLabel 722"/>
    <w:qFormat/>
    <w:rPr>
      <w:rFonts w:cs="OpenSymbol"/>
    </w:rPr>
  </w:style>
  <w:style w:type="character" w:styleId="ListLabel723">
    <w:name w:val="ListLabel 723"/>
    <w:qFormat/>
    <w:rPr>
      <w:rFonts w:cs="OpenSymbol"/>
    </w:rPr>
  </w:style>
  <w:style w:type="character" w:styleId="ListLabel724">
    <w:name w:val="ListLabel 724"/>
    <w:qFormat/>
    <w:rPr>
      <w:rFonts w:cs="OpenSymbol"/>
    </w:rPr>
  </w:style>
  <w:style w:type="character" w:styleId="ListLabel725">
    <w:name w:val="ListLabel 725"/>
    <w:qFormat/>
    <w:rPr>
      <w:rFonts w:cs="Wingdings"/>
      <w:sz w:val="22"/>
    </w:rPr>
  </w:style>
  <w:style w:type="character" w:styleId="ListLabel726">
    <w:name w:val="ListLabel 726"/>
    <w:qFormat/>
    <w:rPr>
      <w:rFonts w:cs="Courier New"/>
      <w:sz w:val="20"/>
    </w:rPr>
  </w:style>
  <w:style w:type="character" w:styleId="ListLabel727">
    <w:name w:val="ListLabel 727"/>
    <w:qFormat/>
    <w:rPr>
      <w:rFonts w:cs="Wingdings"/>
      <w:sz w:val="20"/>
    </w:rPr>
  </w:style>
  <w:style w:type="character" w:styleId="ListLabel728">
    <w:name w:val="ListLabel 728"/>
    <w:qFormat/>
    <w:rPr>
      <w:rFonts w:cs="Wingdings"/>
      <w:sz w:val="20"/>
    </w:rPr>
  </w:style>
  <w:style w:type="character" w:styleId="ListLabel729">
    <w:name w:val="ListLabel 729"/>
    <w:qFormat/>
    <w:rPr>
      <w:rFonts w:cs="Wingdings"/>
      <w:sz w:val="20"/>
    </w:rPr>
  </w:style>
  <w:style w:type="character" w:styleId="ListLabel730">
    <w:name w:val="ListLabel 730"/>
    <w:qFormat/>
    <w:rPr>
      <w:rFonts w:cs="Wingdings"/>
      <w:sz w:val="20"/>
    </w:rPr>
  </w:style>
  <w:style w:type="character" w:styleId="ListLabel731">
    <w:name w:val="ListLabel 731"/>
    <w:qFormat/>
    <w:rPr>
      <w:rFonts w:cs="Wingdings"/>
      <w:sz w:val="20"/>
    </w:rPr>
  </w:style>
  <w:style w:type="character" w:styleId="ListLabel732">
    <w:name w:val="ListLabel 732"/>
    <w:qFormat/>
    <w:rPr>
      <w:rFonts w:cs="Wingdings"/>
      <w:sz w:val="20"/>
    </w:rPr>
  </w:style>
  <w:style w:type="character" w:styleId="ListLabel733">
    <w:name w:val="ListLabel 733"/>
    <w:qFormat/>
    <w:rPr>
      <w:rFonts w:cs="Wingdings"/>
      <w:sz w:val="20"/>
    </w:rPr>
  </w:style>
  <w:style w:type="character" w:styleId="ListLabel734">
    <w:name w:val="ListLabel 734"/>
    <w:qFormat/>
    <w:rPr>
      <w:rFonts w:ascii="Times New Roman" w:hAnsi="Times New Roman" w:cs="Wingdings"/>
      <w:sz w:val="22"/>
    </w:rPr>
  </w:style>
  <w:style w:type="character" w:styleId="ListLabel735">
    <w:name w:val="ListLabel 735"/>
    <w:qFormat/>
    <w:rPr>
      <w:rFonts w:cs="Courier New"/>
      <w:sz w:val="20"/>
    </w:rPr>
  </w:style>
  <w:style w:type="character" w:styleId="ListLabel736">
    <w:name w:val="ListLabel 736"/>
    <w:qFormat/>
    <w:rPr>
      <w:rFonts w:cs="Wingdings"/>
      <w:sz w:val="20"/>
    </w:rPr>
  </w:style>
  <w:style w:type="character" w:styleId="ListLabel737">
    <w:name w:val="ListLabel 737"/>
    <w:qFormat/>
    <w:rPr>
      <w:rFonts w:cs="Wingdings"/>
      <w:sz w:val="20"/>
    </w:rPr>
  </w:style>
  <w:style w:type="character" w:styleId="ListLabel738">
    <w:name w:val="ListLabel 738"/>
    <w:qFormat/>
    <w:rPr>
      <w:rFonts w:cs="Wingdings"/>
      <w:sz w:val="20"/>
    </w:rPr>
  </w:style>
  <w:style w:type="character" w:styleId="ListLabel739">
    <w:name w:val="ListLabel 739"/>
    <w:qFormat/>
    <w:rPr>
      <w:rFonts w:cs="Wingdings"/>
      <w:sz w:val="20"/>
    </w:rPr>
  </w:style>
  <w:style w:type="character" w:styleId="ListLabel740">
    <w:name w:val="ListLabel 740"/>
    <w:qFormat/>
    <w:rPr>
      <w:rFonts w:cs="Wingdings"/>
      <w:sz w:val="20"/>
    </w:rPr>
  </w:style>
  <w:style w:type="character" w:styleId="ListLabel741">
    <w:name w:val="ListLabel 741"/>
    <w:qFormat/>
    <w:rPr>
      <w:rFonts w:cs="Wingdings"/>
      <w:sz w:val="20"/>
    </w:rPr>
  </w:style>
  <w:style w:type="character" w:styleId="ListLabel742">
    <w:name w:val="ListLabel 742"/>
    <w:qFormat/>
    <w:rPr>
      <w:rFonts w:cs="Wingdings"/>
      <w:sz w:val="20"/>
    </w:rPr>
  </w:style>
  <w:style w:type="character" w:styleId="ListLabel743">
    <w:name w:val="ListLabel 743"/>
    <w:qFormat/>
    <w:rPr>
      <w:rFonts w:cs="Symbol"/>
    </w:rPr>
  </w:style>
  <w:style w:type="character" w:styleId="ListLabel744">
    <w:name w:val="ListLabel 744"/>
    <w:qFormat/>
    <w:rPr>
      <w:rFonts w:cs="Courier New"/>
    </w:rPr>
  </w:style>
  <w:style w:type="character" w:styleId="ListLabel745">
    <w:name w:val="ListLabel 745"/>
    <w:qFormat/>
    <w:rPr>
      <w:rFonts w:cs="Wingdings"/>
    </w:rPr>
  </w:style>
  <w:style w:type="character" w:styleId="ListLabel746">
    <w:name w:val="ListLabel 746"/>
    <w:qFormat/>
    <w:rPr>
      <w:rFonts w:cs="Symbol"/>
    </w:rPr>
  </w:style>
  <w:style w:type="character" w:styleId="ListLabel747">
    <w:name w:val="ListLabel 747"/>
    <w:qFormat/>
    <w:rPr>
      <w:rFonts w:cs="Courier New"/>
    </w:rPr>
  </w:style>
  <w:style w:type="character" w:styleId="ListLabel748">
    <w:name w:val="ListLabel 748"/>
    <w:qFormat/>
    <w:rPr>
      <w:rFonts w:cs="Wingdings"/>
    </w:rPr>
  </w:style>
  <w:style w:type="character" w:styleId="ListLabel749">
    <w:name w:val="ListLabel 749"/>
    <w:qFormat/>
    <w:rPr>
      <w:rFonts w:cs="Symbol"/>
    </w:rPr>
  </w:style>
  <w:style w:type="character" w:styleId="ListLabel750">
    <w:name w:val="ListLabel 750"/>
    <w:qFormat/>
    <w:rPr>
      <w:rFonts w:cs="Courier New"/>
    </w:rPr>
  </w:style>
  <w:style w:type="character" w:styleId="ListLabel751">
    <w:name w:val="ListLabel 751"/>
    <w:qFormat/>
    <w:rPr>
      <w:rFonts w:cs="Wingdings"/>
    </w:rPr>
  </w:style>
  <w:style w:type="character" w:styleId="ListLabel752">
    <w:name w:val="ListLabel 752"/>
    <w:qFormat/>
    <w:rPr>
      <w:rFonts w:cs="Symbol"/>
      <w:sz w:val="20"/>
    </w:rPr>
  </w:style>
  <w:style w:type="character" w:styleId="ListLabel753">
    <w:name w:val="ListLabel 753"/>
    <w:qFormat/>
    <w:rPr>
      <w:rFonts w:cs="Courier New"/>
    </w:rPr>
  </w:style>
  <w:style w:type="character" w:styleId="ListLabel754">
    <w:name w:val="ListLabel 754"/>
    <w:qFormat/>
    <w:rPr>
      <w:rFonts w:cs="Wingdings"/>
    </w:rPr>
  </w:style>
  <w:style w:type="character" w:styleId="ListLabel755">
    <w:name w:val="ListLabel 755"/>
    <w:qFormat/>
    <w:rPr>
      <w:rFonts w:cs="Symbol"/>
    </w:rPr>
  </w:style>
  <w:style w:type="character" w:styleId="ListLabel756">
    <w:name w:val="ListLabel 756"/>
    <w:qFormat/>
    <w:rPr>
      <w:rFonts w:cs="Courier New"/>
    </w:rPr>
  </w:style>
  <w:style w:type="character" w:styleId="ListLabel757">
    <w:name w:val="ListLabel 757"/>
    <w:qFormat/>
    <w:rPr>
      <w:rFonts w:cs="Wingdings"/>
    </w:rPr>
  </w:style>
  <w:style w:type="character" w:styleId="ListLabel758">
    <w:name w:val="ListLabel 758"/>
    <w:qFormat/>
    <w:rPr>
      <w:rFonts w:cs="Symbol"/>
    </w:rPr>
  </w:style>
  <w:style w:type="character" w:styleId="ListLabel759">
    <w:name w:val="ListLabel 759"/>
    <w:qFormat/>
    <w:rPr>
      <w:rFonts w:cs="Courier New"/>
    </w:rPr>
  </w:style>
  <w:style w:type="character" w:styleId="ListLabel760">
    <w:name w:val="ListLabel 760"/>
    <w:qFormat/>
    <w:rPr>
      <w:rFonts w:cs="Wingdings"/>
    </w:rPr>
  </w:style>
  <w:style w:type="character" w:styleId="ListLabel761">
    <w:name w:val="ListLabel 761"/>
    <w:qFormat/>
    <w:rPr>
      <w:rFonts w:ascii="Georgia" w:hAnsi="Georgia" w:cs="Times New Roman"/>
    </w:rPr>
  </w:style>
  <w:style w:type="character" w:styleId="ListLabel762">
    <w:name w:val="ListLabel 762"/>
    <w:qFormat/>
    <w:rPr>
      <w:rFonts w:cs="Courier New"/>
    </w:rPr>
  </w:style>
  <w:style w:type="character" w:styleId="ListLabel763">
    <w:name w:val="ListLabel 763"/>
    <w:qFormat/>
    <w:rPr>
      <w:rFonts w:cs="Wingdings"/>
    </w:rPr>
  </w:style>
  <w:style w:type="character" w:styleId="ListLabel764">
    <w:name w:val="ListLabel 764"/>
    <w:qFormat/>
    <w:rPr>
      <w:rFonts w:cs="Symbol"/>
    </w:rPr>
  </w:style>
  <w:style w:type="character" w:styleId="ListLabel765">
    <w:name w:val="ListLabel 765"/>
    <w:qFormat/>
    <w:rPr>
      <w:rFonts w:cs="Courier New"/>
    </w:rPr>
  </w:style>
  <w:style w:type="character" w:styleId="ListLabel766">
    <w:name w:val="ListLabel 766"/>
    <w:qFormat/>
    <w:rPr>
      <w:rFonts w:cs="Wingdings"/>
    </w:rPr>
  </w:style>
  <w:style w:type="character" w:styleId="ListLabel767">
    <w:name w:val="ListLabel 767"/>
    <w:qFormat/>
    <w:rPr>
      <w:rFonts w:cs="Symbol"/>
    </w:rPr>
  </w:style>
  <w:style w:type="character" w:styleId="ListLabel768">
    <w:name w:val="ListLabel 768"/>
    <w:qFormat/>
    <w:rPr>
      <w:rFonts w:cs="Courier New"/>
    </w:rPr>
  </w:style>
  <w:style w:type="character" w:styleId="ListLabel769">
    <w:name w:val="ListLabel 769"/>
    <w:qFormat/>
    <w:rPr>
      <w:rFonts w:cs="Wingdings"/>
    </w:rPr>
  </w:style>
  <w:style w:type="character" w:styleId="ListLabel770">
    <w:name w:val="ListLabel 770"/>
    <w:qFormat/>
    <w:rPr>
      <w:rFonts w:cs="Symbol"/>
      <w:b/>
      <w:sz w:val="28"/>
    </w:rPr>
  </w:style>
  <w:style w:type="character" w:styleId="ListLabel771">
    <w:name w:val="ListLabel 771"/>
    <w:qFormat/>
    <w:rPr>
      <w:rFonts w:cs="Courier New"/>
    </w:rPr>
  </w:style>
  <w:style w:type="character" w:styleId="ListLabel772">
    <w:name w:val="ListLabel 772"/>
    <w:qFormat/>
    <w:rPr>
      <w:rFonts w:cs="Wingdings"/>
    </w:rPr>
  </w:style>
  <w:style w:type="character" w:styleId="ListLabel773">
    <w:name w:val="ListLabel 773"/>
    <w:qFormat/>
    <w:rPr>
      <w:rFonts w:cs="Symbol"/>
    </w:rPr>
  </w:style>
  <w:style w:type="character" w:styleId="ListLabel774">
    <w:name w:val="ListLabel 774"/>
    <w:qFormat/>
    <w:rPr>
      <w:rFonts w:cs="Courier New"/>
    </w:rPr>
  </w:style>
  <w:style w:type="character" w:styleId="ListLabel775">
    <w:name w:val="ListLabel 775"/>
    <w:qFormat/>
    <w:rPr>
      <w:rFonts w:cs="Wingdings"/>
    </w:rPr>
  </w:style>
  <w:style w:type="character" w:styleId="ListLabel776">
    <w:name w:val="ListLabel 776"/>
    <w:qFormat/>
    <w:rPr>
      <w:rFonts w:cs="Symbol"/>
    </w:rPr>
  </w:style>
  <w:style w:type="character" w:styleId="ListLabel777">
    <w:name w:val="ListLabel 777"/>
    <w:qFormat/>
    <w:rPr>
      <w:rFonts w:cs="Courier New"/>
    </w:rPr>
  </w:style>
  <w:style w:type="character" w:styleId="ListLabel778">
    <w:name w:val="ListLabel 778"/>
    <w:qFormat/>
    <w:rPr>
      <w:rFonts w:cs="Wingdings"/>
    </w:rPr>
  </w:style>
  <w:style w:type="character" w:styleId="ListLabel779">
    <w:name w:val="ListLabel 779"/>
    <w:qFormat/>
    <w:rPr>
      <w:rFonts w:cs="Symbol"/>
      <w:b/>
      <w:sz w:val="28"/>
    </w:rPr>
  </w:style>
  <w:style w:type="character" w:styleId="ListLabel780">
    <w:name w:val="ListLabel 780"/>
    <w:qFormat/>
    <w:rPr>
      <w:rFonts w:cs="Courier New"/>
    </w:rPr>
  </w:style>
  <w:style w:type="character" w:styleId="ListLabel781">
    <w:name w:val="ListLabel 781"/>
    <w:qFormat/>
    <w:rPr>
      <w:rFonts w:cs="Wingdings"/>
    </w:rPr>
  </w:style>
  <w:style w:type="character" w:styleId="ListLabel782">
    <w:name w:val="ListLabel 782"/>
    <w:qFormat/>
    <w:rPr>
      <w:rFonts w:cs="Symbol"/>
    </w:rPr>
  </w:style>
  <w:style w:type="character" w:styleId="ListLabel783">
    <w:name w:val="ListLabel 783"/>
    <w:qFormat/>
    <w:rPr>
      <w:rFonts w:cs="Courier New"/>
    </w:rPr>
  </w:style>
  <w:style w:type="character" w:styleId="ListLabel784">
    <w:name w:val="ListLabel 784"/>
    <w:qFormat/>
    <w:rPr>
      <w:rFonts w:cs="Wingdings"/>
    </w:rPr>
  </w:style>
  <w:style w:type="character" w:styleId="ListLabel785">
    <w:name w:val="ListLabel 785"/>
    <w:qFormat/>
    <w:rPr>
      <w:rFonts w:cs="Symbol"/>
    </w:rPr>
  </w:style>
  <w:style w:type="character" w:styleId="ListLabel786">
    <w:name w:val="ListLabel 786"/>
    <w:qFormat/>
    <w:rPr>
      <w:rFonts w:cs="Courier New"/>
    </w:rPr>
  </w:style>
  <w:style w:type="character" w:styleId="ListLabel787">
    <w:name w:val="ListLabel 787"/>
    <w:qFormat/>
    <w:rPr>
      <w:rFonts w:cs="Wingdings"/>
    </w:rPr>
  </w:style>
  <w:style w:type="character" w:styleId="ListLabel788">
    <w:name w:val="ListLabel 788"/>
    <w:qFormat/>
    <w:rPr>
      <w:rFonts w:ascii="Georgia" w:hAnsi="Georgia" w:cs="Times New Roman"/>
      <w:sz w:val="24"/>
    </w:rPr>
  </w:style>
  <w:style w:type="character" w:styleId="ListLabel789">
    <w:name w:val="ListLabel 789"/>
    <w:qFormat/>
    <w:rPr>
      <w:rFonts w:cs="Courier New"/>
    </w:rPr>
  </w:style>
  <w:style w:type="character" w:styleId="ListLabel790">
    <w:name w:val="ListLabel 790"/>
    <w:qFormat/>
    <w:rPr>
      <w:rFonts w:cs="Wingdings"/>
    </w:rPr>
  </w:style>
  <w:style w:type="character" w:styleId="ListLabel791">
    <w:name w:val="ListLabel 791"/>
    <w:qFormat/>
    <w:rPr>
      <w:rFonts w:cs="Symbol"/>
    </w:rPr>
  </w:style>
  <w:style w:type="character" w:styleId="ListLabel792">
    <w:name w:val="ListLabel 792"/>
    <w:qFormat/>
    <w:rPr>
      <w:rFonts w:cs="Courier New"/>
    </w:rPr>
  </w:style>
  <w:style w:type="character" w:styleId="ListLabel793">
    <w:name w:val="ListLabel 793"/>
    <w:qFormat/>
    <w:rPr>
      <w:rFonts w:cs="Wingdings"/>
    </w:rPr>
  </w:style>
  <w:style w:type="character" w:styleId="ListLabel794">
    <w:name w:val="ListLabel 794"/>
    <w:qFormat/>
    <w:rPr>
      <w:rFonts w:cs="Symbol"/>
    </w:rPr>
  </w:style>
  <w:style w:type="character" w:styleId="ListLabel795">
    <w:name w:val="ListLabel 795"/>
    <w:qFormat/>
    <w:rPr>
      <w:rFonts w:cs="Courier New"/>
    </w:rPr>
  </w:style>
  <w:style w:type="character" w:styleId="ListLabel796">
    <w:name w:val="ListLabel 796"/>
    <w:qFormat/>
    <w:rPr>
      <w:rFonts w:cs="Wingdings"/>
    </w:rPr>
  </w:style>
  <w:style w:type="character" w:styleId="ListLabel797">
    <w:name w:val="ListLabel 797"/>
    <w:qFormat/>
    <w:rPr>
      <w:rFonts w:ascii="Times New Roman" w:hAnsi="Times New Roman" w:cs="Times New Roman"/>
      <w:sz w:val="20"/>
    </w:rPr>
  </w:style>
  <w:style w:type="character" w:styleId="ListLabel798">
    <w:name w:val="ListLabel 798"/>
    <w:qFormat/>
    <w:rPr>
      <w:rFonts w:cs="Courier New"/>
    </w:rPr>
  </w:style>
  <w:style w:type="character" w:styleId="ListLabel799">
    <w:name w:val="ListLabel 799"/>
    <w:qFormat/>
    <w:rPr>
      <w:rFonts w:cs="Wingdings"/>
    </w:rPr>
  </w:style>
  <w:style w:type="character" w:styleId="ListLabel800">
    <w:name w:val="ListLabel 800"/>
    <w:qFormat/>
    <w:rPr>
      <w:rFonts w:cs="Symbol"/>
    </w:rPr>
  </w:style>
  <w:style w:type="character" w:styleId="ListLabel801">
    <w:name w:val="ListLabel 801"/>
    <w:qFormat/>
    <w:rPr>
      <w:rFonts w:cs="Courier New"/>
    </w:rPr>
  </w:style>
  <w:style w:type="character" w:styleId="ListLabel802">
    <w:name w:val="ListLabel 802"/>
    <w:qFormat/>
    <w:rPr>
      <w:rFonts w:cs="Wingdings"/>
    </w:rPr>
  </w:style>
  <w:style w:type="character" w:styleId="ListLabel803">
    <w:name w:val="ListLabel 803"/>
    <w:qFormat/>
    <w:rPr>
      <w:rFonts w:cs="Symbol"/>
    </w:rPr>
  </w:style>
  <w:style w:type="character" w:styleId="ListLabel804">
    <w:name w:val="ListLabel 804"/>
    <w:qFormat/>
    <w:rPr>
      <w:rFonts w:cs="Courier New"/>
    </w:rPr>
  </w:style>
  <w:style w:type="character" w:styleId="ListLabel805">
    <w:name w:val="ListLabel 805"/>
    <w:qFormat/>
    <w:rPr>
      <w:rFonts w:cs="Wingdings"/>
    </w:rPr>
  </w:style>
  <w:style w:type="character" w:styleId="ListLabel806">
    <w:name w:val="ListLabel 806"/>
    <w:qFormat/>
    <w:rPr>
      <w:rFonts w:cs="Times New Roman"/>
    </w:rPr>
  </w:style>
  <w:style w:type="character" w:styleId="ListLabel807">
    <w:name w:val="ListLabel 807"/>
    <w:qFormat/>
    <w:rPr>
      <w:rFonts w:cs="Courier New"/>
    </w:rPr>
  </w:style>
  <w:style w:type="character" w:styleId="ListLabel808">
    <w:name w:val="ListLabel 808"/>
    <w:qFormat/>
    <w:rPr>
      <w:rFonts w:cs="Wingdings"/>
    </w:rPr>
  </w:style>
  <w:style w:type="character" w:styleId="ListLabel809">
    <w:name w:val="ListLabel 809"/>
    <w:qFormat/>
    <w:rPr>
      <w:rFonts w:cs="Symbol"/>
    </w:rPr>
  </w:style>
  <w:style w:type="character" w:styleId="ListLabel810">
    <w:name w:val="ListLabel 810"/>
    <w:qFormat/>
    <w:rPr>
      <w:rFonts w:cs="Courier New"/>
    </w:rPr>
  </w:style>
  <w:style w:type="character" w:styleId="ListLabel811">
    <w:name w:val="ListLabel 811"/>
    <w:qFormat/>
    <w:rPr>
      <w:rFonts w:cs="Wingdings"/>
    </w:rPr>
  </w:style>
  <w:style w:type="character" w:styleId="ListLabel812">
    <w:name w:val="ListLabel 812"/>
    <w:qFormat/>
    <w:rPr>
      <w:rFonts w:cs="Symbol"/>
    </w:rPr>
  </w:style>
  <w:style w:type="character" w:styleId="ListLabel813">
    <w:name w:val="ListLabel 813"/>
    <w:qFormat/>
    <w:rPr>
      <w:rFonts w:cs="Courier New"/>
    </w:rPr>
  </w:style>
  <w:style w:type="character" w:styleId="ListLabel814">
    <w:name w:val="ListLabel 814"/>
    <w:qFormat/>
    <w:rPr>
      <w:rFonts w:cs="Wingdings"/>
    </w:rPr>
  </w:style>
  <w:style w:type="character" w:styleId="ListLabel815">
    <w:name w:val="ListLabel 815"/>
    <w:qFormat/>
    <w:rPr>
      <w:rFonts w:ascii="Times New Roman" w:hAnsi="Times New Roman" w:eastAsia="Calibri" w:cs="Times New Roman"/>
      <w:sz w:val="24"/>
    </w:rPr>
  </w:style>
  <w:style w:type="character" w:styleId="ListLabel816">
    <w:name w:val="ListLabel 816"/>
    <w:qFormat/>
    <w:rPr>
      <w:rFonts w:ascii="Times New Roman" w:hAnsi="Times New Roman" w:cs="Times New Roman"/>
      <w:b/>
      <w:sz w:val="24"/>
    </w:rPr>
  </w:style>
  <w:style w:type="character" w:styleId="ListLabel817">
    <w:name w:val="ListLabel 817"/>
    <w:qFormat/>
    <w:rPr>
      <w:rFonts w:cs="Courier New"/>
    </w:rPr>
  </w:style>
  <w:style w:type="character" w:styleId="ListLabel818">
    <w:name w:val="ListLabel 818"/>
    <w:qFormat/>
    <w:rPr>
      <w:rFonts w:cs="Wingdings"/>
    </w:rPr>
  </w:style>
  <w:style w:type="character" w:styleId="ListLabel819">
    <w:name w:val="ListLabel 819"/>
    <w:qFormat/>
    <w:rPr>
      <w:rFonts w:cs="Symbol"/>
    </w:rPr>
  </w:style>
  <w:style w:type="character" w:styleId="ListLabel820">
    <w:name w:val="ListLabel 820"/>
    <w:qFormat/>
    <w:rPr>
      <w:rFonts w:cs="Courier New"/>
    </w:rPr>
  </w:style>
  <w:style w:type="character" w:styleId="ListLabel821">
    <w:name w:val="ListLabel 821"/>
    <w:qFormat/>
    <w:rPr>
      <w:rFonts w:cs="Wingdings"/>
    </w:rPr>
  </w:style>
  <w:style w:type="character" w:styleId="ListLabel822">
    <w:name w:val="ListLabel 822"/>
    <w:qFormat/>
    <w:rPr>
      <w:rFonts w:cs="Symbol"/>
    </w:rPr>
  </w:style>
  <w:style w:type="character" w:styleId="ListLabel823">
    <w:name w:val="ListLabel 823"/>
    <w:qFormat/>
    <w:rPr>
      <w:rFonts w:cs="Courier New"/>
    </w:rPr>
  </w:style>
  <w:style w:type="character" w:styleId="ListLabel824">
    <w:name w:val="ListLabel 824"/>
    <w:qFormat/>
    <w:rPr>
      <w:rFonts w:cs="Wingdings"/>
    </w:rPr>
  </w:style>
  <w:style w:type="character" w:styleId="ListLabel825">
    <w:name w:val="ListLabel 825"/>
    <w:qFormat/>
    <w:rPr>
      <w:rFonts w:ascii="Times New Roman" w:hAnsi="Times New Roman" w:cs="Symbol"/>
      <w:sz w:val="24"/>
    </w:rPr>
  </w:style>
  <w:style w:type="character" w:styleId="ListLabel826">
    <w:name w:val="ListLabel 826"/>
    <w:qFormat/>
    <w:rPr>
      <w:rFonts w:cs="Courier New"/>
    </w:rPr>
  </w:style>
  <w:style w:type="character" w:styleId="ListLabel827">
    <w:name w:val="ListLabel 827"/>
    <w:qFormat/>
    <w:rPr>
      <w:rFonts w:cs="Wingdings"/>
    </w:rPr>
  </w:style>
  <w:style w:type="character" w:styleId="ListLabel828">
    <w:name w:val="ListLabel 828"/>
    <w:qFormat/>
    <w:rPr>
      <w:rFonts w:cs="Symbol"/>
    </w:rPr>
  </w:style>
  <w:style w:type="character" w:styleId="ListLabel829">
    <w:name w:val="ListLabel 829"/>
    <w:qFormat/>
    <w:rPr>
      <w:rFonts w:cs="Courier New"/>
    </w:rPr>
  </w:style>
  <w:style w:type="character" w:styleId="ListLabel830">
    <w:name w:val="ListLabel 830"/>
    <w:qFormat/>
    <w:rPr>
      <w:rFonts w:cs="Wingdings"/>
    </w:rPr>
  </w:style>
  <w:style w:type="character" w:styleId="ListLabel831">
    <w:name w:val="ListLabel 831"/>
    <w:qFormat/>
    <w:rPr>
      <w:rFonts w:cs="Symbol"/>
    </w:rPr>
  </w:style>
  <w:style w:type="character" w:styleId="ListLabel832">
    <w:name w:val="ListLabel 832"/>
    <w:qFormat/>
    <w:rPr>
      <w:rFonts w:cs="Courier New"/>
    </w:rPr>
  </w:style>
  <w:style w:type="character" w:styleId="ListLabel833">
    <w:name w:val="ListLabel 833"/>
    <w:qFormat/>
    <w:rPr>
      <w:rFonts w:cs="Wingdings"/>
    </w:rPr>
  </w:style>
  <w:style w:type="character" w:styleId="ListLabel834">
    <w:name w:val="ListLabel 834"/>
    <w:qFormat/>
    <w:rPr>
      <w:rFonts w:ascii="Times New Roman" w:hAnsi="Times New Roman" w:cs="Symbol"/>
      <w:b/>
      <w:sz w:val="28"/>
    </w:rPr>
  </w:style>
  <w:style w:type="character" w:styleId="ListLabel835">
    <w:name w:val="ListLabel 835"/>
    <w:qFormat/>
    <w:rPr>
      <w:rFonts w:cs="Courier New"/>
    </w:rPr>
  </w:style>
  <w:style w:type="character" w:styleId="ListLabel836">
    <w:name w:val="ListLabel 836"/>
    <w:qFormat/>
    <w:rPr>
      <w:rFonts w:cs="Wingdings"/>
    </w:rPr>
  </w:style>
  <w:style w:type="character" w:styleId="ListLabel837">
    <w:name w:val="ListLabel 837"/>
    <w:qFormat/>
    <w:rPr>
      <w:rFonts w:cs="Symbol"/>
    </w:rPr>
  </w:style>
  <w:style w:type="character" w:styleId="ListLabel838">
    <w:name w:val="ListLabel 838"/>
    <w:qFormat/>
    <w:rPr>
      <w:rFonts w:cs="Courier New"/>
    </w:rPr>
  </w:style>
  <w:style w:type="character" w:styleId="ListLabel839">
    <w:name w:val="ListLabel 839"/>
    <w:qFormat/>
    <w:rPr>
      <w:rFonts w:cs="Wingdings"/>
    </w:rPr>
  </w:style>
  <w:style w:type="character" w:styleId="ListLabel840">
    <w:name w:val="ListLabel 840"/>
    <w:qFormat/>
    <w:rPr>
      <w:rFonts w:cs="Symbol"/>
    </w:rPr>
  </w:style>
  <w:style w:type="character" w:styleId="ListLabel841">
    <w:name w:val="ListLabel 841"/>
    <w:qFormat/>
    <w:rPr>
      <w:rFonts w:cs="Courier New"/>
    </w:rPr>
  </w:style>
  <w:style w:type="character" w:styleId="ListLabel842">
    <w:name w:val="ListLabel 842"/>
    <w:qFormat/>
    <w:rPr>
      <w:rFonts w:cs="Wingdings"/>
    </w:rPr>
  </w:style>
  <w:style w:type="character" w:styleId="ListLabel843">
    <w:name w:val="ListLabel 843"/>
    <w:qFormat/>
    <w:rPr>
      <w:rFonts w:ascii="Georgia" w:hAnsi="Georgia" w:cs="Times New Roman"/>
      <w:b/>
      <w:color w:val="auto"/>
      <w:sz w:val="22"/>
    </w:rPr>
  </w:style>
  <w:style w:type="character" w:styleId="ListLabel844">
    <w:name w:val="ListLabel 844"/>
    <w:qFormat/>
    <w:rPr>
      <w:rFonts w:cs="Courier New"/>
    </w:rPr>
  </w:style>
  <w:style w:type="character" w:styleId="ListLabel845">
    <w:name w:val="ListLabel 845"/>
    <w:qFormat/>
    <w:rPr>
      <w:rFonts w:cs="Wingdings"/>
    </w:rPr>
  </w:style>
  <w:style w:type="character" w:styleId="ListLabel846">
    <w:name w:val="ListLabel 846"/>
    <w:qFormat/>
    <w:rPr>
      <w:rFonts w:cs="Symbol"/>
    </w:rPr>
  </w:style>
  <w:style w:type="character" w:styleId="ListLabel847">
    <w:name w:val="ListLabel 847"/>
    <w:qFormat/>
    <w:rPr>
      <w:rFonts w:cs="Courier New"/>
    </w:rPr>
  </w:style>
  <w:style w:type="character" w:styleId="ListLabel848">
    <w:name w:val="ListLabel 848"/>
    <w:qFormat/>
    <w:rPr>
      <w:rFonts w:cs="Wingdings"/>
    </w:rPr>
  </w:style>
  <w:style w:type="character" w:styleId="ListLabel849">
    <w:name w:val="ListLabel 849"/>
    <w:qFormat/>
    <w:rPr>
      <w:rFonts w:cs="Symbol"/>
    </w:rPr>
  </w:style>
  <w:style w:type="character" w:styleId="ListLabel850">
    <w:name w:val="ListLabel 850"/>
    <w:qFormat/>
    <w:rPr>
      <w:rFonts w:cs="Courier New"/>
    </w:rPr>
  </w:style>
  <w:style w:type="character" w:styleId="ListLabel851">
    <w:name w:val="ListLabel 851"/>
    <w:qFormat/>
    <w:rPr>
      <w:rFonts w:cs="Wingdings"/>
    </w:rPr>
  </w:style>
  <w:style w:type="character" w:styleId="ListLabel852">
    <w:name w:val="ListLabel 852"/>
    <w:qFormat/>
    <w:rPr>
      <w:rFonts w:ascii="RgsyshAdvTTb8864ccf.B" w:hAnsi="RgsyshAdvTTb8864ccf.B" w:cs="Symbol"/>
      <w:b/>
      <w:sz w:val="28"/>
      <w:szCs w:val="32"/>
    </w:rPr>
  </w:style>
  <w:style w:type="character" w:styleId="ListLabel853">
    <w:name w:val="ListLabel 853"/>
    <w:qFormat/>
    <w:rPr>
      <w:rFonts w:cs="Courier New"/>
    </w:rPr>
  </w:style>
  <w:style w:type="character" w:styleId="ListLabel854">
    <w:name w:val="ListLabel 854"/>
    <w:qFormat/>
    <w:rPr>
      <w:rFonts w:cs="Wingdings"/>
    </w:rPr>
  </w:style>
  <w:style w:type="character" w:styleId="ListLabel855">
    <w:name w:val="ListLabel 855"/>
    <w:qFormat/>
    <w:rPr>
      <w:rFonts w:cs="Symbol"/>
    </w:rPr>
  </w:style>
  <w:style w:type="character" w:styleId="ListLabel856">
    <w:name w:val="ListLabel 856"/>
    <w:qFormat/>
    <w:rPr>
      <w:rFonts w:cs="Courier New"/>
    </w:rPr>
  </w:style>
  <w:style w:type="character" w:styleId="ListLabel857">
    <w:name w:val="ListLabel 857"/>
    <w:qFormat/>
    <w:rPr>
      <w:rFonts w:cs="Wingdings"/>
    </w:rPr>
  </w:style>
  <w:style w:type="character" w:styleId="ListLabel858">
    <w:name w:val="ListLabel 858"/>
    <w:qFormat/>
    <w:rPr>
      <w:rFonts w:cs="Symbol"/>
    </w:rPr>
  </w:style>
  <w:style w:type="character" w:styleId="ListLabel859">
    <w:name w:val="ListLabel 859"/>
    <w:qFormat/>
    <w:rPr>
      <w:rFonts w:cs="Courier New"/>
    </w:rPr>
  </w:style>
  <w:style w:type="character" w:styleId="ListLabel860">
    <w:name w:val="ListLabel 860"/>
    <w:qFormat/>
    <w:rPr>
      <w:rFonts w:cs="Wingdings"/>
    </w:rPr>
  </w:style>
  <w:style w:type="character" w:styleId="ListLabel861">
    <w:name w:val="ListLabel 861"/>
    <w:qFormat/>
    <w:rPr>
      <w:rFonts w:cs="Symbol"/>
      <w:sz w:val="20"/>
    </w:rPr>
  </w:style>
  <w:style w:type="character" w:styleId="ListLabel862">
    <w:name w:val="ListLabel 862"/>
    <w:qFormat/>
    <w:rPr>
      <w:rFonts w:cs="Courier New"/>
      <w:sz w:val="20"/>
    </w:rPr>
  </w:style>
  <w:style w:type="character" w:styleId="ListLabel863">
    <w:name w:val="ListLabel 863"/>
    <w:qFormat/>
    <w:rPr>
      <w:rFonts w:cs="Wingdings"/>
      <w:sz w:val="20"/>
    </w:rPr>
  </w:style>
  <w:style w:type="character" w:styleId="ListLabel864">
    <w:name w:val="ListLabel 864"/>
    <w:qFormat/>
    <w:rPr>
      <w:rFonts w:cs="Wingdings"/>
      <w:sz w:val="20"/>
    </w:rPr>
  </w:style>
  <w:style w:type="character" w:styleId="ListLabel865">
    <w:name w:val="ListLabel 865"/>
    <w:qFormat/>
    <w:rPr>
      <w:rFonts w:cs="Wingdings"/>
      <w:sz w:val="20"/>
    </w:rPr>
  </w:style>
  <w:style w:type="character" w:styleId="ListLabel866">
    <w:name w:val="ListLabel 866"/>
    <w:qFormat/>
    <w:rPr>
      <w:rFonts w:cs="Wingdings"/>
      <w:sz w:val="20"/>
    </w:rPr>
  </w:style>
  <w:style w:type="character" w:styleId="ListLabel867">
    <w:name w:val="ListLabel 867"/>
    <w:qFormat/>
    <w:rPr>
      <w:rFonts w:cs="Wingdings"/>
      <w:sz w:val="20"/>
    </w:rPr>
  </w:style>
  <w:style w:type="character" w:styleId="ListLabel868">
    <w:name w:val="ListLabel 868"/>
    <w:qFormat/>
    <w:rPr>
      <w:rFonts w:cs="Wingdings"/>
      <w:sz w:val="20"/>
    </w:rPr>
  </w:style>
  <w:style w:type="character" w:styleId="ListLabel869">
    <w:name w:val="ListLabel 869"/>
    <w:qFormat/>
    <w:rPr>
      <w:rFonts w:cs="Wingdings"/>
      <w:sz w:val="20"/>
    </w:rPr>
  </w:style>
  <w:style w:type="character" w:styleId="ListLabel870">
    <w:name w:val="ListLabel 870"/>
    <w:qFormat/>
    <w:rPr>
      <w:sz w:val="22"/>
      <w:szCs w:val="22"/>
      <w:highlight w:val="blue"/>
    </w:rPr>
  </w:style>
  <w:style w:type="character" w:styleId="ListLabel871">
    <w:name w:val="ListLabel 871"/>
    <w:qFormat/>
    <w:rPr>
      <w:sz w:val="22"/>
      <w:szCs w:val="22"/>
      <w:lang w:val="ro-RO"/>
    </w:rPr>
  </w:style>
  <w:style w:type="character" w:styleId="ListLabel872">
    <w:name w:val="ListLabel 872"/>
    <w:qFormat/>
    <w:rPr>
      <w:bCs/>
    </w:rPr>
  </w:style>
  <w:style w:type="character" w:styleId="ListLabel873">
    <w:name w:val="ListLabel 873"/>
    <w:qFormat/>
    <w:rPr>
      <w:rFonts w:ascii="Times New Roman" w:hAnsi="Times New Roman"/>
      <w:bCs/>
      <w:color w:val="auto"/>
      <w:sz w:val="24"/>
      <w:szCs w:val="24"/>
      <w:highlight w:val="white"/>
      <w:u w:val="none"/>
    </w:rPr>
  </w:style>
  <w:style w:type="character" w:styleId="ListLabel874">
    <w:name w:val="ListLabel 874"/>
    <w:qFormat/>
    <w:rPr>
      <w:rFonts w:ascii="Times New Roman" w:hAnsi="Times New Roman"/>
      <w:color w:val="000000"/>
      <w:sz w:val="24"/>
      <w:szCs w:val="24"/>
      <w:highlight w:val="white"/>
      <w:u w:val="none"/>
    </w:rPr>
  </w:style>
  <w:style w:type="character" w:styleId="ListLabel875">
    <w:name w:val="ListLabel 875"/>
    <w:qFormat/>
    <w:rPr>
      <w:rFonts w:ascii="Times New Roman" w:hAnsi="Times New Roman" w:eastAsia="Calibri"/>
      <w:b/>
      <w:color w:val="000000"/>
      <w:sz w:val="24"/>
      <w:szCs w:val="24"/>
      <w:highlight w:val="white"/>
    </w:rPr>
  </w:style>
  <w:style w:type="character" w:styleId="ListLabel876">
    <w:name w:val="ListLabel 876"/>
    <w:qFormat/>
    <w:rPr>
      <w:rFonts w:ascii="Times New Roman" w:hAnsi="Times New Roman"/>
      <w:b/>
      <w:sz w:val="24"/>
      <w:szCs w:val="24"/>
      <w:lang w:eastAsia="en-GB"/>
    </w:rPr>
  </w:style>
  <w:style w:type="character" w:styleId="ListLabel877">
    <w:name w:val="ListLabel 877"/>
    <w:qFormat/>
    <w:rPr>
      <w:rFonts w:ascii="Times New Roman" w:hAnsi="Times New Roman"/>
      <w:color w:val="auto"/>
      <w:sz w:val="24"/>
      <w:szCs w:val="24"/>
      <w:highlight w:val="white"/>
      <w:u w:val="none"/>
    </w:rPr>
  </w:style>
  <w:style w:type="character" w:styleId="ListLabel878">
    <w:name w:val="ListLabel 878"/>
    <w:qFormat/>
    <w:rPr>
      <w:rFonts w:ascii="Times New Roman" w:hAnsi="Times New Roman"/>
      <w:color w:val="auto"/>
      <w:sz w:val="24"/>
      <w:szCs w:val="24"/>
      <w:u w:val="none"/>
    </w:rPr>
  </w:style>
  <w:style w:type="character" w:styleId="ListLabel879">
    <w:name w:val="ListLabel 879"/>
    <w:qFormat/>
    <w:rPr>
      <w:rFonts w:ascii="Times New Roman" w:hAnsi="Times New Roman"/>
      <w:i/>
      <w:iCs/>
      <w:sz w:val="24"/>
      <w:szCs w:val="24"/>
      <w:lang w:eastAsia="en-GB"/>
    </w:rPr>
  </w:style>
  <w:style w:type="character" w:styleId="ListLabel880">
    <w:name w:val="ListLabel 880"/>
    <w:qFormat/>
    <w:rPr>
      <w:rFonts w:ascii="Times New Roman" w:hAnsi="Times New Roman" w:eastAsia="Calibri"/>
      <w:b/>
      <w:bCs/>
      <w:color w:val="auto"/>
      <w:sz w:val="24"/>
      <w:szCs w:val="24"/>
      <w:u w:val="none"/>
    </w:rPr>
  </w:style>
  <w:style w:type="character" w:styleId="ListLabel881">
    <w:name w:val="ListLabel 881"/>
    <w:qFormat/>
    <w:rPr>
      <w:rFonts w:ascii="Times New Roman" w:hAnsi="Times New Roman" w:eastAsia="Calibri"/>
      <w:color w:val="auto"/>
      <w:sz w:val="24"/>
      <w:szCs w:val="24"/>
      <w:u w:val="none"/>
    </w:rPr>
  </w:style>
  <w:style w:type="character" w:styleId="ListLabel882">
    <w:name w:val="ListLabel 882"/>
    <w:qFormat/>
    <w:rPr>
      <w:color w:val="auto"/>
      <w:sz w:val="24"/>
      <w:szCs w:val="24"/>
      <w:highlight w:val="white"/>
      <w:u w:val="none"/>
    </w:rPr>
  </w:style>
  <w:style w:type="character" w:styleId="ListLabel883">
    <w:name w:val="ListLabel 883"/>
    <w:qFormat/>
    <w:rPr>
      <w:b/>
      <w:color w:val="auto"/>
      <w:sz w:val="24"/>
      <w:szCs w:val="24"/>
      <w:highlight w:val="white"/>
      <w:u w:val="none"/>
    </w:rPr>
  </w:style>
  <w:style w:type="character" w:styleId="ListLabel884">
    <w:name w:val="ListLabel 884"/>
    <w:qFormat/>
    <w:rPr>
      <w:color w:val="auto"/>
      <w:sz w:val="24"/>
      <w:szCs w:val="24"/>
      <w:u w:val="none"/>
    </w:rPr>
  </w:style>
  <w:style w:type="character" w:styleId="ListLabel885">
    <w:name w:val="ListLabel 885"/>
    <w:qFormat/>
    <w:rPr>
      <w:rFonts w:ascii="CMBX12" w:hAnsi="CMBX12" w:cs="CMBX12"/>
      <w:kern w:val="0"/>
      <w:sz w:val="24"/>
      <w:szCs w:val="24"/>
    </w:rPr>
  </w:style>
  <w:style w:type="character" w:styleId="ListLabel886">
    <w:name w:val="ListLabel 886"/>
    <w:qFormat/>
    <w:rPr>
      <w:b/>
      <w:i w:val="false"/>
      <w:caps w:val="false"/>
      <w:smallCaps w:val="false"/>
      <w:color w:val="000000"/>
      <w:spacing w:val="0"/>
      <w:sz w:val="24"/>
      <w:szCs w:val="24"/>
      <w:highlight w:val="white"/>
      <w:u w:val="single"/>
    </w:rPr>
  </w:style>
  <w:style w:type="character" w:styleId="ListLabel887">
    <w:name w:val="ListLabel 887"/>
    <w:qFormat/>
    <w:rPr>
      <w:b w:val="false"/>
      <w:i w:val="false"/>
      <w:caps w:val="false"/>
      <w:smallCaps w:val="false"/>
      <w:color w:val="000000"/>
      <w:spacing w:val="0"/>
      <w:sz w:val="24"/>
      <w:szCs w:val="24"/>
      <w:highlight w:val="white"/>
      <w:u w:val="single"/>
    </w:rPr>
  </w:style>
  <w:style w:type="character" w:styleId="ListLabel888">
    <w:name w:val="ListLabel 888"/>
    <w:qFormat/>
    <w:rPr/>
  </w:style>
  <w:style w:type="character" w:styleId="ListLabel889">
    <w:name w:val="ListLabel 889"/>
    <w:qFormat/>
    <w:rPr>
      <w:rFonts w:ascii="Times New Roman" w:hAnsi="Times New Roman"/>
      <w:sz w:val="22"/>
      <w:szCs w:val="22"/>
    </w:rPr>
  </w:style>
  <w:style w:type="character" w:styleId="ListLabel890">
    <w:name w:val="ListLabel 890"/>
    <w:qFormat/>
    <w:rPr>
      <w:rFonts w:ascii="Times New Roman" w:hAnsi="Times New Roman"/>
      <w:b w:val="false"/>
      <w:bCs/>
      <w:i w:val="false"/>
      <w:caps w:val="false"/>
      <w:smallCaps w:val="false"/>
      <w:strike w:val="false"/>
      <w:dstrike w:val="false"/>
      <w:color w:val="385898"/>
      <w:spacing w:val="0"/>
      <w:sz w:val="22"/>
      <w:szCs w:val="22"/>
      <w:u w:val="none"/>
    </w:rPr>
  </w:style>
  <w:style w:type="character" w:styleId="ListLabel891">
    <w:name w:val="ListLabel 891"/>
    <w:qFormat/>
    <w:rPr>
      <w:sz w:val="22"/>
      <w:szCs w:val="22"/>
    </w:rPr>
  </w:style>
  <w:style w:type="character" w:styleId="ListLabel892">
    <w:name w:val="ListLabel 892"/>
    <w:qFormat/>
    <w:rPr>
      <w:rFonts w:ascii="Times New Roman" w:hAnsi="Times New Roman" w:cs="Times New Roman"/>
      <w:sz w:val="22"/>
      <w:szCs w:val="22"/>
      <w:lang w:val="en-US"/>
    </w:rPr>
  </w:style>
  <w:style w:type="character" w:styleId="ListLabel893">
    <w:name w:val="ListLabel 893"/>
    <w:qFormat/>
    <w:rPr>
      <w:rFonts w:ascii="Times New Roman" w:hAnsi="Times New Roman" w:cs="Times New Roman"/>
      <w:color w:val="000000"/>
      <w:sz w:val="22"/>
      <w:szCs w:val="22"/>
      <w:lang w:val="en-US"/>
    </w:rPr>
  </w:style>
  <w:style w:type="character" w:styleId="ListLabel894">
    <w:name w:val="ListLabel 894"/>
    <w:qFormat/>
    <w:rPr/>
  </w:style>
  <w:style w:type="character" w:styleId="ListLabel895">
    <w:name w:val="ListLabel 895"/>
    <w:qFormat/>
    <w:rPr>
      <w:rFonts w:ascii="Times New Roman" w:hAnsi="Times New Roman" w:cs="Times New Roman"/>
      <w:sz w:val="20"/>
      <w:szCs w:val="20"/>
      <w:lang w:val="en-US"/>
    </w:rPr>
  </w:style>
  <w:style w:type="character" w:styleId="ListLabel896">
    <w:name w:val="ListLabel 896"/>
    <w:qFormat/>
    <w:rPr>
      <w:rFonts w:ascii="Times New Roman" w:hAnsi="Times New Roman"/>
      <w:b w:val="false"/>
      <w:bCs w:val="false"/>
      <w:i w:val="false"/>
      <w:caps w:val="false"/>
      <w:smallCaps w:val="false"/>
      <w:strike w:val="false"/>
      <w:dstrike w:val="false"/>
      <w:color w:val="006580"/>
      <w:spacing w:val="0"/>
      <w:sz w:val="20"/>
      <w:szCs w:val="20"/>
      <w:u w:val="none"/>
      <w:effect w:val="none"/>
    </w:rPr>
  </w:style>
  <w:style w:type="character" w:styleId="ListLabel897">
    <w:name w:val="ListLabel 897"/>
    <w:qFormat/>
    <w:rPr>
      <w:rFonts w:ascii="Times New Roman" w:hAnsi="Times New Roman"/>
      <w:sz w:val="24"/>
      <w:szCs w:val="24"/>
    </w:rPr>
  </w:style>
  <w:style w:type="character" w:styleId="ListLabel898">
    <w:name w:val="ListLabel 898"/>
    <w:qFormat/>
    <w:rPr>
      <w:color w:val="auto"/>
    </w:rPr>
  </w:style>
  <w:style w:type="character" w:styleId="ListLabel899">
    <w:name w:val="ListLabel 899"/>
    <w:qFormat/>
    <w:rPr>
      <w:rFonts w:ascii="Times New Roman" w:hAnsi="Times New Roman"/>
      <w:b w:val="false"/>
      <w:sz w:val="24"/>
      <w:szCs w:val="24"/>
    </w:rPr>
  </w:style>
  <w:style w:type="character" w:styleId="ListLabel900">
    <w:name w:val="ListLabel 900"/>
    <w:qFormat/>
    <w:rPr>
      <w:rFonts w:ascii="Times New Roman" w:hAnsi="Times New Roman"/>
      <w:b w:val="false"/>
      <w:bCs w:val="false"/>
      <w:sz w:val="24"/>
      <w:szCs w:val="24"/>
    </w:rPr>
  </w:style>
  <w:style w:type="character" w:styleId="ListLabel901">
    <w:name w:val="ListLabel 901"/>
    <w:qFormat/>
    <w:rPr>
      <w:sz w:val="24"/>
      <w:szCs w:val="24"/>
    </w:rPr>
  </w:style>
  <w:style w:type="character" w:styleId="ListLabel902">
    <w:name w:val="ListLabel 902"/>
    <w:qFormat/>
    <w:rPr>
      <w:color w:val="7C93A1"/>
      <w:sz w:val="20"/>
      <w:szCs w:val="20"/>
      <w:highlight w:val="white"/>
    </w:rPr>
  </w:style>
  <w:style w:type="character" w:styleId="ListLabel903">
    <w:name w:val="ListLabel 903"/>
    <w:qFormat/>
    <w:rPr>
      <w:b/>
      <w:bCs/>
      <w:color w:val="7C93A1"/>
      <w:sz w:val="20"/>
      <w:szCs w:val="20"/>
      <w:highlight w:val="white"/>
    </w:rPr>
  </w:style>
  <w:style w:type="character" w:styleId="ListLabel904">
    <w:name w:val="ListLabel 904"/>
    <w:qFormat/>
    <w:rPr>
      <w:color w:val="auto"/>
      <w:u w:val="none"/>
    </w:rPr>
  </w:style>
  <w:style w:type="character" w:styleId="ListLabel905">
    <w:name w:val="ListLabel 905"/>
    <w:qFormat/>
    <w:rPr>
      <w:bCs/>
      <w:color w:val="auto"/>
      <w:u w:val="none"/>
      <w:lang w:val="ro-RO"/>
    </w:rPr>
  </w:style>
  <w:style w:type="character" w:styleId="ListLabel906">
    <w:name w:val="ListLabel 906"/>
    <w:qFormat/>
    <w:rPr>
      <w:b/>
      <w:bCs/>
      <w:sz w:val="28"/>
      <w:szCs w:val="28"/>
    </w:rPr>
  </w:style>
  <w:style w:type="character" w:styleId="ListLabel907">
    <w:name w:val="ListLabel 907"/>
    <w:qFormat/>
    <w:rPr>
      <w:b/>
      <w:bCs/>
      <w:color w:val="auto"/>
      <w:sz w:val="20"/>
      <w:szCs w:val="20"/>
      <w:u w:val="none"/>
    </w:rPr>
  </w:style>
  <w:style w:type="character" w:styleId="ListLabel908">
    <w:name w:val="ListLabel 908"/>
    <w:qFormat/>
    <w:rPr>
      <w:rFonts w:eastAsia="Times New Roman"/>
      <w:sz w:val="20"/>
      <w:szCs w:val="20"/>
    </w:rPr>
  </w:style>
  <w:style w:type="character" w:styleId="ListLabel909">
    <w:name w:val="ListLabel 909"/>
    <w:qFormat/>
    <w:rPr>
      <w:rFonts w:eastAsia="Times New Roman"/>
      <w:sz w:val="20"/>
      <w:szCs w:val="20"/>
    </w:rPr>
  </w:style>
  <w:style w:type="character" w:styleId="ListLabel910">
    <w:name w:val="ListLabel 910"/>
    <w:qFormat/>
    <w:rPr>
      <w:b/>
      <w:sz w:val="28"/>
      <w:szCs w:val="28"/>
    </w:rPr>
  </w:style>
  <w:style w:type="character" w:styleId="ListLabel911">
    <w:name w:val="ListLabel 911"/>
    <w:qFormat/>
    <w:rPr>
      <w:rFonts w:ascii="TimesNewRomanMTStd-Italic" w:hAnsi="TimesNewRomanMTStd-Italic" w:cs="TimesNewRomanMTStd-Italic"/>
      <w:i/>
      <w:iCs/>
    </w:rPr>
  </w:style>
  <w:style w:type="character" w:styleId="ListLabel912">
    <w:name w:val="ListLabel 912"/>
    <w:qFormat/>
    <w:rPr>
      <w:b/>
      <w:bCs/>
      <w:color w:val="auto"/>
      <w:sz w:val="28"/>
      <w:szCs w:val="28"/>
      <w:highlight w:val="white"/>
      <w:u w:val="none"/>
    </w:rPr>
  </w:style>
  <w:style w:type="character" w:styleId="ListLabel913">
    <w:name w:val="ListLabel 913"/>
    <w:qFormat/>
    <w:rPr>
      <w:b/>
      <w:color w:val="auto"/>
      <w:sz w:val="28"/>
      <w:szCs w:val="28"/>
      <w:highlight w:val="white"/>
      <w:u w:val="none"/>
    </w:rPr>
  </w:style>
  <w:style w:type="character" w:styleId="ListLabel914">
    <w:name w:val="ListLabel 914"/>
    <w:qFormat/>
    <w:rPr>
      <w:b/>
      <w:i/>
      <w:iCs/>
      <w:color w:val="auto"/>
      <w:sz w:val="28"/>
      <w:szCs w:val="28"/>
      <w:highlight w:val="white"/>
      <w:u w:val="none"/>
    </w:rPr>
  </w:style>
  <w:style w:type="character" w:styleId="ListLabel915">
    <w:name w:val="ListLabel 915"/>
    <w:qFormat/>
    <w:rPr>
      <w:color w:val="auto"/>
      <w:sz w:val="20"/>
      <w:szCs w:val="20"/>
    </w:rPr>
  </w:style>
  <w:style w:type="character" w:styleId="ListLabel916">
    <w:name w:val="ListLabel 916"/>
    <w:qFormat/>
    <w:rPr>
      <w:rFonts w:eastAsia="Calibri"/>
      <w:i/>
      <w:iCs/>
      <w:color w:val="auto"/>
      <w:sz w:val="20"/>
      <w:szCs w:val="20"/>
    </w:rPr>
  </w:style>
  <w:style w:type="character" w:styleId="ListLabel917">
    <w:name w:val="ListLabel 917"/>
    <w:qFormat/>
    <w:rPr>
      <w:color w:val="auto"/>
      <w:highlight w:val="white"/>
      <w:u w:val="none"/>
    </w:rPr>
  </w:style>
  <w:style w:type="character" w:styleId="ListLabel918">
    <w:name w:val="ListLabel 918"/>
    <w:qFormat/>
    <w:rPr>
      <w:b/>
      <w:color w:val="000000"/>
      <w:sz w:val="28"/>
      <w:szCs w:val="28"/>
      <w:highlight w:val="white"/>
    </w:rPr>
  </w:style>
  <w:style w:type="character" w:styleId="ListLabel919">
    <w:name w:val="ListLabel 919"/>
    <w:qFormat/>
    <w:rPr>
      <w:rFonts w:ascii="Times New Roman" w:hAnsi="Times New Roman" w:cs="Times New Roman"/>
    </w:rPr>
  </w:style>
  <w:style w:type="character" w:styleId="ListLabel920">
    <w:name w:val="ListLabel 920"/>
    <w:qFormat/>
    <w:rPr>
      <w:b/>
      <w:color w:val="auto"/>
      <w:spacing w:val="15"/>
      <w:sz w:val="20"/>
      <w:szCs w:val="20"/>
      <w:u w:val="none"/>
    </w:rPr>
  </w:style>
  <w:style w:type="character" w:styleId="ListLabel921">
    <w:name w:val="ListLabel 921"/>
    <w:qFormat/>
    <w:rPr>
      <w:color w:val="auto"/>
      <w:spacing w:val="15"/>
      <w:sz w:val="20"/>
      <w:szCs w:val="20"/>
    </w:rPr>
  </w:style>
  <w:style w:type="character" w:styleId="ListLabel922">
    <w:name w:val="ListLabel 922"/>
    <w:qFormat/>
    <w:rPr>
      <w:rFonts w:ascii="Times New Roman" w:hAnsi="Times New Roman"/>
      <w:sz w:val="28"/>
      <w:szCs w:val="28"/>
      <w:lang w:eastAsia="en-GB"/>
    </w:rPr>
  </w:style>
  <w:style w:type="character" w:styleId="ListLabel923">
    <w:name w:val="ListLabel 923"/>
    <w:qFormat/>
    <w:rPr>
      <w:rFonts w:ascii="Times New Roman" w:hAnsi="Times New Roman"/>
      <w:color w:val="auto"/>
      <w:sz w:val="28"/>
      <w:szCs w:val="28"/>
      <w:highlight w:val="white"/>
      <w:u w:val="none"/>
    </w:rPr>
  </w:style>
  <w:style w:type="character" w:styleId="ListLabel924">
    <w:name w:val="ListLabel 924"/>
    <w:qFormat/>
    <w:rPr>
      <w:rFonts w:ascii="Times New Roman" w:hAnsi="Times New Roman"/>
      <w:color w:val="auto"/>
      <w:sz w:val="28"/>
      <w:szCs w:val="28"/>
      <w:u w:val="none"/>
    </w:rPr>
  </w:style>
  <w:style w:type="character" w:styleId="ListLabel925">
    <w:name w:val="ListLabel 925"/>
    <w:qFormat/>
    <w:rPr>
      <w:rFonts w:ascii="Times New Roman" w:hAnsi="Times New Roman"/>
      <w:i/>
      <w:iCs/>
      <w:sz w:val="28"/>
      <w:szCs w:val="28"/>
      <w:lang w:eastAsia="en-GB"/>
    </w:rPr>
  </w:style>
  <w:style w:type="character" w:styleId="ListLabel926">
    <w:name w:val="ListLabel 926"/>
    <w:qFormat/>
    <w:rPr>
      <w:sz w:val="22"/>
      <w:szCs w:val="22"/>
    </w:rPr>
  </w:style>
  <w:style w:type="character" w:styleId="ListLabel927">
    <w:name w:val="ListLabel 927"/>
    <w:qFormat/>
    <w:rPr>
      <w:color w:val="auto"/>
      <w:sz w:val="22"/>
      <w:szCs w:val="22"/>
      <w:u w:val="none"/>
    </w:rPr>
  </w:style>
  <w:style w:type="character" w:styleId="ListLabel928">
    <w:name w:val="ListLabel 928"/>
    <w:qFormat/>
    <w:rPr>
      <w:b/>
      <w:bCs/>
      <w:color w:val="auto"/>
      <w:sz w:val="22"/>
      <w:szCs w:val="22"/>
      <w:u w:val="none"/>
    </w:rPr>
  </w:style>
  <w:style w:type="character" w:styleId="ListLabel929">
    <w:name w:val="ListLabel 929"/>
    <w:qFormat/>
    <w:rPr>
      <w:spacing w:val="2"/>
      <w:sz w:val="20"/>
      <w:szCs w:val="20"/>
    </w:rPr>
  </w:style>
  <w:style w:type="character" w:styleId="ListLabel930">
    <w:name w:val="ListLabel 930"/>
    <w:qFormat/>
    <w:rPr>
      <w:sz w:val="20"/>
      <w:szCs w:val="20"/>
    </w:rPr>
  </w:style>
  <w:style w:type="character" w:styleId="ListLabel931">
    <w:name w:val="ListLabel 931"/>
    <w:qFormat/>
    <w:rPr>
      <w:spacing w:val="-2"/>
      <w:sz w:val="20"/>
      <w:szCs w:val="20"/>
    </w:rPr>
  </w:style>
  <w:style w:type="character" w:styleId="ListLabel932">
    <w:name w:val="ListLabel 932"/>
    <w:qFormat/>
    <w:rPr>
      <w:spacing w:val="1"/>
      <w:sz w:val="20"/>
      <w:szCs w:val="20"/>
    </w:rPr>
  </w:style>
  <w:style w:type="character" w:styleId="ListLabel933">
    <w:name w:val="ListLabel 933"/>
    <w:qFormat/>
    <w:rPr>
      <w:spacing w:val="-1"/>
      <w:sz w:val="20"/>
      <w:szCs w:val="20"/>
    </w:rPr>
  </w:style>
  <w:style w:type="character" w:styleId="ListLabel934">
    <w:name w:val="ListLabel 934"/>
    <w:qFormat/>
    <w:rPr>
      <w:spacing w:val="3"/>
      <w:sz w:val="20"/>
      <w:szCs w:val="20"/>
    </w:rPr>
  </w:style>
  <w:style w:type="character" w:styleId="ListLabel935">
    <w:name w:val="ListLabel 935"/>
    <w:qFormat/>
    <w:rPr>
      <w:spacing w:val="-6"/>
      <w:sz w:val="20"/>
      <w:szCs w:val="20"/>
    </w:rPr>
  </w:style>
  <w:style w:type="character" w:styleId="ListLabel936">
    <w:name w:val="ListLabel 936"/>
    <w:qFormat/>
    <w:rPr>
      <w:spacing w:val="-3"/>
      <w:sz w:val="20"/>
      <w:szCs w:val="20"/>
    </w:rPr>
  </w:style>
  <w:style w:type="character" w:styleId="ListLabel937">
    <w:name w:val="ListLabel 937"/>
    <w:qFormat/>
    <w:rPr>
      <w:spacing w:val="-8"/>
      <w:sz w:val="20"/>
      <w:szCs w:val="20"/>
    </w:rPr>
  </w:style>
  <w:style w:type="character" w:styleId="ListLabel938">
    <w:name w:val="ListLabel 938"/>
    <w:qFormat/>
    <w:rPr>
      <w:spacing w:val="-7"/>
      <w:sz w:val="20"/>
      <w:szCs w:val="20"/>
    </w:rPr>
  </w:style>
  <w:style w:type="character" w:styleId="ListLabel939">
    <w:name w:val="ListLabel 939"/>
    <w:qFormat/>
    <w:rPr>
      <w:spacing w:val="-9"/>
      <w:sz w:val="20"/>
      <w:szCs w:val="20"/>
    </w:rPr>
  </w:style>
  <w:style w:type="character" w:styleId="ListLabel940">
    <w:name w:val="ListLabel 940"/>
    <w:qFormat/>
    <w:rPr>
      <w:spacing w:val="-11"/>
      <w:sz w:val="20"/>
      <w:szCs w:val="20"/>
    </w:rPr>
  </w:style>
  <w:style w:type="character" w:styleId="ListLabel941">
    <w:name w:val="ListLabel 941"/>
    <w:qFormat/>
    <w:rPr>
      <w:spacing w:val="-8"/>
      <w:sz w:val="20"/>
      <w:szCs w:val="20"/>
    </w:rPr>
  </w:style>
  <w:style w:type="character" w:styleId="ListLabel942">
    <w:name w:val="ListLabel 942"/>
    <w:qFormat/>
    <w:rPr>
      <w:spacing w:val="-9"/>
      <w:sz w:val="20"/>
      <w:szCs w:val="20"/>
    </w:rPr>
  </w:style>
  <w:style w:type="character" w:styleId="ListLabel943">
    <w:name w:val="ListLabel 943"/>
    <w:qFormat/>
    <w:rPr>
      <w:spacing w:val="-7"/>
      <w:sz w:val="20"/>
      <w:szCs w:val="20"/>
    </w:rPr>
  </w:style>
  <w:style w:type="character" w:styleId="ListLabel944">
    <w:name w:val="ListLabel 944"/>
    <w:qFormat/>
    <w:rPr>
      <w:spacing w:val="-6"/>
      <w:sz w:val="20"/>
      <w:szCs w:val="20"/>
    </w:rPr>
  </w:style>
  <w:style w:type="character" w:styleId="ListLabel945">
    <w:name w:val="ListLabel 945"/>
    <w:qFormat/>
    <w:rPr>
      <w:spacing w:val="-11"/>
      <w:sz w:val="20"/>
      <w:szCs w:val="20"/>
    </w:rPr>
  </w:style>
  <w:style w:type="character" w:styleId="ListLabel946">
    <w:name w:val="ListLabel 946"/>
    <w:qFormat/>
    <w:rPr>
      <w:sz w:val="20"/>
      <w:szCs w:val="20"/>
    </w:rPr>
  </w:style>
  <w:style w:type="character" w:styleId="ListLabel947">
    <w:name w:val="ListLabel 947"/>
    <w:qFormat/>
    <w:rPr>
      <w:sz w:val="20"/>
      <w:szCs w:val="20"/>
    </w:rPr>
  </w:style>
  <w:style w:type="character" w:styleId="ListLabel948">
    <w:name w:val="ListLabel 948"/>
    <w:qFormat/>
    <w:rPr>
      <w:spacing w:val="-1"/>
      <w:sz w:val="20"/>
      <w:szCs w:val="20"/>
    </w:rPr>
  </w:style>
  <w:style w:type="character" w:styleId="ListLabel949">
    <w:name w:val="ListLabel 949"/>
    <w:qFormat/>
    <w:rPr>
      <w:spacing w:val="1"/>
      <w:sz w:val="20"/>
      <w:szCs w:val="20"/>
    </w:rPr>
  </w:style>
  <w:style w:type="character" w:styleId="ListLabel950">
    <w:name w:val="ListLabel 950"/>
    <w:qFormat/>
    <w:rPr>
      <w:spacing w:val="-2"/>
      <w:sz w:val="20"/>
      <w:szCs w:val="20"/>
    </w:rPr>
  </w:style>
  <w:style w:type="character" w:styleId="ListLabel951">
    <w:name w:val="ListLabel 951"/>
    <w:qFormat/>
    <w:rPr>
      <w:sz w:val="20"/>
      <w:szCs w:val="20"/>
    </w:rPr>
  </w:style>
  <w:style w:type="character" w:styleId="ListLabel952">
    <w:name w:val="ListLabel 952"/>
    <w:qFormat/>
    <w:rPr>
      <w:spacing w:val="1"/>
      <w:sz w:val="20"/>
      <w:szCs w:val="20"/>
    </w:rPr>
  </w:style>
  <w:style w:type="character" w:styleId="ListLabel953">
    <w:name w:val="ListLabel 953"/>
    <w:qFormat/>
    <w:rPr>
      <w:spacing w:val="-1"/>
      <w:sz w:val="20"/>
      <w:szCs w:val="20"/>
    </w:rPr>
  </w:style>
  <w:style w:type="character" w:styleId="ListLabel954">
    <w:name w:val="ListLabel 954"/>
    <w:qFormat/>
    <w:rPr>
      <w:spacing w:val="-1"/>
      <w:sz w:val="20"/>
      <w:szCs w:val="20"/>
    </w:rPr>
  </w:style>
  <w:style w:type="character" w:styleId="ListLabel955">
    <w:name w:val="ListLabel 955"/>
    <w:qFormat/>
    <w:rPr>
      <w:sz w:val="20"/>
      <w:szCs w:val="20"/>
    </w:rPr>
  </w:style>
  <w:style w:type="character" w:styleId="ListLabel956">
    <w:name w:val="ListLabel 956"/>
    <w:qFormat/>
    <w:rPr>
      <w:spacing w:val="2"/>
      <w:sz w:val="20"/>
      <w:szCs w:val="20"/>
    </w:rPr>
  </w:style>
  <w:style w:type="character" w:styleId="ListLabel957">
    <w:name w:val="ListLabel 957"/>
    <w:qFormat/>
    <w:rPr>
      <w:spacing w:val="12"/>
      <w:sz w:val="20"/>
      <w:szCs w:val="20"/>
    </w:rPr>
  </w:style>
  <w:style w:type="character" w:styleId="ListLabel958">
    <w:name w:val="ListLabel 958"/>
    <w:qFormat/>
    <w:rPr>
      <w:spacing w:val="-6"/>
      <w:sz w:val="20"/>
      <w:szCs w:val="20"/>
    </w:rPr>
  </w:style>
  <w:style w:type="character" w:styleId="ListLabel959">
    <w:name w:val="ListLabel 959"/>
    <w:qFormat/>
    <w:rPr>
      <w:spacing w:val="4"/>
      <w:sz w:val="20"/>
      <w:szCs w:val="20"/>
    </w:rPr>
  </w:style>
  <w:style w:type="character" w:styleId="ListLabel960">
    <w:name w:val="ListLabel 960"/>
    <w:qFormat/>
    <w:rPr>
      <w:spacing w:val="-2"/>
      <w:sz w:val="20"/>
      <w:szCs w:val="20"/>
    </w:rPr>
  </w:style>
  <w:style w:type="character" w:styleId="ListLabel961">
    <w:name w:val="ListLabel 961"/>
    <w:qFormat/>
    <w:rPr>
      <w:spacing w:val="10"/>
      <w:sz w:val="20"/>
      <w:szCs w:val="20"/>
    </w:rPr>
  </w:style>
  <w:style w:type="character" w:styleId="ListLabel962">
    <w:name w:val="ListLabel 962"/>
    <w:qFormat/>
    <w:rPr>
      <w:spacing w:val="2"/>
      <w:sz w:val="20"/>
      <w:szCs w:val="20"/>
    </w:rPr>
  </w:style>
  <w:style w:type="character" w:styleId="ListLabel963">
    <w:name w:val="ListLabel 963"/>
    <w:qFormat/>
    <w:rPr>
      <w:sz w:val="20"/>
      <w:szCs w:val="20"/>
    </w:rPr>
  </w:style>
  <w:style w:type="character" w:styleId="ListLabel964">
    <w:name w:val="ListLabel 964"/>
    <w:qFormat/>
    <w:rPr>
      <w:spacing w:val="-2"/>
      <w:sz w:val="20"/>
      <w:szCs w:val="20"/>
    </w:rPr>
  </w:style>
  <w:style w:type="character" w:styleId="ListLabel965">
    <w:name w:val="ListLabel 965"/>
    <w:qFormat/>
    <w:rPr>
      <w:spacing w:val="47"/>
      <w:sz w:val="20"/>
      <w:szCs w:val="20"/>
    </w:rPr>
  </w:style>
  <w:style w:type="character" w:styleId="ListLabel966">
    <w:name w:val="ListLabel 966"/>
    <w:qFormat/>
    <w:rPr>
      <w:spacing w:val="46"/>
      <w:sz w:val="20"/>
      <w:szCs w:val="20"/>
    </w:rPr>
  </w:style>
  <w:style w:type="character" w:styleId="ListLabel967">
    <w:name w:val="ListLabel 967"/>
    <w:qFormat/>
    <w:rPr>
      <w:sz w:val="20"/>
      <w:szCs w:val="20"/>
    </w:rPr>
  </w:style>
  <w:style w:type="character" w:styleId="ListLabel968">
    <w:name w:val="ListLabel 968"/>
    <w:qFormat/>
    <w:rPr>
      <w:spacing w:val="1"/>
      <w:sz w:val="20"/>
      <w:szCs w:val="20"/>
    </w:rPr>
  </w:style>
  <w:style w:type="character" w:styleId="ListLabel969">
    <w:name w:val="ListLabel 969"/>
    <w:qFormat/>
    <w:rPr>
      <w:spacing w:val="-1"/>
      <w:sz w:val="20"/>
      <w:szCs w:val="20"/>
    </w:rPr>
  </w:style>
  <w:style w:type="character" w:styleId="ListLabel970">
    <w:name w:val="ListLabel 970"/>
    <w:qFormat/>
    <w:rPr>
      <w:spacing w:val="-5"/>
      <w:sz w:val="20"/>
      <w:szCs w:val="20"/>
    </w:rPr>
  </w:style>
  <w:style w:type="character" w:styleId="ListLabel971">
    <w:name w:val="ListLabel 971"/>
    <w:qFormat/>
    <w:rPr>
      <w:spacing w:val="2"/>
      <w:sz w:val="20"/>
      <w:szCs w:val="20"/>
    </w:rPr>
  </w:style>
  <w:style w:type="character" w:styleId="ListLabel972">
    <w:name w:val="ListLabel 972"/>
    <w:qFormat/>
    <w:rPr>
      <w:spacing w:val="-2"/>
      <w:sz w:val="20"/>
      <w:szCs w:val="20"/>
    </w:rPr>
  </w:style>
  <w:style w:type="character" w:styleId="ListLabel973">
    <w:name w:val="ListLabel 973"/>
    <w:qFormat/>
    <w:rPr>
      <w:spacing w:val="3"/>
      <w:sz w:val="20"/>
      <w:szCs w:val="20"/>
    </w:rPr>
  </w:style>
  <w:style w:type="character" w:styleId="ListLabel974">
    <w:name w:val="ListLabel 974"/>
    <w:qFormat/>
    <w:rPr>
      <w:rFonts w:ascii="Segoe UI" w:hAnsi="Segoe UI" w:eastAsia="Calibri" w:cs="Segoe UI"/>
      <w:b/>
      <w:bCs/>
      <w:i w:val="false"/>
      <w:iCs w:val="false"/>
      <w:caps/>
      <w:color w:val="auto"/>
      <w:sz w:val="22"/>
      <w:szCs w:val="22"/>
    </w:rPr>
  </w:style>
  <w:style w:type="character" w:styleId="ListLabel975">
    <w:name w:val="ListLabel 975"/>
    <w:qFormat/>
    <w:rPr>
      <w:rFonts w:ascii="Segoe UI" w:hAnsi="Segoe UI" w:cs="Segoe UI"/>
      <w:color w:val="000000"/>
      <w:sz w:val="22"/>
      <w:szCs w:val="22"/>
    </w:rPr>
  </w:style>
  <w:style w:type="character" w:styleId="ListLabel976">
    <w:name w:val="ListLabel 976"/>
    <w:qFormat/>
    <w:rPr>
      <w:b/>
      <w:sz w:val="22"/>
      <w:szCs w:val="22"/>
    </w:rPr>
  </w:style>
  <w:style w:type="character" w:styleId="ListLabel977">
    <w:name w:val="ListLabel 977"/>
    <w:qFormat/>
    <w:rPr>
      <w:rFonts w:ascii="Georgia" w:hAnsi="Georgia"/>
      <w:color w:val="000000"/>
      <w:sz w:val="22"/>
      <w:szCs w:val="22"/>
    </w:rPr>
  </w:style>
  <w:style w:type="character" w:styleId="ListLabel978">
    <w:name w:val="ListLabel 978"/>
    <w:qFormat/>
    <w:rPr>
      <w:b/>
    </w:rPr>
  </w:style>
  <w:style w:type="character" w:styleId="ListLabel979">
    <w:name w:val="ListLabel 979"/>
    <w:qFormat/>
    <w:rPr>
      <w:rFonts w:ascii="Arial" w:hAnsi="Arial" w:cs="Arial"/>
      <w:color w:val="109D49"/>
    </w:rPr>
  </w:style>
  <w:style w:type="character" w:styleId="ListLabel980">
    <w:name w:val="ListLabel 980"/>
    <w:qFormat/>
    <w:rPr>
      <w:rFonts w:ascii="AdvOTea1a7398" w:hAnsi="AdvOTea1a7398" w:eastAsia="Calibri" w:cs="AdvOTea1a7398"/>
      <w:sz w:val="24"/>
      <w:szCs w:val="24"/>
    </w:rPr>
  </w:style>
  <w:style w:type="character" w:styleId="ListLabel981">
    <w:name w:val="ListLabel 981"/>
    <w:qFormat/>
    <w:rPr>
      <w:rFonts w:ascii="inherit" w:hAnsi="inherit" w:eastAsia="Times New Roman" w:cs="Helvetica"/>
      <w:sz w:val="22"/>
      <w:szCs w:val="22"/>
      <w:u w:val="single"/>
    </w:rPr>
  </w:style>
  <w:style w:type="character" w:styleId="ListLabel982">
    <w:name w:val="ListLabel 982"/>
    <w:qFormat/>
    <w:rPr>
      <w:rFonts w:ascii="Helvetica" w:hAnsi="Helvetica" w:eastAsia="Times New Roman" w:cs="Helvetica"/>
      <w:sz w:val="22"/>
      <w:szCs w:val="22"/>
    </w:rPr>
  </w:style>
  <w:style w:type="character" w:styleId="ListLabel983">
    <w:name w:val="ListLabel 983"/>
    <w:qFormat/>
    <w:rPr>
      <w:rFonts w:ascii="inherit" w:hAnsi="inherit" w:cs="Arial"/>
      <w:sz w:val="22"/>
      <w:szCs w:val="22"/>
    </w:rPr>
  </w:style>
  <w:style w:type="character" w:styleId="ListLabel984">
    <w:name w:val="ListLabel 984"/>
    <w:qFormat/>
    <w:rPr>
      <w:sz w:val="22"/>
      <w:szCs w:val="22"/>
    </w:rPr>
  </w:style>
  <w:style w:type="character" w:styleId="ListLabel985">
    <w:name w:val="ListLabel 985"/>
    <w:qFormat/>
    <w:rPr>
      <w:b/>
      <w:color w:val="auto"/>
      <w:sz w:val="28"/>
      <w:szCs w:val="28"/>
      <w:u w:val="none"/>
    </w:rPr>
  </w:style>
  <w:style w:type="character" w:styleId="ListLabel986">
    <w:name w:val="ListLabel 986"/>
    <w:qFormat/>
    <w:rPr>
      <w:rFonts w:ascii="CMBX12" w:hAnsi="CMBX12" w:cs="CMBX12"/>
      <w:sz w:val="28"/>
      <w:szCs w:val="28"/>
    </w:rPr>
  </w:style>
  <w:style w:type="character" w:styleId="ListLabel987">
    <w:name w:val="ListLabel 987"/>
    <w:qFormat/>
    <w:rPr>
      <w:rFonts w:ascii="Arial" w:hAnsi="Arial" w:cs="Arial"/>
      <w:b/>
      <w:bCs/>
      <w:color w:val="FF6600"/>
    </w:rPr>
  </w:style>
  <w:style w:type="character" w:styleId="ListLabel988">
    <w:name w:val="ListLabel 988"/>
    <w:qFormat/>
    <w:rPr>
      <w:rFonts w:ascii="Arial" w:hAnsi="Arial" w:cs="Arial"/>
      <w:color w:val="326891"/>
      <w:spacing w:val="15"/>
      <w:sz w:val="20"/>
      <w:szCs w:val="20"/>
      <w:highlight w:val="white"/>
    </w:rPr>
  </w:style>
  <w:style w:type="character" w:styleId="ListLabel989">
    <w:name w:val="ListLabel 989"/>
    <w:qFormat/>
    <w:rPr>
      <w:color w:val="326891"/>
      <w:spacing w:val="15"/>
    </w:rPr>
  </w:style>
  <w:style w:type="character" w:styleId="ListLabel990">
    <w:name w:val="ListLabel 990"/>
    <w:qFormat/>
    <w:rPr>
      <w:color w:val="326891"/>
      <w:spacing w:val="15"/>
    </w:rPr>
  </w:style>
  <w:style w:type="character" w:styleId="ListLabel991">
    <w:name w:val="ListLabel 991"/>
    <w:qFormat/>
    <w:rPr>
      <w:i/>
      <w:iCs/>
      <w:color w:val="FF7800"/>
      <w:spacing w:val="15"/>
    </w:rPr>
  </w:style>
  <w:style w:type="character" w:styleId="ListLabel992">
    <w:name w:val="ListLabel 992"/>
    <w:qFormat/>
    <w:rPr>
      <w:rFonts w:ascii="SimSun" w:hAnsi="SimSun" w:eastAsia="SimSun" w:cs="SimSun"/>
      <w:sz w:val="24"/>
      <w:szCs w:val="24"/>
    </w:rPr>
  </w:style>
  <w:style w:type="paragraph" w:styleId="Heading" w:customStyle="1">
    <w:name w:val="Heading"/>
    <w:basedOn w:val="Normal"/>
    <w:next w:val="TextBody"/>
    <w:uiPriority w:val="0"/>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uiPriority w:val="0"/>
    <w:qFormat/>
    <w:pPr>
      <w:spacing w:lineRule="auto" w:line="276" w:before="0" w:after="140"/>
    </w:pPr>
    <w:rPr/>
  </w:style>
  <w:style w:type="paragraph" w:styleId="List">
    <w:name w:val="List"/>
    <w:basedOn w:val="TextBody"/>
    <w:uiPriority w:val="0"/>
    <w:qFormat/>
    <w:pPr/>
    <w:rPr>
      <w:rFonts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customStyle="1">
    <w:name w:val="Index"/>
    <w:basedOn w:val="Normal"/>
    <w:uiPriority w:val="0"/>
    <w:qFormat/>
    <w:pPr>
      <w:suppressLineNumbers/>
    </w:pPr>
    <w:rPr>
      <w:rFonts w:cs="Lucida Sans"/>
    </w:rPr>
  </w:style>
  <w:style w:type="paragraph" w:styleId="BalloonText">
    <w:name w:val="Balloon Text"/>
    <w:basedOn w:val="Normal"/>
    <w:uiPriority w:val="0"/>
    <w:qFormat/>
    <w:pPr/>
    <w:rPr>
      <w:rFonts w:ascii="Tahoma" w:hAnsi="Tahoma" w:cs="Tahoma"/>
      <w:sz w:val="16"/>
      <w:szCs w:val="16"/>
    </w:rPr>
  </w:style>
  <w:style w:type="paragraph" w:styleId="Caption1">
    <w:name w:val="caption"/>
    <w:basedOn w:val="Normal"/>
    <w:next w:val="Normal"/>
    <w:uiPriority w:val="0"/>
    <w:qFormat/>
    <w:pPr>
      <w:suppressLineNumbers/>
      <w:spacing w:before="120" w:after="120"/>
    </w:pPr>
    <w:rPr>
      <w:rFonts w:cs="Lucida Sans"/>
      <w:i/>
      <w:iCs/>
      <w:sz w:val="24"/>
      <w:szCs w:val="24"/>
    </w:rPr>
  </w:style>
  <w:style w:type="paragraph" w:styleId="Footer">
    <w:name w:val="Footer"/>
    <w:basedOn w:val="Normal"/>
    <w:uiPriority w:val="0"/>
    <w:qFormat/>
    <w:pPr>
      <w:tabs>
        <w:tab w:val="clear" w:pos="720"/>
        <w:tab w:val="center" w:pos="4680" w:leader="none"/>
        <w:tab w:val="right" w:pos="9360" w:leader="none"/>
      </w:tabs>
    </w:pPr>
    <w:rPr/>
  </w:style>
  <w:style w:type="paragraph" w:styleId="Footnote">
    <w:name w:val="Footnote Text"/>
    <w:basedOn w:val="Normal"/>
    <w:uiPriority w:val="0"/>
    <w:qFormat/>
    <w:pPr/>
    <w:rPr>
      <w:sz w:val="20"/>
      <w:szCs w:val="20"/>
    </w:rPr>
  </w:style>
  <w:style w:type="paragraph" w:styleId="Header">
    <w:name w:val="Header"/>
    <w:basedOn w:val="Normal"/>
    <w:uiPriority w:val="0"/>
    <w:qFormat/>
    <w:pPr>
      <w:tabs>
        <w:tab w:val="clear" w:pos="720"/>
        <w:tab w:val="center" w:pos="4680" w:leader="none"/>
        <w:tab w:val="right" w:pos="9360" w:leader="none"/>
      </w:tabs>
    </w:pPr>
    <w:rPr/>
  </w:style>
  <w:style w:type="paragraph" w:styleId="HTMLAddress">
    <w:name w:val="HTML Address"/>
    <w:basedOn w:val="Normal"/>
    <w:uiPriority w:val="0"/>
    <w:qFormat/>
    <w:pPr>
      <w:jc w:val="left"/>
    </w:pPr>
    <w:rPr>
      <w:rFonts w:eastAsia="Times New Roman"/>
      <w:i/>
      <w:iCs/>
    </w:rPr>
  </w:style>
  <w:style w:type="paragraph" w:styleId="NormalWeb">
    <w:name w:val="Normal (Web)"/>
    <w:basedOn w:val="Normal"/>
    <w:uiPriority w:val="0"/>
    <w:qFormat/>
    <w:pPr>
      <w:spacing w:before="280" w:after="280"/>
      <w:jc w:val="left"/>
    </w:pPr>
    <w:rPr>
      <w:rFonts w:eastAsia="Times New Roman"/>
    </w:rPr>
  </w:style>
  <w:style w:type="paragraph" w:styleId="ListParagraph">
    <w:name w:val="List Paragraph"/>
    <w:basedOn w:val="Normal"/>
    <w:uiPriority w:val="0"/>
    <w:qFormat/>
    <w:pPr>
      <w:widowControl w:val="false"/>
      <w:suppressAutoHyphens w:val="true"/>
      <w:overflowPunct w:val="true"/>
      <w:ind w:left="720" w:right="0" w:hanging="0"/>
      <w:jc w:val="left"/>
      <w:textAlignment w:val="baseline"/>
    </w:pPr>
    <w:rPr>
      <w:rFonts w:ascii="Calibri" w:hAnsi="Calibri" w:eastAsia="Times New Roman"/>
      <w:kern w:val="2"/>
      <w:sz w:val="22"/>
      <w:szCs w:val="22"/>
    </w:rPr>
  </w:style>
  <w:style w:type="paragraph" w:styleId="Default" w:customStyle="1">
    <w:name w:val="Default"/>
    <w:uiPriority w:val="0"/>
    <w:qFormat/>
    <w:pPr>
      <w:widowControl/>
      <w:overflowPunct w:val="true"/>
      <w:bidi w:val="0"/>
      <w:jc w:val="left"/>
    </w:pPr>
    <w:rPr>
      <w:rFonts w:ascii="Trade Gothic LT Std" w:hAnsi="Trade Gothic LT Std" w:eastAsia="Times New Roman" w:cs="Trade Gothic LT Std"/>
      <w:color w:val="000000"/>
      <w:kern w:val="0"/>
      <w:sz w:val="24"/>
      <w:szCs w:val="24"/>
      <w:lang w:val="en-US" w:eastAsia="en-US" w:bidi="ar-SA"/>
    </w:rPr>
  </w:style>
  <w:style w:type="paragraph" w:styleId="Storybodytext1" w:customStyle="1">
    <w:name w:val="story-body-text+1"/>
    <w:basedOn w:val="Default"/>
    <w:next w:val="Default"/>
    <w:uiPriority w:val="0"/>
    <w:qFormat/>
    <w:pPr/>
    <w:rPr>
      <w:rFonts w:ascii="Times New Roman" w:hAnsi="Times New Roman" w:cs="Times New Roman"/>
      <w:color w:val="auto"/>
    </w:rPr>
  </w:style>
  <w:style w:type="paragraph" w:styleId="Papertitle" w:customStyle="1">
    <w:name w:val="paper title"/>
    <w:basedOn w:val="Default"/>
    <w:next w:val="Default"/>
    <w:uiPriority w:val="0"/>
    <w:qFormat/>
    <w:pPr/>
    <w:rPr>
      <w:rFonts w:ascii="Times New Roman" w:hAnsi="Times New Roman" w:eastAsia="Calibri" w:cs="Times New Roman"/>
      <w:color w:val="auto"/>
    </w:rPr>
  </w:style>
  <w:style w:type="paragraph" w:styleId="AbstractText" w:customStyle="1">
    <w:name w:val="Abstract Text"/>
    <w:basedOn w:val="Default"/>
    <w:next w:val="Default"/>
    <w:uiPriority w:val="0"/>
    <w:qFormat/>
    <w:pPr/>
    <w:rPr>
      <w:rFonts w:ascii="Times New Roman" w:hAnsi="Times New Roman" w:eastAsia="Calibri" w:cs="Times New Roman"/>
      <w:color w:val="auto"/>
    </w:rPr>
  </w:style>
  <w:style w:type="paragraph" w:styleId="P1" w:customStyle="1">
    <w:name w:val="p1"/>
    <w:basedOn w:val="Normal"/>
    <w:uiPriority w:val="0"/>
    <w:qFormat/>
    <w:pPr>
      <w:spacing w:before="280" w:after="280"/>
      <w:jc w:val="left"/>
    </w:pPr>
    <w:rPr>
      <w:rFonts w:eastAsia="Times New Roman"/>
    </w:rPr>
  </w:style>
  <w:style w:type="paragraph" w:styleId="Css1ygdjhk" w:customStyle="1">
    <w:name w:val="css-1ygdjhk"/>
    <w:basedOn w:val="Normal"/>
    <w:uiPriority w:val="0"/>
    <w:qFormat/>
    <w:pPr>
      <w:spacing w:before="280" w:after="280"/>
      <w:jc w:val="left"/>
    </w:pPr>
    <w:rPr>
      <w:rFonts w:eastAsia="Times New Roman"/>
    </w:rPr>
  </w:style>
  <w:style w:type="paragraph" w:styleId="Text" w:customStyle="1">
    <w:name w:val="Text"/>
    <w:basedOn w:val="Normal"/>
    <w:uiPriority w:val="0"/>
    <w:qFormat/>
    <w:pPr>
      <w:widowControl w:val="false"/>
      <w:suppressAutoHyphens w:val="true"/>
      <w:spacing w:lineRule="atLeast" w:line="292" w:before="113" w:after="0"/>
      <w:ind w:left="0" w:right="0" w:firstLine="454"/>
      <w:textAlignment w:val="center"/>
    </w:pPr>
    <w:rPr>
      <w:rFonts w:ascii="DGMetaSerifScience" w:hAnsi="DGMetaSerifScience" w:eastAsia="DGMetaSerifScience" w:cs="Liberation Serif"/>
      <w:color w:val="000000"/>
      <w:kern w:val="2"/>
      <w:sz w:val="22"/>
      <w:lang w:val="en-GB" w:eastAsia="ar-SA" w:bidi="hi-IN"/>
    </w:rPr>
  </w:style>
  <w:style w:type="paragraph" w:styleId="Titlu41" w:customStyle="1">
    <w:name w:val="Titlu 4.1."/>
    <w:basedOn w:val="Normal"/>
    <w:uiPriority w:val="0"/>
    <w:qFormat/>
    <w:pPr>
      <w:widowControl w:val="false"/>
      <w:suppressAutoHyphens w:val="true"/>
      <w:spacing w:lineRule="auto" w:line="288" w:before="567" w:after="113"/>
      <w:ind w:left="454" w:right="0" w:hanging="0"/>
      <w:jc w:val="left"/>
      <w:textAlignment w:val="center"/>
    </w:pPr>
    <w:rPr>
      <w:rFonts w:ascii="DGMetaScience-Bold" w:hAnsi="DGMetaScience-Bold" w:eastAsia="DGMetaScience-Bold" w:cs="Liberation Serif"/>
      <w:b/>
      <w:color w:val="000000"/>
      <w:kern w:val="2"/>
      <w:sz w:val="30"/>
      <w:lang w:val="en-GB" w:eastAsia="ar-SA" w:bidi="hi-IN"/>
    </w:rPr>
  </w:style>
  <w:style w:type="paragraph" w:styleId="Titel4" w:customStyle="1">
    <w:name w:val="Titel 4"/>
    <w:basedOn w:val="Normal"/>
    <w:uiPriority w:val="0"/>
    <w:qFormat/>
    <w:pPr>
      <w:widowControl w:val="false"/>
      <w:suppressAutoHyphens w:val="true"/>
      <w:spacing w:lineRule="auto" w:line="288" w:before="113" w:after="397"/>
      <w:jc w:val="center"/>
      <w:textAlignment w:val="center"/>
    </w:pPr>
    <w:rPr>
      <w:rFonts w:ascii="DG Meta Science" w:hAnsi="DG Meta Science" w:eastAsia="Calibri" w:cs="DG Meta Science"/>
      <w:b/>
      <w:bCs/>
      <w:color w:val="000000"/>
      <w:sz w:val="38"/>
      <w:szCs w:val="38"/>
    </w:rPr>
  </w:style>
  <w:style w:type="paragraph" w:styleId="Storybodytext" w:customStyle="1">
    <w:name w:val="story-body-text"/>
    <w:basedOn w:val="Normal"/>
    <w:uiPriority w:val="0"/>
    <w:qFormat/>
    <w:pPr>
      <w:spacing w:before="280" w:after="280"/>
      <w:jc w:val="left"/>
    </w:pPr>
    <w:rPr>
      <w:rFonts w:eastAsia="Times New Roman"/>
    </w:rPr>
  </w:style>
  <w:style w:type="paragraph" w:styleId="FrameContents" w:customStyle="1">
    <w:name w:val="Frame Contents"/>
    <w:basedOn w:val="Normal"/>
    <w:uiPriority w:val="0"/>
    <w:qFormat/>
    <w:pPr/>
    <w:rPr/>
  </w:style>
  <w:style w:type="paragraph" w:styleId="TableContents" w:customStyle="1">
    <w:name w:val="Table Contents"/>
    <w:basedOn w:val="Normal"/>
    <w:uiPriority w:val="0"/>
    <w:qFormat/>
    <w:pPr>
      <w:suppressLineNumbers/>
    </w:pPr>
    <w:rPr/>
  </w:style>
  <w:style w:type="paragraph" w:styleId="PreformattedText" w:customStyle="1">
    <w:name w:val="Preformatted Text"/>
    <w:basedOn w:val="Normal"/>
    <w:uiPriority w:val="0"/>
    <w:qFormat/>
    <w:pPr>
      <w:spacing w:before="0" w:after="0"/>
    </w:pPr>
    <w:rPr>
      <w:rFonts w:ascii="Liberation Mono" w:hAnsi="Liberation Mono" w:eastAsia="NSimSun" w:cs="Liberation Mono"/>
      <w:sz w:val="20"/>
      <w:szCs w:val="20"/>
    </w:rPr>
  </w:style>
  <w:style w:type="paragraph" w:styleId="LONormal" w:customStyle="1">
    <w:name w:val="LO-Normal"/>
    <w:uiPriority w:val="0"/>
    <w:qFormat/>
    <w:pPr>
      <w:widowControl w:val="false"/>
      <w:suppressAutoHyphens w:val="true"/>
      <w:overflowPunct w:val="true"/>
      <w:bidi w:val="0"/>
      <w:jc w:val="left"/>
    </w:pPr>
    <w:rPr>
      <w:rFonts w:ascii="Calibri" w:hAnsi="Calibri" w:eastAsia="Calibri" w:cs="Tahoma"/>
      <w:color w:val="auto"/>
      <w:kern w:val="0"/>
      <w:sz w:val="24"/>
      <w:szCs w:val="22"/>
      <w:lang w:val="en-US" w:eastAsia="en-US" w:bidi="ar-SA"/>
    </w:rPr>
  </w:style>
  <w:style w:type="table" w:default="1" w:styleId="7">
    <w:name w:val="Normal Table"/>
    <w:uiPriority w:val="0"/>
    <w:semiHidden/>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unibuc.academia.edu/GabrielVacariu/Analytics/activity/documents" TargetMode="External"/><Relationship Id="rId3" Type="http://schemas.openxmlformats.org/officeDocument/2006/relationships/hyperlink" Target="https://www.researchgate.net/profile/Gabriel_Vacariu/publications" TargetMode="External"/><Relationship Id="rId4" Type="http://schemas.openxmlformats.org/officeDocument/2006/relationships/hyperlink" Target="https://philpeople.org/profiles/gabriel-vacariu/publications" TargetMode="External"/><Relationship Id="rId5" Type="http://schemas.openxmlformats.org/officeDocument/2006/relationships/hyperlink" Target="https://sites.google.com/view/gabriel-vacariu-philosophy/home" TargetMode="External"/><Relationship Id="rId6" Type="http://schemas.openxmlformats.org/officeDocument/2006/relationships/hyperlink" Target="https://www.youtube.com/watch?v=WIBUqYFliCA&amp;t=14s" TargetMode="External"/><Relationship Id="rId7" Type="http://schemas.openxmlformats.org/officeDocument/2006/relationships/hyperlink" Target="http://www.dailygalaxy.com/my_weblog/2015/01/-dark-matter-may-be-another-dimension-or-even-a-major-galactic-transport-system.html" TargetMode="External"/><Relationship Id="rId8" Type="http://schemas.openxmlformats.org/officeDocument/2006/relationships/hyperlink" Target="http://www.dailygalaxy.com/my_weblog/2015/01/-dark-matter-may-be-another-dimension-or-even-a-major-galactic-transport-system.html" TargetMode="External"/><Relationship Id="rId9" Type="http://schemas.openxmlformats.org/officeDocument/2006/relationships/hyperlink" Target="http://cdp.uwo.ca/" TargetMode="External"/><Relationship Id="rId10" Type="http://schemas.openxmlformats.org/officeDocument/2006/relationships/hyperlink" Target="http://www.uwo.ca/" TargetMode="External"/><Relationship Id="rId11" Type="http://schemas.openxmlformats.org/officeDocument/2006/relationships/hyperlink" Target="https://www.mindsightinstitute.com/" TargetMode="External"/><Relationship Id="rId12" Type="http://schemas.openxmlformats.org/officeDocument/2006/relationships/hyperlink" Target="https://philpapers.org/s/Markku Kein&#228;nen" TargetMode="External"/><Relationship Id="rId13" Type="http://schemas.openxmlformats.org/officeDocument/2006/relationships/hyperlink" Target="https://philpapers.org/s/Antti Keskinen" TargetMode="External"/><Relationship Id="rId14" Type="http://schemas.openxmlformats.org/officeDocument/2006/relationships/hyperlink" Target="https://philpapers.org/s/Jani Hakkarainen" TargetMode="External"/><Relationship Id="rId15" Type="http://schemas.openxmlformats.org/officeDocument/2006/relationships/hyperlink" Target="https://philpapers.org/s/David Mark Kovacs" TargetMode="External"/><Relationship Id="rId16" Type="http://schemas.openxmlformats.org/officeDocument/2006/relationships/hyperlink" Target="http://humanities1.tau.ac.il/philosophy_eng/" TargetMode="External"/><Relationship Id="rId17" Type="http://schemas.openxmlformats.org/officeDocument/2006/relationships/hyperlink" Target="https://philpapers.org/go.pl?id=KOVTDT&amp;proxyId=&amp;u=http%3A%2F%2Fdoi.org%2F10.1093%2Fpq%2Fpqy003" TargetMode="External"/><Relationship Id="rId18" Type="http://schemas.openxmlformats.org/officeDocument/2006/relationships/hyperlink" Target="https://philpapers.org/asearch.pl?pub=795" TargetMode="External"/><Relationship Id="rId19" Type="http://schemas.openxmlformats.org/officeDocument/2006/relationships/hyperlink" Target="https://www.theatlantic.com/author/philip-ball/" TargetMode="External"/><Relationship Id="rId20" Type="http://schemas.openxmlformats.org/officeDocument/2006/relationships/hyperlink" Target="https://www.indiebound.org/book/9780226558387" TargetMode="External"/><Relationship Id="rId21" Type="http://schemas.openxmlformats.org/officeDocument/2006/relationships/hyperlink" Target="https://arxiv.org/search/quant-ph?searchtype=author&amp;query=Ara&#250;jo%2C+M" TargetMode="External"/><Relationship Id="rId22" Type="http://schemas.openxmlformats.org/officeDocument/2006/relationships/hyperlink" Target="https://arxiv.org/search/quant-ph?searchtype=author&amp;query=Ara&#250;jo%2C+M" TargetMode="External"/><Relationship Id="rId23" Type="http://schemas.openxmlformats.org/officeDocument/2006/relationships/hyperlink" Target="https://arxiv.org/search/quant-ph?searchtype=author&amp;query=Branciard%2C+C" TargetMode="External"/><Relationship Id="rId24" Type="http://schemas.openxmlformats.org/officeDocument/2006/relationships/hyperlink" Target="https://arxiv.org/search/quant-ph?searchtype=author&amp;query=Costa%2C+F" TargetMode="External"/><Relationship Id="rId25" Type="http://schemas.openxmlformats.org/officeDocument/2006/relationships/hyperlink" Target="https://arxiv.org/search/quant-ph?searchtype=author&amp;query=Costa%2C+F" TargetMode="External"/><Relationship Id="rId26" Type="http://schemas.openxmlformats.org/officeDocument/2006/relationships/hyperlink" Target="https://arxiv.org/search/quant-ph?searchtype=author&amp;query=Feix%2C+A" TargetMode="External"/><Relationship Id="rId27" Type="http://schemas.openxmlformats.org/officeDocument/2006/relationships/hyperlink" Target="https://arxiv.org/search/quant-ph?searchtype=author&amp;query=Giarmatzi%2C+C" TargetMode="External"/><Relationship Id="rId28" Type="http://schemas.openxmlformats.org/officeDocument/2006/relationships/hyperlink" Target="https://arxiv.org/search/quant-ph?searchtype=author&amp;query=Brukner%2C+&#268;" TargetMode="External"/><Relationship Id="rId29" Type="http://schemas.openxmlformats.org/officeDocument/2006/relationships/hyperlink" Target="https://arxiv.org/search/quant-ph?searchtype=author&amp;query=Brukner%2C+&#268;" TargetMode="External"/><Relationship Id="rId30" Type="http://schemas.openxmlformats.org/officeDocument/2006/relationships/hyperlink" Target="https://arxiv.org/abs/1506.03776v2" TargetMode="External"/><Relationship Id="rId31" Type="http://schemas.openxmlformats.org/officeDocument/2006/relationships/hyperlink" Target="https://arxiv.org/abs/0912.0195v4" TargetMode="External"/><Relationship Id="rId32" Type="http://schemas.openxmlformats.org/officeDocument/2006/relationships/hyperlink" Target="http://filosofie.unibuc.ro/gvacariu/EDWs printed thesis 2007-posted.pdf" TargetMode="External"/><Relationship Id="rId33" Type="http://schemas.openxmlformats.org/officeDocument/2006/relationships/hyperlink" Target="https://www.unsworks.unsw.edu.au/primo-explore/fulldisplay?vid=UNSWORKS&amp;docid=unsworks_5143&amp;context=L" TargetMode="External"/><Relationship Id="rId34" Type="http://schemas.openxmlformats.org/officeDocument/2006/relationships/hyperlink" Target="https://sites.google.com/view/gabriel-vacariu-philosophy/home" TargetMode="External"/><Relationship Id="rId35" Type="http://schemas.openxmlformats.org/officeDocument/2006/relationships/hyperlink" Target="http://filosofie.unibuc.ro/gabriel_vacariu/" TargetMode="External"/><Relationship Id="rId36" Type="http://schemas.openxmlformats.org/officeDocument/2006/relationships/hyperlink" Target="https://www.researchgate.net/profile/Gabriel_Vacariu/publications" TargetMode="External"/><Relationship Id="rId37" Type="http://schemas.openxmlformats.org/officeDocument/2006/relationships/hyperlink" Target="https://l.facebook.com/l.php?u=https%3A%2F%2Fwww.springer.com%2Fgp%2Fbook%2F9783658104436%3Ffbclid%3DIwAR18ztRKGTfQbjOjzHUiAkQCt3ORycApnJzI975EaL5gFFm-_L8LY_p0aFQ&amp;h=AT3fZNjB3usFQH3-aAbM_1iyaPfwN87uUU1VF0wCEs1V5wx4FrvyHsg8-4qXRseEL2hnck5B-Vbx2d-t7duc-hqIC5m8ugQekvugaXC8FT9ZgXIiLfRDkjsaRoM-0Sobjg" TargetMode="External"/><Relationship Id="rId38" Type="http://schemas.openxmlformats.org/officeDocument/2006/relationships/hyperlink" Target="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argetMode="External"/><Relationship Id="rId39" Type="http://schemas.openxmlformats.org/officeDocument/2006/relationships/hyperlink" Target="https://www.youtube.com/watch?v=QCTaq3LVxHo&amp;t=599s" TargetMode="External"/><Relationship Id="rId40" Type="http://schemas.openxmlformats.org/officeDocument/2006/relationships/hyperlink" Target="https://www.youtube.com/watch?v=oWxq8og-vss" TargetMode="External"/><Relationship Id="rId41" Type="http://schemas.openxmlformats.org/officeDocument/2006/relationships/hyperlink" Target="https://www.youtube.com/watch?v=oWxq8og-vss&amp;fbclid=IwAR3Nb95fgcvnSXu1JfH2Ojk_6h3XF2AqoSNLiqA9f6zrv2QOEdy-sgR0X4w" TargetMode="External"/><Relationship Id="rId42" Type="http://schemas.openxmlformats.org/officeDocument/2006/relationships/hyperlink" Target="https://www.youtube.com/watch?v=oWxq8og-vss&amp;fbclid=IwAR3Nb95fgcvnSXu1JfH2Ojk_6h3XF2AqoSNLiqA9f6zrv2QOEdy-sgR0X4w" TargetMode="External"/><Relationship Id="rId43" Type="http://schemas.openxmlformats.org/officeDocument/2006/relationships/hyperlink" Target="https://www.intechopen.com/search?term=cosmology 2020" TargetMode="External"/><Relationship Id="rId44" Type="http://schemas.openxmlformats.org/officeDocument/2006/relationships/hyperlink" Target="https://www.researchgate.net/profile/Gabriel_Vacariu/publications" TargetMode="External"/><Relationship Id="rId45" Type="http://schemas.openxmlformats.org/officeDocument/2006/relationships/hyperlink" Target="https://sites.google.com/view/gabriel-vacariu-philosophy/homethe" TargetMode="External"/><Relationship Id="rId46" Type="http://schemas.openxmlformats.org/officeDocument/2006/relationships/hyperlink" Target="https://www.academia.edu/39497663/_June_2019_to_2014_The_UNBELIEVABLE_similarities_between_the_ideas_of_some_people_2011-2016_and_my_ideas_2002-2008_in_physics_quantum_mechanics_cosmology_cognitive_neuroscience_philosophy_of_mind_and_philosophy" TargetMode="External"/><Relationship Id="rId47" Type="http://schemas.openxmlformats.org/officeDocument/2006/relationships/hyperlink" Target="https://www.academia.edu/39497663/_June_2019_to_2014_The_UNBELIEVABLE_similarities_between_the_ideas_of_some_people_2011-2016_and_my_ideas_2002-2008_in_physics_quantum_mechanics_cosmology_cognitive_neuroscience_philosophy_of_mind_and_philosophy" TargetMode="External"/><Relationship Id="rId48" Type="http://schemas.openxmlformats.org/officeDocument/2006/relationships/hyperlink" Target="https://www.researchgate.net/publication/333673721_June_2019_to_2014_The_UNBELIEVABLE_similarities_between_the_ideas_of_some_people_2011-2016_and_my_ideas_2002-2008_in_physics_quantum_mechanics_cosmology_cognitive_neuroscience_philosophy_of_mind_and_p" TargetMode="External"/><Relationship Id="rId49" Type="http://schemas.openxmlformats.org/officeDocument/2006/relationships/footer" Target="footer1.xml"/><Relationship Id="rId50" Type="http://schemas.openxmlformats.org/officeDocument/2006/relationships/hyperlink" Target="https://www.unsworks.unsw.edu.au/primo-explore/fulldisplay?vid=UNSWORKS&amp;docid=unsworks_5143&amp;context=L" TargetMode="External"/><Relationship Id="rId51" Type="http://schemas.openxmlformats.org/officeDocument/2006/relationships/hyperlink" Target="http://filosofie.unibuc.ro/gabriel_vacariu/" TargetMode="External"/><Relationship Id="rId52" Type="http://schemas.openxmlformats.org/officeDocument/2006/relationships/hyperlink" Target="https://www.researchgate.net/profile/Gabriel_Vacariu/publications" TargetMode="External"/><Relationship Id="rId53" Type="http://schemas.openxmlformats.org/officeDocument/2006/relationships/hyperlink" Target="https://www.academia.edu/s/0c1502ea90" TargetMode="External"/><Relationship Id="rId54" Type="http://schemas.openxmlformats.org/officeDocument/2006/relationships/hyperlink" Target="https://www.researchgate.net/publication/340621608_April_2020_2014_Gabriel_Vacariu_UNBELIEVABLE_similarities_odf" TargetMode="External"/><Relationship Id="rId55" Type="http://schemas.openxmlformats.org/officeDocument/2006/relationships/hyperlink" Target="https://philpapers.org/rec/VACAT-2" TargetMode="External"/><Relationship Id="rId56" Type="http://schemas.openxmlformats.org/officeDocument/2006/relationships/hyperlink" Target="https://sites.google.com/view/gabrielvacariuphilosophybuchar/home" TargetMode="External"/><Relationship Id="rId57" Type="http://schemas.openxmlformats.org/officeDocument/2006/relationships/hyperlink" Target="https://www.youtube.com/watch?v=14Q2mPTa4to&amp;ab_channel=PretamKumarDas" TargetMode="External"/><Relationship Id="rId58" Type="http://schemas.openxmlformats.org/officeDocument/2006/relationships/hyperlink" Target="https://www.springer.com/gp/book/9783658104436" TargetMode="External"/><Relationship Id="rId59" Type="http://schemas.openxmlformats.org/officeDocument/2006/relationships/hyperlink" Target="http://filosofie.unibuc.ro/wp-content/uploads/About-complain-regarding-Markus-Gabriels-plagiarism-Bonn-University-notification.pdf" TargetMode="External"/><Relationship Id="rId60" Type="http://schemas.openxmlformats.org/officeDocument/2006/relationships/image" Target="media/image1.jpeg"/><Relationship Id="rId61" Type="http://schemas.openxmlformats.org/officeDocument/2006/relationships/image" Target="media/image2.jpeg"/><Relationship Id="rId62" Type="http://schemas.openxmlformats.org/officeDocument/2006/relationships/hyperlink" Target="https://www.facebook.com/elcircodelamega?fref=photo" TargetMode="External"/><Relationship Id="rId63" Type="http://schemas.openxmlformats.org/officeDocument/2006/relationships/image" Target="media/image3.jpeg"/><Relationship Id="rId64" Type="http://schemas.openxmlformats.org/officeDocument/2006/relationships/image" Target="media/image4.jpeg"/><Relationship Id="rId65" Type="http://schemas.openxmlformats.org/officeDocument/2006/relationships/hyperlink" Target="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argetMode="External"/><Relationship Id="rId66" Type="http://schemas.openxmlformats.org/officeDocument/2006/relationships/hyperlink" Target="http://bigthink.com/videos/frank-wilczek-on-physics-and-understanding-the-mind" TargetMode="External"/><Relationship Id="rId67" Type="http://schemas.openxmlformats.org/officeDocument/2006/relationships/hyperlink" Target="https://www.youtube.com/watch?v=IJ0uPkG-pr4" TargetMode="External"/><Relationship Id="rId68" Type="http://schemas.openxmlformats.org/officeDocument/2006/relationships/hyperlink" Target="https://www.youtube.com/watch?v=YlRT8Z2cXlY" TargetMode="External"/><Relationship Id="rId69" Type="http://schemas.openxmlformats.org/officeDocument/2006/relationships/hyperlink" Target="https://www.youtube.com/watch?v=jXFbtDR7IF4" TargetMode="External"/><Relationship Id="rId70" Type="http://schemas.openxmlformats.org/officeDocument/2006/relationships/hyperlink" Target="https://www.youtube.com/watch?v=1nwB6yXIz90" TargetMode="External"/><Relationship Id="rId71" Type="http://schemas.openxmlformats.org/officeDocument/2006/relationships/hyperlink" Target="https://www.youtube.com/watch?v=xNWJY34ew4A" TargetMode="External"/><Relationship Id="rId72" Type="http://schemas.openxmlformats.org/officeDocument/2006/relationships/hyperlink" Target="https://www.youtube.com/watch?v=E0hvh4NqgpE" TargetMode="External"/><Relationship Id="rId73" Type="http://schemas.openxmlformats.org/officeDocument/2006/relationships/hyperlink" Target="https://www.theguardian.com/books/2018/apr/14/carlo-rovelli-exploding-commonsense-notions-order-of-time-interview" TargetMode="External"/><Relationship Id="rId74" Type="http://schemas.openxmlformats.org/officeDocument/2006/relationships/hyperlink" Target="https://physicsworld.com/a/carlo-rovelli-the-author-of-the-order-of-time-discusses-perhaps-the-greatest-mystery/" TargetMode="External"/><Relationship Id="rId75" Type="http://schemas.openxmlformats.org/officeDocument/2006/relationships/hyperlink" Target="https://www.nature.com/articles/d41586-018-04558-7" TargetMode="External"/><Relationship Id="rId76" Type="http://schemas.openxmlformats.org/officeDocument/2006/relationships/hyperlink" Target="http://emilkirkegaard.dk/en/wp-content/uploads/every-thing-must-go.pdf" TargetMode="External"/><Relationship Id="rId77" Type="http://schemas.openxmlformats.org/officeDocument/2006/relationships/hyperlink" Target="http://emilkirkegaard.dk/en/wp-content/uploads/every-thing-must-go.pdf" TargetMode="External"/><Relationship Id="rId78" Type="http://schemas.openxmlformats.org/officeDocument/2006/relationships/hyperlink" Target="http://emilkirkegaard.dk/en/wp-content/uploads/every-thing-must-go.pdf" TargetMode="External"/><Relationship Id="rId79" Type="http://schemas.openxmlformats.org/officeDocument/2006/relationships/hyperlink" Target="http://filosofie.unibuc.ro/gvacariu/IMG.pdf" TargetMode="External"/><Relationship Id="rId80" Type="http://schemas.openxmlformats.org/officeDocument/2006/relationships/hyperlink" Target="http://filosofie.unibuc.ro/cv_gabriel_vacariu/" TargetMode="External"/><Relationship Id="rId81" Type="http://schemas.openxmlformats.org/officeDocument/2006/relationships/hyperlink" Target="http://www.dailygalaxy.com/my_weblog/2015/01/-dark-matter-may-be-another-dimension-or-even-a-major-galactic-transport-system.html" TargetMode="External"/><Relationship Id="rId82" Type="http://schemas.openxmlformats.org/officeDocument/2006/relationships/hyperlink" Target="http://www.dailygalaxy.com/my_weblog/2015/01/-dark-matter-may-be-another-dimension-or-even-a-major-galactic-transport-system.html" TargetMode="External"/><Relationship Id="rId83" Type="http://schemas.openxmlformats.org/officeDocument/2006/relationships/hyperlink" Target="http://www.dailygalaxy.com/my_weblog/2015/01/-dark-matter-may-be-another-dimension-or-even-a-major-galactic-transport-system.html" TargetMode="External"/><Relationship Id="rId84" Type="http://schemas.openxmlformats.org/officeDocument/2006/relationships/hyperlink" Target="https://aeon.co/essays/materialism-alone-cannot-explain-the-riddle-of-consciousness?utm_content=bufferd2006&amp;utm_medium=social&amp;utm_source=facebook.com&amp;utm_campaign=buffer" TargetMode="External"/><Relationship Id="rId85" Type="http://schemas.openxmlformats.org/officeDocument/2006/relationships/hyperlink" Target="https://arxiv.org/abs/1301.1069" TargetMode="External"/><Relationship Id="rId86" Type="http://schemas.openxmlformats.org/officeDocument/2006/relationships/hyperlink" Target="http://philsci-archive.pitt.edu/13443/1/THIRD VERSION de Ronde - Qunatum Superpositions - FOS 2017.pdf" TargetMode="External"/><Relationship Id="rId87" Type="http://schemas.openxmlformats.org/officeDocument/2006/relationships/hyperlink" Target="http://dx.doi/" TargetMode="External"/><Relationship Id="rId88" Type="http://schemas.openxmlformats.org/officeDocument/2006/relationships/hyperlink" Target="http://www.multitrust.org/" TargetMode="External"/><Relationship Id="rId89" Type="http://schemas.openxmlformats.org/officeDocument/2006/relationships/hyperlink" Target="https://www.academia.edu/2359461/_2013_A_Rediscovery_of_Scientific_Collections_as_Material_Heritage_Studies_in_History_and_Philosophy_of_Science_Part_A" TargetMode="External"/><Relationship Id="rId90" Type="http://schemas.openxmlformats.org/officeDocument/2006/relationships/hyperlink" Target="https://www.academia.edu/5263066/_2013_University_Collections_as_Archives_of_Scientific_Practice_-_Revista_Electr&#243;nica_de_Fuentes_y_Archivos" TargetMode="External"/><Relationship Id="rId91" Type="http://schemas.openxmlformats.org/officeDocument/2006/relationships/hyperlink" Target="https://www.academia.edu/5263092/_2014_Hysteria_Race_and_Phlogiston._A_Model_of_Ontological_Elimination_in_the_Human_Sciences_-_Studies_in_the_History_and_Philosophy_of_Science_C" TargetMode="External"/><Relationship Id="rId92" Type="http://schemas.openxmlformats.org/officeDocument/2006/relationships/hyperlink" Target="https://www.academia.edu/8233573/_2015_Against_the_New_Metaphysics_of_Race_Philosophy_of_Science" TargetMode="External"/><Relationship Id="rId93" Type="http://schemas.openxmlformats.org/officeDocument/2006/relationships/footer" Target="footer2.xml"/><Relationship Id="rId94" Type="http://schemas.openxmlformats.org/officeDocument/2006/relationships/hyperlink" Target="http://cdp.uwo.ca/" TargetMode="External"/><Relationship Id="rId95" Type="http://schemas.openxmlformats.org/officeDocument/2006/relationships/hyperlink" Target="http://www.uwo.ca/" TargetMode="External"/><Relationship Id="rId96" Type="http://schemas.openxmlformats.org/officeDocument/2006/relationships/hyperlink" Target="https://www.mindsightinstitute.com/" TargetMode="External"/><Relationship Id="rId97" Type="http://schemas.openxmlformats.org/officeDocument/2006/relationships/hyperlink" Target="https://www.amazon.com/Mind-Journey-Heart-Being-Human/dp/039371053X?tag=quartz07-20" TargetMode="External"/><Relationship Id="rId98" Type="http://schemas.openxmlformats.org/officeDocument/2006/relationships/hyperlink" Target="http://qz.com/866352/scientists-say-your-mind-isnt-confined-to-your-brain-or-even-your-body/" TargetMode="External"/><Relationship Id="rId99" Type="http://schemas.openxmlformats.org/officeDocument/2006/relationships/hyperlink" Target="https://www.amazon.com/Mind-Journey-Heart-Being-Human/dp/039371053X?tag=quartz07-20" TargetMode="External"/><Relationship Id="rId100" Type="http://schemas.openxmlformats.org/officeDocument/2006/relationships/hyperlink" Target="http://filosofie.unibuc.ro/cv_gabriel_vacariu" TargetMode="External"/><Relationship Id="rId101" Type="http://schemas.openxmlformats.org/officeDocument/2006/relationships/hyperlink" Target="https://www.youtube.com/watch?v=hzvesGB_TI0&amp;feature=youtube_gdata_player" TargetMode="External"/><Relationship Id="rId102" Type="http://schemas.openxmlformats.org/officeDocument/2006/relationships/image" Target="media/image5.png"/><Relationship Id="rId103" Type="http://schemas.openxmlformats.org/officeDocument/2006/relationships/image" Target="media/image6.wmf"/><Relationship Id="rId104" Type="http://schemas.openxmlformats.org/officeDocument/2006/relationships/image" Target="media/image7.wmf"/><Relationship Id="rId105" Type="http://schemas.openxmlformats.org/officeDocument/2006/relationships/image" Target="media/image8.wmf"/><Relationship Id="rId106" Type="http://schemas.openxmlformats.org/officeDocument/2006/relationships/image" Target="media/image9.wmf"/><Relationship Id="rId107" Type="http://schemas.openxmlformats.org/officeDocument/2006/relationships/image" Target="media/image10.wmf"/><Relationship Id="rId108" Type="http://schemas.openxmlformats.org/officeDocument/2006/relationships/image" Target="media/image11.wmf"/><Relationship Id="rId109" Type="http://schemas.openxmlformats.org/officeDocument/2006/relationships/image" Target="media/image12.wmf"/><Relationship Id="rId110" Type="http://schemas.openxmlformats.org/officeDocument/2006/relationships/image" Target="media/image13.wmf"/><Relationship Id="rId111" Type="http://schemas.openxmlformats.org/officeDocument/2006/relationships/image" Target="media/image14.wmf"/><Relationship Id="rId112" Type="http://schemas.openxmlformats.org/officeDocument/2006/relationships/image" Target="media/image15.wmf"/><Relationship Id="rId113" Type="http://schemas.openxmlformats.org/officeDocument/2006/relationships/image" Target="media/image16.wmf"/><Relationship Id="rId114" Type="http://schemas.openxmlformats.org/officeDocument/2006/relationships/image" Target="media/image17.wmf"/><Relationship Id="rId115" Type="http://schemas.openxmlformats.org/officeDocument/2006/relationships/image" Target="media/image18.wmf"/><Relationship Id="rId116" Type="http://schemas.openxmlformats.org/officeDocument/2006/relationships/image" Target="media/image19.wmf"/><Relationship Id="rId117" Type="http://schemas.openxmlformats.org/officeDocument/2006/relationships/image" Target="media/image20.wmf"/><Relationship Id="rId118" Type="http://schemas.openxmlformats.org/officeDocument/2006/relationships/image" Target="media/image21.wmf"/><Relationship Id="rId119" Type="http://schemas.openxmlformats.org/officeDocument/2006/relationships/image" Target="media/image22.wmf"/><Relationship Id="rId120" Type="http://schemas.openxmlformats.org/officeDocument/2006/relationships/image" Target="media/image23.wmf"/><Relationship Id="rId121" Type="http://schemas.openxmlformats.org/officeDocument/2006/relationships/image" Target="media/image24.wmf"/><Relationship Id="rId122" Type="http://schemas.openxmlformats.org/officeDocument/2006/relationships/image" Target="media/image25.wmf"/><Relationship Id="rId123" Type="http://schemas.openxmlformats.org/officeDocument/2006/relationships/image" Target="media/image26.wmf"/><Relationship Id="rId124" Type="http://schemas.openxmlformats.org/officeDocument/2006/relationships/image" Target="media/image27.wmf"/><Relationship Id="rId125" Type="http://schemas.openxmlformats.org/officeDocument/2006/relationships/image" Target="media/image28.wmf"/><Relationship Id="rId126" Type="http://schemas.openxmlformats.org/officeDocument/2006/relationships/image" Target="media/image29.wmf"/><Relationship Id="rId127" Type="http://schemas.openxmlformats.org/officeDocument/2006/relationships/image" Target="media/image30.wmf"/><Relationship Id="rId128" Type="http://schemas.openxmlformats.org/officeDocument/2006/relationships/image" Target="media/image31.wmf"/><Relationship Id="rId129" Type="http://schemas.openxmlformats.org/officeDocument/2006/relationships/hyperlink" Target="https://philpapers.org/s/Markku Kein&#228;nen" TargetMode="External"/><Relationship Id="rId130" Type="http://schemas.openxmlformats.org/officeDocument/2006/relationships/hyperlink" Target="https://philpapers.org/s/Antti Keskinen" TargetMode="External"/><Relationship Id="rId131" Type="http://schemas.openxmlformats.org/officeDocument/2006/relationships/hyperlink" Target="https://philpapers.org/s/Jani Hakkarainen" TargetMode="External"/><Relationship Id="rId132" Type="http://schemas.openxmlformats.org/officeDocument/2006/relationships/hyperlink" Target="https://philpapers.org/rec/HAKMCR?ref=mail" TargetMode="External"/><Relationship Id="rId133" Type="http://schemas.openxmlformats.org/officeDocument/2006/relationships/hyperlink" Target="https://philpapers.org/s/Markku Kein&#228;nen" TargetMode="External"/><Relationship Id="rId134" Type="http://schemas.openxmlformats.org/officeDocument/2006/relationships/hyperlink" Target="https://philpapers.org/s/Antti Keskinen" TargetMode="External"/><Relationship Id="rId135" Type="http://schemas.openxmlformats.org/officeDocument/2006/relationships/hyperlink" Target="https://philpapers.org/s/Jani Hakkarainen" TargetMode="External"/><Relationship Id="rId136" Type="http://schemas.openxmlformats.org/officeDocument/2006/relationships/hyperlink" Target="../../../../C:%5CUsers%5Cmvaca%5CDesktop%5Christine%20Horner" TargetMode="External"/><Relationship Id="rId137" Type="http://schemas.openxmlformats.org/officeDocument/2006/relationships/hyperlink" Target="http://www.collective-evolution.com/category/consciousness/" TargetMode="External"/><Relationship Id="rId138" Type="http://schemas.openxmlformats.org/officeDocument/2006/relationships/hyperlink" Target="https://philpapers.org/s/David Mark Kovacs" TargetMode="External"/><Relationship Id="rId139" Type="http://schemas.openxmlformats.org/officeDocument/2006/relationships/hyperlink" Target="http://humanities1.tau.ac.il/philosophy_eng/" TargetMode="External"/><Relationship Id="rId140" Type="http://schemas.openxmlformats.org/officeDocument/2006/relationships/hyperlink" Target="https://philpapers.org/go.pl?id=KOVTDT&amp;proxyId=&amp;u=http%3A%2F%2Fdoi.org%2F10.1093%2Fpq%2Fpqy003" TargetMode="External"/><Relationship Id="rId141" Type="http://schemas.openxmlformats.org/officeDocument/2006/relationships/hyperlink" Target="https://philpapers.org/asearch.pl?pub=795" TargetMode="External"/><Relationship Id="rId142" Type="http://schemas.openxmlformats.org/officeDocument/2006/relationships/hyperlink" Target="https://philpapers.org/rec/KOVTDT?ref=mail" TargetMode="External"/><Relationship Id="rId143" Type="http://schemas.openxmlformats.org/officeDocument/2006/relationships/hyperlink" Target="http://filosofie.unibuc.ro/gvacariu/Did Markus Gabriel (Bonn Univ.) plagiarize my ideas.pdf" TargetMode="External"/><Relationship Id="rId144" Type="http://schemas.openxmlformats.org/officeDocument/2006/relationships/hyperlink" Target="http://www.youtube.com/watch?v=WLpzaaSE8L8" TargetMode="External"/><Relationship Id="rId145" Type="http://schemas.openxmlformats.org/officeDocument/2006/relationships/hyperlink" Target="http://www.youtube.com/watch?v=hzvesGB_TI0" TargetMode="External"/><Relationship Id="rId146" Type="http://schemas.openxmlformats.org/officeDocument/2006/relationships/hyperlink" Target="http://www.metajournal.org/" TargetMode="External"/><Relationship Id="rId147" Type="http://schemas.openxmlformats.org/officeDocument/2006/relationships/hyperlink" Target="http://filosofie.unibuc.ro/wp-content/uploads/Markus-Gabriel-Iassy1.doc" TargetMode="External"/><Relationship Id="rId148" Type="http://schemas.openxmlformats.org/officeDocument/2006/relationships/hyperlink" Target="http://filosofie.unibuc.ro/wp-content/uploads/About-complain-regarding-Markus-Gabriels-plagiarism-Bonn-University-notification.pdf" TargetMode="External"/><Relationship Id="rId149" Type="http://schemas.openxmlformats.org/officeDocument/2006/relationships/hyperlink" Target="http://filosofie.unibuc.ro/wp-content/uploads/Georg-Northoffs-ideas-from-2011-2014-are-UNBELIEVABLE-similar-to-my-ideas-from-2005-and-20081.doc" TargetMode="External"/><Relationship Id="rId150" Type="http://schemas.openxmlformats.org/officeDocument/2006/relationships/hyperlink" Target="http://filosofie.unibuc.ro/wp-content/uploads/Answer-from-Oxford-University-Press.doc" TargetMode="External"/><Relationship Id="rId151" Type="http://schemas.openxmlformats.org/officeDocument/2006/relationships/hyperlink" Target="http://filosofie.unibuc.ro/wp-content/uploads/Few-words-about-quantum-mechanics-from-Vacariu-2014.pdf" TargetMode="External"/><Relationship Id="rId152" Type="http://schemas.openxmlformats.org/officeDocument/2006/relationships/hyperlink" Target="http://filosofie.unibuc.ro/wp-content/uploads/2014-About-Ionicioius-thought-experiment-on-quantum-mechanics-2011-and-my-EDWs-perspective-2008.pdf" TargetMode="External"/><Relationship Id="rId153" Type="http://schemas.openxmlformats.org/officeDocument/2006/relationships/hyperlink" Target="http://filosofie.unibuc.ro/wp-content/uploads/Did-Wolfram-Schommers-plagiarize-my-ideas.docx" TargetMode="External"/><Relationship Id="rId154" Type="http://schemas.openxmlformats.org/officeDocument/2006/relationships/hyperlink" Target="http://filosofie.unibuc.ro/wp-content/uploads/Christoff-Kalina-et-al.-2011.doc" TargetMode="External"/><Relationship Id="rId155" Type="http://schemas.openxmlformats.org/officeDocument/2006/relationships/hyperlink" Target="http://filosofie.unibuc.ro/wp-content/uploads/Elisabetta-Caffau-June-2015-Pikovski-et-al.-June-20151.doc" TargetMode="External"/><Relationship Id="rId156" Type="http://schemas.openxmlformats.org/officeDocument/2006/relationships/hyperlink" Target="http://filosofie.unibuc.ro/wp-content/uploads/Alexey-Alyushin.doc" TargetMode="External"/><Relationship Id="rId157" Type="http://schemas.openxmlformats.org/officeDocument/2006/relationships/hyperlink" Target="http://filosofie.unibuc.ro/wp-content/uploads/2015-Gabriel-Vacariu-unbelievable-similarities-between-my-ideas-2005-20081.doc" TargetMode="External"/><Relationship Id="rId158" Type="http://schemas.openxmlformats.org/officeDocument/2006/relationships/hyperlink" Target="https://www.youtube.com/watch?v=hzvesGB_TI0&amp;amp;amp%3Bfeature=youtube_gdata_player" TargetMode="External"/><Relationship Id="rId159" Type="http://schemas.openxmlformats.org/officeDocument/2006/relationships/hyperlink" Target="https://www.youtube.com/watch?v=hzvesGB_TI0&amp;amp;amp%3Bfeature=youtube_gdata_player" TargetMode="External"/><Relationship Id="rId160" Type="http://schemas.openxmlformats.org/officeDocument/2006/relationships/hyperlink" Target="https://www.youtube.com/watch?v=hzvesGB_TI0&amp;amp;amp%3Bfeature=youtube_gdata_player" TargetMode="External"/><Relationship Id="rId161" Type="http://schemas.openxmlformats.org/officeDocument/2006/relationships/hyperlink" Target="https://www.youtube.com/watch?v=hzvesGB_TI0&amp;amp;amp%3Bfeature=youtube_gdata_player" TargetMode="External"/><Relationship Id="rId162" Type="http://schemas.openxmlformats.org/officeDocument/2006/relationships/hyperlink" Target="https://www.youtube.com/watch?v=hzvesGB_TI0&amp;amp;amp%3Bfeature=youtube_gdata_player" TargetMode="External"/><Relationship Id="rId163" Type="http://schemas.openxmlformats.org/officeDocument/2006/relationships/hyperlink" Target="https://www.youtube.com/watch?v=hzvesGB_TI0&amp;amp;amp%3Bfeature=youtube_gdata_player" TargetMode="External"/><Relationship Id="rId164" Type="http://schemas.openxmlformats.org/officeDocument/2006/relationships/hyperlink" Target="https://www.youtube.com/watch?v=hzvesGB_TI0&amp;amp;amp%3Bfeature=youtube_gdata_player" TargetMode="External"/><Relationship Id="rId165" Type="http://schemas.openxmlformats.org/officeDocument/2006/relationships/hyperlink" Target="https://www.youtube.com/watch?v=hzvesGB_TI0&amp;amp;amp%3Bfeature=youtube_gdata_player" TargetMode="External"/><Relationship Id="rId166" Type="http://schemas.openxmlformats.org/officeDocument/2006/relationships/hyperlink" Target="https://www.youtube.com/watch?v=hzvesGB_TI0&amp;amp;amp%3Bfeature=youtube_gdata_player" TargetMode="External"/><Relationship Id="rId167" Type="http://schemas.openxmlformats.org/officeDocument/2006/relationships/hyperlink" Target="https://www.youtube.com/watch?v=hzvesGB_TI0&amp;amp;amp%3Bfeature=youtube_gdata_player" TargetMode="External"/><Relationship Id="rId168" Type="http://schemas.openxmlformats.org/officeDocument/2006/relationships/hyperlink" Target="https://www.youtube.com/watch?v=hzvesGB_TI0&amp;amp;amp%3Bfeature=youtube_gdata_player" TargetMode="External"/><Relationship Id="rId169" Type="http://schemas.openxmlformats.org/officeDocument/2006/relationships/hyperlink" Target="https://www.youtube.com/watch?v=hzvesGB_TI0&amp;amp;amp%3Bfeature=youtube_gdata_player" TargetMode="External"/><Relationship Id="rId170" Type="http://schemas.openxmlformats.org/officeDocument/2006/relationships/hyperlink" Target="https://www.youtube.com/watch?v=hzvesGB_TI0&amp;amp;amp%3Bfeature=youtube_gdata_player" TargetMode="External"/><Relationship Id="rId171" Type="http://schemas.openxmlformats.org/officeDocument/2006/relationships/hyperlink" Target="https://www.youtube.com/watch?v=hzvesGB_TI0&amp;amp;amp%3Bfeature=youtube_gdata_player" TargetMode="External"/><Relationship Id="rId172" Type="http://schemas.openxmlformats.org/officeDocument/2006/relationships/hyperlink" Target="https://www.youtube.com/watch?v=hzvesGB_TI0&amp;amp;amp%3Bfeature=youtube_gdata_player" TargetMode="External"/><Relationship Id="rId173" Type="http://schemas.openxmlformats.org/officeDocument/2006/relationships/hyperlink" Target="https://www.youtube.com/watch?v=hzvesGB_TI0&amp;amp;amp%3Bfeature=youtube_gdata_player" TargetMode="External"/><Relationship Id="rId174" Type="http://schemas.openxmlformats.org/officeDocument/2006/relationships/hyperlink" Target="https://www.youtube.com/watch?v=hzvesGB_TI0&amp;amp;amp%3Bfeature=youtube_gdata_player" TargetMode="External"/><Relationship Id="rId175" Type="http://schemas.openxmlformats.org/officeDocument/2006/relationships/hyperlink" Target="https://www.youtube.com/watch?v=hzvesGB_TI0&amp;amp;amp%3Bfeature=youtube_gdata_player" TargetMode="External"/><Relationship Id="rId176" Type="http://schemas.openxmlformats.org/officeDocument/2006/relationships/hyperlink" Target="https://www.youtube.com/watch?v=hzvesGB_TI0&amp;amp;amp%3Bfeature=youtube_gdata_player" TargetMode="External"/><Relationship Id="rId177" Type="http://schemas.openxmlformats.org/officeDocument/2006/relationships/hyperlink" Target="https://www.youtube.com/watch?v=hzvesGB_TI0&amp;amp;amp%3Bfeature=youtube_gdata_player" TargetMode="External"/><Relationship Id="rId178" Type="http://schemas.openxmlformats.org/officeDocument/2006/relationships/hyperlink" Target="https://www.youtube.com/watch?v=hzvesGB_TI0&amp;amp;amp%3Bfeature=youtube_gdata_player" TargetMode="External"/><Relationship Id="rId179" Type="http://schemas.openxmlformats.org/officeDocument/2006/relationships/hyperlink" Target="https://www.youtube.com/watch?v=hzvesGB_TI0&amp;amp;amp%3Bfeature=youtube_gdata_player" TargetMode="External"/><Relationship Id="rId180" Type="http://schemas.openxmlformats.org/officeDocument/2006/relationships/hyperlink" Target="https://www.youtube.com/watch?v=hzvesGB_TI0&amp;amp;amp%3Bfeature=youtube_gdata_player" TargetMode="External"/><Relationship Id="rId181" Type="http://schemas.openxmlformats.org/officeDocument/2006/relationships/hyperlink" Target="https://www.youtube.com/watch?v=hzvesGB_TI0&amp;amp;amp%3Bfeature=youtube_gdata_player" TargetMode="External"/><Relationship Id="rId182" Type="http://schemas.openxmlformats.org/officeDocument/2006/relationships/hyperlink" Target="https://www.youtube.com/watch?v=hzvesGB_TI0&amp;amp;amp%3Bfeature=youtube_gdata_player" TargetMode="External"/><Relationship Id="rId183" Type="http://schemas.openxmlformats.org/officeDocument/2006/relationships/hyperlink" Target="https://www.youtube.com/watch?v=hzvesGB_TI0&amp;amp;amp%3Bfeature=youtube_gdata_player" TargetMode="External"/><Relationship Id="rId184" Type="http://schemas.openxmlformats.org/officeDocument/2006/relationships/hyperlink" Target="https://www.youtube.com/watch?v=hzvesGB_TI0&amp;amp;amp%3Bfeature=youtube_gdata_player" TargetMode="External"/><Relationship Id="rId185" Type="http://schemas.openxmlformats.org/officeDocument/2006/relationships/hyperlink" Target="https://www.youtube.com/watch?v=hzvesGB_TI0&amp;amp;amp%3Bfeature=youtube_gdata_player" TargetMode="External"/><Relationship Id="rId186" Type="http://schemas.openxmlformats.org/officeDocument/2006/relationships/hyperlink" Target="https://www.youtube.com/watch?v=hzvesGB_TI0&amp;amp;amp%3Bfeature=youtube_gdata_player" TargetMode="External"/><Relationship Id="rId187" Type="http://schemas.openxmlformats.org/officeDocument/2006/relationships/hyperlink" Target="https://www.youtube.com/watch?v=hzvesGB_TI0&amp;amp;amp%3Bfeature=youtube_gdata_player" TargetMode="External"/><Relationship Id="rId188" Type="http://schemas.openxmlformats.org/officeDocument/2006/relationships/hyperlink" Target="https://www.youtube.com/watch?v=hzvesGB_TI0&amp;amp;amp%3Bfeature=youtube_gdata_player" TargetMode="External"/><Relationship Id="rId189" Type="http://schemas.openxmlformats.org/officeDocument/2006/relationships/hyperlink" Target="https://www.youtube.com/watch?v=hzvesGB_TI0&amp;amp;amp%3Bfeature=youtube_gdata_player" TargetMode="External"/><Relationship Id="rId190" Type="http://schemas.openxmlformats.org/officeDocument/2006/relationships/hyperlink" Target="https://www.youtube.com/watch?v=hzvesGB_TI0&amp;amp;amp%3Bfeature=youtube_gdata_player" TargetMode="External"/><Relationship Id="rId191" Type="http://schemas.openxmlformats.org/officeDocument/2006/relationships/hyperlink" Target="https://www.youtube.com/watch?v=hzvesGB_TI0&amp;amp;amp%3Bfeature=youtube_gdata_player" TargetMode="External"/><Relationship Id="rId192" Type="http://schemas.openxmlformats.org/officeDocument/2006/relationships/hyperlink" Target="https://www.youtube.com/watch?v=hzvesGB_TI0&amp;amp;amp%3Bfeature=youtube_gdata_player" TargetMode="External"/><Relationship Id="rId193" Type="http://schemas.openxmlformats.org/officeDocument/2006/relationships/hyperlink" Target="https://www.youtube.com/watch?v=hzvesGB_TI0&amp;amp;amp%3Bfeature=youtube_gdata_player" TargetMode="External"/><Relationship Id="rId194" Type="http://schemas.openxmlformats.org/officeDocument/2006/relationships/hyperlink" Target="https://www.youtube.com/watch?v=hzvesGB_TI0&amp;amp;amp%3Bfeature=youtube_gdata_player" TargetMode="External"/><Relationship Id="rId195" Type="http://schemas.openxmlformats.org/officeDocument/2006/relationships/hyperlink" Target="https://www.youtube.com/watch?v=hzvesGB_TI0&amp;amp;amp%3Bfeature=youtube_gdata_player" TargetMode="External"/><Relationship Id="rId196" Type="http://schemas.openxmlformats.org/officeDocument/2006/relationships/hyperlink" Target="https://www.youtube.com/watch?v=hzvesGB_TI0&amp;amp;amp%3Bfeature=youtube_gdata_player" TargetMode="External"/><Relationship Id="rId197" Type="http://schemas.openxmlformats.org/officeDocument/2006/relationships/hyperlink" Target="https://www.youtube.com/watch?v=hzvesGB_TI0&amp;amp;amp%3Bfeature=youtube_gdata_player" TargetMode="External"/><Relationship Id="rId198" Type="http://schemas.openxmlformats.org/officeDocument/2006/relationships/hyperlink" Target="https://www.youtube.com/watch?v=hzvesGB_TI0&amp;amp;amp%3Bfeature=youtube_gdata_player" TargetMode="External"/><Relationship Id="rId199" Type="http://schemas.openxmlformats.org/officeDocument/2006/relationships/hyperlink" Target="https://www.youtube.com/watch?v=hzvesGB_TI0&amp;amp;amp%3Bfeature=youtube_gdata_player" TargetMode="External"/><Relationship Id="rId200" Type="http://schemas.openxmlformats.org/officeDocument/2006/relationships/hyperlink" Target="https://www.youtube.com/watch?v=hzvesGB_TI0&amp;amp;amp%3Bfeature=youtube_gdata_player" TargetMode="External"/><Relationship Id="rId201" Type="http://schemas.openxmlformats.org/officeDocument/2006/relationships/hyperlink" Target="https://www.youtube.com/watch?v=hzvesGB_TI0&amp;amp;amp%3Bfeature=youtube_gdata_player" TargetMode="External"/><Relationship Id="rId202" Type="http://schemas.openxmlformats.org/officeDocument/2006/relationships/hyperlink" Target="https://www.youtube.com/watch?v=hzvesGB_TI0&amp;amp;amp%3Bfeature=youtube_gdata_player" TargetMode="External"/><Relationship Id="rId203" Type="http://schemas.openxmlformats.org/officeDocument/2006/relationships/hyperlink" Target="https://www.youtube.com/watch?v=hzvesGB_TI0&amp;amp;amp%3Bfeature=youtube_gdata_player" TargetMode="External"/><Relationship Id="rId204" Type="http://schemas.openxmlformats.org/officeDocument/2006/relationships/hyperlink" Target="https://www.youtube.com/watch?v=hzvesGB_TI0&amp;amp;amp%3Bfeature=youtube_gdata_player" TargetMode="External"/><Relationship Id="rId205" Type="http://schemas.openxmlformats.org/officeDocument/2006/relationships/hyperlink" Target="https://www.youtube.com/watch?v=hzvesGB_TI0&amp;amp;amp%3Bfeature=youtube_gdata_player" TargetMode="External"/><Relationship Id="rId206" Type="http://schemas.openxmlformats.org/officeDocument/2006/relationships/hyperlink" Target="https://www.youtube.com/watch?v=hzvesGB_TI0&amp;amp;amp%3Bfeature=youtube_gdata_player" TargetMode="External"/><Relationship Id="rId207" Type="http://schemas.openxmlformats.org/officeDocument/2006/relationships/hyperlink" Target="https://www.youtube.com/watch?v=hzvesGB_TI0&amp;amp;amp%3Bfeature=youtube_gdata_player" TargetMode="External"/><Relationship Id="rId208" Type="http://schemas.openxmlformats.org/officeDocument/2006/relationships/hyperlink" Target="https://www.youtube.com/watch?v=hzvesGB_TI0&amp;amp;amp%3Bfeature=youtube_gdata_player" TargetMode="External"/><Relationship Id="rId209" Type="http://schemas.openxmlformats.org/officeDocument/2006/relationships/hyperlink" Target="https://www.youtube.com/watch?v=hzvesGB_TI0&amp;amp;amp%3Bfeature=youtube_gdata_player" TargetMode="External"/><Relationship Id="rId210" Type="http://schemas.openxmlformats.org/officeDocument/2006/relationships/hyperlink" Target="https://www.youtube.com/watch?v=hzvesGB_TI0&amp;amp;amp%3Bfeature=youtube_gdata_player" TargetMode="External"/><Relationship Id="rId211" Type="http://schemas.openxmlformats.org/officeDocument/2006/relationships/hyperlink" Target="http://www.nature.com/news/how-gravity-kills-schr&#246;dinger-s-cat-1.17773?WT.mc_id=FBK_NatureNews" TargetMode="External"/><Relationship Id="rId212" Type="http://schemas.openxmlformats.org/officeDocument/2006/relationships/hyperlink" Target="http://www.nature.com/news/how-gravity-kills-schr&#246;dinger-s-cat-1.17773?WT.mc_id=FBK_NatureNews" TargetMode="External"/><Relationship Id="rId213" Type="http://schemas.openxmlformats.org/officeDocument/2006/relationships/hyperlink" Target="http://www.nature.com/news/how-gravity-kills-schr&#246;dinger-s-cat-1.17773?WT.mc_id=FBK_NatureNews" TargetMode="External"/><Relationship Id="rId214" Type="http://schemas.openxmlformats.org/officeDocument/2006/relationships/hyperlink" Target="http://www.nature.com/news/how-gravity-kills-schr&#246;dinger-s-cat-1.17773?WT.mc_id=FBK_NatureNews" TargetMode="External"/><Relationship Id="rId215" Type="http://schemas.openxmlformats.org/officeDocument/2006/relationships/hyperlink" Target="http://www.nature.com/news/how-gravity-kills-schr&#246;dinger-s-cat-1.17773?WT.mc_id=FBK_NatureNews" TargetMode="External"/><Relationship Id="rId216" Type="http://schemas.openxmlformats.org/officeDocument/2006/relationships/hyperlink" Target="http://www.nature.com/news/how-gravity-kills-schr&#246;dinger-s-cat-1.17773?WT.mc_id=FBK_NatureNews" TargetMode="External"/><Relationship Id="rId217" Type="http://schemas.openxmlformats.org/officeDocument/2006/relationships/hyperlink" Target="http://www.nature.com/news/how-gravity-kills-schr&#246;dinger-s-cat-1.17773?WT.mc_id=FBK_NatureNews" TargetMode="External"/><Relationship Id="rId218" Type="http://schemas.openxmlformats.org/officeDocument/2006/relationships/hyperlink" Target="http://www.nature.com/news/how-gravity-kills-schr&#246;dinger-s-cat-1.17773?WT.mc_id=FBK_NatureNews" TargetMode="External"/><Relationship Id="rId219" Type="http://schemas.openxmlformats.org/officeDocument/2006/relationships/hyperlink" Target="http://www.nature.com/news/how-gravity-kills-schr&#246;dinger-s-cat-1.17773?WT.mc_id=FBK_NatureNews" TargetMode="External"/><Relationship Id="rId220" Type="http://schemas.openxmlformats.org/officeDocument/2006/relationships/hyperlink" Target="http://www.nature.com/news/how-gravity-kills-schr&#246;dinger-s-cat-1.17773?WT.mc_id=FBK_NatureNews" TargetMode="External"/><Relationship Id="rId221" Type="http://schemas.openxmlformats.org/officeDocument/2006/relationships/hyperlink" Target="http://www.nature.com/news/how-gravity-kills-schr&#246;dinger-s-cat-1.17773?WT.mc_id=FBK_NatureNews" TargetMode="External"/><Relationship Id="rId222" Type="http://schemas.openxmlformats.org/officeDocument/2006/relationships/hyperlink" Target="http://www.nature.com/news/how-gravity-kills-schr&#246;dinger-s-cat-1.17773?WT.mc_id=FBK_NatureNews" TargetMode="External"/><Relationship Id="rId223" Type="http://schemas.openxmlformats.org/officeDocument/2006/relationships/hyperlink" Target="http://www.nature.com/news/how-gravity-kills-schr&#246;dinger-s-cat-1.17773?WT.mc_id=FBK_NatureNews" TargetMode="External"/><Relationship Id="rId224" Type="http://schemas.openxmlformats.org/officeDocument/2006/relationships/hyperlink" Target="http://www.nature.com/news/how-gravity-kills-schr&#246;dinger-s-cat-1.17773?WT.mc_id=FBK_NatureNews" TargetMode="External"/><Relationship Id="rId225" Type="http://schemas.openxmlformats.org/officeDocument/2006/relationships/hyperlink" Target="http://www.nature.com/news/how-gravity-kills-schr&#246;dinger-s-cat-1.17773?WT.mc_id=FBK_NatureNews" TargetMode="External"/><Relationship Id="rId226" Type="http://schemas.openxmlformats.org/officeDocument/2006/relationships/hyperlink" Target="http://www.nature.com/news/how-gravity-kills-schr&#246;dinger-s-cat-1.17773?WT.mc_id=FBK_NatureNews" TargetMode="External"/><Relationship Id="rId227" Type="http://schemas.openxmlformats.org/officeDocument/2006/relationships/hyperlink" Target="http://www.nature.com/news/how-gravity-kills-schr&#246;dinger-s-cat-1.17773?WT.mc_id=FBK_NatureNews" TargetMode="External"/><Relationship Id="rId228" Type="http://schemas.openxmlformats.org/officeDocument/2006/relationships/hyperlink" Target="http://www.nature.com/news/how-gravity-kills-schr&#246;dinger-s-cat-1.17773?WT.mc_id=FBK_NatureNews" TargetMode="External"/><Relationship Id="rId229" Type="http://schemas.openxmlformats.org/officeDocument/2006/relationships/hyperlink" Target="http://www.nature.com/news/how-gravity-kills-schr&#246;dinger-s-cat-1.17773?WT.mc_id=FBK_NatureNews" TargetMode="External"/><Relationship Id="rId230" Type="http://schemas.openxmlformats.org/officeDocument/2006/relationships/hyperlink" Target="http://www.nature.com/news/how-gravity-kills-schr&#246;dinger-s-cat-1.17773?WT.mc_id=FBK_NatureNews" TargetMode="External"/><Relationship Id="rId231" Type="http://schemas.openxmlformats.org/officeDocument/2006/relationships/hyperlink" Target="http://www.nature.com/news/how-gravity-kills-schr&#246;dinger-s-cat-1.17773?WT.mc_id=FBK_NatureNews" TargetMode="External"/><Relationship Id="rId232" Type="http://schemas.openxmlformats.org/officeDocument/2006/relationships/hyperlink" Target="http://www.nature.com/news/how-gravity-kills-schr&#246;dinger-s-cat-1.17773?WT.mc_id=FBK_NatureNews" TargetMode="External"/><Relationship Id="rId233" Type="http://schemas.openxmlformats.org/officeDocument/2006/relationships/hyperlink" Target="http://www.nature.com/news/how-gravity-kills-schr&#246;dinger-s-cat-1.17773?WT.mc_id=FBK_NatureNews" TargetMode="External"/><Relationship Id="rId234" Type="http://schemas.openxmlformats.org/officeDocument/2006/relationships/hyperlink" Target="http://www.nature.com/news/how-gravity-kills-schr&#246;dinger-s-cat-1.17773?WT.mc_id=FBK_NatureNews" TargetMode="External"/><Relationship Id="rId235" Type="http://schemas.openxmlformats.org/officeDocument/2006/relationships/hyperlink" Target="http://www.nature.com/news/how-gravity-kills-schr&#246;dinger-s-cat-1.17773?WT.mc_id=FBK_NatureNews" TargetMode="External"/><Relationship Id="rId236" Type="http://schemas.openxmlformats.org/officeDocument/2006/relationships/hyperlink" Target="http://www.nature.com/news/how-gravity-kills-schr&#246;dinger-s-cat-1.17773?WT.mc_id=FBK_NatureNews" TargetMode="External"/><Relationship Id="rId237" Type="http://schemas.openxmlformats.org/officeDocument/2006/relationships/hyperlink" Target="http://www.nature.com/news/how-gravity-kills-schr&#246;dinger-s-cat-1.17773?WT.mc_id=FBK_NatureNews" TargetMode="External"/><Relationship Id="rId238" Type="http://schemas.openxmlformats.org/officeDocument/2006/relationships/hyperlink" Target="http://www.nature.com/news/how-gravity-kills-schr&#246;dinger-s-cat-1.17773?WT.mc_id=FBK_NatureNews" TargetMode="External"/><Relationship Id="rId239" Type="http://schemas.openxmlformats.org/officeDocument/2006/relationships/hyperlink" Target="http://www.nature.com/news/how-gravity-kills-schr&#246;dinger-s-cat-1.17773?WT.mc_id=FBK_NatureNews" TargetMode="External"/><Relationship Id="rId240" Type="http://schemas.openxmlformats.org/officeDocument/2006/relationships/hyperlink" Target="http://www.nature.com/news/how-gravity-kills-schr&#246;dinger-s-cat-1.17773?WT.mc_id=FBK_NatureNews" TargetMode="External"/><Relationship Id="rId241" Type="http://schemas.openxmlformats.org/officeDocument/2006/relationships/hyperlink" Target="http://www.nature.com/news/how-gravity-kills-schr&#246;dinger-s-cat-1.17773?WT.mc_id=FBK_NatureNews" TargetMode="External"/><Relationship Id="rId242" Type="http://schemas.openxmlformats.org/officeDocument/2006/relationships/hyperlink" Target="http://www.nature.com/news/how-gravity-kills-schr&#246;dinger-s-cat-1.17773?WT.mc_id=FBK_NatureNews" TargetMode="External"/><Relationship Id="rId243" Type="http://schemas.openxmlformats.org/officeDocument/2006/relationships/hyperlink" Target="http://www.nature.com/news/how-gravity-kills-schr&#246;dinger-s-cat-1.17773?WT.mc_id=FBK_NatureNews" TargetMode="External"/><Relationship Id="rId244" Type="http://schemas.openxmlformats.org/officeDocument/2006/relationships/hyperlink" Target="http://www.nature.com/news/how-gravity-kills-schr&#246;dinger-s-cat-1.17773?WT.mc_id=FBK_NatureNews" TargetMode="External"/><Relationship Id="rId245" Type="http://schemas.openxmlformats.org/officeDocument/2006/relationships/hyperlink" Target="http://www.nature.com/news/how-gravity-kills-schr&#246;dinger-s-cat-1.17773?WT.mc_id=FBK_NatureNews" TargetMode="External"/><Relationship Id="rId246" Type="http://schemas.openxmlformats.org/officeDocument/2006/relationships/hyperlink" Target="http://www.nature.com/news/how-gravity-kills-schr&#246;dinger-s-cat-1.17773?WT.mc_id=FBK_NatureNews" TargetMode="External"/><Relationship Id="rId247" Type="http://schemas.openxmlformats.org/officeDocument/2006/relationships/hyperlink" Target="http://www.nature.com/news/how-gravity-kills-schr&#246;dinger-s-cat-1.17773?WT.mc_id=FBK_NatureNews" TargetMode="External"/><Relationship Id="rId248" Type="http://schemas.openxmlformats.org/officeDocument/2006/relationships/hyperlink" Target="http://www.nature.com/news/how-gravity-kills-schr&#246;dinger-s-cat-1.17773?WT.mc_id=FBK_NatureNews" TargetMode="External"/><Relationship Id="rId249" Type="http://schemas.openxmlformats.org/officeDocument/2006/relationships/hyperlink" Target="http://www.nature.com/news/how-gravity-kills-schr&#246;dinger-s-cat-1.17773?WT.mc_id=FBK_NatureNews" TargetMode="External"/><Relationship Id="rId250" Type="http://schemas.openxmlformats.org/officeDocument/2006/relationships/hyperlink" Target="http://www.nature.com/news/how-gravity-kills-schr&#246;dinger-s-cat-1.17773?WT.mc_id=FBK_NatureNews" TargetMode="External"/><Relationship Id="rId251" Type="http://schemas.openxmlformats.org/officeDocument/2006/relationships/hyperlink" Target="http://www.nature.com/news/how-gravity-kills-schr&#246;dinger-s-cat-1.17773?WT.mc_id=FBK_NatureNews" TargetMode="External"/><Relationship Id="rId252" Type="http://schemas.openxmlformats.org/officeDocument/2006/relationships/hyperlink" Target="http://www.nature.com/news/how-gravity-kills-schr&#246;dinger-s-cat-1.17773?WT.mc_id=FBK_NatureNews" TargetMode="External"/><Relationship Id="rId253" Type="http://schemas.openxmlformats.org/officeDocument/2006/relationships/hyperlink" Target="http://www.nature.com/news/how-gravity-kills-schr&#246;dinger-s-cat-1.17773?WT.mc_id=FBK_NatureNews" TargetMode="External"/><Relationship Id="rId254" Type="http://schemas.openxmlformats.org/officeDocument/2006/relationships/hyperlink" Target="http://www.nature.com/news/how-gravity-kills-schr&#246;dinger-s-cat-1.17773?WT.mc_id=FBK_NatureNews" TargetMode="External"/><Relationship Id="rId255" Type="http://schemas.openxmlformats.org/officeDocument/2006/relationships/hyperlink" Target="http://www.nature.com/news/how-gravity-kills-schr&#246;dinger-s-cat-1.17773?WT.mc_id=FBK_NatureNews" TargetMode="External"/><Relationship Id="rId256" Type="http://schemas.openxmlformats.org/officeDocument/2006/relationships/hyperlink" Target="http://www.nature.com/news/how-gravity-kills-schr&#246;dinger-s-cat-1.17773?WT.mc_id=FBK_NatureNews" TargetMode="External"/><Relationship Id="rId257" Type="http://schemas.openxmlformats.org/officeDocument/2006/relationships/hyperlink" Target="http://www.nature.com/news/how-gravity-kills-schr&#246;dinger-s-cat-1.17773?WT.mc_id=FBK_NatureNews" TargetMode="External"/><Relationship Id="rId258" Type="http://schemas.openxmlformats.org/officeDocument/2006/relationships/hyperlink" Target="http://www.nature.com/news/how-gravity-kills-schr&#246;dinger-s-cat-1.17773?WT.mc_id=FBK_NatureNews" TargetMode="External"/><Relationship Id="rId259" Type="http://schemas.openxmlformats.org/officeDocument/2006/relationships/hyperlink" Target="http://www.nature.com/news/how-gravity-kills-schr&#246;dinger-s-cat-1.17773?WT.mc_id=FBK_NatureNews" TargetMode="External"/><Relationship Id="rId260" Type="http://schemas.openxmlformats.org/officeDocument/2006/relationships/hyperlink" Target="http://www.nature.com/news/how-gravity-kills-schr&#246;dinger-s-cat-1.17773?WT.mc_id=FBK_NatureNews" TargetMode="External"/><Relationship Id="rId261" Type="http://schemas.openxmlformats.org/officeDocument/2006/relationships/hyperlink" Target="http://www.nature.com/news/how-gravity-kills-schr&#246;dinger-s-cat-1.17773?WT.mc_id=FBK_NatureNews" TargetMode="External"/><Relationship Id="rId262" Type="http://schemas.openxmlformats.org/officeDocument/2006/relationships/hyperlink" Target="http://www.nature.com/news/how-gravity-kills-schr&#246;dinger-s-cat-1.17773?WT.mc_id=FBK_NatureNews" TargetMode="External"/><Relationship Id="rId263" Type="http://schemas.openxmlformats.org/officeDocument/2006/relationships/hyperlink" Target="http://www.nature.com/news/how-gravity-kills-schr&#246;dinger-s-cat-1.17773?WT.mc_id=FBK_NatureNews" TargetMode="External"/><Relationship Id="rId264" Type="http://schemas.openxmlformats.org/officeDocument/2006/relationships/hyperlink" Target="http://www.nature.com/news/how-gravity-kills-schr&#246;dinger-s-cat-1.17773?WT.mc_id=FBK_NatureNews" TargetMode="External"/><Relationship Id="rId265" Type="http://schemas.openxmlformats.org/officeDocument/2006/relationships/hyperlink" Target="http://www.nature.com/news/how-gravity-kills-schr&#246;dinger-s-cat-1.17773?WT.mc_id=FBK_NatureNews" TargetMode="External"/><Relationship Id="rId266" Type="http://schemas.openxmlformats.org/officeDocument/2006/relationships/hyperlink" Target="http://www.nature.com/news/how-gravity-kills-schr&#246;dinger-s-cat-1.17773?WT.mc_id=FBK_NatureNews" TargetMode="External"/><Relationship Id="rId267" Type="http://schemas.openxmlformats.org/officeDocument/2006/relationships/hyperlink" Target="http://www.nature.com/news/how-gravity-kills-schr&#246;dinger-s-cat-1.17773?WT.mc_id=FBK_NatureNews" TargetMode="External"/><Relationship Id="rId268" Type="http://schemas.openxmlformats.org/officeDocument/2006/relationships/hyperlink" Target="http://www.nature.com/news/how-gravity-kills-schr&#246;dinger-s-cat-1.17773?WT.mc_id=FBK_NatureNews" TargetMode="External"/><Relationship Id="rId269" Type="http://schemas.openxmlformats.org/officeDocument/2006/relationships/hyperlink" Target="http://www.fromquarkstoquasars.com/author/sarah_fqtq/" TargetMode="External"/><Relationship Id="rId270" Type="http://schemas.openxmlformats.org/officeDocument/2006/relationships/hyperlink" Target="http://www.fromquarkstoquasars.com/author/sarah_fqtq/" TargetMode="External"/><Relationship Id="rId271" Type="http://schemas.openxmlformats.org/officeDocument/2006/relationships/hyperlink" Target="http://www.fromquarkstoquasars.com/author/sarah_fqtq/" TargetMode="External"/><Relationship Id="rId272" Type="http://schemas.openxmlformats.org/officeDocument/2006/relationships/hyperlink" Target="http://www.fromquarkstoquasars.com/author/sarah_fqtq/" TargetMode="External"/><Relationship Id="rId273" Type="http://schemas.openxmlformats.org/officeDocument/2006/relationships/hyperlink" Target="http://www.fromquarkstoquasars.com/category/did-you-know/" TargetMode="External"/><Relationship Id="rId274" Type="http://schemas.openxmlformats.org/officeDocument/2006/relationships/hyperlink" Target="http://www.fromquarkstoquasars.com/category/did-you-know/" TargetMode="External"/><Relationship Id="rId275" Type="http://schemas.openxmlformats.org/officeDocument/2006/relationships/hyperlink" Target="http://www.fromquarkstoquasars.com/category/did-you-know/" TargetMode="External"/><Relationship Id="rId276" Type="http://schemas.openxmlformats.org/officeDocument/2006/relationships/hyperlink" Target="http://www.fromquarkstoquasars.com/category/did-you-know/" TargetMode="External"/><Relationship Id="rId277" Type="http://schemas.openxmlformats.org/officeDocument/2006/relationships/hyperlink" Target="http://www.fromquarkstoquasars.com/category/did-you-know/" TargetMode="External"/><Relationship Id="rId278" Type="http://schemas.openxmlformats.org/officeDocument/2006/relationships/hyperlink" Target="http://www.fromquarkstoquasars.com/category/did-you-know/" TargetMode="External"/><Relationship Id="rId279" Type="http://schemas.openxmlformats.org/officeDocument/2006/relationships/hyperlink" Target="http://www.fromquarkstoquasars.com/category/did-you-know/" TargetMode="External"/><Relationship Id="rId280" Type="http://schemas.openxmlformats.org/officeDocument/2006/relationships/hyperlink" Target="http://www.fromquarkstoquasars.com/category/did-you-know/" TargetMode="External"/><Relationship Id="rId281" Type="http://schemas.openxmlformats.org/officeDocument/2006/relationships/hyperlink" Target="http://www.fromquarkstoquasars.com/category/did-you-know/" TargetMode="External"/><Relationship Id="rId282" Type="http://schemas.openxmlformats.org/officeDocument/2006/relationships/hyperlink" Target="http://www.fromquarkstoquasars.com/category/did-you-know/" TargetMode="External"/><Relationship Id="rId283" Type="http://schemas.openxmlformats.org/officeDocument/2006/relationships/hyperlink" Target="http://www.fromquarkstoquasars.com/category/astrophysics/" TargetMode="External"/><Relationship Id="rId284" Type="http://schemas.openxmlformats.org/officeDocument/2006/relationships/hyperlink" Target="http://www.fromquarkstoquasars.com/category/astrophysics/" TargetMode="External"/><Relationship Id="rId285" Type="http://schemas.openxmlformats.org/officeDocument/2006/relationships/hyperlink" Target="http://www.fromquarkstoquasars.com/category/astrophysics/" TargetMode="External"/><Relationship Id="rId286" Type="http://schemas.openxmlformats.org/officeDocument/2006/relationships/hyperlink" Target="http://www.fromquarkstoquasars.com/strange-unexplained-things-science-star-lived-big-bang/" TargetMode="External"/><Relationship Id="rId287" Type="http://schemas.openxmlformats.org/officeDocument/2006/relationships/hyperlink" Target="http://www.fromquarkstoquasars.com/strange-unexplained-things-science-star-lived-big-bang/" TargetMode="External"/><Relationship Id="rId288" Type="http://schemas.openxmlformats.org/officeDocument/2006/relationships/hyperlink" Target="http://www.fromquarkstoquasars.com/strange-unexplained-things-science-star-lived-big-bang/" TargetMode="External"/><Relationship Id="rId289" Type="http://schemas.openxmlformats.org/officeDocument/2006/relationships/hyperlink" Target="http://www.fromquarkstoquasars.com/strange-unexplained-things-science-star-lived-big-bang/" TargetMode="External"/><Relationship Id="rId290" Type="http://schemas.openxmlformats.org/officeDocument/2006/relationships/hyperlink" Target="http://www.fromquarkstoquasars.com/strange-unexplained-things-science-star-lived-big-bang/" TargetMode="External"/><Relationship Id="rId291" Type="http://schemas.openxmlformats.org/officeDocument/2006/relationships/hyperlink" Target="http://www.fromquarkstoquasars.com/strange-unexplained-things-science-star-lived-big-bang/" TargetMode="External"/><Relationship Id="rId292" Type="http://schemas.openxmlformats.org/officeDocument/2006/relationships/hyperlink" Target="http://www.fromquarkstoquasars.com/strange-unexplained-things-science-star-lived-big-bang/" TargetMode="External"/><Relationship Id="rId293" Type="http://schemas.openxmlformats.org/officeDocument/2006/relationships/hyperlink" Target="http://www.fromquarkstoquasars.com/strange-unexplained-things-science-star-lived-big-bang/" TargetMode="External"/><Relationship Id="rId294" Type="http://schemas.openxmlformats.org/officeDocument/2006/relationships/hyperlink" Target="http://www.fromquarkstoquasars.com/strange-unexplained-things-science-star-lived-big-bang/" TargetMode="External"/><Relationship Id="rId295" Type="http://schemas.openxmlformats.org/officeDocument/2006/relationships/hyperlink" Target="http://www.fromquarkstoquasars.com/strange-unexplained-things-science-star-lived-big-bang/" TargetMode="External"/><Relationship Id="rId296" Type="http://schemas.openxmlformats.org/officeDocument/2006/relationships/hyperlink" Target="http://www.fromquarkstoquasars.com/strange-unexplained-things-science-star-lived-big-bang/" TargetMode="External"/><Relationship Id="rId297" Type="http://schemas.openxmlformats.org/officeDocument/2006/relationships/hyperlink" Target="http://www.fromquarkstoquasars.com/strange-unexplained-things-science-star-lived-big-bang/" TargetMode="External"/><Relationship Id="rId298" Type="http://schemas.openxmlformats.org/officeDocument/2006/relationships/hyperlink" Target="http://www.fromquarkstoquasars.com/strange-unexplained-things-science-star-lived-big-bang/" TargetMode="External"/><Relationship Id="rId299" Type="http://schemas.openxmlformats.org/officeDocument/2006/relationships/hyperlink" Target="http://www.fromquarkstoquasars.com/strange-unexplained-things-science-star-lived-big-bang/" TargetMode="External"/><Relationship Id="rId300" Type="http://schemas.openxmlformats.org/officeDocument/2006/relationships/hyperlink" Target="http://www.fromquarkstoquasars.com/strange-unexplained-things-science-star-lived-big-bang/" TargetMode="External"/><Relationship Id="rId301" Type="http://schemas.openxmlformats.org/officeDocument/2006/relationships/hyperlink" Target="http://www.fromquarkstoquasars.com/strange-unexplained-things-science-star-lived-big-bang/" TargetMode="External"/><Relationship Id="rId302" Type="http://schemas.openxmlformats.org/officeDocument/2006/relationships/hyperlink" Target="http://www.fromquarkstoquasars.com/strange-unexplained-things-science-star-lived-big-bang/" TargetMode="External"/><Relationship Id="rId303" Type="http://schemas.openxmlformats.org/officeDocument/2006/relationships/hyperlink" Target="http://www.fromquarkstoquasars.com/strange-unexplained-things-science-star-lived-big-bang/" TargetMode="External"/><Relationship Id="rId304" Type="http://schemas.openxmlformats.org/officeDocument/2006/relationships/hyperlink" Target="http://www.fromquarkstoquasars.com/strange-unexplained-things-science-star-lived-big-bang/" TargetMode="External"/><Relationship Id="rId305" Type="http://schemas.openxmlformats.org/officeDocument/2006/relationships/hyperlink" Target="http://www.fromquarkstoquasars.com/strange-unexplained-things-science-star-lived-big-bang/" TargetMode="External"/><Relationship Id="rId306" Type="http://schemas.openxmlformats.org/officeDocument/2006/relationships/hyperlink" Target="http://www.fromquarkstoquasars.com/strange-unexplained-things-science-star-lived-big-bang/" TargetMode="External"/><Relationship Id="rId307" Type="http://schemas.openxmlformats.org/officeDocument/2006/relationships/hyperlink" Target="http://www.fromquarkstoquasars.com/strange-unexplained-things-science-star-lived-big-bang/" TargetMode="External"/><Relationship Id="rId308" Type="http://schemas.openxmlformats.org/officeDocument/2006/relationships/hyperlink" Target="http://www.fromquarkstoquasars.com/strange-unexplained-things-science-star-lived-big-bang/" TargetMode="External"/><Relationship Id="rId309" Type="http://schemas.openxmlformats.org/officeDocument/2006/relationships/hyperlink" Target="http://www.fromquarkstoquasars.com/strange-unexplained-things-science-star-lived-big-bang/" TargetMode="External"/><Relationship Id="rId310" Type="http://schemas.openxmlformats.org/officeDocument/2006/relationships/hyperlink" Target="http://www.fromquarkstoquasars.com/strange-unexplained-things-science-star-lived-big-bang/" TargetMode="External"/><Relationship Id="rId311" Type="http://schemas.openxmlformats.org/officeDocument/2006/relationships/hyperlink" Target="http://www.fromquarkstoquasars.com/strange-unexplained-things-science-star-lived-big-bang/" TargetMode="External"/><Relationship Id="rId312" Type="http://schemas.openxmlformats.org/officeDocument/2006/relationships/hyperlink" Target="http://www.fromquarkstoquasars.com/strange-unexplained-things-science-star-lived-big-bang/" TargetMode="External"/><Relationship Id="rId313" Type="http://schemas.openxmlformats.org/officeDocument/2006/relationships/hyperlink" Target="http://www.fromquarkstoquasars.com/strange-unexplained-things-science-star-lived-big-bang/" TargetMode="External"/><Relationship Id="rId314" Type="http://schemas.openxmlformats.org/officeDocument/2006/relationships/hyperlink" Target="http://www.fromquarkstoquasars.com/strange-unexplained-things-science-star-lived-big-bang/" TargetMode="External"/><Relationship Id="rId315" Type="http://schemas.openxmlformats.org/officeDocument/2006/relationships/hyperlink" Target="http://www.fromquarkstoquasars.com/strange-unexplained-things-science-star-lived-big-bang/" TargetMode="External"/><Relationship Id="rId316" Type="http://schemas.openxmlformats.org/officeDocument/2006/relationships/hyperlink" Target="http://www.fromquarkstoquasars.com/strange-unexplained-things-science-star-lived-big-bang/" TargetMode="External"/><Relationship Id="rId317" Type="http://schemas.openxmlformats.org/officeDocument/2006/relationships/hyperlink" Target="http://www.fromquarkstoquasars.com/strange-unexplained-things-science-star-lived-big-bang/" TargetMode="External"/><Relationship Id="rId318" Type="http://schemas.openxmlformats.org/officeDocument/2006/relationships/hyperlink" Target="http://www.fromquarkstoquasars.com/strange-unexplained-things-science-star-lived-big-bang/" TargetMode="External"/><Relationship Id="rId319" Type="http://schemas.openxmlformats.org/officeDocument/2006/relationships/hyperlink" Target="http://www.fromquarkstoquasars.com/strange-unexplained-things-science-star-lived-big-bang/" TargetMode="External"/><Relationship Id="rId320" Type="http://schemas.openxmlformats.org/officeDocument/2006/relationships/hyperlink" Target="http://www.fromquarkstoquasars.com/strange-unexplained-things-science-star-lived-big-bang/" TargetMode="External"/><Relationship Id="rId321" Type="http://schemas.openxmlformats.org/officeDocument/2006/relationships/hyperlink" Target="http://www.fromquarkstoquasars.com/strange-unexplained-things-science-star-lived-big-bang/" TargetMode="External"/><Relationship Id="rId322" Type="http://schemas.openxmlformats.org/officeDocument/2006/relationships/hyperlink" Target="http://www.fromquarkstoquasars.com/strange-unexplained-things-science-star-lived-big-bang/" TargetMode="External"/><Relationship Id="rId323" Type="http://schemas.openxmlformats.org/officeDocument/2006/relationships/hyperlink" Target="http://www.fromquarkstoquasars.com/strange-unexplained-things-science-star-lived-big-bang/" TargetMode="External"/><Relationship Id="rId324" Type="http://schemas.openxmlformats.org/officeDocument/2006/relationships/hyperlink" Target="http://www.fromquarkstoquasars.com/strange-unexplained-things-science-star-lived-big-bang/" TargetMode="External"/><Relationship Id="rId325" Type="http://schemas.openxmlformats.org/officeDocument/2006/relationships/hyperlink" Target="http://www.fromquarkstoquasars.com/strange-unexplained-things-science-star-lived-big-bang/" TargetMode="External"/><Relationship Id="rId326" Type="http://schemas.openxmlformats.org/officeDocument/2006/relationships/hyperlink" Target="http://www.fromquarkstoquasars.com/strange-unexplained-things-science-star-lived-big-bang/" TargetMode="External"/><Relationship Id="rId327" Type="http://schemas.openxmlformats.org/officeDocument/2006/relationships/hyperlink" Target="http://www.fromquarkstoquasars.com/strange-unexplained-things-science-star-lived-big-bang/" TargetMode="External"/><Relationship Id="rId328" Type="http://schemas.openxmlformats.org/officeDocument/2006/relationships/hyperlink" Target="http://www.fromquarkstoquasars.com/strange-unexplained-things-science-star-lived-big-bang/" TargetMode="External"/><Relationship Id="rId329" Type="http://schemas.openxmlformats.org/officeDocument/2006/relationships/hyperlink" Target="http://www.fromquarkstoquasars.com/strange-unexplained-things-science-star-lived-big-bang/" TargetMode="External"/><Relationship Id="rId330" Type="http://schemas.openxmlformats.org/officeDocument/2006/relationships/hyperlink" Target="http://www.fromquarkstoquasars.com/strange-unexplained-things-science-star-lived-big-bang/" TargetMode="External"/><Relationship Id="rId331" Type="http://schemas.openxmlformats.org/officeDocument/2006/relationships/hyperlink" Target="http://www.fromquarkstoquasars.com/strange-unexplained-things-science-star-lived-big-bang/" TargetMode="External"/><Relationship Id="rId332" Type="http://schemas.openxmlformats.org/officeDocument/2006/relationships/hyperlink" Target="http://www.fromquarkstoquasars.com/strange-unexplained-things-science-star-lived-big-bang/" TargetMode="External"/><Relationship Id="rId333" Type="http://schemas.openxmlformats.org/officeDocument/2006/relationships/hyperlink" Target="http://www.fromquarkstoquasars.com/strange-unexplained-things-science-star-lived-big-bang/" TargetMode="External"/><Relationship Id="rId334" Type="http://schemas.openxmlformats.org/officeDocument/2006/relationships/hyperlink" Target="http://www.fromquarkstoquasars.com/strange-unexplained-things-science-star-lived-big-bang/" TargetMode="External"/><Relationship Id="rId335" Type="http://schemas.openxmlformats.org/officeDocument/2006/relationships/hyperlink" Target="http://www.fromquarkstoquasars.com/strange-unexplained-things-science-star-lived-big-bang/" TargetMode="External"/><Relationship Id="rId336" Type="http://schemas.openxmlformats.org/officeDocument/2006/relationships/hyperlink" Target="http://www.fromquarkstoquasars.com/strange-unexplained-things-science-star-lived-big-bang/" TargetMode="External"/><Relationship Id="rId337" Type="http://schemas.openxmlformats.org/officeDocument/2006/relationships/hyperlink" Target="http://www.fromquarkstoquasars.com/strange-unexplained-things-science-star-lived-big-bang/" TargetMode="External"/><Relationship Id="rId338" Type="http://schemas.openxmlformats.org/officeDocument/2006/relationships/hyperlink" Target="http://www.fromquarkstoquasars.com/strange-unexplained-things-science-star-lived-big-bang/" TargetMode="External"/><Relationship Id="rId339" Type="http://schemas.openxmlformats.org/officeDocument/2006/relationships/hyperlink" Target="http://www.fromquarkstoquasars.com/strange-unexplained-things-science-star-lived-big-bang/" TargetMode="External"/><Relationship Id="rId340" Type="http://schemas.openxmlformats.org/officeDocument/2006/relationships/hyperlink" Target="http://www.fromquarkstoquasars.com/strange-unexplained-things-science-star-lived-big-bang/" TargetMode="External"/><Relationship Id="rId341" Type="http://schemas.openxmlformats.org/officeDocument/2006/relationships/hyperlink" Target="http://www.fromquarkstoquasars.com/strange-unexplained-things-science-star-lived-big-bang/" TargetMode="External"/><Relationship Id="rId342" Type="http://schemas.openxmlformats.org/officeDocument/2006/relationships/hyperlink" Target="http://www.fromquarkstoquasars.com/strange-unexplained-things-science-star-lived-big-bang/" TargetMode="External"/><Relationship Id="rId343" Type="http://schemas.openxmlformats.org/officeDocument/2006/relationships/hyperlink" Target="http://filosofie.unibuc.ro/gvacariu/IMG.pdf" TargetMode="External"/><Relationship Id="rId344" Type="http://schemas.openxmlformats.org/officeDocument/2006/relationships/hyperlink" Target="http://filosofie.unibuc.ro/gvacariu/IMG.pdf" TargetMode="External"/><Relationship Id="rId345" Type="http://schemas.openxmlformats.org/officeDocument/2006/relationships/hyperlink" Target="http://filosofie.unibuc.ro/gvacariu/IMG.pdf" TargetMode="External"/><Relationship Id="rId346" Type="http://schemas.openxmlformats.org/officeDocument/2006/relationships/hyperlink" Target="http://filosofie.unibuc.ro/gvacariu/IMG.pdf" TargetMode="External"/><Relationship Id="rId347" Type="http://schemas.openxmlformats.org/officeDocument/2006/relationships/hyperlink" Target="http://filosofie.unibuc.ro/gvacariu/IMG.pdf" TargetMode="External"/><Relationship Id="rId348" Type="http://schemas.openxmlformats.org/officeDocument/2006/relationships/hyperlink" Target="http://filosofie.unibuc.ro/gvacariu/IMG.pdf" TargetMode="External"/><Relationship Id="rId349" Type="http://schemas.openxmlformats.org/officeDocument/2006/relationships/hyperlink" Target="http://filosofie.unibuc.ro/gvacariu/IMG.pdf" TargetMode="External"/><Relationship Id="rId350" Type="http://schemas.openxmlformats.org/officeDocument/2006/relationships/hyperlink" Target="http://filosofie.unibuc.ro/gvacariu/IMG.pdf" TargetMode="External"/><Relationship Id="rId351" Type="http://schemas.openxmlformats.org/officeDocument/2006/relationships/hyperlink" Target="http://filosofie.unibuc.ro/gvacariu/IMG.pdf" TargetMode="External"/><Relationship Id="rId352" Type="http://schemas.openxmlformats.org/officeDocument/2006/relationships/hyperlink" Target="http://filosofie.unibuc.ro/gvacariu/IMG.pdf" TargetMode="External"/><Relationship Id="rId353" Type="http://schemas.openxmlformats.org/officeDocument/2006/relationships/hyperlink" Target="http://filosofie.unibuc.ro/gvacariu/IMG.pdf" TargetMode="External"/><Relationship Id="rId354" Type="http://schemas.openxmlformats.org/officeDocument/2006/relationships/hyperlink" Target="http://filosofie.unibuc.ro/gvacariu/IMG.pdf" TargetMode="External"/><Relationship Id="rId355" Type="http://schemas.openxmlformats.org/officeDocument/2006/relationships/hyperlink" Target="http://filosofie.unibuc.ro/gvacariu/IMG.pdf" TargetMode="External"/><Relationship Id="rId356" Type="http://schemas.openxmlformats.org/officeDocument/2006/relationships/hyperlink" Target="http://filosofie.unibuc.ro/gvacariu/IMG.pdf" TargetMode="External"/><Relationship Id="rId357" Type="http://schemas.openxmlformats.org/officeDocument/2006/relationships/hyperlink" Target="http://filosofie.unibuc.ro/gvacariu/IMG.pdf" TargetMode="External"/><Relationship Id="rId358" Type="http://schemas.openxmlformats.org/officeDocument/2006/relationships/hyperlink" Target="http://filosofie.unibuc.ro/gvacariu/IMG.pdf" TargetMode="External"/><Relationship Id="rId359" Type="http://schemas.openxmlformats.org/officeDocument/2006/relationships/hyperlink" Target="http://filosofie.unibuc.ro/gvacariu/IMG.pdf" TargetMode="External"/><Relationship Id="rId360" Type="http://schemas.openxmlformats.org/officeDocument/2006/relationships/hyperlink" Target="http://filosofie.unibuc.ro/gvacariu/IMG.pdf" TargetMode="External"/><Relationship Id="rId361" Type="http://schemas.openxmlformats.org/officeDocument/2006/relationships/hyperlink" Target="http://filosofie.unibuc.ro/gvacariu/IMG.pdf" TargetMode="External"/><Relationship Id="rId362" Type="http://schemas.openxmlformats.org/officeDocument/2006/relationships/hyperlink" Target="http://filosofie.unibuc.ro/gvacariu/IMG.pdf" TargetMode="External"/><Relationship Id="rId363" Type="http://schemas.openxmlformats.org/officeDocument/2006/relationships/hyperlink" Target="http://filosofie.unibuc.ro/gvacariu/IMG.pdf" TargetMode="External"/><Relationship Id="rId364" Type="http://schemas.openxmlformats.org/officeDocument/2006/relationships/hyperlink" Target="http://filosofie.unibuc.ro/gvacariu/IMG.pdf" TargetMode="External"/><Relationship Id="rId365" Type="http://schemas.openxmlformats.org/officeDocument/2006/relationships/hyperlink" Target="http://filosofie.unibuc.ro/gvacariu/IMG.pdf" TargetMode="External"/><Relationship Id="rId366" Type="http://schemas.openxmlformats.org/officeDocument/2006/relationships/hyperlink" Target="http://filosofie.unibuc.ro/gvacariu/IMG.pdf" TargetMode="External"/><Relationship Id="rId367" Type="http://schemas.openxmlformats.org/officeDocument/2006/relationships/hyperlink" Target="http://filosofie.unibuc.ro/gvacariu/IMG.pdf" TargetMode="External"/><Relationship Id="rId368" Type="http://schemas.openxmlformats.org/officeDocument/2006/relationships/hyperlink" Target="http://filosofie.unibuc.ro/gvacariu/IMG.pdf" TargetMode="External"/><Relationship Id="rId369" Type="http://schemas.openxmlformats.org/officeDocument/2006/relationships/hyperlink" Target="http://filosofie.unibuc.ro/gvacariu/IMG.pdf" TargetMode="External"/><Relationship Id="rId370" Type="http://schemas.openxmlformats.org/officeDocument/2006/relationships/hyperlink" Target="http://filosofie.unibuc.ro/gvacariu/IMG.pdf" TargetMode="External"/><Relationship Id="rId371" Type="http://schemas.openxmlformats.org/officeDocument/2006/relationships/hyperlink" Target="http://filosofie.unibuc.ro/gvacariu/IMG.pdf" TargetMode="External"/><Relationship Id="rId372" Type="http://schemas.openxmlformats.org/officeDocument/2006/relationships/hyperlink" Target="http://filosofie.unibuc.ro/gvacariu/IMG.pdf" TargetMode="External"/><Relationship Id="rId373" Type="http://schemas.openxmlformats.org/officeDocument/2006/relationships/hyperlink" Target="http://filosofie.unibuc.ro/gvacariu/IMG.pdf" TargetMode="External"/><Relationship Id="rId374" Type="http://schemas.openxmlformats.org/officeDocument/2006/relationships/hyperlink" Target="http://filosofie.unibuc.ro/gvacariu/IMG.pdf" TargetMode="External"/><Relationship Id="rId375" Type="http://schemas.openxmlformats.org/officeDocument/2006/relationships/hyperlink" Target="http://filosofie.unibuc.ro/gvacariu/IMG.pdf" TargetMode="External"/><Relationship Id="rId376" Type="http://schemas.openxmlformats.org/officeDocument/2006/relationships/hyperlink" Target="http://filosofie.unibuc.ro/gvacariu/IMG.pdf" TargetMode="External"/><Relationship Id="rId377" Type="http://schemas.openxmlformats.org/officeDocument/2006/relationships/hyperlink" Target="http://filosofie.unibuc.ro/gvacariu/IMG.pdf" TargetMode="External"/><Relationship Id="rId378" Type="http://schemas.openxmlformats.org/officeDocument/2006/relationships/hyperlink" Target="http://filosofie.unibuc.ro/gvacariu/IMG.pdf" TargetMode="External"/><Relationship Id="rId379" Type="http://schemas.openxmlformats.org/officeDocument/2006/relationships/hyperlink" Target="http://www.filosofie.unibuc.ro/gvacariu/Anale 2008.pdf" TargetMode="External"/><Relationship Id="rId380" Type="http://schemas.openxmlformats.org/officeDocument/2006/relationships/hyperlink" Target="http://www.filosofie.unibuc.ro/gvacariu/Anale 2008.pdf" TargetMode="External"/><Relationship Id="rId381" Type="http://schemas.openxmlformats.org/officeDocument/2006/relationships/hyperlink" Target="http://www.filosofie.unibuc.ro/gvacariu/Anale 2008.pdf" TargetMode="External"/><Relationship Id="rId382" Type="http://schemas.openxmlformats.org/officeDocument/2006/relationships/hyperlink" Target="http://www.filosofie.unibuc.ro/gvacariu/Anale 2008.pdf" TargetMode="External"/><Relationship Id="rId383" Type="http://schemas.openxmlformats.org/officeDocument/2006/relationships/hyperlink" Target="http://www.filosofie.unibuc.ro/gvacariu/Anale 2008.pdf" TargetMode="External"/><Relationship Id="rId384" Type="http://schemas.openxmlformats.org/officeDocument/2006/relationships/hyperlink" Target="http://www.filosofie.unibuc.ro/gvacariu/Anale 2008.pdf" TargetMode="External"/><Relationship Id="rId385" Type="http://schemas.openxmlformats.org/officeDocument/2006/relationships/hyperlink" Target="http://www.filosofie.unibuc.ro/gvacariu/Anale 2008.pdf" TargetMode="External"/><Relationship Id="rId386" Type="http://schemas.openxmlformats.org/officeDocument/2006/relationships/hyperlink" Target="http://www.filosofie.unibuc.ro/gvacariu/Anale 2008.pdf" TargetMode="External"/><Relationship Id="rId387" Type="http://schemas.openxmlformats.org/officeDocument/2006/relationships/hyperlink" Target="http://www.filosofie.unibuc.ro/gvacariu/Anale 2008.pdf" TargetMode="External"/><Relationship Id="rId388" Type="http://schemas.openxmlformats.org/officeDocument/2006/relationships/hyperlink" Target="http://www.filosofie.unibuc.ro/gvacariu/Anale 2008.pdf" TargetMode="External"/><Relationship Id="rId389" Type="http://schemas.openxmlformats.org/officeDocument/2006/relationships/hyperlink" Target="http://www.filosofie.unibuc.ro/gvacariu/Anale 2008.pdf" TargetMode="External"/><Relationship Id="rId390" Type="http://schemas.openxmlformats.org/officeDocument/2006/relationships/hyperlink" Target="http://www.filosofie.unibuc.ro/gvacariu/Anale 2008.pdf" TargetMode="External"/><Relationship Id="rId391" Type="http://schemas.openxmlformats.org/officeDocument/2006/relationships/hyperlink" Target="http://www.filosofie.unibuc.ro/gvacariu/Anale 2008.pdf" TargetMode="External"/><Relationship Id="rId392" Type="http://schemas.openxmlformats.org/officeDocument/2006/relationships/hyperlink" Target="http://www.filosofie.unibuc.ro/gvacariu/Anale 2008.pdf" TargetMode="External"/><Relationship Id="rId393" Type="http://schemas.openxmlformats.org/officeDocument/2006/relationships/hyperlink" Target="http://www.filosofie.unibuc.ro/gvacariu/Anale 2008.pdf" TargetMode="External"/><Relationship Id="rId394" Type="http://schemas.openxmlformats.org/officeDocument/2006/relationships/hyperlink" Target="http://www.filosofie.unibuc.ro/gvacariu/Anale 2008.pdf" TargetMode="External"/><Relationship Id="rId395" Type="http://schemas.openxmlformats.org/officeDocument/2006/relationships/hyperlink" Target="http://www.filosofie.unibuc.ro/gvacariu/Anale 2008.pdf" TargetMode="External"/><Relationship Id="rId396" Type="http://schemas.openxmlformats.org/officeDocument/2006/relationships/hyperlink" Target="http://www.filosofie.unibuc.ro/gvacariu/Anale 2008.pdf" TargetMode="External"/><Relationship Id="rId397" Type="http://schemas.openxmlformats.org/officeDocument/2006/relationships/hyperlink" Target="http://www.filosofie.unibuc.ro/gvacariu/Anale 2008.pdf" TargetMode="External"/><Relationship Id="rId398" Type="http://schemas.openxmlformats.org/officeDocument/2006/relationships/hyperlink" Target="http://www.filosofie.unibuc.ro/gvacariu/Anale 2008.pdf" TargetMode="External"/><Relationship Id="rId399" Type="http://schemas.openxmlformats.org/officeDocument/2006/relationships/hyperlink" Target="http://www.filosofie.unibuc.ro/gvacariu/Anale 2008.pdf" TargetMode="External"/><Relationship Id="rId400" Type="http://schemas.openxmlformats.org/officeDocument/2006/relationships/hyperlink" Target="http://www.filosofie.unibuc.ro/gvacariu/Anale 2008.pdf" TargetMode="External"/><Relationship Id="rId401" Type="http://schemas.openxmlformats.org/officeDocument/2006/relationships/hyperlink" Target="http://www.filosofie.unibuc.ro/gvacariu/Anale 2008.pdf" TargetMode="External"/><Relationship Id="rId402" Type="http://schemas.openxmlformats.org/officeDocument/2006/relationships/hyperlink" Target="http://www.filosofie.unibuc.ro/gvacariu/Anale 2008.pdf" TargetMode="External"/><Relationship Id="rId403" Type="http://schemas.openxmlformats.org/officeDocument/2006/relationships/hyperlink" Target="http://www.filosofie.unibuc.ro/gvacariu/Anale 2008.pdf" TargetMode="External"/><Relationship Id="rId404" Type="http://schemas.openxmlformats.org/officeDocument/2006/relationships/hyperlink" Target="http://www.filosofie.unibuc.ro/gvacariu/Anale 2008.pdf" TargetMode="External"/><Relationship Id="rId405" Type="http://schemas.openxmlformats.org/officeDocument/2006/relationships/hyperlink" Target="http://www.filosofie.unibuc.ro/gvacariu/Revue de Roumanie - Philosophie.pdf" TargetMode="External"/><Relationship Id="rId406" Type="http://schemas.openxmlformats.org/officeDocument/2006/relationships/hyperlink" Target="http://www.filosofie.unibuc.ro/gvacariu/Revue de Roumanie - Philosophie.pdf" TargetMode="External"/><Relationship Id="rId407" Type="http://schemas.openxmlformats.org/officeDocument/2006/relationships/hyperlink" Target="http://www.filosofie.unibuc.ro/gvacariu/Revue de Roumanie - Philosophie.pdf" TargetMode="External"/><Relationship Id="rId408" Type="http://schemas.openxmlformats.org/officeDocument/2006/relationships/hyperlink" Target="http://www.filosofie.unibuc.ro/gvacariu/Revue de Roumanie - Philosophie.pdf" TargetMode="External"/><Relationship Id="rId409" Type="http://schemas.openxmlformats.org/officeDocument/2006/relationships/hyperlink" Target="http://www.filosofie.unibuc.ro/gvacariu/Revue de Roumanie - Philosophie.pdf" TargetMode="External"/><Relationship Id="rId410" Type="http://schemas.openxmlformats.org/officeDocument/2006/relationships/hyperlink" Target="http://www.filosofie.unibuc.ro/gvacariu/Revue de Roumanie - Philosophie.pdf" TargetMode="External"/><Relationship Id="rId411" Type="http://schemas.openxmlformats.org/officeDocument/2006/relationships/hyperlink" Target="http://www.filosofie.unibuc.ro/gvacariu/Revue de Roumanie - Philosophie.pdf" TargetMode="External"/><Relationship Id="rId412" Type="http://schemas.openxmlformats.org/officeDocument/2006/relationships/hyperlink" Target="http://www.filosofie.unibuc.ro/gvacariu/Revue de Roumanie - Philosophie.pdf" TargetMode="External"/><Relationship Id="rId413" Type="http://schemas.openxmlformats.org/officeDocument/2006/relationships/hyperlink" Target="http://www.filosofie.unibuc.ro/gvacariu/Revue de Roumanie - Philosophie.pdf" TargetMode="External"/><Relationship Id="rId414" Type="http://schemas.openxmlformats.org/officeDocument/2006/relationships/hyperlink" Target="http://www.filosofie.unibuc.ro/gvacariu/Revue de Roumanie - Philosophie.pdf" TargetMode="External"/><Relationship Id="rId415" Type="http://schemas.openxmlformats.org/officeDocument/2006/relationships/hyperlink" Target="http://www.filosofie.unibuc.ro/gvacariu/Revue de Roumanie - Philosophie.pdf" TargetMode="External"/><Relationship Id="rId416" Type="http://schemas.openxmlformats.org/officeDocument/2006/relationships/hyperlink" Target="http://www.filosofie.unibuc.ro/gvacariu/Revue de Roumanie - Philosophie.pdf" TargetMode="External"/><Relationship Id="rId417" Type="http://schemas.openxmlformats.org/officeDocument/2006/relationships/hyperlink" Target="http://www.filosofie.unibuc.ro/gvacariu/Revue de Roumanie - Philosophie.pdf" TargetMode="External"/><Relationship Id="rId418" Type="http://schemas.openxmlformats.org/officeDocument/2006/relationships/hyperlink" Target="http://www.filosofie.unibuc.ro/gvacariu/Revue de Roumanie - Philosophie.pdf" TargetMode="External"/><Relationship Id="rId419" Type="http://schemas.openxmlformats.org/officeDocument/2006/relationships/hyperlink" Target="http://www.filosofie.unibuc.ro/gvacariu/Revue de Roumanie - Philosophie.pdf" TargetMode="External"/><Relationship Id="rId420" Type="http://schemas.openxmlformats.org/officeDocument/2006/relationships/hyperlink" Target="http://www.filosofie.unibuc.ro/gvacariu/Revue de Roumanie - Philosophie.pdf" TargetMode="External"/><Relationship Id="rId421" Type="http://schemas.openxmlformats.org/officeDocument/2006/relationships/hyperlink" Target="http://www.filosofie.unibuc.ro/gvacariu/Revue de Roumanie - Philosophie.pdf" TargetMode="External"/><Relationship Id="rId422" Type="http://schemas.openxmlformats.org/officeDocument/2006/relationships/hyperlink" Target="http://www.filosofie.unibuc.ro/gvacariu/Revue de Roumanie - Philosophie.pdf" TargetMode="External"/><Relationship Id="rId423" Type="http://schemas.openxmlformats.org/officeDocument/2006/relationships/hyperlink" Target="http://www.filosofie.unibuc.ro/gvacariu/Revue de Roumanie - Philosophie.pdf" TargetMode="External"/><Relationship Id="rId424" Type="http://schemas.openxmlformats.org/officeDocument/2006/relationships/hyperlink" Target="http://www.filosofie.unibuc.ro/gvacariu/Revue de Roumanie - Philosophie.pdf" TargetMode="External"/><Relationship Id="rId425" Type="http://schemas.openxmlformats.org/officeDocument/2006/relationships/hyperlink" Target="http://www.filosofie.unibuc.ro/gvacariu/Revue de Roumanie - Philosophie.pdf" TargetMode="External"/><Relationship Id="rId426" Type="http://schemas.openxmlformats.org/officeDocument/2006/relationships/hyperlink" Target="http://www.filosofie.unibuc.ro/gvacariu/Revue de Roumanie - Philosophie.pdf" TargetMode="External"/><Relationship Id="rId427" Type="http://schemas.openxmlformats.org/officeDocument/2006/relationships/hyperlink" Target="http://www.filosofie.unibuc.ro/gvacariu/Revue de Roumanie - Philosophie.pdf" TargetMode="External"/><Relationship Id="rId428" Type="http://schemas.openxmlformats.org/officeDocument/2006/relationships/hyperlink" Target="http://www.filosofie.unibuc.ro/gvacariu/Revue de Roumanie - Philosophie.pdf" TargetMode="External"/><Relationship Id="rId429" Type="http://schemas.openxmlformats.org/officeDocument/2006/relationships/hyperlink" Target="http://www.filosofie.unibuc.ro/gvacariu/Revue de Roumanie - Philosophie.pdf" TargetMode="External"/><Relationship Id="rId430" Type="http://schemas.openxmlformats.org/officeDocument/2006/relationships/hyperlink" Target="http://www.filosofie.unibuc.ro/gvacariu/Revue de Roumanie - Philosophie.pdf" TargetMode="External"/><Relationship Id="rId431" Type="http://schemas.openxmlformats.org/officeDocument/2006/relationships/hyperlink" Target="http://www.filosofie.unibuc.ro/gvacariu/Revue de Roumanie - Philosophie.pdf" TargetMode="External"/><Relationship Id="rId432" Type="http://schemas.openxmlformats.org/officeDocument/2006/relationships/hyperlink" Target="http://www.filosofie.unibuc.ro/gvacariu/Revue de Roumanie - Philosophie.pdf" TargetMode="External"/><Relationship Id="rId433" Type="http://schemas.openxmlformats.org/officeDocument/2006/relationships/hyperlink" Target="http://www.filosofie.unibuc.ro/gvacariu/Revue de Roumanie - Philosophie.pdf" TargetMode="External"/><Relationship Id="rId434" Type="http://schemas.openxmlformats.org/officeDocument/2006/relationships/hyperlink" Target="http://www.filosofie.unibuc.ro/gvacariu/Revue de Roumanie - Philosophie.pdf" TargetMode="External"/><Relationship Id="rId435" Type="http://schemas.openxmlformats.org/officeDocument/2006/relationships/hyperlink" Target="https://philpapers.org/rec/KOSFMS?ref=mail" TargetMode="External"/><Relationship Id="rId436" Type="http://schemas.openxmlformats.org/officeDocument/2006/relationships/hyperlink" Target="https://www.theatlantic.com/author/philip-ball/" TargetMode="External"/><Relationship Id="rId437" Type="http://schemas.openxmlformats.org/officeDocument/2006/relationships/hyperlink" Target="https://www.indiebound.org/book/9780226558387" TargetMode="External"/><Relationship Id="rId438" Type="http://schemas.openxmlformats.org/officeDocument/2006/relationships/hyperlink" Target="https://www.theatlantic.com/science/archive/2018/10/beyond-weird-decoherence-quantum-weirdness-schrodingers-cat/573448/" TargetMode="External"/><Relationship Id="rId439" Type="http://schemas.openxmlformats.org/officeDocument/2006/relationships/hyperlink" Target="https://www.theatlantic.com/science/archive/2018/10/quantum-weirdness-pilot-waves-double-slit-experiment/572977/" TargetMode="External"/><Relationship Id="rId440" Type="http://schemas.openxmlformats.org/officeDocument/2006/relationships/hyperlink" Target="https://www.fetzer-franklin-fund.org/vacuum-landscaping-cause-of-nonlocal-influences-without-signaling-entropy/" TargetMode="External"/><Relationship Id="rId441" Type="http://schemas.openxmlformats.org/officeDocument/2006/relationships/hyperlink" Target="https://philpapers.org/s/Anne Sophie Meincke" TargetMode="External"/><Relationship Id="rId442" Type="http://schemas.openxmlformats.org/officeDocument/2006/relationships/image" Target="media/image32.wmf"/><Relationship Id="rId443" Type="http://schemas.openxmlformats.org/officeDocument/2006/relationships/hyperlink" Target="http://www.nature.com/naturecommunications" TargetMode="External"/><Relationship Id="rId444" Type="http://schemas.openxmlformats.org/officeDocument/2006/relationships/hyperlink" Target="https://www.livescience.com/authors/?name=Mindy Weisberger" TargetMode="External"/><Relationship Id="rId445" Type="http://schemas.openxmlformats.org/officeDocument/2006/relationships/hyperlink" Target="https://www.livescience.com/65029-dueling-reality-photons.html?fbclid=IwAR1uR89mEP9MLZmlgLx9OkgvCrLRxZw56BeBJl94mIn5dFn-_hCt0rcc7k4" TargetMode="External"/><Relationship Id="rId446" Type="http://schemas.openxmlformats.org/officeDocument/2006/relationships/hyperlink" Target="https://arxiv.org/pdf/1902.05080.pdf" TargetMode="External"/><Relationship Id="rId447" Type="http://schemas.openxmlformats.org/officeDocument/2006/relationships/hyperlink" Target="https://www.livescience.com/34052-unsolved-mysteries-physics.html" TargetMode="External"/><Relationship Id="rId448" Type="http://schemas.openxmlformats.org/officeDocument/2006/relationships/hyperlink" Target="https://www.livescience.com/63616-photons-before-after.html" TargetMode="External"/><Relationship Id="rId449" Type="http://schemas.openxmlformats.org/officeDocument/2006/relationships/hyperlink" Target="https://www.livescience.com/26444-quantum-mechanics-physicists-poll.html" TargetMode="External"/><Relationship Id="rId450" Type="http://schemas.openxmlformats.org/officeDocument/2006/relationships/hyperlink" Target="https://www.livescience.com/59810-quantum-teleportation-record-shattered.html" TargetMode="External"/><Relationship Id="rId451" Type="http://schemas.openxmlformats.org/officeDocument/2006/relationships/hyperlink" Target="https://www.livescience.com/63616-photons-before-after.html" TargetMode="External"/><Relationship Id="rId452" Type="http://schemas.openxmlformats.org/officeDocument/2006/relationships/hyperlink" Target="https://www.livescience.com/37807-brain-is-not-quantum-computer.html" TargetMode="External"/><Relationship Id="rId453" Type="http://schemas.openxmlformats.org/officeDocument/2006/relationships/hyperlink" Target="https://sites.google.com/view/gabriel-vacariu-philosophy/home" TargetMode="External"/><Relationship Id="rId454" Type="http://schemas.openxmlformats.org/officeDocument/2006/relationships/hyperlink" Target="http://filosofie.unibuc.ro/cv_gabriel_vacariu/" TargetMode="External"/><Relationship Id="rId455" Type="http://schemas.openxmlformats.org/officeDocument/2006/relationships/hyperlink" Target="https://www.youtube.com/channel/UC_3I96MSwXpUjm2x6f6SaUA?view_as=subscriber" TargetMode="External"/><Relationship Id="rId456" Type="http://schemas.openxmlformats.org/officeDocument/2006/relationships/hyperlink" Target="https://arxiv.org/search/quant-ph?searchtype=author&amp;query=Ara&#250;jo%2C+M" TargetMode="External"/><Relationship Id="rId457" Type="http://schemas.openxmlformats.org/officeDocument/2006/relationships/hyperlink" Target="https://arxiv.org/search/quant-ph?searchtype=author&amp;query=Branciard%2C+C" TargetMode="External"/><Relationship Id="rId458" Type="http://schemas.openxmlformats.org/officeDocument/2006/relationships/hyperlink" Target="https://arxiv.org/search/quant-ph?searchtype=author&amp;query=Costa%2C+F" TargetMode="External"/><Relationship Id="rId459" Type="http://schemas.openxmlformats.org/officeDocument/2006/relationships/hyperlink" Target="https://arxiv.org/search/quant-ph?searchtype=author&amp;query=Feix%2C+A" TargetMode="External"/><Relationship Id="rId460" Type="http://schemas.openxmlformats.org/officeDocument/2006/relationships/hyperlink" Target="https://arxiv.org/search/quant-ph?searchtype=author&amp;query=Giarmatzi%2C+C" TargetMode="External"/><Relationship Id="rId461" Type="http://schemas.openxmlformats.org/officeDocument/2006/relationships/hyperlink" Target="https://arxiv.org/search/quant-ph?searchtype=author&amp;query=Brukner%2C+&#268;" TargetMode="External"/><Relationship Id="rId462" Type="http://schemas.openxmlformats.org/officeDocument/2006/relationships/hyperlink" Target="https://arxiv.org/abs/1506.03776v2" TargetMode="External"/><Relationship Id="rId463" Type="http://schemas.openxmlformats.org/officeDocument/2006/relationships/hyperlink" Target="https://arxiv.org/abs/0912.0195v4" TargetMode="External"/><Relationship Id="rId464" Type="http://schemas.openxmlformats.org/officeDocument/2006/relationships/hyperlink" Target="https://www.scienceandnonduality.com/author/efrenkel/" TargetMode="External"/><Relationship Id="rId465" Type="http://schemas.openxmlformats.org/officeDocument/2006/relationships/hyperlink" Target="http://arxiv.org/abs/1412.6213" TargetMode="External"/><Relationship Id="rId466" Type="http://schemas.openxmlformats.org/officeDocument/2006/relationships/hyperlink" Target="http://edwardfrenkel.com/" TargetMode="External"/><Relationship Id="rId467" Type="http://schemas.openxmlformats.org/officeDocument/2006/relationships/hyperlink" Target="http://edwardfrenkel.com/" TargetMode="External"/><Relationship Id="rId468" Type="http://schemas.openxmlformats.org/officeDocument/2006/relationships/hyperlink" Target="http://www.nytimes.com/" TargetMode="External"/><Relationship Id="rId469" Type="http://schemas.openxmlformats.org/officeDocument/2006/relationships/hyperlink" Target="https://www.youtube.com/watch?reload=9&amp;v=CyYQIcZacvA&amp;t=218s&amp;fbclid=IwAR1ABAO-k4upbPeEcfHxmWpyB-IAGt8DAoZ51MhYmPcysaWSqC3gCJNcvOw" TargetMode="External"/><Relationship Id="rId470" Type="http://schemas.openxmlformats.org/officeDocument/2006/relationships/header" Target="header1.xml"/><Relationship Id="rId471" Type="http://schemas.openxmlformats.org/officeDocument/2006/relationships/footer" Target="footer3.xml"/><Relationship Id="rId472" Type="http://schemas.openxmlformats.org/officeDocument/2006/relationships/footnotes" Target="footnotes.xml"/><Relationship Id="rId473" Type="http://schemas.openxmlformats.org/officeDocument/2006/relationships/numbering" Target="numbering.xml"/><Relationship Id="rId474" Type="http://schemas.openxmlformats.org/officeDocument/2006/relationships/fontTable" Target="fontTable.xml"/><Relationship Id="rId475" Type="http://schemas.openxmlformats.org/officeDocument/2006/relationships/settings" Target="settings.xml"/><Relationship Id="rId476" Type="http://schemas.openxmlformats.org/officeDocument/2006/relationships/theme" Target="theme/theme1.xml"/><Relationship Id="rId477"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filosofie.unibuc.ro/gvacariu/IMG.pdf" TargetMode="External"/><Relationship Id="rId2" Type="http://schemas.openxmlformats.org/officeDocument/2006/relationships/hyperlink" Target="http://www.youtube.com/channel/UC_3I96MSwXpUjm2x6f6SaUA"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Application>LibreOffice/6.2.4.2$Windows_x86 LibreOffice_project/2412653d852ce75f65fbfa83fb7e7b669a126d64</Application>
  <Pages>494</Pages>
  <Words>285337</Words>
  <CharactersWithSpaces>1810264</CharactersWithSpaces>
  <Paragraphs>10307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dc:description/>
  <dc:language>en-US</dc:language>
  <cp:lastModifiedBy/>
  <dcterms:modified xsi:type="dcterms:W3CDTF">2021-05-21T14:13:00Z</dcterms:modified>
  <cp:revision>252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KSOProductBuildVer">
    <vt:lpwstr>1033-11.2.0.9984</vt:lpwstr>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