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8FFD" w14:textId="15B8AED3" w:rsidR="004E3666" w:rsidRDefault="002E73C5" w:rsidP="008B7853">
      <w:pPr>
        <w:pStyle w:val="Titel"/>
        <w:contextualSpacing/>
      </w:pPr>
      <w:r w:rsidRPr="002E73C5">
        <w:t>Book Review</w:t>
      </w:r>
    </w:p>
    <w:p w14:paraId="69178B0C" w14:textId="2E1DAE19" w:rsidR="004E3666" w:rsidRPr="004E3666" w:rsidRDefault="004E3666" w:rsidP="004E3666">
      <w:r>
        <w:t>Accepted</w:t>
      </w:r>
      <w:r>
        <w:t xml:space="preserve"> author</w:t>
      </w:r>
      <w:r>
        <w:t xml:space="preserve"> manuscript for publication in </w:t>
      </w:r>
      <w:proofErr w:type="spellStart"/>
      <w:r w:rsidRPr="004E3666">
        <w:rPr>
          <w:i/>
        </w:rPr>
        <w:t>Studia</w:t>
      </w:r>
      <w:proofErr w:type="spellEnd"/>
      <w:r w:rsidRPr="004E3666">
        <w:rPr>
          <w:i/>
        </w:rPr>
        <w:t xml:space="preserve"> </w:t>
      </w:r>
      <w:proofErr w:type="spellStart"/>
      <w:r w:rsidRPr="004E3666">
        <w:rPr>
          <w:i/>
        </w:rPr>
        <w:t>Philosophica</w:t>
      </w:r>
      <w:proofErr w:type="spellEnd"/>
    </w:p>
    <w:p w14:paraId="52CE33B8" w14:textId="7F5EF838" w:rsidR="004E3666" w:rsidRDefault="004E3666" w:rsidP="004E3666">
      <w:pPr>
        <w:pStyle w:val="Titel"/>
        <w:contextualSpacing/>
        <w:rPr>
          <w:b w:val="0"/>
        </w:rPr>
      </w:pPr>
      <w:r w:rsidRPr="004E3666">
        <w:rPr>
          <w:b w:val="0"/>
        </w:rPr>
        <w:t xml:space="preserve">van den Brandeler, E. (2023) </w:t>
      </w:r>
      <w:bookmarkStart w:id="0" w:name="_GoBack"/>
      <w:bookmarkEnd w:id="0"/>
    </w:p>
    <w:p w14:paraId="7965847C" w14:textId="77777777" w:rsidR="004E3666" w:rsidRPr="004E3666" w:rsidRDefault="004E3666" w:rsidP="004E3666"/>
    <w:p w14:paraId="0C535F56" w14:textId="3FCF714F" w:rsidR="006748CD" w:rsidRPr="006748CD" w:rsidRDefault="002E73C5" w:rsidP="008B7853">
      <w:pPr>
        <w:contextualSpacing/>
        <w:jc w:val="left"/>
      </w:pPr>
      <w:proofErr w:type="spellStart"/>
      <w:r w:rsidRPr="006748CD">
        <w:t>Blattner</w:t>
      </w:r>
      <w:proofErr w:type="spellEnd"/>
      <w:r w:rsidRPr="006748CD">
        <w:t>, C. E. (2019).</w:t>
      </w:r>
      <w:r w:rsidRPr="002E73C5">
        <w:rPr>
          <w:i/>
        </w:rPr>
        <w:t xml:space="preserve"> Protecting animals within and across borders: Extraterritorial jurisdiction and the challenges of globalization. </w:t>
      </w:r>
      <w:r w:rsidRPr="006748CD">
        <w:t>Oxford University Press.</w:t>
      </w:r>
      <w:r w:rsidR="0062382B">
        <w:t xml:space="preserve"> </w:t>
      </w:r>
    </w:p>
    <w:p w14:paraId="4D148F28" w14:textId="77777777" w:rsidR="008B7853" w:rsidRDefault="008B7853" w:rsidP="008B7853">
      <w:pPr>
        <w:contextualSpacing/>
      </w:pPr>
    </w:p>
    <w:p w14:paraId="2EE8E2A6" w14:textId="5A37BE15" w:rsidR="004A5795" w:rsidRDefault="00F170A9" w:rsidP="00E00A9A">
      <w:pPr>
        <w:contextualSpacing/>
      </w:pPr>
      <w:r w:rsidRPr="00E21D3C">
        <w:t>Substantive</w:t>
      </w:r>
      <w:r w:rsidR="00B50466" w:rsidRPr="00E21D3C">
        <w:t xml:space="preserve"> animal law</w:t>
      </w:r>
      <w:r w:rsidR="00B50466">
        <w:t xml:space="preserve"> does not appropriately protect the lives of animals</w:t>
      </w:r>
      <w:r>
        <w:t xml:space="preserve"> and—according to </w:t>
      </w:r>
      <w:proofErr w:type="spellStart"/>
      <w:r>
        <w:t>Blatt</w:t>
      </w:r>
      <w:r w:rsidR="00632ABF">
        <w:t>n</w:t>
      </w:r>
      <w:r>
        <w:t>er</w:t>
      </w:r>
      <w:proofErr w:type="spellEnd"/>
      <w:r>
        <w:t xml:space="preserve">—it </w:t>
      </w:r>
      <w:r w:rsidR="008B7853">
        <w:t>cannot</w:t>
      </w:r>
      <w:r w:rsidR="00B50466">
        <w:t>. Namely</w:t>
      </w:r>
      <w:r w:rsidR="00B50466" w:rsidRPr="00B50466">
        <w:t>,</w:t>
      </w:r>
      <w:r>
        <w:t xml:space="preserve"> substantive animal law</w:t>
      </w:r>
      <w:r w:rsidR="00E21D3C">
        <w:t xml:space="preserve"> refers to the rights and obligations that </w:t>
      </w:r>
      <w:r w:rsidR="002D78E0">
        <w:t>the state can enforce to protect</w:t>
      </w:r>
      <w:r w:rsidR="005572BC">
        <w:t xml:space="preserve"> its domestic animals</w:t>
      </w:r>
      <w:r w:rsidR="002D78E0">
        <w:t>.</w:t>
      </w:r>
      <w:r w:rsidR="005572BC">
        <w:t xml:space="preserve"> </w:t>
      </w:r>
      <w:proofErr w:type="spellStart"/>
      <w:r w:rsidR="00477B74">
        <w:t>Blattner</w:t>
      </w:r>
      <w:proofErr w:type="spellEnd"/>
      <w:r w:rsidR="00477B74">
        <w:t xml:space="preserve"> warns that even </w:t>
      </w:r>
      <w:r w:rsidR="008B7853">
        <w:t>with</w:t>
      </w:r>
      <w:r w:rsidR="00477B74">
        <w:t xml:space="preserve"> improved substantive animal law, state protection will not s</w:t>
      </w:r>
      <w:r w:rsidR="00E05BEE">
        <w:t xml:space="preserve">uffice </w:t>
      </w:r>
      <w:r w:rsidR="00477B74">
        <w:t xml:space="preserve">because of </w:t>
      </w:r>
      <w:r w:rsidR="00E05BEE">
        <w:t>“</w:t>
      </w:r>
      <w:r w:rsidR="00477B74">
        <w:t>high level</w:t>
      </w:r>
      <w:r w:rsidR="00E05BEE">
        <w:t>s</w:t>
      </w:r>
      <w:r w:rsidR="00477B74">
        <w:t xml:space="preserve"> of cross-border investment, manufacture, tra</w:t>
      </w:r>
      <w:r w:rsidR="00E05BEE">
        <w:t>nsport, and trade</w:t>
      </w:r>
      <w:r w:rsidR="00C13691">
        <w:t>” (</w:t>
      </w:r>
      <w:r w:rsidR="00E05BEE">
        <w:t>p. 401</w:t>
      </w:r>
      <w:r w:rsidR="00DF391F">
        <w:t xml:space="preserve">). </w:t>
      </w:r>
      <w:r w:rsidR="00062AE8">
        <w:t xml:space="preserve">In particular, she considers four cases in which animal welfare normally evades domestic jurisdiction: </w:t>
      </w:r>
      <w:proofErr w:type="spellStart"/>
      <w:r w:rsidR="00062AE8">
        <w:t>i</w:t>
      </w:r>
      <w:proofErr w:type="spellEnd"/>
      <w:r w:rsidR="00062AE8">
        <w:t xml:space="preserve">) outsourcing, ii) trade, iii) migration of animals and iv) trophy hunting. </w:t>
      </w:r>
      <w:r w:rsidR="00DF391F">
        <w:t>Worryingly, what happens to animals</w:t>
      </w:r>
      <w:r w:rsidR="00265B5F">
        <w:t xml:space="preserve"> in these cases</w:t>
      </w:r>
      <w:r w:rsidR="00DF391F">
        <w:t xml:space="preserve"> falls largely through the cracks of the law. I</w:t>
      </w:r>
      <w:r w:rsidR="00531136">
        <w:t>n response to these governance</w:t>
      </w:r>
      <w:r w:rsidR="00DF391F">
        <w:t xml:space="preserve"> gaps in animal law, </w:t>
      </w:r>
      <w:proofErr w:type="spellStart"/>
      <w:r w:rsidR="00DF391F">
        <w:t>Blattner</w:t>
      </w:r>
      <w:proofErr w:type="spellEnd"/>
      <w:r w:rsidR="00E00A9A">
        <w:t xml:space="preserve"> </w:t>
      </w:r>
      <w:r w:rsidR="001D6AF7">
        <w:t>considers</w:t>
      </w:r>
      <w:r w:rsidR="00477B74">
        <w:t xml:space="preserve"> </w:t>
      </w:r>
      <w:r w:rsidR="00477B74" w:rsidRPr="001D6AF7">
        <w:t>the law of jurisdiction</w:t>
      </w:r>
      <w:r w:rsidR="001D6AF7">
        <w:t>, which defines the limits of when and how states can use their authority (p. 12). She argues that jurisdiction</w:t>
      </w:r>
      <w:r w:rsidR="00477B74">
        <w:t xml:space="preserve"> must be considered </w:t>
      </w:r>
      <w:r w:rsidR="000238BF">
        <w:t xml:space="preserve">and sets out to show its potential to offer robust animal protection </w:t>
      </w:r>
      <w:r w:rsidR="00671731">
        <w:t>within and across state borders.</w:t>
      </w:r>
      <w:r w:rsidR="000238BF">
        <w:t xml:space="preserve"> </w:t>
      </w:r>
      <w:proofErr w:type="spellStart"/>
      <w:r w:rsidR="00E50859">
        <w:t>Blattner</w:t>
      </w:r>
      <w:proofErr w:type="spellEnd"/>
      <w:r>
        <w:t xml:space="preserve"> tackles</w:t>
      </w:r>
      <w:r w:rsidR="00B50466">
        <w:t xml:space="preserve"> two tasks: first, </w:t>
      </w:r>
      <w:r w:rsidR="00E00A9A">
        <w:t>to</w:t>
      </w:r>
      <w:r w:rsidR="00B50466">
        <w:t xml:space="preserve"> offer a </w:t>
      </w:r>
      <w:r>
        <w:t xml:space="preserve">comprehensive </w:t>
      </w:r>
      <w:r w:rsidR="00B50466">
        <w:t xml:space="preserve">framework of indirect and direct, intra- and extraterritorial jurisdiction to protect animals within and across borders. Secondly, </w:t>
      </w:r>
      <w:r w:rsidR="00115E9B">
        <w:t>she</w:t>
      </w:r>
      <w:r>
        <w:t xml:space="preserve"> question</w:t>
      </w:r>
      <w:r w:rsidR="00115E9B">
        <w:t>s</w:t>
      </w:r>
      <w:r w:rsidR="00B50466">
        <w:t xml:space="preserve"> under what circumstances these </w:t>
      </w:r>
      <w:r w:rsidR="00E50859">
        <w:t xml:space="preserve">regulations would be legitimate, or </w:t>
      </w:r>
      <w:r w:rsidR="00632ABF">
        <w:t>whether</w:t>
      </w:r>
      <w:r w:rsidR="00E50859">
        <w:t xml:space="preserve"> they would </w:t>
      </w:r>
      <w:r w:rsidR="00B50466">
        <w:t>violate international law</w:t>
      </w:r>
      <w:r w:rsidR="00E50859">
        <w:t>.</w:t>
      </w:r>
      <w:r w:rsidR="00B50466">
        <w:t xml:space="preserve"> </w:t>
      </w:r>
    </w:p>
    <w:p w14:paraId="4439BFFB" w14:textId="1F910ADB" w:rsidR="00637D77" w:rsidRPr="00B50466" w:rsidRDefault="00EA1CD5" w:rsidP="00637D77">
      <w:pPr>
        <w:ind w:firstLine="709"/>
        <w:contextualSpacing/>
        <w:rPr>
          <w:color w:val="FF0000"/>
        </w:rPr>
      </w:pPr>
      <w:r>
        <w:t>H</w:t>
      </w:r>
      <w:r w:rsidR="00637D77">
        <w:t xml:space="preserve">er project is both novel to scholars who study the law of jurisdiction, as well as to animal rights scholars. Questions about the state’s legitimate scope of jurisdiction are emerging in the field </w:t>
      </w:r>
      <w:r w:rsidR="00C13691">
        <w:t>of environmental law (</w:t>
      </w:r>
      <w:r w:rsidR="00637D77">
        <w:t>p. 18), and are already prominently discussed in human rights law and labor law (p. 68). The same cannot be said about the field of animal law</w:t>
      </w:r>
      <w:r w:rsidR="00632ABF">
        <w:t>,</w:t>
      </w:r>
      <w:r w:rsidR="00637D77">
        <w:t xml:space="preserve"> however, which makes </w:t>
      </w:r>
      <w:proofErr w:type="spellStart"/>
      <w:r w:rsidR="00637D77">
        <w:t>Blattner’s</w:t>
      </w:r>
      <w:proofErr w:type="spellEnd"/>
      <w:r w:rsidR="00637D77">
        <w:t xml:space="preserve"> book an inspiring and impressive </w:t>
      </w:r>
      <w:r w:rsidR="005572BC">
        <w:t>project</w:t>
      </w:r>
      <w:r w:rsidR="00637D77">
        <w:t xml:space="preserve">. </w:t>
      </w:r>
    </w:p>
    <w:p w14:paraId="01B02CD7" w14:textId="3342351D" w:rsidR="00EA1CD5" w:rsidRDefault="005572BC" w:rsidP="00EA1CD5">
      <w:pPr>
        <w:ind w:firstLine="709"/>
        <w:contextualSpacing/>
      </w:pPr>
      <w:r>
        <w:t>With great detail and care, she</w:t>
      </w:r>
      <w:r w:rsidR="00BB37D8" w:rsidRPr="00BB37D8">
        <w:t xml:space="preserve"> exhaust</w:t>
      </w:r>
      <w:r w:rsidR="00265B5F">
        <w:t>s virtually</w:t>
      </w:r>
      <w:r w:rsidR="00BB37D8" w:rsidRPr="00BB37D8">
        <w:t xml:space="preserve"> every legal possibility with which states </w:t>
      </w:r>
      <w:r w:rsidR="00BB37D8">
        <w:t>could</w:t>
      </w:r>
      <w:r w:rsidR="00BB37D8" w:rsidRPr="00BB37D8">
        <w:t xml:space="preserve"> protect animals under intra- and extraterritorial jurisdiction. </w:t>
      </w:r>
      <w:r w:rsidR="00FD410A">
        <w:t xml:space="preserve">The </w:t>
      </w:r>
      <w:proofErr w:type="spellStart"/>
      <w:r w:rsidR="00FD410A" w:rsidRPr="001D6AF7">
        <w:rPr>
          <w:i/>
        </w:rPr>
        <w:t>lex</w:t>
      </w:r>
      <w:proofErr w:type="spellEnd"/>
      <w:r w:rsidR="00FD410A" w:rsidRPr="001D6AF7">
        <w:rPr>
          <w:i/>
        </w:rPr>
        <w:t xml:space="preserve"> </w:t>
      </w:r>
      <w:proofErr w:type="spellStart"/>
      <w:r w:rsidR="00FD410A" w:rsidRPr="001D6AF7">
        <w:rPr>
          <w:i/>
        </w:rPr>
        <w:t>lata</w:t>
      </w:r>
      <w:proofErr w:type="spellEnd"/>
      <w:r w:rsidR="001D6AF7">
        <w:rPr>
          <w:i/>
        </w:rPr>
        <w:t>—</w:t>
      </w:r>
      <w:r w:rsidR="001D6AF7" w:rsidRPr="001D6AF7">
        <w:t>i.e. the law as it exists</w:t>
      </w:r>
      <w:r w:rsidR="001D6AF7">
        <w:rPr>
          <w:i/>
        </w:rPr>
        <w:t>—</w:t>
      </w:r>
      <w:r w:rsidR="00FD410A">
        <w:t>is discussed in</w:t>
      </w:r>
      <w:r w:rsidR="00BB37D8">
        <w:t xml:space="preserve"> </w:t>
      </w:r>
      <w:r w:rsidR="00637D77">
        <w:t>chapter</w:t>
      </w:r>
      <w:r w:rsidR="00FD410A">
        <w:t>s</w:t>
      </w:r>
      <w:r w:rsidR="00637D77">
        <w:t xml:space="preserve"> three through six</w:t>
      </w:r>
      <w:r w:rsidR="00B50466">
        <w:t xml:space="preserve"> </w:t>
      </w:r>
      <w:r w:rsidR="00FD410A">
        <w:t>and considered for its</w:t>
      </w:r>
      <w:r w:rsidR="00BB37D8">
        <w:t xml:space="preserve"> efficiency</w:t>
      </w:r>
      <w:r w:rsidR="00FD410A">
        <w:t>,</w:t>
      </w:r>
      <w:r w:rsidR="00BB37D8">
        <w:t xml:space="preserve"> and legitimacy </w:t>
      </w:r>
      <w:r w:rsidR="00FD410A">
        <w:t>for</w:t>
      </w:r>
      <w:r w:rsidR="00B50466">
        <w:t xml:space="preserve"> </w:t>
      </w:r>
      <w:r w:rsidR="00BF2AF9">
        <w:t xml:space="preserve">indirect </w:t>
      </w:r>
      <w:r w:rsidR="00A13A99">
        <w:t xml:space="preserve">and direct </w:t>
      </w:r>
      <w:r w:rsidR="00BF2AF9">
        <w:t>regulations</w:t>
      </w:r>
      <w:r w:rsidR="00FD410A">
        <w:t xml:space="preserve"> in animal law</w:t>
      </w:r>
      <w:r w:rsidR="00A13A99">
        <w:t xml:space="preserve">. She considers regulations </w:t>
      </w:r>
      <w:r w:rsidR="00BF2AF9">
        <w:t xml:space="preserve">such as </w:t>
      </w:r>
      <w:r w:rsidR="00BB37D8">
        <w:t xml:space="preserve">import regulations, trade restrictions (in the form of labels, taxes, quantitative restrictions), investment rules, export credits, codes of conduct, </w:t>
      </w:r>
      <w:r w:rsidR="000C50BA">
        <w:t xml:space="preserve">CSR policies, </w:t>
      </w:r>
      <w:r w:rsidR="00BB37D8">
        <w:t>best practices, reporting duties, impact assessments, (import) prohibitions</w:t>
      </w:r>
      <w:r w:rsidR="00632ABF">
        <w:t>,</w:t>
      </w:r>
      <w:r w:rsidR="00BB37D8">
        <w:t xml:space="preserve"> and so on</w:t>
      </w:r>
      <w:r w:rsidR="00A13A99">
        <w:t xml:space="preserve">. </w:t>
      </w:r>
      <w:r w:rsidR="00FD410A">
        <w:t>From chapter seven onwards, s</w:t>
      </w:r>
      <w:r w:rsidR="00AE2FB8">
        <w:t xml:space="preserve">he </w:t>
      </w:r>
      <w:r w:rsidR="00FD410A">
        <w:t xml:space="preserve">ventures into the </w:t>
      </w:r>
      <w:proofErr w:type="spellStart"/>
      <w:r w:rsidR="00FD410A" w:rsidRPr="001D6AF7">
        <w:rPr>
          <w:i/>
        </w:rPr>
        <w:t>lex</w:t>
      </w:r>
      <w:proofErr w:type="spellEnd"/>
      <w:r w:rsidR="00FD410A" w:rsidRPr="001D6AF7">
        <w:rPr>
          <w:i/>
        </w:rPr>
        <w:t xml:space="preserve"> </w:t>
      </w:r>
      <w:proofErr w:type="spellStart"/>
      <w:r w:rsidR="00FD410A" w:rsidRPr="001D6AF7">
        <w:rPr>
          <w:i/>
        </w:rPr>
        <w:t>ferenda</w:t>
      </w:r>
      <w:proofErr w:type="spellEnd"/>
      <w:r w:rsidR="001D6AF7">
        <w:rPr>
          <w:i/>
        </w:rPr>
        <w:t>—</w:t>
      </w:r>
      <w:r w:rsidR="001D6AF7" w:rsidRPr="001D6AF7">
        <w:t>i.e. what the law should be</w:t>
      </w:r>
      <w:r w:rsidR="001D6AF7">
        <w:rPr>
          <w:i/>
        </w:rPr>
        <w:t>—</w:t>
      </w:r>
      <w:r w:rsidR="00FD410A" w:rsidRPr="00FD410A">
        <w:t>and</w:t>
      </w:r>
      <w:r w:rsidR="00FD410A">
        <w:rPr>
          <w:i/>
        </w:rPr>
        <w:t xml:space="preserve"> </w:t>
      </w:r>
      <w:r w:rsidR="00FD410A">
        <w:t xml:space="preserve">bravely argues </w:t>
      </w:r>
      <w:r w:rsidR="00AE2FB8">
        <w:t xml:space="preserve">that even direct extraterritorial regulation—which is the most </w:t>
      </w:r>
      <w:r w:rsidR="002173E8">
        <w:t>invasive</w:t>
      </w:r>
      <w:r w:rsidR="005C5884">
        <w:t xml:space="preserve"> type of jurisdiction—</w:t>
      </w:r>
      <w:r w:rsidR="008B7853">
        <w:t>could</w:t>
      </w:r>
      <w:r w:rsidR="00BF2AF9">
        <w:t xml:space="preserve"> be </w:t>
      </w:r>
      <w:r w:rsidR="008B7853">
        <w:t xml:space="preserve">enforced </w:t>
      </w:r>
      <w:r w:rsidR="00BF2AF9">
        <w:t>in accordance with</w:t>
      </w:r>
      <w:r w:rsidR="00AE2FB8">
        <w:t xml:space="preserve"> international law</w:t>
      </w:r>
      <w:r w:rsidR="001D6AF7">
        <w:t>. Namely,</w:t>
      </w:r>
      <w:r w:rsidR="005E4FD5">
        <w:t xml:space="preserve"> it need not threaten the principle of sovereign equality, the right to territorial integrity and the duty of </w:t>
      </w:r>
      <w:r>
        <w:t>noninterference</w:t>
      </w:r>
      <w:r w:rsidR="001D6AF7">
        <w:t>, thereby limiting legal conflicts that may emerge</w:t>
      </w:r>
      <w:r w:rsidR="005E4FD5">
        <w:t xml:space="preserve">. </w:t>
      </w:r>
      <w:r w:rsidR="00EA1CD5">
        <w:t>S</w:t>
      </w:r>
      <w:r>
        <w:t>he presents a convincing argument</w:t>
      </w:r>
      <w:r w:rsidR="006842E4" w:rsidRPr="001F072E">
        <w:t xml:space="preserve">, </w:t>
      </w:r>
      <w:r w:rsidR="00EA1CD5">
        <w:t>and inspires animal and legal scholars alike to reconsider whose responsibility it is to protect animal welfare</w:t>
      </w:r>
      <w:r w:rsidR="000C1AE1">
        <w:t xml:space="preserve"> across </w:t>
      </w:r>
      <w:r w:rsidR="000C1AE1" w:rsidRPr="00B17051">
        <w:t>borders</w:t>
      </w:r>
      <w:r w:rsidR="00EA1CD5" w:rsidRPr="00B17051">
        <w:t>.</w:t>
      </w:r>
      <w:r w:rsidR="00EA1CD5">
        <w:t xml:space="preserve"> </w:t>
      </w:r>
    </w:p>
    <w:p w14:paraId="6964755C" w14:textId="636DF65D" w:rsidR="00265B5F" w:rsidRDefault="00265B5F" w:rsidP="00265B5F">
      <w:pPr>
        <w:ind w:firstLine="709"/>
        <w:contextualSpacing/>
      </w:pPr>
      <w:r>
        <w:t xml:space="preserve">Clearly, the book discusses a large scope of legal possibilities which are crucial to consider for effective animal protection. Given the lengthy lists of legal cases, abbreviations used throughout the book and the general amount of detail and detective work, </w:t>
      </w:r>
      <w:proofErr w:type="spellStart"/>
      <w:r>
        <w:t>Blattner’s</w:t>
      </w:r>
      <w:proofErr w:type="spellEnd"/>
      <w:r>
        <w:t xml:space="preserve"> book has proven to be a useful reference to both legal and animal scholars alike. The drawback of </w:t>
      </w:r>
      <w:proofErr w:type="spellStart"/>
      <w:r>
        <w:t>Blattner’s</w:t>
      </w:r>
      <w:proofErr w:type="spellEnd"/>
      <w:r>
        <w:t xml:space="preserve"> enthusiasm is that, at times, the thesis loses its focus by taking detours on substantive law, history on animal law and on unnecessary </w:t>
      </w:r>
      <w:r w:rsidRPr="00DF391F">
        <w:t xml:space="preserve">detailed biological explanations </w:t>
      </w:r>
      <w:r>
        <w:t>of what an animal actually is. However, most importantly</w:t>
      </w:r>
      <w:r w:rsidRPr="009561A4">
        <w:t xml:space="preserve">, she inspires the reader to </w:t>
      </w:r>
      <w:r>
        <w:t xml:space="preserve">consider all legal possibilities </w:t>
      </w:r>
      <w:r w:rsidRPr="009561A4">
        <w:t>to protect animals</w:t>
      </w:r>
      <w:r>
        <w:t xml:space="preserve"> within and across borders</w:t>
      </w:r>
      <w:r w:rsidRPr="009561A4">
        <w:t xml:space="preserve">, </w:t>
      </w:r>
      <w:r>
        <w:lastRenderedPageBreak/>
        <w:t xml:space="preserve">that might be considered too radical at first glance. Indeed, achieving justice for animals will require such extraordinary measures. </w:t>
      </w:r>
    </w:p>
    <w:p w14:paraId="0DA49294" w14:textId="7C3245B1" w:rsidR="0039765A" w:rsidRDefault="00FC03A6" w:rsidP="0039765A">
      <w:pPr>
        <w:ind w:firstLine="709"/>
        <w:contextualSpacing/>
      </w:pPr>
      <w:r>
        <w:t>In particular</w:t>
      </w:r>
      <w:r w:rsidR="00531136">
        <w:t xml:space="preserve">, </w:t>
      </w:r>
      <w:proofErr w:type="spellStart"/>
      <w:r w:rsidR="00EA1CD5">
        <w:t>Blattner</w:t>
      </w:r>
      <w:proofErr w:type="spellEnd"/>
      <w:r w:rsidR="00EA1CD5">
        <w:t xml:space="preserve"> </w:t>
      </w:r>
      <w:r w:rsidR="0039765A">
        <w:t xml:space="preserve">suggests </w:t>
      </w:r>
      <w:r w:rsidR="00E50859">
        <w:t xml:space="preserve">to embrace </w:t>
      </w:r>
      <w:r w:rsidR="0039765A">
        <w:t xml:space="preserve">a legal pluralism </w:t>
      </w:r>
      <w:r w:rsidR="000C1AE1">
        <w:t>and cross-comparison of</w:t>
      </w:r>
      <w:r w:rsidR="0039765A">
        <w:t xml:space="preserve"> animal laws to inspire a race to the top. She reassures that overlapping jurisdiction is the best bet for animal protection. Namely, according to </w:t>
      </w:r>
      <w:proofErr w:type="spellStart"/>
      <w:r w:rsidR="00C3409E">
        <w:t>Blattner</w:t>
      </w:r>
      <w:proofErr w:type="spellEnd"/>
      <w:r w:rsidR="0039765A">
        <w:t xml:space="preserve">, the success and legitimacy of enforcing such jurisdiction significantly increases when more states would do so. Instead of accepting current governance gaps where lawless areas cannot protect animals at all, instead, in the legal pluralism that she proposes, multiple states would bear responsibility for animal welfare issues; i.e. positive competency conflict. </w:t>
      </w:r>
      <w:r w:rsidR="00C13691">
        <w:t xml:space="preserve">Arguably the biggest hurdle </w:t>
      </w:r>
      <w:r w:rsidR="006842E4" w:rsidRPr="001F072E">
        <w:t xml:space="preserve">to </w:t>
      </w:r>
      <w:r w:rsidR="00F70782">
        <w:t>instating</w:t>
      </w:r>
      <w:r w:rsidR="006842E4" w:rsidRPr="001F072E">
        <w:t xml:space="preserve"> extraterritorial jurisdiction is to ensure that its regulations do not introduce a new “form of ethical, social, or cultural value imposition, imperialism, hegemony, parochialism, </w:t>
      </w:r>
      <w:r w:rsidR="00E05BEE">
        <w:t>[or] neocolonialism</w:t>
      </w:r>
      <w:r w:rsidR="00C13691">
        <w:t>.” (</w:t>
      </w:r>
      <w:r w:rsidR="00E05BEE">
        <w:t>p. 366</w:t>
      </w:r>
      <w:r w:rsidR="006842E4" w:rsidRPr="001F072E">
        <w:t xml:space="preserve">). </w:t>
      </w:r>
      <w:proofErr w:type="spellStart"/>
      <w:r w:rsidR="006842E4" w:rsidRPr="001F072E">
        <w:t>Blattner</w:t>
      </w:r>
      <w:proofErr w:type="spellEnd"/>
      <w:r w:rsidR="00F70782">
        <w:t xml:space="preserve"> </w:t>
      </w:r>
      <w:r w:rsidR="006842E4" w:rsidRPr="001F072E">
        <w:t>recognizes</w:t>
      </w:r>
      <w:r w:rsidR="00320CD2" w:rsidRPr="001F072E">
        <w:t xml:space="preserve"> the validity of </w:t>
      </w:r>
      <w:r w:rsidR="0019762C">
        <w:t>such worries</w:t>
      </w:r>
      <w:r w:rsidR="00320CD2" w:rsidRPr="001F072E">
        <w:t>, and</w:t>
      </w:r>
      <w:r w:rsidR="006842E4" w:rsidRPr="001F072E">
        <w:t xml:space="preserve"> the dangers of appropriating animal regulations to perpetuate other forms of oppression of social minorities</w:t>
      </w:r>
      <w:r w:rsidR="0019762C">
        <w:t xml:space="preserve"> </w:t>
      </w:r>
      <w:r w:rsidR="0019762C">
        <w:fldChar w:fldCharType="begin"/>
      </w:r>
      <w:r w:rsidR="0019762C">
        <w:instrText xml:space="preserve"> ADDIN ZOTERO_ITEM CSL_CITATION {"citationID":"oGCZAahl","properties":{"formattedCitation":"(Cordeiro-Rodrigues &amp; Mitchell, 2017)","plainCitation":"(Cordeiro-Rodrigues &amp; Mitchell, 2017)","noteIndex":0},"citationItems":[{"id":1454,"uris":["http://zotero.org/users/6863373/items/U9CUAP2U"],"itemData":{"id":1454,"type":"book","collection-title":"The Palgrave Macmillan Animal Ethics Series","event-place":"Cham","ISBN":"978-3-319-66567-2","language":"en","note":"DOI: 10.1007/978-3-319-66568-9","publisher":"Springer International Publishing","publisher-place":"Cham","source":"DOI.org (Crossref)","title":"Animals, Race, and Multiculturalism","URL":"https://link.springer.com/10.1007/978-3-319-66568-9","editor":[{"family":"Cordeiro-Rodrigues","given":"Luís"},{"family":"Mitchell","given":"Les"}],"accessed":{"date-parts":[["2022",9,30]]},"issued":{"date-parts":[["2017"]]}}}],"schema":"https://github.com/citation-style-language/schema/raw/master/csl-citation.json"} </w:instrText>
      </w:r>
      <w:r w:rsidR="0019762C">
        <w:fldChar w:fldCharType="separate"/>
      </w:r>
      <w:r w:rsidR="0019762C" w:rsidRPr="0019762C">
        <w:rPr>
          <w:rFonts w:ascii="Calibri" w:hAnsi="Calibri" w:cs="Calibri"/>
        </w:rPr>
        <w:t>(Cordeiro-Rodrigues &amp; Mitchell, 2017)</w:t>
      </w:r>
      <w:r w:rsidR="0019762C">
        <w:fldChar w:fldCharType="end"/>
      </w:r>
      <w:r w:rsidR="006842E4" w:rsidRPr="001F072E">
        <w:t>.</w:t>
      </w:r>
      <w:r w:rsidR="00320CD2" w:rsidRPr="001F072E">
        <w:t xml:space="preserve"> </w:t>
      </w:r>
      <w:r w:rsidR="0039765A">
        <w:t xml:space="preserve">Still, it remains unclear to what extent her proposal actually aids to settle this </w:t>
      </w:r>
      <w:r w:rsidR="00414812">
        <w:t>imperialist objection</w:t>
      </w:r>
      <w:r w:rsidR="0039765A">
        <w:t xml:space="preserve">. I discuss two </w:t>
      </w:r>
      <w:r w:rsidR="00E50859">
        <w:t>worries</w:t>
      </w:r>
      <w:r w:rsidR="0039765A">
        <w:t xml:space="preserve">. </w:t>
      </w:r>
    </w:p>
    <w:p w14:paraId="1FF6305B" w14:textId="6A29A260" w:rsidR="006842E4" w:rsidRPr="001F072E" w:rsidRDefault="0039765A" w:rsidP="001F072E">
      <w:pPr>
        <w:ind w:firstLine="708"/>
        <w:contextualSpacing/>
      </w:pPr>
      <w:r>
        <w:t>First</w:t>
      </w:r>
      <w:r w:rsidR="006842E4" w:rsidRPr="001F072E">
        <w:t xml:space="preserve">, creating overlapping jurisdiction </w:t>
      </w:r>
      <w:r w:rsidR="001F072E" w:rsidRPr="001F072E">
        <w:t>and</w:t>
      </w:r>
      <w:r w:rsidR="00632ABF">
        <w:t xml:space="preserve"> legal pluralism </w:t>
      </w:r>
      <w:r w:rsidR="006842E4" w:rsidRPr="001F072E">
        <w:t>only works</w:t>
      </w:r>
      <w:r w:rsidR="001F072E" w:rsidRPr="001F072E">
        <w:t xml:space="preserve"> legitimately </w:t>
      </w:r>
      <w:r w:rsidR="006842E4" w:rsidRPr="001F072E">
        <w:t>when indeed all states take seriously a commitment to protect animals.</w:t>
      </w:r>
      <w:r w:rsidR="001F072E" w:rsidRPr="001F072E">
        <w:t xml:space="preserve"> Somewhat problematically,</w:t>
      </w:r>
      <w:r w:rsidR="006842E4" w:rsidRPr="001F072E">
        <w:t xml:space="preserve"> this </w:t>
      </w:r>
      <w:r w:rsidR="001F072E" w:rsidRPr="001F072E">
        <w:t xml:space="preserve">requires </w:t>
      </w:r>
      <w:r w:rsidR="006842E4" w:rsidRPr="001F072E">
        <w:t>an international commitment to protect animal welfare. To date, no</w:t>
      </w:r>
      <w:r w:rsidR="00F70782">
        <w:t xml:space="preserve"> such</w:t>
      </w:r>
      <w:r w:rsidR="006842E4" w:rsidRPr="001F072E">
        <w:t xml:space="preserve"> international agreement </w:t>
      </w:r>
      <w:r w:rsidR="00A378B0">
        <w:t>or</w:t>
      </w:r>
      <w:r w:rsidR="006842E4" w:rsidRPr="001F072E">
        <w:t xml:space="preserve"> treaty on animal welfare</w:t>
      </w:r>
      <w:r w:rsidR="001F072E">
        <w:t xml:space="preserve"> exists, and</w:t>
      </w:r>
      <w:r w:rsidR="006842E4" w:rsidRPr="001F072E">
        <w:t xml:space="preserve"> </w:t>
      </w:r>
      <w:proofErr w:type="spellStart"/>
      <w:r w:rsidR="006842E4" w:rsidRPr="001F072E">
        <w:t>Blattner</w:t>
      </w:r>
      <w:proofErr w:type="spellEnd"/>
      <w:r w:rsidR="006842E4" w:rsidRPr="001F072E">
        <w:t xml:space="preserve"> herself points out that it is unlikely</w:t>
      </w:r>
      <w:r w:rsidR="001F072E">
        <w:t xml:space="preserve"> to happen</w:t>
      </w:r>
      <w:r w:rsidR="00265B5F">
        <w:t xml:space="preserve"> (</w:t>
      </w:r>
      <w:r w:rsidR="005D2C95">
        <w:t>p. 403</w:t>
      </w:r>
      <w:r w:rsidR="00265B5F">
        <w:t>)</w:t>
      </w:r>
      <w:r w:rsidR="006842E4" w:rsidRPr="001F072E">
        <w:t xml:space="preserve">. </w:t>
      </w:r>
      <w:r>
        <w:t xml:space="preserve">Without such an international commitment the question </w:t>
      </w:r>
      <w:r w:rsidR="00531136">
        <w:t xml:space="preserve">remains </w:t>
      </w:r>
      <w:r w:rsidRPr="001F072E">
        <w:t xml:space="preserve">how states can best navigate the legal extraterritorial landscape without overstepping </w:t>
      </w:r>
      <w:r w:rsidR="00632ABF">
        <w:t>their</w:t>
      </w:r>
      <w:r w:rsidRPr="001F072E">
        <w:t xml:space="preserve"> legitimate regulatory claims. </w:t>
      </w:r>
    </w:p>
    <w:p w14:paraId="27A37F94" w14:textId="4B4C8F54" w:rsidR="0039765A" w:rsidRPr="002D78E0" w:rsidRDefault="0039765A" w:rsidP="00B23177">
      <w:pPr>
        <w:ind w:firstLine="709"/>
        <w:contextualSpacing/>
      </w:pPr>
      <w:r w:rsidRPr="002D78E0">
        <w:t>Secondly</w:t>
      </w:r>
      <w:r w:rsidR="00A378B0" w:rsidRPr="002D78E0">
        <w:t xml:space="preserve">, </w:t>
      </w:r>
      <w:r w:rsidR="009A7933" w:rsidRPr="002D78E0">
        <w:t xml:space="preserve">it remains up for debate whether the fact that positive competency conflict is best for animal welfare, is sufficiently </w:t>
      </w:r>
      <w:r w:rsidR="00326377" w:rsidRPr="002D78E0">
        <w:t>strong</w:t>
      </w:r>
      <w:r w:rsidR="009A7933" w:rsidRPr="002D78E0">
        <w:t xml:space="preserve"> to risk imperialist jurisdiction and oppression of human minorities. </w:t>
      </w:r>
      <w:r w:rsidR="004C7376" w:rsidRPr="002D78E0">
        <w:t>It should be</w:t>
      </w:r>
      <w:r w:rsidR="00DA1BC3">
        <w:t xml:space="preserve"> </w:t>
      </w:r>
      <w:r w:rsidR="0077342F">
        <w:t>clarified</w:t>
      </w:r>
      <w:r w:rsidR="004C7376" w:rsidRPr="002D78E0">
        <w:t xml:space="preserve"> when exactly concerns about animal </w:t>
      </w:r>
      <w:r w:rsidR="00E71555">
        <w:t>protection</w:t>
      </w:r>
      <w:r w:rsidR="004C7376" w:rsidRPr="002D78E0">
        <w:t xml:space="preserve"> sufficiently overrule imperialist risks</w:t>
      </w:r>
      <w:r w:rsidR="005F723B">
        <w:t xml:space="preserve">. </w:t>
      </w:r>
      <w:r w:rsidR="00C80A90">
        <w:t>It is questionable whether</w:t>
      </w:r>
      <w:r w:rsidR="004C7376" w:rsidRPr="002D78E0">
        <w:t xml:space="preserve"> </w:t>
      </w:r>
      <w:r w:rsidR="00DA1BC3">
        <w:t>embracing</w:t>
      </w:r>
      <w:r w:rsidR="00EB1BE8" w:rsidRPr="002D78E0">
        <w:t xml:space="preserve"> the proposed three pillars to </w:t>
      </w:r>
      <w:proofErr w:type="spellStart"/>
      <w:r w:rsidR="00EB1BE8" w:rsidRPr="002D78E0">
        <w:t>i</w:t>
      </w:r>
      <w:proofErr w:type="spellEnd"/>
      <w:r w:rsidR="00EB1BE8" w:rsidRPr="002D78E0">
        <w:t>) listen to other perspectives, ii) strive for systemic avoidance of racialization of animal exploitation, and iii) to consult and collaborate in good faith (p. 372-373)</w:t>
      </w:r>
      <w:r w:rsidR="00E71555">
        <w:t>,</w:t>
      </w:r>
      <w:r w:rsidR="00C80A90">
        <w:t xml:space="preserve"> </w:t>
      </w:r>
      <w:r w:rsidR="005F723B">
        <w:t>is sufficient to legitimize use of extraterritorial means</w:t>
      </w:r>
      <w:r w:rsidR="00C80A90">
        <w:t xml:space="preserve"> with imperialist risks</w:t>
      </w:r>
      <w:r w:rsidR="00A67C3B">
        <w:t xml:space="preserve">. </w:t>
      </w:r>
      <w:r w:rsidR="005F723B">
        <w:t xml:space="preserve">Especially since it is very likely that concurrent jurisdiction between states will act as a tool to oppress minorities (p. 372). </w:t>
      </w:r>
      <w:r w:rsidR="004C7376" w:rsidRPr="002D78E0">
        <w:t xml:space="preserve">Although </w:t>
      </w:r>
      <w:proofErr w:type="spellStart"/>
      <w:r w:rsidR="004C7376" w:rsidRPr="002D78E0">
        <w:t>Blattner’s</w:t>
      </w:r>
      <w:proofErr w:type="spellEnd"/>
      <w:r w:rsidR="004C7376" w:rsidRPr="002D78E0">
        <w:t xml:space="preserve"> </w:t>
      </w:r>
      <w:r w:rsidR="007F21B3" w:rsidRPr="002D78E0">
        <w:t xml:space="preserve">different types of jurisdictional conflict help determine the </w:t>
      </w:r>
      <w:r w:rsidR="007F21B3" w:rsidRPr="00A2381D">
        <w:rPr>
          <w:i/>
        </w:rPr>
        <w:t>severity</w:t>
      </w:r>
      <w:r w:rsidR="007F21B3" w:rsidRPr="002D78E0">
        <w:t xml:space="preserve"> of jurisdictional conflicts, </w:t>
      </w:r>
      <w:r w:rsidR="005F723B">
        <w:t>additional guidelines or desiderata are required that determine</w:t>
      </w:r>
      <w:r w:rsidR="009A7933" w:rsidRPr="002D78E0">
        <w:t xml:space="preserve"> </w:t>
      </w:r>
      <w:r w:rsidR="004C7376" w:rsidRPr="002D78E0">
        <w:rPr>
          <w:i/>
        </w:rPr>
        <w:t>under what conditions</w:t>
      </w:r>
      <w:r w:rsidR="009A7933" w:rsidRPr="002D78E0">
        <w:t xml:space="preserve"> those conflic</w:t>
      </w:r>
      <w:r w:rsidR="00EB1BE8" w:rsidRPr="002D78E0">
        <w:t xml:space="preserve">ts </w:t>
      </w:r>
      <w:r w:rsidR="002F3D15" w:rsidRPr="002D78E0">
        <w:t>may</w:t>
      </w:r>
      <w:r w:rsidR="00EB1BE8" w:rsidRPr="002D78E0">
        <w:t xml:space="preserve"> legitimate</w:t>
      </w:r>
      <w:r w:rsidR="00B264A8">
        <w:t>ly</w:t>
      </w:r>
      <w:r w:rsidR="00EB1BE8" w:rsidRPr="002D78E0">
        <w:t xml:space="preserve"> </w:t>
      </w:r>
      <w:r w:rsidR="002F3D15" w:rsidRPr="002D78E0">
        <w:t>be introduced</w:t>
      </w:r>
      <w:r w:rsidR="004C7376" w:rsidRPr="002D78E0">
        <w:t xml:space="preserve">. </w:t>
      </w:r>
    </w:p>
    <w:p w14:paraId="55482E3B" w14:textId="632A86FC" w:rsidR="00182317" w:rsidRDefault="00D34EC1" w:rsidP="009155F0">
      <w:pPr>
        <w:ind w:firstLine="709"/>
        <w:contextualSpacing/>
      </w:pPr>
      <w:proofErr w:type="spellStart"/>
      <w:r w:rsidRPr="00CF0F99">
        <w:t>Blattner</w:t>
      </w:r>
      <w:proofErr w:type="spellEnd"/>
      <w:r w:rsidR="00182317" w:rsidRPr="00CF0F99">
        <w:t xml:space="preserve"> </w:t>
      </w:r>
      <w:r w:rsidR="00B264A8" w:rsidRPr="00CF0F99">
        <w:t xml:space="preserve">does </w:t>
      </w:r>
      <w:r w:rsidR="00CD64CA">
        <w:t>indicate</w:t>
      </w:r>
      <w:r w:rsidR="00B264A8" w:rsidRPr="00CF0F99">
        <w:t xml:space="preserve"> </w:t>
      </w:r>
      <w:r w:rsidR="00BA7F2A">
        <w:t>when</w:t>
      </w:r>
      <w:r w:rsidR="00B264A8" w:rsidRPr="00CF0F99">
        <w:t xml:space="preserve"> extraterritorial jurisdiction would be most successful</w:t>
      </w:r>
      <w:r w:rsidR="00026121">
        <w:t xml:space="preserve"> and </w:t>
      </w:r>
      <w:r w:rsidR="00B02A1B">
        <w:t xml:space="preserve">least </w:t>
      </w:r>
      <w:r w:rsidR="00CD64CA">
        <w:t>likely to risk</w:t>
      </w:r>
      <w:r w:rsidR="00B02A1B">
        <w:t xml:space="preserve"> oppressing minorities</w:t>
      </w:r>
      <w:r w:rsidR="00B264A8" w:rsidRPr="00CF0F99">
        <w:t xml:space="preserve">. </w:t>
      </w:r>
      <w:r w:rsidR="00AB38CD">
        <w:t>Namely, t</w:t>
      </w:r>
      <w:r w:rsidR="00B72B3D" w:rsidRPr="00CF0F99">
        <w:t>he predicted success and validity of extraterritorial jurisdiction</w:t>
      </w:r>
      <w:r w:rsidR="00FA36D8" w:rsidRPr="00CF0F99">
        <w:t xml:space="preserve"> depends on</w:t>
      </w:r>
      <w:r w:rsidR="00B72B3D" w:rsidRPr="00CF0F99">
        <w:t xml:space="preserve"> a social and political climate that is already protective of animals. </w:t>
      </w:r>
      <w:r w:rsidR="00FA36D8">
        <w:t>On its own,</w:t>
      </w:r>
      <w:r w:rsidR="00182317">
        <w:t xml:space="preserve"> </w:t>
      </w:r>
      <w:r w:rsidR="00CF0F99">
        <w:t xml:space="preserve">an </w:t>
      </w:r>
      <w:r w:rsidR="00115E9B" w:rsidRPr="006416E3">
        <w:t xml:space="preserve">extraterritorial jurisdiction framework may not be as revolutionary </w:t>
      </w:r>
      <w:r w:rsidR="00DA31E7" w:rsidRPr="006416E3">
        <w:t>in terms of</w:t>
      </w:r>
      <w:r w:rsidR="00115E9B" w:rsidRPr="006416E3">
        <w:t xml:space="preserve"> </w:t>
      </w:r>
      <w:r w:rsidR="00D02202">
        <w:t>the moral standing of animals</w:t>
      </w:r>
      <w:r w:rsidR="00115E9B" w:rsidRPr="006416E3">
        <w:t xml:space="preserve">. </w:t>
      </w:r>
      <w:r w:rsidR="00D77183">
        <w:t>Since</w:t>
      </w:r>
      <w:r w:rsidR="00115E9B" w:rsidRPr="006416E3">
        <w:t xml:space="preserve"> states seem to prefer jurisdiction that uses value-neutral (i.e. non-animal-related) anchor points, essentially the validity </w:t>
      </w:r>
      <w:r w:rsidR="00DA31E7" w:rsidRPr="006416E3">
        <w:t xml:space="preserve">of their </w:t>
      </w:r>
      <w:r w:rsidR="00115E9B" w:rsidRPr="006416E3">
        <w:t xml:space="preserve">jurisdiction </w:t>
      </w:r>
      <w:r w:rsidR="00D77183">
        <w:t xml:space="preserve">is based </w:t>
      </w:r>
      <w:r w:rsidR="00115E9B" w:rsidRPr="006416E3">
        <w:t>on other values than animal protection (e.g. economic or social values)</w:t>
      </w:r>
      <w:r w:rsidR="001517AE">
        <w:t xml:space="preserve"> (p. 270)</w:t>
      </w:r>
      <w:r w:rsidR="00115E9B" w:rsidRPr="006416E3">
        <w:t xml:space="preserve">. In addition to the </w:t>
      </w:r>
      <w:r w:rsidR="00265B5F">
        <w:t>foreseeably</w:t>
      </w:r>
      <w:r w:rsidR="00DA31E7" w:rsidRPr="006416E3">
        <w:t xml:space="preserve"> </w:t>
      </w:r>
      <w:r w:rsidR="00115E9B" w:rsidRPr="006416E3">
        <w:t>unchanged property status of animals</w:t>
      </w:r>
      <w:r w:rsidR="0019762C">
        <w:t xml:space="preserve"> </w:t>
      </w:r>
      <w:r w:rsidR="0019762C">
        <w:fldChar w:fldCharType="begin"/>
      </w:r>
      <w:r w:rsidR="0019762C">
        <w:instrText xml:space="preserve"> ADDIN ZOTERO_ITEM CSL_CITATION {"citationID":"mBiBQjPF","properties":{"formattedCitation":"(Kymlicka, 2017)","plainCitation":"(Kymlicka, 2017)","noteIndex":0},"citationItems":[{"id":68,"uris":["http://zotero.org/users/6863373/items/FE8U3UP4"],"itemData":{"id":68,"type":"article-journal","container-title":"Dalhousie Law Journal","issue":"1","journalAbbreviation":"Dalhousie L.J.","language":"eng","page":"123-156","source":"HeinOnline","title":"Social Membership: Animal Law beyond the Property/Personhood Impasse","title-short":"Social Membership","volume":"40","author":[{"family":"Kymlicka","given":"Will"}],"issued":{"date-parts":[["2017"]]}}}],"schema":"https://github.com/citation-style-language/schema/raw/master/csl-citation.json"} </w:instrText>
      </w:r>
      <w:r w:rsidR="0019762C">
        <w:fldChar w:fldCharType="separate"/>
      </w:r>
      <w:r w:rsidR="0019762C" w:rsidRPr="0019762C">
        <w:rPr>
          <w:rFonts w:ascii="Calibri" w:hAnsi="Calibri" w:cs="Calibri"/>
        </w:rPr>
        <w:t>(Kymlicka, 2017)</w:t>
      </w:r>
      <w:r w:rsidR="0019762C">
        <w:fldChar w:fldCharType="end"/>
      </w:r>
      <w:r w:rsidR="00115E9B" w:rsidRPr="006416E3">
        <w:t xml:space="preserve">, </w:t>
      </w:r>
      <w:r w:rsidR="009155F0">
        <w:t>this makes it</w:t>
      </w:r>
      <w:r w:rsidR="00115E9B" w:rsidRPr="006416E3">
        <w:t xml:space="preserve"> unlikely that extraterritorial jurisdiction will pave the way toward interspecies justice. </w:t>
      </w:r>
    </w:p>
    <w:p w14:paraId="41CB40AE" w14:textId="5F99713F" w:rsidR="00182317" w:rsidRDefault="00123648" w:rsidP="00CF0F99">
      <w:pPr>
        <w:ind w:firstLine="709"/>
        <w:contextualSpacing/>
      </w:pPr>
      <w:r>
        <w:t>Indeed</w:t>
      </w:r>
      <w:r w:rsidR="0033537F" w:rsidRPr="00182317">
        <w:t xml:space="preserve">, </w:t>
      </w:r>
      <w:proofErr w:type="spellStart"/>
      <w:r w:rsidR="00182317" w:rsidRPr="00182317">
        <w:t>Blattner</w:t>
      </w:r>
      <w:proofErr w:type="spellEnd"/>
      <w:r w:rsidR="0033537F" w:rsidRPr="00182317">
        <w:t xml:space="preserve"> admits that extraterritorial jurisdiction is only as strong as the animal laws across the border (p. 409). And so, she </w:t>
      </w:r>
      <w:r w:rsidR="00182317">
        <w:t xml:space="preserve">elegantly </w:t>
      </w:r>
      <w:r w:rsidR="0033537F" w:rsidRPr="00182317">
        <w:t>places her research in line with current efforts to improve substantive animal law</w:t>
      </w:r>
      <w:r w:rsidR="00182317">
        <w:t xml:space="preserve"> while remaining critical of them</w:t>
      </w:r>
      <w:r w:rsidR="0033537F" w:rsidRPr="00182317">
        <w:t xml:space="preserve">. </w:t>
      </w:r>
      <w:r w:rsidR="00182317" w:rsidRPr="00182317">
        <w:t>For instance, by arguing</w:t>
      </w:r>
      <w:r w:rsidR="0033537F" w:rsidRPr="00182317">
        <w:t xml:space="preserve"> that even the most progressive animal laws in the world fall short as animal protection law</w:t>
      </w:r>
      <w:r w:rsidR="00632ABF">
        <w:t>s</w:t>
      </w:r>
      <w:r w:rsidR="0033537F" w:rsidRPr="00182317">
        <w:t xml:space="preserve"> (p. 353 and chapter 8 and 9). </w:t>
      </w:r>
      <w:r w:rsidR="00182317">
        <w:t xml:space="preserve">Moreover, </w:t>
      </w:r>
      <w:r w:rsidR="00182317" w:rsidRPr="00182317">
        <w:t>t</w:t>
      </w:r>
      <w:r w:rsidR="0033537F" w:rsidRPr="00182317">
        <w:t xml:space="preserve">hroughout the book she </w:t>
      </w:r>
      <w:r w:rsidR="00182317" w:rsidRPr="00182317">
        <w:t xml:space="preserve">vigilantly </w:t>
      </w:r>
      <w:r w:rsidR="0033537F" w:rsidRPr="00182317">
        <w:t xml:space="preserve">questions the motives of </w:t>
      </w:r>
      <w:r w:rsidR="001727D2" w:rsidRPr="001727D2">
        <w:t>regulatory</w:t>
      </w:r>
      <w:r w:rsidR="00265B5F" w:rsidRPr="001727D2">
        <w:t xml:space="preserve"> </w:t>
      </w:r>
      <w:r w:rsidR="0033537F" w:rsidRPr="00182317">
        <w:t>bodies</w:t>
      </w:r>
      <w:r w:rsidR="001727D2">
        <w:t xml:space="preserve"> </w:t>
      </w:r>
      <w:r w:rsidR="0033537F" w:rsidRPr="00182317">
        <w:t>that supposedly protect the interests of animals (e.g.</w:t>
      </w:r>
      <w:r w:rsidR="00265B5F">
        <w:t>,</w:t>
      </w:r>
      <w:r w:rsidR="0033537F" w:rsidRPr="00182317">
        <w:t xml:space="preserve"> p. 360), and emphasizes that human interests remain systematically (and unfairly) prioritized over animal interests. Her book perfect</w:t>
      </w:r>
      <w:r w:rsidR="00182317">
        <w:t>ly</w:t>
      </w:r>
      <w:r w:rsidR="0033537F" w:rsidRPr="00182317">
        <w:t xml:space="preserve"> </w:t>
      </w:r>
      <w:r w:rsidR="00182317">
        <w:t>exemplifies</w:t>
      </w:r>
      <w:r w:rsidR="0033537F" w:rsidRPr="00182317">
        <w:t xml:space="preserve"> why substantive animal law and the law of jurisdiction must be considered simultaneously to ensure an absence of governance gaps and to provide animals with robust protection around the globe. As such, her work is especially well-suited to support a globalized or cosmopolitan view of animal rights</w:t>
      </w:r>
      <w:r w:rsidR="0019762C">
        <w:t xml:space="preserve"> </w:t>
      </w:r>
      <w:r w:rsidR="0019762C">
        <w:fldChar w:fldCharType="begin"/>
      </w:r>
      <w:r w:rsidR="0019762C">
        <w:instrText xml:space="preserve"> ADDIN ZOTERO_ITEM CSL_CITATION {"citationID":"5Pxj2V00","properties":{"formattedCitation":"(Cooke, 2014)","plainCitation":"(Cooke, 2014)","noteIndex":0},"citationItems":[{"id":1456,"uris":["http://zotero.org/users/6863373/items/P8N3UW5A"],"itemData":{"id":1456,"type":"article-journal","abstract":"In this article I propose a cosmopolitan approach to animal rights based upon Kant's right of universal hospitality. Many approaches to animal rights buttress their arguments by finding similarities between humans and non-human animals; in this way they represent or resemble ethics of partiality. In this article I propose an approach to animal rights that initially rejects similarity approaches and is instead based upon the adoption of a cosmopolitan mindset acknowledging and respecting difference. Furthermore, and in agreement with Martha Nussbaum, and Sue Donaldson and Will Kymlicka, I endorse the view that theories of animal rights need to be theories of justice and include a political component. Contra Donaldson and Kymlicka, however, I argue that the starting point for analysis of political theories of animal rights should be at the global rather than national level. Taking animals as strangers, I propose adopting a Kantian cosmopolitan mindset and ethic of universal hospitality towards them. I address how a ius cosmopoliticum that is hospitable to the interests of non-human animals can govern interactions with animals on fair terms, and I respond to concerns that cosmopolitanism cannot accommodate non-human animals because it is a democratic ideal, is grounded in logocentrism or rests upon ownership of territory by humans.","container-title":"Political Studies","DOI":"10.1111/1467-9248.12054","ISSN":"0032-3217","issue":"4","language":"en","note":"publisher: SAGE Publications Ltd","page":"930-944","source":"SAGE Journals","title":"Perpetual Strangers: Animals and the Cosmopolitan Right","title-short":"Perpetual Strangers","volume":"62","author":[{"family":"Cooke","given":"Steve"}],"issued":{"date-parts":[["2014",12,1]]}}}],"schema":"https://github.com/citation-style-language/schema/raw/master/csl-citation.json"} </w:instrText>
      </w:r>
      <w:r w:rsidR="0019762C">
        <w:fldChar w:fldCharType="separate"/>
      </w:r>
      <w:r w:rsidR="0019762C" w:rsidRPr="0019762C">
        <w:rPr>
          <w:rFonts w:ascii="Calibri" w:hAnsi="Calibri" w:cs="Calibri"/>
        </w:rPr>
        <w:t xml:space="preserve">(Cooke, </w:t>
      </w:r>
      <w:r w:rsidR="0019762C" w:rsidRPr="0019762C">
        <w:rPr>
          <w:rFonts w:ascii="Calibri" w:hAnsi="Calibri" w:cs="Calibri"/>
        </w:rPr>
        <w:lastRenderedPageBreak/>
        <w:t>2014)</w:t>
      </w:r>
      <w:r w:rsidR="0019762C">
        <w:fldChar w:fldCharType="end"/>
      </w:r>
      <w:r w:rsidR="0033537F" w:rsidRPr="00182317">
        <w:t xml:space="preserve">. </w:t>
      </w:r>
      <w:r w:rsidR="00947926" w:rsidRPr="00C64239">
        <w:t xml:space="preserve">Although </w:t>
      </w:r>
      <w:proofErr w:type="spellStart"/>
      <w:r w:rsidR="00947926" w:rsidRPr="00C64239">
        <w:t>Blattner</w:t>
      </w:r>
      <w:proofErr w:type="spellEnd"/>
      <w:r w:rsidR="00947926" w:rsidRPr="00C64239">
        <w:t xml:space="preserve"> herself defends a strong animal rights position, her deliberation on the promise of extraterritorial jurisdiction applies to both animal </w:t>
      </w:r>
      <w:proofErr w:type="spellStart"/>
      <w:r w:rsidR="00947926" w:rsidRPr="00C64239">
        <w:t>welfarist</w:t>
      </w:r>
      <w:r w:rsidR="00B264A8">
        <w:t>s</w:t>
      </w:r>
      <w:proofErr w:type="spellEnd"/>
      <w:r w:rsidR="00947926" w:rsidRPr="00C64239">
        <w:t xml:space="preserve"> as well as animal rights scholar</w:t>
      </w:r>
      <w:r w:rsidR="00B264A8">
        <w:t>s</w:t>
      </w:r>
      <w:r w:rsidR="00947926" w:rsidRPr="00C64239">
        <w:t>. Because of this, h</w:t>
      </w:r>
      <w:r w:rsidR="0033537F" w:rsidRPr="00C64239">
        <w:t xml:space="preserve">er work could be meaningful to </w:t>
      </w:r>
      <w:r w:rsidR="00B264A8">
        <w:t xml:space="preserve">many animal ethicists. </w:t>
      </w:r>
    </w:p>
    <w:p w14:paraId="094C3FA3" w14:textId="77777777" w:rsidR="003F10A6" w:rsidRDefault="003F10A6" w:rsidP="003F10A6">
      <w:pPr>
        <w:contextualSpacing/>
      </w:pPr>
    </w:p>
    <w:p w14:paraId="4A6CC993" w14:textId="5F3D0EDD" w:rsidR="00946AE7" w:rsidRPr="00E05BEE" w:rsidRDefault="00946AE7" w:rsidP="003F10A6">
      <w:pPr>
        <w:contextualSpacing/>
        <w:rPr>
          <w:i/>
          <w:lang w:val="nl-NL"/>
        </w:rPr>
      </w:pPr>
      <w:r w:rsidRPr="00E05BEE">
        <w:rPr>
          <w:i/>
          <w:lang w:val="nl-NL"/>
        </w:rPr>
        <w:t xml:space="preserve">Emnée van den Brandeler, University of Basel. </w:t>
      </w:r>
    </w:p>
    <w:p w14:paraId="44700D73" w14:textId="616B7B14" w:rsidR="0019762C" w:rsidRPr="00E05BEE" w:rsidRDefault="0019762C" w:rsidP="003F10A6">
      <w:pPr>
        <w:contextualSpacing/>
        <w:rPr>
          <w:i/>
          <w:lang w:val="nl-NL"/>
        </w:rPr>
      </w:pPr>
    </w:p>
    <w:p w14:paraId="735DA04E" w14:textId="69DBBBB5" w:rsidR="0019762C" w:rsidRPr="00E05BEE" w:rsidRDefault="0019762C" w:rsidP="003F10A6">
      <w:pPr>
        <w:contextualSpacing/>
        <w:rPr>
          <w:i/>
          <w:lang w:val="nl-NL"/>
        </w:rPr>
      </w:pPr>
    </w:p>
    <w:p w14:paraId="2DBCF3D5" w14:textId="2A3D201A" w:rsidR="0019762C" w:rsidRPr="0019762C" w:rsidRDefault="0019762C" w:rsidP="003F10A6">
      <w:pPr>
        <w:contextualSpacing/>
        <w:rPr>
          <w:b/>
        </w:rPr>
      </w:pPr>
      <w:r w:rsidRPr="0019762C">
        <w:rPr>
          <w:b/>
        </w:rPr>
        <w:t>References</w:t>
      </w:r>
    </w:p>
    <w:p w14:paraId="30E4618D" w14:textId="77777777" w:rsidR="0019762C" w:rsidRPr="0019762C" w:rsidRDefault="0019762C" w:rsidP="0019762C">
      <w:pPr>
        <w:pStyle w:val="Literaturverzeichnis"/>
        <w:spacing w:line="240" w:lineRule="auto"/>
        <w:rPr>
          <w:rFonts w:ascii="Calibri" w:hAnsi="Calibri" w:cs="Calibri"/>
        </w:rPr>
      </w:pPr>
      <w:r>
        <w:rPr>
          <w:i/>
        </w:rPr>
        <w:fldChar w:fldCharType="begin"/>
      </w:r>
      <w:r>
        <w:rPr>
          <w:i/>
        </w:rPr>
        <w:instrText xml:space="preserve"> ADDIN ZOTERO_BIBL {"uncited":[],"omitted":[],"custom":[]} CSL_BIBLIOGRAPHY </w:instrText>
      </w:r>
      <w:r>
        <w:rPr>
          <w:i/>
        </w:rPr>
        <w:fldChar w:fldCharType="separate"/>
      </w:r>
      <w:r w:rsidRPr="0019762C">
        <w:rPr>
          <w:rFonts w:ascii="Calibri" w:hAnsi="Calibri" w:cs="Calibri"/>
        </w:rPr>
        <w:t xml:space="preserve">Cooke, S. (2014). Perpetual Strangers: Animals and the Cosmopolitan Right. </w:t>
      </w:r>
      <w:r w:rsidRPr="0019762C">
        <w:rPr>
          <w:rFonts w:ascii="Calibri" w:hAnsi="Calibri" w:cs="Calibri"/>
          <w:i/>
          <w:iCs/>
        </w:rPr>
        <w:t>Political Studies</w:t>
      </w:r>
      <w:r w:rsidRPr="0019762C">
        <w:rPr>
          <w:rFonts w:ascii="Calibri" w:hAnsi="Calibri" w:cs="Calibri"/>
        </w:rPr>
        <w:t xml:space="preserve">, </w:t>
      </w:r>
      <w:r w:rsidRPr="0019762C">
        <w:rPr>
          <w:rFonts w:ascii="Calibri" w:hAnsi="Calibri" w:cs="Calibri"/>
          <w:i/>
          <w:iCs/>
        </w:rPr>
        <w:t>62</w:t>
      </w:r>
      <w:r w:rsidRPr="0019762C">
        <w:rPr>
          <w:rFonts w:ascii="Calibri" w:hAnsi="Calibri" w:cs="Calibri"/>
        </w:rPr>
        <w:t>(4), 930–944. https://doi.org/10.1111/1467-9248.12054</w:t>
      </w:r>
    </w:p>
    <w:p w14:paraId="447F32D1" w14:textId="77777777" w:rsidR="0019762C" w:rsidRPr="0019762C" w:rsidRDefault="0019762C" w:rsidP="0019762C">
      <w:pPr>
        <w:pStyle w:val="Literaturverzeichnis"/>
        <w:spacing w:line="240" w:lineRule="auto"/>
        <w:rPr>
          <w:rFonts w:ascii="Calibri" w:hAnsi="Calibri" w:cs="Calibri"/>
        </w:rPr>
      </w:pPr>
      <w:r w:rsidRPr="0019762C">
        <w:rPr>
          <w:rFonts w:ascii="Calibri" w:hAnsi="Calibri" w:cs="Calibri"/>
        </w:rPr>
        <w:t xml:space="preserve">Cordeiro-Rodrigues, L., &amp; Mitchell, L. (Eds.). (2017). </w:t>
      </w:r>
      <w:r w:rsidRPr="0019762C">
        <w:rPr>
          <w:rFonts w:ascii="Calibri" w:hAnsi="Calibri" w:cs="Calibri"/>
          <w:i/>
          <w:iCs/>
        </w:rPr>
        <w:t>Animals, Race, and Multiculturalism</w:t>
      </w:r>
      <w:r w:rsidRPr="0019762C">
        <w:rPr>
          <w:rFonts w:ascii="Calibri" w:hAnsi="Calibri" w:cs="Calibri"/>
        </w:rPr>
        <w:t>. Springer International Publishing. https://doi.org/10.1007/978-3-319-66568-9</w:t>
      </w:r>
    </w:p>
    <w:p w14:paraId="5ECD5889" w14:textId="77777777" w:rsidR="0019762C" w:rsidRPr="0019762C" w:rsidRDefault="0019762C" w:rsidP="0019762C">
      <w:pPr>
        <w:pStyle w:val="Literaturverzeichnis"/>
        <w:spacing w:line="240" w:lineRule="auto"/>
        <w:rPr>
          <w:rFonts w:ascii="Calibri" w:hAnsi="Calibri" w:cs="Calibri"/>
        </w:rPr>
      </w:pPr>
      <w:r w:rsidRPr="0019762C">
        <w:rPr>
          <w:rFonts w:ascii="Calibri" w:hAnsi="Calibri" w:cs="Calibri"/>
        </w:rPr>
        <w:t xml:space="preserve">Kymlicka, W. (2017). Social Membership: Animal Law beyond the Property/Personhood Impasse. </w:t>
      </w:r>
      <w:r w:rsidRPr="0019762C">
        <w:rPr>
          <w:rFonts w:ascii="Calibri" w:hAnsi="Calibri" w:cs="Calibri"/>
          <w:i/>
          <w:iCs/>
        </w:rPr>
        <w:t>Dalhousie Law Journal</w:t>
      </w:r>
      <w:r w:rsidRPr="0019762C">
        <w:rPr>
          <w:rFonts w:ascii="Calibri" w:hAnsi="Calibri" w:cs="Calibri"/>
        </w:rPr>
        <w:t xml:space="preserve">, </w:t>
      </w:r>
      <w:r w:rsidRPr="0019762C">
        <w:rPr>
          <w:rFonts w:ascii="Calibri" w:hAnsi="Calibri" w:cs="Calibri"/>
          <w:i/>
          <w:iCs/>
        </w:rPr>
        <w:t>40</w:t>
      </w:r>
      <w:r w:rsidRPr="0019762C">
        <w:rPr>
          <w:rFonts w:ascii="Calibri" w:hAnsi="Calibri" w:cs="Calibri"/>
        </w:rPr>
        <w:t>(1), 123–156.</w:t>
      </w:r>
    </w:p>
    <w:p w14:paraId="1CA26AAF" w14:textId="1F0C1469" w:rsidR="00DF391F" w:rsidRPr="0019762C" w:rsidRDefault="0019762C" w:rsidP="0019762C">
      <w:pPr>
        <w:spacing w:line="240" w:lineRule="auto"/>
        <w:contextualSpacing/>
        <w:rPr>
          <w:i/>
        </w:rPr>
      </w:pPr>
      <w:r>
        <w:rPr>
          <w:i/>
        </w:rPr>
        <w:fldChar w:fldCharType="end"/>
      </w:r>
    </w:p>
    <w:sectPr w:rsidR="00DF391F" w:rsidRPr="00197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C5"/>
    <w:rsid w:val="000052C8"/>
    <w:rsid w:val="000064C9"/>
    <w:rsid w:val="000072AA"/>
    <w:rsid w:val="000238BF"/>
    <w:rsid w:val="00026121"/>
    <w:rsid w:val="00034F14"/>
    <w:rsid w:val="00062AE8"/>
    <w:rsid w:val="000A1166"/>
    <w:rsid w:val="000B2CAC"/>
    <w:rsid w:val="000C1AE1"/>
    <w:rsid w:val="000C50BA"/>
    <w:rsid w:val="000E0F37"/>
    <w:rsid w:val="000F0722"/>
    <w:rsid w:val="001019B2"/>
    <w:rsid w:val="00115E9B"/>
    <w:rsid w:val="00123648"/>
    <w:rsid w:val="00125DA7"/>
    <w:rsid w:val="0013045C"/>
    <w:rsid w:val="00147DD9"/>
    <w:rsid w:val="001517AE"/>
    <w:rsid w:val="001523FC"/>
    <w:rsid w:val="001727D2"/>
    <w:rsid w:val="0017596A"/>
    <w:rsid w:val="00182317"/>
    <w:rsid w:val="00197069"/>
    <w:rsid w:val="0019762C"/>
    <w:rsid w:val="001C1724"/>
    <w:rsid w:val="001C3131"/>
    <w:rsid w:val="001C7FAB"/>
    <w:rsid w:val="001D6AF7"/>
    <w:rsid w:val="001F072E"/>
    <w:rsid w:val="002173E8"/>
    <w:rsid w:val="00242BB1"/>
    <w:rsid w:val="00265B5F"/>
    <w:rsid w:val="00281C5A"/>
    <w:rsid w:val="002D5A95"/>
    <w:rsid w:val="002D78E0"/>
    <w:rsid w:val="002E73C5"/>
    <w:rsid w:val="002F3D15"/>
    <w:rsid w:val="00320CD2"/>
    <w:rsid w:val="00326377"/>
    <w:rsid w:val="0033537F"/>
    <w:rsid w:val="00336EDD"/>
    <w:rsid w:val="00341DCC"/>
    <w:rsid w:val="00342D7A"/>
    <w:rsid w:val="00350337"/>
    <w:rsid w:val="0039765A"/>
    <w:rsid w:val="003A0B32"/>
    <w:rsid w:val="003D5E33"/>
    <w:rsid w:val="003D6A28"/>
    <w:rsid w:val="003F10A6"/>
    <w:rsid w:val="003F4512"/>
    <w:rsid w:val="00404238"/>
    <w:rsid w:val="00414812"/>
    <w:rsid w:val="004415FA"/>
    <w:rsid w:val="00477B74"/>
    <w:rsid w:val="004A5795"/>
    <w:rsid w:val="004C7376"/>
    <w:rsid w:val="004E3666"/>
    <w:rsid w:val="00531136"/>
    <w:rsid w:val="00556562"/>
    <w:rsid w:val="005572BC"/>
    <w:rsid w:val="00593476"/>
    <w:rsid w:val="005B2A3A"/>
    <w:rsid w:val="005C5884"/>
    <w:rsid w:val="005D2C95"/>
    <w:rsid w:val="005E35AB"/>
    <w:rsid w:val="005E4FD5"/>
    <w:rsid w:val="005F723B"/>
    <w:rsid w:val="0061067D"/>
    <w:rsid w:val="00616441"/>
    <w:rsid w:val="0062382B"/>
    <w:rsid w:val="00630721"/>
    <w:rsid w:val="00632ABF"/>
    <w:rsid w:val="00637D77"/>
    <w:rsid w:val="006416E3"/>
    <w:rsid w:val="00670C97"/>
    <w:rsid w:val="00671731"/>
    <w:rsid w:val="006748CD"/>
    <w:rsid w:val="006842E4"/>
    <w:rsid w:val="00695CD0"/>
    <w:rsid w:val="006A2EE4"/>
    <w:rsid w:val="006B5D66"/>
    <w:rsid w:val="006E18CB"/>
    <w:rsid w:val="006F2E07"/>
    <w:rsid w:val="006F4F12"/>
    <w:rsid w:val="0070622D"/>
    <w:rsid w:val="007718AB"/>
    <w:rsid w:val="0077342F"/>
    <w:rsid w:val="007C7E01"/>
    <w:rsid w:val="007F21B3"/>
    <w:rsid w:val="0084047D"/>
    <w:rsid w:val="00841251"/>
    <w:rsid w:val="008422BF"/>
    <w:rsid w:val="00845E1D"/>
    <w:rsid w:val="0086311A"/>
    <w:rsid w:val="00872B21"/>
    <w:rsid w:val="00873ED5"/>
    <w:rsid w:val="00884B42"/>
    <w:rsid w:val="008B7853"/>
    <w:rsid w:val="008F1F81"/>
    <w:rsid w:val="009110B2"/>
    <w:rsid w:val="009116ED"/>
    <w:rsid w:val="009155F0"/>
    <w:rsid w:val="00946AE7"/>
    <w:rsid w:val="00947926"/>
    <w:rsid w:val="00947E46"/>
    <w:rsid w:val="009561A4"/>
    <w:rsid w:val="009848D4"/>
    <w:rsid w:val="00996491"/>
    <w:rsid w:val="009A7933"/>
    <w:rsid w:val="00A13A99"/>
    <w:rsid w:val="00A20856"/>
    <w:rsid w:val="00A2381D"/>
    <w:rsid w:val="00A359F1"/>
    <w:rsid w:val="00A378B0"/>
    <w:rsid w:val="00A51605"/>
    <w:rsid w:val="00A67C3B"/>
    <w:rsid w:val="00A9018C"/>
    <w:rsid w:val="00AB38CD"/>
    <w:rsid w:val="00AD7467"/>
    <w:rsid w:val="00AE2FB8"/>
    <w:rsid w:val="00AE7942"/>
    <w:rsid w:val="00B02A1B"/>
    <w:rsid w:val="00B052D8"/>
    <w:rsid w:val="00B17051"/>
    <w:rsid w:val="00B23177"/>
    <w:rsid w:val="00B264A8"/>
    <w:rsid w:val="00B36C84"/>
    <w:rsid w:val="00B50466"/>
    <w:rsid w:val="00B71ABF"/>
    <w:rsid w:val="00B72B3D"/>
    <w:rsid w:val="00B80D10"/>
    <w:rsid w:val="00B97541"/>
    <w:rsid w:val="00BA670D"/>
    <w:rsid w:val="00BA7F2A"/>
    <w:rsid w:val="00BB1BFE"/>
    <w:rsid w:val="00BB37D8"/>
    <w:rsid w:val="00BF2AF9"/>
    <w:rsid w:val="00C011BD"/>
    <w:rsid w:val="00C01D33"/>
    <w:rsid w:val="00C12880"/>
    <w:rsid w:val="00C13691"/>
    <w:rsid w:val="00C17591"/>
    <w:rsid w:val="00C3409E"/>
    <w:rsid w:val="00C413BD"/>
    <w:rsid w:val="00C51A20"/>
    <w:rsid w:val="00C64239"/>
    <w:rsid w:val="00C80A90"/>
    <w:rsid w:val="00C97109"/>
    <w:rsid w:val="00CC4B64"/>
    <w:rsid w:val="00CD64CA"/>
    <w:rsid w:val="00CF0F99"/>
    <w:rsid w:val="00D013DE"/>
    <w:rsid w:val="00D02202"/>
    <w:rsid w:val="00D106A7"/>
    <w:rsid w:val="00D34EC1"/>
    <w:rsid w:val="00D77183"/>
    <w:rsid w:val="00DA1BC3"/>
    <w:rsid w:val="00DA31E7"/>
    <w:rsid w:val="00DD7AA0"/>
    <w:rsid w:val="00DF391F"/>
    <w:rsid w:val="00E00A9A"/>
    <w:rsid w:val="00E05BEE"/>
    <w:rsid w:val="00E1391C"/>
    <w:rsid w:val="00E21D3C"/>
    <w:rsid w:val="00E301CB"/>
    <w:rsid w:val="00E37F33"/>
    <w:rsid w:val="00E50859"/>
    <w:rsid w:val="00E71555"/>
    <w:rsid w:val="00E7342E"/>
    <w:rsid w:val="00E75F4E"/>
    <w:rsid w:val="00E81DB1"/>
    <w:rsid w:val="00EA1CD5"/>
    <w:rsid w:val="00EA425A"/>
    <w:rsid w:val="00EB0E3A"/>
    <w:rsid w:val="00EB1BE8"/>
    <w:rsid w:val="00EB7601"/>
    <w:rsid w:val="00ED7923"/>
    <w:rsid w:val="00F0238D"/>
    <w:rsid w:val="00F101DF"/>
    <w:rsid w:val="00F15241"/>
    <w:rsid w:val="00F170A9"/>
    <w:rsid w:val="00F70782"/>
    <w:rsid w:val="00F8283E"/>
    <w:rsid w:val="00F853B5"/>
    <w:rsid w:val="00FA36D8"/>
    <w:rsid w:val="00FC03A6"/>
    <w:rsid w:val="00FC7C72"/>
    <w:rsid w:val="00FD41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601B"/>
  <w15:chartTrackingRefBased/>
  <w15:docId w15:val="{17DCED9E-0591-4653-A22E-D1D4646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3C5"/>
    <w:pPr>
      <w:jc w:val="both"/>
    </w:pPr>
    <w:rPr>
      <w:rFonts w:cstheme="minorHAns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73C5"/>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Titel">
    <w:name w:val="Title"/>
    <w:basedOn w:val="Standard"/>
    <w:next w:val="Standard"/>
    <w:link w:val="TitelZchn"/>
    <w:uiPriority w:val="10"/>
    <w:qFormat/>
    <w:rsid w:val="002E73C5"/>
    <w:rPr>
      <w:b/>
    </w:rPr>
  </w:style>
  <w:style w:type="character" w:customStyle="1" w:styleId="TitelZchn">
    <w:name w:val="Titel Zchn"/>
    <w:basedOn w:val="Absatz-Standardschriftart"/>
    <w:link w:val="Titel"/>
    <w:uiPriority w:val="10"/>
    <w:rsid w:val="002E73C5"/>
    <w:rPr>
      <w:rFonts w:cstheme="minorHAnsi"/>
      <w:b/>
      <w:lang w:val="en-US"/>
    </w:rPr>
  </w:style>
  <w:style w:type="character" w:styleId="Kommentarzeichen">
    <w:name w:val="annotation reference"/>
    <w:basedOn w:val="Absatz-Standardschriftart"/>
    <w:uiPriority w:val="99"/>
    <w:semiHidden/>
    <w:unhideWhenUsed/>
    <w:rsid w:val="002E73C5"/>
    <w:rPr>
      <w:sz w:val="16"/>
      <w:szCs w:val="16"/>
    </w:rPr>
  </w:style>
  <w:style w:type="paragraph" w:styleId="Kommentartext">
    <w:name w:val="annotation text"/>
    <w:basedOn w:val="Standard"/>
    <w:link w:val="KommentartextZchn"/>
    <w:uiPriority w:val="99"/>
    <w:unhideWhenUsed/>
    <w:rsid w:val="002E73C5"/>
    <w:pPr>
      <w:spacing w:line="240" w:lineRule="auto"/>
    </w:pPr>
    <w:rPr>
      <w:sz w:val="20"/>
      <w:szCs w:val="20"/>
    </w:rPr>
  </w:style>
  <w:style w:type="character" w:customStyle="1" w:styleId="KommentartextZchn">
    <w:name w:val="Kommentartext Zchn"/>
    <w:basedOn w:val="Absatz-Standardschriftart"/>
    <w:link w:val="Kommentartext"/>
    <w:uiPriority w:val="99"/>
    <w:rsid w:val="002E73C5"/>
    <w:rPr>
      <w:rFonts w:ascii="Garamond" w:hAnsi="Garamond"/>
      <w:sz w:val="20"/>
      <w:szCs w:val="20"/>
      <w:lang w:val="en-US"/>
    </w:rPr>
  </w:style>
  <w:style w:type="paragraph" w:styleId="Kommentarthema">
    <w:name w:val="annotation subject"/>
    <w:basedOn w:val="Kommentartext"/>
    <w:next w:val="Kommentartext"/>
    <w:link w:val="KommentarthemaZchn"/>
    <w:uiPriority w:val="99"/>
    <w:semiHidden/>
    <w:unhideWhenUsed/>
    <w:rsid w:val="002E73C5"/>
    <w:rPr>
      <w:b/>
      <w:bCs/>
    </w:rPr>
  </w:style>
  <w:style w:type="character" w:customStyle="1" w:styleId="KommentarthemaZchn">
    <w:name w:val="Kommentarthema Zchn"/>
    <w:basedOn w:val="KommentartextZchn"/>
    <w:link w:val="Kommentarthema"/>
    <w:uiPriority w:val="99"/>
    <w:semiHidden/>
    <w:rsid w:val="002E73C5"/>
    <w:rPr>
      <w:rFonts w:ascii="Garamond" w:hAnsi="Garamond"/>
      <w:b/>
      <w:bCs/>
      <w:sz w:val="20"/>
      <w:szCs w:val="20"/>
      <w:lang w:val="en-US"/>
    </w:rPr>
  </w:style>
  <w:style w:type="paragraph" w:styleId="Sprechblasentext">
    <w:name w:val="Balloon Text"/>
    <w:basedOn w:val="Standard"/>
    <w:link w:val="SprechblasentextZchn"/>
    <w:uiPriority w:val="99"/>
    <w:semiHidden/>
    <w:unhideWhenUsed/>
    <w:rsid w:val="002E7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3C5"/>
    <w:rPr>
      <w:rFonts w:ascii="Segoe UI" w:hAnsi="Segoe UI" w:cs="Segoe UI"/>
      <w:sz w:val="18"/>
      <w:szCs w:val="18"/>
      <w:lang w:val="en-US"/>
    </w:rPr>
  </w:style>
  <w:style w:type="paragraph" w:styleId="Listenabsatz">
    <w:name w:val="List Paragraph"/>
    <w:basedOn w:val="Standard"/>
    <w:uiPriority w:val="34"/>
    <w:qFormat/>
    <w:rsid w:val="001C1724"/>
    <w:pPr>
      <w:ind w:left="720"/>
      <w:contextualSpacing/>
    </w:pPr>
  </w:style>
  <w:style w:type="paragraph" w:styleId="Literaturverzeichnis">
    <w:name w:val="Bibliography"/>
    <w:basedOn w:val="Standard"/>
    <w:next w:val="Standard"/>
    <w:uiPriority w:val="37"/>
    <w:unhideWhenUsed/>
    <w:rsid w:val="0019762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8048">
      <w:bodyDiv w:val="1"/>
      <w:marLeft w:val="0"/>
      <w:marRight w:val="0"/>
      <w:marTop w:val="0"/>
      <w:marBottom w:val="0"/>
      <w:divBdr>
        <w:top w:val="none" w:sz="0" w:space="0" w:color="auto"/>
        <w:left w:val="none" w:sz="0" w:space="0" w:color="auto"/>
        <w:bottom w:val="none" w:sz="0" w:space="0" w:color="auto"/>
        <w:right w:val="none" w:sz="0" w:space="0" w:color="auto"/>
      </w:divBdr>
    </w:div>
    <w:div w:id="835530813">
      <w:bodyDiv w:val="1"/>
      <w:marLeft w:val="0"/>
      <w:marRight w:val="0"/>
      <w:marTop w:val="0"/>
      <w:marBottom w:val="0"/>
      <w:divBdr>
        <w:top w:val="none" w:sz="0" w:space="0" w:color="auto"/>
        <w:left w:val="none" w:sz="0" w:space="0" w:color="auto"/>
        <w:bottom w:val="none" w:sz="0" w:space="0" w:color="auto"/>
        <w:right w:val="none" w:sz="0" w:space="0" w:color="auto"/>
      </w:divBdr>
    </w:div>
    <w:div w:id="898125935">
      <w:bodyDiv w:val="1"/>
      <w:marLeft w:val="0"/>
      <w:marRight w:val="0"/>
      <w:marTop w:val="0"/>
      <w:marBottom w:val="0"/>
      <w:divBdr>
        <w:top w:val="none" w:sz="0" w:space="0" w:color="auto"/>
        <w:left w:val="none" w:sz="0" w:space="0" w:color="auto"/>
        <w:bottom w:val="none" w:sz="0" w:space="0" w:color="auto"/>
        <w:right w:val="none" w:sz="0" w:space="0" w:color="auto"/>
      </w:divBdr>
      <w:divsChild>
        <w:div w:id="29914218">
          <w:marLeft w:val="480"/>
          <w:marRight w:val="0"/>
          <w:marTop w:val="0"/>
          <w:marBottom w:val="0"/>
          <w:divBdr>
            <w:top w:val="none" w:sz="0" w:space="0" w:color="auto"/>
            <w:left w:val="none" w:sz="0" w:space="0" w:color="auto"/>
            <w:bottom w:val="none" w:sz="0" w:space="0" w:color="auto"/>
            <w:right w:val="none" w:sz="0" w:space="0" w:color="auto"/>
          </w:divBdr>
          <w:divsChild>
            <w:div w:id="17600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11694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Emnée van den Brandeler</dc:creator>
  <cp:keywords/>
  <dc:description/>
  <cp:lastModifiedBy>Emnée van den Brandeler</cp:lastModifiedBy>
  <cp:revision>113</cp:revision>
  <dcterms:created xsi:type="dcterms:W3CDTF">2022-09-21T12:23:00Z</dcterms:created>
  <dcterms:modified xsi:type="dcterms:W3CDTF">2024-01-02T16:38:00Z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id="rBbnG2Gd"/&gt;&lt;style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