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AF8B" w14:textId="71B85EB7" w:rsidR="007C52DC" w:rsidRDefault="003D29EB" w:rsidP="00381609">
      <w:pPr>
        <w:ind w:firstLine="0"/>
        <w:rPr>
          <w:sz w:val="22"/>
          <w:szCs w:val="22"/>
        </w:rPr>
      </w:pPr>
      <w:r w:rsidRPr="00381609">
        <w:rPr>
          <w:sz w:val="22"/>
          <w:szCs w:val="22"/>
        </w:rPr>
        <w:t xml:space="preserve">This is the peer-reviewed version of the following article: </w:t>
      </w:r>
      <w:r w:rsidRPr="00381609">
        <w:rPr>
          <w:sz w:val="22"/>
          <w:szCs w:val="22"/>
        </w:rPr>
        <w:t xml:space="preserve">Emanuel Viebahn: </w:t>
      </w:r>
      <w:r w:rsidRPr="00381609">
        <w:rPr>
          <w:sz w:val="22"/>
          <w:szCs w:val="22"/>
        </w:rPr>
        <w:t>The Lying-Misleading Distinction: A Commitment-Based Approach</w:t>
      </w:r>
      <w:r w:rsidRPr="00381609">
        <w:rPr>
          <w:sz w:val="22"/>
          <w:szCs w:val="22"/>
        </w:rPr>
        <w:t xml:space="preserve">. </w:t>
      </w:r>
      <w:r w:rsidRPr="00381609">
        <w:rPr>
          <w:i/>
          <w:iCs/>
          <w:sz w:val="22"/>
          <w:szCs w:val="22"/>
        </w:rPr>
        <w:t>The Journal of Philosophy</w:t>
      </w:r>
      <w:r w:rsidRPr="00381609">
        <w:rPr>
          <w:sz w:val="22"/>
          <w:szCs w:val="22"/>
        </w:rPr>
        <w:t>,</w:t>
      </w:r>
      <w:r w:rsidRPr="00381609">
        <w:rPr>
          <w:i/>
          <w:iCs/>
          <w:sz w:val="22"/>
          <w:szCs w:val="22"/>
        </w:rPr>
        <w:t xml:space="preserve"> </w:t>
      </w:r>
      <w:r w:rsidRPr="00381609">
        <w:rPr>
          <w:sz w:val="22"/>
          <w:szCs w:val="22"/>
        </w:rPr>
        <w:t>Volume 118, Issue 6, June 2021</w:t>
      </w:r>
      <w:r w:rsidRPr="00381609">
        <w:rPr>
          <w:sz w:val="22"/>
          <w:szCs w:val="22"/>
        </w:rPr>
        <w:t xml:space="preserve">: </w:t>
      </w:r>
      <w:r w:rsidRPr="00381609">
        <w:rPr>
          <w:sz w:val="22"/>
          <w:szCs w:val="22"/>
        </w:rPr>
        <w:t>289-319</w:t>
      </w:r>
      <w:r w:rsidRPr="00381609">
        <w:rPr>
          <w:sz w:val="22"/>
          <w:szCs w:val="22"/>
        </w:rPr>
        <w:t>,</w:t>
      </w:r>
      <w:r w:rsidRPr="00381609">
        <w:rPr>
          <w:sz w:val="22"/>
          <w:szCs w:val="22"/>
        </w:rPr>
        <w:t xml:space="preserve"> which has been published in final form at https://doi.org/10.5840/jphil2021118621. This article may be used for non-commercial purposes only.</w:t>
      </w:r>
    </w:p>
    <w:p w14:paraId="49167682" w14:textId="77777777" w:rsidR="00381609" w:rsidRPr="00381609" w:rsidRDefault="00381609" w:rsidP="00381609">
      <w:pPr>
        <w:ind w:firstLine="0"/>
        <w:rPr>
          <w:sz w:val="22"/>
          <w:szCs w:val="22"/>
        </w:rPr>
      </w:pPr>
    </w:p>
    <w:p w14:paraId="27BC15E9" w14:textId="5555620B" w:rsidR="005032DE" w:rsidRDefault="00000697" w:rsidP="003D29EB">
      <w:pPr>
        <w:pStyle w:val="Heading1"/>
        <w:jc w:val="center"/>
      </w:pPr>
      <w:r w:rsidRPr="00000697">
        <w:rPr>
          <w:smallCaps/>
        </w:rPr>
        <w:t>t</w:t>
      </w:r>
      <w:r w:rsidR="001E09D1" w:rsidRPr="00000697">
        <w:rPr>
          <w:smallCaps/>
        </w:rPr>
        <w:t>he lying-misleading distinction</w:t>
      </w:r>
      <w:r w:rsidR="000D4739" w:rsidRPr="00000697">
        <w:rPr>
          <w:smallCaps/>
        </w:rPr>
        <w:t>: a commitment-based approach</w:t>
      </w:r>
      <w:r w:rsidR="005032DE">
        <w:rPr>
          <w:rStyle w:val="FootnoteReference"/>
        </w:rPr>
        <w:footnoteReference w:id="1"/>
      </w:r>
    </w:p>
    <w:p w14:paraId="2CAF9682" w14:textId="63A4DECF" w:rsidR="003D29EB" w:rsidRDefault="003D29EB" w:rsidP="003D29EB">
      <w:pPr>
        <w:ind w:firstLine="0"/>
        <w:jc w:val="center"/>
        <w:sectPr w:rsidR="003D29EB" w:rsidSect="008D4DBB">
          <w:footerReference w:type="even" r:id="rId7"/>
          <w:footerReference w:type="default" r:id="rId8"/>
          <w:footnotePr>
            <w:numFmt w:val="chicago"/>
            <w:numRestart w:val="eachSect"/>
          </w:footnotePr>
          <w:pgSz w:w="11900" w:h="16840"/>
          <w:pgMar w:top="1417" w:right="1417" w:bottom="1134" w:left="1417" w:header="708" w:footer="708" w:gutter="0"/>
          <w:cols w:space="708"/>
          <w:docGrid w:linePitch="360"/>
        </w:sectPr>
      </w:pPr>
    </w:p>
    <w:p w14:paraId="4AD9723C" w14:textId="77777777" w:rsidR="00381609" w:rsidRDefault="00381609" w:rsidP="00CE541D">
      <w:pPr>
        <w:ind w:firstLine="0"/>
      </w:pPr>
    </w:p>
    <w:p w14:paraId="5AA604AE" w14:textId="0B25F94B" w:rsidR="007033A1" w:rsidRPr="00F90D0D" w:rsidRDefault="00182E50" w:rsidP="00CE541D">
      <w:pPr>
        <w:ind w:firstLine="0"/>
      </w:pPr>
      <w:r>
        <w:t>Sometimes we are</w:t>
      </w:r>
      <w:r w:rsidR="008A4917">
        <w:t xml:space="preserve"> faced with a choice between lying and</w:t>
      </w:r>
      <w:r w:rsidR="005B2033">
        <w:t xml:space="preserve"> mislead</w:t>
      </w:r>
      <w:r w:rsidR="00CD2739">
        <w:t>ing</w:t>
      </w:r>
      <w:r w:rsidR="005B2033">
        <w:t xml:space="preserve">. </w:t>
      </w:r>
      <w:r>
        <w:t>As an example of such a situation, consider the following case:</w:t>
      </w:r>
    </w:p>
    <w:p w14:paraId="534D8E6E" w14:textId="7E0A3EBB" w:rsidR="007033A1" w:rsidRPr="00F90D0D" w:rsidRDefault="007033A1" w:rsidP="007033A1">
      <w:pPr>
        <w:pStyle w:val="longquote"/>
      </w:pPr>
      <w:r w:rsidRPr="00F90D0D">
        <w:t xml:space="preserve">A dying woman asks a doctor whether her son is well. The doctor saw the son yesterday, when he was fine, but knows that he was killed shortly afterwards. The doctor </w:t>
      </w:r>
      <w:r w:rsidR="009F21A5">
        <w:t xml:space="preserve">wants to spare the dying woman the news of her son’s death. She </w:t>
      </w:r>
      <w:r w:rsidRPr="00F90D0D">
        <w:t>utters:</w:t>
      </w:r>
    </w:p>
    <w:p w14:paraId="767318E3" w14:textId="2538EBD1" w:rsidR="007033A1" w:rsidRPr="00F90D0D" w:rsidRDefault="007033A1" w:rsidP="007033A1">
      <w:pPr>
        <w:pStyle w:val="longquote"/>
      </w:pPr>
      <w:r w:rsidRPr="00F90D0D">
        <w:rPr>
          <w:i/>
        </w:rPr>
        <w:t>Version A:</w:t>
      </w:r>
      <w:r w:rsidR="008D6747">
        <w:rPr>
          <w:i/>
        </w:rPr>
        <w:tab/>
      </w:r>
      <w:r w:rsidRPr="00F90D0D">
        <w:t xml:space="preserve">(1) </w:t>
      </w:r>
      <w:r w:rsidRPr="00F90D0D">
        <w:tab/>
        <w:t>He’s fine.</w:t>
      </w:r>
    </w:p>
    <w:p w14:paraId="55DEA42F" w14:textId="19FE72F3" w:rsidR="007033A1" w:rsidRPr="00F90D0D" w:rsidRDefault="007033A1" w:rsidP="007033A1">
      <w:pPr>
        <w:pStyle w:val="longquote"/>
      </w:pPr>
      <w:r w:rsidRPr="00F90D0D">
        <w:rPr>
          <w:i/>
        </w:rPr>
        <w:t>Version B:</w:t>
      </w:r>
      <w:r w:rsidR="008D6747">
        <w:rPr>
          <w:i/>
        </w:rPr>
        <w:tab/>
      </w:r>
      <w:r w:rsidRPr="00F90D0D">
        <w:t xml:space="preserve">(2) </w:t>
      </w:r>
      <w:r w:rsidRPr="00F90D0D">
        <w:tab/>
        <w:t>I saw him yesterday and he was fine.</w:t>
      </w:r>
      <w:r w:rsidRPr="00F90D0D">
        <w:rPr>
          <w:rStyle w:val="FootnoteReference"/>
        </w:rPr>
        <w:footnoteReference w:id="2"/>
      </w:r>
      <w:r w:rsidRPr="00F90D0D">
        <w:t xml:space="preserve"> </w:t>
      </w:r>
    </w:p>
    <w:p w14:paraId="2BF68DD9" w14:textId="0EA5E0E7" w:rsidR="00581F42" w:rsidRDefault="007F5CEE" w:rsidP="00D83AAA">
      <w:pPr>
        <w:ind w:firstLine="0"/>
      </w:pPr>
      <w:r>
        <w:t>T</w:t>
      </w:r>
      <w:r w:rsidR="007033A1" w:rsidRPr="00F90D0D">
        <w:t>he doctor</w:t>
      </w:r>
      <w:r w:rsidR="00443D5D" w:rsidRPr="00F90D0D">
        <w:t xml:space="preserve"> </w:t>
      </w:r>
      <w:r w:rsidR="00182E50">
        <w:t>has to choose</w:t>
      </w:r>
      <w:r w:rsidR="00443D5D" w:rsidRPr="00F90D0D">
        <w:t xml:space="preserve"> between lying and </w:t>
      </w:r>
      <w:r w:rsidR="005E643E">
        <w:t>mere</w:t>
      </w:r>
      <w:r w:rsidR="009E2E9D" w:rsidRPr="00F90D0D">
        <w:t xml:space="preserve"> </w:t>
      </w:r>
      <w:r w:rsidR="00443D5D" w:rsidRPr="00F90D0D">
        <w:t>misleading: her</w:t>
      </w:r>
      <w:r w:rsidR="007033A1" w:rsidRPr="00F90D0D">
        <w:t xml:space="preserve"> utterance of (1) </w:t>
      </w:r>
      <w:r w:rsidR="00377312" w:rsidRPr="00F90D0D">
        <w:t>would be</w:t>
      </w:r>
      <w:r w:rsidR="007033A1" w:rsidRPr="00F90D0D">
        <w:t xml:space="preserve"> a lie, while her utterance of (2) </w:t>
      </w:r>
      <w:r w:rsidR="00377312" w:rsidRPr="00F90D0D">
        <w:t>would be</w:t>
      </w:r>
      <w:r w:rsidR="007033A1" w:rsidRPr="00F90D0D">
        <w:t xml:space="preserve"> misleading</w:t>
      </w:r>
      <w:r w:rsidR="006114E3">
        <w:t>, but not a lie</w:t>
      </w:r>
      <w:r w:rsidR="007033A1" w:rsidRPr="00F90D0D">
        <w:t xml:space="preserve">. </w:t>
      </w:r>
      <w:r w:rsidR="005B2033">
        <w:t xml:space="preserve">And </w:t>
      </w:r>
      <w:r w:rsidR="00581F42">
        <w:t xml:space="preserve">it is widely held that </w:t>
      </w:r>
      <w:r w:rsidR="005B2033">
        <w:t xml:space="preserve">this choice matters – that </w:t>
      </w:r>
      <w:r w:rsidR="00581F42">
        <w:t xml:space="preserve">it would be morally better for the doctor to utter (2) than to utter (1). But what is </w:t>
      </w:r>
      <w:r w:rsidR="005B2033">
        <w:t xml:space="preserve">it </w:t>
      </w:r>
      <w:r w:rsidR="00581F42">
        <w:t>that makes (1) a lie and (2) mere</w:t>
      </w:r>
      <w:r w:rsidR="00162425">
        <w:t>ly</w:t>
      </w:r>
      <w:r w:rsidR="00581F42">
        <w:t xml:space="preserve"> misleading? And, more generally, what distinguishes lying </w:t>
      </w:r>
      <w:r w:rsidR="00D8154E">
        <w:t>from</w:t>
      </w:r>
      <w:r w:rsidR="00581F42">
        <w:t xml:space="preserve"> mere misleading? These are the questions I will be concerned with in </w:t>
      </w:r>
      <w:r w:rsidR="005B2033">
        <w:t xml:space="preserve">this paper. </w:t>
      </w:r>
    </w:p>
    <w:p w14:paraId="69711BD1" w14:textId="4BBFA6E2" w:rsidR="00B70EF4" w:rsidRDefault="00581F42" w:rsidP="00581F42">
      <w:r>
        <w:t xml:space="preserve">Most recent definitions of lying try to </w:t>
      </w:r>
      <w:r w:rsidR="003F7EF4">
        <w:t xml:space="preserve">hold apart </w:t>
      </w:r>
      <w:r w:rsidR="00162425">
        <w:t>lying</w:t>
      </w:r>
      <w:r w:rsidR="003F7EF4">
        <w:t xml:space="preserve"> and mere misleading by appealing to the notion of </w:t>
      </w:r>
      <w:r w:rsidRPr="003F7EF4">
        <w:rPr>
          <w:i/>
          <w:iCs/>
        </w:rPr>
        <w:t>what is said</w:t>
      </w:r>
      <w:r>
        <w:t xml:space="preserve">. </w:t>
      </w:r>
      <w:r w:rsidR="00FF25B9" w:rsidRPr="00F90D0D">
        <w:t xml:space="preserve">According to </w:t>
      </w:r>
      <w:r w:rsidR="002A2D81">
        <w:t>such</w:t>
      </w:r>
      <w:r w:rsidR="00FF25B9" w:rsidRPr="00F90D0D">
        <w:t xml:space="preserve"> </w:t>
      </w:r>
      <w:r w:rsidR="0005209E" w:rsidRPr="0005209E">
        <w:rPr>
          <w:i/>
          <w:iCs/>
        </w:rPr>
        <w:t>content-based definitions</w:t>
      </w:r>
      <w:r w:rsidR="00FF25B9" w:rsidRPr="00F90D0D">
        <w:t xml:space="preserve">, </w:t>
      </w:r>
      <w:r w:rsidR="006F5E7D" w:rsidRPr="00F90D0D">
        <w:t xml:space="preserve">the difference between </w:t>
      </w:r>
      <w:r w:rsidR="003D76C8" w:rsidRPr="00F90D0D">
        <w:t xml:space="preserve">lying and misleading </w:t>
      </w:r>
      <w:r w:rsidR="005A14BF">
        <w:t>has to do with</w:t>
      </w:r>
      <w:r w:rsidR="0005209E">
        <w:t xml:space="preserve"> how content is expressed</w:t>
      </w:r>
      <w:r w:rsidR="003F7EF4">
        <w:t>: w</w:t>
      </w:r>
      <w:r w:rsidR="0005209E">
        <w:t xml:space="preserve">hat matters is whether believed-false content is </w:t>
      </w:r>
      <w:r w:rsidR="0005209E" w:rsidRPr="003F7EF4">
        <w:t>said</w:t>
      </w:r>
      <w:r w:rsidR="0005209E">
        <w:t xml:space="preserve"> or rather </w:t>
      </w:r>
      <w:r w:rsidR="0005209E" w:rsidRPr="003F7EF4">
        <w:t>conversationally implicated</w:t>
      </w:r>
      <w:r w:rsidR="003D14E4" w:rsidRPr="00F90D0D">
        <w:t>.</w:t>
      </w:r>
      <w:r w:rsidR="00833493">
        <w:rPr>
          <w:rStyle w:val="FootnoteReference"/>
        </w:rPr>
        <w:footnoteReference w:id="3"/>
      </w:r>
      <w:r w:rsidR="003D14E4" w:rsidRPr="00F90D0D">
        <w:t xml:space="preserve"> The doctor </w:t>
      </w:r>
      <w:r w:rsidR="00D8154E">
        <w:t>would lie</w:t>
      </w:r>
      <w:r w:rsidR="003D14E4" w:rsidRPr="00F90D0D">
        <w:t xml:space="preserve"> by uttering (1) because she </w:t>
      </w:r>
      <w:r w:rsidR="00D8154E">
        <w:rPr>
          <w:iCs/>
        </w:rPr>
        <w:t>would say</w:t>
      </w:r>
      <w:r w:rsidR="003D14E4" w:rsidRPr="00F90D0D">
        <w:t xml:space="preserve"> something she believes to be false, and </w:t>
      </w:r>
      <w:r w:rsidR="00D8154E">
        <w:t>her</w:t>
      </w:r>
      <w:r w:rsidR="003D14E4" w:rsidRPr="00F90D0D">
        <w:t xml:space="preserve"> utte</w:t>
      </w:r>
      <w:r w:rsidR="00D8154E">
        <w:t>rance of</w:t>
      </w:r>
      <w:r w:rsidR="003D14E4" w:rsidRPr="00F90D0D">
        <w:t xml:space="preserve"> (2)</w:t>
      </w:r>
      <w:r w:rsidR="00D8154E">
        <w:t xml:space="preserve"> would be merely misleading</w:t>
      </w:r>
      <w:r w:rsidR="003D14E4" w:rsidRPr="00F90D0D">
        <w:t xml:space="preserve"> because she </w:t>
      </w:r>
      <w:r w:rsidR="00D8154E">
        <w:t>would thereby</w:t>
      </w:r>
      <w:r w:rsidR="003D14E4" w:rsidRPr="00F90D0D">
        <w:t xml:space="preserve"> </w:t>
      </w:r>
      <w:r w:rsidR="003D14E4" w:rsidRPr="0091240F">
        <w:t>implicate</w:t>
      </w:r>
      <w:r w:rsidR="0091240F">
        <w:t xml:space="preserve"> (but </w:t>
      </w:r>
      <w:r w:rsidR="00D8154E">
        <w:t>not</w:t>
      </w:r>
      <w:r w:rsidR="0091240F">
        <w:t xml:space="preserve"> say</w:t>
      </w:r>
      <w:r w:rsidR="003D14E4" w:rsidRPr="00F90D0D">
        <w:t xml:space="preserve">) something she believes to be false. </w:t>
      </w:r>
    </w:p>
    <w:p w14:paraId="519475A6" w14:textId="630B7B37" w:rsidR="00FE2A7E" w:rsidRPr="00F90D0D" w:rsidRDefault="0005209E" w:rsidP="005A6AD2">
      <w:r>
        <w:t>Content</w:t>
      </w:r>
      <w:r w:rsidR="003D14E4" w:rsidRPr="00F90D0D">
        <w:t xml:space="preserve">-based definitions of lying </w:t>
      </w:r>
      <w:r w:rsidR="00354FFD" w:rsidRPr="00F90D0D">
        <w:t xml:space="preserve">offer the prospect of tying the distinction between lying and misleading to the distinction between semantic content and implicated content </w:t>
      </w:r>
      <w:r w:rsidR="005A6AD2">
        <w:t>(</w:t>
      </w:r>
      <w:r w:rsidR="00354FFD" w:rsidRPr="00F90D0D">
        <w:t xml:space="preserve">also known as the </w:t>
      </w:r>
      <w:r w:rsidR="00354FFD" w:rsidRPr="00F90D0D">
        <w:rPr>
          <w:i/>
        </w:rPr>
        <w:t>semantics-pragmatics distinction</w:t>
      </w:r>
      <w:r w:rsidR="00354FFD" w:rsidRPr="00F90D0D">
        <w:t>).</w:t>
      </w:r>
      <w:r w:rsidR="005A6AD2">
        <w:rPr>
          <w:rStyle w:val="FootnoteReference"/>
        </w:rPr>
        <w:footnoteReference w:id="4"/>
      </w:r>
      <w:r w:rsidR="005A6AD2">
        <w:t xml:space="preserve"> </w:t>
      </w:r>
      <w:r w:rsidR="007D3912" w:rsidRPr="00F90D0D">
        <w:t>Much could be gained if</w:t>
      </w:r>
      <w:r w:rsidR="00E35385" w:rsidRPr="00F90D0D">
        <w:t xml:space="preserve"> the lying-misleading distinction could </w:t>
      </w:r>
      <w:r w:rsidR="007D3912" w:rsidRPr="00F90D0D">
        <w:lastRenderedPageBreak/>
        <w:t>indeed</w:t>
      </w:r>
      <w:r w:rsidR="00E35385" w:rsidRPr="00F90D0D">
        <w:t xml:space="preserve"> </w:t>
      </w:r>
      <w:r w:rsidR="007D3912" w:rsidRPr="00F90D0D">
        <w:t xml:space="preserve">be </w:t>
      </w:r>
      <w:r w:rsidR="00734931" w:rsidRPr="00F90D0D">
        <w:t>connected</w:t>
      </w:r>
      <w:r w:rsidR="007D3912" w:rsidRPr="00F90D0D">
        <w:t xml:space="preserve"> to</w:t>
      </w:r>
      <w:r w:rsidR="00E35385" w:rsidRPr="00F90D0D">
        <w:t xml:space="preserve"> the semantics-pragmatics </w:t>
      </w:r>
      <w:r w:rsidR="007F5CEE">
        <w:t>distinction</w:t>
      </w:r>
      <w:r w:rsidR="007D3912" w:rsidRPr="00F90D0D">
        <w:t xml:space="preserve">. </w:t>
      </w:r>
      <w:r w:rsidR="00734931" w:rsidRPr="00F90D0D">
        <w:t xml:space="preserve">For </w:t>
      </w:r>
      <w:r w:rsidR="00FE2A7E" w:rsidRPr="00F90D0D">
        <w:t>one thing</w:t>
      </w:r>
      <w:r w:rsidR="00734931" w:rsidRPr="00F90D0D">
        <w:t xml:space="preserve">, </w:t>
      </w:r>
      <w:r w:rsidR="00FE2A7E" w:rsidRPr="00F90D0D">
        <w:t xml:space="preserve">well-developed theories in semantics and pragmatics could be used to illuminate the mechanisms in play in lying and </w:t>
      </w:r>
      <w:r w:rsidR="007F5CEE">
        <w:t xml:space="preserve">in </w:t>
      </w:r>
      <w:r w:rsidR="00FE2A7E" w:rsidRPr="00F90D0D">
        <w:t>misleading. And for another, judgements about lying and misleading could be leveraged to adjudicate between theories in semantics and pragmatics</w:t>
      </w:r>
      <w:r w:rsidR="006474A3">
        <w:t>.</w:t>
      </w:r>
      <w:r w:rsidR="006474A3">
        <w:rPr>
          <w:rStyle w:val="FootnoteReference"/>
        </w:rPr>
        <w:footnoteReference w:id="5"/>
      </w:r>
      <w:r w:rsidR="006474A3">
        <w:t xml:space="preserve"> </w:t>
      </w:r>
      <w:r w:rsidR="00FE2A7E" w:rsidRPr="00F90D0D">
        <w:t xml:space="preserve"> </w:t>
      </w:r>
    </w:p>
    <w:p w14:paraId="213BD218" w14:textId="14A3BBDA" w:rsidR="00FF25B9" w:rsidRDefault="00B70EF4" w:rsidP="00443D5D">
      <w:r>
        <w:t>But t</w:t>
      </w:r>
      <w:r w:rsidR="00FE2A7E" w:rsidRPr="00F90D0D">
        <w:t>hese</w:t>
      </w:r>
      <w:r w:rsidR="007D3912" w:rsidRPr="00F90D0D">
        <w:t xml:space="preserve"> potential advantage</w:t>
      </w:r>
      <w:r w:rsidR="00FE2A7E" w:rsidRPr="00F90D0D">
        <w:t>s</w:t>
      </w:r>
      <w:r w:rsidR="007D3912" w:rsidRPr="00F90D0D">
        <w:t xml:space="preserve"> </w:t>
      </w:r>
      <w:r w:rsidR="00FE2A7E" w:rsidRPr="00F90D0D">
        <w:t>are</w:t>
      </w:r>
      <w:r w:rsidR="007D3912" w:rsidRPr="00F90D0D">
        <w:t xml:space="preserve"> </w:t>
      </w:r>
      <w:r w:rsidR="00FE1F33" w:rsidRPr="00F90D0D">
        <w:t>cancelled out</w:t>
      </w:r>
      <w:r w:rsidR="007D3912" w:rsidRPr="00F90D0D">
        <w:t xml:space="preserve"> by the fact that </w:t>
      </w:r>
      <w:r w:rsidR="0005209E">
        <w:t>content-based</w:t>
      </w:r>
      <w:r w:rsidR="007D3912" w:rsidRPr="00F90D0D">
        <w:t xml:space="preserve"> definition</w:t>
      </w:r>
      <w:r w:rsidR="002D38CD" w:rsidRPr="00F90D0D">
        <w:t>s</w:t>
      </w:r>
      <w:r w:rsidR="007D3912" w:rsidRPr="00F90D0D">
        <w:t xml:space="preserve"> </w:t>
      </w:r>
      <w:r w:rsidR="00351F23" w:rsidRPr="00F90D0D">
        <w:t>lead to false predictions</w:t>
      </w:r>
      <w:r w:rsidR="0091240F">
        <w:t xml:space="preserve"> – or so I have argued i</w:t>
      </w:r>
      <w:r w:rsidR="000D4739">
        <w:t xml:space="preserve">n </w:t>
      </w:r>
      <w:r w:rsidR="00ED2791">
        <w:t>previous work</w:t>
      </w:r>
      <w:r w:rsidR="0091240F">
        <w:t>. In particular,</w:t>
      </w:r>
      <w:r w:rsidR="00ED2791">
        <w:t xml:space="preserve"> I have</w:t>
      </w:r>
      <w:r w:rsidR="002D38CD" w:rsidRPr="00F90D0D">
        <w:t xml:space="preserve"> argued that</w:t>
      </w:r>
      <w:r w:rsidR="00425678">
        <w:t xml:space="preserve"> </w:t>
      </w:r>
      <w:r w:rsidR="0091240F">
        <w:t xml:space="preserve">the </w:t>
      </w:r>
      <w:r w:rsidR="0005209E">
        <w:t>content-based</w:t>
      </w:r>
      <w:r w:rsidR="002D38CD" w:rsidRPr="00F90D0D">
        <w:t xml:space="preserve"> </w:t>
      </w:r>
      <w:r w:rsidR="008D760B" w:rsidRPr="00F90D0D">
        <w:t>definitions</w:t>
      </w:r>
      <w:r w:rsidR="0091240F">
        <w:t xml:space="preserve"> </w:t>
      </w:r>
      <w:r w:rsidR="007967B1">
        <w:t xml:space="preserve">proposed by </w:t>
      </w:r>
      <w:r w:rsidR="00EC07D6">
        <w:t xml:space="preserve">Jennifer </w:t>
      </w:r>
      <w:r w:rsidR="007967B1">
        <w:t xml:space="preserve">Saul and </w:t>
      </w:r>
      <w:r w:rsidR="00EC07D6">
        <w:t xml:space="preserve">Andreas </w:t>
      </w:r>
      <w:r w:rsidR="007967B1">
        <w:t xml:space="preserve">Stokke </w:t>
      </w:r>
      <w:r w:rsidR="002D38CD" w:rsidRPr="00F90D0D">
        <w:t>are too narrow</w:t>
      </w:r>
      <w:r w:rsidR="00022029" w:rsidRPr="00F90D0D">
        <w:t xml:space="preserve">: </w:t>
      </w:r>
      <w:r w:rsidR="008D760B" w:rsidRPr="00F90D0D">
        <w:t xml:space="preserve">they </w:t>
      </w:r>
      <w:r w:rsidR="00425678">
        <w:t>entail that it is impossible to lie</w:t>
      </w:r>
      <w:r w:rsidR="00022029" w:rsidRPr="00F90D0D">
        <w:t xml:space="preserve"> while speaking non-literally or by way of presupposing something</w:t>
      </w:r>
      <w:r w:rsidR="005B2033">
        <w:t>,</w:t>
      </w:r>
      <w:r w:rsidR="003002D7">
        <w:t xml:space="preserve"> </w:t>
      </w:r>
      <w:r w:rsidR="00022029" w:rsidRPr="00F90D0D">
        <w:t>although there is a good case to be made that such lies are possible.</w:t>
      </w:r>
      <w:r w:rsidR="00ED2791">
        <w:rPr>
          <w:rStyle w:val="FootnoteReference"/>
        </w:rPr>
        <w:footnoteReference w:id="6"/>
      </w:r>
      <w:r w:rsidR="00022029" w:rsidRPr="00F90D0D">
        <w:t xml:space="preserve"> If this criticism is on the right track, </w:t>
      </w:r>
      <w:r w:rsidR="0005209E">
        <w:t>content-based</w:t>
      </w:r>
      <w:r w:rsidR="00022029" w:rsidRPr="00F90D0D">
        <w:t xml:space="preserve"> definitions </w:t>
      </w:r>
      <w:r>
        <w:t>misconstrue</w:t>
      </w:r>
      <w:r w:rsidR="00022029" w:rsidRPr="00F90D0D">
        <w:t xml:space="preserve"> the </w:t>
      </w:r>
      <w:r w:rsidR="007F5CEE">
        <w:t xml:space="preserve">lying-misleading </w:t>
      </w:r>
      <w:r w:rsidR="00022029" w:rsidRPr="00F90D0D">
        <w:t>distinction</w:t>
      </w:r>
      <w:r w:rsidR="007967B1">
        <w:t xml:space="preserve">, </w:t>
      </w:r>
      <w:r w:rsidR="007F5CEE">
        <w:t xml:space="preserve">and there are </w:t>
      </w:r>
      <w:r w:rsidR="00FF25B9" w:rsidRPr="00F90D0D">
        <w:t xml:space="preserve">good reasons to </w:t>
      </w:r>
      <w:r w:rsidR="007F5CEE">
        <w:t xml:space="preserve">consider the prospects of alternative </w:t>
      </w:r>
      <w:r w:rsidR="00943283">
        <w:t>approaches</w:t>
      </w:r>
      <w:r w:rsidR="003F7EF4">
        <w:t xml:space="preserve">. </w:t>
      </w:r>
    </w:p>
    <w:p w14:paraId="66A6F0E8" w14:textId="210E2570" w:rsidR="007967B1" w:rsidRPr="00F90D0D" w:rsidRDefault="005B2033" w:rsidP="00443D5D">
      <w:r>
        <w:t>The aim of this</w:t>
      </w:r>
      <w:r w:rsidR="003F7EF4">
        <w:t xml:space="preserve"> paper </w:t>
      </w:r>
      <w:r w:rsidR="00581F42" w:rsidRPr="00F90D0D">
        <w:t>is to motivate</w:t>
      </w:r>
      <w:r w:rsidR="00D8154E">
        <w:t xml:space="preserve">, </w:t>
      </w:r>
      <w:r w:rsidR="00581F42" w:rsidRPr="00F90D0D">
        <w:t>spell out</w:t>
      </w:r>
      <w:r w:rsidR="00D8154E">
        <w:t xml:space="preserve"> and defend</w:t>
      </w:r>
      <w:r w:rsidR="00581F42" w:rsidRPr="00F90D0D">
        <w:t xml:space="preserve"> </w:t>
      </w:r>
      <w:r w:rsidR="003F7EF4">
        <w:t>one such alternative approach</w:t>
      </w:r>
      <w:r>
        <w:t>: a commitment-based approach.</w:t>
      </w:r>
      <w:r w:rsidR="003F7EF4">
        <w:t xml:space="preserve"> </w:t>
      </w:r>
      <w:r>
        <w:t>The central tenet of this approach is that</w:t>
      </w:r>
      <w:r w:rsidR="00581F42" w:rsidRPr="00F90D0D">
        <w:t xml:space="preserve"> </w:t>
      </w:r>
      <w:r w:rsidR="00581F42">
        <w:t>liars take on a commitment which misleaders avoid</w:t>
      </w:r>
      <w:r w:rsidR="00581F42" w:rsidRPr="00F90D0D">
        <w:t xml:space="preserve">. </w:t>
      </w:r>
      <w:r w:rsidR="00581F42">
        <w:t>Such a</w:t>
      </w:r>
      <w:r w:rsidR="00581F42" w:rsidRPr="00F90D0D">
        <w:t xml:space="preserve"> difference in commitment is apparent in many cases in which a lie is compared to a corresponding misleading utterance</w:t>
      </w:r>
      <w:r w:rsidR="00D8154E">
        <w:t>:</w:t>
      </w:r>
      <w:r w:rsidR="00581F42" w:rsidRPr="00F90D0D">
        <w:t xml:space="preserve"> </w:t>
      </w:r>
      <w:r w:rsidR="00D8154E" w:rsidRPr="00F90D0D">
        <w:t xml:space="preserve">it seems that through uttering (1), the doctor would commit herself to something she believes to be false, while she would not </w:t>
      </w:r>
      <w:r w:rsidR="00D8154E">
        <w:t>take on</w:t>
      </w:r>
      <w:r w:rsidR="00D8154E" w:rsidRPr="00F90D0D">
        <w:t xml:space="preserve"> such a commitment through uttering (2).</w:t>
      </w:r>
      <w:r w:rsidR="00D8154E">
        <w:t xml:space="preserve"> But while t</w:t>
      </w:r>
      <w:r w:rsidR="007967B1">
        <w:t xml:space="preserve">he general idea of </w:t>
      </w:r>
      <w:r w:rsidR="003424A9">
        <w:t>capturing the</w:t>
      </w:r>
      <w:r w:rsidR="007967B1">
        <w:t xml:space="preserve"> lying</w:t>
      </w:r>
      <w:r w:rsidR="003424A9">
        <w:t>-misleading distinction</w:t>
      </w:r>
      <w:r w:rsidR="007967B1">
        <w:t xml:space="preserve"> in terms of commitment is fairly simple, it raises several difficult questions that</w:t>
      </w:r>
      <w:r w:rsidR="003424A9">
        <w:t xml:space="preserve"> </w:t>
      </w:r>
      <w:r w:rsidR="005A14BF">
        <w:t xml:space="preserve">have </w:t>
      </w:r>
      <w:r w:rsidR="003424A9">
        <w:t xml:space="preserve">so far received </w:t>
      </w:r>
      <w:r w:rsidR="00EC07D6">
        <w:t>little</w:t>
      </w:r>
      <w:r w:rsidR="003424A9">
        <w:t xml:space="preserve"> attention. </w:t>
      </w:r>
      <w:r w:rsidR="007967B1">
        <w:t xml:space="preserve">How must commitment be spelled out if it is to account for the difference between lying and misleading? </w:t>
      </w:r>
      <w:r w:rsidR="003424A9">
        <w:t xml:space="preserve">How can communicative agents </w:t>
      </w:r>
      <w:r w:rsidR="0099798B">
        <w:t>take on commitment</w:t>
      </w:r>
      <w:r w:rsidR="003424A9">
        <w:t xml:space="preserve"> and avoid commitment? W</w:t>
      </w:r>
      <w:r w:rsidR="007967B1">
        <w:t xml:space="preserve">hat form could </w:t>
      </w:r>
      <w:r w:rsidR="00B4011F">
        <w:t xml:space="preserve">commitment-based </w:t>
      </w:r>
      <w:r w:rsidR="007967B1">
        <w:t xml:space="preserve">definitions of lying and of </w:t>
      </w:r>
      <w:r w:rsidR="00774B4B">
        <w:t xml:space="preserve">mere </w:t>
      </w:r>
      <w:r w:rsidR="007967B1">
        <w:t xml:space="preserve">misleading take? </w:t>
      </w:r>
      <w:r w:rsidR="006114E3">
        <w:t xml:space="preserve">In this paper, I will attempt to answer these questions </w:t>
      </w:r>
      <w:r>
        <w:t>in order to</w:t>
      </w:r>
      <w:r w:rsidR="006114E3">
        <w:t xml:space="preserve"> highlight the potential of a commitment-based approach in defining lying and misleading. </w:t>
      </w:r>
      <w:r w:rsidR="003424A9">
        <w:t xml:space="preserve"> </w:t>
      </w:r>
    </w:p>
    <w:p w14:paraId="0E012358" w14:textId="5718A4DC" w:rsidR="00443D5D" w:rsidRDefault="00943283" w:rsidP="00545BF8">
      <w:r>
        <w:t>Two brief clarifications b</w:t>
      </w:r>
      <w:r w:rsidR="00545BF8">
        <w:t>efore I begin</w:t>
      </w:r>
      <w:r w:rsidR="003E30A6">
        <w:t>.</w:t>
      </w:r>
      <w:r w:rsidR="00545BF8">
        <w:t xml:space="preserve"> </w:t>
      </w:r>
      <w:r w:rsidR="001E4F0E">
        <w:t>On the one hand</w:t>
      </w:r>
      <w:r w:rsidR="003E30A6">
        <w:t xml:space="preserve">, </w:t>
      </w:r>
      <w:r w:rsidR="003424A9">
        <w:t xml:space="preserve">I will </w:t>
      </w:r>
      <w:r w:rsidR="00CE541D">
        <w:t xml:space="preserve">for the most part </w:t>
      </w:r>
      <w:r w:rsidR="003E30A6">
        <w:t xml:space="preserve">bracket issues that </w:t>
      </w:r>
      <w:r w:rsidR="00327410">
        <w:t>do</w:t>
      </w:r>
      <w:r w:rsidR="003E30A6">
        <w:t xml:space="preserve"> not directly </w:t>
      </w:r>
      <w:r w:rsidR="00327410">
        <w:t>bear on</w:t>
      </w:r>
      <w:r w:rsidR="003E30A6">
        <w:t xml:space="preserve"> </w:t>
      </w:r>
      <w:r w:rsidR="00CE541D">
        <w:t>the lying-misleading</w:t>
      </w:r>
      <w:r w:rsidR="003E30A6">
        <w:t xml:space="preserve"> distinction. F</w:t>
      </w:r>
      <w:r w:rsidR="00545BF8">
        <w:t xml:space="preserve">or instance, </w:t>
      </w:r>
      <w:r w:rsidR="003E30A6">
        <w:t>it has been argued</w:t>
      </w:r>
      <w:r w:rsidR="00545BF8">
        <w:t xml:space="preserve"> that a definition of lying must make room for bald-faced lies</w:t>
      </w:r>
      <w:r w:rsidR="00774B4B">
        <w:t>:</w:t>
      </w:r>
      <w:r w:rsidR="00545BF8">
        <w:t xml:space="preserve"> lies told without an intention to deceive.</w:t>
      </w:r>
      <w:r w:rsidR="006524EE">
        <w:rPr>
          <w:rStyle w:val="FootnoteReference"/>
        </w:rPr>
        <w:footnoteReference w:id="7"/>
      </w:r>
      <w:r w:rsidR="00545BF8">
        <w:t xml:space="preserve"> </w:t>
      </w:r>
      <w:r w:rsidR="003E30A6">
        <w:lastRenderedPageBreak/>
        <w:t xml:space="preserve">While </w:t>
      </w:r>
      <w:r w:rsidR="00545BF8">
        <w:t xml:space="preserve">I </w:t>
      </w:r>
      <w:r w:rsidR="000D4739">
        <w:t>am optimistic</w:t>
      </w:r>
      <w:r w:rsidR="00545BF8">
        <w:t xml:space="preserve"> that a commitment-based definition </w:t>
      </w:r>
      <w:r w:rsidR="00545BF8" w:rsidRPr="001E4F0E">
        <w:rPr>
          <w:iCs/>
        </w:rPr>
        <w:t>can</w:t>
      </w:r>
      <w:r w:rsidR="00545BF8">
        <w:t xml:space="preserve"> account for such lies</w:t>
      </w:r>
      <w:r w:rsidR="00D7116A">
        <w:t xml:space="preserve"> (as </w:t>
      </w:r>
      <w:r w:rsidR="00545BF8">
        <w:t xml:space="preserve">I will </w:t>
      </w:r>
      <w:r w:rsidR="00D7116A">
        <w:t xml:space="preserve">indicate in Section </w:t>
      </w:r>
      <w:r w:rsidR="006524EE" w:rsidRPr="006524EE">
        <w:rPr>
          <w:smallCaps/>
        </w:rPr>
        <w:t>v</w:t>
      </w:r>
      <w:r w:rsidR="00D7116A">
        <w:t xml:space="preserve">), </w:t>
      </w:r>
      <w:r w:rsidR="00327410">
        <w:t>I will not offer a detailed discussion of this matter</w:t>
      </w:r>
      <w:r w:rsidR="005B2033">
        <w:t>.</w:t>
      </w:r>
    </w:p>
    <w:p w14:paraId="1C73A3F5" w14:textId="59F8C106" w:rsidR="00050115" w:rsidRDefault="001E4F0E" w:rsidP="00D8154E">
      <w:r>
        <w:t>On the other</w:t>
      </w:r>
      <w:r w:rsidR="00545BF8">
        <w:t xml:space="preserve">, </w:t>
      </w:r>
      <w:r w:rsidR="00EC002A">
        <w:t xml:space="preserve">the label </w:t>
      </w:r>
      <w:r w:rsidR="00545BF8" w:rsidRPr="00EC002A">
        <w:rPr>
          <w:i/>
        </w:rPr>
        <w:t xml:space="preserve">the </w:t>
      </w:r>
      <w:r w:rsidR="00EC002A" w:rsidRPr="00EC002A">
        <w:rPr>
          <w:i/>
        </w:rPr>
        <w:t xml:space="preserve">lying-misleading </w:t>
      </w:r>
      <w:r w:rsidR="00545BF8" w:rsidRPr="00EC002A">
        <w:rPr>
          <w:i/>
        </w:rPr>
        <w:t>distinction</w:t>
      </w:r>
      <w:r w:rsidR="00545BF8">
        <w:t xml:space="preserve"> </w:t>
      </w:r>
      <w:r w:rsidR="00EC002A">
        <w:t>is pleasantly short but somewhat imprecise. The relevant distinction is between lying and attempts at</w:t>
      </w:r>
      <w:r>
        <w:t xml:space="preserve"> mere</w:t>
      </w:r>
      <w:r w:rsidR="00EC002A">
        <w:t xml:space="preserve"> </w:t>
      </w:r>
      <w:r w:rsidR="003002D7">
        <w:t xml:space="preserve">(communicative) </w:t>
      </w:r>
      <w:r w:rsidR="00EC002A">
        <w:t xml:space="preserve">misleading, as Saul </w:t>
      </w:r>
      <w:r w:rsidR="008B1F6D">
        <w:t xml:space="preserve">has </w:t>
      </w:r>
      <w:r w:rsidR="00EC002A">
        <w:t>point</w:t>
      </w:r>
      <w:r w:rsidR="008B1F6D">
        <w:t>ed</w:t>
      </w:r>
      <w:r w:rsidR="00EC002A">
        <w:t xml:space="preserve"> out: </w:t>
      </w:r>
      <w:r w:rsidR="00197EE6">
        <w:t>‘</w:t>
      </w:r>
      <w:r w:rsidR="00EC002A">
        <w:t>mislead</w:t>
      </w:r>
      <w:r w:rsidR="00197EE6">
        <w:t>’</w:t>
      </w:r>
      <w:r w:rsidR="00EC002A">
        <w:t xml:space="preserve"> is a success term, while </w:t>
      </w:r>
      <w:r w:rsidR="00197EE6">
        <w:t>‘</w:t>
      </w:r>
      <w:r w:rsidR="00EC002A">
        <w:t>lie</w:t>
      </w:r>
      <w:r w:rsidR="00197EE6">
        <w:t>’</w:t>
      </w:r>
      <w:r w:rsidR="00EC002A">
        <w:t xml:space="preserve"> is not; lying must be intentional</w:t>
      </w:r>
      <w:r w:rsidR="000D4739">
        <w:t>,</w:t>
      </w:r>
      <w:r w:rsidR="00EC002A">
        <w:t xml:space="preserve"> while misleading need not be intentional</w:t>
      </w:r>
      <w:r w:rsidR="003002D7">
        <w:t>; and lying is communicative, while misleading need not be communicative</w:t>
      </w:r>
      <w:r w:rsidR="000D4739">
        <w:t xml:space="preserve"> (as </w:t>
      </w:r>
      <w:r w:rsidR="000D4739">
        <w:rPr>
          <w:rFonts w:eastAsiaTheme="minorEastAsia"/>
        </w:rPr>
        <w:t>things other than communicative acts</w:t>
      </w:r>
      <w:r w:rsidR="00CE541D">
        <w:rPr>
          <w:rFonts w:eastAsiaTheme="minorEastAsia"/>
        </w:rPr>
        <w:t>, such as evidence,</w:t>
      </w:r>
      <w:r w:rsidR="000D4739">
        <w:rPr>
          <w:rFonts w:eastAsiaTheme="minorEastAsia"/>
        </w:rPr>
        <w:t xml:space="preserve"> can be misleading)</w:t>
      </w:r>
      <w:r w:rsidR="00EC002A">
        <w:t>.</w:t>
      </w:r>
      <w:r w:rsidR="008B1F6D">
        <w:rPr>
          <w:rStyle w:val="FootnoteReference"/>
        </w:rPr>
        <w:footnoteReference w:id="8"/>
      </w:r>
      <w:r w:rsidR="00EC002A">
        <w:t xml:space="preserve"> Throughout the paper, I will be concerned with the distinction between </w:t>
      </w:r>
      <w:r w:rsidR="00EC002A" w:rsidRPr="00943283">
        <w:rPr>
          <w:i/>
          <w:iCs/>
        </w:rPr>
        <w:t>lying</w:t>
      </w:r>
      <w:r w:rsidR="00EC002A">
        <w:t xml:space="preserve"> and </w:t>
      </w:r>
      <w:r w:rsidR="00EC002A" w:rsidRPr="00943283">
        <w:rPr>
          <w:i/>
          <w:iCs/>
        </w:rPr>
        <w:t>attempts at</w:t>
      </w:r>
      <w:r w:rsidR="003002D7" w:rsidRPr="00943283">
        <w:rPr>
          <w:i/>
          <w:iCs/>
        </w:rPr>
        <w:t xml:space="preserve"> </w:t>
      </w:r>
      <w:r>
        <w:rPr>
          <w:i/>
          <w:iCs/>
        </w:rPr>
        <w:t xml:space="preserve">mere </w:t>
      </w:r>
      <w:r w:rsidR="003002D7" w:rsidRPr="00943283">
        <w:rPr>
          <w:i/>
          <w:iCs/>
        </w:rPr>
        <w:t>(communicative)</w:t>
      </w:r>
      <w:r w:rsidR="00EC002A" w:rsidRPr="00943283">
        <w:rPr>
          <w:i/>
          <w:iCs/>
        </w:rPr>
        <w:t xml:space="preserve"> misleading</w:t>
      </w:r>
      <w:r w:rsidR="003002D7">
        <w:t xml:space="preserve"> (which must be intentional, given that attempts must be intentional)</w:t>
      </w:r>
      <w:r w:rsidR="00EC002A">
        <w:t xml:space="preserve">, even if I use the shorter label. </w:t>
      </w:r>
    </w:p>
    <w:p w14:paraId="00469686" w14:textId="77777777" w:rsidR="006114E3" w:rsidRPr="00D8154E" w:rsidRDefault="006114E3" w:rsidP="00D8154E">
      <w:pPr>
        <w:rPr>
          <w:i/>
        </w:rPr>
      </w:pPr>
    </w:p>
    <w:p w14:paraId="3C7375B5" w14:textId="0CE2C436" w:rsidR="00215D8E" w:rsidRPr="00F90D0D" w:rsidRDefault="006524EE" w:rsidP="00215D8E">
      <w:pPr>
        <w:pStyle w:val="Heading1"/>
      </w:pPr>
      <w:r w:rsidRPr="006524EE">
        <w:rPr>
          <w:smallCaps/>
        </w:rPr>
        <w:t>ii</w:t>
      </w:r>
      <w:r w:rsidR="00215D8E" w:rsidRPr="00F90D0D">
        <w:t xml:space="preserve">. </w:t>
      </w:r>
      <w:r w:rsidR="008B1F6D">
        <w:rPr>
          <w:smallCaps/>
        </w:rPr>
        <w:t>l</w:t>
      </w:r>
      <w:r w:rsidR="004F0465" w:rsidRPr="008B1F6D">
        <w:rPr>
          <w:smallCaps/>
        </w:rPr>
        <w:t xml:space="preserve">ying and </w:t>
      </w:r>
      <w:r w:rsidR="009C5085" w:rsidRPr="008B1F6D">
        <w:rPr>
          <w:smallCaps/>
        </w:rPr>
        <w:t>misleading</w:t>
      </w:r>
    </w:p>
    <w:p w14:paraId="46B61F04" w14:textId="5017BFD6" w:rsidR="00EB661C" w:rsidRPr="00F90D0D" w:rsidRDefault="002070DF" w:rsidP="00EB661C">
      <w:pPr>
        <w:ind w:firstLine="0"/>
      </w:pPr>
      <w:r>
        <w:t>Let us begin with some common ground</w:t>
      </w:r>
      <w:r w:rsidR="002954DE">
        <w:t xml:space="preserve"> on lying and misleading</w:t>
      </w:r>
      <w:r>
        <w:t xml:space="preserve">. </w:t>
      </w:r>
      <w:r w:rsidR="00E4080E">
        <w:t xml:space="preserve">Firstly, </w:t>
      </w:r>
      <w:r w:rsidR="00F76E4B">
        <w:t xml:space="preserve">there </w:t>
      </w:r>
      <w:r w:rsidR="0055529C">
        <w:t>are</w:t>
      </w:r>
      <w:r w:rsidR="00F76E4B">
        <w:t xml:space="preserve"> way</w:t>
      </w:r>
      <w:r w:rsidR="0055529C">
        <w:t>s</w:t>
      </w:r>
      <w:r w:rsidR="00F76E4B">
        <w:t xml:space="preserve"> of defining lying and of framing the difference between lying and misleading with which </w:t>
      </w:r>
      <w:r w:rsidR="00E4080E">
        <w:t>m</w:t>
      </w:r>
      <w:r w:rsidR="00EB661C">
        <w:t xml:space="preserve">ost theorists in the debate </w:t>
      </w:r>
      <w:r w:rsidR="00F76E4B">
        <w:t>would agree</w:t>
      </w:r>
      <w:r w:rsidR="00EB661C">
        <w:t xml:space="preserve">. </w:t>
      </w:r>
      <w:r w:rsidR="00F76E4B">
        <w:t xml:space="preserve">The definition I have in mind is the traditional assertion-based definition of lying, which can be put as follows: </w:t>
      </w:r>
    </w:p>
    <w:p w14:paraId="53D0B28B" w14:textId="1395931B" w:rsidR="00EB661C" w:rsidRPr="00F90D0D" w:rsidRDefault="00F76E4B" w:rsidP="00EB661C">
      <w:pPr>
        <w:pStyle w:val="longquote"/>
        <w:rPr>
          <w:rFonts w:eastAsiaTheme="minorEastAsia"/>
          <w:i/>
        </w:rPr>
      </w:pPr>
      <w:r>
        <w:rPr>
          <w:rFonts w:eastAsiaTheme="minorEastAsia"/>
          <w:i/>
        </w:rPr>
        <w:t>(D1)</w:t>
      </w:r>
      <w:r>
        <w:rPr>
          <w:rFonts w:eastAsiaTheme="minorEastAsia"/>
          <w:i/>
        </w:rPr>
        <w:tab/>
      </w:r>
      <w:r w:rsidR="00EB661C" w:rsidRPr="00F90D0D">
        <w:rPr>
          <w:rFonts w:eastAsiaTheme="minorEastAsia"/>
          <w:i/>
        </w:rPr>
        <w:t xml:space="preserve">The </w:t>
      </w:r>
      <w:r w:rsidR="00A76845">
        <w:rPr>
          <w:rFonts w:eastAsiaTheme="minorEastAsia"/>
          <w:i/>
        </w:rPr>
        <w:t>A</w:t>
      </w:r>
      <w:r w:rsidR="00EB661C" w:rsidRPr="00F90D0D">
        <w:rPr>
          <w:rFonts w:eastAsiaTheme="minorEastAsia"/>
          <w:i/>
        </w:rPr>
        <w:t>ssertion-</w:t>
      </w:r>
      <w:r w:rsidR="00A76845">
        <w:rPr>
          <w:rFonts w:eastAsiaTheme="minorEastAsia"/>
          <w:i/>
        </w:rPr>
        <w:t>B</w:t>
      </w:r>
      <w:r w:rsidR="00EB661C" w:rsidRPr="00F90D0D">
        <w:rPr>
          <w:rFonts w:eastAsiaTheme="minorEastAsia"/>
          <w:i/>
        </w:rPr>
        <w:t xml:space="preserve">ased </w:t>
      </w:r>
      <w:r w:rsidR="00A76845">
        <w:rPr>
          <w:rFonts w:eastAsiaTheme="minorEastAsia"/>
          <w:i/>
        </w:rPr>
        <w:t>D</w:t>
      </w:r>
      <w:r w:rsidR="00EB661C" w:rsidRPr="00F90D0D">
        <w:rPr>
          <w:rFonts w:eastAsiaTheme="minorEastAsia"/>
          <w:i/>
        </w:rPr>
        <w:t xml:space="preserve">efinition of </w:t>
      </w:r>
      <w:r w:rsidR="00A76845">
        <w:rPr>
          <w:rFonts w:eastAsiaTheme="minorEastAsia"/>
          <w:i/>
        </w:rPr>
        <w:t>L</w:t>
      </w:r>
      <w:r w:rsidR="00EB661C" w:rsidRPr="00F90D0D">
        <w:rPr>
          <w:rFonts w:eastAsiaTheme="minorEastAsia"/>
          <w:i/>
        </w:rPr>
        <w:t xml:space="preserve">ying </w:t>
      </w:r>
    </w:p>
    <w:p w14:paraId="085E7363" w14:textId="77777777" w:rsidR="00EB661C" w:rsidRPr="00F90D0D" w:rsidRDefault="00EB661C" w:rsidP="00EB661C">
      <w:pPr>
        <w:pStyle w:val="longquote"/>
        <w:rPr>
          <w:rFonts w:eastAsiaTheme="minorEastAsia"/>
        </w:rPr>
      </w:pPr>
      <w:r w:rsidRPr="00F90D0D">
        <w:rPr>
          <w:rFonts w:eastAsiaTheme="minorEastAsia"/>
        </w:rPr>
        <w:t xml:space="preserve">A </w:t>
      </w:r>
      <w:proofErr w:type="gramStart"/>
      <w:r w:rsidRPr="00F90D0D">
        <w:rPr>
          <w:rFonts w:eastAsiaTheme="minorEastAsia"/>
        </w:rPr>
        <w:t>lies</w:t>
      </w:r>
      <w:proofErr w:type="gramEnd"/>
      <w:r w:rsidRPr="00F90D0D">
        <w:rPr>
          <w:rFonts w:eastAsiaTheme="minorEastAsia"/>
        </w:rPr>
        <w:t xml:space="preserve"> to B if and only if there is a proposition p such that:</w:t>
      </w:r>
    </w:p>
    <w:p w14:paraId="2A7D5E3B" w14:textId="57040F03" w:rsidR="00EB661C" w:rsidRPr="00F90D0D" w:rsidRDefault="00EB661C" w:rsidP="00EB661C">
      <w:pPr>
        <w:pStyle w:val="longquote"/>
        <w:rPr>
          <w:rFonts w:eastAsiaTheme="minorEastAsia"/>
        </w:rPr>
      </w:pPr>
      <w:r w:rsidRPr="00F90D0D">
        <w:rPr>
          <w:rFonts w:eastAsiaTheme="minorEastAsia"/>
        </w:rPr>
        <w:t>(L1)</w:t>
      </w:r>
      <w:r w:rsidRPr="00F90D0D">
        <w:rPr>
          <w:rFonts w:eastAsiaTheme="minorEastAsia"/>
        </w:rPr>
        <w:tab/>
        <w:t>A asserts p to B, and</w:t>
      </w:r>
    </w:p>
    <w:p w14:paraId="2694B8EE" w14:textId="77777777" w:rsidR="00EB661C" w:rsidRPr="00F90D0D" w:rsidRDefault="00EB661C" w:rsidP="00EB661C">
      <w:pPr>
        <w:pStyle w:val="longquote"/>
        <w:rPr>
          <w:rFonts w:eastAsiaTheme="minorEastAsia"/>
        </w:rPr>
      </w:pPr>
      <w:r w:rsidRPr="00F90D0D">
        <w:rPr>
          <w:rFonts w:eastAsiaTheme="minorEastAsia"/>
        </w:rPr>
        <w:t>(L2)</w:t>
      </w:r>
      <w:r w:rsidRPr="00F90D0D">
        <w:rPr>
          <w:rFonts w:eastAsiaTheme="minorEastAsia"/>
        </w:rPr>
        <w:tab/>
        <w:t>A believes that p is false.</w:t>
      </w:r>
    </w:p>
    <w:p w14:paraId="584103E1" w14:textId="17FBCD88" w:rsidR="00F76E4B" w:rsidRPr="00896EB2" w:rsidRDefault="0039730C" w:rsidP="00850640">
      <w:pPr>
        <w:ind w:firstLine="0"/>
      </w:pPr>
      <w:r>
        <w:t>Of course</w:t>
      </w:r>
      <w:r w:rsidR="00F76E4B">
        <w:t>,</w:t>
      </w:r>
      <w:r>
        <w:t xml:space="preserve"> there are </w:t>
      </w:r>
      <w:r w:rsidR="00F76E4B">
        <w:t xml:space="preserve">different ways </w:t>
      </w:r>
      <w:r w:rsidR="000B150F">
        <w:t>of</w:t>
      </w:r>
      <w:r w:rsidR="00F76E4B">
        <w:t xml:space="preserve"> spell</w:t>
      </w:r>
      <w:r w:rsidR="000B150F">
        <w:t>ing</w:t>
      </w:r>
      <w:r w:rsidR="00F76E4B">
        <w:t xml:space="preserve"> out assertion, and </w:t>
      </w:r>
      <w:r w:rsidR="00FB144D">
        <w:t>thus</w:t>
      </w:r>
      <w:r w:rsidR="00F76E4B">
        <w:t xml:space="preserve"> different ways </w:t>
      </w:r>
      <w:r w:rsidR="000B150F">
        <w:t>of</w:t>
      </w:r>
      <w:r w:rsidR="00F76E4B">
        <w:t xml:space="preserve"> spell</w:t>
      </w:r>
      <w:r w:rsidR="000B150F">
        <w:t>ing</w:t>
      </w:r>
      <w:r w:rsidR="00F76E4B">
        <w:t xml:space="preserve"> out this definition. But as long as (D1) is not tied to a particular account of assertion, it should be fairly uncontroversial.</w:t>
      </w:r>
      <w:r w:rsidR="00F76E4B">
        <w:rPr>
          <w:rStyle w:val="FootnoteReference"/>
        </w:rPr>
        <w:footnoteReference w:id="9"/>
      </w:r>
      <w:r w:rsidR="00F76E4B">
        <w:t xml:space="preserve"> </w:t>
      </w:r>
      <w:r w:rsidR="00896EB2">
        <w:t xml:space="preserve">With (D1) in place, we can also state the difference between lying and mere misleading in a way that should be widely accepted. While liars assert something they believe to be false, misleaders put forward something they believe to be false in </w:t>
      </w:r>
      <w:r w:rsidR="009055AE">
        <w:t>a</w:t>
      </w:r>
      <w:r w:rsidR="00896EB2">
        <w:t xml:space="preserve"> non-assertive way. Let us call </w:t>
      </w:r>
      <w:r w:rsidR="00632AEC">
        <w:lastRenderedPageBreak/>
        <w:t>this non-assertive speech-act</w:t>
      </w:r>
      <w:r w:rsidR="00896EB2">
        <w:t xml:space="preserve"> </w:t>
      </w:r>
      <w:r w:rsidR="00896EB2">
        <w:rPr>
          <w:i/>
        </w:rPr>
        <w:t>suggestin</w:t>
      </w:r>
      <w:r w:rsidR="0011747C">
        <w:rPr>
          <w:i/>
        </w:rPr>
        <w:t>g</w:t>
      </w:r>
      <w:r w:rsidR="00896EB2">
        <w:t>.</w:t>
      </w:r>
      <w:r w:rsidR="00922AF2">
        <w:rPr>
          <w:rStyle w:val="FootnoteReference"/>
        </w:rPr>
        <w:footnoteReference w:id="10"/>
      </w:r>
      <w:r w:rsidR="00896EB2">
        <w:t xml:space="preserve"> Then we can say that the difference between lying and misleading </w:t>
      </w:r>
      <w:r w:rsidR="0055529C">
        <w:t>aligns with</w:t>
      </w:r>
      <w:r w:rsidR="00896EB2">
        <w:t xml:space="preserve"> the difference between asserting and suggesting. Again, </w:t>
      </w:r>
      <w:r w:rsidR="00EF757F">
        <w:t xml:space="preserve">this broad view of the lying-misleading distinction is compatible with several conflicting </w:t>
      </w:r>
      <w:r w:rsidR="002F0650">
        <w:t xml:space="preserve">and </w:t>
      </w:r>
      <w:r w:rsidR="00EF757F">
        <w:t>more nuanced views of the matter, which depend on how</w:t>
      </w:r>
      <w:r w:rsidR="00896EB2">
        <w:t xml:space="preserve"> </w:t>
      </w:r>
      <w:r w:rsidR="00DF60B7">
        <w:t xml:space="preserve">the speech-acts of </w:t>
      </w:r>
      <w:r w:rsidR="00896EB2">
        <w:t>assertin</w:t>
      </w:r>
      <w:r w:rsidR="00B70EF4">
        <w:t>g</w:t>
      </w:r>
      <w:r w:rsidR="00896EB2">
        <w:t xml:space="preserve"> and suggestin</w:t>
      </w:r>
      <w:r w:rsidR="00B70EF4">
        <w:t>g</w:t>
      </w:r>
      <w:r w:rsidR="00896EB2">
        <w:t xml:space="preserve"> </w:t>
      </w:r>
      <w:r w:rsidR="00EF757F">
        <w:t>are construed</w:t>
      </w:r>
      <w:r w:rsidR="005C3E85">
        <w:t xml:space="preserve">. </w:t>
      </w:r>
    </w:p>
    <w:p w14:paraId="503B05A5" w14:textId="2945A171" w:rsidR="00C16E8C" w:rsidRPr="001A4167" w:rsidRDefault="00F76E4B" w:rsidP="007C6F08">
      <w:pPr>
        <w:rPr>
          <w:rFonts w:eastAsia="MS Mincho"/>
        </w:rPr>
      </w:pPr>
      <w:r>
        <w:t xml:space="preserve">Secondly, there </w:t>
      </w:r>
      <w:r w:rsidR="007C6F08">
        <w:t>are some</w:t>
      </w:r>
      <w:r>
        <w:t xml:space="preserve"> </w:t>
      </w:r>
      <w:r w:rsidR="006474A3">
        <w:t xml:space="preserve">uncontroversial </w:t>
      </w:r>
      <w:r>
        <w:t xml:space="preserve">examples </w:t>
      </w:r>
      <w:r w:rsidR="007C6F08">
        <w:t xml:space="preserve">of lying and </w:t>
      </w:r>
      <w:r w:rsidR="004E3BE2">
        <w:t xml:space="preserve">of </w:t>
      </w:r>
      <w:r w:rsidR="001E4F0E">
        <w:t xml:space="preserve">mere </w:t>
      </w:r>
      <w:r w:rsidR="007C6F08">
        <w:t>misleading</w:t>
      </w:r>
      <w:r>
        <w:t xml:space="preserve">. </w:t>
      </w:r>
      <w:r w:rsidR="00ED5651">
        <w:t>One</w:t>
      </w:r>
      <w:r w:rsidR="00EF757F">
        <w:t xml:space="preserve"> of these </w:t>
      </w:r>
      <w:r w:rsidR="004E3BE2">
        <w:t>uncontroversial</w:t>
      </w:r>
      <w:r w:rsidR="00EF757F">
        <w:t xml:space="preserve"> examples is the case of the dying woman introduced above. </w:t>
      </w:r>
      <w:r w:rsidR="006474A3">
        <w:t>It is widely held</w:t>
      </w:r>
      <w:r w:rsidR="00EF757F">
        <w:t xml:space="preserve"> that the doctor lies if she utters (1), while she merely misleads by uttering (2).</w:t>
      </w:r>
      <w:r w:rsidR="00E7621E">
        <w:rPr>
          <w:rStyle w:val="FootnoteReference"/>
        </w:rPr>
        <w:footnoteReference w:id="11"/>
      </w:r>
      <w:r w:rsidR="00EF757F">
        <w:t xml:space="preserve"> </w:t>
      </w:r>
      <w:r w:rsidR="00D3432F">
        <w:rPr>
          <w:rFonts w:eastAsia="MS Mincho"/>
        </w:rPr>
        <w:t>A</w:t>
      </w:r>
      <w:r w:rsidR="004E3BE2">
        <w:rPr>
          <w:rFonts w:eastAsia="MS Mincho"/>
        </w:rPr>
        <w:t>s a</w:t>
      </w:r>
      <w:r w:rsidR="00D3432F">
        <w:rPr>
          <w:rFonts w:eastAsia="MS Mincho"/>
        </w:rPr>
        <w:t xml:space="preserve"> second</w:t>
      </w:r>
      <w:r w:rsidR="00C16E8C">
        <w:rPr>
          <w:rFonts w:eastAsia="MS Mincho"/>
        </w:rPr>
        <w:t xml:space="preserve"> </w:t>
      </w:r>
      <w:r w:rsidR="004E3BE2">
        <w:rPr>
          <w:rFonts w:eastAsia="MS Mincho"/>
        </w:rPr>
        <w:t>uncontroversial example, consider the following</w:t>
      </w:r>
      <w:r w:rsidR="00C16E8C">
        <w:rPr>
          <w:rFonts w:eastAsia="MS Mincho"/>
        </w:rPr>
        <w:t xml:space="preserve"> </w:t>
      </w:r>
      <w:r w:rsidR="004E3BE2">
        <w:rPr>
          <w:rFonts w:eastAsia="MS Mincho"/>
        </w:rPr>
        <w:t>case</w:t>
      </w:r>
      <w:r w:rsidR="00C16E8C">
        <w:rPr>
          <w:rFonts w:eastAsia="MS Mincho"/>
        </w:rPr>
        <w:t>:</w:t>
      </w:r>
    </w:p>
    <w:p w14:paraId="1E8C5DEF" w14:textId="1F095165" w:rsidR="004E3BE2" w:rsidRPr="004E3BE2" w:rsidRDefault="004E3BE2" w:rsidP="004E3BE2">
      <w:pPr>
        <w:pStyle w:val="longquote"/>
        <w:rPr>
          <w:rFonts w:eastAsiaTheme="minorEastAsia"/>
          <w:iCs/>
        </w:rPr>
      </w:pPr>
      <w:r w:rsidRPr="004E3BE2">
        <w:rPr>
          <w:rFonts w:eastAsiaTheme="minorEastAsia"/>
          <w:iCs/>
          <w:lang w:val="en-DE"/>
        </w:rPr>
        <w:t>Amy is attending a vernissage at a small gallery. She gets talki</w:t>
      </w:r>
      <w:r w:rsidRPr="004E3BE2">
        <w:rPr>
          <w:rFonts w:eastAsiaTheme="minorEastAsia"/>
          <w:iCs/>
        </w:rPr>
        <w:t xml:space="preserve">ng to Bill and finds out that he is the painter of the works on display. Bill asks Amy: </w:t>
      </w:r>
      <w:r>
        <w:rPr>
          <w:rFonts w:eastAsiaTheme="minorEastAsia"/>
          <w:iCs/>
        </w:rPr>
        <w:t>“</w:t>
      </w:r>
      <w:r w:rsidRPr="004E3BE2">
        <w:rPr>
          <w:rFonts w:eastAsiaTheme="minorEastAsia"/>
          <w:iCs/>
        </w:rPr>
        <w:t>Do you like the paintings?</w:t>
      </w:r>
      <w:r>
        <w:rPr>
          <w:rFonts w:eastAsiaTheme="minorEastAsia"/>
          <w:iCs/>
        </w:rPr>
        <w:t>”</w:t>
      </w:r>
      <w:r w:rsidRPr="004E3BE2">
        <w:rPr>
          <w:rFonts w:eastAsiaTheme="minorEastAsia"/>
          <w:iCs/>
        </w:rPr>
        <w:t xml:space="preserve"> While Amy thinks that the paintings show a very good mastery of composition and excellent brushwork, she does not like them overall. Amy is unsure whether Bill wants an honest answer. She utters:</w:t>
      </w:r>
    </w:p>
    <w:p w14:paraId="09FC5BEA" w14:textId="45AE4A89" w:rsidR="004E3BE2" w:rsidRPr="004E3BE2" w:rsidRDefault="004E3BE2" w:rsidP="004E3BE2">
      <w:pPr>
        <w:pStyle w:val="longquote"/>
        <w:rPr>
          <w:rFonts w:eastAsiaTheme="minorEastAsia"/>
          <w:i/>
        </w:rPr>
      </w:pPr>
      <w:r w:rsidRPr="004E3BE2">
        <w:rPr>
          <w:rFonts w:eastAsiaTheme="minorEastAsia"/>
          <w:i/>
        </w:rPr>
        <w:t>Version A:</w:t>
      </w:r>
      <w:r w:rsidRPr="004E3BE2">
        <w:rPr>
          <w:rFonts w:eastAsiaTheme="minorEastAsia"/>
          <w:i/>
        </w:rPr>
        <w:tab/>
      </w:r>
      <w:r w:rsidRPr="004E3BE2">
        <w:rPr>
          <w:rFonts w:eastAsiaTheme="minorEastAsia"/>
          <w:iCs/>
        </w:rPr>
        <w:t xml:space="preserve">(3) </w:t>
      </w:r>
      <w:r w:rsidRPr="004E3BE2">
        <w:rPr>
          <w:rFonts w:eastAsiaTheme="minorEastAsia"/>
          <w:iCs/>
        </w:rPr>
        <w:tab/>
        <w:t>Yes, I like them.</w:t>
      </w:r>
      <w:r w:rsidRPr="004E3BE2">
        <w:rPr>
          <w:rFonts w:eastAsiaTheme="minorEastAsia"/>
          <w:i/>
        </w:rPr>
        <w:t xml:space="preserve"> </w:t>
      </w:r>
    </w:p>
    <w:p w14:paraId="61CA060A" w14:textId="1B876104" w:rsidR="00C16E8C" w:rsidRPr="004E3BE2" w:rsidRDefault="004E3BE2" w:rsidP="004E3BE2">
      <w:pPr>
        <w:pStyle w:val="longquote"/>
        <w:rPr>
          <w:rFonts w:eastAsiaTheme="minorEastAsia"/>
          <w:iCs/>
          <w:lang w:val="en-DE"/>
        </w:rPr>
      </w:pPr>
      <w:r w:rsidRPr="004E3BE2">
        <w:rPr>
          <w:rFonts w:eastAsiaTheme="minorEastAsia"/>
          <w:i/>
        </w:rPr>
        <w:t xml:space="preserve">Version B: </w:t>
      </w:r>
      <w:r w:rsidRPr="004E3BE2">
        <w:rPr>
          <w:rFonts w:eastAsiaTheme="minorEastAsia"/>
          <w:i/>
        </w:rPr>
        <w:tab/>
      </w:r>
      <w:r w:rsidRPr="004E3BE2">
        <w:rPr>
          <w:rFonts w:eastAsiaTheme="minorEastAsia"/>
          <w:iCs/>
        </w:rPr>
        <w:t xml:space="preserve">(4) </w:t>
      </w:r>
      <w:r w:rsidRPr="004E3BE2">
        <w:rPr>
          <w:rFonts w:eastAsiaTheme="minorEastAsia"/>
          <w:iCs/>
        </w:rPr>
        <w:tab/>
        <w:t xml:space="preserve">The composition is </w:t>
      </w:r>
      <w:proofErr w:type="gramStart"/>
      <w:r w:rsidRPr="004E3BE2">
        <w:rPr>
          <w:rFonts w:eastAsiaTheme="minorEastAsia"/>
          <w:iCs/>
        </w:rPr>
        <w:t>great</w:t>
      </w:r>
      <w:proofErr w:type="gramEnd"/>
      <w:r w:rsidRPr="004E3BE2">
        <w:rPr>
          <w:rFonts w:eastAsiaTheme="minorEastAsia"/>
          <w:iCs/>
        </w:rPr>
        <w:t xml:space="preserve"> and the brushwork </w:t>
      </w:r>
      <w:r w:rsidRPr="004E3BE2">
        <w:rPr>
          <w:rFonts w:eastAsiaTheme="minorEastAsia"/>
          <w:iCs/>
          <w:lang w:val="en-DE"/>
        </w:rPr>
        <w:t>is excellent</w:t>
      </w:r>
      <w:r w:rsidR="00C16E8C" w:rsidRPr="001A4167">
        <w:rPr>
          <w:rFonts w:eastAsiaTheme="minorEastAsia"/>
        </w:rPr>
        <w:t>.</w:t>
      </w:r>
      <w:r w:rsidR="00C937C3">
        <w:rPr>
          <w:rStyle w:val="FootnoteReference"/>
          <w:rFonts w:eastAsiaTheme="minorEastAsia"/>
        </w:rPr>
        <w:footnoteReference w:id="12"/>
      </w:r>
    </w:p>
    <w:p w14:paraId="39427A67" w14:textId="50338DFC" w:rsidR="00825B8A" w:rsidRDefault="00C16E8C" w:rsidP="00850640">
      <w:pPr>
        <w:ind w:firstLine="0"/>
      </w:pPr>
      <w:r>
        <w:t xml:space="preserve">In this case, too, most theorists would </w:t>
      </w:r>
      <w:r w:rsidR="0050714A">
        <w:t xml:space="preserve">presumably </w:t>
      </w:r>
      <w:r>
        <w:t>say that utterance (3) is a lie, while utterance (4) is merely misleading.</w:t>
      </w:r>
      <w:r w:rsidR="00825B8A">
        <w:t xml:space="preserve"> </w:t>
      </w:r>
      <w:r w:rsidR="00152710">
        <w:t xml:space="preserve">These examples illustrate </w:t>
      </w:r>
      <w:r w:rsidR="00825B8A">
        <w:t xml:space="preserve">the previous point about asserting and </w:t>
      </w:r>
      <w:proofErr w:type="gramStart"/>
      <w:r w:rsidR="00825B8A">
        <w:t>suggesting:</w:t>
      </w:r>
      <w:proofErr w:type="gramEnd"/>
      <w:r w:rsidR="00825B8A">
        <w:t xml:space="preserve"> i</w:t>
      </w:r>
      <w:r w:rsidR="00152710">
        <w:t xml:space="preserve">n </w:t>
      </w:r>
      <w:r w:rsidR="003002D7">
        <w:t>the A-versions</w:t>
      </w:r>
      <w:r w:rsidR="00152710">
        <w:t xml:space="preserve">, the </w:t>
      </w:r>
      <w:r w:rsidR="002424F1">
        <w:t>speakers</w:t>
      </w:r>
      <w:r w:rsidR="00825B8A">
        <w:t xml:space="preserve"> </w:t>
      </w:r>
      <w:r w:rsidR="00825B8A" w:rsidRPr="00825B8A">
        <w:rPr>
          <w:i/>
        </w:rPr>
        <w:t>assert</w:t>
      </w:r>
      <w:r w:rsidR="00825B8A">
        <w:t xml:space="preserve"> something </w:t>
      </w:r>
      <w:r w:rsidR="003002D7">
        <w:t>they</w:t>
      </w:r>
      <w:r w:rsidR="00825B8A">
        <w:t xml:space="preserve"> believe to be false; by contrast, in</w:t>
      </w:r>
      <w:r w:rsidR="001E4F0E">
        <w:t xml:space="preserve"> the</w:t>
      </w:r>
      <w:r w:rsidR="00825B8A">
        <w:t xml:space="preserve"> </w:t>
      </w:r>
      <w:r w:rsidR="003002D7">
        <w:t>B-v</w:t>
      </w:r>
      <w:r w:rsidR="00825B8A">
        <w:t>ersion</w:t>
      </w:r>
      <w:r w:rsidR="003002D7">
        <w:t>s</w:t>
      </w:r>
      <w:r w:rsidR="007C6F08">
        <w:t xml:space="preserve">, </w:t>
      </w:r>
      <w:r w:rsidR="00825B8A">
        <w:t xml:space="preserve">the </w:t>
      </w:r>
      <w:r w:rsidR="002424F1">
        <w:t>speakers</w:t>
      </w:r>
      <w:r w:rsidR="00825B8A">
        <w:t xml:space="preserve"> merely </w:t>
      </w:r>
      <w:r w:rsidR="00825B8A" w:rsidRPr="00825B8A">
        <w:rPr>
          <w:i/>
        </w:rPr>
        <w:t>suggest</w:t>
      </w:r>
      <w:r w:rsidR="00825B8A">
        <w:t xml:space="preserve"> </w:t>
      </w:r>
      <w:r w:rsidR="007C6F08">
        <w:t xml:space="preserve">(but do not assert) </w:t>
      </w:r>
      <w:r w:rsidR="00825B8A">
        <w:t xml:space="preserve">something </w:t>
      </w:r>
      <w:r w:rsidR="003002D7">
        <w:t>they</w:t>
      </w:r>
      <w:r w:rsidR="00825B8A">
        <w:t xml:space="preserve"> believe to be false. </w:t>
      </w:r>
    </w:p>
    <w:p w14:paraId="7042947B" w14:textId="6A7FB778" w:rsidR="00F76E4B" w:rsidRPr="00A153B1" w:rsidRDefault="00825B8A" w:rsidP="00825B8A">
      <w:r>
        <w:t xml:space="preserve">Thirdly, there is a widely accepted diagnostic test that can </w:t>
      </w:r>
      <w:r w:rsidR="001E4F0E">
        <w:t>help</w:t>
      </w:r>
      <w:r>
        <w:t xml:space="preserve"> to decide whether an</w:t>
      </w:r>
      <w:r w:rsidR="00152710">
        <w:t xml:space="preserve"> </w:t>
      </w:r>
      <w:r>
        <w:t xml:space="preserve">utterance is a lie or merely misleading. This test </w:t>
      </w:r>
      <w:r w:rsidR="00D02234">
        <w:t>looks at</w:t>
      </w:r>
      <w:r>
        <w:t xml:space="preserve"> </w:t>
      </w:r>
      <w:r w:rsidRPr="00A153B1">
        <w:t xml:space="preserve">whether </w:t>
      </w:r>
      <w:r w:rsidR="002424F1">
        <w:t>speakers</w:t>
      </w:r>
      <w:r w:rsidRPr="00A153B1">
        <w:t xml:space="preserve"> can </w:t>
      </w:r>
      <w:r w:rsidR="003367FA" w:rsidRPr="00A153B1">
        <w:t>consistently deny accusations of lying</w:t>
      </w:r>
      <w:r w:rsidRPr="00A153B1">
        <w:t xml:space="preserve"> following their original utterances. </w:t>
      </w:r>
      <w:r w:rsidR="00AB6B89" w:rsidRPr="00A153B1">
        <w:t>Suppose</w:t>
      </w:r>
      <w:r w:rsidR="00ED7D53" w:rsidRPr="00A153B1">
        <w:t xml:space="preserve"> </w:t>
      </w:r>
      <w:r w:rsidR="00D02234">
        <w:t xml:space="preserve">a colleague were to accuse </w:t>
      </w:r>
      <w:r w:rsidR="00ED7D53" w:rsidRPr="00A153B1">
        <w:t xml:space="preserve">the doctor </w:t>
      </w:r>
      <w:r w:rsidR="00AB6B89" w:rsidRPr="00A153B1">
        <w:t xml:space="preserve">of lying to the dying woman. In Version B of the example, in which the doctor utters the misleading (2), she could </w:t>
      </w:r>
      <w:r w:rsidR="003367FA" w:rsidRPr="00A153B1">
        <w:t>consistently</w:t>
      </w:r>
      <w:r w:rsidR="00AB6B89" w:rsidRPr="00A153B1">
        <w:t xml:space="preserve"> respon</w:t>
      </w:r>
      <w:r w:rsidR="003367FA" w:rsidRPr="00A153B1">
        <w:t>d along the following lines</w:t>
      </w:r>
      <w:r w:rsidR="00AB6B89" w:rsidRPr="00A153B1">
        <w:t>:</w:t>
      </w:r>
    </w:p>
    <w:p w14:paraId="63DA687F" w14:textId="77777777" w:rsidR="007525C7" w:rsidRPr="00A153B1" w:rsidRDefault="007525C7" w:rsidP="00825B8A"/>
    <w:p w14:paraId="1D79248B" w14:textId="41A82166" w:rsidR="00AB6B89" w:rsidRPr="00A153B1" w:rsidRDefault="00AB6B89" w:rsidP="00AB6B89">
      <w:pPr>
        <w:ind w:left="1416" w:hanging="708"/>
      </w:pPr>
      <w:r w:rsidRPr="00A153B1">
        <w:t>(5)</w:t>
      </w:r>
      <w:r w:rsidRPr="00A153B1">
        <w:tab/>
      </w:r>
      <w:r w:rsidR="00996245" w:rsidRPr="00A153B1">
        <w:t xml:space="preserve">I didn’t lie. </w:t>
      </w:r>
      <w:r w:rsidRPr="00A153B1">
        <w:t xml:space="preserve">I didn’t </w:t>
      </w:r>
      <w:r w:rsidR="006601B1" w:rsidRPr="00A153B1">
        <w:t xml:space="preserve">claim that the dying woman’s </w:t>
      </w:r>
      <w:r w:rsidR="00690D4B" w:rsidRPr="00A153B1">
        <w:t>son was fine</w:t>
      </w:r>
      <w:r w:rsidRPr="00A153B1">
        <w:t xml:space="preserve">. I merely claimed that I had seen her son the day before and that he was fine then, which was indeed the case.  </w:t>
      </w:r>
    </w:p>
    <w:p w14:paraId="72BD9BF5" w14:textId="77777777" w:rsidR="007525C7" w:rsidRPr="00A153B1" w:rsidRDefault="007525C7" w:rsidP="00AB6B89">
      <w:pPr>
        <w:ind w:left="1416" w:hanging="708"/>
      </w:pPr>
    </w:p>
    <w:p w14:paraId="26E21609" w14:textId="46F9890E" w:rsidR="00332B28" w:rsidRPr="00A153B1" w:rsidRDefault="00AB6B89" w:rsidP="00AB6B89">
      <w:pPr>
        <w:ind w:firstLine="0"/>
      </w:pPr>
      <w:r w:rsidRPr="00A153B1">
        <w:t xml:space="preserve">In Version A, however, the doctor could not </w:t>
      </w:r>
      <w:r w:rsidR="003367FA" w:rsidRPr="00A153B1">
        <w:t>consistently respond in this</w:t>
      </w:r>
      <w:r w:rsidR="003367FA">
        <w:t xml:space="preserve"> way; if she did respond along the lines of (5), she would be going against her previous utterance of (1), which would make her response infelicitous</w:t>
      </w:r>
      <w:r>
        <w:t>. So</w:t>
      </w:r>
      <w:r w:rsidR="0055529C">
        <w:t>,</w:t>
      </w:r>
      <w:r>
        <w:t xml:space="preserve"> the doctor retains deniability through her misleading utterance (2), </w:t>
      </w:r>
      <w:r>
        <w:lastRenderedPageBreak/>
        <w:t xml:space="preserve">but not through her lie (1). </w:t>
      </w:r>
      <w:r w:rsidR="00C937C3">
        <w:t xml:space="preserve">Several theorists </w:t>
      </w:r>
      <w:r>
        <w:t>have used observations of this kind as a diagnostic test</w:t>
      </w:r>
      <w:r w:rsidR="005C3E85">
        <w:t>, according to which</w:t>
      </w:r>
      <w:r>
        <w:t xml:space="preserve"> the possibility </w:t>
      </w:r>
      <w:r w:rsidRPr="00A153B1">
        <w:t xml:space="preserve">of </w:t>
      </w:r>
      <w:r w:rsidR="003367FA" w:rsidRPr="00A153B1">
        <w:t>consistent</w:t>
      </w:r>
      <w:r w:rsidRPr="00A153B1">
        <w:t xml:space="preserve"> denials speaks in favour of the utterance being merely misleading, while the impossibility of </w:t>
      </w:r>
      <w:r w:rsidR="003367FA" w:rsidRPr="00A153B1">
        <w:t>consistent</w:t>
      </w:r>
      <w:r w:rsidRPr="00A153B1">
        <w:t xml:space="preserve"> denials speaks in favour </w:t>
      </w:r>
      <w:r w:rsidR="005A14BF">
        <w:t xml:space="preserve">of </w:t>
      </w:r>
      <w:r w:rsidRPr="00A153B1">
        <w:t>the utterance being a lie.</w:t>
      </w:r>
      <w:r w:rsidR="00C937C3">
        <w:rPr>
          <w:rStyle w:val="FootnoteReference"/>
        </w:rPr>
        <w:footnoteReference w:id="13"/>
      </w:r>
      <w:r w:rsidRPr="00A153B1">
        <w:t xml:space="preserve"> The test also delivers the right result for the second example: </w:t>
      </w:r>
      <w:r w:rsidR="004E3BE2">
        <w:t>Amy</w:t>
      </w:r>
      <w:r w:rsidRPr="00A153B1">
        <w:t xml:space="preserve"> can offer a </w:t>
      </w:r>
      <w:r w:rsidR="003367FA" w:rsidRPr="00A153B1">
        <w:t>consistent</w:t>
      </w:r>
      <w:r w:rsidRPr="00A153B1">
        <w:t xml:space="preserve"> denial following </w:t>
      </w:r>
      <w:r w:rsidR="004E3BE2">
        <w:t>her</w:t>
      </w:r>
      <w:r w:rsidRPr="00A153B1">
        <w:t xml:space="preserve"> misleading utterance (4), but </w:t>
      </w:r>
      <w:r w:rsidR="004E3BE2">
        <w:t>s</w:t>
      </w:r>
      <w:r w:rsidRPr="00A153B1">
        <w:t xml:space="preserve">he cannot offer a </w:t>
      </w:r>
      <w:r w:rsidR="003367FA" w:rsidRPr="00A153B1">
        <w:t>consistent</w:t>
      </w:r>
      <w:r w:rsidRPr="00A153B1">
        <w:t xml:space="preserve"> denial following </w:t>
      </w:r>
      <w:r w:rsidR="004E3BE2">
        <w:t>her</w:t>
      </w:r>
      <w:r w:rsidRPr="00A153B1">
        <w:t xml:space="preserve"> lie (3).</w:t>
      </w:r>
      <w:r w:rsidR="00D3432F" w:rsidRPr="00A153B1">
        <w:rPr>
          <w:rStyle w:val="FootnoteReference"/>
        </w:rPr>
        <w:footnoteReference w:id="14"/>
      </w:r>
    </w:p>
    <w:p w14:paraId="078B544A" w14:textId="09910CF7" w:rsidR="00FD7DAC" w:rsidRDefault="00FD7DAC" w:rsidP="00425D3A">
      <w:r>
        <w:t xml:space="preserve">Now let us move on to the main question of the paper: How must </w:t>
      </w:r>
      <w:r w:rsidR="00782A59">
        <w:t xml:space="preserve">the assertion-based definition of </w:t>
      </w:r>
      <w:r>
        <w:t xml:space="preserve">lying be </w:t>
      </w:r>
      <w:r w:rsidR="00782A59">
        <w:t>spelled out</w:t>
      </w:r>
      <w:r>
        <w:t xml:space="preserve"> so as to adequately capture the distinction between lying and misleading? In the next two sections, I will discuss definitions based on the notions of </w:t>
      </w:r>
      <w:r>
        <w:rPr>
          <w:i/>
        </w:rPr>
        <w:t>saying</w:t>
      </w:r>
      <w:r>
        <w:t xml:space="preserve"> and </w:t>
      </w:r>
      <w:r>
        <w:rPr>
          <w:i/>
        </w:rPr>
        <w:t>warranting</w:t>
      </w:r>
      <w:r w:rsidR="006360B6">
        <w:t>,</w:t>
      </w:r>
      <w:r>
        <w:t xml:space="preserve"> before then proposing and defending a commitment-based definition. </w:t>
      </w:r>
    </w:p>
    <w:p w14:paraId="1CAB19BA" w14:textId="77777777" w:rsidR="003367FA" w:rsidRPr="00FD7DAC" w:rsidRDefault="003367FA" w:rsidP="00425D3A"/>
    <w:p w14:paraId="759E4AAD" w14:textId="38B3819D" w:rsidR="00A710EB" w:rsidRPr="005D68E0" w:rsidRDefault="005D68E0" w:rsidP="00A710EB">
      <w:pPr>
        <w:pStyle w:val="Heading1"/>
        <w:rPr>
          <w:smallCaps/>
        </w:rPr>
      </w:pPr>
      <w:r w:rsidRPr="005D68E0">
        <w:rPr>
          <w:smallCaps/>
        </w:rPr>
        <w:t>iii</w:t>
      </w:r>
      <w:r w:rsidR="00A710EB" w:rsidRPr="005D68E0">
        <w:rPr>
          <w:smallCaps/>
        </w:rPr>
        <w:t xml:space="preserve">. </w:t>
      </w:r>
      <w:r w:rsidRPr="005D68E0">
        <w:rPr>
          <w:smallCaps/>
        </w:rPr>
        <w:t>l</w:t>
      </w:r>
      <w:r w:rsidR="003615EE" w:rsidRPr="005D68E0">
        <w:rPr>
          <w:smallCaps/>
        </w:rPr>
        <w:t>ying</w:t>
      </w:r>
      <w:r w:rsidR="008C7F86" w:rsidRPr="005D68E0">
        <w:rPr>
          <w:smallCaps/>
        </w:rPr>
        <w:t>, misleading</w:t>
      </w:r>
      <w:r w:rsidR="00ED34F5">
        <w:rPr>
          <w:smallCaps/>
        </w:rPr>
        <w:t>,</w:t>
      </w:r>
      <w:r w:rsidR="003615EE" w:rsidRPr="005D68E0">
        <w:rPr>
          <w:smallCaps/>
        </w:rPr>
        <w:t xml:space="preserve"> and </w:t>
      </w:r>
      <w:r w:rsidR="002954DE" w:rsidRPr="005D68E0">
        <w:rPr>
          <w:smallCaps/>
        </w:rPr>
        <w:t>saying</w:t>
      </w:r>
    </w:p>
    <w:p w14:paraId="02F4C9BF" w14:textId="7D7CA4C8" w:rsidR="00C370AC" w:rsidRDefault="003E3E9A" w:rsidP="00CD73CC">
      <w:pPr>
        <w:ind w:firstLine="0"/>
        <w:rPr>
          <w:rFonts w:eastAsiaTheme="minorEastAsia"/>
          <w:bCs/>
        </w:rPr>
      </w:pPr>
      <w:r>
        <w:rPr>
          <w:rFonts w:eastAsiaTheme="minorEastAsia"/>
          <w:bCs/>
        </w:rPr>
        <w:t xml:space="preserve">According to </w:t>
      </w:r>
      <w:r w:rsidR="0005209E">
        <w:rPr>
          <w:rFonts w:eastAsiaTheme="minorEastAsia"/>
          <w:bCs/>
        </w:rPr>
        <w:t>content-based</w:t>
      </w:r>
      <w:r w:rsidR="001537DC">
        <w:rPr>
          <w:rFonts w:eastAsiaTheme="minorEastAsia"/>
          <w:bCs/>
        </w:rPr>
        <w:t xml:space="preserve"> definitions of lying, </w:t>
      </w:r>
      <w:r>
        <w:rPr>
          <w:rFonts w:eastAsiaTheme="minorEastAsia"/>
          <w:bCs/>
        </w:rPr>
        <w:t xml:space="preserve">the difference between </w:t>
      </w:r>
      <w:r w:rsidR="00361B01">
        <w:rPr>
          <w:rFonts w:eastAsiaTheme="minorEastAsia"/>
          <w:bCs/>
        </w:rPr>
        <w:t>lying and misleading</w:t>
      </w:r>
      <w:r w:rsidR="001537DC">
        <w:rPr>
          <w:rFonts w:eastAsiaTheme="minorEastAsia"/>
          <w:bCs/>
        </w:rPr>
        <w:t xml:space="preserve"> </w:t>
      </w:r>
      <w:r>
        <w:rPr>
          <w:rFonts w:eastAsiaTheme="minorEastAsia"/>
          <w:bCs/>
        </w:rPr>
        <w:t xml:space="preserve">has to do with how content is expressed: liars </w:t>
      </w:r>
      <w:r w:rsidRPr="003E3E9A">
        <w:rPr>
          <w:rFonts w:eastAsiaTheme="minorEastAsia"/>
          <w:bCs/>
          <w:i/>
          <w:iCs/>
        </w:rPr>
        <w:t>say</w:t>
      </w:r>
      <w:r>
        <w:rPr>
          <w:rFonts w:eastAsiaTheme="minorEastAsia"/>
          <w:bCs/>
        </w:rPr>
        <w:t xml:space="preserve"> something they believe to be false, </w:t>
      </w:r>
      <w:r>
        <w:t xml:space="preserve">while misleaders merely put forward a believed-false </w:t>
      </w:r>
      <w:r w:rsidRPr="003E3E9A">
        <w:rPr>
          <w:i/>
          <w:iCs/>
        </w:rPr>
        <w:t>implicature</w:t>
      </w:r>
      <w:r w:rsidR="00FD7DAC">
        <w:rPr>
          <w:rFonts w:eastAsiaTheme="minorEastAsia"/>
          <w:bCs/>
        </w:rPr>
        <w:t>.</w:t>
      </w:r>
      <w:r w:rsidR="00263E03">
        <w:rPr>
          <w:rFonts w:eastAsiaTheme="minorEastAsia"/>
          <w:bCs/>
        </w:rPr>
        <w:t xml:space="preserve"> </w:t>
      </w:r>
      <w:r w:rsidR="00356968">
        <w:rPr>
          <w:rFonts w:eastAsiaTheme="minorEastAsia"/>
          <w:bCs/>
        </w:rPr>
        <w:t xml:space="preserve">Several </w:t>
      </w:r>
      <w:r w:rsidR="0005209E">
        <w:rPr>
          <w:rFonts w:eastAsiaTheme="minorEastAsia"/>
          <w:bCs/>
        </w:rPr>
        <w:t>content-based</w:t>
      </w:r>
      <w:r w:rsidR="001537DC">
        <w:rPr>
          <w:rFonts w:eastAsiaTheme="minorEastAsia"/>
          <w:bCs/>
        </w:rPr>
        <w:t xml:space="preserve"> definitions have been </w:t>
      </w:r>
      <w:r w:rsidR="001E4F0E">
        <w:rPr>
          <w:rFonts w:eastAsiaTheme="minorEastAsia"/>
          <w:bCs/>
        </w:rPr>
        <w:t>proposed</w:t>
      </w:r>
      <w:r w:rsidR="00356968">
        <w:rPr>
          <w:rFonts w:eastAsiaTheme="minorEastAsia"/>
          <w:bCs/>
        </w:rPr>
        <w:t xml:space="preserve"> in recent years.</w:t>
      </w:r>
      <w:r w:rsidR="00356968">
        <w:rPr>
          <w:rStyle w:val="FootnoteReference"/>
          <w:rFonts w:eastAsiaTheme="minorEastAsia"/>
          <w:bCs/>
        </w:rPr>
        <w:footnoteReference w:id="15"/>
      </w:r>
      <w:r w:rsidR="001537DC">
        <w:rPr>
          <w:rFonts w:eastAsiaTheme="minorEastAsia"/>
          <w:bCs/>
        </w:rPr>
        <w:t xml:space="preserve"> </w:t>
      </w:r>
      <w:r w:rsidR="001537DC">
        <w:t xml:space="preserve">These definitions differ in various ways, but they agree </w:t>
      </w:r>
      <w:r w:rsidR="0005209E">
        <w:t>with respect</w:t>
      </w:r>
      <w:r w:rsidR="001537DC">
        <w:t xml:space="preserve"> to the lying-misleading distinction: </w:t>
      </w:r>
      <w:r w:rsidR="004F2293">
        <w:t>the idea is that</w:t>
      </w:r>
      <w:r w:rsidR="00B4011F">
        <w:t xml:space="preserve"> lies and </w:t>
      </w:r>
      <w:r w:rsidR="001537DC">
        <w:t xml:space="preserve">mere misleadings </w:t>
      </w:r>
      <w:r w:rsidR="00D730E1">
        <w:t>can be</w:t>
      </w:r>
      <w:r w:rsidR="004F2293">
        <w:t xml:space="preserve"> held apart </w:t>
      </w:r>
      <w:r w:rsidR="001537DC">
        <w:t xml:space="preserve">by requiring </w:t>
      </w:r>
      <w:r w:rsidR="005A14BF">
        <w:t>the content of a lie</w:t>
      </w:r>
      <w:r w:rsidR="001537DC">
        <w:t xml:space="preserve"> to be said</w:t>
      </w:r>
      <w:r w:rsidR="00263E03">
        <w:t>, where what is said is construed in a narrow way</w:t>
      </w:r>
      <w:r w:rsidR="001537DC">
        <w:t xml:space="preserve">. In this section, I will </w:t>
      </w:r>
      <w:r w:rsidR="00D3432F">
        <w:t>focus on</w:t>
      </w:r>
      <w:r w:rsidR="001537DC">
        <w:t xml:space="preserve"> Andreas Stokke’s definition in order to </w:t>
      </w:r>
      <w:r w:rsidR="00762859">
        <w:t>illustrate</w:t>
      </w:r>
      <w:r w:rsidR="001537DC">
        <w:t xml:space="preserve"> which kinds of cases present </w:t>
      </w:r>
      <w:r w:rsidR="003002D7">
        <w:t xml:space="preserve">a </w:t>
      </w:r>
      <w:r w:rsidR="001537DC">
        <w:t xml:space="preserve">problem for </w:t>
      </w:r>
      <w:r w:rsidR="0005209E">
        <w:t>content-based</w:t>
      </w:r>
      <w:r w:rsidR="001537DC">
        <w:t xml:space="preserve"> definitions. </w:t>
      </w:r>
    </w:p>
    <w:p w14:paraId="3350EEC0" w14:textId="6A47FBB7" w:rsidR="00CD73CC" w:rsidRDefault="00762859" w:rsidP="00762859">
      <w:pPr>
        <w:rPr>
          <w:rFonts w:eastAsiaTheme="minorEastAsia"/>
        </w:rPr>
      </w:pPr>
      <w:r>
        <w:rPr>
          <w:rFonts w:eastAsiaTheme="minorEastAsia"/>
        </w:rPr>
        <w:t>In a series of recent papers and a monograph, Stokke</w:t>
      </w:r>
      <w:r w:rsidRPr="00F90D0D">
        <w:t xml:space="preserve"> </w:t>
      </w:r>
      <w:r>
        <w:rPr>
          <w:rFonts w:eastAsiaTheme="minorEastAsia"/>
        </w:rPr>
        <w:t xml:space="preserve">has </w:t>
      </w:r>
      <w:r w:rsidR="002F0650">
        <w:rPr>
          <w:rFonts w:eastAsiaTheme="minorEastAsia"/>
        </w:rPr>
        <w:t>made a strong case for</w:t>
      </w:r>
      <w:r>
        <w:rPr>
          <w:rFonts w:eastAsiaTheme="minorEastAsia"/>
        </w:rPr>
        <w:t xml:space="preserve"> a </w:t>
      </w:r>
      <w:r w:rsidR="0005209E">
        <w:rPr>
          <w:rFonts w:eastAsiaTheme="minorEastAsia"/>
        </w:rPr>
        <w:t>content-based</w:t>
      </w:r>
      <w:r>
        <w:rPr>
          <w:rFonts w:eastAsiaTheme="minorEastAsia"/>
        </w:rPr>
        <w:t xml:space="preserve"> </w:t>
      </w:r>
      <w:r w:rsidR="002F0650">
        <w:rPr>
          <w:rFonts w:eastAsiaTheme="minorEastAsia"/>
        </w:rPr>
        <w:t>definition</w:t>
      </w:r>
      <w:r w:rsidR="00414D1F">
        <w:rPr>
          <w:rFonts w:eastAsiaTheme="minorEastAsia"/>
        </w:rPr>
        <w:t xml:space="preserve"> of</w:t>
      </w:r>
      <w:r>
        <w:rPr>
          <w:rFonts w:eastAsiaTheme="minorEastAsia"/>
        </w:rPr>
        <w:t xml:space="preserve"> lying.</w:t>
      </w:r>
      <w:r w:rsidR="00D730E1">
        <w:rPr>
          <w:rStyle w:val="FootnoteReference"/>
          <w:rFonts w:eastAsiaTheme="minorEastAsia"/>
        </w:rPr>
        <w:footnoteReference w:id="16"/>
      </w:r>
      <w:r>
        <w:rPr>
          <w:rFonts w:eastAsiaTheme="minorEastAsia"/>
        </w:rPr>
        <w:t xml:space="preserve"> Stokke</w:t>
      </w:r>
      <w:r w:rsidR="00FD7DAC">
        <w:rPr>
          <w:rFonts w:eastAsiaTheme="minorEastAsia"/>
        </w:rPr>
        <w:t xml:space="preserve"> combines the assertion-based definition of lying with the following view of</w:t>
      </w:r>
      <w:r w:rsidR="00CD73CC">
        <w:rPr>
          <w:rFonts w:eastAsiaTheme="minorEastAsia"/>
        </w:rPr>
        <w:t xml:space="preserve"> assertion: </w:t>
      </w:r>
    </w:p>
    <w:p w14:paraId="42E4033B" w14:textId="6678CFBE" w:rsidR="00CD73CC" w:rsidRPr="00CE4693" w:rsidRDefault="00CD73CC" w:rsidP="00CD73CC">
      <w:pPr>
        <w:pStyle w:val="longquote"/>
        <w:rPr>
          <w:rFonts w:eastAsiaTheme="minorEastAsia"/>
        </w:rPr>
      </w:pPr>
      <w:r w:rsidRPr="0090221E">
        <w:rPr>
          <w:rFonts w:eastAsiaTheme="minorEastAsia"/>
          <w:i/>
        </w:rPr>
        <w:t xml:space="preserve">Stokke’s </w:t>
      </w:r>
      <w:r w:rsidR="00A76845">
        <w:rPr>
          <w:rFonts w:eastAsiaTheme="minorEastAsia"/>
          <w:i/>
        </w:rPr>
        <w:t>A</w:t>
      </w:r>
      <w:r w:rsidRPr="0090221E">
        <w:rPr>
          <w:rFonts w:eastAsiaTheme="minorEastAsia"/>
          <w:i/>
        </w:rPr>
        <w:t xml:space="preserve">ccount of </w:t>
      </w:r>
      <w:r w:rsidR="00A76845">
        <w:rPr>
          <w:rFonts w:eastAsiaTheme="minorEastAsia"/>
          <w:i/>
        </w:rPr>
        <w:t>A</w:t>
      </w:r>
      <w:r w:rsidRPr="0090221E">
        <w:rPr>
          <w:rFonts w:eastAsiaTheme="minorEastAsia"/>
          <w:i/>
        </w:rPr>
        <w:t>ssertion</w:t>
      </w:r>
      <w:r w:rsidRPr="00CE4693">
        <w:rPr>
          <w:rFonts w:eastAsiaTheme="minorEastAsia"/>
        </w:rPr>
        <w:t xml:space="preserve"> </w:t>
      </w:r>
    </w:p>
    <w:p w14:paraId="405CD336" w14:textId="135DA1A6" w:rsidR="00CD73CC" w:rsidRPr="00CE4693" w:rsidRDefault="00CD73CC" w:rsidP="00CD73CC">
      <w:pPr>
        <w:pStyle w:val="longquote"/>
        <w:rPr>
          <w:rFonts w:eastAsiaTheme="minorEastAsia"/>
        </w:rPr>
      </w:pPr>
      <w:r w:rsidRPr="00CE4693">
        <w:rPr>
          <w:rFonts w:eastAsiaTheme="minorEastAsia"/>
        </w:rPr>
        <w:t>In uttering a sentence S, A asserts</w:t>
      </w:r>
      <w:r w:rsidR="00E57527">
        <w:rPr>
          <w:rFonts w:eastAsiaTheme="minorEastAsia"/>
        </w:rPr>
        <w:t xml:space="preserve"> that</w:t>
      </w:r>
      <w:r w:rsidRPr="00CE4693">
        <w:rPr>
          <w:rFonts w:eastAsiaTheme="minorEastAsia"/>
        </w:rPr>
        <w:t xml:space="preserve"> p only if:</w:t>
      </w:r>
    </w:p>
    <w:p w14:paraId="441FA438" w14:textId="2CA72CC3" w:rsidR="00CD73CC" w:rsidRPr="00CE4693" w:rsidRDefault="00CD73CC" w:rsidP="00CD73CC">
      <w:pPr>
        <w:pStyle w:val="longquote"/>
        <w:rPr>
          <w:rFonts w:eastAsiaTheme="minorEastAsia"/>
        </w:rPr>
      </w:pPr>
      <w:r w:rsidRPr="00CE4693">
        <w:rPr>
          <w:rFonts w:eastAsiaTheme="minorEastAsia"/>
        </w:rPr>
        <w:t>(A1)</w:t>
      </w:r>
      <w:r w:rsidRPr="00CE4693">
        <w:rPr>
          <w:rFonts w:eastAsiaTheme="minorEastAsia"/>
        </w:rPr>
        <w:tab/>
      </w:r>
      <w:r>
        <w:rPr>
          <w:rFonts w:eastAsiaTheme="minorEastAsia"/>
        </w:rPr>
        <w:t>S</w:t>
      </w:r>
      <w:r w:rsidRPr="00CE4693">
        <w:rPr>
          <w:rFonts w:eastAsiaTheme="minorEastAsia"/>
        </w:rPr>
        <w:t xml:space="preserve"> says </w:t>
      </w:r>
      <w:r w:rsidR="00E57527">
        <w:rPr>
          <w:rFonts w:eastAsiaTheme="minorEastAsia"/>
        </w:rPr>
        <w:t xml:space="preserve">that </w:t>
      </w:r>
      <w:r w:rsidRPr="00CE4693">
        <w:rPr>
          <w:rFonts w:eastAsiaTheme="minorEastAsia"/>
        </w:rPr>
        <w:t>p, and</w:t>
      </w:r>
    </w:p>
    <w:p w14:paraId="0CEBDDE0" w14:textId="31FC4D0A" w:rsidR="00CD73CC" w:rsidRPr="00CE4693" w:rsidRDefault="00CD73CC" w:rsidP="00CD73CC">
      <w:pPr>
        <w:pStyle w:val="longquote"/>
        <w:rPr>
          <w:rFonts w:eastAsiaTheme="minorEastAsia"/>
        </w:rPr>
      </w:pPr>
      <w:r w:rsidRPr="00CE4693">
        <w:rPr>
          <w:rFonts w:eastAsiaTheme="minorEastAsia"/>
        </w:rPr>
        <w:t>(A2)</w:t>
      </w:r>
      <w:r w:rsidRPr="00CE4693">
        <w:rPr>
          <w:rFonts w:eastAsiaTheme="minorEastAsia"/>
        </w:rPr>
        <w:tab/>
        <w:t xml:space="preserve">by uttering S, A proposes to make </w:t>
      </w:r>
      <w:r w:rsidR="00E57527">
        <w:rPr>
          <w:rFonts w:eastAsiaTheme="minorEastAsia"/>
        </w:rPr>
        <w:t>it</w:t>
      </w:r>
      <w:r w:rsidRPr="00CE4693">
        <w:rPr>
          <w:rFonts w:eastAsiaTheme="minorEastAsia"/>
        </w:rPr>
        <w:t xml:space="preserve"> common ground</w:t>
      </w:r>
      <w:r w:rsidR="00E57527">
        <w:rPr>
          <w:rFonts w:eastAsiaTheme="minorEastAsia"/>
        </w:rPr>
        <w:t xml:space="preserve"> that p</w:t>
      </w:r>
      <w:r w:rsidRPr="00CE4693">
        <w:rPr>
          <w:rFonts w:eastAsiaTheme="minorEastAsia"/>
        </w:rPr>
        <w:t>.</w:t>
      </w:r>
      <w:r w:rsidR="00941C00">
        <w:rPr>
          <w:rStyle w:val="FootnoteReference"/>
          <w:rFonts w:eastAsiaTheme="minorEastAsia"/>
        </w:rPr>
        <w:footnoteReference w:id="17"/>
      </w:r>
      <w:r w:rsidRPr="00CE4693">
        <w:rPr>
          <w:rFonts w:eastAsiaTheme="minorEastAsia"/>
        </w:rPr>
        <w:t xml:space="preserve"> </w:t>
      </w:r>
    </w:p>
    <w:p w14:paraId="4FAB9292" w14:textId="40C7CA66" w:rsidR="00CD73CC" w:rsidRDefault="00FD7DAC" w:rsidP="00CD73CC">
      <w:pPr>
        <w:ind w:firstLine="0"/>
        <w:rPr>
          <w:rFonts w:eastAsiaTheme="minorEastAsia"/>
          <w:bCs/>
        </w:rPr>
      </w:pPr>
      <w:r>
        <w:rPr>
          <w:rFonts w:eastAsiaTheme="minorEastAsia"/>
          <w:bCs/>
        </w:rPr>
        <w:lastRenderedPageBreak/>
        <w:t xml:space="preserve">In accepting this view of assertion, </w:t>
      </w:r>
      <w:r w:rsidR="00CD73CC">
        <w:rPr>
          <w:rFonts w:eastAsiaTheme="minorEastAsia"/>
          <w:bCs/>
        </w:rPr>
        <w:t>Stokke</w:t>
      </w:r>
      <w:r>
        <w:rPr>
          <w:rFonts w:eastAsiaTheme="minorEastAsia"/>
          <w:bCs/>
        </w:rPr>
        <w:t xml:space="preserve"> </w:t>
      </w:r>
      <w:r w:rsidR="00703C90">
        <w:rPr>
          <w:rFonts w:eastAsiaTheme="minorEastAsia"/>
          <w:bCs/>
        </w:rPr>
        <w:t>agrees with</w:t>
      </w:r>
      <w:r>
        <w:rPr>
          <w:rFonts w:eastAsiaTheme="minorEastAsia"/>
          <w:bCs/>
        </w:rPr>
        <w:t xml:space="preserve"> </w:t>
      </w:r>
      <w:r>
        <w:rPr>
          <w:rFonts w:eastAsiaTheme="minorEastAsia"/>
        </w:rPr>
        <w:t xml:space="preserve">Alston </w:t>
      </w:r>
      <w:r w:rsidR="000B150F">
        <w:rPr>
          <w:rFonts w:eastAsiaTheme="minorEastAsia"/>
        </w:rPr>
        <w:t>that</w:t>
      </w:r>
      <w:r>
        <w:rPr>
          <w:rFonts w:eastAsiaTheme="minorEastAsia"/>
        </w:rPr>
        <w:t xml:space="preserve"> </w:t>
      </w:r>
      <w:r w:rsidR="009E738A">
        <w:rPr>
          <w:rFonts w:eastAsiaTheme="minorEastAsia"/>
        </w:rPr>
        <w:t>speakers</w:t>
      </w:r>
      <w:r>
        <w:rPr>
          <w:rFonts w:eastAsiaTheme="minorEastAsia"/>
        </w:rPr>
        <w:t xml:space="preserve"> </w:t>
      </w:r>
      <w:r w:rsidR="000B150F">
        <w:rPr>
          <w:rFonts w:eastAsiaTheme="minorEastAsia"/>
        </w:rPr>
        <w:t xml:space="preserve">have </w:t>
      </w:r>
      <w:r>
        <w:rPr>
          <w:rFonts w:eastAsiaTheme="minorEastAsia"/>
        </w:rPr>
        <w:t xml:space="preserve">to </w:t>
      </w:r>
      <w:r w:rsidRPr="00FD7DAC">
        <w:rPr>
          <w:rFonts w:eastAsiaTheme="minorEastAsia"/>
          <w:i/>
        </w:rPr>
        <w:t>say</w:t>
      </w:r>
      <w:r>
        <w:rPr>
          <w:rFonts w:eastAsiaTheme="minorEastAsia"/>
        </w:rPr>
        <w:t xml:space="preserve"> p</w:t>
      </w:r>
      <w:r w:rsidR="00740844">
        <w:rPr>
          <w:rFonts w:eastAsiaTheme="minorEastAsia"/>
        </w:rPr>
        <w:t xml:space="preserve"> in order to </w:t>
      </w:r>
      <w:r w:rsidR="00740844" w:rsidRPr="00740844">
        <w:rPr>
          <w:rFonts w:eastAsiaTheme="minorEastAsia"/>
          <w:i/>
        </w:rPr>
        <w:t>assert</w:t>
      </w:r>
      <w:r w:rsidR="00740844">
        <w:rPr>
          <w:rFonts w:eastAsiaTheme="minorEastAsia"/>
        </w:rPr>
        <w:t xml:space="preserve"> p</w:t>
      </w:r>
      <w:r>
        <w:rPr>
          <w:rFonts w:eastAsiaTheme="minorEastAsia"/>
        </w:rPr>
        <w:t>.</w:t>
      </w:r>
      <w:r w:rsidR="00EA576C">
        <w:rPr>
          <w:rStyle w:val="FootnoteReference"/>
          <w:rFonts w:eastAsiaTheme="minorEastAsia"/>
        </w:rPr>
        <w:footnoteReference w:id="18"/>
      </w:r>
      <w:r>
        <w:rPr>
          <w:rFonts w:eastAsiaTheme="minorEastAsia"/>
        </w:rPr>
        <w:t xml:space="preserve"> And he follows </w:t>
      </w:r>
      <w:r w:rsidR="00CD73CC">
        <w:rPr>
          <w:rFonts w:eastAsiaTheme="minorEastAsia"/>
          <w:bCs/>
        </w:rPr>
        <w:t xml:space="preserve">Stalnaker </w:t>
      </w:r>
      <w:r>
        <w:rPr>
          <w:rFonts w:eastAsiaTheme="minorEastAsia"/>
          <w:bCs/>
        </w:rPr>
        <w:t>in holding that</w:t>
      </w:r>
      <w:r w:rsidR="00CD73CC">
        <w:rPr>
          <w:rFonts w:eastAsiaTheme="minorEastAsia"/>
          <w:bCs/>
        </w:rPr>
        <w:t xml:space="preserve"> assert</w:t>
      </w:r>
      <w:r>
        <w:rPr>
          <w:rFonts w:eastAsiaTheme="minorEastAsia"/>
          <w:bCs/>
        </w:rPr>
        <w:t xml:space="preserve">ers </w:t>
      </w:r>
      <w:r w:rsidR="00CD73CC">
        <w:rPr>
          <w:rFonts w:eastAsiaTheme="minorEastAsia"/>
          <w:bCs/>
        </w:rPr>
        <w:t>propose to update the common ground of the conversation.</w:t>
      </w:r>
      <w:r w:rsidR="00D7248E">
        <w:rPr>
          <w:rStyle w:val="FootnoteReference"/>
          <w:rFonts w:eastAsiaTheme="minorEastAsia"/>
          <w:bCs/>
        </w:rPr>
        <w:footnoteReference w:id="19"/>
      </w:r>
      <w:r w:rsidR="00CD73CC">
        <w:rPr>
          <w:rFonts w:eastAsiaTheme="minorEastAsia"/>
          <w:bCs/>
        </w:rPr>
        <w:t xml:space="preserve"> </w:t>
      </w:r>
      <w:r>
        <w:rPr>
          <w:rFonts w:eastAsiaTheme="minorEastAsia"/>
          <w:bCs/>
        </w:rPr>
        <w:t>Stokke thus arrives at the</w:t>
      </w:r>
      <w:r w:rsidR="00CD73CC">
        <w:rPr>
          <w:rFonts w:eastAsiaTheme="minorEastAsia"/>
          <w:bCs/>
        </w:rPr>
        <w:t xml:space="preserve"> following definition of lying: </w:t>
      </w:r>
    </w:p>
    <w:p w14:paraId="0422CDB9" w14:textId="1EB6D698" w:rsidR="00CD73CC" w:rsidRPr="00F310A9" w:rsidRDefault="00FD7DAC" w:rsidP="00CD73CC">
      <w:pPr>
        <w:pStyle w:val="longquote"/>
        <w:rPr>
          <w:rFonts w:eastAsiaTheme="minorEastAsia"/>
        </w:rPr>
      </w:pPr>
      <w:r>
        <w:rPr>
          <w:rFonts w:eastAsiaTheme="minorEastAsia"/>
          <w:i/>
        </w:rPr>
        <w:t>(D2)</w:t>
      </w:r>
      <w:r>
        <w:rPr>
          <w:rFonts w:eastAsiaTheme="minorEastAsia"/>
          <w:i/>
        </w:rPr>
        <w:tab/>
      </w:r>
      <w:r w:rsidR="00CD73CC" w:rsidRPr="00F310A9">
        <w:rPr>
          <w:rFonts w:eastAsiaTheme="minorEastAsia"/>
          <w:i/>
        </w:rPr>
        <w:t xml:space="preserve">Stokke’s </w:t>
      </w:r>
      <w:r w:rsidR="00A76845">
        <w:rPr>
          <w:rFonts w:eastAsiaTheme="minorEastAsia"/>
          <w:i/>
        </w:rPr>
        <w:t>D</w:t>
      </w:r>
      <w:r w:rsidR="00CD73CC" w:rsidRPr="00F310A9">
        <w:rPr>
          <w:rFonts w:eastAsiaTheme="minorEastAsia"/>
          <w:i/>
        </w:rPr>
        <w:t xml:space="preserve">efinition of </w:t>
      </w:r>
      <w:r w:rsidR="00A76845">
        <w:rPr>
          <w:rFonts w:eastAsiaTheme="minorEastAsia"/>
          <w:i/>
        </w:rPr>
        <w:t>L</w:t>
      </w:r>
      <w:r w:rsidR="00CD73CC" w:rsidRPr="00F310A9">
        <w:rPr>
          <w:rFonts w:eastAsiaTheme="minorEastAsia"/>
          <w:i/>
        </w:rPr>
        <w:t>ying</w:t>
      </w:r>
    </w:p>
    <w:p w14:paraId="463AEE26" w14:textId="77777777" w:rsidR="00CD73CC" w:rsidRPr="00F310A9" w:rsidRDefault="00CD73CC" w:rsidP="00CD73CC">
      <w:pPr>
        <w:pStyle w:val="longquote"/>
        <w:rPr>
          <w:rFonts w:eastAsiaTheme="minorEastAsia"/>
        </w:rPr>
      </w:pPr>
      <w:r w:rsidRPr="00F310A9">
        <w:rPr>
          <w:rFonts w:eastAsiaTheme="minorEastAsia"/>
        </w:rPr>
        <w:t xml:space="preserve">A </w:t>
      </w:r>
      <w:proofErr w:type="gramStart"/>
      <w:r w:rsidRPr="00F310A9">
        <w:rPr>
          <w:rFonts w:eastAsiaTheme="minorEastAsia"/>
        </w:rPr>
        <w:t>lies</w:t>
      </w:r>
      <w:proofErr w:type="gramEnd"/>
      <w:r w:rsidRPr="00F310A9">
        <w:rPr>
          <w:rFonts w:eastAsiaTheme="minorEastAsia"/>
        </w:rPr>
        <w:t xml:space="preserve"> to B if and only if there is a proposition p such that:</w:t>
      </w:r>
    </w:p>
    <w:p w14:paraId="5DCF0DA1" w14:textId="7DE1513F" w:rsidR="00CD73CC" w:rsidRPr="00F310A9" w:rsidRDefault="00CD73CC" w:rsidP="00CD73CC">
      <w:pPr>
        <w:pStyle w:val="longquote"/>
        <w:rPr>
          <w:rFonts w:eastAsiaTheme="minorEastAsia"/>
        </w:rPr>
      </w:pPr>
      <w:r w:rsidRPr="00F310A9">
        <w:rPr>
          <w:rFonts w:eastAsiaTheme="minorEastAsia"/>
        </w:rPr>
        <w:t>(L1)</w:t>
      </w:r>
      <w:r w:rsidRPr="00F310A9">
        <w:rPr>
          <w:rFonts w:eastAsiaTheme="minorEastAsia"/>
        </w:rPr>
        <w:tab/>
      </w:r>
      <w:r>
        <w:rPr>
          <w:rFonts w:eastAsiaTheme="minorEastAsia"/>
        </w:rPr>
        <w:t>A</w:t>
      </w:r>
      <w:r w:rsidRPr="00F310A9">
        <w:rPr>
          <w:rFonts w:eastAsiaTheme="minorEastAsia"/>
        </w:rPr>
        <w:t xml:space="preserve"> says </w:t>
      </w:r>
      <w:r w:rsidR="00E57527">
        <w:rPr>
          <w:rFonts w:eastAsiaTheme="minorEastAsia"/>
        </w:rPr>
        <w:t xml:space="preserve">that </w:t>
      </w:r>
      <w:r w:rsidRPr="00F310A9">
        <w:rPr>
          <w:rFonts w:eastAsiaTheme="minorEastAsia"/>
        </w:rPr>
        <w:t>p to B, and</w:t>
      </w:r>
    </w:p>
    <w:p w14:paraId="6B4AD3EB" w14:textId="6594E9BD" w:rsidR="00CD73CC" w:rsidRPr="00F310A9" w:rsidRDefault="00CD73CC" w:rsidP="00CD73CC">
      <w:pPr>
        <w:pStyle w:val="longquote"/>
        <w:rPr>
          <w:rFonts w:eastAsiaTheme="minorEastAsia"/>
        </w:rPr>
      </w:pPr>
      <w:r w:rsidRPr="00F310A9">
        <w:rPr>
          <w:rFonts w:eastAsiaTheme="minorEastAsia"/>
        </w:rPr>
        <w:t>(L2)</w:t>
      </w:r>
      <w:r w:rsidRPr="00F310A9">
        <w:rPr>
          <w:rFonts w:eastAsiaTheme="minorEastAsia"/>
        </w:rPr>
        <w:tab/>
        <w:t xml:space="preserve">A proposes to make </w:t>
      </w:r>
      <w:r w:rsidR="00E57527">
        <w:rPr>
          <w:rFonts w:eastAsiaTheme="minorEastAsia"/>
        </w:rPr>
        <w:t>it</w:t>
      </w:r>
      <w:r w:rsidRPr="00F310A9">
        <w:rPr>
          <w:rFonts w:eastAsiaTheme="minorEastAsia"/>
        </w:rPr>
        <w:t xml:space="preserve"> common ground</w:t>
      </w:r>
      <w:r w:rsidR="00E57527">
        <w:rPr>
          <w:rFonts w:eastAsiaTheme="minorEastAsia"/>
        </w:rPr>
        <w:t xml:space="preserve"> that p</w:t>
      </w:r>
      <w:r w:rsidRPr="00F310A9">
        <w:rPr>
          <w:rFonts w:eastAsiaTheme="minorEastAsia"/>
        </w:rPr>
        <w:t>, and</w:t>
      </w:r>
    </w:p>
    <w:p w14:paraId="30B0D6EF" w14:textId="399DD01D" w:rsidR="00CD73CC" w:rsidRDefault="00CD73CC" w:rsidP="00CD73CC">
      <w:pPr>
        <w:pStyle w:val="longquote"/>
        <w:rPr>
          <w:rFonts w:eastAsiaTheme="minorEastAsia"/>
        </w:rPr>
      </w:pPr>
      <w:r w:rsidRPr="00F310A9">
        <w:rPr>
          <w:rFonts w:eastAsiaTheme="minorEastAsia"/>
        </w:rPr>
        <w:t>(L3)</w:t>
      </w:r>
      <w:r w:rsidRPr="00F310A9">
        <w:rPr>
          <w:rFonts w:eastAsiaTheme="minorEastAsia"/>
        </w:rPr>
        <w:tab/>
        <w:t>A believes that p is false.</w:t>
      </w:r>
      <w:r w:rsidR="00D7248E">
        <w:rPr>
          <w:rStyle w:val="FootnoteReference"/>
          <w:rFonts w:eastAsiaTheme="minorEastAsia"/>
        </w:rPr>
        <w:footnoteReference w:id="20"/>
      </w:r>
      <w:r w:rsidRPr="00F310A9">
        <w:rPr>
          <w:rFonts w:eastAsiaTheme="minorEastAsia"/>
        </w:rPr>
        <w:t xml:space="preserve"> </w:t>
      </w:r>
    </w:p>
    <w:p w14:paraId="0523612D" w14:textId="24AEE8D4" w:rsidR="00BE33EC" w:rsidRDefault="009B0A9C" w:rsidP="00CD73CC">
      <w:pPr>
        <w:ind w:firstLine="0"/>
        <w:rPr>
          <w:rFonts w:eastAsiaTheme="minorEastAsia"/>
          <w:bCs/>
        </w:rPr>
      </w:pPr>
      <w:r>
        <w:rPr>
          <w:rFonts w:eastAsiaTheme="minorEastAsia"/>
          <w:bCs/>
        </w:rPr>
        <w:t>(D2) is coupled with</w:t>
      </w:r>
      <w:r w:rsidR="00BE33EC">
        <w:rPr>
          <w:rFonts w:eastAsiaTheme="minorEastAsia"/>
          <w:bCs/>
        </w:rPr>
        <w:t xml:space="preserve"> a particular view of what is said</w:t>
      </w:r>
      <w:r w:rsidR="00D7248E">
        <w:rPr>
          <w:rFonts w:eastAsiaTheme="minorEastAsia"/>
          <w:bCs/>
        </w:rPr>
        <w:t xml:space="preserve">. On </w:t>
      </w:r>
      <w:r w:rsidR="00BE33EC">
        <w:rPr>
          <w:rFonts w:eastAsiaTheme="minorEastAsia"/>
          <w:bCs/>
        </w:rPr>
        <w:t xml:space="preserve">this view, what is said is, firstly, </w:t>
      </w:r>
      <w:r w:rsidR="002E4DE8" w:rsidRPr="00F90D0D">
        <w:t>“strictly constrained by a minimal kind of compositional meaning”</w:t>
      </w:r>
      <w:r w:rsidR="00D7248E">
        <w:rPr>
          <w:rFonts w:eastAsiaTheme="minorEastAsia"/>
          <w:bCs/>
        </w:rPr>
        <w:t>.</w:t>
      </w:r>
      <w:r w:rsidR="00D7248E">
        <w:rPr>
          <w:rStyle w:val="FootnoteReference"/>
          <w:rFonts w:eastAsiaTheme="minorEastAsia"/>
          <w:bCs/>
        </w:rPr>
        <w:footnoteReference w:id="21"/>
      </w:r>
      <w:r w:rsidR="00BE33EC">
        <w:rPr>
          <w:rFonts w:eastAsiaTheme="minorEastAsia"/>
          <w:bCs/>
        </w:rPr>
        <w:t xml:space="preserve"> </w:t>
      </w:r>
      <w:r w:rsidR="00D7248E">
        <w:rPr>
          <w:rFonts w:eastAsiaTheme="minorEastAsia"/>
          <w:bCs/>
        </w:rPr>
        <w:t>S</w:t>
      </w:r>
      <w:r w:rsidR="00BE33EC">
        <w:rPr>
          <w:rFonts w:eastAsiaTheme="minorEastAsia"/>
          <w:bCs/>
        </w:rPr>
        <w:t xml:space="preserve">econdly, </w:t>
      </w:r>
      <w:r w:rsidR="00D7248E">
        <w:rPr>
          <w:rFonts w:eastAsiaTheme="minorEastAsia"/>
          <w:bCs/>
        </w:rPr>
        <w:t xml:space="preserve">what is said </w:t>
      </w:r>
      <w:r w:rsidR="00BE33EC">
        <w:rPr>
          <w:rFonts w:eastAsiaTheme="minorEastAsia"/>
          <w:bCs/>
        </w:rPr>
        <w:t>depends on which question under discussion (QUD) the speaker addresses.</w:t>
      </w:r>
      <w:r w:rsidR="00BE33EC">
        <w:rPr>
          <w:rStyle w:val="FootnoteReference"/>
          <w:rFonts w:eastAsiaTheme="minorEastAsia"/>
          <w:bCs/>
        </w:rPr>
        <w:footnoteReference w:id="22"/>
      </w:r>
      <w:r w:rsidR="00BE33EC">
        <w:rPr>
          <w:rFonts w:eastAsiaTheme="minorEastAsia"/>
          <w:bCs/>
        </w:rPr>
        <w:t xml:space="preserve"> </w:t>
      </w:r>
      <w:r w:rsidR="00CD73CC">
        <w:rPr>
          <w:rFonts w:eastAsiaTheme="minorEastAsia"/>
          <w:bCs/>
        </w:rPr>
        <w:t xml:space="preserve">The </w:t>
      </w:r>
      <w:r w:rsidR="00BE33EC">
        <w:rPr>
          <w:rFonts w:eastAsiaTheme="minorEastAsia"/>
          <w:bCs/>
        </w:rPr>
        <w:t>result is a narrow view o</w:t>
      </w:r>
      <w:r w:rsidR="00684A6F">
        <w:rPr>
          <w:rFonts w:eastAsiaTheme="minorEastAsia"/>
          <w:bCs/>
        </w:rPr>
        <w:t>f</w:t>
      </w:r>
      <w:r w:rsidR="00BE33EC">
        <w:rPr>
          <w:rFonts w:eastAsiaTheme="minorEastAsia"/>
          <w:bCs/>
        </w:rPr>
        <w:t xml:space="preserve"> what is said</w:t>
      </w:r>
      <w:r w:rsidR="002E4DE8">
        <w:rPr>
          <w:rFonts w:eastAsiaTheme="minorEastAsia"/>
          <w:bCs/>
        </w:rPr>
        <w:t xml:space="preserve"> that is tied closely to the semantic content of the sentence uttered</w:t>
      </w:r>
      <w:r w:rsidR="00BE33EC">
        <w:rPr>
          <w:rFonts w:eastAsiaTheme="minorEastAsia"/>
          <w:bCs/>
        </w:rPr>
        <w:t>,</w:t>
      </w:r>
      <w:r w:rsidR="002E4DE8">
        <w:rPr>
          <w:rFonts w:eastAsiaTheme="minorEastAsia"/>
          <w:bCs/>
        </w:rPr>
        <w:t xml:space="preserve"> and</w:t>
      </w:r>
      <w:r w:rsidR="00BE33EC">
        <w:rPr>
          <w:rFonts w:eastAsiaTheme="minorEastAsia"/>
          <w:bCs/>
        </w:rPr>
        <w:t xml:space="preserve"> on which implicatures and presuppositions do not belong to what is said. </w:t>
      </w:r>
    </w:p>
    <w:p w14:paraId="5D07480F" w14:textId="6A4A5907" w:rsidR="00BE33EC" w:rsidRDefault="002E4DE8" w:rsidP="00BE33EC">
      <w:pPr>
        <w:rPr>
          <w:rFonts w:eastAsiaTheme="minorEastAsia"/>
        </w:rPr>
      </w:pPr>
      <w:r>
        <w:rPr>
          <w:rFonts w:eastAsiaTheme="minorEastAsia"/>
        </w:rPr>
        <w:t xml:space="preserve">Due to the narrowness of Stokke’s view of what is said, the definition delivers the right results for the examples considered so far. The doctor’s utterance of (1) is counted </w:t>
      </w:r>
      <w:r w:rsidR="009B0A9C">
        <w:rPr>
          <w:rFonts w:eastAsiaTheme="minorEastAsia"/>
        </w:rPr>
        <w:t xml:space="preserve">as </w:t>
      </w:r>
      <w:r>
        <w:rPr>
          <w:rFonts w:eastAsiaTheme="minorEastAsia"/>
        </w:rPr>
        <w:t xml:space="preserve">a lie, as she says and proposes to make common ground that </w:t>
      </w:r>
      <w:r w:rsidR="003002D7">
        <w:rPr>
          <w:rFonts w:eastAsiaTheme="minorEastAsia"/>
        </w:rPr>
        <w:t xml:space="preserve">the </w:t>
      </w:r>
      <w:r w:rsidR="00740844">
        <w:rPr>
          <w:rFonts w:eastAsiaTheme="minorEastAsia"/>
        </w:rPr>
        <w:t>dying woman’s</w:t>
      </w:r>
      <w:r>
        <w:rPr>
          <w:rFonts w:eastAsiaTheme="minorEastAsia"/>
        </w:rPr>
        <w:t xml:space="preserve"> son is fine, which she believes to be false. By contrast, through </w:t>
      </w:r>
      <w:r w:rsidR="006474A3">
        <w:rPr>
          <w:rFonts w:eastAsiaTheme="minorEastAsia"/>
        </w:rPr>
        <w:t>uttering</w:t>
      </w:r>
      <w:r>
        <w:rPr>
          <w:rFonts w:eastAsiaTheme="minorEastAsia"/>
        </w:rPr>
        <w:t xml:space="preserve"> (2), the doctor does propose to make common ground that the son is fine, but does not say as much, and thus her utterance is not a lie according to (D2). </w:t>
      </w:r>
      <w:r w:rsidR="00DE51B2">
        <w:rPr>
          <w:rFonts w:eastAsiaTheme="minorEastAsia"/>
        </w:rPr>
        <w:t xml:space="preserve">Similarly for the second example: </w:t>
      </w:r>
      <w:r w:rsidR="0050714A">
        <w:rPr>
          <w:rFonts w:eastAsiaTheme="minorEastAsia"/>
        </w:rPr>
        <w:t>Amy</w:t>
      </w:r>
      <w:r w:rsidR="00DE51B2">
        <w:rPr>
          <w:rFonts w:eastAsiaTheme="minorEastAsia"/>
        </w:rPr>
        <w:t xml:space="preserve"> </w:t>
      </w:r>
      <w:r w:rsidR="00684A6F">
        <w:rPr>
          <w:rFonts w:eastAsiaTheme="minorEastAsia"/>
        </w:rPr>
        <w:t xml:space="preserve">lies </w:t>
      </w:r>
      <w:r w:rsidR="00DE51B2">
        <w:rPr>
          <w:rFonts w:eastAsiaTheme="minorEastAsia"/>
        </w:rPr>
        <w:t xml:space="preserve">through uttering (3), but not (4), as </w:t>
      </w:r>
      <w:r w:rsidR="0050714A">
        <w:rPr>
          <w:rFonts w:eastAsiaTheme="minorEastAsia"/>
        </w:rPr>
        <w:t>s</w:t>
      </w:r>
      <w:r w:rsidR="00B4011F">
        <w:rPr>
          <w:rFonts w:eastAsiaTheme="minorEastAsia"/>
        </w:rPr>
        <w:t xml:space="preserve">he </w:t>
      </w:r>
      <w:r w:rsidR="00DE51B2">
        <w:rPr>
          <w:rFonts w:eastAsiaTheme="minorEastAsia"/>
        </w:rPr>
        <w:t xml:space="preserve">only </w:t>
      </w:r>
      <w:r w:rsidR="00B4011F">
        <w:rPr>
          <w:rFonts w:eastAsiaTheme="minorEastAsia"/>
        </w:rPr>
        <w:t>says</w:t>
      </w:r>
      <w:r w:rsidR="00152C80">
        <w:rPr>
          <w:rFonts w:eastAsiaTheme="minorEastAsia"/>
        </w:rPr>
        <w:t xml:space="preserve"> something </w:t>
      </w:r>
      <w:r w:rsidR="0050714A">
        <w:rPr>
          <w:rFonts w:eastAsiaTheme="minorEastAsia"/>
        </w:rPr>
        <w:t>s</w:t>
      </w:r>
      <w:r w:rsidR="00152C80">
        <w:rPr>
          <w:rFonts w:eastAsiaTheme="minorEastAsia"/>
        </w:rPr>
        <w:t>he believes to be false</w:t>
      </w:r>
      <w:r w:rsidR="00B4011F">
        <w:rPr>
          <w:rFonts w:eastAsiaTheme="minorEastAsia"/>
        </w:rPr>
        <w:t xml:space="preserve"> by uttering (3)</w:t>
      </w:r>
      <w:r w:rsidR="00152C80">
        <w:rPr>
          <w:rFonts w:eastAsiaTheme="minorEastAsia"/>
        </w:rPr>
        <w:t xml:space="preserve">. </w:t>
      </w:r>
    </w:p>
    <w:p w14:paraId="1D25FD21" w14:textId="41B2CF1B" w:rsidR="00152C80" w:rsidRDefault="00152C80" w:rsidP="00BE33EC">
      <w:pPr>
        <w:rPr>
          <w:rFonts w:eastAsiaTheme="minorEastAsia"/>
        </w:rPr>
      </w:pPr>
      <w:r>
        <w:rPr>
          <w:rFonts w:eastAsiaTheme="minorEastAsia"/>
        </w:rPr>
        <w:t xml:space="preserve">However, once we look beyond </w:t>
      </w:r>
      <w:r w:rsidR="005C3E85">
        <w:rPr>
          <w:rFonts w:eastAsiaTheme="minorEastAsia"/>
        </w:rPr>
        <w:t>these</w:t>
      </w:r>
      <w:r>
        <w:rPr>
          <w:rFonts w:eastAsiaTheme="minorEastAsia"/>
        </w:rPr>
        <w:t xml:space="preserve"> examples of lying and misleading, (D2) leads to </w:t>
      </w:r>
      <w:r w:rsidR="00684A6F">
        <w:rPr>
          <w:rFonts w:eastAsiaTheme="minorEastAsia"/>
        </w:rPr>
        <w:t>incorrect</w:t>
      </w:r>
      <w:r>
        <w:rPr>
          <w:rFonts w:eastAsiaTheme="minorEastAsia"/>
        </w:rPr>
        <w:t xml:space="preserve"> </w:t>
      </w:r>
      <w:r w:rsidR="00684A6F">
        <w:rPr>
          <w:rFonts w:eastAsiaTheme="minorEastAsia"/>
        </w:rPr>
        <w:t>predictions</w:t>
      </w:r>
      <w:r>
        <w:rPr>
          <w:rFonts w:eastAsiaTheme="minorEastAsia"/>
        </w:rPr>
        <w:t xml:space="preserve">. </w:t>
      </w:r>
      <w:r w:rsidR="00B76B8A">
        <w:rPr>
          <w:rFonts w:eastAsiaTheme="minorEastAsia"/>
        </w:rPr>
        <w:t>To begin with</w:t>
      </w:r>
      <w:r w:rsidR="000311D9">
        <w:rPr>
          <w:rFonts w:eastAsiaTheme="minorEastAsia"/>
        </w:rPr>
        <w:t xml:space="preserve">, </w:t>
      </w:r>
      <w:r w:rsidR="008676F0">
        <w:rPr>
          <w:rFonts w:eastAsiaTheme="minorEastAsia"/>
        </w:rPr>
        <w:t xml:space="preserve">there is the problem of non-literal lies, </w:t>
      </w:r>
      <w:r w:rsidR="00684A6F">
        <w:rPr>
          <w:rFonts w:eastAsiaTheme="minorEastAsia"/>
        </w:rPr>
        <w:t>which has been highlighted by</w:t>
      </w:r>
      <w:r w:rsidR="008676F0">
        <w:rPr>
          <w:rFonts w:eastAsiaTheme="minorEastAsia"/>
        </w:rPr>
        <w:t xml:space="preserve"> </w:t>
      </w:r>
      <w:r w:rsidR="001C6A1E">
        <w:rPr>
          <w:rFonts w:eastAsiaTheme="minorEastAsia"/>
        </w:rPr>
        <w:t xml:space="preserve">Don </w:t>
      </w:r>
      <w:r w:rsidR="00BB425A">
        <w:rPr>
          <w:rFonts w:eastAsiaTheme="minorEastAsia"/>
        </w:rPr>
        <w:t>Fallis</w:t>
      </w:r>
      <w:r w:rsidR="00867A0B">
        <w:rPr>
          <w:rFonts w:eastAsiaTheme="minorEastAsia"/>
        </w:rPr>
        <w:t xml:space="preserve"> and </w:t>
      </w:r>
      <w:r w:rsidR="001C6A1E">
        <w:rPr>
          <w:rFonts w:eastAsiaTheme="minorEastAsia"/>
        </w:rPr>
        <w:t>myself</w:t>
      </w:r>
      <w:r w:rsidR="008676F0">
        <w:rPr>
          <w:rFonts w:eastAsiaTheme="minorEastAsia"/>
        </w:rPr>
        <w:t>.</w:t>
      </w:r>
      <w:r w:rsidR="00812197">
        <w:rPr>
          <w:rStyle w:val="FootnoteReference"/>
          <w:rFonts w:eastAsiaTheme="minorEastAsia"/>
        </w:rPr>
        <w:footnoteReference w:id="23"/>
      </w:r>
      <w:r w:rsidR="000311D9">
        <w:rPr>
          <w:rFonts w:eastAsiaTheme="minorEastAsia"/>
        </w:rPr>
        <w:t xml:space="preserve"> </w:t>
      </w:r>
      <w:r w:rsidR="008676F0">
        <w:rPr>
          <w:rFonts w:eastAsiaTheme="minorEastAsia"/>
        </w:rPr>
        <w:t xml:space="preserve">While it seems plausible that </w:t>
      </w:r>
      <w:r w:rsidR="002424F1">
        <w:rPr>
          <w:rFonts w:eastAsiaTheme="minorEastAsia"/>
        </w:rPr>
        <w:t>speakers</w:t>
      </w:r>
      <w:r w:rsidR="008676F0">
        <w:rPr>
          <w:rFonts w:eastAsiaTheme="minorEastAsia"/>
        </w:rPr>
        <w:t xml:space="preserve"> can lie while speaking non-literally, (D2) rules out the possibility of such lies</w:t>
      </w:r>
      <w:r w:rsidR="000311D9">
        <w:rPr>
          <w:rFonts w:eastAsiaTheme="minorEastAsia"/>
        </w:rPr>
        <w:t xml:space="preserve">. </w:t>
      </w:r>
      <w:r w:rsidR="00E328CF">
        <w:rPr>
          <w:rFonts w:eastAsiaTheme="minorEastAsia"/>
        </w:rPr>
        <w:t>For</w:t>
      </w:r>
      <w:r w:rsidR="000311D9">
        <w:rPr>
          <w:rFonts w:eastAsiaTheme="minorEastAsia"/>
        </w:rPr>
        <w:t xml:space="preserve"> example</w:t>
      </w:r>
      <w:r w:rsidR="00E328CF">
        <w:rPr>
          <w:rFonts w:eastAsiaTheme="minorEastAsia"/>
        </w:rPr>
        <w:t>, consider the following non-literal utterances, which I have used to argue for the possibility of non-literal lies:</w:t>
      </w:r>
      <w:r w:rsidR="00E328CF">
        <w:rPr>
          <w:rStyle w:val="FootnoteReference"/>
          <w:rFonts w:eastAsiaTheme="minorEastAsia"/>
        </w:rPr>
        <w:footnoteReference w:id="24"/>
      </w:r>
      <w:r w:rsidR="00E328CF">
        <w:rPr>
          <w:rFonts w:eastAsiaTheme="minorEastAsia"/>
        </w:rPr>
        <w:t xml:space="preserve"> </w:t>
      </w:r>
    </w:p>
    <w:p w14:paraId="78BDEFF1" w14:textId="22684D3D" w:rsidR="0002570D" w:rsidRPr="0002570D" w:rsidRDefault="0002570D" w:rsidP="00FC0EC2">
      <w:pPr>
        <w:pStyle w:val="longquote"/>
        <w:keepNext/>
        <w:rPr>
          <w:i/>
        </w:rPr>
      </w:pPr>
      <w:r>
        <w:rPr>
          <w:i/>
        </w:rPr>
        <w:lastRenderedPageBreak/>
        <w:t>Metaphor</w:t>
      </w:r>
    </w:p>
    <w:p w14:paraId="15195766" w14:textId="0AEB1CD6" w:rsidR="00E339F4" w:rsidRDefault="00E339F4" w:rsidP="000311D9">
      <w:pPr>
        <w:pStyle w:val="longquote"/>
      </w:pPr>
      <w:r w:rsidRPr="00E339F4">
        <w:t xml:space="preserve">Ada is a keen gardener but has had an exceptionally bad crop of tomatoes. Ada wants Bill to think that her crop was in fact great, so when she meets Bill and he asks how her crop of tomatoes has been, she utters </w:t>
      </w:r>
      <w:r w:rsidR="000311D9">
        <w:t>[6]</w:t>
      </w:r>
      <w:r w:rsidRPr="00E339F4">
        <w:t>:</w:t>
      </w:r>
    </w:p>
    <w:p w14:paraId="51FB488F" w14:textId="77777777" w:rsidR="000B03FC" w:rsidRDefault="008676F0" w:rsidP="000311D9">
      <w:pPr>
        <w:pStyle w:val="longquote"/>
      </w:pPr>
      <w:r>
        <w:t>[6]</w:t>
      </w:r>
      <w:r w:rsidR="00E339F4" w:rsidRPr="00E339F4">
        <w:tab/>
        <w:t>I’ve got tomatoes coming out of my ears.</w:t>
      </w:r>
    </w:p>
    <w:p w14:paraId="7961C2F7" w14:textId="2687108B" w:rsidR="00E339F4" w:rsidRDefault="000B03FC" w:rsidP="002E47B1">
      <w:pPr>
        <w:pStyle w:val="longquote"/>
        <w:ind w:firstLine="707"/>
      </w:pPr>
      <w:r>
        <w:t>Implicature: I’ve had a great crop.</w:t>
      </w:r>
      <w:r w:rsidR="00E339F4" w:rsidRPr="00E339F4">
        <w:rPr>
          <w:vertAlign w:val="superscript"/>
        </w:rPr>
        <w:footnoteReference w:id="25"/>
      </w:r>
    </w:p>
    <w:p w14:paraId="26E3AC13" w14:textId="77777777" w:rsidR="00425D3A" w:rsidRDefault="00425D3A" w:rsidP="0002570D">
      <w:pPr>
        <w:pStyle w:val="longquote"/>
        <w:rPr>
          <w:i/>
        </w:rPr>
      </w:pPr>
    </w:p>
    <w:p w14:paraId="6344EECE" w14:textId="1685D25B" w:rsidR="0002570D" w:rsidRPr="0002570D" w:rsidRDefault="0002570D" w:rsidP="002E47B1">
      <w:pPr>
        <w:pStyle w:val="longquote"/>
        <w:keepNext/>
        <w:rPr>
          <w:i/>
        </w:rPr>
      </w:pPr>
      <w:r w:rsidRPr="0002570D">
        <w:rPr>
          <w:i/>
        </w:rPr>
        <w:t xml:space="preserve">Hyperbole </w:t>
      </w:r>
    </w:p>
    <w:p w14:paraId="668A32F2" w14:textId="77777777" w:rsidR="0002570D" w:rsidRPr="0002570D" w:rsidRDefault="0002570D" w:rsidP="0002570D">
      <w:pPr>
        <w:pStyle w:val="longquote"/>
      </w:pPr>
      <w:r w:rsidRPr="0002570D">
        <w:t xml:space="preserve">Carl desperately wants Daisy to come to his party, which is in full swing. When Carl calls Daisy, she says she’ll come, but only if there is some food. Carl is aware that all the food has been eaten, but nonetheless utters: </w:t>
      </w:r>
    </w:p>
    <w:p w14:paraId="5ED14D25" w14:textId="78C8A64D" w:rsidR="0002570D" w:rsidRDefault="0002570D" w:rsidP="0002570D">
      <w:pPr>
        <w:pStyle w:val="longquote"/>
      </w:pPr>
      <w:r>
        <w:t>[7]</w:t>
      </w:r>
      <w:r w:rsidRPr="0002570D">
        <w:t xml:space="preserve"> </w:t>
      </w:r>
      <w:r>
        <w:tab/>
      </w:r>
      <w:r w:rsidRPr="0002570D">
        <w:t xml:space="preserve">There’s tons of food left. </w:t>
      </w:r>
    </w:p>
    <w:p w14:paraId="44A0DA20" w14:textId="0AC33779" w:rsidR="000B03FC" w:rsidRPr="0002570D" w:rsidRDefault="000B03FC" w:rsidP="0002570D">
      <w:pPr>
        <w:pStyle w:val="longquote"/>
      </w:pPr>
      <w:r>
        <w:tab/>
        <w:t xml:space="preserve">Implicature: There’s lots of food left. </w:t>
      </w:r>
    </w:p>
    <w:p w14:paraId="25F7CEAF" w14:textId="235BACC7" w:rsidR="004405B9" w:rsidRDefault="004405B9" w:rsidP="000311D9">
      <w:pPr>
        <w:pStyle w:val="longquote"/>
      </w:pPr>
    </w:p>
    <w:p w14:paraId="0F0016AD" w14:textId="62060F39" w:rsidR="0002570D" w:rsidRPr="0002570D" w:rsidRDefault="0002570D" w:rsidP="00487742">
      <w:pPr>
        <w:pStyle w:val="longquote"/>
        <w:keepNext/>
        <w:rPr>
          <w:i/>
        </w:rPr>
      </w:pPr>
      <w:r>
        <w:rPr>
          <w:i/>
        </w:rPr>
        <w:t>Irony</w:t>
      </w:r>
    </w:p>
    <w:p w14:paraId="1EB8235F" w14:textId="0435F1F6" w:rsidR="00E339F4" w:rsidRDefault="00E339F4" w:rsidP="000311D9">
      <w:pPr>
        <w:pStyle w:val="longquote"/>
      </w:pPr>
      <w:r w:rsidRPr="00E339F4">
        <w:t xml:space="preserve">Greta and Henry are about to take a school exam. Greta has diligently prepared for the </w:t>
      </w:r>
      <w:proofErr w:type="gramStart"/>
      <w:r w:rsidRPr="00E339F4">
        <w:t>exam, but</w:t>
      </w:r>
      <w:proofErr w:type="gramEnd"/>
      <w:r w:rsidRPr="00E339F4">
        <w:t xml:space="preserve"> is aware that it would be decidedly uncool to admit this. When Henry asks whether she has </w:t>
      </w:r>
      <w:r w:rsidR="00BB425A">
        <w:t>studied for the exam</w:t>
      </w:r>
      <w:r w:rsidRPr="00E339F4">
        <w:t>, she rolls her eyes and utters:</w:t>
      </w:r>
    </w:p>
    <w:p w14:paraId="3CB62908" w14:textId="7E33C74A" w:rsidR="00CD73CC" w:rsidRDefault="008676F0" w:rsidP="000311D9">
      <w:pPr>
        <w:pStyle w:val="longquote"/>
      </w:pPr>
      <w:r>
        <w:t>[</w:t>
      </w:r>
      <w:r w:rsidR="0002570D">
        <w:t>8</w:t>
      </w:r>
      <w:r>
        <w:t>]</w:t>
      </w:r>
      <w:r w:rsidR="00E339F4" w:rsidRPr="00E339F4">
        <w:tab/>
        <w:t xml:space="preserve">Of course I have </w:t>
      </w:r>
      <w:r w:rsidR="00BB425A">
        <w:t>studied</w:t>
      </w:r>
      <w:r w:rsidR="00E339F4" w:rsidRPr="00E339F4">
        <w:t xml:space="preserve"> for the exam.</w:t>
      </w:r>
    </w:p>
    <w:p w14:paraId="237153C7" w14:textId="55799BC5" w:rsidR="000B03FC" w:rsidRPr="00F90D0D" w:rsidRDefault="000B03FC" w:rsidP="000311D9">
      <w:pPr>
        <w:pStyle w:val="longquote"/>
      </w:pPr>
      <w:r>
        <w:tab/>
        <w:t xml:space="preserve">Implicature: I have </w:t>
      </w:r>
      <w:r w:rsidRPr="000B03FC">
        <w:rPr>
          <w:i/>
          <w:iCs/>
        </w:rPr>
        <w:t>not</w:t>
      </w:r>
      <w:r>
        <w:t xml:space="preserve"> studied for the exam. </w:t>
      </w:r>
    </w:p>
    <w:p w14:paraId="319DE8B5" w14:textId="5E9A5F61" w:rsidR="00C35EA9" w:rsidRDefault="008676F0" w:rsidP="00850640">
      <w:pPr>
        <w:ind w:firstLine="0"/>
      </w:pPr>
      <w:r>
        <w:t xml:space="preserve">In </w:t>
      </w:r>
      <w:r w:rsidR="0002570D" w:rsidRPr="003414DB">
        <w:t>all three</w:t>
      </w:r>
      <w:r w:rsidRPr="003414DB">
        <w:t xml:space="preserve"> cases, the </w:t>
      </w:r>
      <w:r w:rsidR="002424F1">
        <w:t>speakers</w:t>
      </w:r>
      <w:r w:rsidRPr="003414DB">
        <w:t xml:space="preserve"> seem to be lying: </w:t>
      </w:r>
      <w:r w:rsidR="0002570D" w:rsidRPr="003414DB">
        <w:t>none of them</w:t>
      </w:r>
      <w:r w:rsidRPr="003414DB">
        <w:t xml:space="preserve"> could offer a </w:t>
      </w:r>
      <w:r w:rsidR="003367FA" w:rsidRPr="003414DB">
        <w:t>consistent</w:t>
      </w:r>
      <w:r w:rsidRPr="003414DB">
        <w:t xml:space="preserve"> denial if </w:t>
      </w:r>
      <w:r w:rsidR="0002570D" w:rsidRPr="003414DB">
        <w:t>they</w:t>
      </w:r>
      <w:r w:rsidRPr="003414DB">
        <w:t xml:space="preserve"> were accused of lying.</w:t>
      </w:r>
      <w:r w:rsidR="00E10996">
        <w:rPr>
          <w:rStyle w:val="FootnoteReference"/>
        </w:rPr>
        <w:footnoteReference w:id="26"/>
      </w:r>
      <w:r w:rsidRPr="003414DB">
        <w:t xml:space="preserve"> But </w:t>
      </w:r>
      <w:r w:rsidR="0002570D" w:rsidRPr="003414DB">
        <w:t>all three</w:t>
      </w:r>
      <w:r w:rsidRPr="003414DB">
        <w:t xml:space="preserve"> utterances are non-literal, with a mismatch</w:t>
      </w:r>
      <w:r>
        <w:t xml:space="preserve"> between what is said</w:t>
      </w:r>
      <w:r w:rsidR="00AD3EE9">
        <w:t xml:space="preserve"> (</w:t>
      </w:r>
      <w:r w:rsidR="00071D2D">
        <w:t>according to</w:t>
      </w:r>
      <w:r w:rsidR="00AD3EE9">
        <w:t xml:space="preserve"> Stokke)</w:t>
      </w:r>
      <w:r>
        <w:t xml:space="preserve"> and the content of the lie. While Ada says that she has </w:t>
      </w:r>
      <w:r w:rsidRPr="00E339F4">
        <w:t xml:space="preserve">tomatoes coming out of </w:t>
      </w:r>
      <w:r>
        <w:t>her</w:t>
      </w:r>
      <w:r w:rsidRPr="00E339F4">
        <w:t xml:space="preserve"> ears</w:t>
      </w:r>
      <w:r>
        <w:t xml:space="preserve">, the content of her lie is that she has had a great crop. </w:t>
      </w:r>
      <w:r w:rsidR="0002570D">
        <w:t xml:space="preserve">Carl says that there </w:t>
      </w:r>
      <w:proofErr w:type="gramStart"/>
      <w:r w:rsidR="0002570D">
        <w:t>is</w:t>
      </w:r>
      <w:proofErr w:type="gramEnd"/>
      <w:r w:rsidR="0002570D">
        <w:t xml:space="preserve"> tons of food left, but the content of his lie is that lots of food is left. </w:t>
      </w:r>
      <w:r>
        <w:t xml:space="preserve">And Greta says that she has </w:t>
      </w:r>
      <w:r w:rsidR="00BB425A">
        <w:t>studied</w:t>
      </w:r>
      <w:r>
        <w:t xml:space="preserve"> for the exam, while the content of her lie is that she has </w:t>
      </w:r>
      <w:r w:rsidRPr="008676F0">
        <w:rPr>
          <w:i/>
        </w:rPr>
        <w:t>not</w:t>
      </w:r>
      <w:r>
        <w:t xml:space="preserve"> </w:t>
      </w:r>
      <w:r w:rsidR="00BB425A">
        <w:t>studied for it</w:t>
      </w:r>
      <w:r>
        <w:t>. Because of this mismatch, Stokke’s definition fails to count (6)</w:t>
      </w:r>
      <w:r w:rsidR="0002570D">
        <w:t xml:space="preserve">, </w:t>
      </w:r>
      <w:r>
        <w:t xml:space="preserve">(7) </w:t>
      </w:r>
      <w:r w:rsidR="0002570D">
        <w:t>and (8)</w:t>
      </w:r>
      <w:r>
        <w:t xml:space="preserve"> as lies. </w:t>
      </w:r>
    </w:p>
    <w:p w14:paraId="1A6085EC" w14:textId="2A676975" w:rsidR="00AD3EE9" w:rsidRDefault="008676F0" w:rsidP="008676F0">
      <w:r>
        <w:t>A</w:t>
      </w:r>
      <w:r w:rsidR="00D02234">
        <w:t>s a</w:t>
      </w:r>
      <w:r>
        <w:t xml:space="preserve"> second problem for (D2)</w:t>
      </w:r>
      <w:r w:rsidR="00D02234">
        <w:t>, I have pointed to</w:t>
      </w:r>
      <w:r>
        <w:t xml:space="preserve"> lies that are told </w:t>
      </w:r>
      <w:r w:rsidR="00703C90">
        <w:t>with the help of</w:t>
      </w:r>
      <w:r w:rsidR="00E328CF">
        <w:t xml:space="preserve"> </w:t>
      </w:r>
      <w:r w:rsidR="00703C90">
        <w:t>informative presuppositions</w:t>
      </w:r>
      <w:r>
        <w:t>.</w:t>
      </w:r>
      <w:r w:rsidR="00684A6F">
        <w:rPr>
          <w:rStyle w:val="FootnoteReference"/>
        </w:rPr>
        <w:footnoteReference w:id="27"/>
      </w:r>
      <w:r>
        <w:t xml:space="preserve"> </w:t>
      </w:r>
      <w:r w:rsidR="00AD3EE9">
        <w:t xml:space="preserve">Here is one of </w:t>
      </w:r>
      <w:r w:rsidR="00E328CF">
        <w:t>my</w:t>
      </w:r>
      <w:r w:rsidR="00AD3EE9">
        <w:t xml:space="preserve"> examples:</w:t>
      </w:r>
    </w:p>
    <w:p w14:paraId="6428886A" w14:textId="77777777" w:rsidR="00AD3EE9" w:rsidRPr="008A3F98" w:rsidRDefault="00AD3EE9" w:rsidP="00AD3EE9">
      <w:pPr>
        <w:pStyle w:val="longquote"/>
        <w:rPr>
          <w:bCs/>
        </w:rPr>
      </w:pPr>
      <w:r w:rsidRPr="008A3F98">
        <w:rPr>
          <w:bCs/>
        </w:rPr>
        <w:lastRenderedPageBreak/>
        <w:t xml:space="preserve">Harry wants Rosa to think that his friend John is wealthy. In fact, John is not wealthy and does not own a car, as Harry knows very well. Harry asks Rosa: </w:t>
      </w:r>
    </w:p>
    <w:p w14:paraId="446D50CF" w14:textId="3559BCF1" w:rsidR="00AD3EE9" w:rsidRDefault="00AD3EE9" w:rsidP="00AD3EE9">
      <w:pPr>
        <w:pStyle w:val="longquote"/>
        <w:rPr>
          <w:bCs/>
        </w:rPr>
      </w:pPr>
      <w:r>
        <w:rPr>
          <w:bCs/>
        </w:rPr>
        <w:t>[</w:t>
      </w:r>
      <w:r w:rsidR="0002570D">
        <w:rPr>
          <w:bCs/>
        </w:rPr>
        <w:t>9</w:t>
      </w:r>
      <w:r>
        <w:rPr>
          <w:bCs/>
        </w:rPr>
        <w:t>]</w:t>
      </w:r>
      <w:r w:rsidRPr="008A3F98">
        <w:rPr>
          <w:bCs/>
        </w:rPr>
        <w:tab/>
        <w:t xml:space="preserve">Did you know that John owns a Mercedes? </w:t>
      </w:r>
    </w:p>
    <w:p w14:paraId="4EB2445D" w14:textId="02CA6D9F" w:rsidR="000B03FC" w:rsidRPr="008A3F98" w:rsidRDefault="000B03FC" w:rsidP="000B03FC">
      <w:pPr>
        <w:pStyle w:val="longquote"/>
        <w:ind w:firstLine="707"/>
        <w:rPr>
          <w:bCs/>
        </w:rPr>
      </w:pPr>
      <w:r>
        <w:rPr>
          <w:bCs/>
        </w:rPr>
        <w:t xml:space="preserve">Presupposition: John owns a Mercedes. </w:t>
      </w:r>
    </w:p>
    <w:p w14:paraId="5CC389D7" w14:textId="04FB527A" w:rsidR="008676F0" w:rsidRDefault="00071D2D" w:rsidP="00B0738A">
      <w:pPr>
        <w:ind w:firstLine="0"/>
      </w:pPr>
      <w:r>
        <w:t>Through uttering (</w:t>
      </w:r>
      <w:r w:rsidR="00974D82">
        <w:t>9</w:t>
      </w:r>
      <w:r>
        <w:t xml:space="preserve">), Harry presupposes and intends to communicate that John owns a Mercedes. </w:t>
      </w:r>
      <w:r w:rsidR="00AD3EE9">
        <w:t xml:space="preserve">It seems plausible that </w:t>
      </w:r>
      <w:r w:rsidR="00C01130">
        <w:t xml:space="preserve">Harry is </w:t>
      </w:r>
      <w:proofErr w:type="gramStart"/>
      <w:r w:rsidR="00C01130">
        <w:t>lying</w:t>
      </w:r>
      <w:r>
        <w:t>:</w:t>
      </w:r>
      <w:proofErr w:type="gramEnd"/>
      <w:r>
        <w:t xml:space="preserve"> a</w:t>
      </w:r>
      <w:r w:rsidR="00AD3EE9">
        <w:t xml:space="preserve">s in the previous examples, there is no possibility of a </w:t>
      </w:r>
      <w:r w:rsidR="003367FA" w:rsidRPr="003414DB">
        <w:t>consistent</w:t>
      </w:r>
      <w:r w:rsidR="00AD3EE9" w:rsidRPr="003414DB">
        <w:t xml:space="preserve"> denial</w:t>
      </w:r>
      <w:r w:rsidR="00AD3EE9">
        <w:t>. But Stokke holds that presuppositions do not belong to what is said, so he would say (as seems plausible) that Harry presupposes, but does not say</w:t>
      </w:r>
      <w:r w:rsidR="000B150F">
        <w:t>,</w:t>
      </w:r>
      <w:r w:rsidR="00AD3EE9">
        <w:t xml:space="preserve"> that John owns a Mercedes. In that case, however, (D2) classifies (</w:t>
      </w:r>
      <w:r w:rsidR="0002570D">
        <w:t>9</w:t>
      </w:r>
      <w:r w:rsidR="00AD3EE9">
        <w:t xml:space="preserve">) as a non-lie, </w:t>
      </w:r>
      <w:r w:rsidR="0067279D">
        <w:t>though intuitively it is a lie</w:t>
      </w:r>
      <w:r w:rsidR="00AD3EE9">
        <w:t>.</w:t>
      </w:r>
      <w:r w:rsidR="00723962">
        <w:rPr>
          <w:rStyle w:val="FootnoteReference"/>
        </w:rPr>
        <w:footnoteReference w:id="28"/>
      </w:r>
      <w:r w:rsidR="00723962">
        <w:t xml:space="preserve"> </w:t>
      </w:r>
      <w:r w:rsidR="00684A6F">
        <w:t xml:space="preserve"> </w:t>
      </w:r>
    </w:p>
    <w:p w14:paraId="3BD36A7F" w14:textId="3A99C8A7" w:rsidR="006474A3" w:rsidRDefault="00D02234" w:rsidP="00425D3A">
      <w:r>
        <w:t>S</w:t>
      </w:r>
      <w:r w:rsidR="00684A6F">
        <w:t xml:space="preserve">everal different cases </w:t>
      </w:r>
      <w:r>
        <w:t>thus</w:t>
      </w:r>
      <w:r w:rsidR="00762859">
        <w:t xml:space="preserve"> suggest that the lying-misleading distinction is not </w:t>
      </w:r>
      <w:r w:rsidR="00A7367A">
        <w:t>connected</w:t>
      </w:r>
      <w:r w:rsidR="00762859">
        <w:t xml:space="preserve"> to the distinction between what is said and what is implicated: </w:t>
      </w:r>
      <w:r w:rsidR="00ED34F5">
        <w:t>the content of a lie need not be said</w:t>
      </w:r>
      <w:r w:rsidR="00762859">
        <w:t>.</w:t>
      </w:r>
      <w:r w:rsidR="00762859">
        <w:rPr>
          <w:rStyle w:val="FootnoteReference"/>
        </w:rPr>
        <w:footnoteReference w:id="29"/>
      </w:r>
      <w:r w:rsidR="00762859">
        <w:t xml:space="preserve"> </w:t>
      </w:r>
      <w:r w:rsidR="00A7367A">
        <w:t xml:space="preserve">These cases not only trouble Stokke’s definition (D2), but all of the </w:t>
      </w:r>
      <w:r w:rsidR="0005209E">
        <w:t>content-based</w:t>
      </w:r>
      <w:r w:rsidR="00A7367A">
        <w:t xml:space="preserve"> definitions </w:t>
      </w:r>
      <w:r w:rsidR="004F2293">
        <w:t>mentioned above</w:t>
      </w:r>
      <w:r w:rsidR="00A7367A">
        <w:t>,</w:t>
      </w:r>
      <w:r w:rsidR="004F2293">
        <w:t xml:space="preserve"> as</w:t>
      </w:r>
      <w:r w:rsidR="00A7367A">
        <w:t xml:space="preserve"> these definitions </w:t>
      </w:r>
      <w:r w:rsidR="003E3E9A">
        <w:t xml:space="preserve">follow the same strategy </w:t>
      </w:r>
      <w:r w:rsidR="002B2DBC">
        <w:t>when it comes to</w:t>
      </w:r>
      <w:r w:rsidR="009B6688">
        <w:t xml:space="preserve"> the lying misleading-distinction. Of course, t</w:t>
      </w:r>
      <w:r w:rsidR="00684A6F">
        <w:t xml:space="preserve">here may be ways for </w:t>
      </w:r>
      <w:r w:rsidR="009B6688">
        <w:t>adherent</w:t>
      </w:r>
      <w:r w:rsidR="002F0650">
        <w:t>s</w:t>
      </w:r>
      <w:r w:rsidR="009B6688">
        <w:t xml:space="preserve"> of </w:t>
      </w:r>
      <w:r w:rsidR="0005209E">
        <w:t>content-based</w:t>
      </w:r>
      <w:r w:rsidR="009B6688">
        <w:t xml:space="preserve"> definitions </w:t>
      </w:r>
      <w:r w:rsidR="00684A6F">
        <w:t xml:space="preserve">to respond to </w:t>
      </w:r>
      <w:r w:rsidR="009B6688">
        <w:t>the</w:t>
      </w:r>
      <w:r w:rsidR="00684A6F">
        <w:t xml:space="preserve"> </w:t>
      </w:r>
      <w:r w:rsidR="00A24640">
        <w:t>problem</w:t>
      </w:r>
      <w:r w:rsidR="009B6688">
        <w:t xml:space="preserve"> cases</w:t>
      </w:r>
      <w:r w:rsidR="002B2DBC">
        <w:t>. In particular, the definitions could be paired with a notion of what is said that is slightly less narrow</w:t>
      </w:r>
      <w:r w:rsidR="00054514">
        <w:t>.</w:t>
      </w:r>
      <w:r w:rsidR="00684A6F">
        <w:t xml:space="preserve"> </w:t>
      </w:r>
      <w:r w:rsidR="00054514">
        <w:t>B</w:t>
      </w:r>
      <w:r w:rsidR="00970378">
        <w:t>ut the fact that the</w:t>
      </w:r>
      <w:r w:rsidR="00A24640">
        <w:t>re are</w:t>
      </w:r>
      <w:r w:rsidR="00970378">
        <w:t xml:space="preserve"> recalcitrant </w:t>
      </w:r>
      <w:r w:rsidR="00A24640">
        <w:t>cases of</w:t>
      </w:r>
      <w:r w:rsidR="00970378">
        <w:t xml:space="preserve"> </w:t>
      </w:r>
      <w:r w:rsidR="00A24640">
        <w:t>different kinds</w:t>
      </w:r>
      <w:r w:rsidR="00970378">
        <w:t xml:space="preserve"> means that </w:t>
      </w:r>
      <w:r w:rsidR="002B2DBC">
        <w:t xml:space="preserve">such a </w:t>
      </w:r>
      <w:r w:rsidR="00970378">
        <w:t>response would be a challenge</w:t>
      </w:r>
      <w:r w:rsidR="006E60B4">
        <w:t xml:space="preserve">: the </w:t>
      </w:r>
      <w:r w:rsidR="00C21E39">
        <w:t xml:space="preserve">account </w:t>
      </w:r>
      <w:r w:rsidR="006E60B4">
        <w:t xml:space="preserve">of what is said </w:t>
      </w:r>
      <w:r w:rsidR="00723962">
        <w:t>would have to be</w:t>
      </w:r>
      <w:r w:rsidR="006E60B4">
        <w:t xml:space="preserve"> </w:t>
      </w:r>
      <w:r w:rsidR="00A24640">
        <w:t xml:space="preserve">extended just </w:t>
      </w:r>
      <w:r w:rsidR="004C6C22">
        <w:t xml:space="preserve">far </w:t>
      </w:r>
      <w:r w:rsidR="00A24640">
        <w:t>enough to include some implicatures (namely those in play in non-literal speech), while not including others (</w:t>
      </w:r>
      <w:r w:rsidR="000045C2">
        <w:t>for example</w:t>
      </w:r>
      <w:r w:rsidR="00A24640">
        <w:t xml:space="preserve"> those in play in utterances (2) and (4)).</w:t>
      </w:r>
      <w:r w:rsidR="00974D82">
        <w:t xml:space="preserve"> </w:t>
      </w:r>
    </w:p>
    <w:p w14:paraId="298EB4B3" w14:textId="0988D73B" w:rsidR="009874BD" w:rsidRDefault="006474A3" w:rsidP="00425D3A">
      <w:r>
        <w:t>As t</w:t>
      </w:r>
      <w:r w:rsidR="00A24640">
        <w:t xml:space="preserve">he aim of this paper is not to present a water-tight case against </w:t>
      </w:r>
      <w:r>
        <w:t xml:space="preserve">the </w:t>
      </w:r>
      <w:r w:rsidR="0005209E">
        <w:t>content-based</w:t>
      </w:r>
      <w:r w:rsidR="00A24640">
        <w:t xml:space="preserve"> </w:t>
      </w:r>
      <w:r>
        <w:t>approach</w:t>
      </w:r>
      <w:r w:rsidR="00A24640">
        <w:t>, but rather to explore an alternative commitment-based approach</w:t>
      </w:r>
      <w:r w:rsidR="009B6688">
        <w:t xml:space="preserve">, </w:t>
      </w:r>
      <w:r w:rsidR="00A24640">
        <w:t>I will</w:t>
      </w:r>
      <w:r w:rsidR="00D34034">
        <w:t xml:space="preserve"> </w:t>
      </w:r>
      <w:r>
        <w:t>set the notion of what is said aside for now and move on</w:t>
      </w:r>
      <w:r w:rsidR="009B6688">
        <w:t>.</w:t>
      </w:r>
      <w:r w:rsidR="00B23956">
        <w:t xml:space="preserve"> </w:t>
      </w:r>
    </w:p>
    <w:p w14:paraId="60FFB676" w14:textId="77777777" w:rsidR="0067279D" w:rsidRDefault="0067279D" w:rsidP="00425D3A"/>
    <w:p w14:paraId="44F10410" w14:textId="598040CC" w:rsidR="00C35EA9" w:rsidRPr="005D68E0" w:rsidRDefault="005D68E0" w:rsidP="00C35EA9">
      <w:pPr>
        <w:pStyle w:val="Heading1"/>
        <w:rPr>
          <w:smallCaps/>
        </w:rPr>
      </w:pPr>
      <w:r w:rsidRPr="005D68E0">
        <w:rPr>
          <w:smallCaps/>
        </w:rPr>
        <w:t>iv</w:t>
      </w:r>
      <w:r w:rsidR="00C35EA9" w:rsidRPr="005D68E0">
        <w:rPr>
          <w:smallCaps/>
        </w:rPr>
        <w:t xml:space="preserve">. </w:t>
      </w:r>
      <w:r w:rsidRPr="005D68E0">
        <w:rPr>
          <w:smallCaps/>
        </w:rPr>
        <w:t>l</w:t>
      </w:r>
      <w:r w:rsidR="002954DE" w:rsidRPr="005D68E0">
        <w:rPr>
          <w:smallCaps/>
        </w:rPr>
        <w:t>ying</w:t>
      </w:r>
      <w:r w:rsidR="008C7F86" w:rsidRPr="005D68E0">
        <w:rPr>
          <w:smallCaps/>
        </w:rPr>
        <w:t>, misleading</w:t>
      </w:r>
      <w:r w:rsidR="00ED34F5">
        <w:rPr>
          <w:smallCaps/>
        </w:rPr>
        <w:t>,</w:t>
      </w:r>
      <w:r w:rsidR="002954DE" w:rsidRPr="005D68E0">
        <w:rPr>
          <w:smallCaps/>
        </w:rPr>
        <w:t xml:space="preserve"> and w</w:t>
      </w:r>
      <w:r w:rsidR="007246DF" w:rsidRPr="005D68E0">
        <w:rPr>
          <w:smallCaps/>
        </w:rPr>
        <w:t>arranting</w:t>
      </w:r>
    </w:p>
    <w:p w14:paraId="67D7CE98" w14:textId="2A92C99D" w:rsidR="007B6DE9" w:rsidRDefault="004F2293" w:rsidP="007B6DE9">
      <w:pPr>
        <w:ind w:firstLine="0"/>
      </w:pPr>
      <w:r>
        <w:t>The</w:t>
      </w:r>
      <w:r w:rsidR="00950773">
        <w:t xml:space="preserve"> examples </w:t>
      </w:r>
      <w:r w:rsidR="00141661">
        <w:t>of lying considered so far</w:t>
      </w:r>
      <w:r w:rsidR="00950773">
        <w:t xml:space="preserve"> not only speak against definitions of lying that are based on the notion of what is said, they also speak in favour of a commitment-based approach. </w:t>
      </w:r>
      <w:r w:rsidR="00141661">
        <w:t>Although utterances (1), (</w:t>
      </w:r>
      <w:r w:rsidR="000045C2">
        <w:t>3</w:t>
      </w:r>
      <w:r w:rsidR="00141661">
        <w:t xml:space="preserve">), </w:t>
      </w:r>
      <w:r w:rsidR="00E911A2">
        <w:t xml:space="preserve">(6), (7), (8) and (9) </w:t>
      </w:r>
      <w:r w:rsidR="00141661">
        <w:t>differ in terms of how the content of the lie is expressed (</w:t>
      </w:r>
      <w:r w:rsidR="00774B4B">
        <w:t>that is,</w:t>
      </w:r>
      <w:r w:rsidR="00141661">
        <w:t xml:space="preserve"> whether it is said, implicated or presupposed), they do have something in common: their speakers </w:t>
      </w:r>
      <w:r w:rsidR="007B6DE9" w:rsidRPr="007B6DE9">
        <w:t>commit</w:t>
      </w:r>
      <w:r w:rsidR="0099798B">
        <w:t xml:space="preserve"> themselves</w:t>
      </w:r>
      <w:r w:rsidR="007B6DE9">
        <w:t xml:space="preserve"> </w:t>
      </w:r>
      <w:r w:rsidR="001A330D">
        <w:t>to something they believe to be false</w:t>
      </w:r>
      <w:r w:rsidR="00141661">
        <w:t xml:space="preserve">. Furthermore, these utterances contrast with </w:t>
      </w:r>
      <w:r w:rsidR="005C3E85">
        <w:t>clear</w:t>
      </w:r>
      <w:r w:rsidR="00141661">
        <w:t xml:space="preserve"> cases of misleading (such as utterances </w:t>
      </w:r>
      <w:r w:rsidR="001A330D">
        <w:t>(2)</w:t>
      </w:r>
      <w:r w:rsidR="0002570D">
        <w:t xml:space="preserve"> and</w:t>
      </w:r>
      <w:r w:rsidR="001A330D">
        <w:t xml:space="preserve"> (4))</w:t>
      </w:r>
      <w:r w:rsidR="00141661">
        <w:t xml:space="preserve">, </w:t>
      </w:r>
      <w:r w:rsidR="007B6DE9">
        <w:t xml:space="preserve">in </w:t>
      </w:r>
      <w:r w:rsidR="00141661">
        <w:t>which</w:t>
      </w:r>
      <w:r w:rsidR="001A330D">
        <w:t xml:space="preserve"> </w:t>
      </w:r>
      <w:r w:rsidR="00141661">
        <w:t xml:space="preserve">speakers </w:t>
      </w:r>
      <w:r w:rsidR="00141661" w:rsidRPr="007B6DE9">
        <w:t>avoid</w:t>
      </w:r>
      <w:r w:rsidR="00141661">
        <w:t xml:space="preserve"> </w:t>
      </w:r>
      <w:r w:rsidR="007B6DE9">
        <w:t xml:space="preserve">a </w:t>
      </w:r>
      <w:r w:rsidR="00141661">
        <w:t xml:space="preserve">commitment to something they believe to be false. </w:t>
      </w:r>
      <w:r w:rsidR="007B6DE9">
        <w:t>As of yet</w:t>
      </w:r>
      <w:r w:rsidR="007F19B7">
        <w:t>,</w:t>
      </w:r>
      <w:r w:rsidR="001A330D">
        <w:t xml:space="preserve"> </w:t>
      </w:r>
      <w:r w:rsidR="00E25F83">
        <w:t xml:space="preserve">however, </w:t>
      </w:r>
      <w:r w:rsidR="007F19B7">
        <w:t>there is no worked</w:t>
      </w:r>
      <w:r w:rsidR="00E6699E">
        <w:t>-</w:t>
      </w:r>
      <w:r w:rsidR="007F19B7">
        <w:t xml:space="preserve">out account of how commitment </w:t>
      </w:r>
      <w:r w:rsidR="001A330D">
        <w:t>separates</w:t>
      </w:r>
      <w:r w:rsidR="007F19B7">
        <w:t xml:space="preserve"> </w:t>
      </w:r>
      <w:r w:rsidR="00E4108A">
        <w:t>lying</w:t>
      </w:r>
      <w:r w:rsidR="007F19B7">
        <w:t xml:space="preserve"> from misleading. </w:t>
      </w:r>
      <w:r w:rsidR="007B6DE9">
        <w:t xml:space="preserve">Before proposing such an account in the next section, I want to briefly discuss Thomas Carson’s warrant-based </w:t>
      </w:r>
      <w:r w:rsidR="006A27CE">
        <w:t>approach</w:t>
      </w:r>
      <w:r w:rsidR="007B6DE9">
        <w:t xml:space="preserve">, which at first view might look like a close relative of my commitment-based approach. </w:t>
      </w:r>
    </w:p>
    <w:p w14:paraId="55FABAEB" w14:textId="050881D4" w:rsidR="007E1271" w:rsidRDefault="00E25F83" w:rsidP="00E25F83">
      <w:r>
        <w:lastRenderedPageBreak/>
        <w:t xml:space="preserve">Carson </w:t>
      </w:r>
      <w:r w:rsidR="00657075">
        <w:t xml:space="preserve">has </w:t>
      </w:r>
      <w:r>
        <w:t>propose</w:t>
      </w:r>
      <w:r w:rsidR="00657075">
        <w:t>d</w:t>
      </w:r>
      <w:r>
        <w:t xml:space="preserve"> several </w:t>
      </w:r>
      <w:r w:rsidR="009B3719">
        <w:t xml:space="preserve">similar </w:t>
      </w:r>
      <w:r>
        <w:t>definitions of lying</w:t>
      </w:r>
      <w:r w:rsidR="00E6699E">
        <w:t>, all of which make use of</w:t>
      </w:r>
      <w:r w:rsidR="007E1271">
        <w:t xml:space="preserve"> the notion of </w:t>
      </w:r>
      <w:r w:rsidR="007E1271" w:rsidRPr="007B6DE9">
        <w:rPr>
          <w:i/>
          <w:iCs/>
        </w:rPr>
        <w:t>warranting</w:t>
      </w:r>
      <w:r>
        <w:t>.</w:t>
      </w:r>
      <w:r w:rsidR="00B16EB4">
        <w:rPr>
          <w:rStyle w:val="FootnoteReference"/>
        </w:rPr>
        <w:footnoteReference w:id="30"/>
      </w:r>
      <w:r>
        <w:t xml:space="preserve"> </w:t>
      </w:r>
      <w:r w:rsidR="006474A3">
        <w:t>T</w:t>
      </w:r>
      <w:r w:rsidR="00E911A2">
        <w:t>he</w:t>
      </w:r>
      <w:r w:rsidR="005E643E">
        <w:t xml:space="preserve"> differences </w:t>
      </w:r>
      <w:r w:rsidR="009B3719">
        <w:t>between these</w:t>
      </w:r>
      <w:r w:rsidR="005E643E">
        <w:t xml:space="preserve"> definitions do not matter in the current context</w:t>
      </w:r>
      <w:r w:rsidR="009B3719">
        <w:t xml:space="preserve">, </w:t>
      </w:r>
      <w:r w:rsidR="006474A3">
        <w:t xml:space="preserve">and so </w:t>
      </w:r>
      <w:r w:rsidR="009B3719">
        <w:t xml:space="preserve">we can focus </w:t>
      </w:r>
      <w:r w:rsidR="006A271F">
        <w:t xml:space="preserve">on </w:t>
      </w:r>
      <w:r w:rsidR="00D516F1">
        <w:t xml:space="preserve">the </w:t>
      </w:r>
      <w:r w:rsidR="009B3719">
        <w:t xml:space="preserve">definition </w:t>
      </w:r>
      <w:r w:rsidR="00D516F1">
        <w:t>Carson</w:t>
      </w:r>
      <w:r w:rsidR="009B3719">
        <w:t xml:space="preserve"> labels </w:t>
      </w:r>
      <w:r w:rsidR="009B3719" w:rsidRPr="00535AEF">
        <w:rPr>
          <w:i/>
        </w:rPr>
        <w:t>L7'</w:t>
      </w:r>
      <w:r>
        <w:t>:</w:t>
      </w:r>
    </w:p>
    <w:p w14:paraId="7489F58D" w14:textId="7177F5C0" w:rsidR="002D23F8" w:rsidRPr="005E643E" w:rsidRDefault="002D23F8" w:rsidP="002D23F8">
      <w:pPr>
        <w:pStyle w:val="longquote"/>
      </w:pPr>
      <w:r w:rsidRPr="00E25F83">
        <w:rPr>
          <w:i/>
        </w:rPr>
        <w:t>(D3)</w:t>
      </w:r>
      <w:r w:rsidRPr="00E25F83">
        <w:rPr>
          <w:i/>
        </w:rPr>
        <w:tab/>
        <w:t xml:space="preserve">Carson’s </w:t>
      </w:r>
      <w:r w:rsidR="00A76845">
        <w:rPr>
          <w:i/>
        </w:rPr>
        <w:t>D</w:t>
      </w:r>
      <w:r w:rsidRPr="00E25F83">
        <w:rPr>
          <w:i/>
        </w:rPr>
        <w:t xml:space="preserve">efinition of </w:t>
      </w:r>
      <w:r w:rsidR="00A76845">
        <w:rPr>
          <w:i/>
        </w:rPr>
        <w:t>L</w:t>
      </w:r>
      <w:r w:rsidRPr="00E25F83">
        <w:rPr>
          <w:i/>
        </w:rPr>
        <w:t>ying</w:t>
      </w:r>
    </w:p>
    <w:p w14:paraId="3454BF69" w14:textId="77777777" w:rsidR="002D23F8" w:rsidRPr="00F310A9" w:rsidRDefault="002D23F8" w:rsidP="002D23F8">
      <w:pPr>
        <w:pStyle w:val="longquote"/>
        <w:rPr>
          <w:rFonts w:eastAsiaTheme="minorEastAsia"/>
        </w:rPr>
      </w:pPr>
      <w:r w:rsidRPr="00F310A9">
        <w:rPr>
          <w:rFonts w:eastAsiaTheme="minorEastAsia"/>
        </w:rPr>
        <w:t xml:space="preserve">A </w:t>
      </w:r>
      <w:proofErr w:type="gramStart"/>
      <w:r w:rsidRPr="00F310A9">
        <w:rPr>
          <w:rFonts w:eastAsiaTheme="minorEastAsia"/>
        </w:rPr>
        <w:t>lies</w:t>
      </w:r>
      <w:proofErr w:type="gramEnd"/>
      <w:r w:rsidRPr="00F310A9">
        <w:rPr>
          <w:rFonts w:eastAsiaTheme="minorEastAsia"/>
        </w:rPr>
        <w:t xml:space="preserve"> to B if and only if there is a proposition p such that:</w:t>
      </w:r>
    </w:p>
    <w:p w14:paraId="323FE4FB" w14:textId="72CF24E2" w:rsidR="002D23F8" w:rsidRPr="00F310A9" w:rsidRDefault="002D23F8" w:rsidP="002D23F8">
      <w:pPr>
        <w:pStyle w:val="longquote"/>
        <w:rPr>
          <w:rFonts w:eastAsiaTheme="minorEastAsia"/>
        </w:rPr>
      </w:pPr>
      <w:r w:rsidRPr="00F310A9">
        <w:rPr>
          <w:rFonts w:eastAsiaTheme="minorEastAsia"/>
        </w:rPr>
        <w:t>(L1)</w:t>
      </w:r>
      <w:r w:rsidRPr="00F310A9">
        <w:rPr>
          <w:rFonts w:eastAsiaTheme="minorEastAsia"/>
        </w:rPr>
        <w:tab/>
      </w:r>
      <w:r>
        <w:rPr>
          <w:rFonts w:eastAsiaTheme="minorEastAsia"/>
        </w:rPr>
        <w:t>A</w:t>
      </w:r>
      <w:r w:rsidRPr="00F310A9">
        <w:rPr>
          <w:rFonts w:eastAsiaTheme="minorEastAsia"/>
        </w:rPr>
        <w:t xml:space="preserve"> </w:t>
      </w:r>
      <w:r w:rsidRPr="007E1271">
        <w:t>state</w:t>
      </w:r>
      <w:r>
        <w:t>s</w:t>
      </w:r>
      <w:r w:rsidRPr="007E1271">
        <w:t xml:space="preserve"> </w:t>
      </w:r>
      <w:r>
        <w:t>p</w:t>
      </w:r>
      <w:r w:rsidRPr="007E1271">
        <w:t xml:space="preserve"> to </w:t>
      </w:r>
      <w:r w:rsidRPr="00F310A9">
        <w:rPr>
          <w:rFonts w:eastAsiaTheme="minorEastAsia"/>
        </w:rPr>
        <w:t>B, and</w:t>
      </w:r>
    </w:p>
    <w:p w14:paraId="58402FBF" w14:textId="2836C12E" w:rsidR="002D23F8" w:rsidRPr="00F310A9" w:rsidRDefault="002D23F8" w:rsidP="002D23F8">
      <w:pPr>
        <w:pStyle w:val="longquote"/>
        <w:ind w:left="1416" w:hanging="707"/>
        <w:rPr>
          <w:rFonts w:eastAsiaTheme="minorEastAsia"/>
        </w:rPr>
      </w:pPr>
      <w:r w:rsidRPr="00F310A9">
        <w:rPr>
          <w:rFonts w:eastAsiaTheme="minorEastAsia"/>
        </w:rPr>
        <w:t>(L2)</w:t>
      </w:r>
      <w:r w:rsidRPr="00F310A9">
        <w:rPr>
          <w:rFonts w:eastAsiaTheme="minorEastAsia"/>
        </w:rPr>
        <w:tab/>
      </w:r>
      <w:r w:rsidR="00A0768E" w:rsidRPr="00F310A9">
        <w:rPr>
          <w:rFonts w:eastAsiaTheme="minorEastAsia"/>
        </w:rPr>
        <w:t>A</w:t>
      </w:r>
      <w:r w:rsidR="00A0768E" w:rsidRPr="002D23F8">
        <w:t xml:space="preserve"> intends to warrant the truth of </w:t>
      </w:r>
      <w:r w:rsidR="00A0768E">
        <w:t>p</w:t>
      </w:r>
      <w:r w:rsidR="00A0768E" w:rsidRPr="002D23F8">
        <w:t xml:space="preserve"> to </w:t>
      </w:r>
      <w:r w:rsidR="00A0768E">
        <w:t>B,</w:t>
      </w:r>
      <w:r w:rsidR="00A0768E" w:rsidRPr="00F310A9">
        <w:rPr>
          <w:rFonts w:eastAsiaTheme="minorEastAsia"/>
        </w:rPr>
        <w:t xml:space="preserve"> </w:t>
      </w:r>
      <w:r w:rsidRPr="00F310A9">
        <w:rPr>
          <w:rFonts w:eastAsiaTheme="minorEastAsia"/>
        </w:rPr>
        <w:t>and</w:t>
      </w:r>
    </w:p>
    <w:p w14:paraId="5735289A" w14:textId="22893AFF" w:rsidR="00E25F83" w:rsidRPr="00A153B1" w:rsidRDefault="002D23F8" w:rsidP="001B14EC">
      <w:pPr>
        <w:pStyle w:val="longquote"/>
        <w:ind w:left="1416" w:hanging="707"/>
      </w:pPr>
      <w:r w:rsidRPr="00F310A9">
        <w:rPr>
          <w:rFonts w:eastAsiaTheme="minorEastAsia"/>
        </w:rPr>
        <w:t>(L3)</w:t>
      </w:r>
      <w:r w:rsidRPr="00F310A9">
        <w:rPr>
          <w:rFonts w:eastAsiaTheme="minorEastAsia"/>
        </w:rPr>
        <w:tab/>
      </w:r>
      <w:r w:rsidR="00A0768E" w:rsidRPr="00F310A9">
        <w:rPr>
          <w:rFonts w:eastAsiaTheme="minorEastAsia"/>
        </w:rPr>
        <w:t xml:space="preserve">A </w:t>
      </w:r>
      <w:r w:rsidR="00A0768E" w:rsidRPr="007E1271">
        <w:t xml:space="preserve">believes that </w:t>
      </w:r>
      <w:r w:rsidR="00A0768E">
        <w:t>p</w:t>
      </w:r>
      <w:r w:rsidR="00A0768E" w:rsidRPr="007E1271">
        <w:t xml:space="preserve"> is false or probably false (or, alternatively, </w:t>
      </w:r>
      <w:r w:rsidR="00A0768E">
        <w:t>A</w:t>
      </w:r>
      <w:r w:rsidR="00A0768E" w:rsidRPr="007E1271">
        <w:t xml:space="preserve"> does not believe that </w:t>
      </w:r>
      <w:r w:rsidR="00A0768E">
        <w:t>p</w:t>
      </w:r>
      <w:r w:rsidR="00A0768E" w:rsidRPr="007E1271">
        <w:t xml:space="preserve"> is true)</w:t>
      </w:r>
      <w:r w:rsidR="00A0768E">
        <w:rPr>
          <w:rFonts w:eastAsiaTheme="minorEastAsia"/>
        </w:rPr>
        <w:t>.</w:t>
      </w:r>
      <w:r w:rsidR="00A0768E">
        <w:rPr>
          <w:rStyle w:val="FootnoteReference"/>
          <w:rFonts w:eastAsiaTheme="minorEastAsia"/>
        </w:rPr>
        <w:footnoteReference w:id="31"/>
      </w:r>
      <w:r w:rsidR="00A0768E">
        <w:rPr>
          <w:rFonts w:eastAsiaTheme="minorEastAsia"/>
        </w:rPr>
        <w:t xml:space="preserve"> </w:t>
      </w:r>
    </w:p>
    <w:p w14:paraId="2696260C" w14:textId="07B9A1A5" w:rsidR="006479AC" w:rsidRPr="00A153B1" w:rsidRDefault="00A0768E" w:rsidP="001B14EC">
      <w:pPr>
        <w:ind w:firstLine="0"/>
      </w:pPr>
      <w:r w:rsidRPr="00A153B1">
        <w:t xml:space="preserve">(D3) </w:t>
      </w:r>
      <w:r w:rsidR="001B14EC" w:rsidRPr="00A153B1">
        <w:t xml:space="preserve">differs from (D2) in several </w:t>
      </w:r>
      <w:r w:rsidR="001E4F0E" w:rsidRPr="00A153B1">
        <w:t>respects</w:t>
      </w:r>
      <w:r w:rsidR="001B14EC" w:rsidRPr="00A153B1">
        <w:t xml:space="preserve">: (L1) uses </w:t>
      </w:r>
      <w:r w:rsidR="00197EE6">
        <w:t>‘</w:t>
      </w:r>
      <w:r w:rsidR="001B14EC" w:rsidRPr="00A153B1">
        <w:t>states</w:t>
      </w:r>
      <w:r w:rsidR="00197EE6">
        <w:t>’</w:t>
      </w:r>
      <w:r w:rsidR="001B14EC" w:rsidRPr="00A153B1">
        <w:t xml:space="preserve"> rather than </w:t>
      </w:r>
      <w:r w:rsidR="00197EE6">
        <w:t>‘</w:t>
      </w:r>
      <w:r w:rsidR="001B14EC" w:rsidRPr="00A153B1">
        <w:t>says</w:t>
      </w:r>
      <w:r w:rsidR="00197EE6">
        <w:t>’,</w:t>
      </w:r>
      <w:r w:rsidR="001B14EC" w:rsidRPr="00A153B1">
        <w:t xml:space="preserve"> (L2) </w:t>
      </w:r>
      <w:r w:rsidR="00D516F1" w:rsidRPr="00A153B1">
        <w:t>is phrased in terms of</w:t>
      </w:r>
      <w:r w:rsidR="001B14EC" w:rsidRPr="00A153B1">
        <w:t xml:space="preserve"> warranting and not </w:t>
      </w:r>
      <w:r w:rsidR="00D516F1" w:rsidRPr="00A153B1">
        <w:t>in terms of</w:t>
      </w:r>
      <w:r w:rsidR="001B14EC" w:rsidRPr="00A153B1">
        <w:t xml:space="preserve"> updat</w:t>
      </w:r>
      <w:r w:rsidR="00D516F1" w:rsidRPr="00A153B1">
        <w:t>ing</w:t>
      </w:r>
      <w:r w:rsidR="001B14EC" w:rsidRPr="00A153B1">
        <w:t xml:space="preserve"> the common ground, and (L3) is weaker than Stokke’s third clause. </w:t>
      </w:r>
      <w:r w:rsidR="009B3719" w:rsidRPr="00A153B1">
        <w:t>Let us</w:t>
      </w:r>
      <w:r w:rsidR="001B14EC" w:rsidRPr="00A153B1">
        <w:t xml:space="preserve"> set the third difference aside, </w:t>
      </w:r>
      <w:r w:rsidR="00CC00E3" w:rsidRPr="00A153B1">
        <w:t xml:space="preserve">which </w:t>
      </w:r>
      <w:r w:rsidR="009B3719" w:rsidRPr="00A153B1">
        <w:t>is not of interest</w:t>
      </w:r>
      <w:r w:rsidR="00CC00E3" w:rsidRPr="00A153B1">
        <w:t xml:space="preserve"> here</w:t>
      </w:r>
      <w:r w:rsidR="009B3719" w:rsidRPr="00A153B1">
        <w:t xml:space="preserve">. </w:t>
      </w:r>
      <w:r w:rsidR="00544F91" w:rsidRPr="00A153B1">
        <w:t>Do</w:t>
      </w:r>
      <w:r w:rsidR="009B3719" w:rsidRPr="00A153B1">
        <w:t xml:space="preserve"> the differences in the first two clauses</w:t>
      </w:r>
      <w:r w:rsidR="00544F91" w:rsidRPr="00A153B1">
        <w:t xml:space="preserve"> allow (D3) to improve on (D2) in</w:t>
      </w:r>
      <w:r w:rsidR="00DC402D" w:rsidRPr="00A153B1">
        <w:t xml:space="preserve"> capturing the lying-misleading distinction</w:t>
      </w:r>
      <w:r w:rsidR="00544F91" w:rsidRPr="00A153B1">
        <w:t>?</w:t>
      </w:r>
      <w:r w:rsidR="00DC402D" w:rsidRPr="00A153B1">
        <w:t xml:space="preserve"> </w:t>
      </w:r>
      <w:r w:rsidR="00544F91" w:rsidRPr="00A153B1">
        <w:t xml:space="preserve">They do not, </w:t>
      </w:r>
      <w:r w:rsidR="00DC402D" w:rsidRPr="00A153B1">
        <w:t>as I briefly want to argue</w:t>
      </w:r>
      <w:r w:rsidR="00C3772F" w:rsidRPr="00A153B1">
        <w:t xml:space="preserve">. </w:t>
      </w:r>
      <w:r w:rsidR="007B6DE9" w:rsidRPr="00A153B1">
        <w:t xml:space="preserve">On the one hand, Carson does not employ the notion of warranting in order to separate lying from misleading. On the other, Carson’s notion of warranting is not spelled out in enough detail to tell whether it could be employed for such a purpose. </w:t>
      </w:r>
    </w:p>
    <w:p w14:paraId="7CD21230" w14:textId="4B2FC664" w:rsidR="00535AEF" w:rsidRPr="00A153B1" w:rsidRDefault="007B6DE9" w:rsidP="00C3772F">
      <w:r w:rsidRPr="00A153B1">
        <w:t>To begin with</w:t>
      </w:r>
      <w:r w:rsidR="00C3772F" w:rsidRPr="00A153B1">
        <w:t>,</w:t>
      </w:r>
      <w:r w:rsidR="00657075" w:rsidRPr="00A153B1">
        <w:t xml:space="preserve"> </w:t>
      </w:r>
      <w:r w:rsidRPr="00A153B1">
        <w:t xml:space="preserve">it is important to note that </w:t>
      </w:r>
      <w:r w:rsidR="00C3772F" w:rsidRPr="00A153B1">
        <w:t xml:space="preserve">(D3) is still a </w:t>
      </w:r>
      <w:r w:rsidR="0005209E">
        <w:t>content-based</w:t>
      </w:r>
      <w:r w:rsidR="00C3772F" w:rsidRPr="00A153B1">
        <w:t xml:space="preserve"> </w:t>
      </w:r>
      <w:r w:rsidR="00DC402D" w:rsidRPr="00A153B1">
        <w:t>definition</w:t>
      </w:r>
      <w:r w:rsidR="00A504C8" w:rsidRPr="00A153B1">
        <w:t>,</w:t>
      </w:r>
      <w:r w:rsidR="00657075" w:rsidRPr="00A153B1">
        <w:t xml:space="preserve"> despite the different terminology</w:t>
      </w:r>
      <w:r w:rsidR="00514FC6" w:rsidRPr="00A153B1">
        <w:t>:</w:t>
      </w:r>
      <w:r w:rsidR="001B14EC" w:rsidRPr="00A153B1">
        <w:t xml:space="preserve"> Carson uses </w:t>
      </w:r>
      <w:r w:rsidR="00197EE6">
        <w:t>‘</w:t>
      </w:r>
      <w:r w:rsidR="001B14EC" w:rsidRPr="00A153B1">
        <w:t>states</w:t>
      </w:r>
      <w:r w:rsidR="00197EE6">
        <w:t>’</w:t>
      </w:r>
      <w:r w:rsidR="001B14EC" w:rsidRPr="00A153B1">
        <w:t xml:space="preserve"> and </w:t>
      </w:r>
      <w:r w:rsidR="00197EE6">
        <w:t>‘</w:t>
      </w:r>
      <w:r w:rsidR="001B14EC" w:rsidRPr="00A153B1">
        <w:t>says</w:t>
      </w:r>
      <w:r w:rsidR="00197EE6">
        <w:t>’</w:t>
      </w:r>
      <w:r w:rsidR="001B14EC" w:rsidRPr="00A153B1">
        <w:t xml:space="preserve"> interchangeably</w:t>
      </w:r>
      <w:r w:rsidR="00B16EB4">
        <w:t>.</w:t>
      </w:r>
      <w:r w:rsidR="00B16EB4">
        <w:rPr>
          <w:rStyle w:val="FootnoteReference"/>
        </w:rPr>
        <w:footnoteReference w:id="32"/>
      </w:r>
      <w:r w:rsidR="00514FC6" w:rsidRPr="00A153B1">
        <w:t xml:space="preserve"> </w:t>
      </w:r>
      <w:r w:rsidR="00B16EB4">
        <w:t>A</w:t>
      </w:r>
      <w:r w:rsidR="00514FC6" w:rsidRPr="00A153B1">
        <w:t>nd he</w:t>
      </w:r>
      <w:r w:rsidR="00CC00E3" w:rsidRPr="00A153B1">
        <w:t xml:space="preserve"> </w:t>
      </w:r>
      <w:r w:rsidR="009B3719" w:rsidRPr="00A153B1">
        <w:t>employs a narrow view of stating</w:t>
      </w:r>
      <w:r w:rsidR="00514FC6" w:rsidRPr="00A153B1">
        <w:t>, on which</w:t>
      </w:r>
      <w:r w:rsidR="001B14EC" w:rsidRPr="00A153B1">
        <w:t xml:space="preserve"> stating p requires producing a linguistic token </w:t>
      </w:r>
      <w:r w:rsidR="00CC00E3" w:rsidRPr="00A153B1">
        <w:t>that expresses p.</w:t>
      </w:r>
      <w:r w:rsidR="00B16EB4">
        <w:rPr>
          <w:rStyle w:val="FootnoteReference"/>
        </w:rPr>
        <w:footnoteReference w:id="33"/>
      </w:r>
      <w:r w:rsidR="00CC00E3" w:rsidRPr="00A153B1">
        <w:t xml:space="preserve"> </w:t>
      </w:r>
      <w:r w:rsidR="00C3772F" w:rsidRPr="00A153B1">
        <w:t>For th</w:t>
      </w:r>
      <w:r w:rsidR="00C27BB0" w:rsidRPr="00A153B1">
        <w:t>e</w:t>
      </w:r>
      <w:r w:rsidR="00C3772F" w:rsidRPr="00A153B1">
        <w:t>s</w:t>
      </w:r>
      <w:r w:rsidR="00C27BB0" w:rsidRPr="00A153B1">
        <w:t>e</w:t>
      </w:r>
      <w:r w:rsidR="00C3772F" w:rsidRPr="00A153B1">
        <w:t xml:space="preserve"> reason</w:t>
      </w:r>
      <w:r w:rsidR="00C27BB0" w:rsidRPr="00A153B1">
        <w:t>s</w:t>
      </w:r>
      <w:r w:rsidR="009B3719" w:rsidRPr="00A153B1">
        <w:t xml:space="preserve">, </w:t>
      </w:r>
      <w:r w:rsidR="00514FC6" w:rsidRPr="00A153B1">
        <w:t>(D3)</w:t>
      </w:r>
      <w:r w:rsidR="009B3719" w:rsidRPr="00A153B1">
        <w:t xml:space="preserve"> </w:t>
      </w:r>
      <w:r w:rsidR="00C27BB0" w:rsidRPr="00A153B1">
        <w:t>delivers the same verdicts as</w:t>
      </w:r>
      <w:r w:rsidR="009B3719" w:rsidRPr="00A153B1">
        <w:t xml:space="preserve"> </w:t>
      </w:r>
      <w:r w:rsidR="00514FC6" w:rsidRPr="00A153B1">
        <w:t>(D2)</w:t>
      </w:r>
      <w:r w:rsidR="009B3719" w:rsidRPr="00A153B1">
        <w:t xml:space="preserve"> for the examples of the previous section. </w:t>
      </w:r>
      <w:r w:rsidR="00535AEF" w:rsidRPr="00A153B1">
        <w:t>The non-literal lies (6)</w:t>
      </w:r>
      <w:r w:rsidR="0002570D" w:rsidRPr="00A153B1">
        <w:t>,</w:t>
      </w:r>
      <w:r w:rsidR="00535AEF" w:rsidRPr="00A153B1">
        <w:t xml:space="preserve"> (7)</w:t>
      </w:r>
      <w:r w:rsidR="0002570D" w:rsidRPr="00A153B1">
        <w:t xml:space="preserve"> and (8)</w:t>
      </w:r>
      <w:r w:rsidR="00535AEF" w:rsidRPr="00A153B1">
        <w:t xml:space="preserve">, for instance, are not counted as lies due to the mismatch between what is stated and the content of the lie. </w:t>
      </w:r>
    </w:p>
    <w:p w14:paraId="68B34F03" w14:textId="0B48E5FF" w:rsidR="00C3772F" w:rsidRPr="00A153B1" w:rsidRDefault="00514FC6" w:rsidP="00C3772F">
      <w:r w:rsidRPr="00A153B1">
        <w:t>Furthermore,</w:t>
      </w:r>
      <w:r w:rsidR="00C27BB0" w:rsidRPr="00A153B1">
        <w:t xml:space="preserve"> </w:t>
      </w:r>
      <w:r w:rsidRPr="00A153B1">
        <w:t xml:space="preserve">it is hard to see whether </w:t>
      </w:r>
      <w:r w:rsidR="00C3772F" w:rsidRPr="00A153B1">
        <w:t>Carson’s notion of warranting</w:t>
      </w:r>
      <w:r w:rsidR="00C27BB0" w:rsidRPr="00A153B1">
        <w:t xml:space="preserve"> </w:t>
      </w:r>
      <w:r w:rsidRPr="00A153B1">
        <w:t xml:space="preserve">could be of use in a different definition, as it </w:t>
      </w:r>
      <w:r w:rsidR="00C3772F" w:rsidRPr="00A153B1">
        <w:t>is not spelled out in sufficient detail or breadth. For one thing, Carson does not say enough about what it is to warrant the truth of a proposition. His general idea is that warranting is like promising and guaranteeing:</w:t>
      </w:r>
    </w:p>
    <w:p w14:paraId="41EB0B2B" w14:textId="58946FEF" w:rsidR="00C3772F" w:rsidRPr="00A153B1" w:rsidRDefault="009A345A" w:rsidP="00C3772F">
      <w:pPr>
        <w:pStyle w:val="longquote"/>
      </w:pPr>
      <w:r w:rsidRPr="00A153B1">
        <w:t>A warranty of truth is a kind of guarantee that what one says is true. It is also a kind of promise that what one says is true</w:t>
      </w:r>
      <w:r w:rsidR="00C3772F" w:rsidRPr="00A153B1">
        <w:t>.</w:t>
      </w:r>
      <w:r w:rsidR="005D68E0">
        <w:rPr>
          <w:rStyle w:val="FootnoteReference"/>
        </w:rPr>
        <w:footnoteReference w:id="34"/>
      </w:r>
      <w:r w:rsidR="00C3772F" w:rsidRPr="00A153B1">
        <w:t xml:space="preserve"> </w:t>
      </w:r>
    </w:p>
    <w:p w14:paraId="690C9438" w14:textId="2C41EB5E" w:rsidR="009A345A" w:rsidRPr="00A153B1" w:rsidRDefault="00C3772F" w:rsidP="00C3772F">
      <w:pPr>
        <w:ind w:firstLine="0"/>
      </w:pPr>
      <w:r w:rsidRPr="00A153B1">
        <w:t xml:space="preserve">But how must promising or guaranteeing the truth of something be understood? </w:t>
      </w:r>
      <w:r w:rsidR="009A345A" w:rsidRPr="00A153B1">
        <w:t xml:space="preserve">That question remains unanswered. Carson does note a difference between promising and warranting: </w:t>
      </w:r>
    </w:p>
    <w:p w14:paraId="4E173DB6" w14:textId="1B2BBFE0" w:rsidR="009A345A" w:rsidRPr="00A153B1" w:rsidRDefault="009A345A" w:rsidP="009A345A">
      <w:pPr>
        <w:pStyle w:val="longquote"/>
      </w:pPr>
      <w:r w:rsidRPr="00A153B1">
        <w:lastRenderedPageBreak/>
        <w:t>If one promises to do x, one is placing oneself under an obligation to perform a specific act (one is placing oneself under an obligation to do x). However, often when one warrants the truth of a statement, one is not placing oneself under an obligation to perform any particular action or kind of action.</w:t>
      </w:r>
      <w:r w:rsidR="005D68E0">
        <w:rPr>
          <w:rStyle w:val="FootnoteReference"/>
        </w:rPr>
        <w:footnoteReference w:id="35"/>
      </w:r>
      <w:r w:rsidRPr="00A153B1">
        <w:t xml:space="preserve"> </w:t>
      </w:r>
    </w:p>
    <w:p w14:paraId="64C12DBE" w14:textId="0CFB38C2" w:rsidR="006249A4" w:rsidRPr="00A153B1" w:rsidRDefault="005D68E0" w:rsidP="00C3772F">
      <w:pPr>
        <w:ind w:firstLine="0"/>
      </w:pPr>
      <w:r>
        <w:t>T</w:t>
      </w:r>
      <w:r w:rsidR="006249A4" w:rsidRPr="00A153B1">
        <w:t>his comment</w:t>
      </w:r>
      <w:r>
        <w:t>, however,</w:t>
      </w:r>
      <w:r w:rsidR="009A345A" w:rsidRPr="00A153B1">
        <w:t xml:space="preserve"> makes it </w:t>
      </w:r>
      <w:r w:rsidR="00262CC2" w:rsidRPr="00A153B1">
        <w:t xml:space="preserve">yet </w:t>
      </w:r>
      <w:r w:rsidR="009A345A" w:rsidRPr="00A153B1">
        <w:t xml:space="preserve">harder to </w:t>
      </w:r>
      <w:r w:rsidR="006249A4" w:rsidRPr="00A153B1">
        <w:t>see</w:t>
      </w:r>
      <w:r w:rsidR="009A345A" w:rsidRPr="00A153B1">
        <w:t xml:space="preserve"> what warranting</w:t>
      </w:r>
      <w:r w:rsidR="006249A4" w:rsidRPr="00A153B1">
        <w:t xml:space="preserve"> involves. If one of the main aspects of promising involves placing oneself under an obligation to do something</w:t>
      </w:r>
      <w:r w:rsidR="00657075" w:rsidRPr="00A153B1">
        <w:t>,</w:t>
      </w:r>
      <w:r w:rsidR="006249A4" w:rsidRPr="00A153B1">
        <w:t xml:space="preserve"> and if warranting need not come with such an obligation, the characterisation in terms of promising loses </w:t>
      </w:r>
      <w:r w:rsidR="008248A0" w:rsidRPr="00A153B1">
        <w:t>much</w:t>
      </w:r>
      <w:r w:rsidR="006249A4" w:rsidRPr="00A153B1">
        <w:t xml:space="preserve"> of its explanatory force. </w:t>
      </w:r>
    </w:p>
    <w:p w14:paraId="20886082" w14:textId="59483635" w:rsidR="00262CC2" w:rsidRPr="00A153B1" w:rsidRDefault="006249A4" w:rsidP="00262CC2">
      <w:r w:rsidRPr="00A153B1">
        <w:t xml:space="preserve">Moreover, Carson does not consider which kind of warrant (if any) is in play in cases of misleading. His discussion of warranting focusses on </w:t>
      </w:r>
      <w:r w:rsidR="008248A0" w:rsidRPr="00A153B1">
        <w:t xml:space="preserve">whether speakers warrant the truth of what they </w:t>
      </w:r>
      <w:r w:rsidR="008248A0" w:rsidRPr="00A153B1">
        <w:rPr>
          <w:i/>
          <w:iCs/>
        </w:rPr>
        <w:t>state</w:t>
      </w:r>
      <w:r w:rsidR="008248A0" w:rsidRPr="00A153B1">
        <w:t xml:space="preserve">. </w:t>
      </w:r>
      <w:r w:rsidR="00262CC2" w:rsidRPr="00A153B1">
        <w:t>There is no mention of potential warrant-based differences between what is said and what is implicated</w:t>
      </w:r>
      <w:r w:rsidR="00DD4A9E">
        <w:t xml:space="preserve">, and accordingly no mention of a corresponding difference between lying and misleading. </w:t>
      </w:r>
      <w:r w:rsidR="00262CC2" w:rsidRPr="00A153B1">
        <w:t xml:space="preserve"> </w:t>
      </w:r>
    </w:p>
    <w:p w14:paraId="4A404243" w14:textId="74DB4FA7" w:rsidR="00A504C8" w:rsidRDefault="00D0204E" w:rsidP="00262CC2">
      <w:r w:rsidRPr="00A153B1">
        <w:t xml:space="preserve">I have tried to make </w:t>
      </w:r>
      <w:r w:rsidR="005A14BF">
        <w:t xml:space="preserve">it </w:t>
      </w:r>
      <w:r w:rsidRPr="00A153B1">
        <w:t>clear that</w:t>
      </w:r>
      <w:r w:rsidR="00A504C8" w:rsidRPr="00A153B1">
        <w:t xml:space="preserve"> </w:t>
      </w:r>
      <w:r w:rsidR="006A27CE">
        <w:t>Carson’s</w:t>
      </w:r>
      <w:r w:rsidR="006A27CE" w:rsidRPr="00A153B1">
        <w:t xml:space="preserve"> </w:t>
      </w:r>
      <w:r w:rsidR="00A504C8" w:rsidRPr="00A153B1">
        <w:t>notion of warrant</w:t>
      </w:r>
      <w:r w:rsidR="00723962">
        <w:t>ing</w:t>
      </w:r>
      <w:r w:rsidR="00A504C8" w:rsidRPr="00A153B1">
        <w:t xml:space="preserve"> does not offer a way forward in </w:t>
      </w:r>
      <w:r w:rsidR="00723962">
        <w:t>capturing the lying-misleading distinction</w:t>
      </w:r>
      <w:r w:rsidRPr="00A153B1">
        <w:t xml:space="preserve">. </w:t>
      </w:r>
      <w:r w:rsidR="00723962">
        <w:t>Let us therefore turn to the</w:t>
      </w:r>
      <w:r w:rsidRPr="00A153B1">
        <w:t xml:space="preserve"> commitment-based approach</w:t>
      </w:r>
      <w:r w:rsidR="00723962">
        <w:t xml:space="preserve">. </w:t>
      </w:r>
    </w:p>
    <w:p w14:paraId="2F82D32A" w14:textId="77777777" w:rsidR="00487742" w:rsidRPr="00A153B1" w:rsidRDefault="00487742" w:rsidP="00262CC2"/>
    <w:p w14:paraId="1B11A42F" w14:textId="2842A701" w:rsidR="007246DF" w:rsidRPr="005D68E0" w:rsidRDefault="005D68E0" w:rsidP="007246DF">
      <w:pPr>
        <w:pStyle w:val="Heading1"/>
        <w:rPr>
          <w:smallCaps/>
        </w:rPr>
      </w:pPr>
      <w:r w:rsidRPr="005D68E0">
        <w:rPr>
          <w:smallCaps/>
        </w:rPr>
        <w:t>v</w:t>
      </w:r>
      <w:r w:rsidR="007246DF" w:rsidRPr="005D68E0">
        <w:rPr>
          <w:smallCaps/>
        </w:rPr>
        <w:t xml:space="preserve">. </w:t>
      </w:r>
      <w:r w:rsidRPr="005D68E0">
        <w:rPr>
          <w:smallCaps/>
        </w:rPr>
        <w:t>l</w:t>
      </w:r>
      <w:r w:rsidR="002954DE" w:rsidRPr="005D68E0">
        <w:rPr>
          <w:smallCaps/>
        </w:rPr>
        <w:t>ying</w:t>
      </w:r>
      <w:r w:rsidR="008C7F86" w:rsidRPr="005D68E0">
        <w:rPr>
          <w:smallCaps/>
        </w:rPr>
        <w:t>, misleading</w:t>
      </w:r>
      <w:r w:rsidR="00ED34F5">
        <w:rPr>
          <w:smallCaps/>
        </w:rPr>
        <w:t>,</w:t>
      </w:r>
      <w:r w:rsidR="002954DE" w:rsidRPr="005D68E0">
        <w:rPr>
          <w:smallCaps/>
        </w:rPr>
        <w:t xml:space="preserve"> and c</w:t>
      </w:r>
      <w:r w:rsidR="007246DF" w:rsidRPr="005D68E0">
        <w:rPr>
          <w:smallCaps/>
        </w:rPr>
        <w:t>ommit</w:t>
      </w:r>
      <w:r w:rsidR="00476512" w:rsidRPr="005D68E0">
        <w:rPr>
          <w:smallCaps/>
        </w:rPr>
        <w:t>ment</w:t>
      </w:r>
    </w:p>
    <w:p w14:paraId="5D7BB9C9" w14:textId="0C2628F9" w:rsidR="000667D9" w:rsidRDefault="000667D9" w:rsidP="00BE1E3E">
      <w:pPr>
        <w:ind w:firstLine="0"/>
      </w:pPr>
      <w:r>
        <w:t>In this section</w:t>
      </w:r>
      <w:r w:rsidR="004B353C">
        <w:t xml:space="preserve">, I will introduce a commitment-based definition of lying and </w:t>
      </w:r>
      <w:r w:rsidR="006A27CE">
        <w:t xml:space="preserve">outline </w:t>
      </w:r>
      <w:r w:rsidR="004B353C">
        <w:t>the relevant notion of commitment. I will also point to some advantages of this definition: it can account for bald-faced lies</w:t>
      </w:r>
      <w:r w:rsidR="00335368">
        <w:t xml:space="preserve"> and</w:t>
      </w:r>
      <w:r w:rsidR="004B353C">
        <w:t xml:space="preserve"> it can easily be modified to provide a definition of misleading</w:t>
      </w:r>
      <w:r w:rsidR="00E80160">
        <w:t xml:space="preserve">, </w:t>
      </w:r>
      <w:r w:rsidR="004B353C">
        <w:t xml:space="preserve">which </w:t>
      </w:r>
      <w:r w:rsidR="005A14BF">
        <w:t>has been</w:t>
      </w:r>
      <w:r w:rsidR="004B353C">
        <w:t xml:space="preserve"> lacking in the debate</w:t>
      </w:r>
      <w:r w:rsidR="005A14BF">
        <w:t xml:space="preserve"> thus far</w:t>
      </w:r>
      <w:r w:rsidR="004B353C">
        <w:t>.</w:t>
      </w:r>
      <w:r w:rsidR="00F063A6">
        <w:rPr>
          <w:rStyle w:val="FootnoteReference"/>
        </w:rPr>
        <w:footnoteReference w:id="36"/>
      </w:r>
      <w:r w:rsidR="004B353C">
        <w:t xml:space="preserve"> </w:t>
      </w:r>
    </w:p>
    <w:p w14:paraId="7959E693" w14:textId="25C12077" w:rsidR="00BE1E3E" w:rsidRDefault="00BE1E3E" w:rsidP="004B353C">
      <w:r>
        <w:t xml:space="preserve">Here is my favoured commitment-based </w:t>
      </w:r>
      <w:r w:rsidR="00341900">
        <w:t>definition of lying:</w:t>
      </w:r>
      <w:r>
        <w:t xml:space="preserve"> </w:t>
      </w:r>
    </w:p>
    <w:p w14:paraId="7D0730F2" w14:textId="77777777" w:rsidR="001A5311" w:rsidRDefault="001A5311" w:rsidP="004B353C"/>
    <w:p w14:paraId="56A43FE2" w14:textId="6B48F3F8" w:rsidR="002E2092" w:rsidRPr="00F90D0D" w:rsidRDefault="00341900" w:rsidP="001A5311">
      <w:pPr>
        <w:spacing w:line="360" w:lineRule="auto"/>
        <w:ind w:firstLine="0"/>
        <w:rPr>
          <w:rFonts w:eastAsiaTheme="minorEastAsia"/>
          <w:i/>
        </w:rPr>
      </w:pPr>
      <w:r>
        <w:t xml:space="preserve">  </w:t>
      </w:r>
      <w:r w:rsidR="001A5311">
        <w:tab/>
      </w:r>
      <w:r w:rsidR="002E2092">
        <w:rPr>
          <w:rFonts w:eastAsiaTheme="minorEastAsia"/>
          <w:i/>
        </w:rPr>
        <w:t>(D4)</w:t>
      </w:r>
      <w:r w:rsidR="002E2092">
        <w:rPr>
          <w:rFonts w:eastAsiaTheme="minorEastAsia"/>
          <w:i/>
        </w:rPr>
        <w:tab/>
        <w:t xml:space="preserve">A </w:t>
      </w:r>
      <w:r w:rsidR="00A76845">
        <w:rPr>
          <w:rFonts w:eastAsiaTheme="minorEastAsia"/>
          <w:i/>
        </w:rPr>
        <w:t>C</w:t>
      </w:r>
      <w:r w:rsidR="002E2092">
        <w:rPr>
          <w:rFonts w:eastAsiaTheme="minorEastAsia"/>
          <w:i/>
        </w:rPr>
        <w:t>ommitment-</w:t>
      </w:r>
      <w:r w:rsidR="00A76845">
        <w:rPr>
          <w:rFonts w:eastAsiaTheme="minorEastAsia"/>
          <w:i/>
        </w:rPr>
        <w:t>B</w:t>
      </w:r>
      <w:r w:rsidR="002E2092">
        <w:rPr>
          <w:rFonts w:eastAsiaTheme="minorEastAsia"/>
          <w:i/>
        </w:rPr>
        <w:t xml:space="preserve">ased </w:t>
      </w:r>
      <w:r w:rsidR="00A76845">
        <w:rPr>
          <w:rFonts w:eastAsiaTheme="minorEastAsia"/>
          <w:i/>
        </w:rPr>
        <w:t>D</w:t>
      </w:r>
      <w:r w:rsidR="002E2092">
        <w:rPr>
          <w:rFonts w:eastAsiaTheme="minorEastAsia"/>
          <w:i/>
        </w:rPr>
        <w:t xml:space="preserve">efinition of </w:t>
      </w:r>
      <w:r w:rsidR="00A76845">
        <w:rPr>
          <w:rFonts w:eastAsiaTheme="minorEastAsia"/>
          <w:i/>
        </w:rPr>
        <w:t>L</w:t>
      </w:r>
      <w:r w:rsidR="002E2092" w:rsidRPr="00F90D0D">
        <w:rPr>
          <w:rFonts w:eastAsiaTheme="minorEastAsia"/>
          <w:i/>
        </w:rPr>
        <w:t>ying</w:t>
      </w:r>
    </w:p>
    <w:p w14:paraId="763392FF" w14:textId="77777777" w:rsidR="002E2092" w:rsidRPr="00F90D0D" w:rsidRDefault="002E2092" w:rsidP="00487742">
      <w:pPr>
        <w:pStyle w:val="longquote"/>
        <w:spacing w:before="0"/>
        <w:rPr>
          <w:rFonts w:eastAsiaTheme="minorEastAsia"/>
        </w:rPr>
      </w:pPr>
      <w:r w:rsidRPr="00F90D0D">
        <w:rPr>
          <w:rFonts w:eastAsiaTheme="minorEastAsia"/>
        </w:rPr>
        <w:t xml:space="preserve">A </w:t>
      </w:r>
      <w:proofErr w:type="gramStart"/>
      <w:r w:rsidRPr="00F90D0D">
        <w:rPr>
          <w:rFonts w:eastAsiaTheme="minorEastAsia"/>
        </w:rPr>
        <w:t>lies</w:t>
      </w:r>
      <w:proofErr w:type="gramEnd"/>
      <w:r w:rsidRPr="00F90D0D">
        <w:rPr>
          <w:rFonts w:eastAsiaTheme="minorEastAsia"/>
        </w:rPr>
        <w:t xml:space="preserve"> to B if and only if there is a proposition p such that: </w:t>
      </w:r>
    </w:p>
    <w:p w14:paraId="339B2EEF" w14:textId="7965F9FF" w:rsidR="002E2092" w:rsidRDefault="002E2092" w:rsidP="002E2092">
      <w:pPr>
        <w:pStyle w:val="longquote"/>
        <w:rPr>
          <w:rFonts w:eastAsiaTheme="minorEastAsia"/>
        </w:rPr>
      </w:pPr>
      <w:r w:rsidRPr="00F90D0D">
        <w:rPr>
          <w:rFonts w:eastAsiaTheme="minorEastAsia"/>
        </w:rPr>
        <w:t>(L1</w:t>
      </w:r>
      <w:proofErr w:type="gramStart"/>
      <w:r w:rsidRPr="00F90D0D">
        <w:rPr>
          <w:rFonts w:eastAsiaTheme="minorEastAsia"/>
        </w:rPr>
        <w:t>)  </w:t>
      </w:r>
      <w:r w:rsidRPr="00F90D0D">
        <w:rPr>
          <w:rFonts w:eastAsiaTheme="minorEastAsia"/>
        </w:rPr>
        <w:tab/>
      </w:r>
      <w:proofErr w:type="gramEnd"/>
      <w:r w:rsidRPr="00F90D0D">
        <w:rPr>
          <w:rFonts w:eastAsiaTheme="minorEastAsia"/>
        </w:rPr>
        <w:t>A performs a communicative act C</w:t>
      </w:r>
      <w:r>
        <w:rPr>
          <w:rFonts w:eastAsiaTheme="minorEastAsia"/>
        </w:rPr>
        <w:t xml:space="preserve"> </w:t>
      </w:r>
      <w:r w:rsidR="006557AE">
        <w:rPr>
          <w:rFonts w:eastAsiaTheme="minorEastAsia"/>
        </w:rPr>
        <w:t>with p as</w:t>
      </w:r>
      <w:r>
        <w:rPr>
          <w:rFonts w:eastAsiaTheme="minorEastAsia"/>
        </w:rPr>
        <w:t xml:space="preserve"> content;</w:t>
      </w:r>
    </w:p>
    <w:p w14:paraId="636448AF" w14:textId="4A280950" w:rsidR="002E2092" w:rsidRPr="00F90D0D" w:rsidRDefault="002E2092" w:rsidP="002E2092">
      <w:pPr>
        <w:pStyle w:val="longquote"/>
        <w:rPr>
          <w:rFonts w:eastAsiaTheme="minorEastAsia"/>
        </w:rPr>
      </w:pPr>
      <w:r>
        <w:rPr>
          <w:rFonts w:eastAsiaTheme="minorEastAsia"/>
        </w:rPr>
        <w:t>(L2)</w:t>
      </w:r>
      <w:r>
        <w:rPr>
          <w:rFonts w:eastAsiaTheme="minorEastAsia"/>
        </w:rPr>
        <w:tab/>
        <w:t>with C, A intends to communicate p to B</w:t>
      </w:r>
      <w:r w:rsidRPr="00F90D0D">
        <w:rPr>
          <w:rFonts w:eastAsiaTheme="minorEastAsia"/>
        </w:rPr>
        <w:t xml:space="preserve">; </w:t>
      </w:r>
    </w:p>
    <w:p w14:paraId="194554D1" w14:textId="40889DBD" w:rsidR="002E2092" w:rsidRPr="00F90D0D" w:rsidRDefault="002E2092" w:rsidP="002E2092">
      <w:pPr>
        <w:pStyle w:val="longquote"/>
        <w:rPr>
          <w:rFonts w:eastAsiaTheme="minorEastAsia"/>
        </w:rPr>
      </w:pPr>
      <w:r w:rsidRPr="00F90D0D">
        <w:rPr>
          <w:rFonts w:eastAsiaTheme="minorEastAsia"/>
        </w:rPr>
        <w:t>(L</w:t>
      </w:r>
      <w:r>
        <w:rPr>
          <w:rFonts w:eastAsiaTheme="minorEastAsia"/>
        </w:rPr>
        <w:t>3</w:t>
      </w:r>
      <w:r w:rsidRPr="00F90D0D">
        <w:rPr>
          <w:rFonts w:eastAsiaTheme="minorEastAsia"/>
        </w:rPr>
        <w:t xml:space="preserve">) </w:t>
      </w:r>
      <w:r w:rsidRPr="00F90D0D">
        <w:rPr>
          <w:rFonts w:eastAsiaTheme="minorEastAsia"/>
        </w:rPr>
        <w:tab/>
      </w:r>
      <w:r>
        <w:rPr>
          <w:rFonts w:eastAsiaTheme="minorEastAsia"/>
        </w:rPr>
        <w:t xml:space="preserve">with </w:t>
      </w:r>
      <w:r w:rsidRPr="00F90D0D">
        <w:rPr>
          <w:rFonts w:eastAsiaTheme="minorEastAsia"/>
        </w:rPr>
        <w:t xml:space="preserve">C, A </w:t>
      </w:r>
      <w:r w:rsidRPr="001A5311">
        <w:rPr>
          <w:rFonts w:eastAsiaTheme="minorEastAsia"/>
        </w:rPr>
        <w:t>commit</w:t>
      </w:r>
      <w:r w:rsidR="00657075" w:rsidRPr="001A5311">
        <w:rPr>
          <w:rFonts w:eastAsiaTheme="minorEastAsia"/>
        </w:rPr>
        <w:t>s</w:t>
      </w:r>
      <w:r w:rsidRPr="00F90D0D">
        <w:rPr>
          <w:rFonts w:eastAsiaTheme="minorEastAsia"/>
        </w:rPr>
        <w:t xml:space="preserve"> herself to p; and </w:t>
      </w:r>
    </w:p>
    <w:p w14:paraId="13CDA3F7" w14:textId="1DF6B4D0" w:rsidR="001A5311" w:rsidRDefault="002E2092" w:rsidP="00487742">
      <w:pPr>
        <w:pStyle w:val="longquote"/>
        <w:rPr>
          <w:rFonts w:eastAsiaTheme="minorEastAsia"/>
        </w:rPr>
      </w:pPr>
      <w:r w:rsidRPr="00F90D0D">
        <w:rPr>
          <w:rFonts w:eastAsiaTheme="minorEastAsia"/>
        </w:rPr>
        <w:t>(L</w:t>
      </w:r>
      <w:r>
        <w:rPr>
          <w:rFonts w:eastAsiaTheme="minorEastAsia"/>
        </w:rPr>
        <w:t>4</w:t>
      </w:r>
      <w:r w:rsidRPr="00F90D0D">
        <w:rPr>
          <w:rFonts w:eastAsiaTheme="minorEastAsia"/>
        </w:rPr>
        <w:t>) </w:t>
      </w:r>
      <w:r w:rsidRPr="00F90D0D">
        <w:rPr>
          <w:rFonts w:eastAsiaTheme="minorEastAsia"/>
        </w:rPr>
        <w:tab/>
        <w:t xml:space="preserve">A believes </w:t>
      </w:r>
      <w:r>
        <w:rPr>
          <w:rFonts w:eastAsiaTheme="minorEastAsia"/>
        </w:rPr>
        <w:t xml:space="preserve">that </w:t>
      </w:r>
      <w:r w:rsidRPr="00F90D0D">
        <w:rPr>
          <w:rFonts w:eastAsiaTheme="minorEastAsia"/>
        </w:rPr>
        <w:t>p</w:t>
      </w:r>
      <w:r>
        <w:rPr>
          <w:rFonts w:eastAsiaTheme="minorEastAsia"/>
        </w:rPr>
        <w:t xml:space="preserve"> is</w:t>
      </w:r>
      <w:r w:rsidRPr="00F90D0D">
        <w:rPr>
          <w:rFonts w:eastAsiaTheme="minorEastAsia"/>
        </w:rPr>
        <w:t xml:space="preserve"> false. </w:t>
      </w:r>
    </w:p>
    <w:p w14:paraId="44715D30" w14:textId="6A7B88C5" w:rsidR="001A5311" w:rsidRDefault="001A5311" w:rsidP="009F72DE">
      <w:pPr>
        <w:ind w:firstLine="0"/>
      </w:pPr>
      <w:r>
        <w:t>As</w:t>
      </w:r>
      <w:r w:rsidR="00937855">
        <w:t xml:space="preserve"> the</w:t>
      </w:r>
      <w:r>
        <w:t xml:space="preserve"> two</w:t>
      </w:r>
      <w:r w:rsidR="00937855">
        <w:t xml:space="preserve"> previous definitions, (D4) can be seen as a way of spelling out the assertion-based definition (D1), with (L1)</w:t>
      </w:r>
      <w:r w:rsidR="002E2092">
        <w:t>–</w:t>
      </w:r>
      <w:r w:rsidR="00937855">
        <w:t>(L</w:t>
      </w:r>
      <w:r w:rsidR="002E2092">
        <w:t>3</w:t>
      </w:r>
      <w:r w:rsidR="00937855">
        <w:t xml:space="preserve">) covering the assertive element of lying. But </w:t>
      </w:r>
      <w:r w:rsidR="00341900">
        <w:t xml:space="preserve">(D4) </w:t>
      </w:r>
      <w:r w:rsidR="00937855">
        <w:t>corresponds to a different way of spelling out assertion</w:t>
      </w:r>
      <w:r w:rsidR="00341900">
        <w:t xml:space="preserve">. </w:t>
      </w:r>
      <w:r w:rsidR="005D43A7">
        <w:t xml:space="preserve">Of course, the </w:t>
      </w:r>
      <w:r w:rsidR="002E2092">
        <w:t>third</w:t>
      </w:r>
      <w:r w:rsidR="005D43A7">
        <w:t xml:space="preserve"> clause has the notion of commitment </w:t>
      </w:r>
      <w:r w:rsidR="005D43A7">
        <w:lastRenderedPageBreak/>
        <w:t>as a new addition</w:t>
      </w:r>
      <w:r w:rsidR="00FB7B26">
        <w:t>, and I will turn to that notion shortly.</w:t>
      </w:r>
      <w:r w:rsidR="005D43A7">
        <w:t xml:space="preserve"> But first</w:t>
      </w:r>
      <w:r w:rsidR="00FB7B26">
        <w:t xml:space="preserve"> I want to </w:t>
      </w:r>
      <w:r w:rsidR="005A14BF">
        <w:t xml:space="preserve">comment </w:t>
      </w:r>
      <w:r w:rsidR="00FB7B26">
        <w:t xml:space="preserve">briefly </w:t>
      </w:r>
      <w:r w:rsidR="00723962">
        <w:t>on</w:t>
      </w:r>
      <w:r w:rsidR="00FB7B26">
        <w:t xml:space="preserve"> </w:t>
      </w:r>
      <w:r w:rsidR="00723962">
        <w:t xml:space="preserve">how </w:t>
      </w:r>
      <w:r w:rsidR="00FB7B26">
        <w:t>the first</w:t>
      </w:r>
      <w:r w:rsidR="005D43A7">
        <w:t xml:space="preserve"> </w:t>
      </w:r>
      <w:r w:rsidR="004B353C">
        <w:t xml:space="preserve">two </w:t>
      </w:r>
      <w:r w:rsidR="005D43A7">
        <w:t>clause</w:t>
      </w:r>
      <w:r w:rsidR="004B353C">
        <w:t>s</w:t>
      </w:r>
      <w:r w:rsidR="00723962">
        <w:t xml:space="preserve"> are meant to work</w:t>
      </w:r>
      <w:r>
        <w:t xml:space="preserve">. </w:t>
      </w:r>
    </w:p>
    <w:p w14:paraId="2D927F05" w14:textId="77777777" w:rsidR="00A173A9" w:rsidRDefault="00A173A9" w:rsidP="004B353C">
      <w:pPr>
        <w:ind w:firstLine="0"/>
      </w:pPr>
    </w:p>
    <w:p w14:paraId="17311981" w14:textId="3D26B11B" w:rsidR="00FB7B26" w:rsidRDefault="00E80160" w:rsidP="00E80160">
      <w:r w:rsidRPr="00E80160">
        <w:rPr>
          <w:i/>
          <w:iCs/>
          <w:smallCaps/>
        </w:rPr>
        <w:t>v</w:t>
      </w:r>
      <w:r w:rsidR="004B353C" w:rsidRPr="00E80160">
        <w:rPr>
          <w:i/>
          <w:iCs/>
        </w:rPr>
        <w:t>.1</w:t>
      </w:r>
      <w:r>
        <w:rPr>
          <w:i/>
          <w:iCs/>
        </w:rPr>
        <w:t>.</w:t>
      </w:r>
      <w:r w:rsidR="004B353C" w:rsidRPr="00E80160">
        <w:rPr>
          <w:i/>
          <w:iCs/>
        </w:rPr>
        <w:t xml:space="preserve"> Introducing </w:t>
      </w:r>
      <w:r w:rsidR="00F015F3">
        <w:rPr>
          <w:i/>
          <w:iCs/>
        </w:rPr>
        <w:t>C</w:t>
      </w:r>
      <w:r w:rsidR="004B353C" w:rsidRPr="00E80160">
        <w:rPr>
          <w:i/>
          <w:iCs/>
        </w:rPr>
        <w:t>o</w:t>
      </w:r>
      <w:r w:rsidR="00F015F3">
        <w:rPr>
          <w:i/>
          <w:iCs/>
        </w:rPr>
        <w:t>n</w:t>
      </w:r>
      <w:r w:rsidR="004B353C" w:rsidRPr="00E80160">
        <w:rPr>
          <w:i/>
          <w:iCs/>
        </w:rPr>
        <w:t xml:space="preserve">tent and </w:t>
      </w:r>
      <w:r w:rsidR="00F015F3">
        <w:rPr>
          <w:i/>
          <w:iCs/>
        </w:rPr>
        <w:t>I</w:t>
      </w:r>
      <w:r w:rsidR="009F3DC9" w:rsidRPr="00E80160">
        <w:rPr>
          <w:i/>
          <w:iCs/>
        </w:rPr>
        <w:t xml:space="preserve">ntending to </w:t>
      </w:r>
      <w:r w:rsidR="00F015F3">
        <w:rPr>
          <w:i/>
          <w:iCs/>
        </w:rPr>
        <w:t>C</w:t>
      </w:r>
      <w:r w:rsidR="004B353C" w:rsidRPr="00E80160">
        <w:rPr>
          <w:i/>
          <w:iCs/>
        </w:rPr>
        <w:t>ommunicat</w:t>
      </w:r>
      <w:r w:rsidR="009F3DC9" w:rsidRPr="00E80160">
        <w:rPr>
          <w:i/>
          <w:iCs/>
        </w:rPr>
        <w:t>e</w:t>
      </w:r>
      <w:r w:rsidR="004B353C" w:rsidRPr="00E80160">
        <w:rPr>
          <w:i/>
          <w:iCs/>
        </w:rPr>
        <w:t xml:space="preserve"> </w:t>
      </w:r>
      <w:r w:rsidR="00F015F3">
        <w:rPr>
          <w:i/>
          <w:iCs/>
        </w:rPr>
        <w:t>C</w:t>
      </w:r>
      <w:r w:rsidR="004B353C" w:rsidRPr="00E80160">
        <w:rPr>
          <w:i/>
          <w:iCs/>
        </w:rPr>
        <w:t>ontent</w:t>
      </w:r>
      <w:r>
        <w:rPr>
          <w:i/>
          <w:iCs/>
        </w:rPr>
        <w:t xml:space="preserve">. </w:t>
      </w:r>
      <w:r w:rsidR="000D139A">
        <w:t xml:space="preserve">The first clause requires </w:t>
      </w:r>
      <w:r w:rsidR="00841DDB">
        <w:t xml:space="preserve">liars </w:t>
      </w:r>
      <w:r w:rsidR="000D139A">
        <w:t xml:space="preserve">to perform a communicative act with a certain </w:t>
      </w:r>
      <w:r w:rsidR="00DD4A9E">
        <w:t xml:space="preserve">proposition as </w:t>
      </w:r>
      <w:r w:rsidR="000D139A">
        <w:t>content</w:t>
      </w:r>
      <w:r w:rsidR="001A5311">
        <w:t>.</w:t>
      </w:r>
      <w:r w:rsidR="00211B3D">
        <w:t xml:space="preserve"> </w:t>
      </w:r>
      <w:r w:rsidR="00FB7B26">
        <w:t xml:space="preserve">The idea here is that it does not matter </w:t>
      </w:r>
      <w:r w:rsidR="00391AA5">
        <w:t xml:space="preserve">how </w:t>
      </w:r>
      <w:r>
        <w:t>the</w:t>
      </w:r>
      <w:r w:rsidR="00391AA5">
        <w:t xml:space="preserve"> content is introduced, </w:t>
      </w:r>
      <w:r w:rsidR="00774B4B">
        <w:t>that is,</w:t>
      </w:r>
      <w:r w:rsidR="00391AA5">
        <w:t xml:space="preserve"> whether it is introduced as semantic content of a sentence uttered, whether it is implicated or presupposed</w:t>
      </w:r>
      <w:r w:rsidR="002F1278">
        <w:t>, or whether it is introduced in some other way (possibly as the content of a picture that is presented)</w:t>
      </w:r>
      <w:r w:rsidR="00391AA5">
        <w:t xml:space="preserve">. What matters is that </w:t>
      </w:r>
      <w:r w:rsidR="00831190">
        <w:t>a</w:t>
      </w:r>
      <w:r w:rsidR="00391AA5">
        <w:t xml:space="preserve"> communicative act is performed that is associated with a certain content</w:t>
      </w:r>
      <w:r w:rsidR="004F05D5">
        <w:t xml:space="preserve">. </w:t>
      </w:r>
      <w:r w:rsidR="00F03232">
        <w:t>Let me also note that many</w:t>
      </w:r>
      <w:r w:rsidR="004F05D5">
        <w:t xml:space="preserve"> communicative act</w:t>
      </w:r>
      <w:r w:rsidR="00F03232">
        <w:t>s</w:t>
      </w:r>
      <w:r w:rsidR="004F05D5">
        <w:t xml:space="preserve"> </w:t>
      </w:r>
      <w:r w:rsidR="00F03232">
        <w:t>are</w:t>
      </w:r>
      <w:r w:rsidR="004F05D5">
        <w:t xml:space="preserve"> associated with multiple contents. For example, if a linguistic communicative act involves an implicature, then it is associated with a certain semantic content, with a certain implicated content and probably also with </w:t>
      </w:r>
      <w:r w:rsidR="00830D4A">
        <w:t>several presupposed contents</w:t>
      </w:r>
      <w:r w:rsidR="00391AA5">
        <w:t xml:space="preserve">. </w:t>
      </w:r>
    </w:p>
    <w:p w14:paraId="48892FAA" w14:textId="4C037785" w:rsidR="002C4CAA" w:rsidRDefault="00F75ADB" w:rsidP="00F75ADB">
      <w:pPr>
        <w:rPr>
          <w:rFonts w:eastAsiaTheme="minorEastAsia"/>
        </w:rPr>
      </w:pPr>
      <w:r>
        <w:rPr>
          <w:rFonts w:eastAsiaTheme="minorEastAsia"/>
        </w:rPr>
        <w:t xml:space="preserve">The second clause of (D4) </w:t>
      </w:r>
      <w:r w:rsidR="00841DDB">
        <w:rPr>
          <w:rFonts w:eastAsiaTheme="minorEastAsia"/>
        </w:rPr>
        <w:t>asks for</w:t>
      </w:r>
      <w:r>
        <w:rPr>
          <w:rFonts w:eastAsiaTheme="minorEastAsia"/>
        </w:rPr>
        <w:t xml:space="preserve"> </w:t>
      </w:r>
      <w:r w:rsidR="000D139A">
        <w:rPr>
          <w:rFonts w:eastAsiaTheme="minorEastAsia"/>
        </w:rPr>
        <w:t>an</w:t>
      </w:r>
      <w:r>
        <w:rPr>
          <w:rFonts w:eastAsiaTheme="minorEastAsia"/>
        </w:rPr>
        <w:t xml:space="preserve"> inte</w:t>
      </w:r>
      <w:r w:rsidR="000D139A">
        <w:rPr>
          <w:rFonts w:eastAsiaTheme="minorEastAsia"/>
        </w:rPr>
        <w:t>ntion</w:t>
      </w:r>
      <w:r>
        <w:rPr>
          <w:rFonts w:eastAsiaTheme="minorEastAsia"/>
        </w:rPr>
        <w:t xml:space="preserve"> to communicate </w:t>
      </w:r>
      <w:r w:rsidR="000D139A">
        <w:rPr>
          <w:rFonts w:eastAsiaTheme="minorEastAsia"/>
        </w:rPr>
        <w:t xml:space="preserve">the </w:t>
      </w:r>
      <w:r>
        <w:rPr>
          <w:rFonts w:eastAsiaTheme="minorEastAsia"/>
        </w:rPr>
        <w:t>content</w:t>
      </w:r>
      <w:r w:rsidR="000D139A">
        <w:rPr>
          <w:rFonts w:eastAsiaTheme="minorEastAsia"/>
        </w:rPr>
        <w:t xml:space="preserve"> in question</w:t>
      </w:r>
      <w:r>
        <w:rPr>
          <w:rFonts w:eastAsiaTheme="minorEastAsia"/>
        </w:rPr>
        <w:t xml:space="preserve">. </w:t>
      </w:r>
      <w:r w:rsidR="00F07C8F">
        <w:rPr>
          <w:rFonts w:eastAsiaTheme="minorEastAsia"/>
        </w:rPr>
        <w:t xml:space="preserve">How must this intention be understood? One option is to make use of Stalnaker’s notion of </w:t>
      </w:r>
      <w:r w:rsidR="009F3DC9">
        <w:rPr>
          <w:rFonts w:eastAsiaTheme="minorEastAsia"/>
        </w:rPr>
        <w:t>a proposal to u</w:t>
      </w:r>
      <w:r w:rsidR="00F07C8F">
        <w:rPr>
          <w:rFonts w:eastAsiaTheme="minorEastAsia"/>
        </w:rPr>
        <w:t>pdat</w:t>
      </w:r>
      <w:r w:rsidR="009F3DC9">
        <w:rPr>
          <w:rFonts w:eastAsiaTheme="minorEastAsia"/>
        </w:rPr>
        <w:t>e</w:t>
      </w:r>
      <w:r w:rsidR="00F07C8F">
        <w:rPr>
          <w:rFonts w:eastAsiaTheme="minorEastAsia"/>
        </w:rPr>
        <w:t xml:space="preserve"> the common ground: an intention to communicate p could simply be construed as an intention to </w:t>
      </w:r>
      <w:r w:rsidR="009F3DC9">
        <w:rPr>
          <w:rFonts w:eastAsiaTheme="minorEastAsia"/>
        </w:rPr>
        <w:t xml:space="preserve">propose </w:t>
      </w:r>
      <w:r w:rsidR="00841DDB">
        <w:rPr>
          <w:rFonts w:eastAsiaTheme="minorEastAsia"/>
        </w:rPr>
        <w:t xml:space="preserve">p as </w:t>
      </w:r>
      <w:r w:rsidR="009F3DC9">
        <w:rPr>
          <w:rFonts w:eastAsiaTheme="minorEastAsia"/>
        </w:rPr>
        <w:t xml:space="preserve">an </w:t>
      </w:r>
      <w:r w:rsidR="00F07C8F">
        <w:rPr>
          <w:rFonts w:eastAsiaTheme="minorEastAsia"/>
        </w:rPr>
        <w:t>update</w:t>
      </w:r>
      <w:r w:rsidR="000D139A">
        <w:rPr>
          <w:rFonts w:eastAsiaTheme="minorEastAsia"/>
        </w:rPr>
        <w:t xml:space="preserve"> to</w:t>
      </w:r>
      <w:r w:rsidR="00F07C8F">
        <w:rPr>
          <w:rFonts w:eastAsiaTheme="minorEastAsia"/>
        </w:rPr>
        <w:t xml:space="preserve"> the (official) common ground.</w:t>
      </w:r>
      <w:r w:rsidR="00F07C8F">
        <w:rPr>
          <w:rStyle w:val="FootnoteReference"/>
          <w:rFonts w:eastAsiaTheme="minorEastAsia"/>
        </w:rPr>
        <w:footnoteReference w:id="37"/>
      </w:r>
      <w:r w:rsidR="00F07C8F">
        <w:rPr>
          <w:rFonts w:eastAsiaTheme="minorEastAsia"/>
        </w:rPr>
        <w:t xml:space="preserve"> Another option</w:t>
      </w:r>
      <w:r w:rsidR="009A1F97">
        <w:rPr>
          <w:rFonts w:eastAsiaTheme="minorEastAsia"/>
        </w:rPr>
        <w:t xml:space="preserve"> (that is not tied to Stalnaker’s account)</w:t>
      </w:r>
      <w:r w:rsidR="000D139A">
        <w:rPr>
          <w:rFonts w:eastAsiaTheme="minorEastAsia"/>
        </w:rPr>
        <w:t xml:space="preserve"> is </w:t>
      </w:r>
      <w:r w:rsidR="00841DDB">
        <w:rPr>
          <w:rFonts w:eastAsiaTheme="minorEastAsia"/>
        </w:rPr>
        <w:t xml:space="preserve">to spell out </w:t>
      </w:r>
      <w:r w:rsidR="009A1F97">
        <w:rPr>
          <w:rFonts w:eastAsiaTheme="minorEastAsia"/>
        </w:rPr>
        <w:t>an</w:t>
      </w:r>
      <w:r w:rsidR="00841DDB">
        <w:rPr>
          <w:rFonts w:eastAsiaTheme="minorEastAsia"/>
        </w:rPr>
        <w:t xml:space="preserve"> intention</w:t>
      </w:r>
      <w:r w:rsidR="009A1F97">
        <w:rPr>
          <w:rFonts w:eastAsiaTheme="minorEastAsia"/>
        </w:rPr>
        <w:t xml:space="preserve"> to communicate p</w:t>
      </w:r>
      <w:r w:rsidR="00841DDB">
        <w:rPr>
          <w:rFonts w:eastAsiaTheme="minorEastAsia"/>
        </w:rPr>
        <w:t xml:space="preserve"> as an</w:t>
      </w:r>
      <w:r w:rsidR="00F07C8F">
        <w:rPr>
          <w:rFonts w:eastAsiaTheme="minorEastAsia"/>
        </w:rPr>
        <w:t xml:space="preserve"> </w:t>
      </w:r>
      <w:r w:rsidR="005C1766">
        <w:rPr>
          <w:rFonts w:eastAsiaTheme="minorEastAsia"/>
        </w:rPr>
        <w:t>inten</w:t>
      </w:r>
      <w:r w:rsidR="00841DDB">
        <w:rPr>
          <w:rFonts w:eastAsiaTheme="minorEastAsia"/>
        </w:rPr>
        <w:t>tion</w:t>
      </w:r>
      <w:r w:rsidR="005C1766">
        <w:rPr>
          <w:rFonts w:eastAsiaTheme="minorEastAsia"/>
        </w:rPr>
        <w:t xml:space="preserve"> to put </w:t>
      </w:r>
      <w:r w:rsidR="00335368">
        <w:rPr>
          <w:rFonts w:eastAsiaTheme="minorEastAsia"/>
        </w:rPr>
        <w:t xml:space="preserve">p </w:t>
      </w:r>
      <w:r w:rsidR="005C1766">
        <w:rPr>
          <w:rFonts w:eastAsiaTheme="minorEastAsia"/>
        </w:rPr>
        <w:t>forward</w:t>
      </w:r>
      <w:r w:rsidR="00335368">
        <w:rPr>
          <w:rFonts w:eastAsiaTheme="minorEastAsia"/>
        </w:rPr>
        <w:t xml:space="preserve"> </w:t>
      </w:r>
      <w:r w:rsidR="009A1F97">
        <w:rPr>
          <w:rFonts w:eastAsiaTheme="minorEastAsia"/>
        </w:rPr>
        <w:t xml:space="preserve">as information. </w:t>
      </w:r>
      <w:r w:rsidR="002C4CAA">
        <w:rPr>
          <w:rFonts w:eastAsiaTheme="minorEastAsia"/>
        </w:rPr>
        <w:t xml:space="preserve">I will remain neutral between these options and on their exact </w:t>
      </w:r>
      <w:proofErr w:type="gramStart"/>
      <w:r w:rsidR="002C4CAA">
        <w:rPr>
          <w:rFonts w:eastAsiaTheme="minorEastAsia"/>
        </w:rPr>
        <w:t>details, but</w:t>
      </w:r>
      <w:proofErr w:type="gramEnd"/>
      <w:r w:rsidR="002C4CAA">
        <w:rPr>
          <w:rFonts w:eastAsiaTheme="minorEastAsia"/>
        </w:rPr>
        <w:t xml:space="preserve"> want to mention two aspects that are important in the context of the definition. </w:t>
      </w:r>
    </w:p>
    <w:p w14:paraId="08FC0205" w14:textId="66702BAB" w:rsidR="00FD4C0B" w:rsidRDefault="002C4CAA" w:rsidP="00F75ADB">
      <w:pPr>
        <w:rPr>
          <w:rFonts w:eastAsiaTheme="minorEastAsia"/>
        </w:rPr>
      </w:pPr>
      <w:r>
        <w:rPr>
          <w:rFonts w:eastAsiaTheme="minorEastAsia"/>
        </w:rPr>
        <w:t xml:space="preserve">Firstly, </w:t>
      </w:r>
      <w:r w:rsidR="00FD4C0B">
        <w:rPr>
          <w:rFonts w:eastAsiaTheme="minorEastAsia"/>
        </w:rPr>
        <w:t xml:space="preserve">by </w:t>
      </w:r>
      <w:r w:rsidR="00EE066E">
        <w:rPr>
          <w:rFonts w:eastAsiaTheme="minorEastAsia"/>
        </w:rPr>
        <w:t>ascribing an</w:t>
      </w:r>
      <w:r w:rsidR="00FD4C0B">
        <w:rPr>
          <w:rFonts w:eastAsiaTheme="minorEastAsia"/>
        </w:rPr>
        <w:t xml:space="preserve"> inten</w:t>
      </w:r>
      <w:r w:rsidR="00EE066E">
        <w:rPr>
          <w:rFonts w:eastAsiaTheme="minorEastAsia"/>
        </w:rPr>
        <w:t>tion</w:t>
      </w:r>
      <w:r>
        <w:rPr>
          <w:rFonts w:eastAsiaTheme="minorEastAsia"/>
        </w:rPr>
        <w:t xml:space="preserve"> to communicate </w:t>
      </w:r>
      <w:r w:rsidR="00FD4C0B">
        <w:rPr>
          <w:rFonts w:eastAsiaTheme="minorEastAsia"/>
        </w:rPr>
        <w:t xml:space="preserve">something, we are not saying anything about the </w:t>
      </w:r>
      <w:r w:rsidR="00FD4C0B" w:rsidRPr="00FD4C0B">
        <w:rPr>
          <w:rFonts w:eastAsiaTheme="minorEastAsia"/>
          <w:i/>
          <w:iCs/>
        </w:rPr>
        <w:t>strength</w:t>
      </w:r>
      <w:r w:rsidR="00FD4C0B">
        <w:rPr>
          <w:rFonts w:eastAsiaTheme="minorEastAsia"/>
        </w:rPr>
        <w:t xml:space="preserve"> of the</w:t>
      </w:r>
      <w:r>
        <w:rPr>
          <w:rFonts w:eastAsiaTheme="minorEastAsia"/>
        </w:rPr>
        <w:t xml:space="preserve"> </w:t>
      </w:r>
      <w:r w:rsidR="00FD4C0B">
        <w:rPr>
          <w:rFonts w:eastAsiaTheme="minorEastAsia"/>
        </w:rPr>
        <w:t>intended proposal or putting forward. For example, an agent intending to communicate p could be intending to assert p (</w:t>
      </w:r>
      <w:r w:rsidR="00EE066E">
        <w:rPr>
          <w:rFonts w:eastAsiaTheme="minorEastAsia"/>
        </w:rPr>
        <w:t>that is,</w:t>
      </w:r>
      <w:r w:rsidR="00FD4C0B">
        <w:rPr>
          <w:rFonts w:eastAsiaTheme="minorEastAsia"/>
        </w:rPr>
        <w:t xml:space="preserve"> to put p forward in a strong way) or the agent could be intending to conjecture p (</w:t>
      </w:r>
      <w:r w:rsidR="00EE066E">
        <w:rPr>
          <w:rFonts w:eastAsiaTheme="minorEastAsia"/>
        </w:rPr>
        <w:t>that is,</w:t>
      </w:r>
      <w:r w:rsidR="00FD4C0B">
        <w:rPr>
          <w:rFonts w:eastAsiaTheme="minorEastAsia"/>
        </w:rPr>
        <w:t xml:space="preserve"> to put p forward in a weaker way). </w:t>
      </w:r>
      <w:r w:rsidR="00A41566">
        <w:rPr>
          <w:rFonts w:eastAsiaTheme="minorEastAsia"/>
        </w:rPr>
        <w:t xml:space="preserve">An intention to communicate is thus neutral with respect to the strength of the associated communicative act. </w:t>
      </w:r>
    </w:p>
    <w:p w14:paraId="7D6320D3" w14:textId="1C0396EE" w:rsidR="00A41566" w:rsidRDefault="00FD4C0B" w:rsidP="00F63B3C">
      <w:pPr>
        <w:rPr>
          <w:rFonts w:eastAsiaTheme="minorEastAsia"/>
        </w:rPr>
      </w:pPr>
      <w:r>
        <w:rPr>
          <w:rFonts w:eastAsiaTheme="minorEastAsia"/>
        </w:rPr>
        <w:t xml:space="preserve">Secondly, agents do not intend to communicate </w:t>
      </w:r>
      <w:r w:rsidR="0031113C">
        <w:rPr>
          <w:rFonts w:eastAsiaTheme="minorEastAsia"/>
        </w:rPr>
        <w:t>p</w:t>
      </w:r>
      <w:r>
        <w:rPr>
          <w:rFonts w:eastAsiaTheme="minorEastAsia"/>
        </w:rPr>
        <w:t xml:space="preserve"> (in the sense that is relevant here) if they </w:t>
      </w:r>
      <w:r w:rsidR="00F63B3C">
        <w:rPr>
          <w:rFonts w:eastAsiaTheme="minorEastAsia"/>
        </w:rPr>
        <w:t>(</w:t>
      </w:r>
      <w:proofErr w:type="spellStart"/>
      <w:r w:rsidR="00F63B3C">
        <w:rPr>
          <w:rFonts w:eastAsiaTheme="minorEastAsia"/>
        </w:rPr>
        <w:t>i</w:t>
      </w:r>
      <w:proofErr w:type="spellEnd"/>
      <w:r w:rsidR="00F63B3C">
        <w:rPr>
          <w:rFonts w:eastAsiaTheme="minorEastAsia"/>
        </w:rPr>
        <w:t xml:space="preserve">) </w:t>
      </w:r>
      <w:r>
        <w:rPr>
          <w:rFonts w:eastAsiaTheme="minorEastAsia"/>
        </w:rPr>
        <w:t xml:space="preserve">introduce </w:t>
      </w:r>
      <w:r w:rsidR="0031113C">
        <w:rPr>
          <w:rFonts w:eastAsiaTheme="minorEastAsia"/>
        </w:rPr>
        <w:t xml:space="preserve">p as a </w:t>
      </w:r>
      <w:r>
        <w:rPr>
          <w:rFonts w:eastAsiaTheme="minorEastAsia"/>
        </w:rPr>
        <w:t>supposition or assumption</w:t>
      </w:r>
      <w:r w:rsidR="0031113C">
        <w:rPr>
          <w:rFonts w:eastAsiaTheme="minorEastAsia"/>
        </w:rPr>
        <w:t>, or</w:t>
      </w:r>
      <w:r w:rsidR="00F63B3C">
        <w:rPr>
          <w:rFonts w:eastAsiaTheme="minorEastAsia"/>
        </w:rPr>
        <w:t xml:space="preserve"> </w:t>
      </w:r>
      <w:r w:rsidR="0031113C">
        <w:rPr>
          <w:rFonts w:eastAsiaTheme="minorEastAsia"/>
        </w:rPr>
        <w:t>if they</w:t>
      </w:r>
      <w:r w:rsidR="00D16D09">
        <w:rPr>
          <w:rFonts w:eastAsiaTheme="minorEastAsia"/>
        </w:rPr>
        <w:t xml:space="preserve"> (ii)</w:t>
      </w:r>
      <w:r w:rsidR="0031113C">
        <w:rPr>
          <w:rFonts w:eastAsiaTheme="minorEastAsia"/>
        </w:rPr>
        <w:t xml:space="preserve"> presuppose p while taking p to be common ground. </w:t>
      </w:r>
      <w:r w:rsidR="00F63B3C">
        <w:rPr>
          <w:rFonts w:eastAsiaTheme="minorEastAsia"/>
        </w:rPr>
        <w:t>On (</w:t>
      </w:r>
      <w:proofErr w:type="spellStart"/>
      <w:r w:rsidR="00F63B3C">
        <w:rPr>
          <w:rFonts w:eastAsiaTheme="minorEastAsia"/>
        </w:rPr>
        <w:t>i</w:t>
      </w:r>
      <w:proofErr w:type="spellEnd"/>
      <w:r w:rsidR="00F63B3C">
        <w:rPr>
          <w:rFonts w:eastAsiaTheme="minorEastAsia"/>
        </w:rPr>
        <w:t xml:space="preserve">): If I </w:t>
      </w:r>
      <w:proofErr w:type="gramStart"/>
      <w:r w:rsidR="00F63B3C">
        <w:rPr>
          <w:rFonts w:eastAsiaTheme="minorEastAsia"/>
        </w:rPr>
        <w:t>say</w:t>
      </w:r>
      <w:proofErr w:type="gramEnd"/>
      <w:r w:rsidR="00F63B3C">
        <w:rPr>
          <w:rFonts w:eastAsiaTheme="minorEastAsia"/>
        </w:rPr>
        <w:t xml:space="preserve"> “Suppose that the earth is flat</w:t>
      </w:r>
      <w:r w:rsidR="00D16D09">
        <w:rPr>
          <w:rFonts w:eastAsiaTheme="minorEastAsia"/>
        </w:rPr>
        <w:t>,</w:t>
      </w:r>
      <w:r w:rsidR="00F63B3C">
        <w:rPr>
          <w:rFonts w:eastAsiaTheme="minorEastAsia"/>
        </w:rPr>
        <w:t xml:space="preserve">” it is not my intention to add the proposition that the earth is flat to the (official) common ground or to put forward that proposition as information. Rather, I am introducing the proposition as a supposition. </w:t>
      </w:r>
      <w:r w:rsidR="00A41566">
        <w:rPr>
          <w:rFonts w:eastAsiaTheme="minorEastAsia"/>
        </w:rPr>
        <w:t xml:space="preserve">In such a case, the second clause would </w:t>
      </w:r>
      <w:r w:rsidR="005A14BF">
        <w:rPr>
          <w:rFonts w:eastAsiaTheme="minorEastAsia"/>
        </w:rPr>
        <w:t>therefore</w:t>
      </w:r>
      <w:r w:rsidR="00A41566">
        <w:rPr>
          <w:rFonts w:eastAsiaTheme="minorEastAsia"/>
        </w:rPr>
        <w:t xml:space="preserve"> not be fulfilled. </w:t>
      </w:r>
      <w:r w:rsidR="00F63B3C">
        <w:rPr>
          <w:rFonts w:eastAsiaTheme="minorEastAsia"/>
        </w:rPr>
        <w:t>On (ii):</w:t>
      </w:r>
      <w:r w:rsidR="00F75ADB">
        <w:rPr>
          <w:rFonts w:eastAsiaTheme="minorEastAsia"/>
        </w:rPr>
        <w:t xml:space="preserve"> </w:t>
      </w:r>
      <w:r w:rsidR="00F63B3C">
        <w:rPr>
          <w:rFonts w:eastAsiaTheme="minorEastAsia"/>
        </w:rPr>
        <w:t>I</w:t>
      </w:r>
      <w:r w:rsidR="00F75ADB">
        <w:rPr>
          <w:rFonts w:eastAsiaTheme="minorEastAsia"/>
        </w:rPr>
        <w:t>f Anne believes that Claire has a brother (and believes that Bert shares this belief), she might ask Bert</w:t>
      </w:r>
      <w:r w:rsidR="00F63B3C">
        <w:rPr>
          <w:rFonts w:eastAsiaTheme="minorEastAsia"/>
        </w:rPr>
        <w:t>:</w:t>
      </w:r>
      <w:r w:rsidR="00F75ADB">
        <w:rPr>
          <w:rFonts w:eastAsiaTheme="minorEastAsia"/>
        </w:rPr>
        <w:t xml:space="preserve"> </w:t>
      </w:r>
      <w:r w:rsidR="00F63B3C">
        <w:rPr>
          <w:rFonts w:eastAsiaTheme="minorEastAsia"/>
        </w:rPr>
        <w:t>“</w:t>
      </w:r>
      <w:r w:rsidR="00F75ADB">
        <w:rPr>
          <w:rFonts w:eastAsiaTheme="minorEastAsia"/>
        </w:rPr>
        <w:t>What does Claire’s brother do for a living?</w:t>
      </w:r>
      <w:r w:rsidR="00F63B3C">
        <w:rPr>
          <w:rFonts w:eastAsiaTheme="minorEastAsia"/>
        </w:rPr>
        <w:t xml:space="preserve">” </w:t>
      </w:r>
      <w:r w:rsidR="00F75ADB">
        <w:rPr>
          <w:rFonts w:eastAsiaTheme="minorEastAsia"/>
        </w:rPr>
        <w:t>Anne thereby presupposes that Claire has a brother</w:t>
      </w:r>
      <w:r w:rsidR="00A41566">
        <w:rPr>
          <w:rFonts w:eastAsiaTheme="minorEastAsia"/>
        </w:rPr>
        <w:t>, but she</w:t>
      </w:r>
      <w:r w:rsidR="00F75ADB">
        <w:rPr>
          <w:rFonts w:eastAsiaTheme="minorEastAsia"/>
        </w:rPr>
        <w:t xml:space="preserve"> clearly does not intend to communicate that </w:t>
      </w:r>
      <w:r w:rsidR="00F03232">
        <w:rPr>
          <w:rFonts w:eastAsiaTheme="minorEastAsia"/>
        </w:rPr>
        <w:t xml:space="preserve">Claire </w:t>
      </w:r>
      <w:r w:rsidR="00F75ADB">
        <w:rPr>
          <w:rFonts w:eastAsiaTheme="minorEastAsia"/>
        </w:rPr>
        <w:t>has a brother.</w:t>
      </w:r>
      <w:r w:rsidR="003C2DE5">
        <w:rPr>
          <w:rFonts w:eastAsiaTheme="minorEastAsia"/>
        </w:rPr>
        <w:t xml:space="preserve"> Again, this fits with both options mentioned above, as there is no intention to propose</w:t>
      </w:r>
      <w:r w:rsidR="00C20CCD">
        <w:rPr>
          <w:rFonts w:eastAsiaTheme="minorEastAsia"/>
        </w:rPr>
        <w:t xml:space="preserve"> the proposition that Claire has a brother as</w:t>
      </w:r>
      <w:r w:rsidR="003C2DE5">
        <w:rPr>
          <w:rFonts w:eastAsiaTheme="minorEastAsia"/>
        </w:rPr>
        <w:t xml:space="preserve"> an update to the (official) common ground or to put </w:t>
      </w:r>
      <w:r w:rsidR="00C20CCD">
        <w:rPr>
          <w:rFonts w:eastAsiaTheme="minorEastAsia"/>
        </w:rPr>
        <w:t xml:space="preserve">it </w:t>
      </w:r>
      <w:r w:rsidR="003C2DE5">
        <w:rPr>
          <w:rFonts w:eastAsiaTheme="minorEastAsia"/>
        </w:rPr>
        <w:t xml:space="preserve">forward </w:t>
      </w:r>
      <w:r w:rsidR="00C20CCD">
        <w:rPr>
          <w:rFonts w:eastAsiaTheme="minorEastAsia"/>
        </w:rPr>
        <w:t xml:space="preserve">as </w:t>
      </w:r>
      <w:r w:rsidR="003C2DE5">
        <w:rPr>
          <w:rFonts w:eastAsiaTheme="minorEastAsia"/>
        </w:rPr>
        <w:t>information.</w:t>
      </w:r>
      <w:r w:rsidR="00D17A25">
        <w:rPr>
          <w:rStyle w:val="FootnoteReference"/>
          <w:rFonts w:eastAsiaTheme="minorEastAsia"/>
        </w:rPr>
        <w:footnoteReference w:id="38"/>
      </w:r>
      <w:r w:rsidR="003C2DE5">
        <w:rPr>
          <w:rFonts w:eastAsiaTheme="minorEastAsia"/>
        </w:rPr>
        <w:t xml:space="preserve"> </w:t>
      </w:r>
    </w:p>
    <w:p w14:paraId="54884871" w14:textId="598C36F7" w:rsidR="00A41566" w:rsidRDefault="00A41566" w:rsidP="00F63B3C">
      <w:pPr>
        <w:rPr>
          <w:rFonts w:eastAsiaTheme="minorEastAsia"/>
        </w:rPr>
      </w:pPr>
      <w:r>
        <w:rPr>
          <w:rFonts w:eastAsiaTheme="minorEastAsia"/>
        </w:rPr>
        <w:lastRenderedPageBreak/>
        <w:t>I am aware that these remarks are quite brief, but I hope that they give a good enough idea of how the</w:t>
      </w:r>
      <w:r w:rsidR="008015AC">
        <w:rPr>
          <w:rFonts w:eastAsiaTheme="minorEastAsia"/>
        </w:rPr>
        <w:t xml:space="preserve"> first two</w:t>
      </w:r>
      <w:r>
        <w:rPr>
          <w:rFonts w:eastAsiaTheme="minorEastAsia"/>
        </w:rPr>
        <w:t xml:space="preserve"> clauses are meant to work. I am also open to </w:t>
      </w:r>
      <w:r w:rsidR="005E5256">
        <w:rPr>
          <w:rFonts w:eastAsiaTheme="minorEastAsia"/>
        </w:rPr>
        <w:t xml:space="preserve">different ways of phrasing these clauses. </w:t>
      </w:r>
      <w:r w:rsidR="00F03232">
        <w:rPr>
          <w:rFonts w:eastAsiaTheme="minorEastAsia"/>
        </w:rPr>
        <w:t>Mo</w:t>
      </w:r>
      <w:r w:rsidR="00335368">
        <w:rPr>
          <w:rFonts w:eastAsiaTheme="minorEastAsia"/>
        </w:rPr>
        <w:t>re</w:t>
      </w:r>
      <w:r w:rsidR="00F03232">
        <w:rPr>
          <w:rFonts w:eastAsiaTheme="minorEastAsia"/>
        </w:rPr>
        <w:t xml:space="preserve"> important</w:t>
      </w:r>
      <w:r w:rsidR="005E5256">
        <w:rPr>
          <w:rFonts w:eastAsiaTheme="minorEastAsia"/>
        </w:rPr>
        <w:t xml:space="preserve"> is the notion of commitment, which I will turn to now. </w:t>
      </w:r>
    </w:p>
    <w:p w14:paraId="7BFF8986" w14:textId="20E36EF9" w:rsidR="00211B3D" w:rsidRDefault="00211B3D" w:rsidP="00211B3D">
      <w:pPr>
        <w:ind w:firstLine="0"/>
      </w:pPr>
    </w:p>
    <w:p w14:paraId="04DA16BB" w14:textId="0ECD6E7B" w:rsidR="008015AC" w:rsidRDefault="00F015F3" w:rsidP="00F015F3">
      <w:r w:rsidRPr="00F015F3">
        <w:rPr>
          <w:bCs/>
          <w:i/>
          <w:iCs/>
          <w:smallCaps/>
        </w:rPr>
        <w:t>v</w:t>
      </w:r>
      <w:r w:rsidR="009F3DC9" w:rsidRPr="00F015F3">
        <w:rPr>
          <w:bCs/>
          <w:i/>
          <w:iCs/>
        </w:rPr>
        <w:t>.2</w:t>
      </w:r>
      <w:r>
        <w:rPr>
          <w:bCs/>
          <w:i/>
          <w:iCs/>
        </w:rPr>
        <w:t>.</w:t>
      </w:r>
      <w:r w:rsidR="009F3DC9" w:rsidRPr="00F015F3">
        <w:rPr>
          <w:bCs/>
          <w:i/>
          <w:iCs/>
        </w:rPr>
        <w:t xml:space="preserve"> </w:t>
      </w:r>
      <w:r w:rsidR="005363E1" w:rsidRPr="00F015F3">
        <w:rPr>
          <w:bCs/>
          <w:i/>
          <w:iCs/>
        </w:rPr>
        <w:t xml:space="preserve">The </w:t>
      </w:r>
      <w:r>
        <w:rPr>
          <w:bCs/>
          <w:i/>
          <w:iCs/>
        </w:rPr>
        <w:t>C</w:t>
      </w:r>
      <w:r w:rsidR="009F3DC9" w:rsidRPr="00F015F3">
        <w:rPr>
          <w:bCs/>
          <w:i/>
          <w:iCs/>
        </w:rPr>
        <w:t>ommitment</w:t>
      </w:r>
      <w:r w:rsidR="005363E1" w:rsidRPr="00F015F3">
        <w:rPr>
          <w:bCs/>
          <w:i/>
          <w:iCs/>
        </w:rPr>
        <w:t xml:space="preserve"> in </w:t>
      </w:r>
      <w:r>
        <w:rPr>
          <w:bCs/>
          <w:i/>
          <w:iCs/>
        </w:rPr>
        <w:t>L</w:t>
      </w:r>
      <w:r w:rsidR="005363E1" w:rsidRPr="00F015F3">
        <w:rPr>
          <w:bCs/>
          <w:i/>
          <w:iCs/>
        </w:rPr>
        <w:t>ying</w:t>
      </w:r>
      <w:r>
        <w:rPr>
          <w:bCs/>
          <w:i/>
          <w:iCs/>
        </w:rPr>
        <w:t>.</w:t>
      </w:r>
      <w:r>
        <w:rPr>
          <w:b/>
        </w:rPr>
        <w:t xml:space="preserve"> </w:t>
      </w:r>
      <w:r w:rsidR="008015AC">
        <w:t xml:space="preserve">How, then, </w:t>
      </w:r>
      <w:r w:rsidR="009C4DCE">
        <w:t>must the notion of</w:t>
      </w:r>
      <w:r w:rsidR="008015AC">
        <w:t xml:space="preserve"> commitment be understood</w:t>
      </w:r>
      <w:r w:rsidR="009C4DCE">
        <w:t xml:space="preserve"> if it is to account for the difference between lying and misleading</w:t>
      </w:r>
      <w:r w:rsidR="008015AC">
        <w:t>?</w:t>
      </w:r>
      <w:r w:rsidR="00157A88">
        <w:t xml:space="preserve"> </w:t>
      </w:r>
      <w:r w:rsidR="009C4DCE">
        <w:t xml:space="preserve">Which </w:t>
      </w:r>
      <w:r w:rsidR="00223BD1">
        <w:t>understanding</w:t>
      </w:r>
      <w:r w:rsidR="009C4DCE">
        <w:t xml:space="preserve"> of commitment is relevant for (D4)? </w:t>
      </w:r>
      <w:r w:rsidR="00672685">
        <w:t xml:space="preserve">Here is the short version of </w:t>
      </w:r>
      <w:r w:rsidR="008C1A87">
        <w:t>the answer I</w:t>
      </w:r>
      <w:r w:rsidR="00157A88">
        <w:t xml:space="preserve"> want to propose: </w:t>
      </w:r>
      <w:r w:rsidR="009C4DCE">
        <w:t>A speaker commits herself to</w:t>
      </w:r>
      <w:r w:rsidR="00157A88">
        <w:t xml:space="preserve"> a proposition</w:t>
      </w:r>
      <w:r w:rsidR="008015AC">
        <w:t xml:space="preserve"> </w:t>
      </w:r>
      <w:r w:rsidR="009C4DCE">
        <w:t>(in the sense relevant for the lying-misleading distinction) iff</w:t>
      </w:r>
      <w:r w:rsidR="00157A88">
        <w:t xml:space="preserve"> </w:t>
      </w:r>
      <w:r w:rsidR="008015AC">
        <w:t>she</w:t>
      </w:r>
      <w:r w:rsidR="00157A88">
        <w:t xml:space="preserve"> takes on a responsibility to defend</w:t>
      </w:r>
      <w:r w:rsidR="00C01593">
        <w:t xml:space="preserve"> (or justify)</w:t>
      </w:r>
      <w:r w:rsidR="00157A88">
        <w:t xml:space="preserve"> that she </w:t>
      </w:r>
      <w:r w:rsidR="00157A88" w:rsidRPr="005032DE">
        <w:rPr>
          <w:i/>
          <w:iCs/>
        </w:rPr>
        <w:t>knows</w:t>
      </w:r>
      <w:r w:rsidR="00157A88">
        <w:t xml:space="preserve"> </w:t>
      </w:r>
      <w:r w:rsidR="007C7CFB">
        <w:t>the</w:t>
      </w:r>
      <w:r w:rsidR="00157A88">
        <w:t xml:space="preserve"> proposition</w:t>
      </w:r>
      <w:r w:rsidR="007C7CFB">
        <w:t xml:space="preserve"> in question</w:t>
      </w:r>
      <w:r w:rsidR="009C4DCE">
        <w:t>.</w:t>
      </w:r>
      <w:r w:rsidR="00811048">
        <w:t xml:space="preserve"> </w:t>
      </w:r>
      <w:r w:rsidR="009C4DCE">
        <w:t>A</w:t>
      </w:r>
      <w:r w:rsidR="00811048">
        <w:t>nd</w:t>
      </w:r>
      <w:r w:rsidR="00157A88">
        <w:t xml:space="preserve"> </w:t>
      </w:r>
      <w:r w:rsidR="00DC2128">
        <w:t xml:space="preserve">we can tell whether </w:t>
      </w:r>
      <w:r w:rsidR="00157A88">
        <w:t xml:space="preserve">a speaker has taken on this </w:t>
      </w:r>
      <w:r w:rsidR="00E21CE2">
        <w:t xml:space="preserve">justificatory </w:t>
      </w:r>
      <w:r w:rsidR="00157A88">
        <w:t>responsibility</w:t>
      </w:r>
      <w:r w:rsidR="00DC2128">
        <w:t xml:space="preserve"> by attending to how she could consistently react to audience challenges. </w:t>
      </w:r>
      <w:r w:rsidR="00672685">
        <w:t>Specifically</w:t>
      </w:r>
      <w:r w:rsidR="00DC2128">
        <w:t>, she has taken on the relevant kind of responsibility with respect to a proposition</w:t>
      </w:r>
      <w:r w:rsidR="009C4DCE">
        <w:t xml:space="preserve"> iff</w:t>
      </w:r>
      <w:r w:rsidR="00157A88">
        <w:t xml:space="preserve"> </w:t>
      </w:r>
      <w:r w:rsidR="00811048">
        <w:t xml:space="preserve">she cannot consistently dismiss audience challenges to defend that she knows </w:t>
      </w:r>
      <w:r w:rsidR="00672685">
        <w:t>that</w:t>
      </w:r>
      <w:r w:rsidR="00811048">
        <w:t xml:space="preserve"> proposition. </w:t>
      </w:r>
      <w:r w:rsidR="009C4DCE">
        <w:t>The commitment that liars take on</w:t>
      </w:r>
      <w:r w:rsidR="008C1A87">
        <w:t>,</w:t>
      </w:r>
      <w:r w:rsidR="009C4DCE">
        <w:t xml:space="preserve"> and that misleaders avoid</w:t>
      </w:r>
      <w:r w:rsidR="008C1A87">
        <w:t>,</w:t>
      </w:r>
      <w:r w:rsidR="009C4DCE">
        <w:t xml:space="preserve"> is thus </w:t>
      </w:r>
      <w:r w:rsidR="00672685">
        <w:t>tied to</w:t>
      </w:r>
      <w:r w:rsidR="009C4DCE">
        <w:t xml:space="preserve"> the consistency of dismissals of knowledge</w:t>
      </w:r>
      <w:r w:rsidR="00F03232">
        <w:t>-</w:t>
      </w:r>
      <w:r w:rsidR="009C4DCE">
        <w:t xml:space="preserve">challenges. </w:t>
      </w:r>
      <w:r w:rsidR="00223BD1">
        <w:t>To</w:t>
      </w:r>
      <w:r w:rsidR="007C7CFB">
        <w:t xml:space="preserve"> flesh out this answer, I will now take a closer look at justificatory responsibility, audience challenges and possible reactions to such challenges. </w:t>
      </w:r>
    </w:p>
    <w:p w14:paraId="448092B5" w14:textId="74FDF2DD" w:rsidR="00E753F6" w:rsidRDefault="007C7CFB" w:rsidP="005032DE">
      <w:pPr>
        <w:rPr>
          <w:rFonts w:eastAsiaTheme="minorEastAsia"/>
        </w:rPr>
      </w:pPr>
      <w:r>
        <w:t>There is, of course, a long tradition of spelling out assertion in terms of commitment and justificatory responsibility, which has prominent defenders</w:t>
      </w:r>
      <w:r w:rsidR="00CC70D3">
        <w:t xml:space="preserve"> </w:t>
      </w:r>
      <w:r>
        <w:t>in</w:t>
      </w:r>
      <w:r w:rsidR="00E21CE2">
        <w:t xml:space="preserve"> </w:t>
      </w:r>
      <w:r w:rsidR="00807099">
        <w:t xml:space="preserve">Charles Sanders </w:t>
      </w:r>
      <w:r w:rsidR="00343CE1">
        <w:t>Peirce</w:t>
      </w:r>
      <w:r w:rsidR="00CC70D3">
        <w:t>,</w:t>
      </w:r>
      <w:r w:rsidR="00937855">
        <w:t xml:space="preserve"> </w:t>
      </w:r>
      <w:r w:rsidR="00807099">
        <w:t xml:space="preserve">John </w:t>
      </w:r>
      <w:r w:rsidR="00EA5607">
        <w:t>Searle</w:t>
      </w:r>
      <w:r w:rsidR="00831190">
        <w:t>,</w:t>
      </w:r>
      <w:r w:rsidR="000348FF">
        <w:t xml:space="preserve"> </w:t>
      </w:r>
      <w:r w:rsidR="00807099">
        <w:t xml:space="preserve">Robert </w:t>
      </w:r>
      <w:proofErr w:type="spellStart"/>
      <w:r w:rsidR="00343CE1" w:rsidRPr="00640EE6">
        <w:t>Bra</w:t>
      </w:r>
      <w:r w:rsidR="00343CE1">
        <w:t>ndom</w:t>
      </w:r>
      <w:proofErr w:type="spellEnd"/>
      <w:r w:rsidR="00831190">
        <w:t xml:space="preserve"> and </w:t>
      </w:r>
      <w:r w:rsidR="00807099">
        <w:t xml:space="preserve">Gary </w:t>
      </w:r>
      <w:r w:rsidR="00831190">
        <w:t>Watson</w:t>
      </w:r>
      <w:r w:rsidR="000348FF">
        <w:t>.</w:t>
      </w:r>
      <w:r w:rsidR="001929B3">
        <w:rPr>
          <w:rStyle w:val="FootnoteReference"/>
        </w:rPr>
        <w:footnoteReference w:id="39"/>
      </w:r>
      <w:r w:rsidR="00524320">
        <w:t xml:space="preserve"> I cannot recount </w:t>
      </w:r>
      <w:r w:rsidR="00C22E1E">
        <w:t xml:space="preserve">here </w:t>
      </w:r>
      <w:r w:rsidR="00524320">
        <w:t xml:space="preserve">the many positions and arguments in this </w:t>
      </w:r>
      <w:r w:rsidR="00916BF0">
        <w:t>tradition</w:t>
      </w:r>
      <w:r w:rsidR="00524320">
        <w:t xml:space="preserve">, but will instead focus </w:t>
      </w:r>
      <w:r w:rsidR="008C1A87">
        <w:t xml:space="preserve">on what I take to be one of its main insights: the idea that </w:t>
      </w:r>
      <w:r>
        <w:t>in asserting p, and thus</w:t>
      </w:r>
      <w:r w:rsidR="008C1A87">
        <w:t xml:space="preserve"> committing oneself </w:t>
      </w:r>
      <w:proofErr w:type="spellStart"/>
      <w:r w:rsidR="008C1A87">
        <w:t>to p</w:t>
      </w:r>
      <w:proofErr w:type="spellEnd"/>
      <w:r w:rsidR="008C1A87">
        <w:t xml:space="preserve">, one </w:t>
      </w:r>
      <w:r>
        <w:t>takes on</w:t>
      </w:r>
      <w:r w:rsidR="008C1A87">
        <w:t xml:space="preserve"> a responsibility to </w:t>
      </w:r>
      <w:r w:rsidR="000862CA">
        <w:t>defend</w:t>
      </w:r>
      <w:r w:rsidR="008C1A87">
        <w:t xml:space="preserve"> (or </w:t>
      </w:r>
      <w:r w:rsidR="000862CA">
        <w:t>justify</w:t>
      </w:r>
      <w:r w:rsidR="008C1A87">
        <w:t>) p if challenged</w:t>
      </w:r>
      <w:r w:rsidR="008C1A87">
        <w:rPr>
          <w:rFonts w:eastAsiaTheme="minorEastAsia"/>
        </w:rPr>
        <w:t>.</w:t>
      </w:r>
      <w:r>
        <w:rPr>
          <w:rStyle w:val="FootnoteReference"/>
          <w:rFonts w:eastAsiaTheme="minorEastAsia"/>
        </w:rPr>
        <w:footnoteReference w:id="40"/>
      </w:r>
      <w:r>
        <w:rPr>
          <w:rFonts w:eastAsiaTheme="minorEastAsia"/>
        </w:rPr>
        <w:t xml:space="preserve"> </w:t>
      </w:r>
      <w:r w:rsidR="00E753F6">
        <w:rPr>
          <w:rFonts w:eastAsiaTheme="minorEastAsia"/>
        </w:rPr>
        <w:t xml:space="preserve">I think this idea is </w:t>
      </w:r>
      <w:r w:rsidR="000862CA">
        <w:rPr>
          <w:rFonts w:eastAsiaTheme="minorEastAsia"/>
        </w:rPr>
        <w:t>correct</w:t>
      </w:r>
      <w:r w:rsidR="00E753F6">
        <w:rPr>
          <w:rFonts w:eastAsiaTheme="minorEastAsia"/>
        </w:rPr>
        <w:t xml:space="preserve">. But it needs some sharpening if it is to be of help in </w:t>
      </w:r>
      <w:r w:rsidR="00E753F6">
        <w:rPr>
          <w:rFonts w:eastAsiaTheme="minorEastAsia"/>
        </w:rPr>
        <w:lastRenderedPageBreak/>
        <w:t>capturing the lying-misleading distinction. In particular, more has to be said about the kind of defence that is required following an assertion. To address this question, it will be helpful to turn to speech-acts that are weaker than assertion.</w:t>
      </w:r>
      <w:r w:rsidR="00A23347">
        <w:rPr>
          <w:rStyle w:val="FootnoteReference"/>
          <w:rFonts w:eastAsiaTheme="minorEastAsia"/>
        </w:rPr>
        <w:footnoteReference w:id="41"/>
      </w:r>
      <w:r w:rsidR="00E753F6">
        <w:rPr>
          <w:rFonts w:eastAsiaTheme="minorEastAsia"/>
        </w:rPr>
        <w:t xml:space="preserve"> </w:t>
      </w:r>
    </w:p>
    <w:p w14:paraId="1388EFE4" w14:textId="6DE09FBD" w:rsidR="00E753F6" w:rsidRDefault="00E753F6" w:rsidP="00E753F6">
      <w:pPr>
        <w:rPr>
          <w:rFonts w:eastAsiaTheme="minorEastAsia"/>
        </w:rPr>
      </w:pPr>
      <w:r>
        <w:rPr>
          <w:rFonts w:eastAsiaTheme="minorEastAsia"/>
        </w:rPr>
        <w:t xml:space="preserve">Assertion is not the only speech-act that aims at truth; other such </w:t>
      </w:r>
      <w:r w:rsidRPr="00DB398E">
        <w:rPr>
          <w:rFonts w:eastAsiaTheme="minorEastAsia"/>
          <w:i/>
        </w:rPr>
        <w:t>constative</w:t>
      </w:r>
      <w:r>
        <w:rPr>
          <w:rFonts w:eastAsiaTheme="minorEastAsia"/>
        </w:rPr>
        <w:t xml:space="preserve"> speech-acts include </w:t>
      </w:r>
      <w:r w:rsidRPr="00ED34F5">
        <w:rPr>
          <w:rFonts w:eastAsiaTheme="minorEastAsia"/>
          <w:iCs/>
        </w:rPr>
        <w:t>guessing, speculating, conjecturing, insisting, assuring</w:t>
      </w:r>
      <w:r w:rsidR="00ED34F5">
        <w:rPr>
          <w:rFonts w:eastAsiaTheme="minorEastAsia"/>
          <w:iCs/>
        </w:rPr>
        <w:t>,</w:t>
      </w:r>
      <w:r w:rsidRPr="00ED34F5">
        <w:rPr>
          <w:rFonts w:eastAsiaTheme="minorEastAsia"/>
          <w:iCs/>
        </w:rPr>
        <w:t xml:space="preserve"> and swearing</w:t>
      </w:r>
      <w:r>
        <w:rPr>
          <w:rFonts w:eastAsiaTheme="minorEastAsia"/>
        </w:rPr>
        <w:t>.</w:t>
      </w:r>
      <w:r>
        <w:rPr>
          <w:rStyle w:val="FootnoteReference"/>
          <w:rFonts w:eastAsiaTheme="minorEastAsia"/>
        </w:rPr>
        <w:footnoteReference w:id="42"/>
      </w:r>
      <w:r>
        <w:rPr>
          <w:rFonts w:eastAsiaTheme="minorEastAsia"/>
        </w:rPr>
        <w:t xml:space="preserve"> Some of these constative speech-acts are weaker than assertion</w:t>
      </w:r>
      <w:r w:rsidR="008E1574">
        <w:rPr>
          <w:rFonts w:eastAsiaTheme="minorEastAsia"/>
        </w:rPr>
        <w:t xml:space="preserve"> (and some are stronger, but I will focus on the weaker ones)</w:t>
      </w:r>
      <w:r>
        <w:rPr>
          <w:rFonts w:eastAsiaTheme="minorEastAsia"/>
        </w:rPr>
        <w:t>: if we conjecture or speculate p, we put forward p in a weaker manner than if we assert p. One way of capturing this difference is in terms of commitment</w:t>
      </w:r>
      <w:r w:rsidR="006E5508">
        <w:rPr>
          <w:rFonts w:eastAsiaTheme="minorEastAsia"/>
        </w:rPr>
        <w:t>.</w:t>
      </w:r>
      <w:r>
        <w:rPr>
          <w:rFonts w:eastAsiaTheme="minorEastAsia"/>
        </w:rPr>
        <w:t xml:space="preserve"> </w:t>
      </w:r>
      <w:r w:rsidR="006E5508">
        <w:rPr>
          <w:rFonts w:eastAsiaTheme="minorEastAsia"/>
        </w:rPr>
        <w:t>I</w:t>
      </w:r>
      <w:r>
        <w:rPr>
          <w:rFonts w:eastAsiaTheme="minorEastAsia"/>
        </w:rPr>
        <w:t>n asserting p, speakers commit themselves to p, while in conjecturing or speculating p, they</w:t>
      </w:r>
      <w:r w:rsidR="006E5508">
        <w:rPr>
          <w:rFonts w:eastAsiaTheme="minorEastAsia"/>
        </w:rPr>
        <w:t xml:space="preserve"> put forward p without taking</w:t>
      </w:r>
      <w:r>
        <w:rPr>
          <w:rFonts w:eastAsiaTheme="minorEastAsia"/>
        </w:rPr>
        <w:t xml:space="preserve"> on such commitment. There are different ways of signalling that a speech-act is meant to be weaker than an assertion: through intonation or through the use of explicit hedges, such as </w:t>
      </w:r>
      <w:r w:rsidR="00197EE6">
        <w:rPr>
          <w:rFonts w:eastAsiaTheme="minorEastAsia"/>
        </w:rPr>
        <w:t>‘</w:t>
      </w:r>
      <w:r w:rsidR="00774B4B">
        <w:rPr>
          <w:rFonts w:eastAsiaTheme="minorEastAsia"/>
        </w:rPr>
        <w:t xml:space="preserve">I </w:t>
      </w:r>
      <w:r>
        <w:rPr>
          <w:rFonts w:eastAsiaTheme="minorEastAsia"/>
        </w:rPr>
        <w:t>think</w:t>
      </w:r>
      <w:r w:rsidR="00197EE6">
        <w:rPr>
          <w:rFonts w:eastAsiaTheme="minorEastAsia"/>
        </w:rPr>
        <w:t>’</w:t>
      </w:r>
      <w:r w:rsidR="00D16D09">
        <w:rPr>
          <w:rFonts w:eastAsiaTheme="minorEastAsia"/>
        </w:rPr>
        <w:t>,</w:t>
      </w:r>
      <w:r>
        <w:rPr>
          <w:rFonts w:eastAsiaTheme="minorEastAsia"/>
        </w:rPr>
        <w:t xml:space="preserve"> </w:t>
      </w:r>
      <w:r w:rsidR="00197EE6">
        <w:rPr>
          <w:rFonts w:eastAsiaTheme="minorEastAsia"/>
        </w:rPr>
        <w:t>‘</w:t>
      </w:r>
      <w:r w:rsidR="00774B4B">
        <w:rPr>
          <w:rFonts w:eastAsiaTheme="minorEastAsia"/>
        </w:rPr>
        <w:t xml:space="preserve">I </w:t>
      </w:r>
      <w:r>
        <w:rPr>
          <w:rFonts w:eastAsiaTheme="minorEastAsia"/>
        </w:rPr>
        <w:t>believe</w:t>
      </w:r>
      <w:r w:rsidR="00197EE6">
        <w:rPr>
          <w:rFonts w:eastAsiaTheme="minorEastAsia"/>
        </w:rPr>
        <w:t>’</w:t>
      </w:r>
      <w:r w:rsidR="00D16D09">
        <w:rPr>
          <w:rFonts w:eastAsiaTheme="minorEastAsia"/>
        </w:rPr>
        <w:t>,</w:t>
      </w:r>
      <w:r>
        <w:rPr>
          <w:rFonts w:eastAsiaTheme="minorEastAsia"/>
        </w:rPr>
        <w:t xml:space="preserve"> </w:t>
      </w:r>
      <w:r w:rsidR="00197EE6">
        <w:rPr>
          <w:rFonts w:eastAsiaTheme="minorEastAsia"/>
        </w:rPr>
        <w:t>‘</w:t>
      </w:r>
      <w:r>
        <w:rPr>
          <w:rFonts w:eastAsiaTheme="minorEastAsia"/>
        </w:rPr>
        <w:t>perhaps</w:t>
      </w:r>
      <w:r w:rsidR="00197EE6">
        <w:rPr>
          <w:rFonts w:eastAsiaTheme="minorEastAsia"/>
        </w:rPr>
        <w:t>’</w:t>
      </w:r>
      <w:r w:rsidR="00D16D09">
        <w:rPr>
          <w:rFonts w:eastAsiaTheme="minorEastAsia"/>
        </w:rPr>
        <w:t>,</w:t>
      </w:r>
      <w:r>
        <w:rPr>
          <w:rFonts w:eastAsiaTheme="minorEastAsia"/>
        </w:rPr>
        <w:t xml:space="preserve"> </w:t>
      </w:r>
      <w:r w:rsidR="00197EE6">
        <w:rPr>
          <w:rFonts w:eastAsiaTheme="minorEastAsia"/>
        </w:rPr>
        <w:t>‘</w:t>
      </w:r>
      <w:r>
        <w:rPr>
          <w:rFonts w:eastAsiaTheme="minorEastAsia"/>
        </w:rPr>
        <w:t>may</w:t>
      </w:r>
      <w:r w:rsidR="00197EE6">
        <w:rPr>
          <w:rFonts w:eastAsiaTheme="minorEastAsia"/>
        </w:rPr>
        <w:t>’</w:t>
      </w:r>
      <w:r w:rsidR="00D16D09">
        <w:rPr>
          <w:rFonts w:eastAsiaTheme="minorEastAsia"/>
        </w:rPr>
        <w:t>,</w:t>
      </w:r>
      <w:r>
        <w:rPr>
          <w:rFonts w:eastAsiaTheme="minorEastAsia"/>
        </w:rPr>
        <w:t xml:space="preserve"> </w:t>
      </w:r>
      <w:r w:rsidR="00197EE6">
        <w:rPr>
          <w:rFonts w:eastAsiaTheme="minorEastAsia"/>
        </w:rPr>
        <w:t>‘</w:t>
      </w:r>
      <w:r>
        <w:rPr>
          <w:rFonts w:eastAsiaTheme="minorEastAsia"/>
        </w:rPr>
        <w:t>probably</w:t>
      </w:r>
      <w:r w:rsidR="00197EE6">
        <w:rPr>
          <w:rFonts w:eastAsiaTheme="minorEastAsia"/>
        </w:rPr>
        <w:t>’</w:t>
      </w:r>
      <w:r w:rsidR="00D16D09">
        <w:rPr>
          <w:rFonts w:eastAsiaTheme="minorEastAsia"/>
        </w:rPr>
        <w:t>,</w:t>
      </w:r>
      <w:r>
        <w:rPr>
          <w:rFonts w:eastAsiaTheme="minorEastAsia"/>
        </w:rPr>
        <w:t xml:space="preserve"> or </w:t>
      </w:r>
      <w:r w:rsidR="00197EE6">
        <w:rPr>
          <w:rFonts w:eastAsiaTheme="minorEastAsia"/>
        </w:rPr>
        <w:t>‘p</w:t>
      </w:r>
      <w:r>
        <w:rPr>
          <w:rFonts w:eastAsiaTheme="minorEastAsia"/>
        </w:rPr>
        <w:t>ossibly</w:t>
      </w:r>
      <w:r w:rsidR="00197EE6">
        <w:rPr>
          <w:rFonts w:eastAsiaTheme="minorEastAsia"/>
        </w:rPr>
        <w:t>’</w:t>
      </w:r>
      <w:r w:rsidR="00D16D09">
        <w:rPr>
          <w:rFonts w:eastAsiaTheme="minorEastAsia"/>
        </w:rPr>
        <w:t>.</w:t>
      </w:r>
      <w:r>
        <w:rPr>
          <w:rFonts w:eastAsiaTheme="minorEastAsia"/>
        </w:rPr>
        <w:t xml:space="preserve"> </w:t>
      </w:r>
      <w:r w:rsidR="006E5508">
        <w:rPr>
          <w:rFonts w:eastAsiaTheme="minorEastAsia"/>
        </w:rPr>
        <w:t>For example, c</w:t>
      </w:r>
      <w:r>
        <w:rPr>
          <w:rFonts w:eastAsiaTheme="minorEastAsia"/>
        </w:rPr>
        <w:t>onsider utterances of the following sentences:</w:t>
      </w:r>
    </w:p>
    <w:p w14:paraId="0767B1E8" w14:textId="77777777" w:rsidR="00E753F6" w:rsidRDefault="00E753F6" w:rsidP="00E753F6">
      <w:pPr>
        <w:rPr>
          <w:rFonts w:eastAsiaTheme="minorEastAsia"/>
        </w:rPr>
      </w:pPr>
    </w:p>
    <w:p w14:paraId="3020CDF9" w14:textId="77777777" w:rsidR="00E753F6" w:rsidRDefault="00E753F6" w:rsidP="00E753F6">
      <w:pPr>
        <w:rPr>
          <w:rFonts w:eastAsiaTheme="minorEastAsia"/>
        </w:rPr>
      </w:pPr>
      <w:r>
        <w:rPr>
          <w:rFonts w:eastAsiaTheme="minorEastAsia"/>
        </w:rPr>
        <w:tab/>
        <w:t>(10)</w:t>
      </w:r>
      <w:r>
        <w:rPr>
          <w:rFonts w:eastAsiaTheme="minorEastAsia"/>
        </w:rPr>
        <w:tab/>
        <w:t xml:space="preserve">The capital of Paraguay is Asunción. </w:t>
      </w:r>
    </w:p>
    <w:p w14:paraId="758AA83D" w14:textId="77777777" w:rsidR="00E753F6" w:rsidRDefault="00E753F6" w:rsidP="00E753F6">
      <w:pPr>
        <w:rPr>
          <w:rFonts w:eastAsiaTheme="minorEastAsia"/>
        </w:rPr>
      </w:pPr>
      <w:r>
        <w:rPr>
          <w:rFonts w:eastAsiaTheme="minorEastAsia"/>
        </w:rPr>
        <w:tab/>
        <w:t>(11)</w:t>
      </w:r>
      <w:r>
        <w:rPr>
          <w:rFonts w:eastAsiaTheme="minorEastAsia"/>
        </w:rPr>
        <w:tab/>
        <w:t>The capital of Paraguay is Asunción, I think/believe.</w:t>
      </w:r>
    </w:p>
    <w:p w14:paraId="636523BE" w14:textId="77777777" w:rsidR="00E753F6" w:rsidRDefault="00E753F6" w:rsidP="00E753F6">
      <w:pPr>
        <w:ind w:firstLine="708"/>
        <w:rPr>
          <w:rFonts w:eastAsiaTheme="minorEastAsia"/>
        </w:rPr>
      </w:pPr>
      <w:r>
        <w:rPr>
          <w:rFonts w:eastAsiaTheme="minorEastAsia"/>
        </w:rPr>
        <w:t>(12)</w:t>
      </w:r>
      <w:r>
        <w:rPr>
          <w:rFonts w:eastAsiaTheme="minorEastAsia"/>
        </w:rPr>
        <w:tab/>
        <w:t>The capital of Paraguay may be Asunción, but I’m not sure.</w:t>
      </w:r>
    </w:p>
    <w:p w14:paraId="3A192C55" w14:textId="77777777" w:rsidR="00E753F6" w:rsidRDefault="00E753F6" w:rsidP="00E753F6">
      <w:pPr>
        <w:ind w:firstLine="0"/>
        <w:rPr>
          <w:rFonts w:eastAsiaTheme="minorEastAsia"/>
        </w:rPr>
      </w:pPr>
    </w:p>
    <w:p w14:paraId="72C67977" w14:textId="77777777" w:rsidR="00E753F6" w:rsidRDefault="00E753F6" w:rsidP="00E753F6">
      <w:pPr>
        <w:ind w:firstLine="0"/>
        <w:rPr>
          <w:rFonts w:eastAsiaTheme="minorEastAsia"/>
        </w:rPr>
      </w:pPr>
      <w:r>
        <w:rPr>
          <w:rFonts w:eastAsiaTheme="minorEastAsia"/>
        </w:rPr>
        <w:t xml:space="preserve">If (10) is uttered in a non-hesitant way with a falling intonation, it will (usually) be an assertion. By contrast, if the same sentence is uttered hesitantly and with a rising intonation, then it will rather be a conjecture or a speculation. Similarly, the hedges in (11) and (12) have the effect that utterances of these sentences are conjectures or speculations, not assertions. </w:t>
      </w:r>
    </w:p>
    <w:p w14:paraId="432EBA19" w14:textId="340C69FA" w:rsidR="00E753F6" w:rsidRDefault="00E753F6" w:rsidP="00E753F6">
      <w:pPr>
        <w:rPr>
          <w:rFonts w:eastAsiaTheme="minorEastAsia"/>
        </w:rPr>
      </w:pPr>
      <w:r>
        <w:rPr>
          <w:rFonts w:eastAsiaTheme="minorEastAsia"/>
        </w:rPr>
        <w:t>Weaker constative speech-acts are no less common than assertions: there are many things we are unsure about, and thus many things we do not want to commit ourselves to in conversation. Nonetheless, such weaker constatives are</w:t>
      </w:r>
      <w:r w:rsidR="00672685">
        <w:rPr>
          <w:rFonts w:eastAsiaTheme="minorEastAsia"/>
        </w:rPr>
        <w:t xml:space="preserve"> </w:t>
      </w:r>
      <w:r>
        <w:rPr>
          <w:rFonts w:eastAsiaTheme="minorEastAsia"/>
        </w:rPr>
        <w:t xml:space="preserve">less well explored than </w:t>
      </w:r>
      <w:r w:rsidR="002C75F8">
        <w:rPr>
          <w:rFonts w:eastAsiaTheme="minorEastAsia"/>
        </w:rPr>
        <w:t xml:space="preserve">the speech-act of </w:t>
      </w:r>
      <w:r>
        <w:rPr>
          <w:rFonts w:eastAsiaTheme="minorEastAsia"/>
        </w:rPr>
        <w:t>assertion.</w:t>
      </w:r>
      <w:r w:rsidR="001E2E41">
        <w:rPr>
          <w:rStyle w:val="FootnoteReference"/>
          <w:rFonts w:eastAsiaTheme="minorEastAsia"/>
        </w:rPr>
        <w:footnoteReference w:id="43"/>
      </w:r>
      <w:r>
        <w:rPr>
          <w:rFonts w:eastAsiaTheme="minorEastAsia"/>
        </w:rPr>
        <w:t xml:space="preserve"> In the current context, they are important because they help to clarify the </w:t>
      </w:r>
      <w:r w:rsidR="00F95E88">
        <w:rPr>
          <w:rFonts w:eastAsiaTheme="minorEastAsia"/>
        </w:rPr>
        <w:t xml:space="preserve">justificatory </w:t>
      </w:r>
      <w:r>
        <w:rPr>
          <w:rFonts w:eastAsiaTheme="minorEastAsia"/>
        </w:rPr>
        <w:t xml:space="preserve">responsibility </w:t>
      </w:r>
      <w:r>
        <w:rPr>
          <w:rFonts w:eastAsiaTheme="minorEastAsia"/>
        </w:rPr>
        <w:lastRenderedPageBreak/>
        <w:t xml:space="preserve">taken on by asserters. </w:t>
      </w:r>
      <w:r w:rsidR="00F95E88">
        <w:rPr>
          <w:rFonts w:eastAsiaTheme="minorEastAsia"/>
        </w:rPr>
        <w:t>Although conjectures and speculations are non-committal, their speakers</w:t>
      </w:r>
      <w:r w:rsidR="006E5508">
        <w:rPr>
          <w:rFonts w:eastAsiaTheme="minorEastAsia"/>
        </w:rPr>
        <w:t xml:space="preserve"> nonetheless put forward a proposition</w:t>
      </w:r>
      <w:r w:rsidR="00F95E88">
        <w:rPr>
          <w:rFonts w:eastAsiaTheme="minorEastAsia"/>
        </w:rPr>
        <w:t xml:space="preserve"> </w:t>
      </w:r>
      <w:r w:rsidR="006E5508">
        <w:rPr>
          <w:rFonts w:eastAsiaTheme="minorEastAsia"/>
        </w:rPr>
        <w:t>and thus</w:t>
      </w:r>
      <w:r w:rsidR="00F95E88">
        <w:rPr>
          <w:rFonts w:eastAsiaTheme="minorEastAsia"/>
        </w:rPr>
        <w:t xml:space="preserve"> take on a justificatory responsibility</w:t>
      </w:r>
      <w:r w:rsidR="006E5508">
        <w:rPr>
          <w:rFonts w:eastAsiaTheme="minorEastAsia"/>
        </w:rPr>
        <w:t xml:space="preserve"> with respect to that proposition</w:t>
      </w:r>
      <w:r w:rsidR="00690833">
        <w:rPr>
          <w:rFonts w:eastAsiaTheme="minorEastAsia"/>
        </w:rPr>
        <w:t xml:space="preserve">. Conjectures and speculations </w:t>
      </w:r>
      <w:r w:rsidR="00156477">
        <w:rPr>
          <w:rFonts w:eastAsiaTheme="minorEastAsia"/>
        </w:rPr>
        <w:t xml:space="preserve">have to be </w:t>
      </w:r>
      <w:r w:rsidR="00F95E88">
        <w:rPr>
          <w:rFonts w:eastAsiaTheme="minorEastAsia"/>
        </w:rPr>
        <w:t>backed up on request</w:t>
      </w:r>
      <w:r w:rsidR="00156477">
        <w:rPr>
          <w:rFonts w:eastAsiaTheme="minorEastAsia"/>
        </w:rPr>
        <w:t>, just as assertions</w:t>
      </w:r>
      <w:r w:rsidR="00C01593">
        <w:rPr>
          <w:rFonts w:eastAsiaTheme="minorEastAsia"/>
        </w:rPr>
        <w:t xml:space="preserve"> do</w:t>
      </w:r>
      <w:r w:rsidR="00F95E88">
        <w:rPr>
          <w:rFonts w:eastAsiaTheme="minorEastAsia"/>
        </w:rPr>
        <w:t xml:space="preserve">. What, then, sets assertions and weaker constatives apart? </w:t>
      </w:r>
      <w:r w:rsidR="00156477">
        <w:rPr>
          <w:rFonts w:eastAsiaTheme="minorEastAsia"/>
        </w:rPr>
        <w:t>Quite plausibly</w:t>
      </w:r>
      <w:r w:rsidR="00F95E88">
        <w:rPr>
          <w:rFonts w:eastAsiaTheme="minorEastAsia"/>
        </w:rPr>
        <w:t xml:space="preserve"> it is the </w:t>
      </w:r>
      <w:r w:rsidR="00F95E88" w:rsidRPr="005032DE">
        <w:rPr>
          <w:rFonts w:eastAsiaTheme="minorEastAsia"/>
          <w:i/>
          <w:iCs/>
        </w:rPr>
        <w:t>strength</w:t>
      </w:r>
      <w:r w:rsidR="00F95E88">
        <w:rPr>
          <w:rFonts w:eastAsiaTheme="minorEastAsia"/>
        </w:rPr>
        <w:t xml:space="preserve"> of the required defence: through asserting </w:t>
      </w:r>
      <w:r w:rsidR="007043D0">
        <w:rPr>
          <w:rFonts w:eastAsiaTheme="minorEastAsia"/>
        </w:rPr>
        <w:t>p</w:t>
      </w:r>
      <w:r w:rsidR="00F95E88">
        <w:rPr>
          <w:rFonts w:eastAsiaTheme="minorEastAsia"/>
        </w:rPr>
        <w:t>, speaker</w:t>
      </w:r>
      <w:r w:rsidR="00156477">
        <w:rPr>
          <w:rFonts w:eastAsiaTheme="minorEastAsia"/>
        </w:rPr>
        <w:t>s</w:t>
      </w:r>
      <w:r w:rsidR="00F95E88">
        <w:rPr>
          <w:rFonts w:eastAsiaTheme="minorEastAsia"/>
        </w:rPr>
        <w:t xml:space="preserve"> take on a responsibility to </w:t>
      </w:r>
      <w:r w:rsidR="00F95E88">
        <w:t xml:space="preserve">defend that </w:t>
      </w:r>
      <w:r w:rsidR="00156477">
        <w:t>they</w:t>
      </w:r>
      <w:r w:rsidR="00F95E88">
        <w:t xml:space="preserve"> </w:t>
      </w:r>
      <w:r w:rsidR="00F95E88" w:rsidRPr="00CE3D1F">
        <w:rPr>
          <w:i/>
          <w:iCs/>
        </w:rPr>
        <w:t>know</w:t>
      </w:r>
      <w:r w:rsidR="00F95E88">
        <w:t xml:space="preserve"> </w:t>
      </w:r>
      <w:r w:rsidR="007043D0">
        <w:t>p</w:t>
      </w:r>
      <w:r w:rsidR="00F95E88">
        <w:t xml:space="preserve">; through </w:t>
      </w:r>
      <w:r w:rsidR="007043D0">
        <w:t xml:space="preserve">conjecturing or speculating p, </w:t>
      </w:r>
      <w:r w:rsidR="00156477">
        <w:t xml:space="preserve">they take on a responsibility to defend that they stand in a weaker epistemic relation to p, </w:t>
      </w:r>
      <w:r w:rsidR="001E2E41">
        <w:t>for example</w:t>
      </w:r>
      <w:r w:rsidR="00156477">
        <w:t xml:space="preserve"> that they believe p. </w:t>
      </w:r>
    </w:p>
    <w:p w14:paraId="557BBD13" w14:textId="615D46CB" w:rsidR="00F95E88" w:rsidRDefault="00690833" w:rsidP="00E753F6">
      <w:pPr>
        <w:rPr>
          <w:rFonts w:eastAsiaTheme="minorEastAsia"/>
        </w:rPr>
      </w:pPr>
      <w:r>
        <w:rPr>
          <w:rFonts w:eastAsiaTheme="minorEastAsia"/>
        </w:rPr>
        <w:t>Some support for this</w:t>
      </w:r>
      <w:r w:rsidR="00156477">
        <w:rPr>
          <w:rFonts w:eastAsiaTheme="minorEastAsia"/>
        </w:rPr>
        <w:t xml:space="preserve"> picture </w:t>
      </w:r>
      <w:r>
        <w:rPr>
          <w:rFonts w:eastAsiaTheme="minorEastAsia"/>
        </w:rPr>
        <w:t xml:space="preserve">can be found by considering challenges to constative speech-acts and ways in which </w:t>
      </w:r>
      <w:r w:rsidR="00156477">
        <w:rPr>
          <w:rFonts w:eastAsiaTheme="minorEastAsia"/>
        </w:rPr>
        <w:t xml:space="preserve">speakers can react to such challenges. </w:t>
      </w:r>
      <w:r w:rsidR="00535CA8">
        <w:rPr>
          <w:rFonts w:eastAsiaTheme="minorEastAsia"/>
        </w:rPr>
        <w:t>Having uttered</w:t>
      </w:r>
      <w:r w:rsidR="00156477">
        <w:rPr>
          <w:rFonts w:eastAsiaTheme="minorEastAsia"/>
        </w:rPr>
        <w:t xml:space="preserve"> (10)</w:t>
      </w:r>
      <w:r w:rsidR="00535CA8">
        <w:rPr>
          <w:rFonts w:eastAsiaTheme="minorEastAsia"/>
        </w:rPr>
        <w:t xml:space="preserve"> in an assertive manner</w:t>
      </w:r>
      <w:r w:rsidR="00156477">
        <w:rPr>
          <w:rFonts w:eastAsiaTheme="minorEastAsia"/>
        </w:rPr>
        <w:t xml:space="preserve">, </w:t>
      </w:r>
      <w:r>
        <w:rPr>
          <w:rFonts w:eastAsiaTheme="minorEastAsia"/>
        </w:rPr>
        <w:t xml:space="preserve">the speaker might be challenged as follows: </w:t>
      </w:r>
    </w:p>
    <w:p w14:paraId="1539E766" w14:textId="696EE2E2" w:rsidR="00156477" w:rsidRDefault="00156477" w:rsidP="00E753F6">
      <w:pPr>
        <w:rPr>
          <w:rFonts w:eastAsiaTheme="minorEastAsia"/>
        </w:rPr>
      </w:pPr>
    </w:p>
    <w:p w14:paraId="3042196F" w14:textId="3A4BE75E" w:rsidR="00156477" w:rsidRDefault="00156477" w:rsidP="005032DE">
      <w:pPr>
        <w:ind w:firstLine="708"/>
        <w:rPr>
          <w:rFonts w:eastAsiaTheme="minorEastAsia"/>
        </w:rPr>
      </w:pPr>
      <w:r>
        <w:rPr>
          <w:rFonts w:eastAsiaTheme="minorEastAsia"/>
        </w:rPr>
        <w:t>(1</w:t>
      </w:r>
      <w:r w:rsidR="001518B9">
        <w:rPr>
          <w:rFonts w:eastAsiaTheme="minorEastAsia"/>
        </w:rPr>
        <w:t>3</w:t>
      </w:r>
      <w:r>
        <w:rPr>
          <w:rFonts w:eastAsiaTheme="minorEastAsia"/>
        </w:rPr>
        <w:t>)</w:t>
      </w:r>
      <w:r>
        <w:rPr>
          <w:rFonts w:eastAsiaTheme="minorEastAsia"/>
        </w:rPr>
        <w:tab/>
        <w:t>Do you really know it is Asunción?</w:t>
      </w:r>
    </w:p>
    <w:p w14:paraId="72D694AF" w14:textId="6C5127ED" w:rsidR="00156477" w:rsidRDefault="00156477" w:rsidP="00156477">
      <w:pPr>
        <w:ind w:firstLine="708"/>
        <w:rPr>
          <w:rFonts w:eastAsiaTheme="minorEastAsia"/>
        </w:rPr>
      </w:pPr>
      <w:r>
        <w:rPr>
          <w:rFonts w:eastAsiaTheme="minorEastAsia"/>
        </w:rPr>
        <w:t>(1</w:t>
      </w:r>
      <w:r w:rsidR="001518B9">
        <w:rPr>
          <w:rFonts w:eastAsiaTheme="minorEastAsia"/>
        </w:rPr>
        <w:t>4</w:t>
      </w:r>
      <w:r>
        <w:rPr>
          <w:rFonts w:eastAsiaTheme="minorEastAsia"/>
        </w:rPr>
        <w:t>)</w:t>
      </w:r>
      <w:r>
        <w:rPr>
          <w:rFonts w:eastAsiaTheme="minorEastAsia"/>
        </w:rPr>
        <w:tab/>
        <w:t>How do you know it is Asunción?</w:t>
      </w:r>
      <w:r w:rsidR="00C473FD">
        <w:rPr>
          <w:rStyle w:val="FootnoteReference"/>
          <w:rFonts w:eastAsiaTheme="minorEastAsia"/>
        </w:rPr>
        <w:footnoteReference w:id="44"/>
      </w:r>
    </w:p>
    <w:p w14:paraId="42AA7558" w14:textId="20647AB3" w:rsidR="001518B9" w:rsidRDefault="001518B9" w:rsidP="00E753F6">
      <w:pPr>
        <w:rPr>
          <w:rFonts w:eastAsiaTheme="minorEastAsia"/>
        </w:rPr>
      </w:pPr>
    </w:p>
    <w:p w14:paraId="7D8E6DE8" w14:textId="7BA9D78C" w:rsidR="001518B9" w:rsidRDefault="001518B9" w:rsidP="001518B9">
      <w:pPr>
        <w:ind w:firstLine="0"/>
      </w:pPr>
      <w:r>
        <w:t xml:space="preserve">There are various ways in which the speaker </w:t>
      </w:r>
      <w:r w:rsidR="00672685">
        <w:t>might</w:t>
      </w:r>
      <w:r>
        <w:t xml:space="preserve"> </w:t>
      </w:r>
      <w:r w:rsidR="006E5508">
        <w:t>respond</w:t>
      </w:r>
      <w:r>
        <w:t xml:space="preserve"> to </w:t>
      </w:r>
      <w:r w:rsidR="00535CA8">
        <w:t>such</w:t>
      </w:r>
      <w:r>
        <w:t xml:space="preserve"> challenge</w:t>
      </w:r>
      <w:r w:rsidR="00535CA8">
        <w:t xml:space="preserve">s. </w:t>
      </w:r>
      <w:r>
        <w:t xml:space="preserve">Among the possible </w:t>
      </w:r>
      <w:r w:rsidR="006E5508">
        <w:t>responses</w:t>
      </w:r>
      <w:r>
        <w:t xml:space="preserve"> are the following three: </w:t>
      </w:r>
    </w:p>
    <w:p w14:paraId="4800EFEE" w14:textId="77777777" w:rsidR="001518B9" w:rsidRDefault="001518B9" w:rsidP="005032DE">
      <w:pPr>
        <w:ind w:firstLine="0"/>
      </w:pPr>
    </w:p>
    <w:p w14:paraId="5C1B4E0C" w14:textId="2AB7F2FB" w:rsidR="001518B9" w:rsidRDefault="001518B9" w:rsidP="001518B9">
      <w:pPr>
        <w:pStyle w:val="ListParagraph"/>
        <w:numPr>
          <w:ilvl w:val="0"/>
          <w:numId w:val="36"/>
        </w:numPr>
      </w:pPr>
      <w:r>
        <w:t xml:space="preserve">The speaker </w:t>
      </w:r>
      <w:r w:rsidR="00672685">
        <w:t>might</w:t>
      </w:r>
      <w:r>
        <w:t xml:space="preserve"> </w:t>
      </w:r>
      <w:r w:rsidRPr="00650854">
        <w:rPr>
          <w:i/>
          <w:iCs/>
        </w:rPr>
        <w:t>answer</w:t>
      </w:r>
      <w:r>
        <w:t xml:space="preserve"> the challenge by providing the defence that is asked for. </w:t>
      </w:r>
    </w:p>
    <w:p w14:paraId="1E8E0A70" w14:textId="52F4E116" w:rsidR="001518B9" w:rsidRDefault="001518B9" w:rsidP="001518B9">
      <w:pPr>
        <w:pStyle w:val="ListParagraph"/>
        <w:numPr>
          <w:ilvl w:val="0"/>
          <w:numId w:val="36"/>
        </w:numPr>
      </w:pPr>
      <w:r>
        <w:t xml:space="preserve">The speaker </w:t>
      </w:r>
      <w:r w:rsidR="00672685">
        <w:t>might</w:t>
      </w:r>
      <w:r>
        <w:t xml:space="preserve"> </w:t>
      </w:r>
      <w:r w:rsidRPr="00650854">
        <w:rPr>
          <w:i/>
          <w:iCs/>
        </w:rPr>
        <w:t>retract</w:t>
      </w:r>
      <w:r>
        <w:t xml:space="preserve"> the proposition originally put forward.</w:t>
      </w:r>
    </w:p>
    <w:p w14:paraId="4A3329A1" w14:textId="7A8DF0B0" w:rsidR="001518B9" w:rsidRPr="00650854" w:rsidRDefault="001518B9" w:rsidP="001518B9">
      <w:pPr>
        <w:pStyle w:val="ListParagraph"/>
        <w:numPr>
          <w:ilvl w:val="0"/>
          <w:numId w:val="36"/>
        </w:numPr>
      </w:pPr>
      <w:r>
        <w:t xml:space="preserve">The speaker </w:t>
      </w:r>
      <w:r w:rsidR="00672685">
        <w:t>might</w:t>
      </w:r>
      <w:r>
        <w:t xml:space="preserve"> </w:t>
      </w:r>
      <w:r w:rsidRPr="00650854">
        <w:rPr>
          <w:i/>
          <w:iCs/>
        </w:rPr>
        <w:t xml:space="preserve">dismiss </w:t>
      </w:r>
      <w:r>
        <w:t xml:space="preserve">the challenge </w:t>
      </w:r>
      <w:r w:rsidR="006E5508">
        <w:t>(without answering it or retracting the proposition put forward) by pointing out that she did not take on the justificatory responsibility presupposed in the challenge</w:t>
      </w:r>
      <w:r w:rsidR="006300CC">
        <w:t xml:space="preserve"> or that she did not perform the speech-act that led to such a justificatory responsibility</w:t>
      </w:r>
      <w:r>
        <w:t xml:space="preserve">. </w:t>
      </w:r>
    </w:p>
    <w:p w14:paraId="49C3F4AD" w14:textId="641B4906" w:rsidR="001518B9" w:rsidRDefault="001518B9" w:rsidP="00535CA8">
      <w:pPr>
        <w:ind w:firstLine="0"/>
        <w:rPr>
          <w:rFonts w:eastAsiaTheme="minorEastAsia"/>
        </w:rPr>
      </w:pPr>
    </w:p>
    <w:p w14:paraId="2DCCFCA3" w14:textId="216FD6EF" w:rsidR="00C473FD" w:rsidRDefault="006E5508" w:rsidP="00535CA8">
      <w:pPr>
        <w:ind w:firstLine="0"/>
        <w:rPr>
          <w:rFonts w:eastAsiaTheme="minorEastAsia"/>
        </w:rPr>
      </w:pPr>
      <w:r>
        <w:rPr>
          <w:rFonts w:eastAsiaTheme="minorEastAsia"/>
        </w:rPr>
        <w:t xml:space="preserve">Now, if the original utterance of (10) was indeed an assertion, </w:t>
      </w:r>
      <w:r w:rsidR="00672685">
        <w:rPr>
          <w:rFonts w:eastAsiaTheme="minorEastAsia"/>
        </w:rPr>
        <w:t xml:space="preserve">then </w:t>
      </w:r>
      <w:r w:rsidR="00B01DCF">
        <w:rPr>
          <w:rFonts w:eastAsiaTheme="minorEastAsia"/>
        </w:rPr>
        <w:t xml:space="preserve">only two of these responses are </w:t>
      </w:r>
      <w:r w:rsidR="00B01DCF" w:rsidRPr="005032DE">
        <w:rPr>
          <w:rFonts w:eastAsiaTheme="minorEastAsia"/>
          <w:i/>
          <w:iCs/>
        </w:rPr>
        <w:t>consistent</w:t>
      </w:r>
      <w:r w:rsidR="00B01DCF">
        <w:rPr>
          <w:rFonts w:eastAsiaTheme="minorEastAsia"/>
        </w:rPr>
        <w:t xml:space="preserve"> responses to (13) or (14). The speaker could respond consistently </w:t>
      </w:r>
      <w:r w:rsidR="00091F19">
        <w:rPr>
          <w:rFonts w:eastAsiaTheme="minorEastAsia"/>
        </w:rPr>
        <w:t xml:space="preserve">by </w:t>
      </w:r>
      <w:r>
        <w:rPr>
          <w:rFonts w:eastAsiaTheme="minorEastAsia"/>
        </w:rPr>
        <w:t>answer</w:t>
      </w:r>
      <w:r w:rsidR="00091F19">
        <w:rPr>
          <w:rFonts w:eastAsiaTheme="minorEastAsia"/>
        </w:rPr>
        <w:t>ing</w:t>
      </w:r>
      <w:r>
        <w:rPr>
          <w:rFonts w:eastAsiaTheme="minorEastAsia"/>
        </w:rPr>
        <w:t xml:space="preserve"> the challenge or </w:t>
      </w:r>
      <w:r w:rsidR="00091F19">
        <w:rPr>
          <w:rFonts w:eastAsiaTheme="minorEastAsia"/>
        </w:rPr>
        <w:t xml:space="preserve">by </w:t>
      </w:r>
      <w:r>
        <w:rPr>
          <w:rFonts w:eastAsiaTheme="minorEastAsia"/>
        </w:rPr>
        <w:t>retract</w:t>
      </w:r>
      <w:r w:rsidR="00091F19">
        <w:rPr>
          <w:rFonts w:eastAsiaTheme="minorEastAsia"/>
        </w:rPr>
        <w:t>ing</w:t>
      </w:r>
      <w:r>
        <w:rPr>
          <w:rFonts w:eastAsiaTheme="minorEastAsia"/>
        </w:rPr>
        <w:t xml:space="preserve"> the proposition put forward</w:t>
      </w:r>
      <w:r w:rsidR="00B01DCF">
        <w:rPr>
          <w:rFonts w:eastAsiaTheme="minorEastAsia"/>
        </w:rPr>
        <w:t>. Importantly,</w:t>
      </w:r>
      <w:r w:rsidR="00C473FD">
        <w:rPr>
          <w:rFonts w:eastAsiaTheme="minorEastAsia"/>
        </w:rPr>
        <w:t xml:space="preserve"> she </w:t>
      </w:r>
      <w:r w:rsidR="00091F19">
        <w:rPr>
          <w:rFonts w:eastAsiaTheme="minorEastAsia"/>
        </w:rPr>
        <w:t xml:space="preserve">would </w:t>
      </w:r>
      <w:r w:rsidR="00C473FD">
        <w:rPr>
          <w:rFonts w:eastAsiaTheme="minorEastAsia"/>
        </w:rPr>
        <w:t xml:space="preserve">not </w:t>
      </w:r>
      <w:r w:rsidR="00091F19">
        <w:rPr>
          <w:rFonts w:eastAsiaTheme="minorEastAsia"/>
        </w:rPr>
        <w:t xml:space="preserve">be </w:t>
      </w:r>
      <w:r w:rsidR="00C473FD">
        <w:rPr>
          <w:rFonts w:eastAsiaTheme="minorEastAsia"/>
        </w:rPr>
        <w:t>consistent</w:t>
      </w:r>
      <w:r w:rsidR="00091F19">
        <w:rPr>
          <w:rFonts w:eastAsiaTheme="minorEastAsia"/>
        </w:rPr>
        <w:t xml:space="preserve"> if she were to</w:t>
      </w:r>
      <w:r w:rsidR="00C473FD">
        <w:rPr>
          <w:rFonts w:eastAsiaTheme="minorEastAsia"/>
        </w:rPr>
        <w:t xml:space="preserve"> dismiss the challenge</w:t>
      </w:r>
      <w:r w:rsidR="006300CC">
        <w:rPr>
          <w:rFonts w:eastAsiaTheme="minorEastAsia"/>
        </w:rPr>
        <w:t xml:space="preserve"> </w:t>
      </w:r>
      <w:r w:rsidR="00C473FD">
        <w:rPr>
          <w:rFonts w:eastAsiaTheme="minorEastAsia"/>
        </w:rPr>
        <w:t xml:space="preserve">along one of the following lines: </w:t>
      </w:r>
    </w:p>
    <w:p w14:paraId="3FFE17FF" w14:textId="11EB7991" w:rsidR="00C473FD" w:rsidRDefault="00C473FD" w:rsidP="00535CA8">
      <w:pPr>
        <w:ind w:firstLine="0"/>
        <w:rPr>
          <w:rFonts w:eastAsiaTheme="minorEastAsia"/>
        </w:rPr>
      </w:pPr>
    </w:p>
    <w:p w14:paraId="11A377AF" w14:textId="62CDA95B" w:rsidR="00C473FD" w:rsidRDefault="00C473FD" w:rsidP="00535CA8">
      <w:pPr>
        <w:ind w:firstLine="0"/>
        <w:rPr>
          <w:rFonts w:eastAsiaTheme="minorEastAsia"/>
        </w:rPr>
      </w:pPr>
      <w:r>
        <w:rPr>
          <w:rFonts w:eastAsiaTheme="minorEastAsia"/>
        </w:rPr>
        <w:tab/>
        <w:t>(15)</w:t>
      </w:r>
      <w:r>
        <w:rPr>
          <w:rFonts w:eastAsiaTheme="minorEastAsia"/>
        </w:rPr>
        <w:tab/>
      </w:r>
      <w:r w:rsidR="00E7616B">
        <w:rPr>
          <w:rFonts w:eastAsiaTheme="minorEastAsia"/>
        </w:rPr>
        <w:t>I didn’t commit myself to</w:t>
      </w:r>
      <w:r w:rsidR="00D16D09">
        <w:rPr>
          <w:rFonts w:eastAsiaTheme="minorEastAsia"/>
        </w:rPr>
        <w:t xml:space="preserve"> Asunción being</w:t>
      </w:r>
      <w:r w:rsidR="00E7616B">
        <w:rPr>
          <w:rFonts w:eastAsiaTheme="minorEastAsia"/>
        </w:rPr>
        <w:t xml:space="preserve"> the capital. </w:t>
      </w:r>
    </w:p>
    <w:p w14:paraId="56DABB7F" w14:textId="5A954D2A" w:rsidR="00E7616B" w:rsidRDefault="00C473FD" w:rsidP="00E7616B">
      <w:pPr>
        <w:ind w:firstLine="0"/>
        <w:rPr>
          <w:rFonts w:eastAsiaTheme="minorEastAsia"/>
        </w:rPr>
      </w:pPr>
      <w:r>
        <w:rPr>
          <w:rFonts w:eastAsiaTheme="minorEastAsia"/>
        </w:rPr>
        <w:tab/>
        <w:t>(16)</w:t>
      </w:r>
      <w:r>
        <w:rPr>
          <w:rFonts w:eastAsiaTheme="minorEastAsia"/>
        </w:rPr>
        <w:tab/>
      </w:r>
      <w:r w:rsidR="00E7616B">
        <w:rPr>
          <w:rFonts w:eastAsiaTheme="minorEastAsia"/>
        </w:rPr>
        <w:t xml:space="preserve">I didn’t claim that the capital is Asunción. </w:t>
      </w:r>
    </w:p>
    <w:p w14:paraId="0303CE1D" w14:textId="4406EB61" w:rsidR="00C473FD" w:rsidRDefault="00C473FD" w:rsidP="00535CA8">
      <w:pPr>
        <w:ind w:firstLine="0"/>
        <w:rPr>
          <w:rFonts w:eastAsiaTheme="minorEastAsia"/>
        </w:rPr>
      </w:pPr>
    </w:p>
    <w:p w14:paraId="5880AE99" w14:textId="7905C96E" w:rsidR="00C473FD" w:rsidRDefault="00091F19" w:rsidP="00535CA8">
      <w:pPr>
        <w:ind w:firstLine="0"/>
        <w:rPr>
          <w:rFonts w:eastAsiaTheme="minorEastAsia"/>
        </w:rPr>
      </w:pPr>
      <w:r>
        <w:rPr>
          <w:rFonts w:eastAsiaTheme="minorEastAsia"/>
        </w:rPr>
        <w:t>By uttering (15) or (16), the speaker would be going against her previous speech-act: she would be claiming that</w:t>
      </w:r>
      <w:r w:rsidR="00B01DCF">
        <w:rPr>
          <w:rFonts w:eastAsiaTheme="minorEastAsia"/>
        </w:rPr>
        <w:t xml:space="preserve"> she</w:t>
      </w:r>
      <w:r>
        <w:rPr>
          <w:rFonts w:eastAsiaTheme="minorEastAsia"/>
        </w:rPr>
        <w:t xml:space="preserve"> did not take on a justificatory responsibility she in fact took on</w:t>
      </w:r>
      <w:r w:rsidR="00E7616B">
        <w:rPr>
          <w:rFonts w:eastAsiaTheme="minorEastAsia"/>
        </w:rPr>
        <w:t xml:space="preserve">, or that she did not perform a speech-act she </w:t>
      </w:r>
      <w:r w:rsidR="00C01593">
        <w:rPr>
          <w:rFonts w:eastAsiaTheme="minorEastAsia"/>
        </w:rPr>
        <w:t xml:space="preserve">did </w:t>
      </w:r>
      <w:r w:rsidR="00E7616B">
        <w:rPr>
          <w:rFonts w:eastAsiaTheme="minorEastAsia"/>
        </w:rPr>
        <w:t>in fact perform</w:t>
      </w:r>
      <w:r>
        <w:rPr>
          <w:rFonts w:eastAsiaTheme="minorEastAsia"/>
        </w:rPr>
        <w:t>.</w:t>
      </w:r>
      <w:r>
        <w:rPr>
          <w:rStyle w:val="FootnoteReference"/>
          <w:rFonts w:eastAsiaTheme="minorEastAsia"/>
        </w:rPr>
        <w:footnoteReference w:id="45"/>
      </w:r>
      <w:r>
        <w:rPr>
          <w:rFonts w:eastAsiaTheme="minorEastAsia"/>
        </w:rPr>
        <w:t xml:space="preserve"> </w:t>
      </w:r>
    </w:p>
    <w:p w14:paraId="453FF560" w14:textId="2C282495" w:rsidR="00091F19" w:rsidRDefault="00091F19" w:rsidP="00091F19">
      <w:pPr>
        <w:rPr>
          <w:rFonts w:eastAsiaTheme="minorEastAsia"/>
        </w:rPr>
      </w:pPr>
      <w:r>
        <w:rPr>
          <w:rFonts w:eastAsiaTheme="minorEastAsia"/>
        </w:rPr>
        <w:lastRenderedPageBreak/>
        <w:t xml:space="preserve">Matters are different if the original utterance </w:t>
      </w:r>
      <w:r w:rsidR="00B01DCF">
        <w:rPr>
          <w:rFonts w:eastAsiaTheme="minorEastAsia"/>
        </w:rPr>
        <w:t>is</w:t>
      </w:r>
      <w:r>
        <w:rPr>
          <w:rFonts w:eastAsiaTheme="minorEastAsia"/>
        </w:rPr>
        <w:t xml:space="preserve"> a weaker constative, such as (11) or (12). Having uttered (11), the speaker might be challenged along the lines of (13) or (14). But in this case, she </w:t>
      </w:r>
      <w:r w:rsidRPr="005032DE">
        <w:rPr>
          <w:rFonts w:eastAsiaTheme="minorEastAsia"/>
          <w:i/>
          <w:iCs/>
        </w:rPr>
        <w:t>could</w:t>
      </w:r>
      <w:r>
        <w:rPr>
          <w:rFonts w:eastAsiaTheme="minorEastAsia"/>
        </w:rPr>
        <w:t xml:space="preserve"> consistently dismiss challenge</w:t>
      </w:r>
      <w:r w:rsidR="00E7616B">
        <w:rPr>
          <w:rFonts w:eastAsiaTheme="minorEastAsia"/>
        </w:rPr>
        <w:t>s of this kind</w:t>
      </w:r>
      <w:r>
        <w:rPr>
          <w:rFonts w:eastAsiaTheme="minorEastAsia"/>
        </w:rPr>
        <w:t xml:space="preserve">. </w:t>
      </w:r>
      <w:r w:rsidR="00E7616B">
        <w:rPr>
          <w:rFonts w:eastAsiaTheme="minorEastAsia"/>
        </w:rPr>
        <w:t>She could respond with (15) or (16) without going against her previous speech-act. At the same time, she could not consistently dismiss weaker challenges, such as possibly:</w:t>
      </w:r>
    </w:p>
    <w:p w14:paraId="6B68EA9B" w14:textId="7E0D52DF" w:rsidR="00E7616B" w:rsidRDefault="00E7616B" w:rsidP="00091F19">
      <w:pPr>
        <w:rPr>
          <w:rFonts w:eastAsiaTheme="minorEastAsia"/>
        </w:rPr>
      </w:pPr>
    </w:p>
    <w:p w14:paraId="579775F9" w14:textId="06E6FB87" w:rsidR="00E7616B" w:rsidRDefault="00E7616B" w:rsidP="005032DE">
      <w:pPr>
        <w:ind w:firstLine="708"/>
        <w:rPr>
          <w:rFonts w:eastAsiaTheme="minorEastAsia"/>
        </w:rPr>
      </w:pPr>
      <w:r>
        <w:rPr>
          <w:rFonts w:eastAsiaTheme="minorEastAsia"/>
        </w:rPr>
        <w:t>(17)</w:t>
      </w:r>
      <w:r>
        <w:rPr>
          <w:rFonts w:eastAsiaTheme="minorEastAsia"/>
        </w:rPr>
        <w:tab/>
        <w:t xml:space="preserve">What makes you think it is Asunción? </w:t>
      </w:r>
    </w:p>
    <w:p w14:paraId="6895AF6A" w14:textId="62085F05" w:rsidR="00E7616B" w:rsidRDefault="00E7616B" w:rsidP="00E7616B">
      <w:pPr>
        <w:rPr>
          <w:rFonts w:eastAsiaTheme="minorEastAsia"/>
        </w:rPr>
      </w:pPr>
      <w:r>
        <w:rPr>
          <w:rFonts w:eastAsiaTheme="minorEastAsia"/>
        </w:rPr>
        <w:tab/>
        <w:t>(18)</w:t>
      </w:r>
      <w:r>
        <w:rPr>
          <w:rFonts w:eastAsiaTheme="minorEastAsia"/>
        </w:rPr>
        <w:tab/>
        <w:t>Why are you inclined to think it is Asunción?</w:t>
      </w:r>
    </w:p>
    <w:p w14:paraId="352D2030" w14:textId="7632384D" w:rsidR="00E7616B" w:rsidRDefault="00E7616B" w:rsidP="00E7616B">
      <w:pPr>
        <w:ind w:firstLine="0"/>
        <w:rPr>
          <w:rFonts w:eastAsiaTheme="minorEastAsia"/>
        </w:rPr>
      </w:pPr>
    </w:p>
    <w:p w14:paraId="7FA6DAFA" w14:textId="1F06DF6B" w:rsidR="00E7616B" w:rsidRPr="005032DE" w:rsidRDefault="00E7616B">
      <w:pPr>
        <w:ind w:firstLine="0"/>
        <w:rPr>
          <w:rFonts w:eastAsiaTheme="minorEastAsia"/>
          <w:b/>
          <w:bCs/>
        </w:rPr>
      </w:pPr>
      <w:r>
        <w:rPr>
          <w:rFonts w:eastAsiaTheme="minorEastAsia"/>
        </w:rPr>
        <w:t>Following these weaker challenges, a consistent response requires her to answer the challenge or to retract the proposition put forward</w:t>
      </w:r>
      <w:r w:rsidR="00D0560D">
        <w:rPr>
          <w:rFonts w:eastAsiaTheme="minorEastAsia"/>
        </w:rPr>
        <w:t>; a consistent dismissal (denying that the justificatory responsibility presupposed in (17) or (18) was in fact taken on) is not available</w:t>
      </w:r>
      <w:r>
        <w:rPr>
          <w:rFonts w:eastAsiaTheme="minorEastAsia"/>
        </w:rPr>
        <w:t>.</w:t>
      </w:r>
      <w:r w:rsidR="006615F2">
        <w:rPr>
          <w:rStyle w:val="FootnoteReference"/>
          <w:rFonts w:eastAsiaTheme="minorEastAsia"/>
        </w:rPr>
        <w:footnoteReference w:id="46"/>
      </w:r>
      <w:r>
        <w:rPr>
          <w:rFonts w:eastAsiaTheme="minorEastAsia"/>
        </w:rPr>
        <w:t xml:space="preserve"> (Of course, </w:t>
      </w:r>
      <w:r w:rsidR="0074503F">
        <w:rPr>
          <w:rFonts w:eastAsiaTheme="minorEastAsia"/>
        </w:rPr>
        <w:t xml:space="preserve">an assertive utterance of (10) would not permit a consistent dismissal of these weaker challenges either). </w:t>
      </w:r>
    </w:p>
    <w:p w14:paraId="64C56ABB" w14:textId="1C6F9F7B" w:rsidR="001E0474" w:rsidRDefault="00D0560D">
      <w:pPr>
        <w:rPr>
          <w:rFonts w:eastAsiaTheme="minorEastAsia"/>
        </w:rPr>
      </w:pPr>
      <w:r>
        <w:rPr>
          <w:rFonts w:eastAsiaTheme="minorEastAsia"/>
        </w:rPr>
        <w:t>T</w:t>
      </w:r>
      <w:r w:rsidR="00E7616B">
        <w:rPr>
          <w:rFonts w:eastAsiaTheme="minorEastAsia"/>
        </w:rPr>
        <w:t xml:space="preserve">hese patterns of challenges and consistent responses fit well with the above </w:t>
      </w:r>
      <w:r w:rsidR="006615F2">
        <w:rPr>
          <w:rFonts w:eastAsiaTheme="minorEastAsia"/>
        </w:rPr>
        <w:t>picture</w:t>
      </w:r>
      <w:r w:rsidR="00E7616B">
        <w:rPr>
          <w:rFonts w:eastAsiaTheme="minorEastAsia"/>
        </w:rPr>
        <w:t xml:space="preserve"> of justificatory responsibility in constatives of different strength. Both asserters and conjecturers take on </w:t>
      </w:r>
      <w:r w:rsidR="0074503F">
        <w:rPr>
          <w:rFonts w:eastAsiaTheme="minorEastAsia"/>
        </w:rPr>
        <w:t>a</w:t>
      </w:r>
      <w:r w:rsidR="00E7616B">
        <w:rPr>
          <w:rFonts w:eastAsiaTheme="minorEastAsia"/>
        </w:rPr>
        <w:t xml:space="preserve"> justificatory responsibility, which is why there are certain challenges they cannot consistently dismiss. But which kinds of challenges can be consistently dismissed depends on the strength of the original speech-act: conjecturers can dismiss knowledge-challenge</w:t>
      </w:r>
      <w:r w:rsidR="0074503F">
        <w:rPr>
          <w:rFonts w:eastAsiaTheme="minorEastAsia"/>
        </w:rPr>
        <w:t>s</w:t>
      </w:r>
      <w:r w:rsidR="00E7616B">
        <w:rPr>
          <w:rFonts w:eastAsiaTheme="minorEastAsia"/>
        </w:rPr>
        <w:t>, but not weaker challenges, while asserters can dismiss neither knowledge</w:t>
      </w:r>
      <w:r w:rsidR="0074503F">
        <w:rPr>
          <w:rFonts w:eastAsiaTheme="minorEastAsia"/>
        </w:rPr>
        <w:t xml:space="preserve">-challenges nor weaker challenges. </w:t>
      </w:r>
      <w:r w:rsidR="006615F2">
        <w:rPr>
          <w:rFonts w:eastAsiaTheme="minorEastAsia"/>
        </w:rPr>
        <w:t>It is in this sense that asserters take on a commitment (</w:t>
      </w:r>
      <w:r w:rsidR="00CA7CBF">
        <w:rPr>
          <w:rFonts w:eastAsiaTheme="minorEastAsia"/>
        </w:rPr>
        <w:t>that is,</w:t>
      </w:r>
      <w:r w:rsidR="006615F2">
        <w:rPr>
          <w:rFonts w:eastAsiaTheme="minorEastAsia"/>
        </w:rPr>
        <w:t xml:space="preserve"> a justificatory responsibility </w:t>
      </w:r>
      <w:r w:rsidR="006300CC">
        <w:rPr>
          <w:rFonts w:eastAsiaTheme="minorEastAsia"/>
        </w:rPr>
        <w:t xml:space="preserve">to defend </w:t>
      </w:r>
      <w:r w:rsidR="006615F2">
        <w:rPr>
          <w:rFonts w:eastAsiaTheme="minorEastAsia"/>
        </w:rPr>
        <w:t xml:space="preserve">that they know the proposition put forward) that </w:t>
      </w:r>
      <w:r>
        <w:rPr>
          <w:rFonts w:eastAsiaTheme="minorEastAsia"/>
        </w:rPr>
        <w:t>speakers performing weaker constatives</w:t>
      </w:r>
      <w:r w:rsidR="000E2F48">
        <w:rPr>
          <w:rFonts w:eastAsiaTheme="minorEastAsia"/>
        </w:rPr>
        <w:t xml:space="preserve"> avoid</w:t>
      </w:r>
      <w:r w:rsidR="005A54D9">
        <w:rPr>
          <w:rFonts w:eastAsiaTheme="minorEastAsia"/>
        </w:rPr>
        <w:t>.</w:t>
      </w:r>
      <w:r w:rsidR="00B82E13">
        <w:rPr>
          <w:rStyle w:val="FootnoteReference"/>
          <w:rFonts w:eastAsiaTheme="minorEastAsia"/>
        </w:rPr>
        <w:footnoteReference w:id="47"/>
      </w:r>
      <w:r w:rsidR="007159C0">
        <w:rPr>
          <w:rFonts w:eastAsiaTheme="minorEastAsia"/>
        </w:rPr>
        <w:t xml:space="preserve"> </w:t>
      </w:r>
    </w:p>
    <w:p w14:paraId="050C03A4" w14:textId="4B3099CE" w:rsidR="000E2F48" w:rsidRDefault="009E3A86" w:rsidP="001E0474">
      <w:r>
        <w:rPr>
          <w:rFonts w:eastAsiaTheme="minorEastAsia"/>
        </w:rPr>
        <w:lastRenderedPageBreak/>
        <w:t xml:space="preserve">Now we can return to definition (D4) and the lying-misleading distinction. The notion of commitment in (D4) is to be understood as </w:t>
      </w:r>
      <w:r w:rsidR="0062324E">
        <w:rPr>
          <w:rFonts w:eastAsiaTheme="minorEastAsia"/>
        </w:rPr>
        <w:t xml:space="preserve">the commitment in assertion, </w:t>
      </w:r>
      <w:r w:rsidR="005A54D9">
        <w:rPr>
          <w:rFonts w:eastAsiaTheme="minorEastAsia"/>
        </w:rPr>
        <w:t>in the way I have just outlined it</w:t>
      </w:r>
      <w:r w:rsidR="006359D9">
        <w:rPr>
          <w:rFonts w:eastAsiaTheme="minorEastAsia"/>
        </w:rPr>
        <w:t>.</w:t>
      </w:r>
      <w:r w:rsidR="000E2F48">
        <w:rPr>
          <w:rFonts w:eastAsiaTheme="minorEastAsia"/>
        </w:rPr>
        <w:t xml:space="preserve"> </w:t>
      </w:r>
      <w:r w:rsidR="00C252BE">
        <w:rPr>
          <w:rFonts w:eastAsiaTheme="minorEastAsia"/>
        </w:rPr>
        <w:t xml:space="preserve">By requiring liars to commit themselves to </w:t>
      </w:r>
      <w:r w:rsidR="000803EB">
        <w:rPr>
          <w:rFonts w:eastAsiaTheme="minorEastAsia"/>
        </w:rPr>
        <w:t>a proposition</w:t>
      </w:r>
      <w:r w:rsidR="00C252BE">
        <w:rPr>
          <w:rFonts w:eastAsiaTheme="minorEastAsia"/>
        </w:rPr>
        <w:t xml:space="preserve"> they believe to be false, (D4) requires them to take on a justificatory responsibility </w:t>
      </w:r>
      <w:r w:rsidR="000803EB">
        <w:rPr>
          <w:rFonts w:eastAsiaTheme="minorEastAsia"/>
        </w:rPr>
        <w:t xml:space="preserve">to defend </w:t>
      </w:r>
      <w:r w:rsidR="00C252BE">
        <w:t xml:space="preserve">that </w:t>
      </w:r>
      <w:r w:rsidR="000803EB">
        <w:t>they</w:t>
      </w:r>
      <w:r w:rsidR="00C252BE">
        <w:t xml:space="preserve"> </w:t>
      </w:r>
      <w:r w:rsidR="00C252BE" w:rsidRPr="00CE3D1F">
        <w:rPr>
          <w:i/>
          <w:iCs/>
        </w:rPr>
        <w:t>know</w:t>
      </w:r>
      <w:r w:rsidR="00C252BE">
        <w:t xml:space="preserve"> the proposition </w:t>
      </w:r>
      <w:r w:rsidR="006300CC">
        <w:t>put forward</w:t>
      </w:r>
      <w:r w:rsidR="00C252BE">
        <w:t xml:space="preserve">. And </w:t>
      </w:r>
      <w:r w:rsidR="000803EB">
        <w:t xml:space="preserve">this justificatory </w:t>
      </w:r>
      <w:r w:rsidR="00C252BE">
        <w:t>responsibility</w:t>
      </w:r>
      <w:r w:rsidR="000803EB">
        <w:t xml:space="preserve">, in turn, is based on the absence of </w:t>
      </w:r>
      <w:r w:rsidR="00C252BE">
        <w:t>consistent</w:t>
      </w:r>
      <w:r w:rsidR="000803EB">
        <w:t xml:space="preserve"> </w:t>
      </w:r>
      <w:r w:rsidR="00C252BE">
        <w:t>dismiss</w:t>
      </w:r>
      <w:r w:rsidR="000803EB">
        <w:t>als to</w:t>
      </w:r>
      <w:r w:rsidR="00C252BE">
        <w:t xml:space="preserve"> </w:t>
      </w:r>
      <w:r w:rsidR="000803EB">
        <w:t>knowledge-</w:t>
      </w:r>
      <w:r w:rsidR="00C252BE">
        <w:t>challenges</w:t>
      </w:r>
      <w:r w:rsidR="000803EB">
        <w:t xml:space="preserve"> regarding the proposition in question. In short, the commitment in lying is thus to be understood as follows:</w:t>
      </w:r>
    </w:p>
    <w:p w14:paraId="64789166" w14:textId="77777777" w:rsidR="000803EB" w:rsidRDefault="000803EB" w:rsidP="001E0474">
      <w:pPr>
        <w:rPr>
          <w:rFonts w:eastAsiaTheme="minorEastAsia"/>
        </w:rPr>
      </w:pPr>
    </w:p>
    <w:p w14:paraId="20ECD3DB" w14:textId="3BFBCE55" w:rsidR="008015AC" w:rsidRPr="00F90D0D" w:rsidRDefault="008015AC" w:rsidP="005032DE">
      <w:pPr>
        <w:keepNext/>
        <w:spacing w:line="360" w:lineRule="auto"/>
        <w:ind w:firstLine="0"/>
        <w:rPr>
          <w:rFonts w:eastAsiaTheme="minorEastAsia"/>
          <w:i/>
        </w:rPr>
      </w:pPr>
      <w:r>
        <w:tab/>
        <w:t>(C)</w:t>
      </w:r>
      <w:r>
        <w:tab/>
      </w:r>
      <w:r>
        <w:rPr>
          <w:rFonts w:eastAsiaTheme="minorEastAsia"/>
          <w:i/>
        </w:rPr>
        <w:t xml:space="preserve">The </w:t>
      </w:r>
      <w:r w:rsidR="006557AE">
        <w:rPr>
          <w:rFonts w:eastAsiaTheme="minorEastAsia"/>
          <w:i/>
        </w:rPr>
        <w:t>C</w:t>
      </w:r>
      <w:r>
        <w:rPr>
          <w:rFonts w:eastAsiaTheme="minorEastAsia"/>
          <w:i/>
        </w:rPr>
        <w:t xml:space="preserve">ommitment in </w:t>
      </w:r>
      <w:r w:rsidR="006557AE">
        <w:rPr>
          <w:rFonts w:eastAsiaTheme="minorEastAsia"/>
          <w:i/>
        </w:rPr>
        <w:t>L</w:t>
      </w:r>
      <w:r>
        <w:rPr>
          <w:rFonts w:eastAsiaTheme="minorEastAsia"/>
          <w:i/>
        </w:rPr>
        <w:t>ying</w:t>
      </w:r>
    </w:p>
    <w:p w14:paraId="38883D58" w14:textId="51685D8E" w:rsidR="008015AC" w:rsidRDefault="008015AC" w:rsidP="00487742">
      <w:pPr>
        <w:pStyle w:val="longquote"/>
        <w:spacing w:before="0" w:after="0"/>
        <w:rPr>
          <w:rFonts w:eastAsiaTheme="minorEastAsia"/>
        </w:rPr>
      </w:pPr>
      <w:r>
        <w:rPr>
          <w:rFonts w:eastAsiaTheme="minorEastAsia"/>
        </w:rPr>
        <w:t>In</w:t>
      </w:r>
      <w:r w:rsidRPr="00F90D0D">
        <w:rPr>
          <w:rFonts w:eastAsiaTheme="minorEastAsia"/>
        </w:rPr>
        <w:t xml:space="preserve"> perform</w:t>
      </w:r>
      <w:r>
        <w:rPr>
          <w:rFonts w:eastAsiaTheme="minorEastAsia"/>
        </w:rPr>
        <w:t>ing</w:t>
      </w:r>
      <w:r w:rsidRPr="00F90D0D">
        <w:rPr>
          <w:rFonts w:eastAsiaTheme="minorEastAsia"/>
        </w:rPr>
        <w:t xml:space="preserve"> a communicative act C</w:t>
      </w:r>
      <w:r>
        <w:rPr>
          <w:rFonts w:eastAsiaTheme="minorEastAsia"/>
        </w:rPr>
        <w:t xml:space="preserve"> with </w:t>
      </w:r>
      <w:r w:rsidR="006557AE">
        <w:rPr>
          <w:rFonts w:eastAsiaTheme="minorEastAsia"/>
        </w:rPr>
        <w:t xml:space="preserve">a proposition </w:t>
      </w:r>
      <w:r>
        <w:rPr>
          <w:rFonts w:eastAsiaTheme="minorEastAsia"/>
        </w:rPr>
        <w:t>p</w:t>
      </w:r>
      <w:r w:rsidR="006557AE">
        <w:rPr>
          <w:rFonts w:eastAsiaTheme="minorEastAsia"/>
        </w:rPr>
        <w:t xml:space="preserve"> as content</w:t>
      </w:r>
      <w:r>
        <w:rPr>
          <w:rFonts w:eastAsiaTheme="minorEastAsia"/>
        </w:rPr>
        <w:t xml:space="preserve">, a speaker A commits herself </w:t>
      </w:r>
      <w:proofErr w:type="spellStart"/>
      <w:r>
        <w:rPr>
          <w:rFonts w:eastAsiaTheme="minorEastAsia"/>
        </w:rPr>
        <w:t>to p</w:t>
      </w:r>
      <w:proofErr w:type="spellEnd"/>
      <w:r>
        <w:rPr>
          <w:rFonts w:eastAsiaTheme="minorEastAsia"/>
        </w:rPr>
        <w:t xml:space="preserve"> (in the sense relevant for the lying-misleading distinction) iff A cannot consistently dismiss an audience challenge in response to C to defend </w:t>
      </w:r>
      <w:r w:rsidR="00C01593">
        <w:rPr>
          <w:rFonts w:eastAsiaTheme="minorEastAsia"/>
        </w:rPr>
        <w:t xml:space="preserve">(or justify) </w:t>
      </w:r>
      <w:r>
        <w:rPr>
          <w:rFonts w:eastAsiaTheme="minorEastAsia"/>
        </w:rPr>
        <w:t xml:space="preserve">that she knows p. </w:t>
      </w:r>
    </w:p>
    <w:p w14:paraId="4FA7FE93" w14:textId="77777777" w:rsidR="009E1E04" w:rsidRPr="00F90D0D" w:rsidRDefault="009E1E04" w:rsidP="008015AC">
      <w:pPr>
        <w:pStyle w:val="longquote"/>
        <w:rPr>
          <w:rFonts w:eastAsiaTheme="minorEastAsia"/>
        </w:rPr>
      </w:pPr>
    </w:p>
    <w:p w14:paraId="50FDBDCD" w14:textId="44726AAA" w:rsidR="008015AC" w:rsidRDefault="000803EB" w:rsidP="000803EB">
      <w:pPr>
        <w:ind w:firstLine="0"/>
        <w:rPr>
          <w:rFonts w:eastAsiaTheme="minorEastAsia"/>
        </w:rPr>
      </w:pPr>
      <w:r>
        <w:rPr>
          <w:rFonts w:eastAsiaTheme="minorEastAsia"/>
        </w:rPr>
        <w:t>This is also the commitment to a believed-false proposition that misleaders avoid. Misleaders do put forward a proposition they believe to be false (</w:t>
      </w:r>
      <w:r w:rsidR="006300CC">
        <w:rPr>
          <w:rFonts w:eastAsiaTheme="minorEastAsia"/>
        </w:rPr>
        <w:t>usually</w:t>
      </w:r>
      <w:r>
        <w:rPr>
          <w:rFonts w:eastAsiaTheme="minorEastAsia"/>
        </w:rPr>
        <w:t xml:space="preserve"> by asserting a proposition t</w:t>
      </w:r>
      <w:r w:rsidR="006300CC">
        <w:rPr>
          <w:rFonts w:eastAsiaTheme="minorEastAsia"/>
        </w:rPr>
        <w:t xml:space="preserve">hey believe </w:t>
      </w:r>
      <w:r>
        <w:rPr>
          <w:rFonts w:eastAsiaTheme="minorEastAsia"/>
        </w:rPr>
        <w:t>to be true).</w:t>
      </w:r>
      <w:r w:rsidR="006300CC">
        <w:rPr>
          <w:rStyle w:val="FootnoteReference"/>
          <w:rFonts w:eastAsiaTheme="minorEastAsia"/>
        </w:rPr>
        <w:footnoteReference w:id="48"/>
      </w:r>
      <w:r>
        <w:rPr>
          <w:rFonts w:eastAsiaTheme="minorEastAsia"/>
        </w:rPr>
        <w:t xml:space="preserve"> But they put it forward in a non-committal way – </w:t>
      </w:r>
      <w:r w:rsidR="00C97902">
        <w:rPr>
          <w:rFonts w:eastAsiaTheme="minorEastAsia"/>
        </w:rPr>
        <w:t>taking on a justificatory responsibility</w:t>
      </w:r>
      <w:r>
        <w:rPr>
          <w:rFonts w:eastAsiaTheme="minorEastAsia"/>
        </w:rPr>
        <w:t xml:space="preserve"> that is comparable to </w:t>
      </w:r>
      <w:r w:rsidR="00C97902">
        <w:rPr>
          <w:rFonts w:eastAsiaTheme="minorEastAsia"/>
        </w:rPr>
        <w:t>that found in</w:t>
      </w:r>
      <w:r>
        <w:rPr>
          <w:rFonts w:eastAsiaTheme="minorEastAsia"/>
        </w:rPr>
        <w:t xml:space="preserve"> weaker constatives such as conjecturing or speculating. </w:t>
      </w:r>
      <w:r w:rsidR="009E1E04">
        <w:rPr>
          <w:rFonts w:eastAsiaTheme="minorEastAsia"/>
        </w:rPr>
        <w:t xml:space="preserve">As a result, misleaders </w:t>
      </w:r>
      <w:r w:rsidR="009E1E04" w:rsidRPr="005032DE">
        <w:rPr>
          <w:rFonts w:eastAsiaTheme="minorEastAsia"/>
          <w:i/>
          <w:iCs/>
        </w:rPr>
        <w:t>can</w:t>
      </w:r>
      <w:r w:rsidR="009E1E04">
        <w:rPr>
          <w:rFonts w:eastAsiaTheme="minorEastAsia"/>
        </w:rPr>
        <w:t xml:space="preserve"> consistently dismiss knowledge-challenges </w:t>
      </w:r>
      <w:r w:rsidR="00867A57">
        <w:rPr>
          <w:rFonts w:eastAsiaTheme="minorEastAsia"/>
        </w:rPr>
        <w:t>aimed at</w:t>
      </w:r>
      <w:r w:rsidR="009E1E04">
        <w:rPr>
          <w:rFonts w:eastAsiaTheme="minorEastAsia"/>
        </w:rPr>
        <w:t xml:space="preserve"> the proposition they intend to mislead </w:t>
      </w:r>
      <w:r w:rsidR="00C01593">
        <w:rPr>
          <w:rFonts w:eastAsiaTheme="minorEastAsia"/>
        </w:rPr>
        <w:t xml:space="preserve">someone </w:t>
      </w:r>
      <w:r w:rsidR="009E1E04">
        <w:rPr>
          <w:rFonts w:eastAsiaTheme="minorEastAsia"/>
        </w:rPr>
        <w:t>about, although they cannot consistently dismiss weaker challenges</w:t>
      </w:r>
      <w:r w:rsidR="00867A57">
        <w:rPr>
          <w:rFonts w:eastAsiaTheme="minorEastAsia"/>
        </w:rPr>
        <w:t xml:space="preserve"> aimed at this proposition</w:t>
      </w:r>
      <w:r w:rsidR="009E1E04">
        <w:rPr>
          <w:rFonts w:eastAsiaTheme="minorEastAsia"/>
        </w:rPr>
        <w:t xml:space="preserve">. </w:t>
      </w:r>
    </w:p>
    <w:p w14:paraId="7DF09171" w14:textId="664C19FF" w:rsidR="009E1E04" w:rsidRPr="009E1E04" w:rsidRDefault="009E1E04" w:rsidP="005032DE">
      <w:pPr>
        <w:rPr>
          <w:rFonts w:eastAsiaTheme="minorEastAsia"/>
        </w:rPr>
      </w:pPr>
      <w:r>
        <w:rPr>
          <w:rFonts w:eastAsiaTheme="minorEastAsia"/>
        </w:rPr>
        <w:t xml:space="preserve">According to this picture, lying and misleading thus involve constative speech-acts of different </w:t>
      </w:r>
      <w:r w:rsidRPr="005032DE">
        <w:rPr>
          <w:rFonts w:eastAsiaTheme="minorEastAsia"/>
          <w:i/>
          <w:iCs/>
        </w:rPr>
        <w:t>force</w:t>
      </w:r>
      <w:r>
        <w:rPr>
          <w:rFonts w:eastAsiaTheme="minorEastAsia"/>
        </w:rPr>
        <w:t xml:space="preserve">. Lying involves the committal speech-act of asserting, while misleading involves the non-committal speech-act of </w:t>
      </w:r>
      <w:r w:rsidRPr="005032DE">
        <w:rPr>
          <w:rFonts w:eastAsiaTheme="minorEastAsia"/>
        </w:rPr>
        <w:t>suggesting</w:t>
      </w:r>
      <w:r>
        <w:rPr>
          <w:rFonts w:eastAsiaTheme="minorEastAsia"/>
        </w:rPr>
        <w:t xml:space="preserve"> (usually by way of conversationally implicating). Through both asserting and suggesting</w:t>
      </w:r>
      <w:r w:rsidR="000849BF">
        <w:rPr>
          <w:rFonts w:eastAsiaTheme="minorEastAsia"/>
        </w:rPr>
        <w:t>,</w:t>
      </w:r>
      <w:r>
        <w:rPr>
          <w:rFonts w:eastAsiaTheme="minorEastAsia"/>
        </w:rPr>
        <w:t xml:space="preserve"> speakers take on a justificatory responsibility, but the kind of </w:t>
      </w:r>
      <w:r w:rsidR="000849BF">
        <w:rPr>
          <w:rFonts w:eastAsiaTheme="minorEastAsia"/>
        </w:rPr>
        <w:t xml:space="preserve">justificatory </w:t>
      </w:r>
      <w:r>
        <w:rPr>
          <w:rFonts w:eastAsiaTheme="minorEastAsia"/>
        </w:rPr>
        <w:t xml:space="preserve">responsibility differs: asserters take on a responsibility to defend that they know the proposition put forward, while suggesters merely take on a responsibility to defend that they stand in a weaker epistemic state to the proposition put forward. </w:t>
      </w:r>
    </w:p>
    <w:p w14:paraId="12D97705" w14:textId="6D14A760" w:rsidR="00B16A44" w:rsidRDefault="009E1E04" w:rsidP="001E0474">
      <w:pPr>
        <w:rPr>
          <w:rFonts w:eastAsiaTheme="minorEastAsia"/>
        </w:rPr>
      </w:pPr>
      <w:r>
        <w:rPr>
          <w:rFonts w:eastAsiaTheme="minorEastAsia"/>
        </w:rPr>
        <w:t xml:space="preserve">I should note that in spelling out </w:t>
      </w:r>
      <w:r w:rsidR="008A5282">
        <w:rPr>
          <w:rFonts w:eastAsiaTheme="minorEastAsia"/>
        </w:rPr>
        <w:t xml:space="preserve">the notion of commitment in the way proposed, my aim is not to offer a general account of commitment. Rather, my aim is to </w:t>
      </w:r>
      <w:r w:rsidR="008C7C2C">
        <w:rPr>
          <w:rFonts w:eastAsiaTheme="minorEastAsia"/>
        </w:rPr>
        <w:t>find</w:t>
      </w:r>
      <w:r w:rsidR="008A5282">
        <w:rPr>
          <w:rFonts w:eastAsiaTheme="minorEastAsia"/>
        </w:rPr>
        <w:t xml:space="preserve"> a notion of commitment that </w:t>
      </w:r>
      <w:r w:rsidR="00F03232">
        <w:rPr>
          <w:rFonts w:eastAsiaTheme="minorEastAsia"/>
        </w:rPr>
        <w:t>can be employed to draw</w:t>
      </w:r>
      <w:r w:rsidR="008A5282">
        <w:rPr>
          <w:rFonts w:eastAsiaTheme="minorEastAsia"/>
        </w:rPr>
        <w:t xml:space="preserve"> the line between lying and misleading.</w:t>
      </w:r>
      <w:r w:rsidR="008A5282">
        <w:rPr>
          <w:rStyle w:val="FootnoteReference"/>
          <w:rFonts w:eastAsiaTheme="minorEastAsia"/>
        </w:rPr>
        <w:footnoteReference w:id="49"/>
      </w:r>
      <w:r w:rsidR="000849BF">
        <w:rPr>
          <w:rFonts w:eastAsiaTheme="minorEastAsia"/>
        </w:rPr>
        <w:t xml:space="preserve"> I have developed this notion </w:t>
      </w:r>
      <w:r w:rsidR="000849BF">
        <w:rPr>
          <w:rFonts w:eastAsiaTheme="minorEastAsia"/>
        </w:rPr>
        <w:lastRenderedPageBreak/>
        <w:t xml:space="preserve">through a discussion of commitment in assertion, and I strongly suspect that the aspects of commitment that are needed to draw the lying-misleading distinction are also aspects of </w:t>
      </w:r>
      <w:r w:rsidR="008C7C2C">
        <w:rPr>
          <w:rFonts w:eastAsiaTheme="minorEastAsia"/>
        </w:rPr>
        <w:t xml:space="preserve">the </w:t>
      </w:r>
      <w:r w:rsidR="000849BF">
        <w:rPr>
          <w:rFonts w:eastAsiaTheme="minorEastAsia"/>
        </w:rPr>
        <w:t xml:space="preserve">commitment in assertion. This would fit well with the widely held view (mentioned in Section </w:t>
      </w:r>
      <w:r w:rsidR="00A30F8D" w:rsidRPr="00A30F8D">
        <w:rPr>
          <w:rFonts w:eastAsiaTheme="minorEastAsia"/>
          <w:smallCaps/>
        </w:rPr>
        <w:t>ii</w:t>
      </w:r>
      <w:r w:rsidR="000849BF">
        <w:rPr>
          <w:rFonts w:eastAsiaTheme="minorEastAsia"/>
        </w:rPr>
        <w:t xml:space="preserve">) that lying requires asserting. But I want to leave open the possibility that the commitment in assertion turns out to be different from the notion of commitment as captured in (C). In particular, I want to leave open the possibility that there are aspects of commitment in assertion that are not yet covered by (C). For example, it may well be the case that asserters not only take on a justificatory responsibility with respect to the proposition put forward, but are also in a certain sense </w:t>
      </w:r>
      <w:r w:rsidR="000849BF" w:rsidRPr="005032DE">
        <w:rPr>
          <w:rFonts w:eastAsiaTheme="minorEastAsia"/>
          <w:i/>
          <w:iCs/>
        </w:rPr>
        <w:t>liable</w:t>
      </w:r>
      <w:r w:rsidR="000849BF">
        <w:rPr>
          <w:rFonts w:eastAsiaTheme="minorEastAsia"/>
        </w:rPr>
        <w:t xml:space="preserve"> </w:t>
      </w:r>
      <w:r w:rsidR="007B66BE">
        <w:rPr>
          <w:rFonts w:eastAsiaTheme="minorEastAsia"/>
        </w:rPr>
        <w:t>for the truth of that proposition</w:t>
      </w:r>
      <w:r w:rsidR="000849BF">
        <w:rPr>
          <w:rFonts w:eastAsiaTheme="minorEastAsia"/>
        </w:rPr>
        <w:t>.</w:t>
      </w:r>
      <w:r w:rsidR="00A30F8D">
        <w:rPr>
          <w:rStyle w:val="FootnoteReference"/>
          <w:rFonts w:eastAsiaTheme="minorEastAsia"/>
        </w:rPr>
        <w:footnoteReference w:id="50"/>
      </w:r>
      <w:r w:rsidR="000849BF">
        <w:rPr>
          <w:rFonts w:eastAsiaTheme="minorEastAsia"/>
        </w:rPr>
        <w:t xml:space="preserve"> </w:t>
      </w:r>
      <w:r w:rsidR="007B66BE">
        <w:rPr>
          <w:rFonts w:eastAsiaTheme="minorEastAsia"/>
        </w:rPr>
        <w:t>If that is indeed the case, it might be another way in which asserting differs from other constative speech acts, and in which lying differs from misleading. For now, however, all I want to argue is that lying differs from misleading in terms of commitment, where commitment is understood as justificatory responsibility to defend that one knows the proposition in question.</w:t>
      </w:r>
      <w:r w:rsidR="006615F2">
        <w:t xml:space="preserve"> </w:t>
      </w:r>
      <w:r w:rsidR="00B16A44">
        <w:rPr>
          <w:rFonts w:eastAsiaTheme="minorEastAsia"/>
        </w:rPr>
        <w:t xml:space="preserve">Is </w:t>
      </w:r>
      <w:r w:rsidR="006359D9">
        <w:rPr>
          <w:rFonts w:eastAsiaTheme="minorEastAsia"/>
        </w:rPr>
        <w:t>this way of framing the difference between lying and misleading</w:t>
      </w:r>
      <w:r w:rsidR="00B16A44">
        <w:rPr>
          <w:rFonts w:eastAsiaTheme="minorEastAsia"/>
        </w:rPr>
        <w:t xml:space="preserve"> plausible? Here are some reasons to think it is. </w:t>
      </w:r>
    </w:p>
    <w:p w14:paraId="028BAD4E" w14:textId="7B22EBF7" w:rsidR="00B16A44" w:rsidRDefault="00F538E9" w:rsidP="001E0474">
      <w:pPr>
        <w:rPr>
          <w:rFonts w:eastAsiaTheme="minorEastAsia"/>
        </w:rPr>
      </w:pPr>
      <w:r>
        <w:rPr>
          <w:rFonts w:eastAsiaTheme="minorEastAsia"/>
        </w:rPr>
        <w:t>Consider</w:t>
      </w:r>
      <w:r w:rsidR="00B16A44">
        <w:rPr>
          <w:rFonts w:eastAsiaTheme="minorEastAsia"/>
        </w:rPr>
        <w:t xml:space="preserve"> the </w:t>
      </w:r>
      <w:r w:rsidR="00966618">
        <w:rPr>
          <w:rFonts w:eastAsiaTheme="minorEastAsia"/>
        </w:rPr>
        <w:t>two</w:t>
      </w:r>
      <w:r w:rsidR="00B16A44">
        <w:rPr>
          <w:rFonts w:eastAsiaTheme="minorEastAsia"/>
        </w:rPr>
        <w:t xml:space="preserve"> examples of misleading from </w:t>
      </w:r>
      <w:r w:rsidR="001E4F0E">
        <w:rPr>
          <w:rFonts w:eastAsiaTheme="minorEastAsia"/>
        </w:rPr>
        <w:t xml:space="preserve">the beginning of </w:t>
      </w:r>
      <w:r w:rsidR="00B16A44">
        <w:rPr>
          <w:rFonts w:eastAsiaTheme="minorEastAsia"/>
        </w:rPr>
        <w:t>this paper (repeated</w:t>
      </w:r>
      <w:r w:rsidR="00F03232">
        <w:rPr>
          <w:rFonts w:eastAsiaTheme="minorEastAsia"/>
        </w:rPr>
        <w:t xml:space="preserve"> </w:t>
      </w:r>
      <w:r w:rsidR="00801366">
        <w:rPr>
          <w:rFonts w:eastAsiaTheme="minorEastAsia"/>
        </w:rPr>
        <w:t>below</w:t>
      </w:r>
      <w:r w:rsidR="00B16A44">
        <w:rPr>
          <w:rFonts w:eastAsiaTheme="minorEastAsia"/>
        </w:rPr>
        <w:t xml:space="preserve">): </w:t>
      </w:r>
    </w:p>
    <w:p w14:paraId="543CF68C" w14:textId="77777777" w:rsidR="0003021F" w:rsidRDefault="0003021F" w:rsidP="001E0474">
      <w:pPr>
        <w:rPr>
          <w:rFonts w:eastAsiaTheme="minorEastAsia"/>
        </w:rPr>
      </w:pPr>
    </w:p>
    <w:p w14:paraId="68B0450C" w14:textId="564E408B" w:rsidR="009E3A86" w:rsidRDefault="00B16A44" w:rsidP="00B16A44">
      <w:pPr>
        <w:ind w:firstLine="708"/>
        <w:rPr>
          <w:rFonts w:eastAsiaTheme="minorEastAsia"/>
        </w:rPr>
      </w:pPr>
      <w:r w:rsidRPr="00F90D0D">
        <w:t xml:space="preserve">(2) </w:t>
      </w:r>
      <w:r w:rsidRPr="00F90D0D">
        <w:tab/>
        <w:t>I saw him yesterday and he was fine</w:t>
      </w:r>
      <w:r>
        <w:rPr>
          <w:rFonts w:eastAsiaTheme="minorEastAsia"/>
        </w:rPr>
        <w:t>.</w:t>
      </w:r>
    </w:p>
    <w:p w14:paraId="130F0591" w14:textId="108E2F12" w:rsidR="00D24C23" w:rsidRDefault="00D24C23" w:rsidP="00B16A44">
      <w:pPr>
        <w:ind w:firstLine="708"/>
        <w:rPr>
          <w:rFonts w:eastAsiaTheme="minorEastAsia"/>
        </w:rPr>
      </w:pPr>
      <w:r>
        <w:rPr>
          <w:rFonts w:eastAsiaTheme="minorEastAsia"/>
        </w:rPr>
        <w:tab/>
        <w:t>Implicat</w:t>
      </w:r>
      <w:r w:rsidR="00966618">
        <w:rPr>
          <w:rFonts w:eastAsiaTheme="minorEastAsia"/>
        </w:rPr>
        <w:t>ure</w:t>
      </w:r>
      <w:r>
        <w:rPr>
          <w:rFonts w:eastAsiaTheme="minorEastAsia"/>
        </w:rPr>
        <w:t>: The dying woman’s son is fine</w:t>
      </w:r>
      <w:r w:rsidR="00D16D09">
        <w:rPr>
          <w:rFonts w:eastAsiaTheme="minorEastAsia"/>
        </w:rPr>
        <w:t>.</w:t>
      </w:r>
    </w:p>
    <w:p w14:paraId="72CF23C1" w14:textId="39B07A70" w:rsidR="00B16A44" w:rsidRPr="003D29EB" w:rsidRDefault="00B16A44" w:rsidP="00B16A44">
      <w:pPr>
        <w:ind w:firstLine="708"/>
        <w:rPr>
          <w:rFonts w:eastAsiaTheme="minorEastAsia"/>
          <w:lang w:val="en-US"/>
        </w:rPr>
      </w:pPr>
      <w:r>
        <w:rPr>
          <w:rFonts w:eastAsiaTheme="minorEastAsia"/>
        </w:rPr>
        <w:t>(4)</w:t>
      </w:r>
      <w:r>
        <w:rPr>
          <w:rFonts w:eastAsiaTheme="minorEastAsia"/>
        </w:rPr>
        <w:tab/>
      </w:r>
      <w:r w:rsidR="0050714A" w:rsidRPr="004E3BE2">
        <w:rPr>
          <w:rFonts w:eastAsiaTheme="minorEastAsia"/>
          <w:iCs/>
        </w:rPr>
        <w:t xml:space="preserve">The composition is </w:t>
      </w:r>
      <w:proofErr w:type="gramStart"/>
      <w:r w:rsidR="0050714A" w:rsidRPr="004E3BE2">
        <w:rPr>
          <w:rFonts w:eastAsiaTheme="minorEastAsia"/>
          <w:iCs/>
        </w:rPr>
        <w:t>great</w:t>
      </w:r>
      <w:proofErr w:type="gramEnd"/>
      <w:r w:rsidR="0050714A" w:rsidRPr="004E3BE2">
        <w:rPr>
          <w:rFonts w:eastAsiaTheme="minorEastAsia"/>
          <w:iCs/>
        </w:rPr>
        <w:t xml:space="preserve"> and the brushwork </w:t>
      </w:r>
      <w:r w:rsidR="0050714A" w:rsidRPr="004E3BE2">
        <w:rPr>
          <w:rFonts w:eastAsiaTheme="minorEastAsia"/>
          <w:iCs/>
          <w:lang w:val="en-DE"/>
        </w:rPr>
        <w:t>is excellent</w:t>
      </w:r>
      <w:r w:rsidR="00D16D09" w:rsidRPr="003D29EB">
        <w:rPr>
          <w:rFonts w:eastAsiaTheme="minorEastAsia"/>
          <w:iCs/>
          <w:lang w:val="en-US"/>
        </w:rPr>
        <w:t>.</w:t>
      </w:r>
    </w:p>
    <w:p w14:paraId="778CDF7B" w14:textId="08F7248E" w:rsidR="00D24C23" w:rsidRDefault="00D24C23" w:rsidP="00B16A44">
      <w:pPr>
        <w:ind w:firstLine="708"/>
        <w:rPr>
          <w:rFonts w:eastAsiaTheme="minorEastAsia"/>
        </w:rPr>
      </w:pPr>
      <w:r>
        <w:rPr>
          <w:rFonts w:eastAsiaTheme="minorEastAsia"/>
        </w:rPr>
        <w:tab/>
        <w:t>Implicat</w:t>
      </w:r>
      <w:r w:rsidR="00966618">
        <w:rPr>
          <w:rFonts w:eastAsiaTheme="minorEastAsia"/>
        </w:rPr>
        <w:t>ure</w:t>
      </w:r>
      <w:r>
        <w:rPr>
          <w:rFonts w:eastAsiaTheme="minorEastAsia"/>
        </w:rPr>
        <w:t xml:space="preserve">: </w:t>
      </w:r>
      <w:r w:rsidR="0050714A">
        <w:rPr>
          <w:rFonts w:eastAsiaTheme="minorEastAsia"/>
        </w:rPr>
        <w:t>Amy likes the paintings</w:t>
      </w:r>
      <w:r>
        <w:rPr>
          <w:rFonts w:eastAsiaTheme="minorEastAsia"/>
        </w:rPr>
        <w:t xml:space="preserve">. </w:t>
      </w:r>
    </w:p>
    <w:p w14:paraId="2E2ACEC2" w14:textId="77777777" w:rsidR="0003021F" w:rsidRDefault="0003021F" w:rsidP="0003021F">
      <w:pPr>
        <w:ind w:firstLine="708"/>
        <w:rPr>
          <w:bCs/>
        </w:rPr>
      </w:pPr>
    </w:p>
    <w:p w14:paraId="1ABDAC00" w14:textId="3A877317" w:rsidR="00BC7CFD" w:rsidRDefault="0003021F" w:rsidP="0003021F">
      <w:pPr>
        <w:ind w:firstLine="0"/>
        <w:rPr>
          <w:rFonts w:eastAsiaTheme="minorEastAsia"/>
        </w:rPr>
      </w:pPr>
      <w:r>
        <w:rPr>
          <w:rFonts w:eastAsiaTheme="minorEastAsia"/>
        </w:rPr>
        <w:t>T</w:t>
      </w:r>
      <w:r w:rsidR="00B16A44">
        <w:rPr>
          <w:rFonts w:eastAsiaTheme="minorEastAsia"/>
        </w:rPr>
        <w:t xml:space="preserve">here is </w:t>
      </w:r>
      <w:r w:rsidR="00053ADE">
        <w:rPr>
          <w:rFonts w:eastAsiaTheme="minorEastAsia"/>
        </w:rPr>
        <w:t>an intuitive sense in which</w:t>
      </w:r>
      <w:r w:rsidR="00740EB5">
        <w:rPr>
          <w:rFonts w:eastAsiaTheme="minorEastAsia"/>
        </w:rPr>
        <w:t xml:space="preserve"> these</w:t>
      </w:r>
      <w:r w:rsidR="00053ADE">
        <w:rPr>
          <w:rFonts w:eastAsiaTheme="minorEastAsia"/>
        </w:rPr>
        <w:t xml:space="preserve"> </w:t>
      </w:r>
      <w:r w:rsidR="009E738A">
        <w:rPr>
          <w:rFonts w:eastAsiaTheme="minorEastAsia"/>
        </w:rPr>
        <w:t>speakers</w:t>
      </w:r>
      <w:r w:rsidR="00053ADE">
        <w:rPr>
          <w:rFonts w:eastAsiaTheme="minorEastAsia"/>
        </w:rPr>
        <w:t xml:space="preserve"> </w:t>
      </w:r>
      <w:r w:rsidR="00740EB5">
        <w:rPr>
          <w:rFonts w:eastAsiaTheme="minorEastAsia"/>
        </w:rPr>
        <w:t>are not</w:t>
      </w:r>
      <w:r w:rsidR="00053ADE">
        <w:rPr>
          <w:rFonts w:eastAsiaTheme="minorEastAsia"/>
        </w:rPr>
        <w:t xml:space="preserve"> committed </w:t>
      </w:r>
      <w:r w:rsidR="005B760C">
        <w:rPr>
          <w:rFonts w:eastAsiaTheme="minorEastAsia"/>
        </w:rPr>
        <w:t xml:space="preserve">(in the sense outlined) </w:t>
      </w:r>
      <w:r w:rsidR="00053ADE">
        <w:rPr>
          <w:rFonts w:eastAsiaTheme="minorEastAsia"/>
        </w:rPr>
        <w:t>to the</w:t>
      </w:r>
      <w:r w:rsidR="00740EB5">
        <w:rPr>
          <w:rFonts w:eastAsiaTheme="minorEastAsia"/>
        </w:rPr>
        <w:t xml:space="preserve"> respective </w:t>
      </w:r>
      <w:r w:rsidR="00053ADE">
        <w:rPr>
          <w:rFonts w:eastAsiaTheme="minorEastAsia"/>
        </w:rPr>
        <w:t xml:space="preserve">implicatures in play. This intuition can be strengthened by comparing how the </w:t>
      </w:r>
      <w:r w:rsidR="009E738A">
        <w:rPr>
          <w:rFonts w:eastAsiaTheme="minorEastAsia"/>
        </w:rPr>
        <w:t>speakers</w:t>
      </w:r>
      <w:r w:rsidR="00053ADE">
        <w:rPr>
          <w:rFonts w:eastAsiaTheme="minorEastAsia"/>
        </w:rPr>
        <w:t xml:space="preserve"> stand to the semantic content of their utterances</w:t>
      </w:r>
      <w:r w:rsidR="00E7324C">
        <w:rPr>
          <w:rFonts w:eastAsiaTheme="minorEastAsia"/>
        </w:rPr>
        <w:t xml:space="preserve"> (which is also the content they assert)</w:t>
      </w:r>
      <w:r w:rsidR="00053ADE">
        <w:rPr>
          <w:rFonts w:eastAsiaTheme="minorEastAsia"/>
        </w:rPr>
        <w:t xml:space="preserve"> and </w:t>
      </w:r>
      <w:r w:rsidR="00D24C23">
        <w:rPr>
          <w:rFonts w:eastAsiaTheme="minorEastAsia"/>
        </w:rPr>
        <w:t xml:space="preserve">how they stand </w:t>
      </w:r>
      <w:r w:rsidR="00053ADE">
        <w:rPr>
          <w:rFonts w:eastAsiaTheme="minorEastAsia"/>
        </w:rPr>
        <w:t xml:space="preserve">to the implicatures: </w:t>
      </w:r>
      <w:r w:rsidR="00BC7CFD">
        <w:rPr>
          <w:rFonts w:eastAsiaTheme="minorEastAsia"/>
        </w:rPr>
        <w:t xml:space="preserve">through uttering (2), </w:t>
      </w:r>
      <w:r w:rsidR="00053ADE">
        <w:rPr>
          <w:rFonts w:eastAsiaTheme="minorEastAsia"/>
        </w:rPr>
        <w:t xml:space="preserve">the doctor appears to </w:t>
      </w:r>
      <w:r w:rsidR="005B760C">
        <w:rPr>
          <w:rFonts w:eastAsiaTheme="minorEastAsia"/>
        </w:rPr>
        <w:t>take on a commitment</w:t>
      </w:r>
      <w:r w:rsidR="00053ADE">
        <w:rPr>
          <w:rFonts w:eastAsiaTheme="minorEastAsia"/>
        </w:rPr>
        <w:t xml:space="preserve"> to having seen the son yesterday</w:t>
      </w:r>
      <w:r w:rsidR="001E4F0E">
        <w:rPr>
          <w:rFonts w:eastAsiaTheme="minorEastAsia"/>
        </w:rPr>
        <w:t xml:space="preserve"> and to him being fine then</w:t>
      </w:r>
      <w:r w:rsidR="00053ADE">
        <w:rPr>
          <w:rFonts w:eastAsiaTheme="minorEastAsia"/>
        </w:rPr>
        <w:t>, but not to the implicature that he is still fine. Similar</w:t>
      </w:r>
      <w:r w:rsidR="00BC7CFD">
        <w:rPr>
          <w:rFonts w:eastAsiaTheme="minorEastAsia"/>
        </w:rPr>
        <w:t xml:space="preserve">ly, </w:t>
      </w:r>
      <w:r w:rsidR="005B760C">
        <w:rPr>
          <w:rFonts w:eastAsiaTheme="minorEastAsia"/>
        </w:rPr>
        <w:t xml:space="preserve">with </w:t>
      </w:r>
      <w:r w:rsidR="0050714A">
        <w:rPr>
          <w:rFonts w:eastAsiaTheme="minorEastAsia"/>
        </w:rPr>
        <w:t>her</w:t>
      </w:r>
      <w:r w:rsidR="005B760C">
        <w:rPr>
          <w:rFonts w:eastAsiaTheme="minorEastAsia"/>
        </w:rPr>
        <w:t xml:space="preserve"> </w:t>
      </w:r>
      <w:r w:rsidR="00BC7CFD">
        <w:rPr>
          <w:rFonts w:eastAsiaTheme="minorEastAsia"/>
        </w:rPr>
        <w:t>utterance of (</w:t>
      </w:r>
      <w:r w:rsidR="00966618">
        <w:rPr>
          <w:rFonts w:eastAsiaTheme="minorEastAsia"/>
        </w:rPr>
        <w:t>4</w:t>
      </w:r>
      <w:r w:rsidR="00BC7CFD">
        <w:rPr>
          <w:rFonts w:eastAsiaTheme="minorEastAsia"/>
        </w:rPr>
        <w:t>)</w:t>
      </w:r>
      <w:r w:rsidR="005B760C">
        <w:rPr>
          <w:rFonts w:eastAsiaTheme="minorEastAsia"/>
        </w:rPr>
        <w:t xml:space="preserve">, </w:t>
      </w:r>
      <w:r w:rsidR="0050714A">
        <w:rPr>
          <w:rFonts w:eastAsiaTheme="minorEastAsia"/>
        </w:rPr>
        <w:t>Amy</w:t>
      </w:r>
      <w:r w:rsidR="005B760C">
        <w:rPr>
          <w:rFonts w:eastAsiaTheme="minorEastAsia"/>
        </w:rPr>
        <w:t xml:space="preserve"> takes on a</w:t>
      </w:r>
      <w:r w:rsidR="00BC7CFD">
        <w:rPr>
          <w:rFonts w:eastAsiaTheme="minorEastAsia"/>
        </w:rPr>
        <w:t xml:space="preserve"> commit</w:t>
      </w:r>
      <w:r w:rsidR="005B760C">
        <w:rPr>
          <w:rFonts w:eastAsiaTheme="minorEastAsia"/>
        </w:rPr>
        <w:t xml:space="preserve">ment </w:t>
      </w:r>
      <w:r w:rsidR="00BC7CFD">
        <w:rPr>
          <w:rFonts w:eastAsiaTheme="minorEastAsia"/>
        </w:rPr>
        <w:t xml:space="preserve">to </w:t>
      </w:r>
      <w:r w:rsidR="0050714A">
        <w:rPr>
          <w:rFonts w:eastAsiaTheme="minorEastAsia"/>
        </w:rPr>
        <w:t>finding the composition great and the brushwork excellent</w:t>
      </w:r>
      <w:r w:rsidR="00BC7CFD">
        <w:rPr>
          <w:rFonts w:eastAsiaTheme="minorEastAsia"/>
        </w:rPr>
        <w:t>, but not to the implicature that</w:t>
      </w:r>
      <w:r w:rsidR="00053ADE">
        <w:rPr>
          <w:rFonts w:eastAsiaTheme="minorEastAsia"/>
        </w:rPr>
        <w:t xml:space="preserve"> </w:t>
      </w:r>
      <w:r w:rsidR="0050714A">
        <w:rPr>
          <w:rFonts w:eastAsiaTheme="minorEastAsia"/>
        </w:rPr>
        <w:t>she likes the paintings</w:t>
      </w:r>
      <w:r w:rsidR="00BC7CFD">
        <w:rPr>
          <w:rFonts w:eastAsiaTheme="minorEastAsia"/>
        </w:rPr>
        <w:t xml:space="preserve">.  </w:t>
      </w:r>
    </w:p>
    <w:p w14:paraId="527F3D90" w14:textId="3B7D2070" w:rsidR="008926A8" w:rsidRDefault="006359D9" w:rsidP="00053ADE">
      <w:pPr>
        <w:rPr>
          <w:rFonts w:eastAsiaTheme="minorEastAsia"/>
        </w:rPr>
      </w:pPr>
      <w:r>
        <w:rPr>
          <w:rFonts w:eastAsiaTheme="minorEastAsia"/>
        </w:rPr>
        <w:t>Moreover</w:t>
      </w:r>
      <w:r w:rsidR="00053ADE">
        <w:rPr>
          <w:rFonts w:eastAsiaTheme="minorEastAsia"/>
        </w:rPr>
        <w:t xml:space="preserve">, there is a contrast between </w:t>
      </w:r>
      <w:r w:rsidR="005B760C">
        <w:rPr>
          <w:rFonts w:eastAsiaTheme="minorEastAsia"/>
        </w:rPr>
        <w:t>how the speakers can consistently respond to knowledge-challenges following</w:t>
      </w:r>
      <w:r w:rsidR="00053ADE">
        <w:rPr>
          <w:rFonts w:eastAsiaTheme="minorEastAsia"/>
        </w:rPr>
        <w:t xml:space="preserve"> (2)</w:t>
      </w:r>
      <w:r w:rsidR="00966618">
        <w:rPr>
          <w:rFonts w:eastAsiaTheme="minorEastAsia"/>
        </w:rPr>
        <w:t xml:space="preserve"> and</w:t>
      </w:r>
      <w:r w:rsidR="00053ADE">
        <w:rPr>
          <w:rFonts w:eastAsiaTheme="minorEastAsia"/>
        </w:rPr>
        <w:t xml:space="preserve"> (4)</w:t>
      </w:r>
      <w:r w:rsidR="005B760C">
        <w:rPr>
          <w:rFonts w:eastAsiaTheme="minorEastAsia"/>
        </w:rPr>
        <w:t>,</w:t>
      </w:r>
      <w:r w:rsidR="00053ADE">
        <w:rPr>
          <w:rFonts w:eastAsiaTheme="minorEastAsia"/>
        </w:rPr>
        <w:t xml:space="preserve"> </w:t>
      </w:r>
      <w:r w:rsidR="005B760C">
        <w:rPr>
          <w:rFonts w:eastAsiaTheme="minorEastAsia"/>
        </w:rPr>
        <w:t xml:space="preserve">on the one hand, and following </w:t>
      </w:r>
      <w:r w:rsidR="008926A8">
        <w:rPr>
          <w:rFonts w:eastAsiaTheme="minorEastAsia"/>
        </w:rPr>
        <w:t>(1)</w:t>
      </w:r>
      <w:r w:rsidR="00966618">
        <w:rPr>
          <w:rFonts w:eastAsiaTheme="minorEastAsia"/>
        </w:rPr>
        <w:t xml:space="preserve"> and</w:t>
      </w:r>
      <w:r w:rsidR="008926A8">
        <w:rPr>
          <w:rFonts w:eastAsiaTheme="minorEastAsia"/>
        </w:rPr>
        <w:t xml:space="preserve"> (3)</w:t>
      </w:r>
      <w:r w:rsidR="005B760C">
        <w:rPr>
          <w:rFonts w:eastAsiaTheme="minorEastAsia"/>
        </w:rPr>
        <w:t>, on the other</w:t>
      </w:r>
      <w:r w:rsidR="008926A8">
        <w:rPr>
          <w:rFonts w:eastAsiaTheme="minorEastAsia"/>
        </w:rPr>
        <w:t xml:space="preserve">. </w:t>
      </w:r>
      <w:r w:rsidR="00C60DEF">
        <w:rPr>
          <w:rFonts w:eastAsiaTheme="minorEastAsia"/>
        </w:rPr>
        <w:t>Following the</w:t>
      </w:r>
      <w:r w:rsidR="008926A8">
        <w:rPr>
          <w:rFonts w:eastAsiaTheme="minorEastAsia"/>
        </w:rPr>
        <w:t xml:space="preserve"> lies</w:t>
      </w:r>
      <w:r w:rsidR="00C97902">
        <w:rPr>
          <w:rFonts w:eastAsiaTheme="minorEastAsia"/>
        </w:rPr>
        <w:t xml:space="preserve"> (1) and (3)</w:t>
      </w:r>
      <w:r w:rsidR="008926A8">
        <w:rPr>
          <w:rFonts w:eastAsiaTheme="minorEastAsia"/>
        </w:rPr>
        <w:t xml:space="preserve">, </w:t>
      </w:r>
      <w:r w:rsidR="005B760C">
        <w:rPr>
          <w:rFonts w:eastAsiaTheme="minorEastAsia"/>
        </w:rPr>
        <w:t xml:space="preserve">they </w:t>
      </w:r>
      <w:r w:rsidR="00C97902">
        <w:rPr>
          <w:rFonts w:eastAsiaTheme="minorEastAsia"/>
        </w:rPr>
        <w:t>can</w:t>
      </w:r>
      <w:r w:rsidR="005B760C">
        <w:rPr>
          <w:rFonts w:eastAsiaTheme="minorEastAsia"/>
        </w:rPr>
        <w:t>not consistently dismiss knowledge-challenges with respect to</w:t>
      </w:r>
      <w:r w:rsidR="00BC7CFD">
        <w:rPr>
          <w:rFonts w:eastAsiaTheme="minorEastAsia"/>
        </w:rPr>
        <w:t xml:space="preserve"> </w:t>
      </w:r>
      <w:r w:rsidR="008926A8">
        <w:rPr>
          <w:rFonts w:eastAsiaTheme="minorEastAsia"/>
        </w:rPr>
        <w:t xml:space="preserve">the content </w:t>
      </w:r>
      <w:r w:rsidR="00C60DEF">
        <w:rPr>
          <w:rFonts w:eastAsiaTheme="minorEastAsia"/>
        </w:rPr>
        <w:t>put forward</w:t>
      </w:r>
      <w:r w:rsidR="008926A8">
        <w:rPr>
          <w:rFonts w:eastAsiaTheme="minorEastAsia"/>
        </w:rPr>
        <w:t>.</w:t>
      </w:r>
      <w:r w:rsidR="00E408EA">
        <w:rPr>
          <w:rStyle w:val="FootnoteReference"/>
          <w:rFonts w:eastAsiaTheme="minorEastAsia"/>
        </w:rPr>
        <w:footnoteReference w:id="51"/>
      </w:r>
      <w:r w:rsidR="008926A8">
        <w:rPr>
          <w:rFonts w:eastAsiaTheme="minorEastAsia"/>
        </w:rPr>
        <w:t xml:space="preserve"> For example, </w:t>
      </w:r>
      <w:r w:rsidR="005B760C">
        <w:rPr>
          <w:rFonts w:eastAsiaTheme="minorEastAsia"/>
        </w:rPr>
        <w:t xml:space="preserve">having uttered (1), the doctor </w:t>
      </w:r>
      <w:r w:rsidR="00C97902">
        <w:rPr>
          <w:rFonts w:eastAsiaTheme="minorEastAsia"/>
        </w:rPr>
        <w:t>can</w:t>
      </w:r>
      <w:r w:rsidR="005B760C">
        <w:rPr>
          <w:rFonts w:eastAsiaTheme="minorEastAsia"/>
        </w:rPr>
        <w:t>not consistently dismiss a challenge such as</w:t>
      </w:r>
      <w:r w:rsidR="008926A8">
        <w:rPr>
          <w:rFonts w:eastAsiaTheme="minorEastAsia"/>
        </w:rPr>
        <w:t>:</w:t>
      </w:r>
    </w:p>
    <w:p w14:paraId="16C37698" w14:textId="77777777" w:rsidR="008926A8" w:rsidRDefault="008926A8" w:rsidP="00053ADE">
      <w:pPr>
        <w:rPr>
          <w:rFonts w:eastAsiaTheme="minorEastAsia"/>
        </w:rPr>
      </w:pPr>
    </w:p>
    <w:p w14:paraId="1522E8E2" w14:textId="4FB83342" w:rsidR="008926A8" w:rsidRDefault="008926A8" w:rsidP="008926A8">
      <w:pPr>
        <w:rPr>
          <w:rFonts w:eastAsiaTheme="minorEastAsia"/>
        </w:rPr>
      </w:pPr>
      <w:r>
        <w:rPr>
          <w:rFonts w:eastAsiaTheme="minorEastAsia"/>
        </w:rPr>
        <w:lastRenderedPageBreak/>
        <w:tab/>
        <w:t>(</w:t>
      </w:r>
      <w:r w:rsidR="005B760C">
        <w:rPr>
          <w:rFonts w:eastAsiaTheme="minorEastAsia"/>
        </w:rPr>
        <w:t>19</w:t>
      </w:r>
      <w:r>
        <w:rPr>
          <w:rFonts w:eastAsiaTheme="minorEastAsia"/>
        </w:rPr>
        <w:t>)</w:t>
      </w:r>
      <w:r>
        <w:rPr>
          <w:rFonts w:eastAsiaTheme="minorEastAsia"/>
        </w:rPr>
        <w:tab/>
      </w:r>
      <w:r w:rsidR="0062324E">
        <w:rPr>
          <w:rFonts w:eastAsiaTheme="minorEastAsia"/>
        </w:rPr>
        <w:t>Do</w:t>
      </w:r>
      <w:r w:rsidR="00790435">
        <w:rPr>
          <w:rFonts w:eastAsiaTheme="minorEastAsia"/>
        </w:rPr>
        <w:t xml:space="preserve"> you really </w:t>
      </w:r>
      <w:r w:rsidR="0062324E">
        <w:rPr>
          <w:rFonts w:eastAsiaTheme="minorEastAsia"/>
        </w:rPr>
        <w:t>know</w:t>
      </w:r>
      <w:r w:rsidR="00790435">
        <w:rPr>
          <w:rFonts w:eastAsiaTheme="minorEastAsia"/>
        </w:rPr>
        <w:t xml:space="preserve"> he is fine?</w:t>
      </w:r>
    </w:p>
    <w:p w14:paraId="4BECA3EF" w14:textId="77777777" w:rsidR="008926A8" w:rsidRDefault="008926A8" w:rsidP="00053ADE">
      <w:pPr>
        <w:rPr>
          <w:rFonts w:eastAsiaTheme="minorEastAsia"/>
        </w:rPr>
      </w:pPr>
    </w:p>
    <w:p w14:paraId="4D85C0E1" w14:textId="1614AA52" w:rsidR="00053ADE" w:rsidRPr="00346EE3" w:rsidRDefault="00693C61" w:rsidP="008926A8">
      <w:pPr>
        <w:ind w:firstLine="0"/>
        <w:rPr>
          <w:rFonts w:eastAsiaTheme="minorEastAsia"/>
        </w:rPr>
      </w:pPr>
      <w:r>
        <w:rPr>
          <w:rFonts w:eastAsiaTheme="minorEastAsia"/>
        </w:rPr>
        <w:t xml:space="preserve">In </w:t>
      </w:r>
      <w:r w:rsidR="005A54D9">
        <w:rPr>
          <w:rFonts w:eastAsiaTheme="minorEastAsia"/>
        </w:rPr>
        <w:t>order to be consistent</w:t>
      </w:r>
      <w:r>
        <w:rPr>
          <w:rFonts w:eastAsiaTheme="minorEastAsia"/>
        </w:rPr>
        <w:t xml:space="preserve">, the doctor </w:t>
      </w:r>
      <w:r w:rsidR="00C01593">
        <w:rPr>
          <w:rFonts w:eastAsiaTheme="minorEastAsia"/>
        </w:rPr>
        <w:t xml:space="preserve">either </w:t>
      </w:r>
      <w:r w:rsidR="00C97902">
        <w:rPr>
          <w:rFonts w:eastAsiaTheme="minorEastAsia"/>
        </w:rPr>
        <w:t>has</w:t>
      </w:r>
      <w:r>
        <w:rPr>
          <w:rFonts w:eastAsiaTheme="minorEastAsia"/>
        </w:rPr>
        <w:t xml:space="preserve"> to </w:t>
      </w:r>
      <w:r w:rsidR="000A149E">
        <w:rPr>
          <w:rFonts w:eastAsiaTheme="minorEastAsia"/>
        </w:rPr>
        <w:t>answer this challenge</w:t>
      </w:r>
      <w:r>
        <w:rPr>
          <w:rFonts w:eastAsiaTheme="minorEastAsia"/>
        </w:rPr>
        <w:t xml:space="preserve"> </w:t>
      </w:r>
      <w:r w:rsidR="005A54D9">
        <w:rPr>
          <w:rFonts w:eastAsiaTheme="minorEastAsia"/>
        </w:rPr>
        <w:t xml:space="preserve">(and thus </w:t>
      </w:r>
      <w:r w:rsidR="000A149E">
        <w:rPr>
          <w:rFonts w:eastAsiaTheme="minorEastAsia"/>
        </w:rPr>
        <w:t xml:space="preserve">furnish </w:t>
      </w:r>
      <w:r w:rsidR="005A54D9">
        <w:rPr>
          <w:rFonts w:eastAsiaTheme="minorEastAsia"/>
        </w:rPr>
        <w:t>further lies)</w:t>
      </w:r>
      <w:r>
        <w:rPr>
          <w:rFonts w:eastAsiaTheme="minorEastAsia"/>
        </w:rPr>
        <w:t xml:space="preserve"> or </w:t>
      </w:r>
      <w:r w:rsidR="00C97902">
        <w:rPr>
          <w:rFonts w:eastAsiaTheme="minorEastAsia"/>
        </w:rPr>
        <w:t xml:space="preserve">else </w:t>
      </w:r>
      <w:r w:rsidR="00C01593">
        <w:rPr>
          <w:rFonts w:eastAsiaTheme="minorEastAsia"/>
        </w:rPr>
        <w:t xml:space="preserve">has to </w:t>
      </w:r>
      <w:r>
        <w:rPr>
          <w:rFonts w:eastAsiaTheme="minorEastAsia"/>
        </w:rPr>
        <w:t xml:space="preserve">retract the proposition put forward. </w:t>
      </w:r>
      <w:r w:rsidR="008926A8" w:rsidRPr="00346EE3">
        <w:rPr>
          <w:rFonts w:eastAsiaTheme="minorEastAsia"/>
        </w:rPr>
        <w:t xml:space="preserve">By contrast, </w:t>
      </w:r>
      <w:r w:rsidR="005B760C">
        <w:rPr>
          <w:rFonts w:eastAsiaTheme="minorEastAsia"/>
        </w:rPr>
        <w:t>if the doctor</w:t>
      </w:r>
      <w:r w:rsidR="00C60DEF" w:rsidRPr="00346EE3">
        <w:rPr>
          <w:rFonts w:eastAsiaTheme="minorEastAsia"/>
        </w:rPr>
        <w:t xml:space="preserve"> utter</w:t>
      </w:r>
      <w:r w:rsidR="005B760C">
        <w:rPr>
          <w:rFonts w:eastAsiaTheme="minorEastAsia"/>
        </w:rPr>
        <w:t xml:space="preserve">s </w:t>
      </w:r>
      <w:r w:rsidR="00C60DEF" w:rsidRPr="00346EE3">
        <w:rPr>
          <w:rFonts w:eastAsiaTheme="minorEastAsia"/>
        </w:rPr>
        <w:t>(2)</w:t>
      </w:r>
      <w:r w:rsidR="008926A8" w:rsidRPr="00346EE3">
        <w:rPr>
          <w:rFonts w:eastAsiaTheme="minorEastAsia"/>
        </w:rPr>
        <w:t xml:space="preserve">, the doctor </w:t>
      </w:r>
      <w:r w:rsidR="00C97902">
        <w:rPr>
          <w:rFonts w:eastAsiaTheme="minorEastAsia"/>
          <w:i/>
          <w:iCs/>
        </w:rPr>
        <w:t>can</w:t>
      </w:r>
      <w:r w:rsidR="00C97902" w:rsidRPr="00346EE3">
        <w:rPr>
          <w:rFonts w:eastAsiaTheme="minorEastAsia"/>
        </w:rPr>
        <w:t xml:space="preserve"> </w:t>
      </w:r>
      <w:r w:rsidR="005A54D9">
        <w:rPr>
          <w:rFonts w:eastAsiaTheme="minorEastAsia"/>
        </w:rPr>
        <w:t xml:space="preserve">consistently </w:t>
      </w:r>
      <w:r w:rsidR="000A149E">
        <w:rPr>
          <w:rFonts w:eastAsiaTheme="minorEastAsia"/>
        </w:rPr>
        <w:t>dismiss the challenge</w:t>
      </w:r>
      <w:r w:rsidR="001C0E8B">
        <w:rPr>
          <w:rFonts w:eastAsiaTheme="minorEastAsia"/>
        </w:rPr>
        <w:t xml:space="preserve"> along the following lines</w:t>
      </w:r>
      <w:r w:rsidR="008926A8" w:rsidRPr="00346EE3">
        <w:rPr>
          <w:rFonts w:eastAsiaTheme="minorEastAsia"/>
        </w:rPr>
        <w:t>:</w:t>
      </w:r>
    </w:p>
    <w:p w14:paraId="16E5A755" w14:textId="035115E4" w:rsidR="008926A8" w:rsidRDefault="008926A8" w:rsidP="008926A8">
      <w:pPr>
        <w:ind w:firstLine="0"/>
        <w:rPr>
          <w:rFonts w:eastAsiaTheme="minorEastAsia"/>
        </w:rPr>
      </w:pPr>
    </w:p>
    <w:p w14:paraId="58C16D2C" w14:textId="602470B0" w:rsidR="008926A8" w:rsidRPr="00053ADE" w:rsidRDefault="008926A8" w:rsidP="008926A8">
      <w:pPr>
        <w:ind w:left="1416" w:hanging="716"/>
        <w:rPr>
          <w:rFonts w:eastAsiaTheme="minorEastAsia"/>
        </w:rPr>
      </w:pPr>
      <w:r>
        <w:rPr>
          <w:rFonts w:eastAsiaTheme="minorEastAsia"/>
        </w:rPr>
        <w:t>(</w:t>
      </w:r>
      <w:r w:rsidR="005B760C">
        <w:rPr>
          <w:rFonts w:eastAsiaTheme="minorEastAsia"/>
        </w:rPr>
        <w:t>20</w:t>
      </w:r>
      <w:r>
        <w:rPr>
          <w:rFonts w:eastAsiaTheme="minorEastAsia"/>
        </w:rPr>
        <w:t>)</w:t>
      </w:r>
      <w:r>
        <w:rPr>
          <w:rFonts w:eastAsiaTheme="minorEastAsia"/>
        </w:rPr>
        <w:tab/>
        <w:t>I didn’t claim that he is fine. I merely claimed that I saw him yesterday</w:t>
      </w:r>
      <w:r w:rsidR="00D24C23">
        <w:rPr>
          <w:rFonts w:eastAsiaTheme="minorEastAsia"/>
        </w:rPr>
        <w:t xml:space="preserve"> and that </w:t>
      </w:r>
      <w:r>
        <w:rPr>
          <w:rFonts w:eastAsiaTheme="minorEastAsia"/>
        </w:rPr>
        <w:t>he was fine</w:t>
      </w:r>
      <w:r w:rsidR="00D24C23">
        <w:rPr>
          <w:rFonts w:eastAsiaTheme="minorEastAsia"/>
        </w:rPr>
        <w:t xml:space="preserve"> then</w:t>
      </w:r>
      <w:r>
        <w:rPr>
          <w:rFonts w:eastAsiaTheme="minorEastAsia"/>
        </w:rPr>
        <w:t>.</w:t>
      </w:r>
      <w:r w:rsidR="00D24C23">
        <w:rPr>
          <w:rStyle w:val="FootnoteReference"/>
          <w:rFonts w:eastAsiaTheme="minorEastAsia"/>
        </w:rPr>
        <w:footnoteReference w:id="52"/>
      </w:r>
      <w:r>
        <w:rPr>
          <w:rFonts w:eastAsiaTheme="minorEastAsia"/>
        </w:rPr>
        <w:t xml:space="preserve"> </w:t>
      </w:r>
    </w:p>
    <w:p w14:paraId="2443F48D" w14:textId="1D6719F7" w:rsidR="00B16A44" w:rsidRDefault="00B16A44" w:rsidP="008926A8">
      <w:pPr>
        <w:ind w:firstLine="0"/>
        <w:rPr>
          <w:rFonts w:eastAsiaTheme="minorEastAsia"/>
        </w:rPr>
      </w:pPr>
    </w:p>
    <w:p w14:paraId="3FED02BD" w14:textId="44B5CF55" w:rsidR="00D24C23" w:rsidRDefault="00D24C23" w:rsidP="009449F1">
      <w:pPr>
        <w:ind w:firstLine="0"/>
        <w:rPr>
          <w:rFonts w:eastAsiaTheme="minorEastAsia"/>
        </w:rPr>
      </w:pPr>
      <w:r>
        <w:rPr>
          <w:rFonts w:eastAsiaTheme="minorEastAsia"/>
        </w:rPr>
        <w:t>Of course, (</w:t>
      </w:r>
      <w:r w:rsidR="005B760C">
        <w:rPr>
          <w:rFonts w:eastAsiaTheme="minorEastAsia"/>
        </w:rPr>
        <w:t>20</w:t>
      </w:r>
      <w:r>
        <w:rPr>
          <w:rFonts w:eastAsiaTheme="minorEastAsia"/>
        </w:rPr>
        <w:t>) is very similar to (5) (repeated below), the</w:t>
      </w:r>
      <w:r w:rsidR="005B760C">
        <w:rPr>
          <w:rFonts w:eastAsiaTheme="minorEastAsia"/>
        </w:rPr>
        <w:t xml:space="preserve"> consistent</w:t>
      </w:r>
      <w:r>
        <w:rPr>
          <w:rFonts w:eastAsiaTheme="minorEastAsia"/>
        </w:rPr>
        <w:t xml:space="preserve"> </w:t>
      </w:r>
      <w:r w:rsidR="006359D9">
        <w:rPr>
          <w:rFonts w:eastAsiaTheme="minorEastAsia"/>
        </w:rPr>
        <w:t>denial</w:t>
      </w:r>
      <w:r>
        <w:rPr>
          <w:rFonts w:eastAsiaTheme="minorEastAsia"/>
        </w:rPr>
        <w:t xml:space="preserve"> the doctor could </w:t>
      </w:r>
      <w:r w:rsidR="00D16D09">
        <w:rPr>
          <w:rFonts w:eastAsiaTheme="minorEastAsia"/>
        </w:rPr>
        <w:t>offer</w:t>
      </w:r>
      <w:r>
        <w:rPr>
          <w:rFonts w:eastAsiaTheme="minorEastAsia"/>
        </w:rPr>
        <w:t xml:space="preserve"> </w:t>
      </w:r>
      <w:r w:rsidR="00D16D09">
        <w:rPr>
          <w:rFonts w:eastAsiaTheme="minorEastAsia"/>
        </w:rPr>
        <w:t>when faced with</w:t>
      </w:r>
      <w:r>
        <w:rPr>
          <w:rFonts w:eastAsiaTheme="minorEastAsia"/>
        </w:rPr>
        <w:t xml:space="preserve"> </w:t>
      </w:r>
      <w:r w:rsidR="00C60DEF">
        <w:rPr>
          <w:rFonts w:eastAsiaTheme="minorEastAsia"/>
        </w:rPr>
        <w:t xml:space="preserve">an </w:t>
      </w:r>
      <w:r>
        <w:rPr>
          <w:rFonts w:eastAsiaTheme="minorEastAsia"/>
        </w:rPr>
        <w:t>accusation of lying:</w:t>
      </w:r>
    </w:p>
    <w:p w14:paraId="262B1D9C" w14:textId="5F1BB400" w:rsidR="00D24C23" w:rsidRDefault="00D24C23" w:rsidP="009449F1">
      <w:pPr>
        <w:ind w:firstLine="0"/>
        <w:rPr>
          <w:rFonts w:eastAsiaTheme="minorEastAsia"/>
        </w:rPr>
      </w:pPr>
    </w:p>
    <w:p w14:paraId="23CF0F0E" w14:textId="77777777" w:rsidR="00996245" w:rsidRDefault="00996245" w:rsidP="00996245">
      <w:pPr>
        <w:ind w:left="1416" w:hanging="708"/>
      </w:pPr>
      <w:r>
        <w:t>(5)</w:t>
      </w:r>
      <w:r>
        <w:tab/>
        <w:t xml:space="preserve">I didn’t lie. I didn’t claim that the dying woman’s son was fine. I merely claimed that I had seen her son the day before and that he was fine then, which was indeed the case.  </w:t>
      </w:r>
    </w:p>
    <w:p w14:paraId="44D54508" w14:textId="587647AE" w:rsidR="00D24C23" w:rsidRDefault="00D24C23" w:rsidP="009449F1">
      <w:pPr>
        <w:ind w:firstLine="0"/>
        <w:rPr>
          <w:rFonts w:eastAsiaTheme="minorEastAsia"/>
        </w:rPr>
      </w:pPr>
    </w:p>
    <w:p w14:paraId="1B788996" w14:textId="7DF5CD29" w:rsidR="00064AC3" w:rsidRDefault="00BE6C58" w:rsidP="001C0E8B">
      <w:pPr>
        <w:ind w:firstLine="0"/>
        <w:rPr>
          <w:rFonts w:eastAsiaTheme="minorEastAsia"/>
        </w:rPr>
      </w:pPr>
      <w:r>
        <w:rPr>
          <w:rFonts w:eastAsiaTheme="minorEastAsia"/>
        </w:rPr>
        <w:t>Both (5)</w:t>
      </w:r>
      <w:r w:rsidR="00DE741B">
        <w:rPr>
          <w:rFonts w:eastAsiaTheme="minorEastAsia"/>
        </w:rPr>
        <w:t xml:space="preserve"> and (</w:t>
      </w:r>
      <w:r w:rsidR="003A522E">
        <w:rPr>
          <w:rFonts w:eastAsiaTheme="minorEastAsia"/>
        </w:rPr>
        <w:t>20</w:t>
      </w:r>
      <w:r w:rsidR="00DE741B">
        <w:rPr>
          <w:rFonts w:eastAsiaTheme="minorEastAsia"/>
        </w:rPr>
        <w:t>)</w:t>
      </w:r>
      <w:r>
        <w:rPr>
          <w:rFonts w:eastAsiaTheme="minorEastAsia"/>
        </w:rPr>
        <w:t xml:space="preserve"> can </w:t>
      </w:r>
      <w:r w:rsidR="005A54D9">
        <w:rPr>
          <w:rFonts w:eastAsiaTheme="minorEastAsia"/>
        </w:rPr>
        <w:t xml:space="preserve">thus </w:t>
      </w:r>
      <w:r>
        <w:rPr>
          <w:rFonts w:eastAsiaTheme="minorEastAsia"/>
        </w:rPr>
        <w:t xml:space="preserve">be seen as a </w:t>
      </w:r>
      <w:r w:rsidR="00E7324C">
        <w:rPr>
          <w:rFonts w:eastAsiaTheme="minorEastAsia"/>
        </w:rPr>
        <w:t xml:space="preserve">way of </w:t>
      </w:r>
      <w:r>
        <w:rPr>
          <w:rFonts w:eastAsiaTheme="minorEastAsia"/>
        </w:rPr>
        <w:t xml:space="preserve">pointing out that the respective challenges </w:t>
      </w:r>
      <w:r w:rsidR="003A522E">
        <w:rPr>
          <w:rFonts w:eastAsiaTheme="minorEastAsia"/>
        </w:rPr>
        <w:t xml:space="preserve">presuppose </w:t>
      </w:r>
      <w:r w:rsidR="00F03232">
        <w:rPr>
          <w:rFonts w:eastAsiaTheme="minorEastAsia"/>
        </w:rPr>
        <w:t>that the doctor took on a justificatory responsibility that she did not, in fact, take on</w:t>
      </w:r>
      <w:r w:rsidR="003A522E">
        <w:rPr>
          <w:rFonts w:eastAsiaTheme="minorEastAsia"/>
        </w:rPr>
        <w:t>.</w:t>
      </w:r>
      <w:r w:rsidR="00064AC3">
        <w:rPr>
          <w:rStyle w:val="FootnoteReference"/>
          <w:rFonts w:eastAsiaTheme="minorEastAsia"/>
        </w:rPr>
        <w:footnoteReference w:id="53"/>
      </w:r>
      <w:r w:rsidR="00DE741B">
        <w:rPr>
          <w:rFonts w:eastAsiaTheme="minorEastAsia"/>
        </w:rPr>
        <w:t xml:space="preserve"> </w:t>
      </w:r>
    </w:p>
    <w:p w14:paraId="0B400548" w14:textId="0DDFDBEE" w:rsidR="001C0E8B" w:rsidRDefault="000B5E84" w:rsidP="00064AC3">
      <w:pPr>
        <w:rPr>
          <w:rFonts w:eastAsiaTheme="minorEastAsia"/>
        </w:rPr>
      </w:pPr>
      <w:r>
        <w:rPr>
          <w:rFonts w:eastAsiaTheme="minorEastAsia"/>
        </w:rPr>
        <w:t>I acknowledge that</w:t>
      </w:r>
      <w:r w:rsidR="00DE741B">
        <w:rPr>
          <w:rFonts w:eastAsiaTheme="minorEastAsia"/>
        </w:rPr>
        <w:t xml:space="preserve"> </w:t>
      </w:r>
      <w:r w:rsidR="00A35E60">
        <w:rPr>
          <w:rFonts w:eastAsiaTheme="minorEastAsia"/>
        </w:rPr>
        <w:t>(5) and (</w:t>
      </w:r>
      <w:r w:rsidR="003A522E">
        <w:rPr>
          <w:rFonts w:eastAsiaTheme="minorEastAsia"/>
        </w:rPr>
        <w:t>20</w:t>
      </w:r>
      <w:r w:rsidR="00A35E60">
        <w:rPr>
          <w:rFonts w:eastAsiaTheme="minorEastAsia"/>
        </w:rPr>
        <w:t>)</w:t>
      </w:r>
      <w:r w:rsidR="00DE741B">
        <w:rPr>
          <w:rFonts w:eastAsiaTheme="minorEastAsia"/>
        </w:rPr>
        <w:t xml:space="preserve"> </w:t>
      </w:r>
      <w:r w:rsidR="00A35E60">
        <w:rPr>
          <w:rFonts w:eastAsiaTheme="minorEastAsia"/>
        </w:rPr>
        <w:t>can</w:t>
      </w:r>
      <w:r w:rsidR="00DE741B">
        <w:rPr>
          <w:rFonts w:eastAsiaTheme="minorEastAsia"/>
        </w:rPr>
        <w:t xml:space="preserve"> </w:t>
      </w:r>
      <w:r w:rsidR="00A35E60">
        <w:rPr>
          <w:rFonts w:eastAsiaTheme="minorEastAsia"/>
        </w:rPr>
        <w:t>seem</w:t>
      </w:r>
      <w:r w:rsidR="00DE741B">
        <w:rPr>
          <w:rFonts w:eastAsiaTheme="minorEastAsia"/>
        </w:rPr>
        <w:t xml:space="preserve"> pedantic </w:t>
      </w:r>
      <w:r w:rsidR="00A35E60">
        <w:rPr>
          <w:rFonts w:eastAsiaTheme="minorEastAsia"/>
        </w:rPr>
        <w:t>or</w:t>
      </w:r>
      <w:r w:rsidR="00DE741B">
        <w:rPr>
          <w:rFonts w:eastAsiaTheme="minorEastAsia"/>
        </w:rPr>
        <w:t xml:space="preserve"> disingenuous</w:t>
      </w:r>
      <w:r>
        <w:rPr>
          <w:rFonts w:eastAsiaTheme="minorEastAsia"/>
        </w:rPr>
        <w:t>. B</w:t>
      </w:r>
      <w:r w:rsidR="005A54D9">
        <w:rPr>
          <w:rFonts w:eastAsiaTheme="minorEastAsia"/>
        </w:rPr>
        <w:t xml:space="preserve">ut </w:t>
      </w:r>
      <w:r>
        <w:rPr>
          <w:rFonts w:eastAsiaTheme="minorEastAsia"/>
        </w:rPr>
        <w:t xml:space="preserve">it nonetheless seems right that </w:t>
      </w:r>
      <w:r w:rsidR="00DE741B">
        <w:rPr>
          <w:rFonts w:eastAsiaTheme="minorEastAsia"/>
        </w:rPr>
        <w:t>the doctor would be consistent in making them – she would not be going against her previous utterance of (2).</w:t>
      </w:r>
      <w:r w:rsidR="00A35E60">
        <w:rPr>
          <w:rFonts w:eastAsiaTheme="minorEastAsia"/>
        </w:rPr>
        <w:t xml:space="preserve"> </w:t>
      </w:r>
      <w:r w:rsidR="00A0395C">
        <w:rPr>
          <w:rFonts w:eastAsiaTheme="minorEastAsia"/>
        </w:rPr>
        <w:t>If there is an</w:t>
      </w:r>
      <w:r w:rsidR="00A35E60">
        <w:rPr>
          <w:rFonts w:eastAsiaTheme="minorEastAsia"/>
        </w:rPr>
        <w:t xml:space="preserve"> impression of pedantry or disingenuousness</w:t>
      </w:r>
      <w:r w:rsidR="00A0395C">
        <w:rPr>
          <w:rFonts w:eastAsiaTheme="minorEastAsia"/>
        </w:rPr>
        <w:t>, then probably because</w:t>
      </w:r>
      <w:r w:rsidR="00A35E60">
        <w:rPr>
          <w:rFonts w:eastAsiaTheme="minorEastAsia"/>
        </w:rPr>
        <w:t xml:space="preserve"> </w:t>
      </w:r>
      <w:r w:rsidR="00A0395C">
        <w:rPr>
          <w:rFonts w:eastAsiaTheme="minorEastAsia"/>
        </w:rPr>
        <w:t>there</w:t>
      </w:r>
      <w:r w:rsidR="00A35E60">
        <w:rPr>
          <w:rFonts w:eastAsiaTheme="minorEastAsia"/>
        </w:rPr>
        <w:t xml:space="preserve"> </w:t>
      </w:r>
      <w:r w:rsidR="00A0395C">
        <w:rPr>
          <w:rFonts w:eastAsiaTheme="minorEastAsia"/>
        </w:rPr>
        <w:t xml:space="preserve">are similar challenges that would not allow </w:t>
      </w:r>
      <w:r w:rsidR="003A522E">
        <w:rPr>
          <w:rFonts w:eastAsiaTheme="minorEastAsia"/>
        </w:rPr>
        <w:t xml:space="preserve">consistent </w:t>
      </w:r>
      <w:r w:rsidR="00A0395C">
        <w:rPr>
          <w:rFonts w:eastAsiaTheme="minorEastAsia"/>
        </w:rPr>
        <w:t>responses of this kind.</w:t>
      </w:r>
      <w:r w:rsidR="00902DFB">
        <w:rPr>
          <w:rStyle w:val="FootnoteReference"/>
          <w:rFonts w:eastAsiaTheme="minorEastAsia"/>
        </w:rPr>
        <w:footnoteReference w:id="54"/>
      </w:r>
      <w:r w:rsidR="00A0395C">
        <w:rPr>
          <w:rFonts w:eastAsiaTheme="minorEastAsia"/>
        </w:rPr>
        <w:t xml:space="preserve"> For instance, if the doctor were accused of </w:t>
      </w:r>
      <w:r w:rsidR="00BA3F94" w:rsidRPr="005032DE">
        <w:rPr>
          <w:rFonts w:eastAsiaTheme="minorEastAsia"/>
          <w:i/>
          <w:iCs/>
        </w:rPr>
        <w:t>suggesting</w:t>
      </w:r>
      <w:r w:rsidR="00BA3F94">
        <w:rPr>
          <w:rFonts w:eastAsiaTheme="minorEastAsia"/>
        </w:rPr>
        <w:t xml:space="preserve"> that the son is fine</w:t>
      </w:r>
      <w:r w:rsidR="00A0395C">
        <w:rPr>
          <w:rFonts w:eastAsiaTheme="minorEastAsia"/>
        </w:rPr>
        <w:t xml:space="preserve">, she could not offer a </w:t>
      </w:r>
      <w:r w:rsidR="00A153B1">
        <w:rPr>
          <w:rFonts w:eastAsiaTheme="minorEastAsia"/>
        </w:rPr>
        <w:t>consistent</w:t>
      </w:r>
      <w:r w:rsidR="00A0395C">
        <w:rPr>
          <w:rFonts w:eastAsiaTheme="minorEastAsia"/>
        </w:rPr>
        <w:t xml:space="preserve"> </w:t>
      </w:r>
      <w:r w:rsidR="00A10FF1">
        <w:rPr>
          <w:rFonts w:eastAsiaTheme="minorEastAsia"/>
        </w:rPr>
        <w:t>dismissal</w:t>
      </w:r>
      <w:r w:rsidR="00A0395C">
        <w:rPr>
          <w:rFonts w:eastAsiaTheme="minorEastAsia"/>
        </w:rPr>
        <w:t xml:space="preserve">. But, if anything, this contrast (with </w:t>
      </w:r>
      <w:r w:rsidR="00BA3F94">
        <w:rPr>
          <w:rFonts w:eastAsiaTheme="minorEastAsia"/>
        </w:rPr>
        <w:t>cases involving related challenges</w:t>
      </w:r>
      <w:r w:rsidR="00A0395C">
        <w:rPr>
          <w:rFonts w:eastAsiaTheme="minorEastAsia"/>
        </w:rPr>
        <w:t>) seems to support the view that (5) and (</w:t>
      </w:r>
      <w:r w:rsidR="003A522E">
        <w:rPr>
          <w:rFonts w:eastAsiaTheme="minorEastAsia"/>
        </w:rPr>
        <w:t>20</w:t>
      </w:r>
      <w:r w:rsidR="00A0395C">
        <w:rPr>
          <w:rFonts w:eastAsiaTheme="minorEastAsia"/>
        </w:rPr>
        <w:t xml:space="preserve">) are indeed consistent replies </w:t>
      </w:r>
      <w:r w:rsidR="000A7AD8">
        <w:rPr>
          <w:rFonts w:eastAsiaTheme="minorEastAsia"/>
        </w:rPr>
        <w:t>if the doctor utters (2) and is</w:t>
      </w:r>
      <w:r w:rsidR="00A0395C">
        <w:rPr>
          <w:rFonts w:eastAsiaTheme="minorEastAsia"/>
        </w:rPr>
        <w:t xml:space="preserve"> </w:t>
      </w:r>
      <w:r w:rsidR="00BC678B">
        <w:rPr>
          <w:rFonts w:eastAsiaTheme="minorEastAsia"/>
        </w:rPr>
        <w:t>faced with a knowledge-</w:t>
      </w:r>
      <w:r w:rsidR="00A0395C">
        <w:rPr>
          <w:rFonts w:eastAsiaTheme="minorEastAsia"/>
        </w:rPr>
        <w:t>challenge.</w:t>
      </w:r>
    </w:p>
    <w:p w14:paraId="03A54DEC" w14:textId="011F4BA3" w:rsidR="00BE6C58" w:rsidRDefault="00BE6C58" w:rsidP="00BE6C58">
      <w:pPr>
        <w:rPr>
          <w:rFonts w:eastAsiaTheme="minorEastAsia"/>
        </w:rPr>
      </w:pPr>
      <w:r>
        <w:rPr>
          <w:rFonts w:eastAsiaTheme="minorEastAsia"/>
        </w:rPr>
        <w:t xml:space="preserve">Finally, and relatedly, the fact that the </w:t>
      </w:r>
      <w:r w:rsidR="009E738A">
        <w:rPr>
          <w:rFonts w:eastAsiaTheme="minorEastAsia"/>
        </w:rPr>
        <w:t>speakers</w:t>
      </w:r>
      <w:r>
        <w:rPr>
          <w:rFonts w:eastAsiaTheme="minorEastAsia"/>
        </w:rPr>
        <w:t xml:space="preserve"> of (2)</w:t>
      </w:r>
      <w:r w:rsidR="00996245">
        <w:rPr>
          <w:rFonts w:eastAsiaTheme="minorEastAsia"/>
        </w:rPr>
        <w:t xml:space="preserve"> and</w:t>
      </w:r>
      <w:r>
        <w:rPr>
          <w:rFonts w:eastAsiaTheme="minorEastAsia"/>
        </w:rPr>
        <w:t xml:space="preserve"> (4) have avoided committing themselves, and thus have avoided taking on </w:t>
      </w:r>
      <w:r w:rsidR="00F538E9">
        <w:rPr>
          <w:rFonts w:eastAsiaTheme="minorEastAsia"/>
        </w:rPr>
        <w:t xml:space="preserve">a </w:t>
      </w:r>
      <w:r>
        <w:rPr>
          <w:rFonts w:eastAsiaTheme="minorEastAsia"/>
        </w:rPr>
        <w:t xml:space="preserve">responsibility </w:t>
      </w:r>
      <w:r w:rsidR="00B454B4">
        <w:rPr>
          <w:rFonts w:eastAsiaTheme="minorEastAsia"/>
        </w:rPr>
        <w:t xml:space="preserve">to </w:t>
      </w:r>
      <w:r w:rsidR="003A522E">
        <w:rPr>
          <w:rFonts w:eastAsiaTheme="minorEastAsia"/>
        </w:rPr>
        <w:t>defend that they know the propositions implicated</w:t>
      </w:r>
      <w:r>
        <w:rPr>
          <w:rFonts w:eastAsiaTheme="minorEastAsia"/>
        </w:rPr>
        <w:t xml:space="preserve">, does </w:t>
      </w:r>
      <w:r w:rsidRPr="00BE6C58">
        <w:rPr>
          <w:rFonts w:eastAsiaTheme="minorEastAsia"/>
          <w:i/>
        </w:rPr>
        <w:t>not</w:t>
      </w:r>
      <w:r>
        <w:rPr>
          <w:rFonts w:eastAsiaTheme="minorEastAsia"/>
        </w:rPr>
        <w:t xml:space="preserve"> mean that they have avoided taking on any responsibility whatsoever concerning </w:t>
      </w:r>
      <w:r w:rsidR="003A522E">
        <w:rPr>
          <w:rFonts w:eastAsiaTheme="minorEastAsia"/>
        </w:rPr>
        <w:t>these propositions</w:t>
      </w:r>
      <w:r>
        <w:rPr>
          <w:rFonts w:eastAsiaTheme="minorEastAsia"/>
        </w:rPr>
        <w:t xml:space="preserve">. </w:t>
      </w:r>
      <w:r w:rsidR="00740EB5">
        <w:rPr>
          <w:rFonts w:eastAsiaTheme="minorEastAsia"/>
        </w:rPr>
        <w:t xml:space="preserve">For that reason, </w:t>
      </w:r>
      <w:r w:rsidR="00937BD3">
        <w:rPr>
          <w:rFonts w:eastAsiaTheme="minorEastAsia"/>
        </w:rPr>
        <w:t xml:space="preserve">there are weaker challenges that </w:t>
      </w:r>
      <w:r w:rsidR="00BC678B">
        <w:rPr>
          <w:rFonts w:eastAsiaTheme="minorEastAsia"/>
        </w:rPr>
        <w:t>they</w:t>
      </w:r>
      <w:r w:rsidR="00937BD3">
        <w:rPr>
          <w:rFonts w:eastAsiaTheme="minorEastAsia"/>
        </w:rPr>
        <w:t xml:space="preserve"> cannot consistently dismiss</w:t>
      </w:r>
      <w:r w:rsidR="00CF7B1E">
        <w:rPr>
          <w:rFonts w:eastAsiaTheme="minorEastAsia"/>
        </w:rPr>
        <w:t xml:space="preserve">. For instance, </w:t>
      </w:r>
      <w:r w:rsidR="003A522E">
        <w:rPr>
          <w:rFonts w:eastAsiaTheme="minorEastAsia"/>
        </w:rPr>
        <w:t>having uttered (2), the doctor might be challenged with (21)</w:t>
      </w:r>
      <w:r>
        <w:rPr>
          <w:rFonts w:eastAsiaTheme="minorEastAsia"/>
        </w:rPr>
        <w:t>:</w:t>
      </w:r>
    </w:p>
    <w:p w14:paraId="436A1004" w14:textId="56F54BFC" w:rsidR="00BE6C58" w:rsidRDefault="00BE6C58" w:rsidP="00BE6C58">
      <w:pPr>
        <w:rPr>
          <w:rFonts w:eastAsiaTheme="minorEastAsia"/>
        </w:rPr>
      </w:pPr>
    </w:p>
    <w:p w14:paraId="1B70D6EB" w14:textId="28A5579A" w:rsidR="00BE6C58" w:rsidRDefault="00BE6C58" w:rsidP="00BE6C58">
      <w:pPr>
        <w:ind w:left="1416" w:hanging="716"/>
        <w:rPr>
          <w:rFonts w:eastAsiaTheme="minorEastAsia"/>
        </w:rPr>
      </w:pPr>
      <w:r>
        <w:rPr>
          <w:rFonts w:eastAsiaTheme="minorEastAsia"/>
        </w:rPr>
        <w:lastRenderedPageBreak/>
        <w:t>(</w:t>
      </w:r>
      <w:r w:rsidR="003A522E">
        <w:rPr>
          <w:rFonts w:eastAsiaTheme="minorEastAsia"/>
        </w:rPr>
        <w:t>21</w:t>
      </w:r>
      <w:r>
        <w:rPr>
          <w:rFonts w:eastAsiaTheme="minorEastAsia"/>
        </w:rPr>
        <w:t>)</w:t>
      </w:r>
      <w:r w:rsidR="00CF7B1E">
        <w:rPr>
          <w:rFonts w:eastAsiaTheme="minorEastAsia"/>
        </w:rPr>
        <w:tab/>
      </w:r>
      <w:r>
        <w:rPr>
          <w:rFonts w:eastAsiaTheme="minorEastAsia"/>
        </w:rPr>
        <w:t xml:space="preserve">What makes you think that he is still fine? </w:t>
      </w:r>
    </w:p>
    <w:p w14:paraId="3CFFE743" w14:textId="77777777" w:rsidR="00D24C23" w:rsidRDefault="00D24C23" w:rsidP="009449F1">
      <w:pPr>
        <w:ind w:firstLine="0"/>
        <w:rPr>
          <w:rFonts w:eastAsiaTheme="minorEastAsia"/>
        </w:rPr>
      </w:pPr>
    </w:p>
    <w:p w14:paraId="0380774A" w14:textId="4DF4D4F7" w:rsidR="009F5359" w:rsidRDefault="00A60A9F" w:rsidP="009F5359">
      <w:pPr>
        <w:ind w:firstLine="0"/>
        <w:rPr>
          <w:rFonts w:eastAsiaTheme="minorEastAsia"/>
        </w:rPr>
      </w:pPr>
      <w:r>
        <w:rPr>
          <w:rFonts w:eastAsiaTheme="minorEastAsia"/>
        </w:rPr>
        <w:t>It is hard to see how the doctor could dismiss this challenge without going against her previous speech-act.</w:t>
      </w:r>
      <w:r w:rsidR="00BF414E">
        <w:rPr>
          <w:rStyle w:val="FootnoteReference"/>
          <w:rFonts w:eastAsiaTheme="minorEastAsia"/>
        </w:rPr>
        <w:footnoteReference w:id="55"/>
      </w:r>
      <w:r>
        <w:rPr>
          <w:rFonts w:eastAsiaTheme="minorEastAsia"/>
        </w:rPr>
        <w:t xml:space="preserve"> </w:t>
      </w:r>
      <w:r w:rsidR="00740EB5">
        <w:rPr>
          <w:rFonts w:eastAsiaTheme="minorEastAsia"/>
        </w:rPr>
        <w:t xml:space="preserve">This is a third way in which the examples of misleading are like the </w:t>
      </w:r>
      <w:r w:rsidR="00996245">
        <w:rPr>
          <w:rFonts w:eastAsiaTheme="minorEastAsia"/>
        </w:rPr>
        <w:t xml:space="preserve">clear </w:t>
      </w:r>
      <w:r w:rsidR="00740EB5">
        <w:rPr>
          <w:rFonts w:eastAsiaTheme="minorEastAsia"/>
        </w:rPr>
        <w:t xml:space="preserve">examples of </w:t>
      </w:r>
      <w:r w:rsidR="00996245">
        <w:rPr>
          <w:rFonts w:eastAsiaTheme="minorEastAsia"/>
        </w:rPr>
        <w:t>weak constatives, such a</w:t>
      </w:r>
      <w:r w:rsidR="00740EB5">
        <w:rPr>
          <w:rFonts w:eastAsiaTheme="minorEastAsia"/>
        </w:rPr>
        <w:t>s (1</w:t>
      </w:r>
      <w:r w:rsidR="00996245">
        <w:rPr>
          <w:rFonts w:eastAsiaTheme="minorEastAsia"/>
        </w:rPr>
        <w:t>1</w:t>
      </w:r>
      <w:r w:rsidR="00740EB5">
        <w:rPr>
          <w:rFonts w:eastAsiaTheme="minorEastAsia"/>
        </w:rPr>
        <w:t>) and (1</w:t>
      </w:r>
      <w:r w:rsidR="00996245">
        <w:rPr>
          <w:rFonts w:eastAsiaTheme="minorEastAsia"/>
        </w:rPr>
        <w:t>2</w:t>
      </w:r>
      <w:r w:rsidR="00740EB5">
        <w:rPr>
          <w:rFonts w:eastAsiaTheme="minorEastAsia"/>
        </w:rPr>
        <w:t xml:space="preserve">). </w:t>
      </w:r>
    </w:p>
    <w:p w14:paraId="67F7E122" w14:textId="12D6B781" w:rsidR="009C41F5" w:rsidRDefault="009F5359" w:rsidP="009F5359">
      <w:pPr>
        <w:rPr>
          <w:rFonts w:eastAsiaTheme="minorEastAsia"/>
        </w:rPr>
      </w:pPr>
      <w:r>
        <w:rPr>
          <w:rFonts w:eastAsiaTheme="minorEastAsia"/>
        </w:rPr>
        <w:t xml:space="preserve">These points suggest that the difference between lying and misleading is indeed a difference in commitment, </w:t>
      </w:r>
      <w:r w:rsidR="00EC2D37">
        <w:rPr>
          <w:rFonts w:eastAsiaTheme="minorEastAsia"/>
        </w:rPr>
        <w:t>where commitment is spelled out in terms of</w:t>
      </w:r>
      <w:r>
        <w:rPr>
          <w:rFonts w:eastAsiaTheme="minorEastAsia"/>
        </w:rPr>
        <w:t xml:space="preserve"> </w:t>
      </w:r>
      <w:r w:rsidR="00F538E9">
        <w:rPr>
          <w:rFonts w:eastAsiaTheme="minorEastAsia"/>
        </w:rPr>
        <w:t xml:space="preserve">a </w:t>
      </w:r>
      <w:r w:rsidR="00A153B1">
        <w:rPr>
          <w:rFonts w:eastAsiaTheme="minorEastAsia"/>
        </w:rPr>
        <w:t>justificatory</w:t>
      </w:r>
      <w:r w:rsidR="006359D9">
        <w:rPr>
          <w:rFonts w:eastAsiaTheme="minorEastAsia"/>
        </w:rPr>
        <w:t xml:space="preserve"> responsibility</w:t>
      </w:r>
      <w:r w:rsidR="00A153B1">
        <w:rPr>
          <w:rFonts w:eastAsiaTheme="minorEastAsia"/>
        </w:rPr>
        <w:t>:</w:t>
      </w:r>
      <w:r w:rsidR="006359D9">
        <w:rPr>
          <w:rFonts w:eastAsiaTheme="minorEastAsia"/>
        </w:rPr>
        <w:t xml:space="preserve"> </w:t>
      </w:r>
      <w:r w:rsidR="00EC2D37">
        <w:rPr>
          <w:rFonts w:eastAsiaTheme="minorEastAsia"/>
        </w:rPr>
        <w:t xml:space="preserve">liars, but not misleaders, </w:t>
      </w:r>
      <w:r w:rsidR="00E7324C">
        <w:rPr>
          <w:rFonts w:eastAsiaTheme="minorEastAsia"/>
        </w:rPr>
        <w:t>take on a responsibility</w:t>
      </w:r>
      <w:r>
        <w:rPr>
          <w:rFonts w:eastAsiaTheme="minorEastAsia"/>
        </w:rPr>
        <w:t xml:space="preserve"> </w:t>
      </w:r>
      <w:r w:rsidR="002B580D">
        <w:rPr>
          <w:rFonts w:eastAsiaTheme="minorEastAsia"/>
        </w:rPr>
        <w:t>to defend that they know the</w:t>
      </w:r>
      <w:r w:rsidR="00EC2D37">
        <w:rPr>
          <w:rFonts w:eastAsiaTheme="minorEastAsia"/>
        </w:rPr>
        <w:t xml:space="preserve"> proposition put forward</w:t>
      </w:r>
      <w:r>
        <w:rPr>
          <w:rFonts w:eastAsiaTheme="minorEastAsia"/>
        </w:rPr>
        <w:t xml:space="preserve">. </w:t>
      </w:r>
      <w:r w:rsidR="006B0336">
        <w:rPr>
          <w:rFonts w:eastAsiaTheme="minorEastAsia"/>
        </w:rPr>
        <w:t>If commitment is understood in this way, (D4) delivers the right results for the misleading utterances (2)</w:t>
      </w:r>
      <w:r w:rsidR="00996245">
        <w:rPr>
          <w:rFonts w:eastAsiaTheme="minorEastAsia"/>
        </w:rPr>
        <w:t xml:space="preserve"> and</w:t>
      </w:r>
      <w:r w:rsidR="006B0336">
        <w:rPr>
          <w:rFonts w:eastAsiaTheme="minorEastAsia"/>
        </w:rPr>
        <w:t xml:space="preserve"> (4): they are not counted as lies, as (L</w:t>
      </w:r>
      <w:r w:rsidR="00996245">
        <w:rPr>
          <w:rFonts w:eastAsiaTheme="minorEastAsia"/>
        </w:rPr>
        <w:t>3</w:t>
      </w:r>
      <w:r w:rsidR="006B0336">
        <w:rPr>
          <w:rFonts w:eastAsiaTheme="minorEastAsia"/>
        </w:rPr>
        <w:t>) is not fulfilled for the implicatures in play.</w:t>
      </w:r>
    </w:p>
    <w:p w14:paraId="3294A06E" w14:textId="0ADB57D5" w:rsidR="00F1558C" w:rsidRDefault="00F1558C" w:rsidP="009F5359">
      <w:pPr>
        <w:rPr>
          <w:rFonts w:eastAsiaTheme="minorEastAsia"/>
        </w:rPr>
      </w:pPr>
    </w:p>
    <w:p w14:paraId="5A1F66D6" w14:textId="29576455" w:rsidR="00384FC6" w:rsidRPr="005F5490" w:rsidRDefault="005F5490" w:rsidP="005F5490">
      <w:pPr>
        <w:rPr>
          <w:rFonts w:eastAsiaTheme="minorEastAsia"/>
          <w:bCs/>
          <w:i/>
          <w:iCs/>
        </w:rPr>
      </w:pPr>
      <w:r w:rsidRPr="005F5490">
        <w:rPr>
          <w:rFonts w:eastAsiaTheme="minorEastAsia"/>
          <w:bCs/>
          <w:i/>
          <w:iCs/>
          <w:smallCaps/>
        </w:rPr>
        <w:t>v</w:t>
      </w:r>
      <w:r w:rsidR="008C7C2C" w:rsidRPr="005F5490">
        <w:rPr>
          <w:rFonts w:eastAsiaTheme="minorEastAsia"/>
          <w:bCs/>
          <w:i/>
          <w:iCs/>
        </w:rPr>
        <w:t xml:space="preserve">.3 </w:t>
      </w:r>
      <w:r w:rsidR="0099798B" w:rsidRPr="005F5490">
        <w:rPr>
          <w:rFonts w:eastAsiaTheme="minorEastAsia"/>
          <w:bCs/>
          <w:i/>
          <w:iCs/>
        </w:rPr>
        <w:t>Taking on</w:t>
      </w:r>
      <w:r w:rsidR="00EA5607" w:rsidRPr="005F5490">
        <w:rPr>
          <w:rFonts w:eastAsiaTheme="minorEastAsia"/>
          <w:bCs/>
          <w:i/>
          <w:iCs/>
        </w:rPr>
        <w:t xml:space="preserve"> </w:t>
      </w:r>
      <w:r>
        <w:rPr>
          <w:rFonts w:eastAsiaTheme="minorEastAsia"/>
          <w:bCs/>
          <w:i/>
          <w:iCs/>
        </w:rPr>
        <w:t>C</w:t>
      </w:r>
      <w:r w:rsidR="00EA5607" w:rsidRPr="005F5490">
        <w:rPr>
          <w:rFonts w:eastAsiaTheme="minorEastAsia"/>
          <w:bCs/>
          <w:i/>
          <w:iCs/>
        </w:rPr>
        <w:t xml:space="preserve">ommitment and </w:t>
      </w:r>
      <w:r>
        <w:rPr>
          <w:rFonts w:eastAsiaTheme="minorEastAsia"/>
          <w:bCs/>
          <w:i/>
          <w:iCs/>
        </w:rPr>
        <w:t>A</w:t>
      </w:r>
      <w:r w:rsidR="00EA5607" w:rsidRPr="005F5490">
        <w:rPr>
          <w:rFonts w:eastAsiaTheme="minorEastAsia"/>
          <w:bCs/>
          <w:i/>
          <w:iCs/>
        </w:rPr>
        <w:t xml:space="preserve">voiding </w:t>
      </w:r>
      <w:r>
        <w:rPr>
          <w:rFonts w:eastAsiaTheme="minorEastAsia"/>
          <w:bCs/>
          <w:i/>
          <w:iCs/>
        </w:rPr>
        <w:t>C</w:t>
      </w:r>
      <w:r w:rsidR="00EA5607" w:rsidRPr="005F5490">
        <w:rPr>
          <w:rFonts w:eastAsiaTheme="minorEastAsia"/>
          <w:bCs/>
          <w:i/>
          <w:iCs/>
        </w:rPr>
        <w:t>ommitment</w:t>
      </w:r>
      <w:r>
        <w:rPr>
          <w:rFonts w:eastAsiaTheme="minorEastAsia"/>
          <w:bCs/>
          <w:i/>
          <w:iCs/>
        </w:rPr>
        <w:t xml:space="preserve">. </w:t>
      </w:r>
      <w:r w:rsidR="00370E9E">
        <w:rPr>
          <w:rFonts w:eastAsiaTheme="minorEastAsia"/>
        </w:rPr>
        <w:t xml:space="preserve">Next, let us consider how </w:t>
      </w:r>
      <w:r w:rsidR="002424F1">
        <w:rPr>
          <w:rFonts w:eastAsiaTheme="minorEastAsia"/>
        </w:rPr>
        <w:t>speakers</w:t>
      </w:r>
      <w:r w:rsidR="00370E9E">
        <w:rPr>
          <w:rFonts w:eastAsiaTheme="minorEastAsia"/>
        </w:rPr>
        <w:t xml:space="preserve"> can </w:t>
      </w:r>
      <w:r w:rsidR="0099798B">
        <w:rPr>
          <w:rFonts w:eastAsiaTheme="minorEastAsia"/>
        </w:rPr>
        <w:t xml:space="preserve">take on commitment and </w:t>
      </w:r>
      <w:r w:rsidR="00370E9E">
        <w:rPr>
          <w:rFonts w:eastAsiaTheme="minorEastAsia"/>
        </w:rPr>
        <w:t xml:space="preserve">avoid commitment. </w:t>
      </w:r>
      <w:r w:rsidR="000A7AD8">
        <w:rPr>
          <w:rFonts w:eastAsiaTheme="minorEastAsia"/>
        </w:rPr>
        <w:t>If the foregoing is correct, t</w:t>
      </w:r>
      <w:r w:rsidR="00346CDD">
        <w:rPr>
          <w:rFonts w:eastAsiaTheme="minorEastAsia"/>
        </w:rPr>
        <w:t xml:space="preserve">here are several ways of </w:t>
      </w:r>
      <w:r w:rsidR="00346CDD" w:rsidRPr="00933D9D">
        <w:rPr>
          <w:rFonts w:eastAsiaTheme="minorEastAsia"/>
          <w:i/>
          <w:iCs/>
        </w:rPr>
        <w:t>taking on</w:t>
      </w:r>
      <w:r w:rsidR="00370E9E">
        <w:rPr>
          <w:rFonts w:eastAsiaTheme="minorEastAsia"/>
        </w:rPr>
        <w:t xml:space="preserve"> commitment</w:t>
      </w:r>
      <w:r w:rsidR="00F1781D">
        <w:rPr>
          <w:rFonts w:eastAsiaTheme="minorEastAsia"/>
        </w:rPr>
        <w:t xml:space="preserve">. A </w:t>
      </w:r>
      <w:r w:rsidR="002424F1">
        <w:rPr>
          <w:rFonts w:eastAsiaTheme="minorEastAsia"/>
        </w:rPr>
        <w:t>speaker</w:t>
      </w:r>
      <w:r w:rsidR="00F1781D">
        <w:rPr>
          <w:rFonts w:eastAsiaTheme="minorEastAsia"/>
        </w:rPr>
        <w:t xml:space="preserve"> can </w:t>
      </w:r>
      <w:r w:rsidR="00346CDD">
        <w:rPr>
          <w:rFonts w:eastAsiaTheme="minorEastAsia"/>
        </w:rPr>
        <w:t>take on</w:t>
      </w:r>
      <w:r w:rsidR="00FD3834">
        <w:rPr>
          <w:rFonts w:eastAsiaTheme="minorEastAsia"/>
        </w:rPr>
        <w:t xml:space="preserve"> a commitment </w:t>
      </w:r>
      <w:r w:rsidR="00F1781D">
        <w:rPr>
          <w:rFonts w:eastAsiaTheme="minorEastAsia"/>
        </w:rPr>
        <w:t xml:space="preserve">to p by uttering a sentence that has p as its semantic content. But it is also possible to </w:t>
      </w:r>
      <w:r w:rsidR="00346CDD">
        <w:rPr>
          <w:rFonts w:eastAsiaTheme="minorEastAsia"/>
        </w:rPr>
        <w:t>take on</w:t>
      </w:r>
      <w:r w:rsidR="00370E9E">
        <w:rPr>
          <w:rFonts w:eastAsiaTheme="minorEastAsia"/>
        </w:rPr>
        <w:t xml:space="preserve"> a commitment</w:t>
      </w:r>
      <w:r w:rsidR="00F1781D">
        <w:rPr>
          <w:rFonts w:eastAsiaTheme="minorEastAsia"/>
        </w:rPr>
        <w:t xml:space="preserve"> to p by </w:t>
      </w:r>
      <w:r w:rsidR="009305C8">
        <w:rPr>
          <w:rFonts w:eastAsiaTheme="minorEastAsia"/>
        </w:rPr>
        <w:t>implicating</w:t>
      </w:r>
      <w:r w:rsidR="00F1781D">
        <w:rPr>
          <w:rFonts w:eastAsiaTheme="minorEastAsia"/>
        </w:rPr>
        <w:t xml:space="preserve"> p or by </w:t>
      </w:r>
      <w:r w:rsidR="009305C8">
        <w:rPr>
          <w:rFonts w:eastAsiaTheme="minorEastAsia"/>
        </w:rPr>
        <w:t>presupposing</w:t>
      </w:r>
      <w:r w:rsidR="00F1781D">
        <w:rPr>
          <w:rFonts w:eastAsiaTheme="minorEastAsia"/>
        </w:rPr>
        <w:t xml:space="preserve"> p.</w:t>
      </w:r>
      <w:r w:rsidR="007057C1">
        <w:rPr>
          <w:rStyle w:val="FootnoteReference"/>
          <w:rFonts w:eastAsiaTheme="minorEastAsia"/>
        </w:rPr>
        <w:footnoteReference w:id="56"/>
      </w:r>
      <w:r w:rsidR="00F1781D">
        <w:rPr>
          <w:rFonts w:eastAsiaTheme="minorEastAsia"/>
        </w:rPr>
        <w:t xml:space="preserve"> </w:t>
      </w:r>
      <w:r w:rsidR="00384FC6">
        <w:rPr>
          <w:rFonts w:eastAsiaTheme="minorEastAsia"/>
        </w:rPr>
        <w:t xml:space="preserve">Again, we can look at challenges </w:t>
      </w:r>
      <w:r w:rsidR="002B580D">
        <w:rPr>
          <w:rFonts w:eastAsiaTheme="minorEastAsia"/>
        </w:rPr>
        <w:t>and consistent responses following</w:t>
      </w:r>
      <w:r w:rsidR="00384FC6">
        <w:rPr>
          <w:rFonts w:eastAsiaTheme="minorEastAsia"/>
        </w:rPr>
        <w:t xml:space="preserve"> some of the </w:t>
      </w:r>
      <w:r w:rsidR="00522C0A">
        <w:rPr>
          <w:rFonts w:eastAsiaTheme="minorEastAsia"/>
        </w:rPr>
        <w:t xml:space="preserve">above </w:t>
      </w:r>
      <w:r w:rsidR="00384FC6">
        <w:rPr>
          <w:rFonts w:eastAsiaTheme="minorEastAsia"/>
        </w:rPr>
        <w:t xml:space="preserve">examples to support this claim. </w:t>
      </w:r>
      <w:r w:rsidR="003A262C">
        <w:rPr>
          <w:rFonts w:eastAsiaTheme="minorEastAsia"/>
        </w:rPr>
        <w:t>For instance, i</w:t>
      </w:r>
      <w:r w:rsidR="00384FC6">
        <w:rPr>
          <w:rFonts w:eastAsiaTheme="minorEastAsia"/>
        </w:rPr>
        <w:t xml:space="preserve">t would be </w:t>
      </w:r>
      <w:r w:rsidR="002B580D">
        <w:rPr>
          <w:rFonts w:eastAsiaTheme="minorEastAsia"/>
        </w:rPr>
        <w:t xml:space="preserve">natural </w:t>
      </w:r>
      <w:r w:rsidR="00384FC6">
        <w:rPr>
          <w:rFonts w:eastAsiaTheme="minorEastAsia"/>
        </w:rPr>
        <w:t xml:space="preserve">to challenge the implicature of (6) </w:t>
      </w:r>
      <w:r w:rsidR="003A262C">
        <w:rPr>
          <w:rFonts w:eastAsiaTheme="minorEastAsia"/>
        </w:rPr>
        <w:t>with</w:t>
      </w:r>
      <w:r w:rsidR="00384FC6">
        <w:rPr>
          <w:rFonts w:eastAsiaTheme="minorEastAsia"/>
        </w:rPr>
        <w:t xml:space="preserve"> (2</w:t>
      </w:r>
      <w:r w:rsidR="002B580D">
        <w:rPr>
          <w:rFonts w:eastAsiaTheme="minorEastAsia"/>
        </w:rPr>
        <w:t>2</w:t>
      </w:r>
      <w:r w:rsidR="00384FC6">
        <w:rPr>
          <w:rFonts w:eastAsiaTheme="minorEastAsia"/>
        </w:rPr>
        <w:t>)</w:t>
      </w:r>
      <w:r w:rsidR="003A262C">
        <w:rPr>
          <w:rFonts w:eastAsiaTheme="minorEastAsia"/>
        </w:rPr>
        <w:t>, and the presupposition in (9) with (23)</w:t>
      </w:r>
      <w:r w:rsidR="00384FC6">
        <w:rPr>
          <w:rFonts w:eastAsiaTheme="minorEastAsia"/>
        </w:rPr>
        <w:t>:</w:t>
      </w:r>
      <w:r w:rsidR="009305C8">
        <w:rPr>
          <w:rFonts w:eastAsiaTheme="minorEastAsia"/>
        </w:rPr>
        <w:t xml:space="preserve"> </w:t>
      </w:r>
    </w:p>
    <w:p w14:paraId="313782E7" w14:textId="77777777" w:rsidR="00CE24DE" w:rsidRDefault="00CE24DE" w:rsidP="00384FC6">
      <w:pPr>
        <w:ind w:firstLine="708"/>
      </w:pPr>
    </w:p>
    <w:p w14:paraId="635AC819" w14:textId="4AE0E82A" w:rsidR="004360EE" w:rsidRPr="009305C8" w:rsidRDefault="00384FC6" w:rsidP="00384FC6">
      <w:pPr>
        <w:ind w:firstLine="708"/>
        <w:rPr>
          <w:rFonts w:eastAsiaTheme="minorEastAsia"/>
        </w:rPr>
      </w:pPr>
      <w:r>
        <w:t>(6)</w:t>
      </w:r>
      <w:r w:rsidRPr="00E339F4">
        <w:tab/>
        <w:t>I’ve got tomatoes coming out of my ears</w:t>
      </w:r>
      <w:r w:rsidR="00425B31">
        <w:t>.</w:t>
      </w:r>
    </w:p>
    <w:p w14:paraId="2BEE3F7D" w14:textId="609617B6" w:rsidR="00CE24DE" w:rsidRDefault="00384FC6" w:rsidP="005032DE">
      <w:pPr>
        <w:ind w:left="1416" w:hanging="708"/>
      </w:pPr>
      <w:r>
        <w:rPr>
          <w:rFonts w:eastAsiaTheme="minorEastAsia"/>
        </w:rPr>
        <w:t>(2</w:t>
      </w:r>
      <w:r w:rsidR="002B580D">
        <w:rPr>
          <w:rFonts w:eastAsiaTheme="minorEastAsia"/>
        </w:rPr>
        <w:t>2</w:t>
      </w:r>
      <w:r>
        <w:rPr>
          <w:rFonts w:eastAsiaTheme="minorEastAsia"/>
        </w:rPr>
        <w:t>)</w:t>
      </w:r>
      <w:r>
        <w:rPr>
          <w:rFonts w:eastAsiaTheme="minorEastAsia"/>
        </w:rPr>
        <w:tab/>
      </w:r>
      <w:r w:rsidR="003A262C">
        <w:rPr>
          <w:rFonts w:eastAsiaTheme="minorEastAsia"/>
        </w:rPr>
        <w:t xml:space="preserve">Do </w:t>
      </w:r>
      <w:r w:rsidR="00775A6C">
        <w:rPr>
          <w:rFonts w:eastAsiaTheme="minorEastAsia"/>
        </w:rPr>
        <w:t>you</w:t>
      </w:r>
      <w:r w:rsidR="008F4BF0">
        <w:rPr>
          <w:rFonts w:eastAsiaTheme="minorEastAsia"/>
        </w:rPr>
        <w:t xml:space="preserve"> really</w:t>
      </w:r>
      <w:r w:rsidR="00775A6C">
        <w:rPr>
          <w:rFonts w:eastAsiaTheme="minorEastAsia"/>
        </w:rPr>
        <w:t xml:space="preserve"> </w:t>
      </w:r>
      <w:r w:rsidR="003A262C">
        <w:rPr>
          <w:rFonts w:eastAsiaTheme="minorEastAsia"/>
          <w:i/>
          <w:iCs/>
        </w:rPr>
        <w:t>know</w:t>
      </w:r>
      <w:r w:rsidR="003A262C">
        <w:rPr>
          <w:rFonts w:eastAsiaTheme="minorEastAsia"/>
        </w:rPr>
        <w:t xml:space="preserve"> </w:t>
      </w:r>
      <w:r w:rsidR="00775A6C">
        <w:rPr>
          <w:rFonts w:eastAsiaTheme="minorEastAsia"/>
        </w:rPr>
        <w:t>you had a good crop? The last time I passed your patch it didn’t actually look very promising.</w:t>
      </w:r>
      <w:r w:rsidR="00CE24DE">
        <w:rPr>
          <w:rStyle w:val="FootnoteReference"/>
          <w:rFonts w:eastAsiaTheme="minorEastAsia"/>
        </w:rPr>
        <w:footnoteReference w:id="57"/>
      </w:r>
      <w:r w:rsidR="00425B31">
        <w:rPr>
          <w:rFonts w:eastAsiaTheme="minorEastAsia"/>
        </w:rPr>
        <w:t xml:space="preserve"> </w:t>
      </w:r>
    </w:p>
    <w:p w14:paraId="47CAD1D6" w14:textId="6003A90E" w:rsidR="00CE24DE" w:rsidRDefault="00CE24DE" w:rsidP="00CE24DE">
      <w:r>
        <w:tab/>
        <w:t>(</w:t>
      </w:r>
      <w:r w:rsidR="00CF7B1E">
        <w:t>9</w:t>
      </w:r>
      <w:r>
        <w:t>)</w:t>
      </w:r>
      <w:r w:rsidRPr="008A3F98">
        <w:tab/>
        <w:t xml:space="preserve">Did you know that John owns a Mercedes? </w:t>
      </w:r>
    </w:p>
    <w:p w14:paraId="12C48AA8" w14:textId="3C514DBE" w:rsidR="00CE24DE" w:rsidRPr="008A3F98" w:rsidRDefault="00CE24DE" w:rsidP="00CE24DE">
      <w:r>
        <w:tab/>
        <w:t>(</w:t>
      </w:r>
      <w:r w:rsidR="003A262C">
        <w:t>23</w:t>
      </w:r>
      <w:r>
        <w:t>)</w:t>
      </w:r>
      <w:r>
        <w:tab/>
        <w:t xml:space="preserve">How do you know he actually </w:t>
      </w:r>
      <w:r w:rsidRPr="00CE24DE">
        <w:rPr>
          <w:i/>
        </w:rPr>
        <w:t>owns</w:t>
      </w:r>
      <w:r>
        <w:t xml:space="preserve"> a Mercedes? </w:t>
      </w:r>
      <w:r w:rsidR="00C57636">
        <w:t>He</w:t>
      </w:r>
      <w:r>
        <w:t xml:space="preserve"> might have rented</w:t>
      </w:r>
      <w:r w:rsidR="00C57636">
        <w:t xml:space="preserve"> one</w:t>
      </w:r>
      <w:r>
        <w:t xml:space="preserve">. </w:t>
      </w:r>
    </w:p>
    <w:p w14:paraId="351EF6EE" w14:textId="4D566FED" w:rsidR="00CE24DE" w:rsidRDefault="00CE24DE" w:rsidP="00CE24DE">
      <w:pPr>
        <w:ind w:firstLine="0"/>
        <w:rPr>
          <w:rFonts w:eastAsiaTheme="minorEastAsia"/>
        </w:rPr>
      </w:pPr>
      <w:r>
        <w:rPr>
          <w:rFonts w:eastAsiaTheme="minorEastAsia"/>
        </w:rPr>
        <w:tab/>
      </w:r>
    </w:p>
    <w:p w14:paraId="66AAFAE4" w14:textId="2C7285D8" w:rsidR="00CE24DE" w:rsidRDefault="003A262C" w:rsidP="00CE24DE">
      <w:pPr>
        <w:ind w:firstLine="0"/>
        <w:rPr>
          <w:rFonts w:eastAsiaTheme="minorEastAsia"/>
        </w:rPr>
      </w:pPr>
      <w:r>
        <w:rPr>
          <w:rFonts w:eastAsiaTheme="minorEastAsia"/>
        </w:rPr>
        <w:t xml:space="preserve">Neither of these challenges permits a consistent dismissal by the challenged speaker, </w:t>
      </w:r>
      <w:r w:rsidR="00CE24DE">
        <w:rPr>
          <w:rFonts w:eastAsiaTheme="minorEastAsia"/>
        </w:rPr>
        <w:t>which again can be seen as an indicat</w:t>
      </w:r>
      <w:r w:rsidR="007057C1">
        <w:rPr>
          <w:rFonts w:eastAsiaTheme="minorEastAsia"/>
        </w:rPr>
        <w:t>ion</w:t>
      </w:r>
      <w:r w:rsidR="00CE24DE">
        <w:rPr>
          <w:rFonts w:eastAsiaTheme="minorEastAsia"/>
        </w:rPr>
        <w:t xml:space="preserve"> of their commitment to the </w:t>
      </w:r>
      <w:r w:rsidR="004D7E8E">
        <w:rPr>
          <w:rFonts w:eastAsiaTheme="minorEastAsia"/>
        </w:rPr>
        <w:t xml:space="preserve">relevant </w:t>
      </w:r>
      <w:r w:rsidR="00CE24DE">
        <w:rPr>
          <w:rFonts w:eastAsiaTheme="minorEastAsia"/>
        </w:rPr>
        <w:t xml:space="preserve">propositions. </w:t>
      </w:r>
    </w:p>
    <w:p w14:paraId="4E67DAD7" w14:textId="149F419C" w:rsidR="00045F05" w:rsidRDefault="00064AC3" w:rsidP="00FF42C4">
      <w:pPr>
        <w:rPr>
          <w:rFonts w:eastAsiaTheme="minorEastAsia"/>
        </w:rPr>
      </w:pPr>
      <w:r>
        <w:rPr>
          <w:rFonts w:eastAsiaTheme="minorEastAsia"/>
        </w:rPr>
        <w:t>The considerations above</w:t>
      </w:r>
      <w:r w:rsidR="00933D9D">
        <w:rPr>
          <w:rFonts w:eastAsiaTheme="minorEastAsia"/>
        </w:rPr>
        <w:t xml:space="preserve"> also </w:t>
      </w:r>
      <w:r>
        <w:rPr>
          <w:rFonts w:eastAsiaTheme="minorEastAsia"/>
        </w:rPr>
        <w:t xml:space="preserve">suggest that there are </w:t>
      </w:r>
      <w:r w:rsidR="00933D9D">
        <w:rPr>
          <w:rFonts w:eastAsiaTheme="minorEastAsia"/>
        </w:rPr>
        <w:t xml:space="preserve">several ways of </w:t>
      </w:r>
      <w:r w:rsidR="00933D9D" w:rsidRPr="00933D9D">
        <w:rPr>
          <w:rFonts w:eastAsiaTheme="minorEastAsia"/>
          <w:i/>
          <w:iCs/>
        </w:rPr>
        <w:t>avoiding</w:t>
      </w:r>
      <w:r w:rsidR="00933D9D">
        <w:rPr>
          <w:rFonts w:eastAsiaTheme="minorEastAsia"/>
        </w:rPr>
        <w:t xml:space="preserve"> commitment</w:t>
      </w:r>
      <w:r w:rsidR="00215265">
        <w:rPr>
          <w:rFonts w:eastAsiaTheme="minorEastAsia"/>
        </w:rPr>
        <w:t>:</w:t>
      </w:r>
      <w:r w:rsidR="00933D9D">
        <w:rPr>
          <w:rFonts w:eastAsiaTheme="minorEastAsia"/>
        </w:rPr>
        <w:t xml:space="preserve"> </w:t>
      </w:r>
      <w:r w:rsidR="00215265">
        <w:rPr>
          <w:rFonts w:eastAsiaTheme="minorEastAsia"/>
        </w:rPr>
        <w:t>hedg</w:t>
      </w:r>
      <w:r w:rsidR="00745F4A">
        <w:rPr>
          <w:rFonts w:eastAsiaTheme="minorEastAsia"/>
        </w:rPr>
        <w:t>ing expressions</w:t>
      </w:r>
      <w:r w:rsidR="00933D9D">
        <w:rPr>
          <w:rFonts w:eastAsiaTheme="minorEastAsia"/>
        </w:rPr>
        <w:t>, intonation</w:t>
      </w:r>
      <w:r w:rsidR="00215265">
        <w:rPr>
          <w:rFonts w:eastAsiaTheme="minorEastAsia"/>
        </w:rPr>
        <w:t xml:space="preserve"> and</w:t>
      </w:r>
      <w:r w:rsidR="007C602E">
        <w:rPr>
          <w:rFonts w:eastAsiaTheme="minorEastAsia"/>
        </w:rPr>
        <w:t xml:space="preserve"> </w:t>
      </w:r>
      <w:r w:rsidR="007C602E" w:rsidRPr="00522C0A">
        <w:rPr>
          <w:rFonts w:eastAsiaTheme="minorEastAsia"/>
          <w:i/>
          <w:iCs/>
        </w:rPr>
        <w:t>some</w:t>
      </w:r>
      <w:r w:rsidR="00215265">
        <w:rPr>
          <w:rFonts w:eastAsiaTheme="minorEastAsia"/>
        </w:rPr>
        <w:t xml:space="preserve"> implicatures. </w:t>
      </w:r>
      <w:r w:rsidR="00522C0A">
        <w:rPr>
          <w:rFonts w:eastAsiaTheme="minorEastAsia"/>
        </w:rPr>
        <w:t xml:space="preserve">In the current context, </w:t>
      </w:r>
      <w:r w:rsidR="00C2666A">
        <w:rPr>
          <w:rFonts w:eastAsiaTheme="minorEastAsia"/>
        </w:rPr>
        <w:t xml:space="preserve">the </w:t>
      </w:r>
      <w:r w:rsidR="00CB5126">
        <w:rPr>
          <w:rFonts w:eastAsiaTheme="minorEastAsia"/>
        </w:rPr>
        <w:t xml:space="preserve">use of implicatures </w:t>
      </w:r>
      <w:r w:rsidR="00FF42C4">
        <w:rPr>
          <w:rFonts w:eastAsiaTheme="minorEastAsia"/>
        </w:rPr>
        <w:t>as commitment-avoiding devices</w:t>
      </w:r>
      <w:r w:rsidR="00C2666A">
        <w:rPr>
          <w:rFonts w:eastAsiaTheme="minorEastAsia"/>
        </w:rPr>
        <w:t xml:space="preserve"> is of </w:t>
      </w:r>
      <w:r w:rsidR="00C2666A" w:rsidRPr="00CB5126">
        <w:rPr>
          <w:rFonts w:eastAsiaTheme="minorEastAsia"/>
        </w:rPr>
        <w:t xml:space="preserve">most interest. </w:t>
      </w:r>
      <w:r w:rsidR="00FF42C4">
        <w:rPr>
          <w:rFonts w:eastAsiaTheme="minorEastAsia"/>
        </w:rPr>
        <w:t>Which implicatures can be used to avoid commitment? I cannot provide a full answer to this question</w:t>
      </w:r>
      <w:r w:rsidR="00D268EA">
        <w:rPr>
          <w:rFonts w:eastAsiaTheme="minorEastAsia"/>
        </w:rPr>
        <w:t xml:space="preserve"> here</w:t>
      </w:r>
      <w:r w:rsidR="00FF42C4">
        <w:rPr>
          <w:rFonts w:eastAsiaTheme="minorEastAsia"/>
        </w:rPr>
        <w:t xml:space="preserve">, but I think that some headway can be made by looking at the distinction between </w:t>
      </w:r>
      <w:r w:rsidR="00FF42C4" w:rsidRPr="004E0E3D">
        <w:rPr>
          <w:rFonts w:eastAsiaTheme="minorEastAsia"/>
          <w:i/>
        </w:rPr>
        <w:t>additive</w:t>
      </w:r>
      <w:r w:rsidR="00FF42C4">
        <w:rPr>
          <w:rFonts w:eastAsiaTheme="minorEastAsia"/>
        </w:rPr>
        <w:t xml:space="preserve"> and </w:t>
      </w:r>
      <w:r w:rsidR="00FF42C4" w:rsidRPr="004E0E3D">
        <w:rPr>
          <w:rFonts w:eastAsiaTheme="minorEastAsia"/>
          <w:i/>
        </w:rPr>
        <w:t>substitutive</w:t>
      </w:r>
      <w:r w:rsidR="00FF42C4">
        <w:rPr>
          <w:rFonts w:eastAsiaTheme="minorEastAsia"/>
        </w:rPr>
        <w:t xml:space="preserve"> (or </w:t>
      </w:r>
      <w:r w:rsidR="00FF42C4" w:rsidRPr="007C602E">
        <w:rPr>
          <w:rFonts w:eastAsiaTheme="minorEastAsia"/>
          <w:i/>
        </w:rPr>
        <w:t>substitutional</w:t>
      </w:r>
      <w:r w:rsidR="00FF42C4">
        <w:rPr>
          <w:rFonts w:eastAsiaTheme="minorEastAsia"/>
        </w:rPr>
        <w:t xml:space="preserve">) </w:t>
      </w:r>
      <w:r w:rsidR="00FF42C4">
        <w:rPr>
          <w:rFonts w:eastAsiaTheme="minorEastAsia"/>
        </w:rPr>
        <w:lastRenderedPageBreak/>
        <w:t xml:space="preserve">conversational </w:t>
      </w:r>
      <w:r w:rsidR="00FF42C4" w:rsidRPr="007C602E">
        <w:rPr>
          <w:rFonts w:eastAsiaTheme="minorEastAsia"/>
        </w:rPr>
        <w:t>implicatures</w:t>
      </w:r>
      <w:r w:rsidR="00FF42C4">
        <w:rPr>
          <w:rFonts w:eastAsiaTheme="minorEastAsia"/>
        </w:rPr>
        <w:t>.</w:t>
      </w:r>
      <w:r w:rsidR="007057C1">
        <w:rPr>
          <w:rStyle w:val="FootnoteReference"/>
          <w:rFonts w:eastAsiaTheme="minorEastAsia"/>
        </w:rPr>
        <w:footnoteReference w:id="58"/>
      </w:r>
      <w:r w:rsidR="00FF42C4">
        <w:rPr>
          <w:rFonts w:eastAsiaTheme="minorEastAsia"/>
        </w:rPr>
        <w:t xml:space="preserve"> Whereas additive conversational implicatures are put forward </w:t>
      </w:r>
      <w:r w:rsidR="00FF42C4" w:rsidRPr="004E0E3D">
        <w:rPr>
          <w:rFonts w:eastAsiaTheme="minorEastAsia"/>
          <w:i/>
        </w:rPr>
        <w:t>in addition</w:t>
      </w:r>
      <w:r w:rsidR="00FF42C4">
        <w:rPr>
          <w:rFonts w:eastAsiaTheme="minorEastAsia"/>
        </w:rPr>
        <w:t xml:space="preserve"> to the semantic content of the sentence uttered, substitutive conversational implicatures are put forward </w:t>
      </w:r>
      <w:r w:rsidR="00FF42C4">
        <w:rPr>
          <w:rFonts w:eastAsiaTheme="minorEastAsia"/>
          <w:i/>
        </w:rPr>
        <w:t>instead of</w:t>
      </w:r>
      <w:r w:rsidR="00FF42C4">
        <w:rPr>
          <w:rFonts w:eastAsiaTheme="minorEastAsia"/>
        </w:rPr>
        <w:t xml:space="preserve"> semantic content. As a rough rule of </w:t>
      </w:r>
      <w:r w:rsidR="00C32E46">
        <w:rPr>
          <w:rFonts w:eastAsiaTheme="minorEastAsia"/>
        </w:rPr>
        <w:t xml:space="preserve">thumb, I would like to </w:t>
      </w:r>
      <w:r w:rsidR="00FF42C4">
        <w:rPr>
          <w:rFonts w:eastAsiaTheme="minorEastAsia"/>
        </w:rPr>
        <w:t xml:space="preserve">suggest that substitutive implicatures </w:t>
      </w:r>
      <w:r w:rsidR="00FF42C4" w:rsidRPr="005032DE">
        <w:rPr>
          <w:rFonts w:eastAsiaTheme="minorEastAsia"/>
        </w:rPr>
        <w:t>cannot</w:t>
      </w:r>
      <w:r w:rsidR="00FF42C4">
        <w:rPr>
          <w:rFonts w:eastAsiaTheme="minorEastAsia"/>
        </w:rPr>
        <w:t xml:space="preserve"> be used to avoid commitment, while at least some additive implicatures </w:t>
      </w:r>
      <w:r w:rsidR="00FF42C4" w:rsidRPr="005032DE">
        <w:rPr>
          <w:rFonts w:eastAsiaTheme="minorEastAsia"/>
        </w:rPr>
        <w:t>can</w:t>
      </w:r>
      <w:r w:rsidR="00FF42C4">
        <w:rPr>
          <w:rFonts w:eastAsiaTheme="minorEastAsia"/>
        </w:rPr>
        <w:t xml:space="preserve"> be used to avoid commitment.</w:t>
      </w:r>
      <w:r w:rsidR="007862E6">
        <w:rPr>
          <w:rStyle w:val="FootnoteReference"/>
          <w:rFonts w:eastAsiaTheme="minorEastAsia"/>
        </w:rPr>
        <w:footnoteReference w:id="59"/>
      </w:r>
    </w:p>
    <w:p w14:paraId="31BE1945" w14:textId="1D18399D" w:rsidR="00045F05" w:rsidRDefault="00C32E46" w:rsidP="00FF42C4">
      <w:pPr>
        <w:rPr>
          <w:rFonts w:eastAsiaTheme="minorEastAsia"/>
        </w:rPr>
      </w:pPr>
      <w:r>
        <w:rPr>
          <w:rFonts w:eastAsiaTheme="minorEastAsia"/>
        </w:rPr>
        <w:t xml:space="preserve">This rule of thumb fits with the fact that the committal implicatures </w:t>
      </w:r>
      <w:r w:rsidR="00064AC3">
        <w:rPr>
          <w:rFonts w:eastAsiaTheme="minorEastAsia"/>
        </w:rPr>
        <w:t>of</w:t>
      </w:r>
      <w:r>
        <w:rPr>
          <w:rFonts w:eastAsiaTheme="minorEastAsia"/>
        </w:rPr>
        <w:t xml:space="preserve"> (6)</w:t>
      </w:r>
      <w:proofErr w:type="gramStart"/>
      <w:r>
        <w:rPr>
          <w:rFonts w:eastAsiaTheme="minorEastAsia"/>
        </w:rPr>
        <w:t>–(</w:t>
      </w:r>
      <w:proofErr w:type="gramEnd"/>
      <w:r>
        <w:rPr>
          <w:rFonts w:eastAsiaTheme="minorEastAsia"/>
        </w:rPr>
        <w:t xml:space="preserve">8) are substitutive implicatures, while the non-committal implicatures </w:t>
      </w:r>
      <w:r w:rsidR="00064AC3">
        <w:rPr>
          <w:rFonts w:eastAsiaTheme="minorEastAsia"/>
        </w:rPr>
        <w:t>of</w:t>
      </w:r>
      <w:r>
        <w:rPr>
          <w:rFonts w:eastAsiaTheme="minorEastAsia"/>
        </w:rPr>
        <w:t xml:space="preserve"> (2) and (4) are additive implicatures.</w:t>
      </w:r>
      <w:r w:rsidR="00890305">
        <w:rPr>
          <w:rStyle w:val="FootnoteReference"/>
          <w:rFonts w:eastAsiaTheme="minorEastAsia"/>
        </w:rPr>
        <w:footnoteReference w:id="60"/>
      </w:r>
      <w:r w:rsidR="00890305">
        <w:rPr>
          <w:rFonts w:eastAsiaTheme="minorEastAsia"/>
        </w:rPr>
        <w:t xml:space="preserve"> </w:t>
      </w:r>
      <w:r>
        <w:rPr>
          <w:rFonts w:eastAsiaTheme="minorEastAsia"/>
        </w:rPr>
        <w:t xml:space="preserve">And it leaves open </w:t>
      </w:r>
      <w:r w:rsidR="00045F05">
        <w:rPr>
          <w:rFonts w:eastAsiaTheme="minorEastAsia"/>
        </w:rPr>
        <w:t xml:space="preserve">possible differences </w:t>
      </w:r>
      <w:r w:rsidR="00064AC3">
        <w:rPr>
          <w:rFonts w:eastAsiaTheme="minorEastAsia"/>
        </w:rPr>
        <w:t xml:space="preserve">in commitment </w:t>
      </w:r>
      <w:r w:rsidR="00045F05">
        <w:rPr>
          <w:rFonts w:eastAsiaTheme="minorEastAsia"/>
        </w:rPr>
        <w:t xml:space="preserve">among additive implicatures. This latter point </w:t>
      </w:r>
      <w:r w:rsidR="00D268EA">
        <w:rPr>
          <w:rFonts w:eastAsiaTheme="minorEastAsia"/>
        </w:rPr>
        <w:t>is</w:t>
      </w:r>
      <w:r w:rsidR="00045F05">
        <w:rPr>
          <w:rFonts w:eastAsiaTheme="minorEastAsia"/>
        </w:rPr>
        <w:t xml:space="preserve"> hinted at by Grice himself.</w:t>
      </w:r>
      <w:r w:rsidR="009A53CD">
        <w:rPr>
          <w:rStyle w:val="FootnoteReference"/>
          <w:rFonts w:eastAsiaTheme="minorEastAsia"/>
        </w:rPr>
        <w:footnoteReference w:id="61"/>
      </w:r>
      <w:r w:rsidR="00045F05">
        <w:rPr>
          <w:rFonts w:eastAsiaTheme="minorEastAsia"/>
        </w:rPr>
        <w:t xml:space="preserve"> </w:t>
      </w:r>
      <w:r w:rsidR="00FE4445">
        <w:rPr>
          <w:rFonts w:eastAsiaTheme="minorEastAsia"/>
        </w:rPr>
        <w:t>In his discussion of the following two cases</w:t>
      </w:r>
      <w:r w:rsidR="00D268EA">
        <w:rPr>
          <w:rFonts w:eastAsiaTheme="minorEastAsia"/>
        </w:rPr>
        <w:t xml:space="preserve"> of additive implicatures</w:t>
      </w:r>
      <w:r w:rsidR="00FE4445">
        <w:rPr>
          <w:rFonts w:eastAsiaTheme="minorEastAsia"/>
        </w:rPr>
        <w:t xml:space="preserve">, Grice </w:t>
      </w:r>
      <w:r w:rsidR="0029353E">
        <w:rPr>
          <w:rFonts w:eastAsiaTheme="minorEastAsia"/>
        </w:rPr>
        <w:t xml:space="preserve">weakens the </w:t>
      </w:r>
      <w:r w:rsidR="00D268EA">
        <w:rPr>
          <w:rFonts w:eastAsiaTheme="minorEastAsia"/>
        </w:rPr>
        <w:t xml:space="preserve">descriptions of the </w:t>
      </w:r>
      <w:r w:rsidR="0029353E">
        <w:rPr>
          <w:rFonts w:eastAsiaTheme="minorEastAsia"/>
        </w:rPr>
        <w:t xml:space="preserve">implicatures by </w:t>
      </w:r>
      <w:r w:rsidR="00FE4445">
        <w:rPr>
          <w:rFonts w:eastAsiaTheme="minorEastAsia"/>
        </w:rPr>
        <w:t xml:space="preserve">adding the expressions I have italicised: </w:t>
      </w:r>
    </w:p>
    <w:p w14:paraId="29353EBF" w14:textId="7AB4FEB3" w:rsidR="00FE4445" w:rsidRDefault="00FE4445" w:rsidP="00FF42C4">
      <w:pPr>
        <w:rPr>
          <w:rFonts w:eastAsiaTheme="minorEastAsia"/>
        </w:rPr>
      </w:pPr>
      <w:r>
        <w:rPr>
          <w:rFonts w:eastAsiaTheme="minorEastAsia"/>
        </w:rPr>
        <w:tab/>
      </w:r>
    </w:p>
    <w:p w14:paraId="6812B38B" w14:textId="074E565E" w:rsidR="00FE4445" w:rsidRDefault="00FE4445" w:rsidP="00FE4445">
      <w:pPr>
        <w:rPr>
          <w:rFonts w:eastAsiaTheme="minorEastAsia"/>
        </w:rPr>
      </w:pPr>
      <w:r>
        <w:rPr>
          <w:rFonts w:eastAsiaTheme="minorEastAsia"/>
        </w:rPr>
        <w:tab/>
        <w:t xml:space="preserve">A: </w:t>
      </w:r>
      <w:r>
        <w:rPr>
          <w:rFonts w:eastAsiaTheme="minorEastAsia"/>
        </w:rPr>
        <w:tab/>
        <w:t>I am out of petrol.</w:t>
      </w:r>
      <w:r>
        <w:rPr>
          <w:rFonts w:eastAsiaTheme="minorEastAsia"/>
        </w:rPr>
        <w:tab/>
      </w:r>
    </w:p>
    <w:p w14:paraId="0B2CF151" w14:textId="5B70DFCF" w:rsidR="00FE4445" w:rsidRDefault="00FE4445" w:rsidP="00FF42C4">
      <w:pPr>
        <w:rPr>
          <w:rFonts w:eastAsiaTheme="minorEastAsia"/>
        </w:rPr>
      </w:pPr>
      <w:r>
        <w:rPr>
          <w:rFonts w:eastAsiaTheme="minorEastAsia"/>
        </w:rPr>
        <w:tab/>
        <w:t>B:</w:t>
      </w:r>
      <w:r>
        <w:rPr>
          <w:rFonts w:eastAsiaTheme="minorEastAsia"/>
        </w:rPr>
        <w:tab/>
        <w:t xml:space="preserve">There is a garage round the corner. </w:t>
      </w:r>
    </w:p>
    <w:p w14:paraId="1446FEAA" w14:textId="792950DA" w:rsidR="00FE4445" w:rsidRDefault="00FE4445" w:rsidP="00FF42C4">
      <w:pPr>
        <w:rPr>
          <w:rFonts w:eastAsiaTheme="minorEastAsia"/>
        </w:rPr>
      </w:pPr>
      <w:r>
        <w:rPr>
          <w:rFonts w:eastAsiaTheme="minorEastAsia"/>
        </w:rPr>
        <w:tab/>
        <w:t xml:space="preserve">Implicature: The garage is, </w:t>
      </w:r>
      <w:r w:rsidRPr="00FE4445">
        <w:rPr>
          <w:rFonts w:eastAsiaTheme="minorEastAsia"/>
          <w:i/>
          <w:iCs/>
        </w:rPr>
        <w:t>or at least may be</w:t>
      </w:r>
      <w:r w:rsidR="00790BB7">
        <w:rPr>
          <w:rFonts w:eastAsiaTheme="minorEastAsia"/>
        </w:rPr>
        <w:t>,</w:t>
      </w:r>
      <w:r>
        <w:rPr>
          <w:rFonts w:eastAsiaTheme="minorEastAsia"/>
        </w:rPr>
        <w:t xml:space="preserve"> open. </w:t>
      </w:r>
    </w:p>
    <w:p w14:paraId="5D0B2E12" w14:textId="77777777" w:rsidR="00FE4445" w:rsidRDefault="00FE4445" w:rsidP="00FF42C4">
      <w:pPr>
        <w:rPr>
          <w:rFonts w:eastAsiaTheme="minorEastAsia"/>
        </w:rPr>
      </w:pPr>
    </w:p>
    <w:p w14:paraId="6F47DFE9" w14:textId="307ECA8B" w:rsidR="00045F05" w:rsidRDefault="00FE4445" w:rsidP="00FE4445">
      <w:pPr>
        <w:ind w:firstLine="708"/>
        <w:rPr>
          <w:rFonts w:eastAsiaTheme="minorEastAsia"/>
        </w:rPr>
      </w:pPr>
      <w:r>
        <w:rPr>
          <w:rFonts w:eastAsiaTheme="minorEastAsia"/>
        </w:rPr>
        <w:t>A:</w:t>
      </w:r>
      <w:r>
        <w:rPr>
          <w:rFonts w:eastAsiaTheme="minorEastAsia"/>
        </w:rPr>
        <w:tab/>
        <w:t>Smith doesn’t seem to have a girlfriend these days.</w:t>
      </w:r>
    </w:p>
    <w:p w14:paraId="2484A597" w14:textId="10F35749" w:rsidR="00FE4445" w:rsidRDefault="00FE4445" w:rsidP="00FF42C4">
      <w:pPr>
        <w:rPr>
          <w:rFonts w:eastAsiaTheme="minorEastAsia"/>
        </w:rPr>
      </w:pPr>
      <w:r>
        <w:rPr>
          <w:rFonts w:eastAsiaTheme="minorEastAsia"/>
        </w:rPr>
        <w:tab/>
        <w:t>B:</w:t>
      </w:r>
      <w:r>
        <w:rPr>
          <w:rFonts w:eastAsiaTheme="minorEastAsia"/>
        </w:rPr>
        <w:tab/>
        <w:t xml:space="preserve">He has been paying a lot of visits to New York lately. </w:t>
      </w:r>
    </w:p>
    <w:p w14:paraId="626850D4" w14:textId="1AA9C67A" w:rsidR="00FE4445" w:rsidRDefault="00FE4445" w:rsidP="00FF42C4">
      <w:pPr>
        <w:rPr>
          <w:rFonts w:eastAsiaTheme="minorEastAsia"/>
        </w:rPr>
      </w:pPr>
      <w:r>
        <w:rPr>
          <w:rFonts w:eastAsiaTheme="minorEastAsia"/>
        </w:rPr>
        <w:tab/>
        <w:t xml:space="preserve">Implicature: Smith has, </w:t>
      </w:r>
      <w:r w:rsidRPr="00FE4445">
        <w:rPr>
          <w:rFonts w:eastAsiaTheme="minorEastAsia"/>
          <w:i/>
          <w:iCs/>
        </w:rPr>
        <w:t>or may have</w:t>
      </w:r>
      <w:r>
        <w:rPr>
          <w:rFonts w:eastAsiaTheme="minorEastAsia"/>
        </w:rPr>
        <w:t>, a girlfriend in New York.</w:t>
      </w:r>
      <w:r w:rsidR="009A53CD">
        <w:rPr>
          <w:rStyle w:val="FootnoteReference"/>
          <w:rFonts w:eastAsiaTheme="minorEastAsia"/>
        </w:rPr>
        <w:footnoteReference w:id="62"/>
      </w:r>
      <w:r>
        <w:rPr>
          <w:rFonts w:eastAsiaTheme="minorEastAsia"/>
        </w:rPr>
        <w:t xml:space="preserve"> </w:t>
      </w:r>
    </w:p>
    <w:p w14:paraId="53D8660A" w14:textId="00236A13" w:rsidR="00FE4445" w:rsidRDefault="00FE4445" w:rsidP="00FE4445">
      <w:pPr>
        <w:ind w:firstLine="0"/>
        <w:rPr>
          <w:rFonts w:eastAsiaTheme="minorEastAsia"/>
        </w:rPr>
      </w:pPr>
    </w:p>
    <w:p w14:paraId="6B9367A1" w14:textId="7CF97997" w:rsidR="0029353E" w:rsidRDefault="0029353E" w:rsidP="004D0EE4">
      <w:pPr>
        <w:ind w:firstLine="0"/>
        <w:rPr>
          <w:rFonts w:eastAsiaTheme="minorEastAsia"/>
        </w:rPr>
      </w:pPr>
      <w:r>
        <w:rPr>
          <w:rFonts w:eastAsiaTheme="minorEastAsia"/>
        </w:rPr>
        <w:t xml:space="preserve">In doing so, he seems to </w:t>
      </w:r>
      <w:r w:rsidR="00D16D09">
        <w:rPr>
          <w:rFonts w:eastAsiaTheme="minorEastAsia"/>
        </w:rPr>
        <w:t xml:space="preserve">be </w:t>
      </w:r>
      <w:r>
        <w:rPr>
          <w:rFonts w:eastAsiaTheme="minorEastAsia"/>
        </w:rPr>
        <w:t>indicat</w:t>
      </w:r>
      <w:r w:rsidR="00D16D09">
        <w:rPr>
          <w:rFonts w:eastAsiaTheme="minorEastAsia"/>
        </w:rPr>
        <w:t>ing</w:t>
      </w:r>
      <w:r>
        <w:rPr>
          <w:rFonts w:eastAsiaTheme="minorEastAsia"/>
        </w:rPr>
        <w:t xml:space="preserve"> that the speakers are not committed to the unqualified implicatures.</w:t>
      </w:r>
      <w:r w:rsidR="00AF55DE">
        <w:rPr>
          <w:rStyle w:val="FootnoteReference"/>
          <w:rFonts w:eastAsiaTheme="minorEastAsia"/>
        </w:rPr>
        <w:footnoteReference w:id="63"/>
      </w:r>
      <w:r>
        <w:rPr>
          <w:rFonts w:eastAsiaTheme="minorEastAsia"/>
        </w:rPr>
        <w:t xml:space="preserve"> No indication</w:t>
      </w:r>
      <w:r w:rsidR="00064AC3">
        <w:rPr>
          <w:rFonts w:eastAsiaTheme="minorEastAsia"/>
        </w:rPr>
        <w:t xml:space="preserve"> of a lack of commitment</w:t>
      </w:r>
      <w:r>
        <w:rPr>
          <w:rFonts w:eastAsiaTheme="minorEastAsia"/>
        </w:rPr>
        <w:t xml:space="preserve"> is included in his discussion of the other examples. For instance, Grice states that the reference letter </w:t>
      </w:r>
      <w:r w:rsidR="00340F9E">
        <w:rPr>
          <w:rFonts w:eastAsiaTheme="minorEastAsia"/>
        </w:rPr>
        <w:t>(“Mr. X’s command of English is excellent, and his attendance at tutorials has been regular”) ca</w:t>
      </w:r>
      <w:r w:rsidR="001C673E">
        <w:rPr>
          <w:rFonts w:eastAsiaTheme="minorEastAsia"/>
        </w:rPr>
        <w:t>rries the</w:t>
      </w:r>
      <w:r>
        <w:rPr>
          <w:rFonts w:eastAsiaTheme="minorEastAsia"/>
        </w:rPr>
        <w:t xml:space="preserve"> implicat</w:t>
      </w:r>
      <w:r w:rsidR="001C673E">
        <w:rPr>
          <w:rFonts w:eastAsiaTheme="minorEastAsia"/>
        </w:rPr>
        <w:t>ure</w:t>
      </w:r>
      <w:r>
        <w:rPr>
          <w:rFonts w:eastAsiaTheme="minorEastAsia"/>
        </w:rPr>
        <w:t xml:space="preserve"> “that Mr. X is </w:t>
      </w:r>
      <w:r>
        <w:rPr>
          <w:rFonts w:eastAsiaTheme="minorEastAsia"/>
        </w:rPr>
        <w:lastRenderedPageBreak/>
        <w:t>no good at philosophy”.</w:t>
      </w:r>
      <w:r w:rsidR="009A53CD">
        <w:rPr>
          <w:rStyle w:val="FootnoteReference"/>
          <w:rFonts w:eastAsiaTheme="minorEastAsia"/>
        </w:rPr>
        <w:footnoteReference w:id="64"/>
      </w:r>
      <w:r>
        <w:rPr>
          <w:rFonts w:eastAsiaTheme="minorEastAsia"/>
        </w:rPr>
        <w:t xml:space="preserve"> These remarks thus fit with a view on which some additive implicatures can be used to avoid commitment, while others cannot be employed for that purpose.</w:t>
      </w:r>
      <w:r>
        <w:rPr>
          <w:rStyle w:val="FootnoteReference"/>
          <w:rFonts w:eastAsiaTheme="minorEastAsia"/>
        </w:rPr>
        <w:footnoteReference w:id="65"/>
      </w:r>
      <w:r>
        <w:rPr>
          <w:rFonts w:eastAsiaTheme="minorEastAsia"/>
        </w:rPr>
        <w:t xml:space="preserve"> </w:t>
      </w:r>
    </w:p>
    <w:p w14:paraId="3DAA1B41" w14:textId="428F59AA" w:rsidR="00AF55DE" w:rsidRDefault="004E6F54" w:rsidP="00F8566C">
      <w:pPr>
        <w:rPr>
          <w:rFonts w:eastAsiaTheme="minorEastAsia"/>
        </w:rPr>
      </w:pPr>
      <w:r>
        <w:rPr>
          <w:rFonts w:eastAsiaTheme="minorEastAsia"/>
        </w:rPr>
        <w:t>A</w:t>
      </w:r>
      <w:r w:rsidR="00D268EA">
        <w:rPr>
          <w:rFonts w:eastAsiaTheme="minorEastAsia"/>
        </w:rPr>
        <w:t xml:space="preserve"> full account of commitment in implicatures</w:t>
      </w:r>
      <w:r>
        <w:rPr>
          <w:rFonts w:eastAsiaTheme="minorEastAsia"/>
        </w:rPr>
        <w:t xml:space="preserve"> would have to answer the following questions: W</w:t>
      </w:r>
      <w:r w:rsidR="00D268EA">
        <w:rPr>
          <w:rFonts w:eastAsiaTheme="minorEastAsia"/>
        </w:rPr>
        <w:t>hich kinds of additive implicatures can be used to avoid commitment</w:t>
      </w:r>
      <w:r>
        <w:rPr>
          <w:rFonts w:eastAsiaTheme="minorEastAsia"/>
        </w:rPr>
        <w:t>?</w:t>
      </w:r>
      <w:r w:rsidR="00D268EA">
        <w:rPr>
          <w:rFonts w:eastAsiaTheme="minorEastAsia"/>
        </w:rPr>
        <w:t xml:space="preserve"> </w:t>
      </w:r>
      <w:r>
        <w:rPr>
          <w:rFonts w:eastAsiaTheme="minorEastAsia"/>
        </w:rPr>
        <w:t>And</w:t>
      </w:r>
      <w:r w:rsidR="00064AC3">
        <w:rPr>
          <w:rFonts w:eastAsiaTheme="minorEastAsia"/>
        </w:rPr>
        <w:t xml:space="preserve"> </w:t>
      </w:r>
      <w:r w:rsidR="00B966C3">
        <w:rPr>
          <w:rFonts w:eastAsiaTheme="minorEastAsia"/>
          <w:i/>
          <w:iCs/>
        </w:rPr>
        <w:t>why</w:t>
      </w:r>
      <w:r w:rsidR="00B966C3">
        <w:rPr>
          <w:rFonts w:eastAsiaTheme="minorEastAsia"/>
        </w:rPr>
        <w:t xml:space="preserve"> </w:t>
      </w:r>
      <w:r w:rsidR="00F538E9">
        <w:rPr>
          <w:rFonts w:eastAsiaTheme="minorEastAsia"/>
        </w:rPr>
        <w:t xml:space="preserve">can </w:t>
      </w:r>
      <w:r w:rsidR="00B966C3">
        <w:rPr>
          <w:rFonts w:eastAsiaTheme="minorEastAsia"/>
        </w:rPr>
        <w:t>speakers use implicatures to avoid commitment</w:t>
      </w:r>
      <w:r>
        <w:rPr>
          <w:rFonts w:eastAsiaTheme="minorEastAsia"/>
        </w:rPr>
        <w:t>?</w:t>
      </w:r>
      <w:r w:rsidR="00B966C3">
        <w:rPr>
          <w:rFonts w:eastAsiaTheme="minorEastAsia"/>
        </w:rPr>
        <w:t xml:space="preserve"> </w:t>
      </w:r>
      <w:r w:rsidR="002E1329">
        <w:rPr>
          <w:rFonts w:eastAsiaTheme="minorEastAsia"/>
        </w:rPr>
        <w:t xml:space="preserve">However, </w:t>
      </w:r>
      <w:r>
        <w:rPr>
          <w:rFonts w:eastAsiaTheme="minorEastAsia"/>
        </w:rPr>
        <w:t xml:space="preserve">a treatment of </w:t>
      </w:r>
      <w:r w:rsidR="00B966C3">
        <w:rPr>
          <w:rFonts w:eastAsiaTheme="minorEastAsia"/>
        </w:rPr>
        <w:t>these</w:t>
      </w:r>
      <w:r w:rsidR="002E1329">
        <w:rPr>
          <w:rFonts w:eastAsiaTheme="minorEastAsia"/>
        </w:rPr>
        <w:t xml:space="preserve"> </w:t>
      </w:r>
      <w:r>
        <w:rPr>
          <w:rFonts w:eastAsiaTheme="minorEastAsia"/>
        </w:rPr>
        <w:t>questions would warrant a paper of its own</w:t>
      </w:r>
      <w:r w:rsidR="00AF55DE">
        <w:rPr>
          <w:rFonts w:eastAsiaTheme="minorEastAsia"/>
        </w:rPr>
        <w:t xml:space="preserve">, and for the time being I would like to </w:t>
      </w:r>
      <w:r w:rsidR="00370064">
        <w:rPr>
          <w:rFonts w:eastAsiaTheme="minorEastAsia"/>
        </w:rPr>
        <w:t xml:space="preserve">tentatively </w:t>
      </w:r>
      <w:r w:rsidR="00AF55DE">
        <w:rPr>
          <w:rFonts w:eastAsiaTheme="minorEastAsia"/>
        </w:rPr>
        <w:t>subscribe only to the following outline of a flexible view of how</w:t>
      </w:r>
      <w:r w:rsidR="00F8566C">
        <w:rPr>
          <w:rFonts w:eastAsiaTheme="minorEastAsia"/>
        </w:rPr>
        <w:t xml:space="preserve"> commitment can be taken on or avoided: </w:t>
      </w:r>
    </w:p>
    <w:p w14:paraId="0629F5C8" w14:textId="5F1DEA61" w:rsidR="00F8566C" w:rsidRDefault="002424F1" w:rsidP="00F8566C">
      <w:pPr>
        <w:rPr>
          <w:rFonts w:eastAsiaTheme="minorEastAsia"/>
        </w:rPr>
      </w:pPr>
      <w:r>
        <w:rPr>
          <w:rFonts w:eastAsiaTheme="minorEastAsia"/>
        </w:rPr>
        <w:t>Speakers</w:t>
      </w:r>
      <w:r w:rsidR="00444441">
        <w:rPr>
          <w:rFonts w:eastAsiaTheme="minorEastAsia"/>
        </w:rPr>
        <w:t xml:space="preserve"> can take on commitment </w:t>
      </w:r>
      <w:r w:rsidR="002E1329">
        <w:rPr>
          <w:rFonts w:eastAsiaTheme="minorEastAsia"/>
        </w:rPr>
        <w:t>to the semantic content of the sentences uttered</w:t>
      </w:r>
      <w:r w:rsidR="00444441">
        <w:rPr>
          <w:rFonts w:eastAsiaTheme="minorEastAsia"/>
        </w:rPr>
        <w:t xml:space="preserve">, </w:t>
      </w:r>
      <w:r w:rsidR="002E1329">
        <w:rPr>
          <w:rFonts w:eastAsiaTheme="minorEastAsia"/>
        </w:rPr>
        <w:t>to</w:t>
      </w:r>
      <w:r w:rsidR="00444441">
        <w:rPr>
          <w:rFonts w:eastAsiaTheme="minorEastAsia"/>
        </w:rPr>
        <w:t xml:space="preserve"> presupposi</w:t>
      </w:r>
      <w:r w:rsidR="002E1329">
        <w:rPr>
          <w:rFonts w:eastAsiaTheme="minorEastAsia"/>
        </w:rPr>
        <w:t>tions</w:t>
      </w:r>
      <w:r w:rsidR="00444441">
        <w:rPr>
          <w:rFonts w:eastAsiaTheme="minorEastAsia"/>
        </w:rPr>
        <w:t xml:space="preserve"> and </w:t>
      </w:r>
      <w:r w:rsidR="002E1329">
        <w:rPr>
          <w:rFonts w:eastAsiaTheme="minorEastAsia"/>
        </w:rPr>
        <w:t>to</w:t>
      </w:r>
      <w:r w:rsidR="00444441">
        <w:rPr>
          <w:rFonts w:eastAsiaTheme="minorEastAsia"/>
        </w:rPr>
        <w:t xml:space="preserve"> certain implicatures</w:t>
      </w:r>
      <w:r w:rsidR="00AF55DE">
        <w:rPr>
          <w:rFonts w:eastAsiaTheme="minorEastAsia"/>
        </w:rPr>
        <w:t>.</w:t>
      </w:r>
      <w:r w:rsidR="00444441">
        <w:rPr>
          <w:rFonts w:eastAsiaTheme="minorEastAsia"/>
        </w:rPr>
        <w:t xml:space="preserve"> </w:t>
      </w:r>
      <w:r w:rsidR="00AF55DE">
        <w:rPr>
          <w:rFonts w:eastAsiaTheme="minorEastAsia"/>
        </w:rPr>
        <w:t>A</w:t>
      </w:r>
      <w:r w:rsidR="00444441">
        <w:rPr>
          <w:rFonts w:eastAsiaTheme="minorEastAsia"/>
        </w:rPr>
        <w:t>nd they can use certain additive implicatures</w:t>
      </w:r>
      <w:r w:rsidR="00F8566C">
        <w:rPr>
          <w:rFonts w:eastAsiaTheme="minorEastAsia"/>
        </w:rPr>
        <w:t xml:space="preserve"> </w:t>
      </w:r>
      <w:r w:rsidR="00444441">
        <w:rPr>
          <w:rFonts w:eastAsiaTheme="minorEastAsia"/>
        </w:rPr>
        <w:t xml:space="preserve">to avoid commitment. </w:t>
      </w:r>
      <w:r w:rsidR="00AF55DE">
        <w:rPr>
          <w:rFonts w:eastAsiaTheme="minorEastAsia"/>
        </w:rPr>
        <w:t xml:space="preserve">Among these additive implicatures are those in play in </w:t>
      </w:r>
      <w:r w:rsidR="005C3E85">
        <w:rPr>
          <w:rFonts w:eastAsiaTheme="minorEastAsia"/>
        </w:rPr>
        <w:t>clear</w:t>
      </w:r>
      <w:r w:rsidR="00AF55DE">
        <w:rPr>
          <w:rFonts w:eastAsiaTheme="minorEastAsia"/>
        </w:rPr>
        <w:t xml:space="preserve"> cases of misleading, such as (2) and (4)</w:t>
      </w:r>
      <w:r w:rsidR="004F6764">
        <w:rPr>
          <w:rFonts w:eastAsiaTheme="minorEastAsia"/>
        </w:rPr>
        <w:t>.</w:t>
      </w:r>
      <w:r w:rsidR="004E6F54">
        <w:rPr>
          <w:rFonts w:eastAsiaTheme="minorEastAsia"/>
        </w:rPr>
        <w:t xml:space="preserve"> </w:t>
      </w:r>
    </w:p>
    <w:p w14:paraId="1F37B048" w14:textId="320B1B71" w:rsidR="002D0780" w:rsidRDefault="002D0780" w:rsidP="002D0780">
      <w:pPr>
        <w:rPr>
          <w:rFonts w:eastAsiaTheme="minorEastAsia"/>
        </w:rPr>
      </w:pPr>
      <w:r>
        <w:rPr>
          <w:rFonts w:eastAsiaTheme="minorEastAsia"/>
        </w:rPr>
        <w:t xml:space="preserve">This flexible view of how commitment is incurred or avoided ensures that (D4) can cover the full variety of lies considered in this paper. </w:t>
      </w:r>
      <w:r w:rsidR="002424F1">
        <w:rPr>
          <w:rFonts w:eastAsiaTheme="minorEastAsia"/>
        </w:rPr>
        <w:t>Speakers</w:t>
      </w:r>
      <w:r>
        <w:rPr>
          <w:rFonts w:eastAsiaTheme="minorEastAsia"/>
        </w:rPr>
        <w:t xml:space="preserve"> can lie literally or non-literally, and they can lie with presuppositions</w:t>
      </w:r>
      <w:r>
        <w:t>.</w:t>
      </w:r>
      <w:r>
        <w:rPr>
          <w:rFonts w:eastAsiaTheme="minorEastAsia"/>
        </w:rPr>
        <w:t xml:space="preserve"> The definition is thus broader than the definitions offered by Stokke and Carson. How broad it is </w:t>
      </w:r>
      <w:proofErr w:type="gramStart"/>
      <w:r>
        <w:rPr>
          <w:rFonts w:eastAsiaTheme="minorEastAsia"/>
        </w:rPr>
        <w:t>depends</w:t>
      </w:r>
      <w:proofErr w:type="gramEnd"/>
      <w:r>
        <w:rPr>
          <w:rFonts w:eastAsiaTheme="minorEastAsia"/>
        </w:rPr>
        <w:t xml:space="preserve"> on which implicatures turn out to be committal. If some additive implicatures do turn out to be committal, the definition will be </w:t>
      </w:r>
      <w:r w:rsidR="009C40A8">
        <w:rPr>
          <w:rFonts w:eastAsiaTheme="minorEastAsia"/>
        </w:rPr>
        <w:t>notably</w:t>
      </w:r>
      <w:r>
        <w:rPr>
          <w:rFonts w:eastAsiaTheme="minorEastAsia"/>
        </w:rPr>
        <w:t xml:space="preserve"> broader than existing definitions</w:t>
      </w:r>
      <w:r w:rsidR="009C40A8">
        <w:rPr>
          <w:rFonts w:eastAsiaTheme="minorEastAsia"/>
        </w:rPr>
        <w:t>.</w:t>
      </w:r>
      <w:r>
        <w:rPr>
          <w:rStyle w:val="FootnoteReference"/>
          <w:rFonts w:eastAsiaTheme="minorEastAsia"/>
        </w:rPr>
        <w:footnoteReference w:id="66"/>
      </w:r>
      <w:r>
        <w:rPr>
          <w:rFonts w:eastAsiaTheme="minorEastAsia"/>
        </w:rPr>
        <w:t xml:space="preserve"> However, I am optimistic that even then it would not be too broad, given that it leads to the right results for </w:t>
      </w:r>
      <w:r w:rsidR="005C3E85">
        <w:rPr>
          <w:rFonts w:eastAsiaTheme="minorEastAsia"/>
        </w:rPr>
        <w:t>clear</w:t>
      </w:r>
      <w:r>
        <w:rPr>
          <w:rFonts w:eastAsiaTheme="minorEastAsia"/>
        </w:rPr>
        <w:t xml:space="preserve"> cases of misleading. </w:t>
      </w:r>
    </w:p>
    <w:p w14:paraId="5C3B1C64" w14:textId="77777777" w:rsidR="003536A3" w:rsidRDefault="003536A3" w:rsidP="00EA5607">
      <w:pPr>
        <w:ind w:firstLine="0"/>
        <w:rPr>
          <w:rFonts w:eastAsiaTheme="minorEastAsia"/>
        </w:rPr>
      </w:pPr>
    </w:p>
    <w:p w14:paraId="03C4546B" w14:textId="652F0922" w:rsidR="00D7116A" w:rsidRDefault="005F5490" w:rsidP="005F5490">
      <w:r w:rsidRPr="005F5490">
        <w:rPr>
          <w:rFonts w:eastAsiaTheme="minorEastAsia"/>
          <w:bCs/>
          <w:i/>
          <w:iCs/>
          <w:smallCaps/>
        </w:rPr>
        <w:t>v</w:t>
      </w:r>
      <w:r w:rsidR="003536A3" w:rsidRPr="005F5490">
        <w:rPr>
          <w:rFonts w:eastAsiaTheme="minorEastAsia"/>
          <w:bCs/>
          <w:i/>
          <w:iCs/>
        </w:rPr>
        <w:t>.</w:t>
      </w:r>
      <w:r w:rsidR="008C7C2C" w:rsidRPr="005F5490">
        <w:rPr>
          <w:rFonts w:eastAsiaTheme="minorEastAsia"/>
          <w:bCs/>
          <w:i/>
          <w:iCs/>
        </w:rPr>
        <w:t xml:space="preserve">4 </w:t>
      </w:r>
      <w:r w:rsidR="003536A3" w:rsidRPr="005F5490">
        <w:rPr>
          <w:rFonts w:eastAsiaTheme="minorEastAsia"/>
          <w:bCs/>
          <w:i/>
          <w:iCs/>
        </w:rPr>
        <w:t>Bald-</w:t>
      </w:r>
      <w:r>
        <w:rPr>
          <w:rFonts w:eastAsiaTheme="minorEastAsia"/>
          <w:bCs/>
          <w:i/>
          <w:iCs/>
        </w:rPr>
        <w:t>F</w:t>
      </w:r>
      <w:r w:rsidR="003536A3" w:rsidRPr="005F5490">
        <w:rPr>
          <w:rFonts w:eastAsiaTheme="minorEastAsia"/>
          <w:bCs/>
          <w:i/>
          <w:iCs/>
        </w:rPr>
        <w:t xml:space="preserve">aced </w:t>
      </w:r>
      <w:r>
        <w:rPr>
          <w:rFonts w:eastAsiaTheme="minorEastAsia"/>
          <w:bCs/>
          <w:i/>
          <w:iCs/>
        </w:rPr>
        <w:t>L</w:t>
      </w:r>
      <w:r w:rsidR="003536A3" w:rsidRPr="005F5490">
        <w:rPr>
          <w:rFonts w:eastAsiaTheme="minorEastAsia"/>
          <w:bCs/>
          <w:i/>
          <w:iCs/>
        </w:rPr>
        <w:t>ies</w:t>
      </w:r>
      <w:r w:rsidR="00CE21B8" w:rsidRPr="005F5490">
        <w:rPr>
          <w:rFonts w:eastAsiaTheme="minorEastAsia"/>
          <w:bCs/>
          <w:i/>
          <w:iCs/>
        </w:rPr>
        <w:t xml:space="preserve"> and</w:t>
      </w:r>
      <w:r w:rsidR="00476512" w:rsidRPr="005F5490">
        <w:rPr>
          <w:rFonts w:eastAsiaTheme="minorEastAsia"/>
          <w:bCs/>
          <w:i/>
          <w:iCs/>
        </w:rPr>
        <w:t xml:space="preserve"> a </w:t>
      </w:r>
      <w:r>
        <w:rPr>
          <w:rFonts w:eastAsiaTheme="minorEastAsia"/>
          <w:bCs/>
          <w:i/>
          <w:iCs/>
        </w:rPr>
        <w:t>D</w:t>
      </w:r>
      <w:r w:rsidR="00476512" w:rsidRPr="005F5490">
        <w:rPr>
          <w:rFonts w:eastAsiaTheme="minorEastAsia"/>
          <w:bCs/>
          <w:i/>
          <w:iCs/>
        </w:rPr>
        <w:t>efinition of</w:t>
      </w:r>
      <w:r w:rsidR="003536A3" w:rsidRPr="005F5490">
        <w:rPr>
          <w:rFonts w:eastAsiaTheme="minorEastAsia"/>
          <w:bCs/>
          <w:i/>
          <w:iCs/>
        </w:rPr>
        <w:t xml:space="preserve"> </w:t>
      </w:r>
      <w:r>
        <w:rPr>
          <w:rFonts w:eastAsiaTheme="minorEastAsia"/>
          <w:bCs/>
          <w:i/>
          <w:iCs/>
        </w:rPr>
        <w:t>M</w:t>
      </w:r>
      <w:r w:rsidR="003536A3" w:rsidRPr="005F5490">
        <w:rPr>
          <w:rFonts w:eastAsiaTheme="minorEastAsia"/>
          <w:bCs/>
          <w:i/>
          <w:iCs/>
        </w:rPr>
        <w:t>isleading</w:t>
      </w:r>
      <w:r>
        <w:rPr>
          <w:rFonts w:eastAsiaTheme="minorEastAsia"/>
          <w:bCs/>
          <w:i/>
          <w:iCs/>
        </w:rPr>
        <w:t xml:space="preserve">. </w:t>
      </w:r>
      <w:r w:rsidR="003536A3">
        <w:rPr>
          <w:rFonts w:eastAsiaTheme="minorEastAsia"/>
        </w:rPr>
        <w:t xml:space="preserve">To end this section, I would like to highlight </w:t>
      </w:r>
      <w:r w:rsidR="00CE21B8">
        <w:rPr>
          <w:rFonts w:eastAsiaTheme="minorEastAsia"/>
        </w:rPr>
        <w:t>two</w:t>
      </w:r>
      <w:r w:rsidR="00F538E9">
        <w:rPr>
          <w:rFonts w:eastAsiaTheme="minorEastAsia"/>
        </w:rPr>
        <w:t xml:space="preserve"> attractive</w:t>
      </w:r>
      <w:r w:rsidR="002448F4">
        <w:rPr>
          <w:rFonts w:eastAsiaTheme="minorEastAsia"/>
        </w:rPr>
        <w:t xml:space="preserve"> </w:t>
      </w:r>
      <w:r w:rsidR="003536A3">
        <w:rPr>
          <w:rFonts w:eastAsiaTheme="minorEastAsia"/>
        </w:rPr>
        <w:t>features of the commitment-based approach</w:t>
      </w:r>
      <w:r w:rsidR="001361AD">
        <w:rPr>
          <w:rFonts w:eastAsiaTheme="minorEastAsia"/>
        </w:rPr>
        <w:t xml:space="preserve">. </w:t>
      </w:r>
      <w:r w:rsidR="001C5119">
        <w:rPr>
          <w:rFonts w:eastAsiaTheme="minorEastAsia"/>
        </w:rPr>
        <w:t>Firstly</w:t>
      </w:r>
      <w:r w:rsidR="003233A3">
        <w:rPr>
          <w:rFonts w:eastAsiaTheme="minorEastAsia"/>
        </w:rPr>
        <w:t>, (D4)</w:t>
      </w:r>
      <w:r w:rsidR="00CC7EE8">
        <w:rPr>
          <w:rFonts w:eastAsiaTheme="minorEastAsia"/>
        </w:rPr>
        <w:t xml:space="preserve"> </w:t>
      </w:r>
      <w:r w:rsidR="00FD6F98">
        <w:rPr>
          <w:rFonts w:eastAsiaTheme="minorEastAsia"/>
        </w:rPr>
        <w:t xml:space="preserve">can </w:t>
      </w:r>
      <w:r w:rsidR="003536A3">
        <w:rPr>
          <w:rFonts w:eastAsiaTheme="minorEastAsia"/>
        </w:rPr>
        <w:t xml:space="preserve">arguably </w:t>
      </w:r>
      <w:r w:rsidR="00D7116A">
        <w:rPr>
          <w:rFonts w:eastAsiaTheme="minorEastAsia"/>
        </w:rPr>
        <w:t xml:space="preserve">account for bald-faced </w:t>
      </w:r>
      <w:proofErr w:type="gramStart"/>
      <w:r w:rsidR="00D7116A">
        <w:rPr>
          <w:rFonts w:eastAsiaTheme="minorEastAsia"/>
        </w:rPr>
        <w:t>lies</w:t>
      </w:r>
      <w:r>
        <w:rPr>
          <w:rFonts w:eastAsiaTheme="minorEastAsia"/>
        </w:rPr>
        <w:t>:</w:t>
      </w:r>
      <w:proofErr w:type="gramEnd"/>
      <w:r w:rsidR="00D7116A">
        <w:rPr>
          <w:rFonts w:eastAsiaTheme="minorEastAsia"/>
        </w:rPr>
        <w:t xml:space="preserve"> lies told without an intention to deceive. </w:t>
      </w:r>
      <w:r w:rsidR="00F05F91">
        <w:rPr>
          <w:rFonts w:eastAsiaTheme="minorEastAsia"/>
        </w:rPr>
        <w:t>In one</w:t>
      </w:r>
      <w:r w:rsidR="00D7116A">
        <w:rPr>
          <w:rFonts w:eastAsiaTheme="minorEastAsia"/>
        </w:rPr>
        <w:t xml:space="preserve"> of the best-known cases of a bald-faced lie</w:t>
      </w:r>
      <w:r w:rsidR="00F05F91">
        <w:rPr>
          <w:rFonts w:eastAsiaTheme="minorEastAsia"/>
        </w:rPr>
        <w:t>,</w:t>
      </w:r>
      <w:r w:rsidR="00D7116A">
        <w:rPr>
          <w:rFonts w:eastAsiaTheme="minorEastAsia"/>
        </w:rPr>
        <w:t xml:space="preserve"> </w:t>
      </w:r>
      <w:r w:rsidR="00C01593">
        <w:rPr>
          <w:rFonts w:eastAsiaTheme="minorEastAsia"/>
        </w:rPr>
        <w:t>put forward by</w:t>
      </w:r>
      <w:r w:rsidR="00D7116A">
        <w:rPr>
          <w:rFonts w:eastAsiaTheme="minorEastAsia"/>
        </w:rPr>
        <w:t xml:space="preserve"> </w:t>
      </w:r>
      <w:r w:rsidR="00D7116A">
        <w:t>Carson</w:t>
      </w:r>
      <w:r w:rsidR="00F05F91">
        <w:t>, a</w:t>
      </w:r>
      <w:r w:rsidR="00D7116A">
        <w:t xml:space="preserve"> student is caught cheating in an exam and subsequently faces the dean, who has </w:t>
      </w:r>
      <w:r w:rsidR="00F4297B">
        <w:t>video</w:t>
      </w:r>
      <w:r w:rsidR="00D7116A">
        <w:t xml:space="preserve"> evidence of the student’s offence.</w:t>
      </w:r>
      <w:r>
        <w:rPr>
          <w:rStyle w:val="FootnoteReference"/>
        </w:rPr>
        <w:footnoteReference w:id="67"/>
      </w:r>
      <w:r w:rsidR="00D7116A">
        <w:t xml:space="preserve"> </w:t>
      </w:r>
      <w:r w:rsidR="003536A3">
        <w:t>The student knows that</w:t>
      </w:r>
      <w:r w:rsidR="00D7116A">
        <w:t xml:space="preserve"> the dean only punishes students who admit their offence</w:t>
      </w:r>
      <w:r w:rsidR="003536A3">
        <w:t>,</w:t>
      </w:r>
      <w:r w:rsidR="00D7116A">
        <w:t xml:space="preserve"> and thus utters: </w:t>
      </w:r>
    </w:p>
    <w:p w14:paraId="496061BD" w14:textId="77777777" w:rsidR="00D7116A" w:rsidRDefault="00D7116A" w:rsidP="00A11CE2"/>
    <w:p w14:paraId="5A4D8872" w14:textId="67D8EFD9" w:rsidR="00D7116A" w:rsidRDefault="00D7116A" w:rsidP="00D7116A">
      <w:pPr>
        <w:ind w:firstLine="708"/>
        <w:rPr>
          <w:rFonts w:eastAsiaTheme="minorEastAsia"/>
        </w:rPr>
      </w:pPr>
      <w:r>
        <w:t>(</w:t>
      </w:r>
      <w:r w:rsidR="00EB7719">
        <w:t>24</w:t>
      </w:r>
      <w:r>
        <w:t>)</w:t>
      </w:r>
      <w:r>
        <w:tab/>
        <w:t xml:space="preserve">I did not cheat in the exam. </w:t>
      </w:r>
      <w:r>
        <w:rPr>
          <w:rFonts w:eastAsiaTheme="minorEastAsia"/>
        </w:rPr>
        <w:t xml:space="preserve"> </w:t>
      </w:r>
    </w:p>
    <w:p w14:paraId="036A6245" w14:textId="77777777" w:rsidR="00D7116A" w:rsidRDefault="00D7116A" w:rsidP="00A11CE2">
      <w:pPr>
        <w:rPr>
          <w:rFonts w:eastAsiaTheme="minorEastAsia"/>
        </w:rPr>
      </w:pPr>
    </w:p>
    <w:p w14:paraId="0AFF2E1E" w14:textId="359FF219" w:rsidR="002448F4" w:rsidRDefault="002448F4" w:rsidP="002448F4">
      <w:pPr>
        <w:ind w:firstLine="0"/>
      </w:pPr>
      <w:r>
        <w:rPr>
          <w:rFonts w:eastAsiaTheme="minorEastAsia"/>
        </w:rPr>
        <w:lastRenderedPageBreak/>
        <w:t xml:space="preserve">It is widely held that </w:t>
      </w:r>
      <w:r w:rsidR="00F4297B">
        <w:t>this is a lie</w:t>
      </w:r>
      <w:r w:rsidR="00370064">
        <w:t xml:space="preserve"> and that </w:t>
      </w:r>
      <w:r w:rsidR="00F4297B">
        <w:t>the student</w:t>
      </w:r>
      <w:r>
        <w:t xml:space="preserve"> does not intend to deceive the dean with respect to having cheated.</w:t>
      </w:r>
      <w:r>
        <w:rPr>
          <w:rStyle w:val="FootnoteReference"/>
        </w:rPr>
        <w:footnoteReference w:id="68"/>
      </w:r>
      <w:r>
        <w:t xml:space="preserve"> </w:t>
      </w:r>
      <w:r w:rsidR="00F05F91">
        <w:t>In line with this verdict, (D4) classifies (</w:t>
      </w:r>
      <w:r w:rsidR="00EB7719">
        <w:t>24</w:t>
      </w:r>
      <w:r w:rsidR="00F05F91">
        <w:t>) as a lie</w:t>
      </w:r>
      <w:r w:rsidR="00F4297B">
        <w:t>, as</w:t>
      </w:r>
      <w:r w:rsidR="00F05F91">
        <w:t xml:space="preserve"> the student commits himself to not having cheat</w:t>
      </w:r>
      <w:r w:rsidR="002177AB">
        <w:t>ed</w:t>
      </w:r>
      <w:r w:rsidR="00F05F91">
        <w:t xml:space="preserve">. Evidence for the student’s commitment can be found </w:t>
      </w:r>
      <w:r w:rsidR="002177AB">
        <w:t xml:space="preserve">by considering how the student could consistently respond to </w:t>
      </w:r>
      <w:r w:rsidR="00F05F91">
        <w:t xml:space="preserve">challenges by the dean, </w:t>
      </w:r>
      <w:r w:rsidR="00F4297B">
        <w:t>such as the following</w:t>
      </w:r>
      <w:r w:rsidR="00F05F91">
        <w:t xml:space="preserve">: </w:t>
      </w:r>
    </w:p>
    <w:p w14:paraId="5062CBF9" w14:textId="77777777" w:rsidR="00F4297B" w:rsidRDefault="00F4297B" w:rsidP="002448F4">
      <w:pPr>
        <w:ind w:firstLine="0"/>
      </w:pPr>
    </w:p>
    <w:p w14:paraId="1188BA24" w14:textId="5ADF1B92" w:rsidR="00F4297B" w:rsidRPr="002177AB" w:rsidRDefault="00F4297B" w:rsidP="002448F4">
      <w:pPr>
        <w:ind w:firstLine="0"/>
      </w:pPr>
      <w:r>
        <w:tab/>
      </w:r>
      <w:r w:rsidRPr="002177AB">
        <w:t>(</w:t>
      </w:r>
      <w:r w:rsidR="004F5915" w:rsidRPr="002177AB">
        <w:t>25</w:t>
      </w:r>
      <w:r w:rsidRPr="002177AB">
        <w:t>)</w:t>
      </w:r>
      <w:r w:rsidRPr="002177AB">
        <w:tab/>
      </w:r>
      <w:r w:rsidR="00370064">
        <w:t>Do you really know</w:t>
      </w:r>
      <w:r w:rsidRPr="002177AB">
        <w:t xml:space="preserve"> you did</w:t>
      </w:r>
      <w:r w:rsidR="001361AD" w:rsidRPr="002177AB">
        <w:t>n’</w:t>
      </w:r>
      <w:r w:rsidRPr="002177AB">
        <w:t>t cheat? We have a video of what happened.</w:t>
      </w:r>
      <w:r w:rsidR="002177AB">
        <w:rPr>
          <w:rStyle w:val="FootnoteReference"/>
        </w:rPr>
        <w:footnoteReference w:id="69"/>
      </w:r>
      <w:r w:rsidRPr="002177AB">
        <w:t xml:space="preserve"> </w:t>
      </w:r>
    </w:p>
    <w:p w14:paraId="70686101" w14:textId="77777777" w:rsidR="00F4297B" w:rsidRDefault="00F4297B" w:rsidP="002448F4">
      <w:pPr>
        <w:ind w:firstLine="0"/>
      </w:pPr>
    </w:p>
    <w:p w14:paraId="605DD203" w14:textId="154FE5D5" w:rsidR="00F05F91" w:rsidRDefault="00F4297B" w:rsidP="002448F4">
      <w:pPr>
        <w:ind w:firstLine="0"/>
      </w:pPr>
      <w:r>
        <w:t xml:space="preserve">If the student’s utterance were non-committal, </w:t>
      </w:r>
      <w:r w:rsidR="002177AB">
        <w:t>there should be the possibility of consistently dismissing this challenge; but quite clearly a dismissal (“I never claimed…”) would be inconsistent</w:t>
      </w:r>
      <w:r>
        <w:t xml:space="preserve">. This suggests that the student indeed </w:t>
      </w:r>
      <w:r w:rsidR="00F538E9">
        <w:t>takes on the required commitment</w:t>
      </w:r>
      <w:r w:rsidR="005F5490">
        <w:t xml:space="preserve">, </w:t>
      </w:r>
      <w:r w:rsidR="00056AB6" w:rsidRPr="007C1E98">
        <w:t>as Stokke</w:t>
      </w:r>
      <w:r w:rsidR="005F5490">
        <w:t xml:space="preserve"> remarks</w:t>
      </w:r>
      <w:r>
        <w:t>.</w:t>
      </w:r>
      <w:r w:rsidR="005F5490">
        <w:rPr>
          <w:rStyle w:val="FootnoteReference"/>
        </w:rPr>
        <w:footnoteReference w:id="70"/>
      </w:r>
      <w:r>
        <w:t xml:space="preserve"> And it indicates that commitment-based definitions can capture bald-faced lies.  </w:t>
      </w:r>
    </w:p>
    <w:p w14:paraId="492F32C3" w14:textId="2B389D01" w:rsidR="00FD6F98" w:rsidRDefault="002448F4" w:rsidP="002448F4">
      <w:pPr>
        <w:rPr>
          <w:rFonts w:eastAsiaTheme="minorEastAsia"/>
        </w:rPr>
      </w:pPr>
      <w:r>
        <w:t xml:space="preserve">Secondly, </w:t>
      </w:r>
      <w:r w:rsidR="001B465D">
        <w:t xml:space="preserve">the definition can </w:t>
      </w:r>
      <w:r w:rsidR="00FD6F98">
        <w:rPr>
          <w:rFonts w:eastAsiaTheme="minorEastAsia"/>
        </w:rPr>
        <w:t>easily be modified so a</w:t>
      </w:r>
      <w:r w:rsidR="00FD3834">
        <w:rPr>
          <w:rFonts w:eastAsiaTheme="minorEastAsia"/>
        </w:rPr>
        <w:t>s</w:t>
      </w:r>
      <w:r w:rsidR="00FD6F98">
        <w:rPr>
          <w:rFonts w:eastAsiaTheme="minorEastAsia"/>
        </w:rPr>
        <w:t xml:space="preserve"> to provide </w:t>
      </w:r>
      <w:r w:rsidR="006410C4">
        <w:rPr>
          <w:rFonts w:eastAsiaTheme="minorEastAsia"/>
        </w:rPr>
        <w:t>a</w:t>
      </w:r>
      <w:r w:rsidR="00FD6F98">
        <w:rPr>
          <w:rFonts w:eastAsiaTheme="minorEastAsia"/>
        </w:rPr>
        <w:t xml:space="preserve"> definition of</w:t>
      </w:r>
      <w:r w:rsidR="003233A3">
        <w:rPr>
          <w:rFonts w:eastAsiaTheme="minorEastAsia"/>
        </w:rPr>
        <w:t xml:space="preserve"> misleading</w:t>
      </w:r>
      <w:r w:rsidR="006410C4">
        <w:rPr>
          <w:rFonts w:eastAsiaTheme="minorEastAsia"/>
        </w:rPr>
        <w:t xml:space="preserve">. Somewhat surprisingly, no such </w:t>
      </w:r>
      <w:r w:rsidR="00D16D09">
        <w:rPr>
          <w:rFonts w:eastAsiaTheme="minorEastAsia"/>
        </w:rPr>
        <w:t xml:space="preserve">counterpart to a </w:t>
      </w:r>
      <w:r w:rsidR="006410C4">
        <w:rPr>
          <w:rFonts w:eastAsiaTheme="minorEastAsia"/>
        </w:rPr>
        <w:t>definition</w:t>
      </w:r>
      <w:r w:rsidR="00D16D09">
        <w:rPr>
          <w:rFonts w:eastAsiaTheme="minorEastAsia"/>
        </w:rPr>
        <w:t xml:space="preserve"> of lying</w:t>
      </w:r>
      <w:r w:rsidR="006410C4">
        <w:rPr>
          <w:rFonts w:eastAsiaTheme="minorEastAsia"/>
        </w:rPr>
        <w:t xml:space="preserve"> has been put forward in the debate </w:t>
      </w:r>
      <w:r w:rsidR="00455AF9">
        <w:rPr>
          <w:rFonts w:eastAsiaTheme="minorEastAsia"/>
        </w:rPr>
        <w:t>(at least to my knowledge)</w:t>
      </w:r>
      <w:r w:rsidR="006410C4">
        <w:rPr>
          <w:rFonts w:eastAsiaTheme="minorEastAsia"/>
        </w:rPr>
        <w:t xml:space="preserve">. </w:t>
      </w:r>
      <w:r w:rsidR="00346BAF">
        <w:rPr>
          <w:rFonts w:eastAsiaTheme="minorEastAsia"/>
        </w:rPr>
        <w:t>This may have to do with the fact that t</w:t>
      </w:r>
      <w:r w:rsidR="006410C4">
        <w:rPr>
          <w:rFonts w:eastAsiaTheme="minorEastAsia"/>
        </w:rPr>
        <w:t>here are many varieties of misleading</w:t>
      </w:r>
      <w:r w:rsidR="009C3EF8">
        <w:rPr>
          <w:rFonts w:eastAsiaTheme="minorEastAsia"/>
        </w:rPr>
        <w:t>, as I mentioned in the introduction</w:t>
      </w:r>
      <w:r w:rsidR="005D33A8">
        <w:rPr>
          <w:rFonts w:eastAsiaTheme="minorEastAsia"/>
        </w:rPr>
        <w:t xml:space="preserve">: </w:t>
      </w:r>
      <w:r w:rsidR="006410C4">
        <w:rPr>
          <w:rFonts w:eastAsiaTheme="minorEastAsia"/>
        </w:rPr>
        <w:t xml:space="preserve">misleading can be </w:t>
      </w:r>
      <w:r w:rsidR="006410C4" w:rsidRPr="005D33A8">
        <w:rPr>
          <w:rFonts w:eastAsiaTheme="minorEastAsia"/>
          <w:iCs/>
        </w:rPr>
        <w:t>communicative</w:t>
      </w:r>
      <w:r w:rsidR="006410C4">
        <w:rPr>
          <w:rFonts w:eastAsiaTheme="minorEastAsia"/>
        </w:rPr>
        <w:t xml:space="preserve"> or </w:t>
      </w:r>
      <w:r w:rsidR="006410C4" w:rsidRPr="005D33A8">
        <w:rPr>
          <w:rFonts w:eastAsiaTheme="minorEastAsia"/>
          <w:iCs/>
        </w:rPr>
        <w:t>non-communicative</w:t>
      </w:r>
      <w:r w:rsidR="005D33A8">
        <w:rPr>
          <w:rFonts w:eastAsiaTheme="minorEastAsia"/>
        </w:rPr>
        <w:t>, and it can</w:t>
      </w:r>
      <w:r w:rsidR="006410C4">
        <w:rPr>
          <w:rFonts w:eastAsiaTheme="minorEastAsia"/>
        </w:rPr>
        <w:t xml:space="preserve"> be </w:t>
      </w:r>
      <w:r w:rsidR="006410C4" w:rsidRPr="005D33A8">
        <w:rPr>
          <w:rFonts w:eastAsiaTheme="minorEastAsia"/>
          <w:iCs/>
        </w:rPr>
        <w:t>intentional</w:t>
      </w:r>
      <w:r w:rsidR="00A11CE2" w:rsidRPr="005D33A8">
        <w:rPr>
          <w:rFonts w:eastAsiaTheme="minorEastAsia"/>
          <w:iCs/>
        </w:rPr>
        <w:t xml:space="preserve"> </w:t>
      </w:r>
      <w:r w:rsidR="006410C4" w:rsidRPr="005D33A8">
        <w:rPr>
          <w:rFonts w:eastAsiaTheme="minorEastAsia"/>
          <w:iCs/>
        </w:rPr>
        <w:t>or unintentional</w:t>
      </w:r>
      <w:r w:rsidR="006410C4">
        <w:rPr>
          <w:rFonts w:eastAsiaTheme="minorEastAsia"/>
        </w:rPr>
        <w:t xml:space="preserve">. </w:t>
      </w:r>
      <w:r w:rsidR="00A11CE2">
        <w:rPr>
          <w:rFonts w:eastAsiaTheme="minorEastAsia"/>
        </w:rPr>
        <w:t>But i</w:t>
      </w:r>
      <w:r w:rsidR="006410C4">
        <w:rPr>
          <w:rFonts w:eastAsiaTheme="minorEastAsia"/>
        </w:rPr>
        <w:t xml:space="preserve">n the current context, we are </w:t>
      </w:r>
      <w:r w:rsidR="00A11CE2">
        <w:rPr>
          <w:rFonts w:eastAsiaTheme="minorEastAsia"/>
        </w:rPr>
        <w:t xml:space="preserve">only </w:t>
      </w:r>
      <w:r w:rsidR="006410C4">
        <w:rPr>
          <w:rFonts w:eastAsiaTheme="minorEastAsia"/>
        </w:rPr>
        <w:t xml:space="preserve">interested in </w:t>
      </w:r>
      <w:r w:rsidR="00A11CE2">
        <w:rPr>
          <w:rFonts w:eastAsiaTheme="minorEastAsia"/>
        </w:rPr>
        <w:t xml:space="preserve">one of these kinds, namely </w:t>
      </w:r>
      <w:r w:rsidR="006410C4">
        <w:rPr>
          <w:rFonts w:eastAsiaTheme="minorEastAsia"/>
        </w:rPr>
        <w:t>the counterpart to lying</w:t>
      </w:r>
      <w:r w:rsidR="00A11CE2">
        <w:rPr>
          <w:rFonts w:eastAsiaTheme="minorEastAsia"/>
        </w:rPr>
        <w:t xml:space="preserve">, and it would be </w:t>
      </w:r>
      <w:r w:rsidR="00C01593">
        <w:rPr>
          <w:rFonts w:eastAsiaTheme="minorEastAsia"/>
        </w:rPr>
        <w:t>helpful</w:t>
      </w:r>
      <w:r w:rsidR="00A11CE2">
        <w:rPr>
          <w:rFonts w:eastAsiaTheme="minorEastAsia"/>
        </w:rPr>
        <w:t xml:space="preserve"> to have a definition of such misleading. The relevant kind of misleading </w:t>
      </w:r>
      <w:r w:rsidR="006410C4">
        <w:rPr>
          <w:rFonts w:eastAsiaTheme="minorEastAsia"/>
        </w:rPr>
        <w:t>is communicative and intentional</w:t>
      </w:r>
      <w:r w:rsidR="00A11CE2">
        <w:rPr>
          <w:rFonts w:eastAsiaTheme="minorEastAsia"/>
        </w:rPr>
        <w:t>, just as lying is</w:t>
      </w:r>
      <w:r w:rsidR="006410C4">
        <w:rPr>
          <w:rFonts w:eastAsiaTheme="minorEastAsia"/>
        </w:rPr>
        <w:t xml:space="preserve">. Furthermore, the definition should not only cover successful misleadings, but also attempted misleadings. The definition should thus apply to attempts </w:t>
      </w:r>
      <w:r w:rsidR="009C3EF8">
        <w:rPr>
          <w:rFonts w:eastAsiaTheme="minorEastAsia"/>
        </w:rPr>
        <w:t>at</w:t>
      </w:r>
      <w:r w:rsidR="006410C4">
        <w:rPr>
          <w:rFonts w:eastAsiaTheme="minorEastAsia"/>
        </w:rPr>
        <w:t xml:space="preserve"> </w:t>
      </w:r>
      <w:r w:rsidR="004A26AE">
        <w:rPr>
          <w:rFonts w:eastAsiaTheme="minorEastAsia"/>
        </w:rPr>
        <w:t xml:space="preserve">mere </w:t>
      </w:r>
      <w:r w:rsidR="006410C4">
        <w:rPr>
          <w:rFonts w:eastAsiaTheme="minorEastAsia"/>
        </w:rPr>
        <w:t>communicative mislead</w:t>
      </w:r>
      <w:r w:rsidR="009C3EF8">
        <w:rPr>
          <w:rFonts w:eastAsiaTheme="minorEastAsia"/>
        </w:rPr>
        <w:t>ing</w:t>
      </w:r>
      <w:r w:rsidR="006410C4">
        <w:rPr>
          <w:rFonts w:eastAsiaTheme="minorEastAsia"/>
        </w:rPr>
        <w:t xml:space="preserve"> (which must be intentional, given that attempting must be intentional). </w:t>
      </w:r>
      <w:r w:rsidR="00346BAF">
        <w:rPr>
          <w:rFonts w:eastAsiaTheme="minorEastAsia"/>
        </w:rPr>
        <w:t>Such</w:t>
      </w:r>
      <w:r w:rsidR="006410C4">
        <w:rPr>
          <w:rFonts w:eastAsiaTheme="minorEastAsia"/>
        </w:rPr>
        <w:t xml:space="preserve"> a definition can be easily constructed by changing the </w:t>
      </w:r>
      <w:r w:rsidR="00FD3834">
        <w:rPr>
          <w:rFonts w:eastAsiaTheme="minorEastAsia"/>
        </w:rPr>
        <w:t>third</w:t>
      </w:r>
      <w:r w:rsidR="006410C4">
        <w:rPr>
          <w:rFonts w:eastAsiaTheme="minorEastAsia"/>
        </w:rPr>
        <w:t xml:space="preserve"> clause of (D4)</w:t>
      </w:r>
      <w:r w:rsidR="009C3EF8">
        <w:rPr>
          <w:rFonts w:eastAsiaTheme="minorEastAsia"/>
        </w:rPr>
        <w:t xml:space="preserve"> as follows</w:t>
      </w:r>
      <w:r w:rsidR="006410C4">
        <w:rPr>
          <w:rFonts w:eastAsiaTheme="minorEastAsia"/>
        </w:rPr>
        <w:t>:</w:t>
      </w:r>
    </w:p>
    <w:p w14:paraId="26377477" w14:textId="4A65A8F2" w:rsidR="005E345E" w:rsidRPr="00F90D0D" w:rsidRDefault="005E345E" w:rsidP="00FD6F98">
      <w:pPr>
        <w:pStyle w:val="longquote"/>
        <w:rPr>
          <w:rFonts w:eastAsiaTheme="minorEastAsia"/>
          <w:i/>
        </w:rPr>
      </w:pPr>
      <w:r>
        <w:rPr>
          <w:rFonts w:eastAsiaTheme="minorEastAsia"/>
          <w:i/>
        </w:rPr>
        <w:t>(D5)</w:t>
      </w:r>
      <w:r>
        <w:rPr>
          <w:rFonts w:eastAsiaTheme="minorEastAsia"/>
          <w:i/>
        </w:rPr>
        <w:tab/>
      </w:r>
      <w:r w:rsidR="006E038E">
        <w:rPr>
          <w:rFonts w:eastAsiaTheme="minorEastAsia"/>
          <w:i/>
        </w:rPr>
        <w:t xml:space="preserve">A </w:t>
      </w:r>
      <w:r w:rsidR="006557AE">
        <w:rPr>
          <w:rFonts w:eastAsiaTheme="minorEastAsia"/>
          <w:i/>
        </w:rPr>
        <w:t>D</w:t>
      </w:r>
      <w:r w:rsidR="006E038E">
        <w:rPr>
          <w:rFonts w:eastAsiaTheme="minorEastAsia"/>
          <w:i/>
        </w:rPr>
        <w:t xml:space="preserve">efinition of </w:t>
      </w:r>
      <w:r w:rsidR="006557AE">
        <w:rPr>
          <w:rFonts w:eastAsiaTheme="minorEastAsia"/>
          <w:i/>
        </w:rPr>
        <w:t>A</w:t>
      </w:r>
      <w:r w:rsidRPr="00F90D0D">
        <w:rPr>
          <w:rFonts w:eastAsiaTheme="minorEastAsia"/>
          <w:i/>
        </w:rPr>
        <w:t>ttempting to</w:t>
      </w:r>
      <w:r w:rsidR="004A26AE">
        <w:rPr>
          <w:rFonts w:eastAsiaTheme="minorEastAsia"/>
          <w:i/>
        </w:rPr>
        <w:t xml:space="preserve"> </w:t>
      </w:r>
      <w:r w:rsidR="006557AE">
        <w:rPr>
          <w:rFonts w:eastAsiaTheme="minorEastAsia"/>
          <w:i/>
        </w:rPr>
        <w:t>M</w:t>
      </w:r>
      <w:r w:rsidR="004A26AE">
        <w:rPr>
          <w:rFonts w:eastAsiaTheme="minorEastAsia"/>
          <w:i/>
        </w:rPr>
        <w:t>erely</w:t>
      </w:r>
      <w:r w:rsidRPr="00F90D0D">
        <w:rPr>
          <w:rFonts w:eastAsiaTheme="minorEastAsia"/>
          <w:i/>
        </w:rPr>
        <w:t xml:space="preserve"> </w:t>
      </w:r>
      <w:r w:rsidR="006557AE">
        <w:rPr>
          <w:rFonts w:eastAsiaTheme="minorEastAsia"/>
          <w:i/>
        </w:rPr>
        <w:t>C</w:t>
      </w:r>
      <w:r w:rsidR="00FD6F98">
        <w:rPr>
          <w:rFonts w:eastAsiaTheme="minorEastAsia"/>
          <w:i/>
        </w:rPr>
        <w:t xml:space="preserve">ommunicatively </w:t>
      </w:r>
      <w:r w:rsidR="006557AE">
        <w:rPr>
          <w:rFonts w:eastAsiaTheme="minorEastAsia"/>
          <w:i/>
        </w:rPr>
        <w:t>M</w:t>
      </w:r>
      <w:r w:rsidRPr="00F90D0D">
        <w:rPr>
          <w:rFonts w:eastAsiaTheme="minorEastAsia"/>
          <w:i/>
        </w:rPr>
        <w:t>islead</w:t>
      </w:r>
    </w:p>
    <w:p w14:paraId="387BBDB7" w14:textId="72E337FF" w:rsidR="005E345E" w:rsidRPr="00F90D0D" w:rsidRDefault="005E345E" w:rsidP="005E345E">
      <w:pPr>
        <w:pStyle w:val="longquote"/>
        <w:rPr>
          <w:rFonts w:eastAsiaTheme="minorEastAsia"/>
        </w:rPr>
      </w:pPr>
      <w:r w:rsidRPr="00F90D0D">
        <w:rPr>
          <w:rFonts w:eastAsiaTheme="minorEastAsia"/>
        </w:rPr>
        <w:t xml:space="preserve">A </w:t>
      </w:r>
      <w:proofErr w:type="gramStart"/>
      <w:r w:rsidRPr="00F90D0D">
        <w:rPr>
          <w:rFonts w:eastAsiaTheme="minorEastAsia"/>
        </w:rPr>
        <w:t>attempts</w:t>
      </w:r>
      <w:proofErr w:type="gramEnd"/>
      <w:r w:rsidRPr="00F90D0D">
        <w:rPr>
          <w:rFonts w:eastAsiaTheme="minorEastAsia"/>
        </w:rPr>
        <w:t xml:space="preserve"> to </w:t>
      </w:r>
      <w:r w:rsidR="00B454B4">
        <w:rPr>
          <w:rFonts w:eastAsiaTheme="minorEastAsia"/>
        </w:rPr>
        <w:t xml:space="preserve">merely </w:t>
      </w:r>
      <w:r w:rsidRPr="00F90D0D">
        <w:rPr>
          <w:rFonts w:eastAsiaTheme="minorEastAsia"/>
        </w:rPr>
        <w:t xml:space="preserve">mislead B if and only if there is a proposition p such that: </w:t>
      </w:r>
    </w:p>
    <w:p w14:paraId="12F71B62" w14:textId="18E7D5EF" w:rsidR="00030655" w:rsidRDefault="00030655" w:rsidP="00030655">
      <w:pPr>
        <w:pStyle w:val="longquote"/>
        <w:rPr>
          <w:rFonts w:eastAsiaTheme="minorEastAsia"/>
        </w:rPr>
      </w:pPr>
      <w:r w:rsidRPr="00F90D0D">
        <w:rPr>
          <w:rFonts w:eastAsiaTheme="minorEastAsia"/>
        </w:rPr>
        <w:t>(</w:t>
      </w:r>
      <w:r>
        <w:rPr>
          <w:rFonts w:eastAsiaTheme="minorEastAsia"/>
        </w:rPr>
        <w:t>M</w:t>
      </w:r>
      <w:r w:rsidRPr="00F90D0D">
        <w:rPr>
          <w:rFonts w:eastAsiaTheme="minorEastAsia"/>
        </w:rPr>
        <w:t>1</w:t>
      </w:r>
      <w:proofErr w:type="gramStart"/>
      <w:r w:rsidRPr="00F90D0D">
        <w:rPr>
          <w:rFonts w:eastAsiaTheme="minorEastAsia"/>
        </w:rPr>
        <w:t>)  </w:t>
      </w:r>
      <w:r w:rsidRPr="00F90D0D">
        <w:rPr>
          <w:rFonts w:eastAsiaTheme="minorEastAsia"/>
        </w:rPr>
        <w:tab/>
      </w:r>
      <w:proofErr w:type="gramEnd"/>
      <w:r w:rsidRPr="00F90D0D">
        <w:rPr>
          <w:rFonts w:eastAsiaTheme="minorEastAsia"/>
        </w:rPr>
        <w:t>A performs a communicative act C</w:t>
      </w:r>
      <w:r>
        <w:rPr>
          <w:rFonts w:eastAsiaTheme="minorEastAsia"/>
        </w:rPr>
        <w:t xml:space="preserve"> </w:t>
      </w:r>
      <w:r w:rsidR="006557AE">
        <w:rPr>
          <w:rFonts w:eastAsiaTheme="minorEastAsia"/>
        </w:rPr>
        <w:t>with p as content</w:t>
      </w:r>
      <w:r>
        <w:rPr>
          <w:rFonts w:eastAsiaTheme="minorEastAsia"/>
        </w:rPr>
        <w:t>;</w:t>
      </w:r>
    </w:p>
    <w:p w14:paraId="2CE23DC5" w14:textId="66C9D842" w:rsidR="00030655" w:rsidRPr="00F90D0D" w:rsidRDefault="00030655" w:rsidP="00030655">
      <w:pPr>
        <w:pStyle w:val="longquote"/>
        <w:rPr>
          <w:rFonts w:eastAsiaTheme="minorEastAsia"/>
        </w:rPr>
      </w:pPr>
      <w:r>
        <w:rPr>
          <w:rFonts w:eastAsiaTheme="minorEastAsia"/>
        </w:rPr>
        <w:t>(M2)</w:t>
      </w:r>
      <w:r>
        <w:rPr>
          <w:rFonts w:eastAsiaTheme="minorEastAsia"/>
        </w:rPr>
        <w:tab/>
        <w:t>with C, A intends to communicate p to B</w:t>
      </w:r>
      <w:r w:rsidRPr="00F90D0D">
        <w:rPr>
          <w:rFonts w:eastAsiaTheme="minorEastAsia"/>
        </w:rPr>
        <w:t xml:space="preserve">; </w:t>
      </w:r>
    </w:p>
    <w:p w14:paraId="7E6866C2" w14:textId="75FC775B" w:rsidR="00030655" w:rsidRPr="00F90D0D" w:rsidRDefault="00030655" w:rsidP="00030655">
      <w:pPr>
        <w:pStyle w:val="longquote"/>
        <w:rPr>
          <w:rFonts w:eastAsiaTheme="minorEastAsia"/>
        </w:rPr>
      </w:pPr>
      <w:r w:rsidRPr="00F90D0D">
        <w:rPr>
          <w:rFonts w:eastAsiaTheme="minorEastAsia"/>
        </w:rPr>
        <w:t>(</w:t>
      </w:r>
      <w:r>
        <w:rPr>
          <w:rFonts w:eastAsiaTheme="minorEastAsia"/>
        </w:rPr>
        <w:t>M3</w:t>
      </w:r>
      <w:r w:rsidRPr="00F90D0D">
        <w:rPr>
          <w:rFonts w:eastAsiaTheme="minorEastAsia"/>
        </w:rPr>
        <w:t xml:space="preserve">) </w:t>
      </w:r>
      <w:r w:rsidRPr="00F90D0D">
        <w:rPr>
          <w:rFonts w:eastAsiaTheme="minorEastAsia"/>
        </w:rPr>
        <w:tab/>
      </w:r>
      <w:r>
        <w:rPr>
          <w:rFonts w:eastAsiaTheme="minorEastAsia"/>
        </w:rPr>
        <w:t xml:space="preserve">with </w:t>
      </w:r>
      <w:r w:rsidRPr="00F90D0D">
        <w:rPr>
          <w:rFonts w:eastAsiaTheme="minorEastAsia"/>
        </w:rPr>
        <w:t xml:space="preserve">C, A </w:t>
      </w:r>
      <w:r w:rsidR="00E17DFC" w:rsidRPr="00E17DFC">
        <w:rPr>
          <w:rFonts w:eastAsiaTheme="minorEastAsia"/>
          <w:i/>
          <w:iCs/>
        </w:rPr>
        <w:t>does</w:t>
      </w:r>
      <w:r w:rsidRPr="00F90D0D">
        <w:rPr>
          <w:rFonts w:eastAsiaTheme="minorEastAsia"/>
        </w:rPr>
        <w:t xml:space="preserve"> </w:t>
      </w:r>
      <w:r w:rsidRPr="00030655">
        <w:rPr>
          <w:rFonts w:eastAsiaTheme="minorEastAsia"/>
          <w:i/>
          <w:iCs/>
        </w:rPr>
        <w:t>not</w:t>
      </w:r>
      <w:r>
        <w:rPr>
          <w:rFonts w:eastAsiaTheme="minorEastAsia"/>
        </w:rPr>
        <w:t xml:space="preserve"> </w:t>
      </w:r>
      <w:r w:rsidRPr="00F90D0D">
        <w:rPr>
          <w:rFonts w:eastAsiaTheme="minorEastAsia"/>
        </w:rPr>
        <w:t xml:space="preserve">commit herself to p; and </w:t>
      </w:r>
    </w:p>
    <w:p w14:paraId="4A7FBE94" w14:textId="7957022F" w:rsidR="00030655" w:rsidRDefault="00030655" w:rsidP="0050714A">
      <w:pPr>
        <w:pStyle w:val="longquote"/>
        <w:rPr>
          <w:rFonts w:eastAsiaTheme="minorEastAsia"/>
        </w:rPr>
      </w:pPr>
      <w:r w:rsidRPr="00F90D0D">
        <w:rPr>
          <w:rFonts w:eastAsiaTheme="minorEastAsia"/>
        </w:rPr>
        <w:t>(</w:t>
      </w:r>
      <w:r>
        <w:rPr>
          <w:rFonts w:eastAsiaTheme="minorEastAsia"/>
        </w:rPr>
        <w:t>M4</w:t>
      </w:r>
      <w:r w:rsidRPr="00F90D0D">
        <w:rPr>
          <w:rFonts w:eastAsiaTheme="minorEastAsia"/>
        </w:rPr>
        <w:t>) </w:t>
      </w:r>
      <w:r w:rsidRPr="00F90D0D">
        <w:rPr>
          <w:rFonts w:eastAsiaTheme="minorEastAsia"/>
        </w:rPr>
        <w:tab/>
        <w:t xml:space="preserve">A believes </w:t>
      </w:r>
      <w:r>
        <w:rPr>
          <w:rFonts w:eastAsiaTheme="minorEastAsia"/>
        </w:rPr>
        <w:t xml:space="preserve">that </w:t>
      </w:r>
      <w:r w:rsidRPr="00F90D0D">
        <w:rPr>
          <w:rFonts w:eastAsiaTheme="minorEastAsia"/>
        </w:rPr>
        <w:t>p</w:t>
      </w:r>
      <w:r>
        <w:rPr>
          <w:rFonts w:eastAsiaTheme="minorEastAsia"/>
        </w:rPr>
        <w:t xml:space="preserve"> is</w:t>
      </w:r>
      <w:r w:rsidRPr="00F90D0D">
        <w:rPr>
          <w:rFonts w:eastAsiaTheme="minorEastAsia"/>
        </w:rPr>
        <w:t xml:space="preserve"> false. </w:t>
      </w:r>
    </w:p>
    <w:p w14:paraId="3E83F783" w14:textId="03592B3D" w:rsidR="000A61C7" w:rsidRDefault="008554CE" w:rsidP="0089087C">
      <w:pPr>
        <w:ind w:firstLine="0"/>
        <w:rPr>
          <w:rFonts w:eastAsiaTheme="minorEastAsia"/>
        </w:rPr>
      </w:pPr>
      <w:r>
        <w:rPr>
          <w:rFonts w:eastAsiaTheme="minorEastAsia"/>
        </w:rPr>
        <w:t>This definition counts utterances (2)</w:t>
      </w:r>
      <w:r w:rsidR="00FD3834">
        <w:rPr>
          <w:rFonts w:eastAsiaTheme="minorEastAsia"/>
        </w:rPr>
        <w:t xml:space="preserve"> and</w:t>
      </w:r>
      <w:r>
        <w:rPr>
          <w:rFonts w:eastAsiaTheme="minorEastAsia"/>
        </w:rPr>
        <w:t xml:space="preserve"> (4) as mere misleadings</w:t>
      </w:r>
      <w:r w:rsidR="006410C4">
        <w:rPr>
          <w:rFonts w:eastAsiaTheme="minorEastAsia"/>
        </w:rPr>
        <w:t xml:space="preserve">; it thus allows us </w:t>
      </w:r>
      <w:r w:rsidR="00A11CE2">
        <w:rPr>
          <w:rFonts w:eastAsiaTheme="minorEastAsia"/>
        </w:rPr>
        <w:t xml:space="preserve">to </w:t>
      </w:r>
      <w:r w:rsidR="006410C4">
        <w:rPr>
          <w:rFonts w:eastAsiaTheme="minorEastAsia"/>
        </w:rPr>
        <w:t>classify these utterances</w:t>
      </w:r>
      <w:r w:rsidR="00C01593">
        <w:rPr>
          <w:rFonts w:eastAsiaTheme="minorEastAsia"/>
        </w:rPr>
        <w:t xml:space="preserve"> not only</w:t>
      </w:r>
      <w:r w:rsidR="006410C4">
        <w:rPr>
          <w:rFonts w:eastAsiaTheme="minorEastAsia"/>
        </w:rPr>
        <w:t xml:space="preserve"> </w:t>
      </w:r>
      <w:r w:rsidR="004D7E8E">
        <w:rPr>
          <w:rFonts w:eastAsiaTheme="minorEastAsia"/>
        </w:rPr>
        <w:t xml:space="preserve">negatively </w:t>
      </w:r>
      <w:r w:rsidR="00346BAF">
        <w:rPr>
          <w:rFonts w:eastAsiaTheme="minorEastAsia"/>
        </w:rPr>
        <w:t>as non-lies, but also</w:t>
      </w:r>
      <w:r w:rsidR="004D7E8E">
        <w:rPr>
          <w:rFonts w:eastAsiaTheme="minorEastAsia"/>
        </w:rPr>
        <w:t xml:space="preserve"> positively</w:t>
      </w:r>
      <w:r w:rsidR="00346BAF">
        <w:rPr>
          <w:rFonts w:eastAsiaTheme="minorEastAsia"/>
        </w:rPr>
        <w:t xml:space="preserve"> as </w:t>
      </w:r>
      <w:r w:rsidR="004A26AE">
        <w:rPr>
          <w:rFonts w:eastAsiaTheme="minorEastAsia"/>
        </w:rPr>
        <w:t xml:space="preserve">mere </w:t>
      </w:r>
      <w:r w:rsidR="004D7E8E">
        <w:rPr>
          <w:rFonts w:eastAsiaTheme="minorEastAsia"/>
        </w:rPr>
        <w:t>misleadings</w:t>
      </w:r>
      <w:r w:rsidR="00346BAF">
        <w:rPr>
          <w:rFonts w:eastAsiaTheme="minorEastAsia"/>
        </w:rPr>
        <w:t>. Furthermore, it makes</w:t>
      </w:r>
      <w:r w:rsidR="00C01593">
        <w:rPr>
          <w:rFonts w:eastAsiaTheme="minorEastAsia"/>
        </w:rPr>
        <w:t xml:space="preserve"> it</w:t>
      </w:r>
      <w:r w:rsidR="00346BAF">
        <w:rPr>
          <w:rFonts w:eastAsiaTheme="minorEastAsia"/>
        </w:rPr>
        <w:t xml:space="preserve"> apparent that one and the same utterance can be a lie and an instance of </w:t>
      </w:r>
      <w:r w:rsidR="004A26AE">
        <w:rPr>
          <w:rFonts w:eastAsiaTheme="minorEastAsia"/>
        </w:rPr>
        <w:t xml:space="preserve">mere </w:t>
      </w:r>
      <w:r w:rsidR="00346BAF">
        <w:rPr>
          <w:rFonts w:eastAsiaTheme="minorEastAsia"/>
        </w:rPr>
        <w:t xml:space="preserve">misleading: </w:t>
      </w:r>
      <w:r w:rsidR="00346BAF">
        <w:rPr>
          <w:rFonts w:eastAsiaTheme="minorEastAsia"/>
        </w:rPr>
        <w:lastRenderedPageBreak/>
        <w:t xml:space="preserve">a speaker could use </w:t>
      </w:r>
      <w:r w:rsidR="009C3EF8">
        <w:rPr>
          <w:rFonts w:eastAsiaTheme="minorEastAsia"/>
        </w:rPr>
        <w:t>a single</w:t>
      </w:r>
      <w:r w:rsidR="00346BAF">
        <w:rPr>
          <w:rFonts w:eastAsiaTheme="minorEastAsia"/>
        </w:rPr>
        <w:t xml:space="preserve"> utterance to </w:t>
      </w:r>
      <w:r w:rsidR="000D2AD5">
        <w:rPr>
          <w:rFonts w:eastAsiaTheme="minorEastAsia"/>
        </w:rPr>
        <w:t xml:space="preserve">communicate and </w:t>
      </w:r>
      <w:r w:rsidR="00346BAF">
        <w:rPr>
          <w:rFonts w:eastAsiaTheme="minorEastAsia"/>
        </w:rPr>
        <w:t xml:space="preserve">commit herself to </w:t>
      </w:r>
      <w:r w:rsidR="000D2AD5">
        <w:rPr>
          <w:rFonts w:eastAsiaTheme="minorEastAsia"/>
        </w:rPr>
        <w:t>one believed-false content</w:t>
      </w:r>
      <w:r w:rsidR="00346BAF">
        <w:rPr>
          <w:rFonts w:eastAsiaTheme="minorEastAsia"/>
        </w:rPr>
        <w:t xml:space="preserve"> and </w:t>
      </w:r>
      <w:r w:rsidR="00346BAF" w:rsidRPr="00346BAF">
        <w:rPr>
          <w:rFonts w:eastAsiaTheme="minorEastAsia"/>
          <w:i/>
        </w:rPr>
        <w:t>also</w:t>
      </w:r>
      <w:r w:rsidR="00346BAF">
        <w:rPr>
          <w:rFonts w:eastAsiaTheme="minorEastAsia"/>
        </w:rPr>
        <w:t xml:space="preserve"> to communicate in a non-committal way </w:t>
      </w:r>
      <w:r w:rsidR="000D2AD5">
        <w:rPr>
          <w:rFonts w:eastAsiaTheme="minorEastAsia"/>
        </w:rPr>
        <w:t>another believed-false content</w:t>
      </w:r>
      <w:r w:rsidR="00346BAF">
        <w:rPr>
          <w:rFonts w:eastAsiaTheme="minorEastAsia"/>
        </w:rPr>
        <w:t xml:space="preserve">. </w:t>
      </w:r>
    </w:p>
    <w:p w14:paraId="16461310" w14:textId="77777777" w:rsidR="000A61C7" w:rsidRPr="00425D3A" w:rsidRDefault="000A61C7" w:rsidP="000A61C7">
      <w:pPr>
        <w:rPr>
          <w:rFonts w:eastAsiaTheme="minorEastAsia"/>
        </w:rPr>
      </w:pPr>
    </w:p>
    <w:p w14:paraId="037C1F4F" w14:textId="25B9FC1E" w:rsidR="007246DF" w:rsidRPr="00964DDE" w:rsidRDefault="00964DDE" w:rsidP="007246DF">
      <w:pPr>
        <w:pStyle w:val="Heading1"/>
        <w:rPr>
          <w:smallCaps/>
        </w:rPr>
      </w:pPr>
      <w:r w:rsidRPr="00964DDE">
        <w:rPr>
          <w:smallCaps/>
        </w:rPr>
        <w:t>vi</w:t>
      </w:r>
      <w:r w:rsidR="007246DF" w:rsidRPr="00964DDE">
        <w:rPr>
          <w:smallCaps/>
        </w:rPr>
        <w:t xml:space="preserve">. </w:t>
      </w:r>
      <w:r w:rsidRPr="00964DDE">
        <w:rPr>
          <w:smallCaps/>
        </w:rPr>
        <w:t>t</w:t>
      </w:r>
      <w:r w:rsidR="008C7F86" w:rsidRPr="00964DDE">
        <w:rPr>
          <w:smallCaps/>
        </w:rPr>
        <w:t>wo objections</w:t>
      </w:r>
    </w:p>
    <w:p w14:paraId="5ECDC6A6" w14:textId="5902C18C" w:rsidR="00A37900" w:rsidRDefault="00DB78B1" w:rsidP="006E038E">
      <w:pPr>
        <w:ind w:firstLine="0"/>
      </w:pPr>
      <w:r>
        <w:t>In this section</w:t>
      </w:r>
      <w:r w:rsidR="006E038E">
        <w:t xml:space="preserve">, I </w:t>
      </w:r>
      <w:r>
        <w:t xml:space="preserve">would like </w:t>
      </w:r>
      <w:r w:rsidR="006E038E">
        <w:t xml:space="preserve">to respond to two objections to </w:t>
      </w:r>
      <w:r w:rsidR="00AF6CF8">
        <w:t xml:space="preserve">the </w:t>
      </w:r>
      <w:r w:rsidR="00DF425B">
        <w:t xml:space="preserve">commitment-based </w:t>
      </w:r>
      <w:r w:rsidR="00AF6CF8">
        <w:t>approach</w:t>
      </w:r>
      <w:r w:rsidR="00063036">
        <w:t xml:space="preserve">. According to the first objection, </w:t>
      </w:r>
      <w:r w:rsidR="00221E8A">
        <w:t xml:space="preserve">(D4) </w:t>
      </w:r>
      <w:r w:rsidR="00063036">
        <w:t xml:space="preserve">is too narrow, </w:t>
      </w:r>
      <w:r w:rsidR="00A37900">
        <w:t>while the second alleges that it is too broad</w:t>
      </w:r>
      <w:r w:rsidR="00063036">
        <w:t xml:space="preserve">. </w:t>
      </w:r>
    </w:p>
    <w:p w14:paraId="6BC60166" w14:textId="05D2FF10" w:rsidR="009F7B50" w:rsidRDefault="00AF6CF8" w:rsidP="009F7B50">
      <w:r>
        <w:t>The first objection is due to Don Fallis and has Carson’s definition (D3) as its target</w:t>
      </w:r>
      <w:r w:rsidR="00F538E9">
        <w:t>,</w:t>
      </w:r>
      <w:r>
        <w:t xml:space="preserve"> </w:t>
      </w:r>
      <w:r w:rsidR="00F538E9">
        <w:t>b</w:t>
      </w:r>
      <w:r>
        <w:t>ut a very similar objection could be</w:t>
      </w:r>
      <w:r w:rsidR="00FD3834">
        <w:t xml:space="preserve"> put</w:t>
      </w:r>
      <w:r>
        <w:t xml:space="preserve"> forward against (D4), which is why it is worth discussing</w:t>
      </w:r>
      <w:r w:rsidR="006125CB">
        <w:t xml:space="preserve"> here</w:t>
      </w:r>
      <w:r>
        <w:t>.</w:t>
      </w:r>
      <w:r w:rsidR="00964DDE">
        <w:rPr>
          <w:rStyle w:val="FootnoteReference"/>
        </w:rPr>
        <w:footnoteReference w:id="71"/>
      </w:r>
      <w:r>
        <w:t xml:space="preserve"> Fallis introduces an example in which a witness utters the following sentence:</w:t>
      </w:r>
    </w:p>
    <w:p w14:paraId="63022969" w14:textId="77777777" w:rsidR="004D7E8E" w:rsidRDefault="004D7E8E" w:rsidP="009F7B50"/>
    <w:p w14:paraId="34A448CF" w14:textId="59C802DB" w:rsidR="00AF6CF8" w:rsidRDefault="00AF6CF8" w:rsidP="00AF6CF8">
      <w:pPr>
        <w:ind w:left="1416" w:hanging="708"/>
      </w:pPr>
      <w:r>
        <w:t>(2</w:t>
      </w:r>
      <w:r w:rsidR="00AD0B46">
        <w:t>6</w:t>
      </w:r>
      <w:r>
        <w:t>)</w:t>
      </w:r>
      <w:r>
        <w:tab/>
        <w:t xml:space="preserve">Tony was with me at the time of the murder. Of course, you know I am really bad with dates and times. </w:t>
      </w:r>
    </w:p>
    <w:p w14:paraId="539BB809" w14:textId="244EDD13" w:rsidR="00AF6CF8" w:rsidRDefault="00AF6CF8" w:rsidP="009F7B50"/>
    <w:p w14:paraId="0083F42E" w14:textId="5B82FE11" w:rsidR="00AF6CF8" w:rsidRDefault="006125CB" w:rsidP="00AF6CF8">
      <w:pPr>
        <w:ind w:firstLine="0"/>
      </w:pPr>
      <w:r>
        <w:t>In the example,</w:t>
      </w:r>
      <w:r w:rsidR="00AF6CF8">
        <w:t xml:space="preserve"> the witness believes that Tony was</w:t>
      </w:r>
      <w:r w:rsidR="0060246C">
        <w:t xml:space="preserve"> not with him at the time of the murder</w:t>
      </w:r>
      <w:r>
        <w:t>. Now,</w:t>
      </w:r>
      <w:r w:rsidR="0060246C">
        <w:t xml:space="preserve"> Fallis claim</w:t>
      </w:r>
      <w:r w:rsidR="00122428">
        <w:t>s</w:t>
      </w:r>
      <w:r w:rsidR="0060246C">
        <w:t xml:space="preserve">, </w:t>
      </w:r>
      <w:r>
        <w:t>the witness</w:t>
      </w:r>
      <w:r w:rsidR="0060246C">
        <w:t xml:space="preserve"> is clearly lying</w:t>
      </w:r>
      <w:r>
        <w:t xml:space="preserve">, although he is not </w:t>
      </w:r>
      <w:r w:rsidR="00221E8A">
        <w:t>“</w:t>
      </w:r>
      <w:r>
        <w:t>taking any responsibility for the truth (or defensibility) of his statement about Tony’s whereabouts at the time of the murder</w:t>
      </w:r>
      <w:r w:rsidR="00221E8A">
        <w:t>”</w:t>
      </w:r>
      <w:r>
        <w:t>.</w:t>
      </w:r>
      <w:r w:rsidR="006F299B">
        <w:rPr>
          <w:rStyle w:val="FootnoteReference"/>
        </w:rPr>
        <w:footnoteReference w:id="72"/>
      </w:r>
      <w:r>
        <w:t xml:space="preserve"> </w:t>
      </w:r>
      <w:r w:rsidR="00B71910">
        <w:t>In that case, however,</w:t>
      </w:r>
      <w:r>
        <w:t xml:space="preserve"> (D4) </w:t>
      </w:r>
      <w:r w:rsidR="00B71910">
        <w:t>does</w:t>
      </w:r>
      <w:r>
        <w:t xml:space="preserve"> not classif</w:t>
      </w:r>
      <w:r w:rsidR="00B71910">
        <w:t>y (</w:t>
      </w:r>
      <w:r w:rsidR="00AD0B46">
        <w:t>26</w:t>
      </w:r>
      <w:r w:rsidR="00B71910">
        <w:t>)</w:t>
      </w:r>
      <w:r>
        <w:t xml:space="preserve"> as a lie, although it should be classified as such. </w:t>
      </w:r>
    </w:p>
    <w:p w14:paraId="14CAC396" w14:textId="6F0E8D86" w:rsidR="00DB39DA" w:rsidRDefault="0090667C" w:rsidP="00DB39DA">
      <w:r>
        <w:t xml:space="preserve">While this is an interesting </w:t>
      </w:r>
      <w:r w:rsidR="00B454B4">
        <w:t>case</w:t>
      </w:r>
      <w:r>
        <w:t>, it does not present any particular problems for the commitment-based approach, as I briefly want to indicate</w:t>
      </w:r>
      <w:r w:rsidR="00DB39DA">
        <w:t>. Firstly,</w:t>
      </w:r>
      <w:r w:rsidR="006125CB">
        <w:t xml:space="preserve"> Fallis</w:t>
      </w:r>
      <w:r w:rsidR="00DB39DA">
        <w:t xml:space="preserve"> overstates matters when he claims </w:t>
      </w:r>
      <w:r w:rsidR="006125CB">
        <w:t>that the witness is taking</w:t>
      </w:r>
      <w:r>
        <w:t xml:space="preserve"> </w:t>
      </w:r>
      <w:r w:rsidR="006125CB" w:rsidRPr="008A288E">
        <w:rPr>
          <w:i/>
        </w:rPr>
        <w:t>no</w:t>
      </w:r>
      <w:r w:rsidR="006125CB">
        <w:t xml:space="preserve"> responsibility for the truth of his statement</w:t>
      </w:r>
      <w:r w:rsidR="00DB39DA">
        <w:t>. To be sure, the hedge weakens</w:t>
      </w:r>
      <w:r w:rsidR="00A8274C">
        <w:t xml:space="preserve"> the</w:t>
      </w:r>
      <w:r w:rsidR="006125CB">
        <w:t xml:space="preserve"> force of the speech-act. However, speech-acts weaker than assertion</w:t>
      </w:r>
      <w:r w:rsidR="00A8274C">
        <w:t xml:space="preserve"> nonetheless</w:t>
      </w:r>
      <w:r w:rsidR="006125CB">
        <w:t xml:space="preserve"> </w:t>
      </w:r>
      <w:r w:rsidR="00A8274C">
        <w:t xml:space="preserve">lead to a </w:t>
      </w:r>
      <w:r w:rsidR="006125CB">
        <w:t>responsibility</w:t>
      </w:r>
      <w:r w:rsidR="00A8274C">
        <w:t xml:space="preserve"> to defend the proposition put forward</w:t>
      </w:r>
      <w:r w:rsidR="006125CB">
        <w:t xml:space="preserve">, as I have argued above. It is only that the strength of the required defence is weakened. </w:t>
      </w:r>
    </w:p>
    <w:p w14:paraId="66E40543" w14:textId="76A0040C" w:rsidR="006125CB" w:rsidRDefault="00DB39DA" w:rsidP="00DB39DA">
      <w:r>
        <w:t>Secondly, once the extent of the weakening is made clearer, then (D4) seem</w:t>
      </w:r>
      <w:r w:rsidR="00B71910">
        <w:t>s</w:t>
      </w:r>
      <w:r>
        <w:t xml:space="preserve"> to deliver the right results</w:t>
      </w:r>
      <w:r w:rsidR="00A8274C">
        <w:t>.</w:t>
      </w:r>
      <w:r w:rsidR="006F299B">
        <w:rPr>
          <w:rStyle w:val="FootnoteReference"/>
        </w:rPr>
        <w:footnoteReference w:id="73"/>
      </w:r>
      <w:r w:rsidR="00A8274C">
        <w:t xml:space="preserve"> If </w:t>
      </w:r>
      <w:r>
        <w:t xml:space="preserve">we assume that the </w:t>
      </w:r>
      <w:r w:rsidR="00015D98">
        <w:t>utteranc</w:t>
      </w:r>
      <w:r w:rsidR="00F247A1">
        <w:t>e</w:t>
      </w:r>
      <w:r w:rsidR="00A8274C">
        <w:t xml:space="preserve"> </w:t>
      </w:r>
      <w:r w:rsidR="00A8274C" w:rsidRPr="00A8274C">
        <w:rPr>
          <w:i/>
        </w:rPr>
        <w:t>is</w:t>
      </w:r>
      <w:r w:rsidR="00A8274C">
        <w:t xml:space="preserve"> significantly weakened, then </w:t>
      </w:r>
      <w:r w:rsidR="00F247A1">
        <w:t>it</w:t>
      </w:r>
      <w:r w:rsidR="00A8274C">
        <w:t xml:space="preserve"> does not amount to an assertion, and the witness is</w:t>
      </w:r>
      <w:r>
        <w:t xml:space="preserve"> intuitively</w:t>
      </w:r>
      <w:r w:rsidR="00A8274C">
        <w:t xml:space="preserve"> </w:t>
      </w:r>
      <w:r w:rsidR="00A8274C" w:rsidRPr="00A8274C">
        <w:rPr>
          <w:i/>
        </w:rPr>
        <w:t>not</w:t>
      </w:r>
      <w:r w:rsidR="00A8274C">
        <w:t xml:space="preserve"> lying</w:t>
      </w:r>
      <w:r>
        <w:t>; in line with this, (D4) does not classify the utterance as a lie</w:t>
      </w:r>
      <w:r w:rsidR="00A8274C">
        <w:t>. If</w:t>
      </w:r>
      <w:r>
        <w:t xml:space="preserve"> we assume that</w:t>
      </w:r>
      <w:r w:rsidR="00A8274C">
        <w:t xml:space="preserve"> it is </w:t>
      </w:r>
      <w:r w:rsidR="00A8274C" w:rsidRPr="00A8274C">
        <w:rPr>
          <w:i/>
        </w:rPr>
        <w:t>not</w:t>
      </w:r>
      <w:r w:rsidR="00A8274C">
        <w:t xml:space="preserve"> significantly weakened, then the utterance is an assertion, and the witness</w:t>
      </w:r>
      <w:r>
        <w:t xml:space="preserve"> intuitively</w:t>
      </w:r>
      <w:r w:rsidR="00A8274C">
        <w:t xml:space="preserve"> </w:t>
      </w:r>
      <w:r w:rsidR="00A8274C" w:rsidRPr="00A8274C">
        <w:rPr>
          <w:i/>
        </w:rPr>
        <w:t>is</w:t>
      </w:r>
      <w:r w:rsidR="00A8274C">
        <w:t xml:space="preserve"> lying</w:t>
      </w:r>
      <w:r>
        <w:t>; in this case, (D4) does classify the utterance as a lie.</w:t>
      </w:r>
      <w:r w:rsidR="00A8274C">
        <w:t xml:space="preserve"> </w:t>
      </w:r>
      <w:r>
        <w:t>So</w:t>
      </w:r>
      <w:r w:rsidR="006F299B">
        <w:t>,</w:t>
      </w:r>
      <w:r>
        <w:t xml:space="preserve"> the definition does seem to lead to the right results</w:t>
      </w:r>
      <w:r w:rsidR="00DF425B">
        <w:t xml:space="preserve"> after all</w:t>
      </w:r>
      <w:r w:rsidR="00F247A1">
        <w:t>.</w:t>
      </w:r>
      <w:r w:rsidR="004C16CD">
        <w:rPr>
          <w:rStyle w:val="FootnoteReference"/>
        </w:rPr>
        <w:footnoteReference w:id="74"/>
      </w:r>
      <w:r w:rsidR="00F247A1">
        <w:t xml:space="preserve"> </w:t>
      </w:r>
    </w:p>
    <w:p w14:paraId="150C5AEE" w14:textId="3C5DCE97" w:rsidR="00F247A1" w:rsidRDefault="00690D4B" w:rsidP="00DB39DA">
      <w:r>
        <w:lastRenderedPageBreak/>
        <w:t xml:space="preserve">And finally, </w:t>
      </w:r>
      <w:r w:rsidR="00F247A1">
        <w:t>if utterances such as (</w:t>
      </w:r>
      <w:r w:rsidR="00AD0B46">
        <w:t>26</w:t>
      </w:r>
      <w:r w:rsidR="00F247A1">
        <w:t xml:space="preserve">) were a problem for commitment-based definitions, they would </w:t>
      </w:r>
      <w:r w:rsidR="008A288E">
        <w:t>equally</w:t>
      </w:r>
      <w:r w:rsidR="00F247A1">
        <w:t xml:space="preserve"> be a problem for any other assertion-based definition</w:t>
      </w:r>
      <w:r w:rsidR="00AD0B46">
        <w:t xml:space="preserve"> of lying</w:t>
      </w:r>
      <w:r w:rsidR="00F247A1">
        <w:t xml:space="preserve">. A hedge can clearly prevent an utterance from being an assertion and thus, given an assertion-based definition of lying, it can also prevent an utterance from being a lie. It is thus hard to see how assertion-based definitions, which include the definitions put forward by Fallis and Stokke, can come apart over examples involving hedges. </w:t>
      </w:r>
    </w:p>
    <w:p w14:paraId="6A9793AB" w14:textId="3993914E" w:rsidR="006125CB" w:rsidRDefault="007826A1" w:rsidP="00F247A1">
      <w:r>
        <w:t>According to a</w:t>
      </w:r>
      <w:r w:rsidR="004B7417">
        <w:t xml:space="preserve"> second objection, </w:t>
      </w:r>
      <w:r w:rsidR="00D16D09">
        <w:t>advanced</w:t>
      </w:r>
      <w:r w:rsidR="004B7417">
        <w:t xml:space="preserve"> by </w:t>
      </w:r>
      <w:r w:rsidR="007057C1">
        <w:t>García-</w:t>
      </w:r>
      <w:r w:rsidR="004B7417">
        <w:t>Carpintero</w:t>
      </w:r>
      <w:r>
        <w:t xml:space="preserve"> and Pepp</w:t>
      </w:r>
      <w:r w:rsidR="004B7417">
        <w:t xml:space="preserve">, </w:t>
      </w:r>
      <w:r w:rsidR="002424F1">
        <w:t>speakers</w:t>
      </w:r>
      <w:r w:rsidR="004B7417">
        <w:t xml:space="preserve"> </w:t>
      </w:r>
      <w:r w:rsidR="004B7417" w:rsidRPr="00F538E9">
        <w:rPr>
          <w:i/>
          <w:iCs/>
        </w:rPr>
        <w:t>are</w:t>
      </w:r>
      <w:r w:rsidR="004B7417">
        <w:t xml:space="preserve"> committed to</w:t>
      </w:r>
      <w:r w:rsidR="00F538E9">
        <w:t xml:space="preserve"> the</w:t>
      </w:r>
      <w:r w:rsidR="004B7417">
        <w:t xml:space="preserve"> implicatures</w:t>
      </w:r>
      <w:r w:rsidR="00464070">
        <w:t xml:space="preserve"> </w:t>
      </w:r>
      <w:r w:rsidR="00F538E9">
        <w:t xml:space="preserve">in play </w:t>
      </w:r>
      <w:r w:rsidR="00464070">
        <w:t xml:space="preserve">in </w:t>
      </w:r>
      <w:r w:rsidR="00F538E9">
        <w:t>clear cases of mere misleading</w:t>
      </w:r>
      <w:r w:rsidR="00464070">
        <w:t>.</w:t>
      </w:r>
      <w:r w:rsidR="006F299B">
        <w:rPr>
          <w:rStyle w:val="FootnoteReference"/>
        </w:rPr>
        <w:footnoteReference w:id="75"/>
      </w:r>
      <w:r w:rsidR="00464070">
        <w:t xml:space="preserve"> In their view,</w:t>
      </w:r>
      <w:r w:rsidR="004B7417">
        <w:t xml:space="preserve"> (D4) </w:t>
      </w:r>
      <w:r w:rsidR="00464070">
        <w:t xml:space="preserve">thus </w:t>
      </w:r>
      <w:r w:rsidR="00F538E9">
        <w:t>overgenerate</w:t>
      </w:r>
      <w:r w:rsidR="00464070">
        <w:t>s</w:t>
      </w:r>
      <w:r w:rsidR="004B7417">
        <w:t>.</w:t>
      </w:r>
      <w:r w:rsidR="00BF70C3">
        <w:t xml:space="preserve"> </w:t>
      </w:r>
      <w:r w:rsidR="007057C1">
        <w:t>García-</w:t>
      </w:r>
      <w:r w:rsidR="004B7417">
        <w:t xml:space="preserve">Carpintero considers a variant of the example involving (6), in which Ada </w:t>
      </w:r>
      <w:r>
        <w:t xml:space="preserve">(who is happy about her crop of tomatoes although it isn’t great) </w:t>
      </w:r>
      <w:r w:rsidR="004B7417">
        <w:t>replies to Bill’s question about her crop by uttering</w:t>
      </w:r>
      <w:r w:rsidR="0090667C">
        <w:t>:</w:t>
      </w:r>
    </w:p>
    <w:p w14:paraId="6ACEFB0C" w14:textId="04D0BD24" w:rsidR="004B7417" w:rsidRDefault="004B7417" w:rsidP="00F247A1">
      <w:r>
        <w:tab/>
      </w:r>
    </w:p>
    <w:p w14:paraId="56F4BCC2" w14:textId="1472ED7C" w:rsidR="004B7417" w:rsidRDefault="004B7417" w:rsidP="00F247A1">
      <w:r>
        <w:tab/>
        <w:t>(</w:t>
      </w:r>
      <w:r w:rsidR="00AD0B46">
        <w:t>27</w:t>
      </w:r>
      <w:r>
        <w:t>)</w:t>
      </w:r>
      <w:r>
        <w:tab/>
        <w:t>I’m really happy about my crop.</w:t>
      </w:r>
    </w:p>
    <w:p w14:paraId="3AE09D46" w14:textId="55FE5807" w:rsidR="004B7417" w:rsidRDefault="004B7417" w:rsidP="00F247A1"/>
    <w:p w14:paraId="1983D6F7" w14:textId="15768F9A" w:rsidR="004B7417" w:rsidRDefault="004B7417" w:rsidP="004B7417">
      <w:pPr>
        <w:ind w:firstLine="0"/>
      </w:pPr>
      <w:r>
        <w:t>By uttering (</w:t>
      </w:r>
      <w:r w:rsidR="00AD0B46">
        <w:t>27</w:t>
      </w:r>
      <w:r>
        <w:t xml:space="preserve">), Ada implicates that she has had a great crop of tomatoes. </w:t>
      </w:r>
      <w:r w:rsidR="007057C1">
        <w:t>García-</w:t>
      </w:r>
      <w:r>
        <w:t xml:space="preserve">Carpintero holds that </w:t>
      </w:r>
      <w:r w:rsidR="00464070">
        <w:t>Ada</w:t>
      </w:r>
      <w:r>
        <w:t xml:space="preserve"> is committed to that implicature</w:t>
      </w:r>
      <w:r w:rsidR="0090667C">
        <w:t xml:space="preserve"> and</w:t>
      </w:r>
      <w:r>
        <w:t xml:space="preserve"> that </w:t>
      </w:r>
      <w:r w:rsidR="00D02CA1">
        <w:t xml:space="preserve">she could not dismiss </w:t>
      </w:r>
      <w:r>
        <w:t xml:space="preserve">a challenge </w:t>
      </w:r>
      <w:r w:rsidR="004C1C11">
        <w:t>such as</w:t>
      </w:r>
      <w:r w:rsidR="00775A6C">
        <w:t xml:space="preserve"> (</w:t>
      </w:r>
      <w:r w:rsidR="00AD0B46">
        <w:t>22</w:t>
      </w:r>
      <w:r w:rsidR="00775A6C">
        <w:t xml:space="preserve">) </w:t>
      </w:r>
      <w:r w:rsidR="009A4C59">
        <w:t>(repeated below)</w:t>
      </w:r>
      <w:r>
        <w:t xml:space="preserve">: </w:t>
      </w:r>
    </w:p>
    <w:p w14:paraId="1FEB3EFB" w14:textId="2F365A73" w:rsidR="00A37900" w:rsidRDefault="00A37900" w:rsidP="006E038E">
      <w:pPr>
        <w:ind w:firstLine="0"/>
      </w:pPr>
    </w:p>
    <w:p w14:paraId="5338B1D0" w14:textId="69B8BB04" w:rsidR="004B7417" w:rsidRDefault="004B7417" w:rsidP="004B7417">
      <w:pPr>
        <w:ind w:left="1416" w:hanging="708"/>
        <w:rPr>
          <w:rFonts w:eastAsiaTheme="minorEastAsia"/>
        </w:rPr>
      </w:pPr>
      <w:r>
        <w:rPr>
          <w:rFonts w:eastAsiaTheme="minorEastAsia"/>
        </w:rPr>
        <w:t>(</w:t>
      </w:r>
      <w:r w:rsidR="00AD0B46">
        <w:rPr>
          <w:rFonts w:eastAsiaTheme="minorEastAsia"/>
        </w:rPr>
        <w:t>22</w:t>
      </w:r>
      <w:r>
        <w:rPr>
          <w:rFonts w:eastAsiaTheme="minorEastAsia"/>
        </w:rPr>
        <w:t>)</w:t>
      </w:r>
      <w:r>
        <w:rPr>
          <w:rFonts w:eastAsiaTheme="minorEastAsia"/>
        </w:rPr>
        <w:tab/>
      </w:r>
      <w:r w:rsidR="00D02CA1">
        <w:rPr>
          <w:rFonts w:eastAsiaTheme="minorEastAsia"/>
        </w:rPr>
        <w:t xml:space="preserve">Do you really </w:t>
      </w:r>
      <w:r w:rsidR="00D02CA1">
        <w:rPr>
          <w:rFonts w:eastAsiaTheme="minorEastAsia"/>
          <w:i/>
          <w:iCs/>
        </w:rPr>
        <w:t>know</w:t>
      </w:r>
      <w:r w:rsidR="00D02CA1">
        <w:rPr>
          <w:rFonts w:eastAsiaTheme="minorEastAsia"/>
        </w:rPr>
        <w:t xml:space="preserve"> you had a good crop? The last time I passed your patch it didn’t actually look very promising.</w:t>
      </w:r>
    </w:p>
    <w:p w14:paraId="73EB084F" w14:textId="77777777" w:rsidR="004B7417" w:rsidRDefault="004B7417" w:rsidP="006E038E">
      <w:pPr>
        <w:ind w:firstLine="0"/>
      </w:pPr>
    </w:p>
    <w:p w14:paraId="0464D8A3" w14:textId="38B1EE45" w:rsidR="00D02CA1" w:rsidRDefault="00D02CA1" w:rsidP="005032DE">
      <w:pPr>
        <w:ind w:firstLine="0"/>
      </w:pPr>
      <w:r>
        <w:t xml:space="preserve">In a similar manner, Pepp points out that the doctor could </w:t>
      </w:r>
      <w:r w:rsidR="004C1C11">
        <w:t xml:space="preserve">not </w:t>
      </w:r>
      <w:r w:rsidR="00AE18F2">
        <w:t xml:space="preserve">consistently </w:t>
      </w:r>
      <w:r w:rsidR="004C1C11">
        <w:t>dismiss certain knowledge-</w:t>
      </w:r>
      <w:r>
        <w:t>challenge</w:t>
      </w:r>
      <w:r w:rsidR="004C1C11">
        <w:t>s</w:t>
      </w:r>
      <w:r>
        <w:t xml:space="preserve"> even after uttering the misleading (2) (“I saw him yesterday and he was fine”). The </w:t>
      </w:r>
      <w:r w:rsidR="004C1C11">
        <w:t>challenge</w:t>
      </w:r>
      <w:r>
        <w:t xml:space="preserve"> Pepp mentions runs as follows:</w:t>
      </w:r>
    </w:p>
    <w:p w14:paraId="2BD7994B" w14:textId="77777777" w:rsidR="00D02CA1" w:rsidRDefault="00D02CA1" w:rsidP="00D02CA1"/>
    <w:p w14:paraId="09208EF1" w14:textId="4A73453F" w:rsidR="00D02CA1" w:rsidRDefault="00D02CA1" w:rsidP="00D02CA1">
      <w:r>
        <w:tab/>
        <w:t>(2</w:t>
      </w:r>
      <w:r w:rsidR="004C1C11">
        <w:t>8</w:t>
      </w:r>
      <w:r>
        <w:t>)</w:t>
      </w:r>
      <w:r>
        <w:tab/>
      </w:r>
      <w:r w:rsidRPr="0015123D">
        <w:t>How do you know nothing terrible happened to him today?</w:t>
      </w:r>
    </w:p>
    <w:p w14:paraId="02CB4712" w14:textId="2872E048" w:rsidR="00D02CA1" w:rsidRDefault="00D02CA1" w:rsidP="006E038E">
      <w:pPr>
        <w:ind w:firstLine="0"/>
      </w:pPr>
    </w:p>
    <w:p w14:paraId="5A12E2BA" w14:textId="6CAEC2CE" w:rsidR="004C1C11" w:rsidRDefault="004C1C11" w:rsidP="00FB3A55">
      <w:r>
        <w:t>If the</w:t>
      </w:r>
      <w:r w:rsidR="00FB3A55">
        <w:t xml:space="preserve"> speakers could not consistently dismiss these</w:t>
      </w:r>
      <w:r>
        <w:t xml:space="preserve"> challenges</w:t>
      </w:r>
      <w:r w:rsidR="00FB3A55">
        <w:t>, that would indeed be a problem for the commitment-based approach.</w:t>
      </w:r>
      <w:r w:rsidR="00152B80">
        <w:rPr>
          <w:rStyle w:val="FootnoteReference"/>
        </w:rPr>
        <w:footnoteReference w:id="76"/>
      </w:r>
      <w:r w:rsidR="00FB3A55">
        <w:t xml:space="preserve"> However, I </w:t>
      </w:r>
      <w:r w:rsidR="006121CC">
        <w:t>think</w:t>
      </w:r>
      <w:r w:rsidR="00FB3A55">
        <w:t xml:space="preserve"> </w:t>
      </w:r>
      <w:r w:rsidR="007051A1">
        <w:t xml:space="preserve">there are reasons to believe that the challenges </w:t>
      </w:r>
      <w:r w:rsidR="007051A1" w:rsidRPr="005032DE">
        <w:rPr>
          <w:i/>
          <w:iCs/>
        </w:rPr>
        <w:t>can</w:t>
      </w:r>
      <w:r w:rsidR="007051A1">
        <w:t xml:space="preserve"> be consistently dismissed. To bring this out, let us focus on the case of the dying woman, and let us consider a variant of the example in which the doctor </w:t>
      </w:r>
      <w:r w:rsidR="002B41D4">
        <w:t xml:space="preserve">saw the son yesterday, when he was fine, but </w:t>
      </w:r>
      <w:r w:rsidR="007051A1">
        <w:t xml:space="preserve">does not know about </w:t>
      </w:r>
      <w:r w:rsidR="002B41D4">
        <w:t>his</w:t>
      </w:r>
      <w:r w:rsidR="007051A1">
        <w:t xml:space="preserve"> accident (and uses (2) to suggest that the dying </w:t>
      </w:r>
      <w:r w:rsidR="007051A1">
        <w:lastRenderedPageBreak/>
        <w:t xml:space="preserve">woman’s son is fine today, as in the original version of the example). Considering this variant </w:t>
      </w:r>
      <w:r w:rsidR="006121CC">
        <w:t>allows us to assess conversational consistency without the possible confounding factor</w:t>
      </w:r>
      <w:r w:rsidR="002B41D4">
        <w:t xml:space="preserve"> of the doctor’s insincerity</w:t>
      </w:r>
      <w:r w:rsidR="00214494">
        <w:t xml:space="preserve">. At the same time, </w:t>
      </w:r>
      <w:r w:rsidR="006121CC">
        <w:t xml:space="preserve">whether a dismissal is consistent should not depend on whether or not the original utterance was sincere. </w:t>
      </w:r>
      <w:r w:rsidR="00073315">
        <w:t>So, can the doctor consistently dismiss knowledge-challenges? I think she can. Faced with a challenge such as (28), it would be natural for her to reply with:</w:t>
      </w:r>
    </w:p>
    <w:p w14:paraId="22F138FB" w14:textId="1B23B6C0" w:rsidR="00073315" w:rsidRDefault="00073315" w:rsidP="00FB3A55"/>
    <w:p w14:paraId="442694C1" w14:textId="133842FC" w:rsidR="00073315" w:rsidRPr="007051A1" w:rsidRDefault="00073315" w:rsidP="005032DE">
      <w:pPr>
        <w:ind w:left="1416" w:hanging="716"/>
      </w:pPr>
      <w:r>
        <w:t>(29)</w:t>
      </w:r>
      <w:r>
        <w:tab/>
      </w:r>
      <w:r w:rsidR="008908EC">
        <w:t>In fact</w:t>
      </w:r>
      <w:r>
        <w:t xml:space="preserve">, I don’t </w:t>
      </w:r>
      <w:r w:rsidRPr="005032DE">
        <w:rPr>
          <w:i/>
          <w:iCs/>
        </w:rPr>
        <w:t>know</w:t>
      </w:r>
      <w:r>
        <w:t xml:space="preserve"> that </w:t>
      </w:r>
      <w:r w:rsidR="00152B80" w:rsidRPr="0015123D">
        <w:t>nothing terrible happened to him</w:t>
      </w:r>
      <w:r w:rsidR="00F03232">
        <w:t xml:space="preserve"> today</w:t>
      </w:r>
      <w:r>
        <w:t xml:space="preserve">, </w:t>
      </w:r>
      <w:r w:rsidR="008908EC">
        <w:rPr>
          <w:rFonts w:eastAsiaTheme="minorEastAsia"/>
        </w:rPr>
        <w:t>which is why I didn’t commit myself to him being fine today</w:t>
      </w:r>
      <w:r>
        <w:t xml:space="preserve">. </w:t>
      </w:r>
    </w:p>
    <w:p w14:paraId="60F300AD" w14:textId="3F18B74F" w:rsidR="00D02CA1" w:rsidRDefault="00D02CA1" w:rsidP="006E038E">
      <w:pPr>
        <w:ind w:firstLine="0"/>
      </w:pPr>
    </w:p>
    <w:p w14:paraId="5ADA4E3C" w14:textId="7DDF8E31" w:rsidR="006121CC" w:rsidRDefault="006121CC" w:rsidP="005032DE">
      <w:pPr>
        <w:ind w:left="1416" w:hanging="708"/>
      </w:pPr>
      <w:r>
        <w:rPr>
          <w:rFonts w:eastAsiaTheme="minorEastAsia"/>
        </w:rPr>
        <w:t>(</w:t>
      </w:r>
      <w:r w:rsidR="00173132">
        <w:rPr>
          <w:rFonts w:eastAsiaTheme="minorEastAsia"/>
        </w:rPr>
        <w:t>3</w:t>
      </w:r>
      <w:r>
        <w:rPr>
          <w:rFonts w:eastAsiaTheme="minorEastAsia"/>
        </w:rPr>
        <w:t>0)</w:t>
      </w:r>
      <w:r>
        <w:rPr>
          <w:rFonts w:eastAsiaTheme="minorEastAsia"/>
        </w:rPr>
        <w:tab/>
      </w:r>
      <w:r w:rsidR="008908EC">
        <w:rPr>
          <w:rFonts w:eastAsiaTheme="minorEastAsia"/>
        </w:rPr>
        <w:t>Well</w:t>
      </w:r>
      <w:r w:rsidR="00073315">
        <w:rPr>
          <w:rFonts w:eastAsiaTheme="minorEastAsia"/>
        </w:rPr>
        <w:t>, I can’t be sure he is fine today,</w:t>
      </w:r>
      <w:r w:rsidR="008908EC">
        <w:rPr>
          <w:rFonts w:eastAsiaTheme="minorEastAsia"/>
        </w:rPr>
        <w:t xml:space="preserve"> </w:t>
      </w:r>
      <w:r w:rsidR="008908EC">
        <w:t xml:space="preserve">but I didn’t </w:t>
      </w:r>
      <w:r w:rsidR="008908EC" w:rsidRPr="00D841E1">
        <w:rPr>
          <w:i/>
          <w:iCs/>
        </w:rPr>
        <w:t>claim</w:t>
      </w:r>
      <w:r w:rsidR="008908EC">
        <w:t xml:space="preserve"> </w:t>
      </w:r>
      <w:r w:rsidR="00173132">
        <w:t>as much</w:t>
      </w:r>
      <w:r w:rsidR="008908EC">
        <w:t xml:space="preserve"> either. </w:t>
      </w:r>
    </w:p>
    <w:p w14:paraId="78984390" w14:textId="77777777" w:rsidR="00D02CA1" w:rsidRDefault="00D02CA1" w:rsidP="006E038E">
      <w:pPr>
        <w:ind w:firstLine="0"/>
      </w:pPr>
    </w:p>
    <w:p w14:paraId="3E1D584B" w14:textId="21B951D3" w:rsidR="008908EC" w:rsidRDefault="008908EC" w:rsidP="006E038E">
      <w:pPr>
        <w:ind w:firstLine="0"/>
      </w:pPr>
      <w:r>
        <w:t xml:space="preserve">In the variant of the example in which the doctor is sincere, these replies </w:t>
      </w:r>
      <w:r w:rsidR="00F03232">
        <w:t>are both natural and</w:t>
      </w:r>
      <w:r>
        <w:t xml:space="preserve"> consistent: they do not go against her previous speech-act. But </w:t>
      </w:r>
      <w:r w:rsidR="00214494">
        <w:t>if they are consistent in this variant of the example, they are also consistent in the original version</w:t>
      </w:r>
      <w:r w:rsidR="00152B80">
        <w:t>, in which the doctor does know about the son’s accident</w:t>
      </w:r>
      <w:r w:rsidR="00214494">
        <w:t xml:space="preserve"> – as mentioned, changing the sincerity </w:t>
      </w:r>
      <w:r w:rsidR="00152B80">
        <w:t>factor</w:t>
      </w:r>
      <w:r w:rsidR="00214494">
        <w:t xml:space="preserve"> should not influence matters of consistency. </w:t>
      </w:r>
    </w:p>
    <w:p w14:paraId="49F784E3" w14:textId="3A19BD8C" w:rsidR="00173132" w:rsidRDefault="00173132" w:rsidP="00214494">
      <w:r>
        <w:t xml:space="preserve">Furthermore, if there is the impression that (28) cannot be consistently dismissed, that might be because there are related, weaker challenges for which this </w:t>
      </w:r>
      <w:r w:rsidR="00152B80">
        <w:t>holds</w:t>
      </w:r>
      <w:r>
        <w:t xml:space="preserve">. As discussed in Section </w:t>
      </w:r>
      <w:r w:rsidR="006B0CB6" w:rsidRPr="00680FCD">
        <w:rPr>
          <w:i/>
          <w:iCs/>
          <w:smallCaps/>
        </w:rPr>
        <w:t>iv</w:t>
      </w:r>
      <w:r w:rsidRPr="00680FCD">
        <w:rPr>
          <w:i/>
          <w:iCs/>
        </w:rPr>
        <w:t>.2</w:t>
      </w:r>
      <w:r>
        <w:t xml:space="preserve">, the doctor arguably cannot </w:t>
      </w:r>
      <w:r w:rsidR="005D2C94">
        <w:t xml:space="preserve">consistently </w:t>
      </w:r>
      <w:r>
        <w:t>dismiss the weaker challenge (21) (repeated here):</w:t>
      </w:r>
    </w:p>
    <w:p w14:paraId="5A8E4E6E" w14:textId="77777777" w:rsidR="00173132" w:rsidRDefault="00173132" w:rsidP="00173132">
      <w:pPr>
        <w:rPr>
          <w:rFonts w:eastAsiaTheme="minorEastAsia"/>
        </w:rPr>
      </w:pPr>
    </w:p>
    <w:p w14:paraId="2063C354" w14:textId="77777777" w:rsidR="00173132" w:rsidRDefault="00173132" w:rsidP="00173132">
      <w:pPr>
        <w:ind w:left="1416" w:hanging="716"/>
        <w:rPr>
          <w:rFonts w:eastAsiaTheme="minorEastAsia"/>
        </w:rPr>
      </w:pPr>
      <w:r>
        <w:rPr>
          <w:rFonts w:eastAsiaTheme="minorEastAsia"/>
        </w:rPr>
        <w:t>(21)</w:t>
      </w:r>
      <w:r>
        <w:rPr>
          <w:rFonts w:eastAsiaTheme="minorEastAsia"/>
        </w:rPr>
        <w:tab/>
        <w:t xml:space="preserve">What makes you think that he is still fine? </w:t>
      </w:r>
    </w:p>
    <w:p w14:paraId="716AB604" w14:textId="77777777" w:rsidR="005D2C94" w:rsidRPr="005D2C94" w:rsidRDefault="005D2C94" w:rsidP="005D2C94">
      <w:pPr>
        <w:ind w:firstLine="0"/>
      </w:pPr>
    </w:p>
    <w:p w14:paraId="695EFE69" w14:textId="7BB7E0B0" w:rsidR="005D2C94" w:rsidRDefault="005D2C94" w:rsidP="005D2C94">
      <w:pPr>
        <w:ind w:firstLine="0"/>
      </w:pPr>
      <w:r w:rsidRPr="005D2C94">
        <w:t>I</w:t>
      </w:r>
      <w:r w:rsidR="008C3511">
        <w:t xml:space="preserve">n my view, </w:t>
      </w:r>
      <w:r w:rsidR="00F03232">
        <w:t>the contrast with this case</w:t>
      </w:r>
      <w:r w:rsidR="00152B80">
        <w:t xml:space="preserve"> </w:t>
      </w:r>
      <w:r w:rsidRPr="005D2C94">
        <w:t>provides an additional reason to think that challenge (28) can be consistently dismissed</w:t>
      </w:r>
      <w:r>
        <w:t>.</w:t>
      </w:r>
      <w:r>
        <w:rPr>
          <w:rStyle w:val="FootnoteReference"/>
        </w:rPr>
        <w:footnoteReference w:id="77"/>
      </w:r>
      <w:r>
        <w:t xml:space="preserve"> </w:t>
      </w:r>
    </w:p>
    <w:p w14:paraId="108F0A64" w14:textId="370B38DB" w:rsidR="00173132" w:rsidRDefault="00DF3AA6">
      <w:r>
        <w:t>F</w:t>
      </w:r>
      <w:r w:rsidR="005D2C94">
        <w:t xml:space="preserve">or these reasons, </w:t>
      </w:r>
      <w:r w:rsidR="008C3511">
        <w:t xml:space="preserve">I think that </w:t>
      </w:r>
      <w:r w:rsidR="00937F47">
        <w:t xml:space="preserve">by uttering (2) </w:t>
      </w:r>
      <w:r w:rsidR="00AE18F2">
        <w:t xml:space="preserve">the doctor </w:t>
      </w:r>
      <w:r w:rsidR="00AE18F2" w:rsidRPr="00AE18F2">
        <w:t>does</w:t>
      </w:r>
      <w:r w:rsidR="00AE18F2">
        <w:t xml:space="preserve"> avoid committing herself to the dying woman’s son being fine toda</w:t>
      </w:r>
      <w:r>
        <w:t>y</w:t>
      </w:r>
      <w:r w:rsidR="00937F47">
        <w:t>. A</w:t>
      </w:r>
      <w:r w:rsidR="00AE18F2">
        <w:t xml:space="preserve">nalogous considerations </w:t>
      </w:r>
      <w:r w:rsidR="00937F47">
        <w:t xml:space="preserve">seem to </w:t>
      </w:r>
      <w:r w:rsidR="00AE18F2">
        <w:t>apply to Ada’s utterance of (27)</w:t>
      </w:r>
      <w:r w:rsidR="00AB624E">
        <w:t xml:space="preserve">. </w:t>
      </w:r>
      <w:r w:rsidR="00937F47">
        <w:t>In that case</w:t>
      </w:r>
      <w:r w:rsidR="00AB624E">
        <w:t>,</w:t>
      </w:r>
      <w:r>
        <w:t xml:space="preserve"> </w:t>
      </w:r>
      <w:r w:rsidR="009E4F10">
        <w:t xml:space="preserve">the objection brought forward by </w:t>
      </w:r>
      <w:r w:rsidR="007057C1">
        <w:t>García-</w:t>
      </w:r>
      <w:r w:rsidR="009E4F10">
        <w:t>Carpintero and Pepp</w:t>
      </w:r>
      <w:r>
        <w:t xml:space="preserve"> do</w:t>
      </w:r>
      <w:r w:rsidR="009E4F10">
        <w:t>es</w:t>
      </w:r>
      <w:r>
        <w:t xml:space="preserve"> not </w:t>
      </w:r>
      <w:r w:rsidR="00044E2A">
        <w:t>present</w:t>
      </w:r>
      <w:r>
        <w:t xml:space="preserve"> an immediate problem for the commitment-based approach. </w:t>
      </w:r>
      <w:r w:rsidR="00AE18F2">
        <w:t xml:space="preserve">However, </w:t>
      </w:r>
      <w:r w:rsidR="00C208C0">
        <w:t xml:space="preserve">the objection </w:t>
      </w:r>
      <w:r w:rsidR="00152B80">
        <w:t xml:space="preserve">does </w:t>
      </w:r>
      <w:r w:rsidR="00C208C0">
        <w:t xml:space="preserve">helpfully highlight </w:t>
      </w:r>
      <w:r w:rsidR="00C01593">
        <w:t xml:space="preserve">the fact </w:t>
      </w:r>
      <w:r w:rsidR="00C208C0">
        <w:t xml:space="preserve">that </w:t>
      </w:r>
      <w:r w:rsidR="00152B80">
        <w:t>judgements about the commitment in implicatures in general</w:t>
      </w:r>
      <w:r w:rsidR="00C01593">
        <w:t>,</w:t>
      </w:r>
      <w:r w:rsidR="00152B80">
        <w:t xml:space="preserve"> and about these cases in particular</w:t>
      </w:r>
      <w:r w:rsidR="00C01593">
        <w:t>,</w:t>
      </w:r>
      <w:r w:rsidR="00152B80">
        <w:t xml:space="preserve"> </w:t>
      </w:r>
      <w:r>
        <w:t>diverge</w:t>
      </w:r>
      <w:r w:rsidR="00C208C0">
        <w:t>.</w:t>
      </w:r>
      <w:r w:rsidR="00152B80">
        <w:t xml:space="preserve"> </w:t>
      </w:r>
      <w:r w:rsidR="009E152D">
        <w:t>In my view, this shows a need for</w:t>
      </w:r>
      <w:r w:rsidR="00044E2A">
        <w:t xml:space="preserve"> </w:t>
      </w:r>
      <w:r>
        <w:t xml:space="preserve">empirical </w:t>
      </w:r>
      <w:r w:rsidR="00044E2A">
        <w:t>data on</w:t>
      </w:r>
      <w:r>
        <w:t xml:space="preserve"> judgements concerning commitment and consistent dismissals</w:t>
      </w:r>
      <w:r w:rsidR="00044E2A">
        <w:t xml:space="preserve"> in cases of lying and misleading</w:t>
      </w:r>
      <w:r>
        <w:t xml:space="preserve">. </w:t>
      </w:r>
      <w:r w:rsidR="009E152D">
        <w:t>Such data might then provide reasons in favour or against the commitment-based approach.</w:t>
      </w:r>
      <w:r w:rsidR="009E152D">
        <w:rPr>
          <w:rStyle w:val="FootnoteReference"/>
        </w:rPr>
        <w:footnoteReference w:id="78"/>
      </w:r>
      <w:r w:rsidR="009E152D">
        <w:t xml:space="preserve"> </w:t>
      </w:r>
    </w:p>
    <w:p w14:paraId="0EC0224A" w14:textId="61F2E92D" w:rsidR="009E442A" w:rsidRPr="00F90D0D" w:rsidRDefault="00242A8F" w:rsidP="009E442A">
      <w:pPr>
        <w:pStyle w:val="Heading1"/>
      </w:pPr>
      <w:r w:rsidRPr="00242A8F">
        <w:rPr>
          <w:smallCaps/>
        </w:rPr>
        <w:lastRenderedPageBreak/>
        <w:t>vii</w:t>
      </w:r>
      <w:r w:rsidR="009E442A" w:rsidRPr="00F90D0D">
        <w:t xml:space="preserve">. </w:t>
      </w:r>
      <w:r w:rsidRPr="00242A8F">
        <w:rPr>
          <w:smallCaps/>
        </w:rPr>
        <w:t>c</w:t>
      </w:r>
      <w:r w:rsidR="009E442A" w:rsidRPr="00242A8F">
        <w:rPr>
          <w:smallCaps/>
        </w:rPr>
        <w:t>onclusion</w:t>
      </w:r>
    </w:p>
    <w:p w14:paraId="47699F26" w14:textId="24469ACD" w:rsidR="002E1B9B" w:rsidRDefault="00296EE1" w:rsidP="002E1B9B">
      <w:pPr>
        <w:ind w:firstLine="0"/>
      </w:pPr>
      <w:r>
        <w:t xml:space="preserve">I have argued that the lying-misleading distinction </w:t>
      </w:r>
      <w:r w:rsidR="00B454B4">
        <w:t>concerns</w:t>
      </w:r>
      <w:r>
        <w:t xml:space="preserve"> commitment: liars commit themselves to something they believe to be false, while </w:t>
      </w:r>
      <w:r w:rsidR="00156981">
        <w:t xml:space="preserve">mere </w:t>
      </w:r>
      <w:r>
        <w:t xml:space="preserve">misleaders avoid such commitment. </w:t>
      </w:r>
      <w:r w:rsidR="001C5119">
        <w:t xml:space="preserve">This approach leads to </w:t>
      </w:r>
      <w:r w:rsidR="008A288E">
        <w:t xml:space="preserve">a </w:t>
      </w:r>
      <w:r w:rsidR="001C5119">
        <w:t>definition of lying that can handle a large variety of examples</w:t>
      </w:r>
      <w:r w:rsidR="008A288E">
        <w:t xml:space="preserve"> and that </w:t>
      </w:r>
      <w:r w:rsidR="009A4C59">
        <w:t>does</w:t>
      </w:r>
      <w:r w:rsidR="008A288E">
        <w:t xml:space="preserve"> justice to the versatility of lying. </w:t>
      </w:r>
      <w:r w:rsidR="002E1B9B">
        <w:t>And it</w:t>
      </w:r>
      <w:r w:rsidR="00E7248A">
        <w:t xml:space="preserve"> suggests a parallel definition of mere misleading, which differs from the definition of lying only in terms of commitment. </w:t>
      </w:r>
    </w:p>
    <w:p w14:paraId="16E9EFFD" w14:textId="216EB8DF" w:rsidR="008466D8" w:rsidRDefault="002E1B9B" w:rsidP="002E1B9B">
      <w:r>
        <w:t>The two</w:t>
      </w:r>
      <w:r w:rsidR="00EB6C8F">
        <w:t xml:space="preserve"> definition</w:t>
      </w:r>
      <w:r w:rsidR="00E7248A">
        <w:t>s</w:t>
      </w:r>
      <w:r w:rsidR="00EB6C8F">
        <w:t xml:space="preserve"> </w:t>
      </w:r>
      <w:r w:rsidR="00296EE1">
        <w:t xml:space="preserve">dovetail nicely </w:t>
      </w:r>
      <w:r w:rsidR="00EB6C8F">
        <w:t xml:space="preserve">with </w:t>
      </w:r>
      <w:r w:rsidR="00296EE1">
        <w:t>commitment-based approaches to assertion and recent work on weaker constative speech-acts</w:t>
      </w:r>
      <w:r w:rsidR="00EB6C8F">
        <w:t xml:space="preserve">. </w:t>
      </w:r>
      <w:r w:rsidR="009C40A8">
        <w:t>They also</w:t>
      </w:r>
      <w:r w:rsidR="008466D8">
        <w:t xml:space="preserve"> suggest further work on commitment</w:t>
      </w:r>
      <w:r w:rsidR="009C40A8">
        <w:t>, lying and misleading</w:t>
      </w:r>
      <w:r w:rsidR="008466D8">
        <w:t xml:space="preserve">: What are the mechanisms by which communicative agents commit themselves to propositions? How can </w:t>
      </w:r>
      <w:r w:rsidR="00E07C53">
        <w:t xml:space="preserve">agents use </w:t>
      </w:r>
      <w:r w:rsidR="008466D8">
        <w:t xml:space="preserve">implicatures to avoid commitment? And </w:t>
      </w:r>
      <w:r w:rsidR="009C40A8">
        <w:t>can a difference in</w:t>
      </w:r>
      <w:r w:rsidR="001912E7">
        <w:t xml:space="preserve"> commitment</w:t>
      </w:r>
      <w:r w:rsidR="009C40A8">
        <w:t xml:space="preserve"> ground a moral difference between</w:t>
      </w:r>
      <w:r w:rsidR="008466D8">
        <w:t xml:space="preserve"> lying and misleading?</w:t>
      </w:r>
      <w:r w:rsidR="009C40A8">
        <w:t xml:space="preserve"> </w:t>
      </w:r>
    </w:p>
    <w:p w14:paraId="28699F60" w14:textId="4A67E635" w:rsidR="008466D8" w:rsidRPr="008466D8" w:rsidRDefault="009C40A8" w:rsidP="008466D8">
      <w:r>
        <w:t xml:space="preserve">With this last question we have </w:t>
      </w:r>
      <w:r w:rsidR="002E1B9B">
        <w:t>arrived at</w:t>
      </w:r>
      <w:r>
        <w:t xml:space="preserve"> the ethical debate on the lying-misleading distinction. </w:t>
      </w:r>
      <w:r w:rsidR="008466D8" w:rsidRPr="008466D8">
        <w:t xml:space="preserve">The most popular </w:t>
      </w:r>
      <w:r w:rsidR="008466D8">
        <w:t xml:space="preserve">view in this debate entails </w:t>
      </w:r>
      <w:r w:rsidR="008466D8" w:rsidRPr="008466D8">
        <w:t>that if we are faced with a choice between lying and misleading, we should choose to mislead (everything else being equal and except, perhaps, in certain special cases).</w:t>
      </w:r>
      <w:r w:rsidR="005354B8">
        <w:rPr>
          <w:rStyle w:val="FootnoteReference"/>
        </w:rPr>
        <w:footnoteReference w:id="79"/>
      </w:r>
      <w:r w:rsidR="008466D8">
        <w:t xml:space="preserve"> </w:t>
      </w:r>
      <w:r w:rsidR="009C51CF">
        <w:t>However, t</w:t>
      </w:r>
      <w:r w:rsidR="00E07C53">
        <w:t>his view has been forcefully criticised by</w:t>
      </w:r>
      <w:r w:rsidR="008466D8" w:rsidRPr="008466D8">
        <w:t xml:space="preserve"> Saul</w:t>
      </w:r>
      <w:r w:rsidR="00E07C53">
        <w:t>. Saul’s line of argument is</w:t>
      </w:r>
      <w:r w:rsidR="008466D8" w:rsidRPr="008466D8">
        <w:t xml:space="preserve"> summed up in the following passage: </w:t>
      </w:r>
    </w:p>
    <w:p w14:paraId="7713FE5D" w14:textId="529EB747" w:rsidR="008466D8" w:rsidRPr="008466D8" w:rsidRDefault="008466D8" w:rsidP="00E07C53">
      <w:pPr>
        <w:pStyle w:val="longquote"/>
      </w:pPr>
      <w:r w:rsidRPr="008466D8">
        <w:t xml:space="preserve">[M]orally preferring misleading to lying is really rather puzzling. In both cases, a speaker deliberately attempts to induce a false belief in their audience. Why on earth should it matter whether they do this by </w:t>
      </w:r>
      <w:r w:rsidRPr="008466D8">
        <w:rPr>
          <w:i/>
          <w:iCs/>
        </w:rPr>
        <w:t xml:space="preserve">saying </w:t>
      </w:r>
      <w:r w:rsidRPr="008466D8">
        <w:t>something false or merely conveying it by some other means?</w:t>
      </w:r>
      <w:r w:rsidR="005354B8">
        <w:rPr>
          <w:rStyle w:val="FootnoteReference"/>
        </w:rPr>
        <w:footnoteReference w:id="80"/>
      </w:r>
      <w:r w:rsidRPr="008466D8">
        <w:t xml:space="preserve"> </w:t>
      </w:r>
    </w:p>
    <w:p w14:paraId="1AF710DD" w14:textId="12472625" w:rsidR="00BF70C3" w:rsidRDefault="008466D8" w:rsidP="00E07C53">
      <w:pPr>
        <w:ind w:firstLine="0"/>
      </w:pPr>
      <w:r w:rsidRPr="008466D8">
        <w:t xml:space="preserve">If the </w:t>
      </w:r>
      <w:r w:rsidR="00E07C53">
        <w:t>commitment-based approach</w:t>
      </w:r>
      <w:r w:rsidRPr="008466D8">
        <w:t xml:space="preserve"> is on the right track, then Saul’s argument rests on a false premise: lying and misleading do not merely differ with respect to what is said, rather they differ </w:t>
      </w:r>
      <w:r w:rsidR="009C51CF">
        <w:t>in terms of</w:t>
      </w:r>
      <w:r w:rsidRPr="008466D8">
        <w:t xml:space="preserve"> commitment. </w:t>
      </w:r>
      <w:r w:rsidR="00BF70C3">
        <w:t xml:space="preserve">The </w:t>
      </w:r>
      <w:r w:rsidR="009C51CF">
        <w:t>important</w:t>
      </w:r>
      <w:r w:rsidR="00BF70C3">
        <w:t xml:space="preserve"> question, then, is whether this difference </w:t>
      </w:r>
      <w:r w:rsidR="009C51CF">
        <w:t xml:space="preserve">in commitment </w:t>
      </w:r>
      <w:r w:rsidR="00BF70C3" w:rsidRPr="009C51CF">
        <w:t>is</w:t>
      </w:r>
      <w:r w:rsidR="004510ED">
        <w:t>,</w:t>
      </w:r>
      <w:r w:rsidR="00BF70C3" w:rsidRPr="009C51CF">
        <w:t xml:space="preserve"> </w:t>
      </w:r>
      <w:r w:rsidR="00BF70C3">
        <w:t xml:space="preserve">or </w:t>
      </w:r>
      <w:r w:rsidR="00BF70C3" w:rsidRPr="009C51CF">
        <w:t>could ground</w:t>
      </w:r>
      <w:r w:rsidR="004510ED">
        <w:t>,</w:t>
      </w:r>
      <w:r w:rsidR="00BF70C3">
        <w:t xml:space="preserve"> a moral difference between lying and misleading.</w:t>
      </w:r>
      <w:r w:rsidR="005354B8">
        <w:rPr>
          <w:rStyle w:val="FootnoteReference"/>
        </w:rPr>
        <w:footnoteReference w:id="81"/>
      </w:r>
      <w:r w:rsidR="00BF70C3">
        <w:t xml:space="preserve"> </w:t>
      </w:r>
    </w:p>
    <w:p w14:paraId="3E693DA2" w14:textId="77777777" w:rsidR="00414D1F" w:rsidRPr="00F90D0D" w:rsidRDefault="00414D1F" w:rsidP="00DA5A32">
      <w:pPr>
        <w:ind w:firstLine="0"/>
      </w:pPr>
    </w:p>
    <w:p w14:paraId="4E08D157" w14:textId="1E65DC58" w:rsidR="004A7103" w:rsidRPr="003D29EB" w:rsidRDefault="00BE283F" w:rsidP="009E442A">
      <w:pPr>
        <w:ind w:firstLine="0"/>
        <w:rPr>
          <w:smallCaps/>
          <w:lang w:val="de-DE"/>
        </w:rPr>
      </w:pPr>
      <w:proofErr w:type="spellStart"/>
      <w:r w:rsidRPr="003D29EB">
        <w:rPr>
          <w:smallCaps/>
          <w:lang w:val="de-DE"/>
        </w:rPr>
        <w:t>emanuel</w:t>
      </w:r>
      <w:proofErr w:type="spellEnd"/>
      <w:r w:rsidRPr="003D29EB">
        <w:rPr>
          <w:smallCaps/>
          <w:lang w:val="de-DE"/>
        </w:rPr>
        <w:t xml:space="preserve"> </w:t>
      </w:r>
      <w:proofErr w:type="spellStart"/>
      <w:r w:rsidRPr="003D29EB">
        <w:rPr>
          <w:smallCaps/>
          <w:lang w:val="de-DE"/>
        </w:rPr>
        <w:t>viebahn</w:t>
      </w:r>
      <w:proofErr w:type="spellEnd"/>
    </w:p>
    <w:p w14:paraId="44C2DF7B" w14:textId="24F892E9" w:rsidR="00BE283F" w:rsidRPr="003D29EB" w:rsidRDefault="00BE283F" w:rsidP="009E442A">
      <w:pPr>
        <w:ind w:firstLine="0"/>
        <w:rPr>
          <w:lang w:val="de-DE"/>
        </w:rPr>
      </w:pPr>
      <w:r w:rsidRPr="003D29EB">
        <w:rPr>
          <w:lang w:val="de-DE"/>
        </w:rPr>
        <w:t>Humboldt</w:t>
      </w:r>
      <w:r w:rsidR="00D05E75" w:rsidRPr="003D29EB">
        <w:rPr>
          <w:lang w:val="de-DE"/>
        </w:rPr>
        <w:t>-</w:t>
      </w:r>
      <w:r w:rsidRPr="003D29EB">
        <w:rPr>
          <w:lang w:val="de-DE"/>
        </w:rPr>
        <w:t>Universit</w:t>
      </w:r>
      <w:r w:rsidR="00D05E75" w:rsidRPr="003D29EB">
        <w:rPr>
          <w:lang w:val="de-DE"/>
        </w:rPr>
        <w:t>ät</w:t>
      </w:r>
      <w:r w:rsidRPr="003D29EB">
        <w:rPr>
          <w:lang w:val="de-DE"/>
        </w:rPr>
        <w:t xml:space="preserve"> </w:t>
      </w:r>
      <w:r w:rsidR="00D05E75" w:rsidRPr="003D29EB">
        <w:rPr>
          <w:lang w:val="de-DE"/>
        </w:rPr>
        <w:t>zu</w:t>
      </w:r>
      <w:r w:rsidRPr="003D29EB">
        <w:rPr>
          <w:lang w:val="de-DE"/>
        </w:rPr>
        <w:t xml:space="preserve"> Berlin</w:t>
      </w:r>
    </w:p>
    <w:sectPr w:rsidR="00BE283F" w:rsidRPr="003D29EB" w:rsidSect="005032DE">
      <w:footnotePr>
        <w:numRestart w:val="eachSect"/>
      </w:footnotePr>
      <w:type w:val="continuous"/>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3BB0" w14:textId="77777777" w:rsidR="00243FDC" w:rsidRDefault="00243FDC" w:rsidP="00AB706D">
      <w:pPr>
        <w:spacing w:line="240" w:lineRule="auto"/>
      </w:pPr>
      <w:r>
        <w:separator/>
      </w:r>
    </w:p>
  </w:endnote>
  <w:endnote w:type="continuationSeparator" w:id="0">
    <w:p w14:paraId="7D498489" w14:textId="77777777" w:rsidR="00243FDC" w:rsidRDefault="00243FDC" w:rsidP="00AB7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揰အ"/>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978F" w14:textId="47B34107" w:rsidR="001C0334" w:rsidRDefault="001C0334" w:rsidP="004352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D29EB">
      <w:rPr>
        <w:rStyle w:val="PageNumber"/>
      </w:rPr>
      <w:fldChar w:fldCharType="separate"/>
    </w:r>
    <w:r w:rsidR="003D29EB">
      <w:rPr>
        <w:rStyle w:val="PageNumber"/>
        <w:noProof/>
      </w:rPr>
      <w:t>1</w:t>
    </w:r>
    <w:r>
      <w:rPr>
        <w:rStyle w:val="PageNumber"/>
      </w:rPr>
      <w:fldChar w:fldCharType="end"/>
    </w:r>
  </w:p>
  <w:p w14:paraId="6A9DE289" w14:textId="77777777" w:rsidR="001C0334" w:rsidRDefault="001C0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6147" w14:textId="4B9C3CFE" w:rsidR="001C0334" w:rsidRDefault="001C0334" w:rsidP="004352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BC0F94" w14:textId="77777777" w:rsidR="001C0334" w:rsidRDefault="001C0334" w:rsidP="005032DE">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E122" w14:textId="77777777" w:rsidR="00243FDC" w:rsidRDefault="00243FDC" w:rsidP="00AB706D">
      <w:pPr>
        <w:spacing w:line="240" w:lineRule="auto"/>
      </w:pPr>
      <w:r>
        <w:separator/>
      </w:r>
    </w:p>
  </w:footnote>
  <w:footnote w:type="continuationSeparator" w:id="0">
    <w:p w14:paraId="37BF0926" w14:textId="77777777" w:rsidR="00243FDC" w:rsidRDefault="00243FDC" w:rsidP="00AB706D">
      <w:pPr>
        <w:spacing w:line="240" w:lineRule="auto"/>
      </w:pPr>
      <w:r>
        <w:continuationSeparator/>
      </w:r>
    </w:p>
  </w:footnote>
  <w:footnote w:id="1">
    <w:p w14:paraId="676FA507" w14:textId="4D72143E" w:rsidR="001C0334" w:rsidRPr="00801366" w:rsidRDefault="001C0334">
      <w:pPr>
        <w:pStyle w:val="FootnoteText"/>
      </w:pPr>
      <w:r w:rsidRPr="00801366">
        <w:rPr>
          <w:rStyle w:val="FootnoteReference"/>
        </w:rPr>
        <w:footnoteRef/>
      </w:r>
      <w:r w:rsidRPr="00801366">
        <w:t xml:space="preserve"> For helpful comments and discussion I would like to thank Patrick Butlin, Alexander Dinges, Manuel García-Carpintero, </w:t>
      </w:r>
      <w:r w:rsidR="00E946A1">
        <w:t xml:space="preserve">Richard Holton, </w:t>
      </w:r>
      <w:r w:rsidRPr="00801366">
        <w:t xml:space="preserve">Louis Kohlmann, </w:t>
      </w:r>
      <w:r w:rsidR="00E946A1">
        <w:t xml:space="preserve">Rae Langton, </w:t>
      </w:r>
      <w:r w:rsidRPr="00801366">
        <w:t xml:space="preserve">Lukas Lewerentz, Robin </w:t>
      </w:r>
      <w:proofErr w:type="spellStart"/>
      <w:r w:rsidRPr="00801366">
        <w:t>Löhr</w:t>
      </w:r>
      <w:proofErr w:type="spellEnd"/>
      <w:r w:rsidRPr="00801366">
        <w:t xml:space="preserve">, Felix Timmermann, </w:t>
      </w:r>
      <w:r w:rsidR="0074581A">
        <w:t xml:space="preserve">Victoria Viebahn, </w:t>
      </w:r>
      <w:r w:rsidRPr="00801366">
        <w:t xml:space="preserve">Alex Wiegmann, </w:t>
      </w:r>
      <w:proofErr w:type="spellStart"/>
      <w:r w:rsidRPr="00801366">
        <w:t>Derya</w:t>
      </w:r>
      <w:proofErr w:type="spellEnd"/>
      <w:r w:rsidRPr="00801366">
        <w:t xml:space="preserve"> </w:t>
      </w:r>
      <w:proofErr w:type="spellStart"/>
      <w:r w:rsidRPr="00801366">
        <w:t>Yürüyen</w:t>
      </w:r>
      <w:proofErr w:type="spellEnd"/>
      <w:r w:rsidRPr="00801366">
        <w:t xml:space="preserve">, Julia </w:t>
      </w:r>
      <w:proofErr w:type="spellStart"/>
      <w:r w:rsidRPr="00801366">
        <w:t>Zakkou</w:t>
      </w:r>
      <w:proofErr w:type="spellEnd"/>
      <w:r w:rsidRPr="00801366">
        <w:t xml:space="preserve">, the </w:t>
      </w:r>
      <w:proofErr w:type="spellStart"/>
      <w:r w:rsidRPr="00801366">
        <w:t>philangling</w:t>
      </w:r>
      <w:proofErr w:type="spellEnd"/>
      <w:r w:rsidRPr="00801366">
        <w:t xml:space="preserve"> group initiated by Miguel </w:t>
      </w:r>
      <w:proofErr w:type="spellStart"/>
      <w:r w:rsidRPr="00801366">
        <w:t>Hoeltje</w:t>
      </w:r>
      <w:proofErr w:type="spellEnd"/>
      <w:r w:rsidRPr="00801366">
        <w:t xml:space="preserve">, the colloquia of Geert Keil and Olaf Müller at the Humboldt University of Berlin, the students in my seminar on speech-acts, as well as audiences in Bielefeld, Bochum, Cambridge, Glasgow, Hamburg, London, St Andrews, Vienna, and Zurich. </w:t>
      </w:r>
    </w:p>
  </w:footnote>
  <w:footnote w:id="2">
    <w:p w14:paraId="594D74DE" w14:textId="043B85CC" w:rsidR="001C0334" w:rsidRPr="00801366" w:rsidRDefault="001C0334" w:rsidP="00487742">
      <w:pPr>
        <w:pStyle w:val="FootnoteText"/>
      </w:pPr>
      <w:r w:rsidRPr="00801366">
        <w:rPr>
          <w:rStyle w:val="FootnoteReference"/>
        </w:rPr>
        <w:footnoteRef/>
      </w:r>
      <w:r w:rsidRPr="00801366">
        <w:t xml:space="preserve"> For discussion of this case, see Jennifer Saul, </w:t>
      </w:r>
      <w:r w:rsidRPr="00801366">
        <w:rPr>
          <w:i/>
        </w:rPr>
        <w:t>Lying, Misleading, &amp; What is Said</w:t>
      </w:r>
      <w:r w:rsidRPr="00801366">
        <w:rPr>
          <w:i/>
          <w:iCs/>
        </w:rPr>
        <w:t>: An Exploration in Philosophy of Language and in Ethics</w:t>
      </w:r>
      <w:r w:rsidRPr="00801366">
        <w:t xml:space="preserve"> (Oxford: Oxford University Press, 2012), at p. 70. </w:t>
      </w:r>
    </w:p>
  </w:footnote>
  <w:footnote w:id="3">
    <w:p w14:paraId="0DC79DC6" w14:textId="12BB4BCD" w:rsidR="001C0334" w:rsidRPr="00801366" w:rsidRDefault="001C0334" w:rsidP="00487742">
      <w:pPr>
        <w:pStyle w:val="FootnoteText"/>
      </w:pPr>
      <w:r w:rsidRPr="00801366">
        <w:rPr>
          <w:rStyle w:val="FootnoteReference"/>
        </w:rPr>
        <w:footnoteRef/>
      </w:r>
      <w:r w:rsidRPr="00801366">
        <w:t xml:space="preserve"> In what follows, I will </w:t>
      </w:r>
      <w:r w:rsidR="00147767">
        <w:t xml:space="preserve">use the shorter </w:t>
      </w:r>
      <w:r w:rsidR="00197EE6">
        <w:t>‘</w:t>
      </w:r>
      <w:r w:rsidR="00147767">
        <w:t>implicature</w:t>
      </w:r>
      <w:r w:rsidR="00197EE6">
        <w:t>’</w:t>
      </w:r>
      <w:r w:rsidR="00147767">
        <w:t xml:space="preserve"> and </w:t>
      </w:r>
      <w:r w:rsidR="00197EE6">
        <w:t>‘</w:t>
      </w:r>
      <w:r w:rsidR="00147767">
        <w:t>implicate</w:t>
      </w:r>
      <w:r w:rsidR="00197EE6">
        <w:t>’</w:t>
      </w:r>
      <w:r w:rsidR="00147767">
        <w:t xml:space="preserve"> in order to refer to conversational implicatures and the act of conversationally implicating. </w:t>
      </w:r>
    </w:p>
  </w:footnote>
  <w:footnote w:id="4">
    <w:p w14:paraId="10C8FE76" w14:textId="738E0580" w:rsidR="001C0334" w:rsidRPr="00801366" w:rsidRDefault="001C0334" w:rsidP="004F4756">
      <w:pPr>
        <w:pStyle w:val="FootnoteText"/>
      </w:pPr>
      <w:r w:rsidRPr="00801366">
        <w:rPr>
          <w:rStyle w:val="FootnoteReference"/>
        </w:rPr>
        <w:footnoteRef/>
      </w:r>
      <w:r w:rsidRPr="00801366">
        <w:t xml:space="preserve"> Jennifer Saul and Andreas Stokke provide sophisticated approaches in this vein: Saul, </w:t>
      </w:r>
      <w:r w:rsidRPr="00801366">
        <w:rPr>
          <w:i/>
        </w:rPr>
        <w:t>Lying, Misleading, &amp; What is Said</w:t>
      </w:r>
      <w:r w:rsidRPr="00801366">
        <w:rPr>
          <w:i/>
          <w:iCs/>
        </w:rPr>
        <w:t>, op. cit.</w:t>
      </w:r>
      <w:r w:rsidRPr="00801366">
        <w:t xml:space="preserve">, p. 57, argues that content-based definitions of lying should tie the notion of what is said to semantic content through the following principle: “A putative contextual contribution to what is said is a part of what is said only if without this contextually supplied material, [a sentence] S would not have a truth-evaluable semantic content in [a context] C.” And Stokke holds that while what is said (in the sense relevant for the lying-misleading distinction) can go beyond semantic content, it is nonetheless “strictly constrained by a minimal kind of compositional meaning” (Andreas Stokke, “Lying and Misleading in Discourse,” </w:t>
      </w:r>
      <w:r w:rsidRPr="00801366">
        <w:rPr>
          <w:i/>
          <w:iCs/>
        </w:rPr>
        <w:t>Philosophical Review</w:t>
      </w:r>
      <w:r w:rsidRPr="00801366">
        <w:t>, cxxv, 1 (January 2016): 83–134, at p. 86). Stokke also argues that what is said is sensitive to the topic of conversation, and he shows how the question under discussion (QUD) framework can be used to capture this sensitivity. On the QUD-framework</w:t>
      </w:r>
      <w:r w:rsidR="00774B4B">
        <w:t>,</w:t>
      </w:r>
      <w:r w:rsidRPr="00801366">
        <w:t xml:space="preserve"> see </w:t>
      </w:r>
      <w:proofErr w:type="spellStart"/>
      <w:r w:rsidRPr="00801366">
        <w:t>Craige</w:t>
      </w:r>
      <w:proofErr w:type="spellEnd"/>
      <w:r w:rsidRPr="00801366">
        <w:t xml:space="preserve"> Roberts, “Context in Dynamic Interpretation,” in L. Horn and G. Ward, eds., </w:t>
      </w:r>
      <w:r w:rsidRPr="00801366">
        <w:rPr>
          <w:i/>
          <w:iCs/>
        </w:rPr>
        <w:t>The Handbook of Pragmatics</w:t>
      </w:r>
      <w:r w:rsidRPr="00801366">
        <w:t xml:space="preserve"> (Oxford: Blackwell, 2004), pp. 197–220; </w:t>
      </w:r>
      <w:proofErr w:type="spellStart"/>
      <w:r w:rsidRPr="00801366">
        <w:t>Craige</w:t>
      </w:r>
      <w:proofErr w:type="spellEnd"/>
      <w:r w:rsidRPr="00801366">
        <w:t xml:space="preserve"> Roberts, “Information Structure in Discourse: Towards an Integrated Formal Theory of Pragmatics,” </w:t>
      </w:r>
      <w:r w:rsidRPr="00801366">
        <w:rPr>
          <w:i/>
          <w:iCs/>
        </w:rPr>
        <w:t>Semantics and Pragmatics</w:t>
      </w:r>
      <w:r w:rsidRPr="00801366">
        <w:t xml:space="preserve">, </w:t>
      </w:r>
      <w:r w:rsidRPr="00801366">
        <w:rPr>
          <w:smallCaps/>
        </w:rPr>
        <w:t>v (2012)</w:t>
      </w:r>
      <w:r w:rsidRPr="00801366">
        <w:t>: 1–69.</w:t>
      </w:r>
    </w:p>
  </w:footnote>
  <w:footnote w:id="5">
    <w:p w14:paraId="009B7C83" w14:textId="37F2271A" w:rsidR="001C0334" w:rsidRPr="00801366" w:rsidRDefault="001C0334" w:rsidP="00487742">
      <w:pPr>
        <w:pStyle w:val="FootnoteText"/>
      </w:pPr>
      <w:r w:rsidRPr="00801366">
        <w:rPr>
          <w:rStyle w:val="FootnoteReference"/>
        </w:rPr>
        <w:footnoteRef/>
      </w:r>
      <w:r w:rsidRPr="00801366">
        <w:t xml:space="preserve"> This has been proposed by Eliot Michaelson, “The lying test,” </w:t>
      </w:r>
      <w:r w:rsidRPr="00801366">
        <w:rPr>
          <w:i/>
          <w:iCs/>
        </w:rPr>
        <w:t>Mind &amp; Language</w:t>
      </w:r>
      <w:r w:rsidRPr="00801366">
        <w:t xml:space="preserve">, </w:t>
      </w:r>
      <w:r w:rsidRPr="00801366">
        <w:rPr>
          <w:smallCaps/>
        </w:rPr>
        <w:t>xxxi</w:t>
      </w:r>
      <w:r w:rsidRPr="00801366">
        <w:t xml:space="preserve">, 4 (September 2016): 470–499. See also Saul, </w:t>
      </w:r>
      <w:r w:rsidRPr="00801366">
        <w:rPr>
          <w:i/>
        </w:rPr>
        <w:t>Lying, Misleading, &amp; What is Said</w:t>
      </w:r>
      <w:r w:rsidRPr="00801366">
        <w:rPr>
          <w:i/>
          <w:iCs/>
        </w:rPr>
        <w:t>, op. cit.</w:t>
      </w:r>
      <w:r w:rsidRPr="00801366">
        <w:t xml:space="preserve">, pp. 66–68; Manuel García-Carpintero, “Sneaky Assertions,” </w:t>
      </w:r>
      <w:r w:rsidRPr="00801366">
        <w:rPr>
          <w:i/>
          <w:iCs/>
        </w:rPr>
        <w:t>Philosophical Perspectives</w:t>
      </w:r>
      <w:r w:rsidRPr="00801366">
        <w:t xml:space="preserve">, </w:t>
      </w:r>
      <w:r w:rsidRPr="00801366">
        <w:rPr>
          <w:smallCaps/>
        </w:rPr>
        <w:t>xxxii, 1 (</w:t>
      </w:r>
      <w:r w:rsidRPr="00801366">
        <w:t xml:space="preserve">December 2018): 188–218, at p. 197; Emma Borg, “Explanatory roles for minimal content,” </w:t>
      </w:r>
      <w:r w:rsidRPr="00801366">
        <w:rPr>
          <w:i/>
          <w:iCs/>
        </w:rPr>
        <w:t>Noûs</w:t>
      </w:r>
      <w:r w:rsidRPr="00801366">
        <w:t xml:space="preserve">, </w:t>
      </w:r>
      <w:r w:rsidRPr="00801366">
        <w:rPr>
          <w:smallCaps/>
        </w:rPr>
        <w:t>liii</w:t>
      </w:r>
      <w:r w:rsidRPr="00801366">
        <w:t xml:space="preserve">, 3 (September 2019): 513–539. </w:t>
      </w:r>
    </w:p>
  </w:footnote>
  <w:footnote w:id="6">
    <w:p w14:paraId="0BD7E2B7" w14:textId="5FD2EC61" w:rsidR="001C0334" w:rsidRPr="00801366" w:rsidRDefault="001C0334">
      <w:pPr>
        <w:pStyle w:val="FootnoteText"/>
      </w:pPr>
      <w:r w:rsidRPr="00801366">
        <w:rPr>
          <w:rStyle w:val="FootnoteReference"/>
        </w:rPr>
        <w:footnoteRef/>
      </w:r>
      <w:r w:rsidRPr="00801366">
        <w:t xml:space="preserve"> Emanuel Viebahn, “Non-literal lies,” </w:t>
      </w:r>
      <w:r w:rsidRPr="00801366">
        <w:rPr>
          <w:i/>
          <w:iCs/>
        </w:rPr>
        <w:t>Erkenntnis</w:t>
      </w:r>
      <w:r w:rsidRPr="00801366">
        <w:t xml:space="preserve"> </w:t>
      </w:r>
      <w:r w:rsidRPr="00801366">
        <w:rPr>
          <w:smallCaps/>
        </w:rPr>
        <w:t>lxxxii</w:t>
      </w:r>
      <w:r w:rsidRPr="00801366">
        <w:t xml:space="preserve"> (December 2017): 1367–1380; Emanuel Viebahn, “Lying with Presuppositions,” </w:t>
      </w:r>
      <w:r w:rsidRPr="00801366">
        <w:rPr>
          <w:i/>
          <w:iCs/>
        </w:rPr>
        <w:t>Noûs</w:t>
      </w:r>
      <w:r w:rsidRPr="00801366">
        <w:t xml:space="preserve">, </w:t>
      </w:r>
      <w:r w:rsidRPr="00801366">
        <w:rPr>
          <w:smallCaps/>
        </w:rPr>
        <w:t>liv</w:t>
      </w:r>
      <w:r w:rsidRPr="00801366">
        <w:t xml:space="preserve">, 3 (September 2020): 731–751. </w:t>
      </w:r>
    </w:p>
  </w:footnote>
  <w:footnote w:id="7">
    <w:p w14:paraId="700D9BAD" w14:textId="7BF88049" w:rsidR="001C0334" w:rsidRPr="00801366" w:rsidRDefault="001C0334">
      <w:pPr>
        <w:pStyle w:val="FootnoteText"/>
      </w:pPr>
      <w:r w:rsidRPr="00801366">
        <w:rPr>
          <w:rStyle w:val="FootnoteReference"/>
        </w:rPr>
        <w:footnoteRef/>
      </w:r>
      <w:r w:rsidRPr="00801366">
        <w:t xml:space="preserve"> Thomas L. Carson, “The Definition of Lying,” </w:t>
      </w:r>
      <w:r w:rsidRPr="00801366">
        <w:rPr>
          <w:i/>
          <w:iCs/>
        </w:rPr>
        <w:t>Noûs</w:t>
      </w:r>
      <w:r w:rsidRPr="00801366">
        <w:t xml:space="preserve">, </w:t>
      </w:r>
      <w:r w:rsidRPr="00801366">
        <w:rPr>
          <w:smallCaps/>
        </w:rPr>
        <w:t>xl</w:t>
      </w:r>
      <w:r w:rsidRPr="00801366">
        <w:t xml:space="preserve">, 2 (June 2006): 284–306; Roy Sorensen, “Bald-Faced Lies! Lying without the Intent to Deceive,” </w:t>
      </w:r>
      <w:r w:rsidRPr="00801366">
        <w:rPr>
          <w:i/>
          <w:iCs/>
        </w:rPr>
        <w:t>Pacific Philosophical Quarterly</w:t>
      </w:r>
      <w:r w:rsidRPr="00801366">
        <w:t xml:space="preserve">, </w:t>
      </w:r>
      <w:r w:rsidRPr="00801366">
        <w:rPr>
          <w:smallCaps/>
        </w:rPr>
        <w:t>lxxxviii</w:t>
      </w:r>
      <w:r w:rsidRPr="00801366">
        <w:t>, 2 (June 2007): 251–64.</w:t>
      </w:r>
    </w:p>
  </w:footnote>
  <w:footnote w:id="8">
    <w:p w14:paraId="1D9719F4" w14:textId="2F867794" w:rsidR="001C0334" w:rsidRPr="00801366" w:rsidRDefault="001C0334">
      <w:pPr>
        <w:pStyle w:val="FootnoteText"/>
      </w:pPr>
      <w:r w:rsidRPr="00801366">
        <w:rPr>
          <w:rStyle w:val="FootnoteReference"/>
        </w:rPr>
        <w:footnoteRef/>
      </w:r>
      <w:r w:rsidRPr="00801366">
        <w:t xml:space="preserve"> Saul, </w:t>
      </w:r>
      <w:r w:rsidRPr="00801366">
        <w:rPr>
          <w:i/>
        </w:rPr>
        <w:t>Lying, Misleading, &amp; What is Said</w:t>
      </w:r>
      <w:r w:rsidRPr="00801366">
        <w:rPr>
          <w:i/>
          <w:iCs/>
        </w:rPr>
        <w:t>, op. cit.</w:t>
      </w:r>
      <w:r w:rsidRPr="00801366">
        <w:t xml:space="preserve">, at p. 71. </w:t>
      </w:r>
    </w:p>
  </w:footnote>
  <w:footnote w:id="9">
    <w:p w14:paraId="5646A0C2" w14:textId="50D336A9" w:rsidR="001C0334" w:rsidRPr="00801366" w:rsidRDefault="001C0334" w:rsidP="00487742">
      <w:pPr>
        <w:pStyle w:val="FootnoteText"/>
      </w:pPr>
      <w:r w:rsidRPr="00801366">
        <w:rPr>
          <w:rStyle w:val="FootnoteReference"/>
        </w:rPr>
        <w:footnoteRef/>
      </w:r>
      <w:r w:rsidRPr="00801366">
        <w:t xml:space="preserve"> Among the theorists who accept definition in line with (D1) are Don Fallis, “What Is Lying?,” this </w:t>
      </w:r>
      <w:r w:rsidRPr="00801366">
        <w:rPr>
          <w:smallCaps/>
        </w:rPr>
        <w:t>journal</w:t>
      </w:r>
      <w:r w:rsidRPr="00801366">
        <w:t xml:space="preserve">, </w:t>
      </w:r>
      <w:r w:rsidRPr="00801366">
        <w:rPr>
          <w:smallCaps/>
        </w:rPr>
        <w:t>cvi</w:t>
      </w:r>
      <w:r w:rsidRPr="00801366">
        <w:t xml:space="preserve">, 1 (January 2009): 29–56; Andreas Stokke, </w:t>
      </w:r>
      <w:r w:rsidRPr="00801366">
        <w:rPr>
          <w:i/>
        </w:rPr>
        <w:t xml:space="preserve">Lying and Insincerity </w:t>
      </w:r>
      <w:r w:rsidRPr="00801366">
        <w:t xml:space="preserve">(Oxford: Oxford University Press, 2018), </w:t>
      </w:r>
      <w:proofErr w:type="spellStart"/>
      <w:r w:rsidRPr="00801366">
        <w:t>Ishani</w:t>
      </w:r>
      <w:proofErr w:type="spellEnd"/>
      <w:r w:rsidRPr="00801366">
        <w:t xml:space="preserve"> Maitra, “Lying, Acting, and Asserting,” in: Eliot Michaelson and Andreas Stokke, eds., </w:t>
      </w:r>
      <w:r w:rsidRPr="00801366">
        <w:rPr>
          <w:i/>
          <w:iCs/>
        </w:rPr>
        <w:t>Lying: Language, Knowledge, Ethics, and Politics</w:t>
      </w:r>
      <w:r w:rsidRPr="00801366">
        <w:t xml:space="preserve"> (Oxford: Oxford University Press, 2018), pp. 65–82; Jessica Pepp, “Assertion, Lying, and Untruthfully Implicating,” in: Sanford Goldberg, ed., </w:t>
      </w:r>
      <w:r w:rsidRPr="00801366">
        <w:rPr>
          <w:i/>
          <w:iCs/>
        </w:rPr>
        <w:t>The Oxford Handbook of Assertion</w:t>
      </w:r>
      <w:r w:rsidRPr="00801366">
        <w:t xml:space="preserve"> (Oxford: Oxford University Press, 2019), pp. 829–50. Some theorists take the two clauses mentioned to be necessary, but not jointly sufficient for lying. They would thus add a third clause: Roderick M. Chisholm and Thomas D. Feehan, “The Intent to Deceive,” this </w:t>
      </w:r>
      <w:r w:rsidRPr="00801366">
        <w:rPr>
          <w:smallCaps/>
        </w:rPr>
        <w:t>journal</w:t>
      </w:r>
      <w:r w:rsidRPr="00801366">
        <w:t xml:space="preserve">, </w:t>
      </w:r>
      <w:r w:rsidRPr="00801366">
        <w:rPr>
          <w:smallCaps/>
        </w:rPr>
        <w:t>lxxiv</w:t>
      </w:r>
      <w:r w:rsidRPr="00801366">
        <w:t xml:space="preserve">, 3 (March 1977): 143–59, and Bernard Williams, </w:t>
      </w:r>
      <w:r w:rsidRPr="00801366">
        <w:rPr>
          <w:i/>
        </w:rPr>
        <w:t>Truth and Truthfulness</w:t>
      </w:r>
      <w:r w:rsidRPr="00801366">
        <w:t xml:space="preserve"> (Princeton: Princeton University Press, 2002), at p. 96, hold that lying also requires an intention to deceive, while García-Carpintero, “Sneaky Assertions,” </w:t>
      </w:r>
      <w:r w:rsidRPr="00801366">
        <w:rPr>
          <w:i/>
          <w:iCs/>
        </w:rPr>
        <w:t>op. cit.</w:t>
      </w:r>
      <w:r w:rsidRPr="00801366">
        <w:t>, has recently argued (</w:t>
      </w:r>
      <w:proofErr w:type="spellStart"/>
      <w:r w:rsidRPr="00801366">
        <w:t>i</w:t>
      </w:r>
      <w:proofErr w:type="spellEnd"/>
      <w:r w:rsidRPr="00801366">
        <w:t xml:space="preserve">) that speakers can assert that p without saying that p, and (ii) that lying requires asserting </w:t>
      </w:r>
      <w:r w:rsidRPr="00801366">
        <w:rPr>
          <w:i/>
        </w:rPr>
        <w:t>and saying</w:t>
      </w:r>
      <w:r w:rsidRPr="00801366">
        <w:t xml:space="preserve"> something the speaker believes to be false. There is also disagreement about how (L2) should be phrased: most theorists hold that </w:t>
      </w:r>
      <w:r w:rsidRPr="00801366">
        <w:rPr>
          <w:i/>
          <w:iCs/>
        </w:rPr>
        <w:t>believed</w:t>
      </w:r>
      <w:r w:rsidRPr="00801366">
        <w:t xml:space="preserve"> falsity is sufficient for lying, but some theorists argue that lying requires </w:t>
      </w:r>
      <w:r w:rsidRPr="00801366">
        <w:rPr>
          <w:i/>
          <w:iCs/>
        </w:rPr>
        <w:t>actual</w:t>
      </w:r>
      <w:r w:rsidRPr="00801366">
        <w:t xml:space="preserve"> falsity; for an example of the latter view, see Thomas Carson, </w:t>
      </w:r>
      <w:r w:rsidRPr="00801366">
        <w:rPr>
          <w:i/>
        </w:rPr>
        <w:t>Lying and Deception: Theory and Practice</w:t>
      </w:r>
      <w:r w:rsidRPr="00801366">
        <w:t xml:space="preserve"> (Oxford: Oxford University Press, 2010), at pp. 15–17. Disagreements about an intention to deceive or the phrasing of (L2) are not of importance in this context. Whether lying requires saying will be discussed in Section </w:t>
      </w:r>
      <w:r w:rsidRPr="00801366">
        <w:rPr>
          <w:smallCaps/>
        </w:rPr>
        <w:t>iii</w:t>
      </w:r>
      <w:r w:rsidRPr="00801366">
        <w:t xml:space="preserve">. </w:t>
      </w:r>
    </w:p>
  </w:footnote>
  <w:footnote w:id="10">
    <w:p w14:paraId="7A3B2C45" w14:textId="2BC9D711" w:rsidR="001C0334" w:rsidRPr="00801366" w:rsidRDefault="001C0334" w:rsidP="00487742">
      <w:pPr>
        <w:pStyle w:val="FootnoteText"/>
      </w:pPr>
      <w:r w:rsidRPr="00801366">
        <w:rPr>
          <w:rStyle w:val="FootnoteReference"/>
        </w:rPr>
        <w:footnoteRef/>
      </w:r>
      <w:r w:rsidRPr="00801366">
        <w:t xml:space="preserve"> This label is used by Kent Bach and Robert M. Harnish, </w:t>
      </w:r>
      <w:r w:rsidRPr="00801366">
        <w:rPr>
          <w:i/>
          <w:iCs/>
        </w:rPr>
        <w:t xml:space="preserve">Linguistic Communication and Speech Acts </w:t>
      </w:r>
      <w:r w:rsidRPr="00801366">
        <w:t xml:space="preserve">(Cambridge: The MIT Press, 1979), at pp. 43–44, and Paul Grice, </w:t>
      </w:r>
      <w:r w:rsidRPr="00801366">
        <w:rPr>
          <w:i/>
        </w:rPr>
        <w:t>Studies in the Way of Words</w:t>
      </w:r>
      <w:r w:rsidRPr="00801366">
        <w:t xml:space="preserve">. (Cambridge: Harvard University Press, 1989), at. p. 368. </w:t>
      </w:r>
    </w:p>
  </w:footnote>
  <w:footnote w:id="11">
    <w:p w14:paraId="23B739EC" w14:textId="39C34F9E" w:rsidR="001C0334" w:rsidRPr="00801366" w:rsidRDefault="001C0334" w:rsidP="00487742">
      <w:pPr>
        <w:pStyle w:val="FootnoteText"/>
      </w:pPr>
      <w:r w:rsidRPr="00801366">
        <w:rPr>
          <w:rStyle w:val="FootnoteReference"/>
        </w:rPr>
        <w:footnoteRef/>
      </w:r>
      <w:r w:rsidRPr="00801366">
        <w:t xml:space="preserve"> One of the few theorists who disagree on this point is Jörg Meibauer, </w:t>
      </w:r>
      <w:r w:rsidRPr="00801366">
        <w:rPr>
          <w:i/>
          <w:iCs/>
        </w:rPr>
        <w:t>Lying at the Semantics-Pragmatics Interface</w:t>
      </w:r>
      <w:r w:rsidRPr="00801366">
        <w:t xml:space="preserve"> (Boston/Berlin: de Gruyter, 2014). Meibauer argues for a broad view of lying on which utterances that are standardly taken to be instances of mere misleading, such as (2), are counted as lies. </w:t>
      </w:r>
    </w:p>
  </w:footnote>
  <w:footnote w:id="12">
    <w:p w14:paraId="73DD30E4" w14:textId="5C13E173" w:rsidR="001C0334" w:rsidRPr="00801366" w:rsidRDefault="001C0334">
      <w:pPr>
        <w:pStyle w:val="FootnoteText"/>
      </w:pPr>
      <w:r w:rsidRPr="00801366">
        <w:rPr>
          <w:rStyle w:val="FootnoteReference"/>
        </w:rPr>
        <w:footnoteRef/>
      </w:r>
      <w:r w:rsidRPr="00801366">
        <w:t xml:space="preserve"> </w:t>
      </w:r>
      <w:r>
        <w:t xml:space="preserve">Cf. Felix Timmermann and Emanuel Viebahn, “To lie or to </w:t>
      </w:r>
      <w:proofErr w:type="gramStart"/>
      <w:r>
        <w:t>mislead?,</w:t>
      </w:r>
      <w:proofErr w:type="gramEnd"/>
      <w:r>
        <w:t xml:space="preserve">” </w:t>
      </w:r>
      <w:r>
        <w:rPr>
          <w:i/>
          <w:iCs/>
        </w:rPr>
        <w:t>Philosophical Studies</w:t>
      </w:r>
      <w:r>
        <w:t>, Online First (2020), at p. 4</w:t>
      </w:r>
      <w:r w:rsidRPr="00801366">
        <w:t>.</w:t>
      </w:r>
    </w:p>
  </w:footnote>
  <w:footnote w:id="13">
    <w:p w14:paraId="774B3BA8" w14:textId="60166878" w:rsidR="001C0334" w:rsidRPr="00801366" w:rsidRDefault="001C0334">
      <w:pPr>
        <w:pStyle w:val="FootnoteText"/>
      </w:pPr>
      <w:r w:rsidRPr="00801366">
        <w:rPr>
          <w:rStyle w:val="FootnoteReference"/>
        </w:rPr>
        <w:footnoteRef/>
      </w:r>
      <w:r w:rsidRPr="00801366">
        <w:t xml:space="preserve"> See </w:t>
      </w:r>
      <w:r w:rsidR="00D02234" w:rsidRPr="00801366">
        <w:t xml:space="preserve">Stokke, </w:t>
      </w:r>
      <w:r w:rsidR="00D02234" w:rsidRPr="00801366">
        <w:rPr>
          <w:i/>
        </w:rPr>
        <w:t>Lying and Insincerity</w:t>
      </w:r>
      <w:r w:rsidR="00D02234" w:rsidRPr="00801366">
        <w:t xml:space="preserve">, </w:t>
      </w:r>
      <w:r w:rsidR="00D02234" w:rsidRPr="00801366">
        <w:rPr>
          <w:i/>
          <w:iCs/>
        </w:rPr>
        <w:t>op. cit.</w:t>
      </w:r>
      <w:r w:rsidRPr="00801366">
        <w:t>,</w:t>
      </w:r>
      <w:r w:rsidR="00D02234">
        <w:t xml:space="preserve"> at</w:t>
      </w:r>
      <w:r w:rsidRPr="00801366">
        <w:t xml:space="preserve"> pp. 89–91, Viebahn, “Non-literal lies,” </w:t>
      </w:r>
      <w:r w:rsidRPr="00801366">
        <w:rPr>
          <w:i/>
          <w:iCs/>
        </w:rPr>
        <w:t>op. cit</w:t>
      </w:r>
      <w:r w:rsidRPr="00801366">
        <w:t>., p. 1370, and “Lying with Presuppositions,”</w:t>
      </w:r>
      <w:r w:rsidRPr="00801366">
        <w:rPr>
          <w:i/>
          <w:iCs/>
        </w:rPr>
        <w:t xml:space="preserve"> op. cit</w:t>
      </w:r>
      <w:r w:rsidRPr="00801366">
        <w:t xml:space="preserve">., p. 733, and Peter van </w:t>
      </w:r>
      <w:proofErr w:type="spellStart"/>
      <w:r w:rsidRPr="00801366">
        <w:t>Elswyk</w:t>
      </w:r>
      <w:proofErr w:type="spellEnd"/>
      <w:r w:rsidRPr="00801366">
        <w:t xml:space="preserve">, “Deceiving without answering,” </w:t>
      </w:r>
      <w:r w:rsidRPr="00801366">
        <w:rPr>
          <w:i/>
          <w:iCs/>
        </w:rPr>
        <w:t>Philosophical Studies</w:t>
      </w:r>
      <w:r w:rsidRPr="00801366">
        <w:t xml:space="preserve"> </w:t>
      </w:r>
      <w:r w:rsidRPr="00801366">
        <w:rPr>
          <w:smallCaps/>
        </w:rPr>
        <w:t>clxxvii, 5</w:t>
      </w:r>
      <w:r w:rsidRPr="00801366">
        <w:t xml:space="preserve"> (May 2020): 1157–1173. </w:t>
      </w:r>
    </w:p>
  </w:footnote>
  <w:footnote w:id="14">
    <w:p w14:paraId="47217049" w14:textId="240D9450" w:rsidR="001C0334" w:rsidRPr="00801366" w:rsidRDefault="001C0334" w:rsidP="00487742">
      <w:pPr>
        <w:pStyle w:val="FootnoteText"/>
      </w:pPr>
      <w:r w:rsidRPr="00801366">
        <w:rPr>
          <w:rStyle w:val="FootnoteReference"/>
        </w:rPr>
        <w:footnoteRef/>
      </w:r>
      <w:r w:rsidRPr="00801366">
        <w:t xml:space="preserve"> Note that the </w:t>
      </w:r>
      <w:r w:rsidRPr="00801366">
        <w:rPr>
          <w:i/>
          <w:iCs/>
        </w:rPr>
        <w:t>kind of accusation</w:t>
      </w:r>
      <w:r w:rsidRPr="00801366">
        <w:t xml:space="preserve"> matters for this test, which looks at responses to accusations of </w:t>
      </w:r>
      <w:r w:rsidRPr="00801366">
        <w:rPr>
          <w:i/>
          <w:iCs/>
        </w:rPr>
        <w:t>lying</w:t>
      </w:r>
      <w:r w:rsidRPr="00801366">
        <w:t xml:space="preserve">. If the doctor or </w:t>
      </w:r>
      <w:r>
        <w:t>Amy</w:t>
      </w:r>
      <w:r w:rsidRPr="00801366">
        <w:t xml:space="preserve"> were accused of </w:t>
      </w:r>
      <w:r w:rsidRPr="00801366">
        <w:rPr>
          <w:i/>
          <w:iCs/>
        </w:rPr>
        <w:t>being insincere</w:t>
      </w:r>
      <w:r w:rsidRPr="00801366">
        <w:t xml:space="preserve"> or of </w:t>
      </w:r>
      <w:r w:rsidRPr="00801366">
        <w:rPr>
          <w:i/>
          <w:iCs/>
        </w:rPr>
        <w:t>trying to deceive their addressee</w:t>
      </w:r>
      <w:r w:rsidRPr="00801366">
        <w:t xml:space="preserve">, neither of them could offer a consistent denial. </w:t>
      </w:r>
    </w:p>
  </w:footnote>
  <w:footnote w:id="15">
    <w:p w14:paraId="1E0FA948" w14:textId="2087038D" w:rsidR="001C0334" w:rsidRPr="00801366" w:rsidRDefault="001C0334">
      <w:pPr>
        <w:pStyle w:val="FootnoteText"/>
      </w:pPr>
      <w:r w:rsidRPr="00801366">
        <w:rPr>
          <w:rStyle w:val="FootnoteReference"/>
        </w:rPr>
        <w:footnoteRef/>
      </w:r>
      <w:r w:rsidRPr="00801366">
        <w:t xml:space="preserve"> See Fallis, “What Is Lying?,” </w:t>
      </w:r>
      <w:r w:rsidRPr="00801366">
        <w:rPr>
          <w:i/>
          <w:iCs/>
        </w:rPr>
        <w:t>op. cit.</w:t>
      </w:r>
      <w:r w:rsidRPr="00801366">
        <w:t xml:space="preserve">, Carson, </w:t>
      </w:r>
      <w:r w:rsidRPr="00801366">
        <w:rPr>
          <w:i/>
        </w:rPr>
        <w:t>Lying and Deception</w:t>
      </w:r>
      <w:r w:rsidRPr="00801366">
        <w:t xml:space="preserve">, </w:t>
      </w:r>
      <w:r w:rsidRPr="00801366">
        <w:rPr>
          <w:i/>
          <w:iCs/>
        </w:rPr>
        <w:t>op. cit.</w:t>
      </w:r>
      <w:r w:rsidRPr="00801366">
        <w:t xml:space="preserve">, chapter </w:t>
      </w:r>
      <w:proofErr w:type="spellStart"/>
      <w:r w:rsidRPr="00801366">
        <w:rPr>
          <w:smallCaps/>
        </w:rPr>
        <w:t>i</w:t>
      </w:r>
      <w:proofErr w:type="spellEnd"/>
      <w:r w:rsidRPr="00801366">
        <w:t xml:space="preserve">, Saul, </w:t>
      </w:r>
      <w:r w:rsidRPr="00801366">
        <w:rPr>
          <w:i/>
        </w:rPr>
        <w:t>Lying, Misleading, &amp; What is Said</w:t>
      </w:r>
      <w:r w:rsidRPr="00801366">
        <w:rPr>
          <w:i/>
          <w:iCs/>
        </w:rPr>
        <w:t>, op. cit.</w:t>
      </w:r>
      <w:r w:rsidRPr="00801366">
        <w:t xml:space="preserve">, chapter </w:t>
      </w:r>
      <w:proofErr w:type="spellStart"/>
      <w:r w:rsidRPr="00801366">
        <w:rPr>
          <w:smallCaps/>
        </w:rPr>
        <w:t>i</w:t>
      </w:r>
      <w:proofErr w:type="spellEnd"/>
      <w:r w:rsidRPr="00801366">
        <w:t xml:space="preserve">, Stokke, </w:t>
      </w:r>
      <w:r w:rsidRPr="00801366">
        <w:rPr>
          <w:i/>
        </w:rPr>
        <w:t>Lying and Insincerity</w:t>
      </w:r>
      <w:r w:rsidRPr="00801366">
        <w:t xml:space="preserve">, </w:t>
      </w:r>
      <w:r w:rsidRPr="00801366">
        <w:rPr>
          <w:i/>
          <w:iCs/>
        </w:rPr>
        <w:t>op. cit.</w:t>
      </w:r>
      <w:r w:rsidRPr="00801366">
        <w:t xml:space="preserve">, and García-Carpintero, “Sneaky Assertions,” </w:t>
      </w:r>
      <w:r w:rsidRPr="00801366">
        <w:rPr>
          <w:i/>
          <w:iCs/>
        </w:rPr>
        <w:t>op. cit.</w:t>
      </w:r>
      <w:r w:rsidRPr="00801366">
        <w:t>, amongst others.</w:t>
      </w:r>
    </w:p>
  </w:footnote>
  <w:footnote w:id="16">
    <w:p w14:paraId="3CBE5BE7" w14:textId="59D4AE2D" w:rsidR="001C0334" w:rsidRPr="00801366" w:rsidRDefault="001C0334">
      <w:pPr>
        <w:pStyle w:val="FootnoteText"/>
      </w:pPr>
      <w:r w:rsidRPr="00801366">
        <w:rPr>
          <w:rStyle w:val="FootnoteReference"/>
        </w:rPr>
        <w:footnoteRef/>
      </w:r>
      <w:r w:rsidRPr="00801366">
        <w:t xml:space="preserve"> See in particular Andreas Stokke, “Lying and Asserting,” this </w:t>
      </w:r>
      <w:r w:rsidRPr="00801366">
        <w:rPr>
          <w:smallCaps/>
        </w:rPr>
        <w:t>journal</w:t>
      </w:r>
      <w:r w:rsidRPr="00801366">
        <w:t xml:space="preserve">, </w:t>
      </w:r>
      <w:r w:rsidRPr="00801366">
        <w:rPr>
          <w:smallCaps/>
        </w:rPr>
        <w:t>cx</w:t>
      </w:r>
      <w:r w:rsidRPr="00801366">
        <w:t xml:space="preserve">, 1 (January 2013): 33–60, Stokke, “Lying and Misleading in Discourse,” </w:t>
      </w:r>
      <w:r w:rsidRPr="00801366">
        <w:rPr>
          <w:i/>
          <w:iCs/>
        </w:rPr>
        <w:t>op. cit.</w:t>
      </w:r>
      <w:r w:rsidRPr="00801366">
        <w:t xml:space="preserve">, and Stokke, </w:t>
      </w:r>
      <w:r w:rsidRPr="00801366">
        <w:rPr>
          <w:i/>
        </w:rPr>
        <w:t>Lying and Insincerity</w:t>
      </w:r>
      <w:r w:rsidRPr="00801366">
        <w:t xml:space="preserve">, </w:t>
      </w:r>
      <w:r w:rsidRPr="00801366">
        <w:rPr>
          <w:i/>
          <w:iCs/>
        </w:rPr>
        <w:t>op. cit.</w:t>
      </w:r>
    </w:p>
  </w:footnote>
  <w:footnote w:id="17">
    <w:p w14:paraId="3523D85A" w14:textId="3A1499F8" w:rsidR="001C0334" w:rsidRPr="00801366" w:rsidRDefault="001C0334">
      <w:pPr>
        <w:pStyle w:val="FootnoteText"/>
      </w:pPr>
      <w:r w:rsidRPr="00801366">
        <w:rPr>
          <w:rStyle w:val="FootnoteReference"/>
        </w:rPr>
        <w:footnoteRef/>
      </w:r>
      <w:r w:rsidRPr="00801366">
        <w:t xml:space="preserve"> </w:t>
      </w:r>
      <w:r w:rsidRPr="00801366">
        <w:rPr>
          <w:i/>
          <w:iCs/>
        </w:rPr>
        <w:t>Ibid</w:t>
      </w:r>
      <w:r w:rsidRPr="00801366">
        <w:t xml:space="preserve">., p. 31. </w:t>
      </w:r>
    </w:p>
  </w:footnote>
  <w:footnote w:id="18">
    <w:p w14:paraId="188A1D86" w14:textId="38BCE471" w:rsidR="001C0334" w:rsidRPr="00801366" w:rsidRDefault="001C0334">
      <w:pPr>
        <w:pStyle w:val="FootnoteText"/>
      </w:pPr>
      <w:r w:rsidRPr="00801366">
        <w:rPr>
          <w:rStyle w:val="FootnoteReference"/>
        </w:rPr>
        <w:footnoteRef/>
      </w:r>
      <w:r w:rsidRPr="00801366">
        <w:t xml:space="preserve"> William Alston, </w:t>
      </w:r>
      <w:r w:rsidRPr="00801366">
        <w:rPr>
          <w:i/>
          <w:iCs/>
        </w:rPr>
        <w:t>Illocutionary acts and sentence meaning</w:t>
      </w:r>
      <w:r w:rsidRPr="00801366">
        <w:t xml:space="preserve"> (Ithaca, NY: Cornell University Press, 2000), at p. 120. </w:t>
      </w:r>
    </w:p>
  </w:footnote>
  <w:footnote w:id="19">
    <w:p w14:paraId="460AFCBA" w14:textId="66B4EEBA" w:rsidR="001C0334" w:rsidRPr="00801366" w:rsidRDefault="001C0334">
      <w:pPr>
        <w:pStyle w:val="FootnoteText"/>
      </w:pPr>
      <w:r w:rsidRPr="00801366">
        <w:rPr>
          <w:rStyle w:val="FootnoteReference"/>
        </w:rPr>
        <w:footnoteRef/>
      </w:r>
      <w:r w:rsidRPr="00801366">
        <w:t xml:space="preserve"> Robert Stalnaker, “Assertion” and “On the Representation of Context,” in </w:t>
      </w:r>
      <w:r w:rsidRPr="00801366">
        <w:rPr>
          <w:i/>
          <w:iCs/>
        </w:rPr>
        <w:t>Context and Content: Essays on Intentionality in Speech and Thought</w:t>
      </w:r>
      <w:r w:rsidRPr="00801366">
        <w:t xml:space="preserve"> (New York: Oxford University Press, 1999), pp. 78–95 and 96–114. </w:t>
      </w:r>
    </w:p>
  </w:footnote>
  <w:footnote w:id="20">
    <w:p w14:paraId="7645C538" w14:textId="6BB0C9B9" w:rsidR="001C0334" w:rsidRPr="00801366" w:rsidRDefault="001C0334">
      <w:pPr>
        <w:pStyle w:val="FootnoteText"/>
      </w:pPr>
      <w:r w:rsidRPr="00801366">
        <w:rPr>
          <w:rStyle w:val="FootnoteReference"/>
        </w:rPr>
        <w:footnoteRef/>
      </w:r>
      <w:r w:rsidRPr="00801366">
        <w:t xml:space="preserve"> Stokke, </w:t>
      </w:r>
      <w:r w:rsidRPr="00801366">
        <w:rPr>
          <w:i/>
        </w:rPr>
        <w:t>Lying and Insincerity</w:t>
      </w:r>
      <w:r w:rsidRPr="00801366">
        <w:t xml:space="preserve">, </w:t>
      </w:r>
      <w:r w:rsidRPr="00801366">
        <w:rPr>
          <w:i/>
          <w:iCs/>
        </w:rPr>
        <w:t>op. cit.</w:t>
      </w:r>
      <w:r w:rsidRPr="00801366">
        <w:t xml:space="preserve">, p. 31. </w:t>
      </w:r>
    </w:p>
  </w:footnote>
  <w:footnote w:id="21">
    <w:p w14:paraId="6526D578" w14:textId="21A9FC4A" w:rsidR="001C0334" w:rsidRPr="00801366" w:rsidRDefault="001C0334">
      <w:pPr>
        <w:pStyle w:val="FootnoteText"/>
      </w:pPr>
      <w:r w:rsidRPr="00801366">
        <w:rPr>
          <w:rStyle w:val="FootnoteReference"/>
        </w:rPr>
        <w:footnoteRef/>
      </w:r>
      <w:r w:rsidRPr="00801366">
        <w:t xml:space="preserve"> </w:t>
      </w:r>
      <w:r w:rsidRPr="00801366">
        <w:rPr>
          <w:i/>
          <w:iCs/>
        </w:rPr>
        <w:t>Ibid</w:t>
      </w:r>
      <w:r w:rsidRPr="00801366">
        <w:t>., p. 81.</w:t>
      </w:r>
    </w:p>
  </w:footnote>
  <w:footnote w:id="22">
    <w:p w14:paraId="46C2202A" w14:textId="12E3128C" w:rsidR="001C0334" w:rsidRPr="00801366" w:rsidRDefault="001C0334" w:rsidP="00487742">
      <w:pPr>
        <w:pStyle w:val="FootnoteText"/>
      </w:pPr>
      <w:r w:rsidRPr="00801366">
        <w:rPr>
          <w:rStyle w:val="FootnoteReference"/>
        </w:rPr>
        <w:footnoteRef/>
      </w:r>
      <w:r w:rsidRPr="00801366">
        <w:t xml:space="preserve"> Stokke’s view on what is said</w:t>
      </w:r>
      <w:r>
        <w:t xml:space="preserve"> is laid out in</w:t>
      </w:r>
      <w:r w:rsidRPr="00801366">
        <w:t xml:space="preserve"> Anders </w:t>
      </w:r>
      <w:proofErr w:type="spellStart"/>
      <w:r w:rsidRPr="00801366">
        <w:t>Schoubye</w:t>
      </w:r>
      <w:proofErr w:type="spellEnd"/>
      <w:r w:rsidRPr="00801366">
        <w:t xml:space="preserve"> and Andreas Stokke, “What is said,” </w:t>
      </w:r>
      <w:r w:rsidRPr="00801366">
        <w:rPr>
          <w:i/>
          <w:iCs/>
        </w:rPr>
        <w:t>Noûs</w:t>
      </w:r>
      <w:r>
        <w:t>,</w:t>
      </w:r>
      <w:r w:rsidRPr="00801366">
        <w:t xml:space="preserve"> </w:t>
      </w:r>
      <w:r w:rsidRPr="00801366">
        <w:rPr>
          <w:smallCaps/>
        </w:rPr>
        <w:t>l</w:t>
      </w:r>
      <w:r w:rsidRPr="00801366">
        <w:t xml:space="preserve">, 5 (December 2016): 759–793. On the QUD-framework, see Roberts, “Context in Dynamic Interpretation,” </w:t>
      </w:r>
      <w:r w:rsidRPr="00801366">
        <w:rPr>
          <w:i/>
          <w:iCs/>
        </w:rPr>
        <w:t>op. cit</w:t>
      </w:r>
      <w:r w:rsidRPr="00801366">
        <w:t xml:space="preserve">., and “Information Structure in Discourse: Towards an Integrated Formal Theory of Pragmatics,” </w:t>
      </w:r>
      <w:r w:rsidRPr="00801366">
        <w:rPr>
          <w:i/>
          <w:iCs/>
        </w:rPr>
        <w:t>op. cit</w:t>
      </w:r>
      <w:r w:rsidRPr="00801366">
        <w:t>.</w:t>
      </w:r>
    </w:p>
  </w:footnote>
  <w:footnote w:id="23">
    <w:p w14:paraId="13C900C2" w14:textId="762EB152" w:rsidR="001C0334" w:rsidRPr="00801366" w:rsidRDefault="001C0334" w:rsidP="00487742">
      <w:pPr>
        <w:pStyle w:val="FootnoteText"/>
      </w:pPr>
      <w:r w:rsidRPr="00801366">
        <w:rPr>
          <w:rStyle w:val="FootnoteReference"/>
        </w:rPr>
        <w:footnoteRef/>
      </w:r>
      <w:r w:rsidRPr="00801366">
        <w:t xml:space="preserve"> Don Fallis, Review of </w:t>
      </w:r>
      <w:r w:rsidRPr="00801366">
        <w:rPr>
          <w:i/>
          <w:iCs/>
        </w:rPr>
        <w:t>Lying, Misleading, and What Is Said</w:t>
      </w:r>
      <w:r w:rsidRPr="00801366">
        <w:t xml:space="preserve"> by Jennifer Mather Saul, </w:t>
      </w:r>
      <w:r w:rsidRPr="00801366">
        <w:rPr>
          <w:i/>
          <w:iCs/>
        </w:rPr>
        <w:t>European Journal of Philosophy</w:t>
      </w:r>
      <w:r w:rsidRPr="00801366">
        <w:t xml:space="preserve"> </w:t>
      </w:r>
      <w:r w:rsidRPr="00801366">
        <w:rPr>
          <w:smallCaps/>
        </w:rPr>
        <w:t>xxii</w:t>
      </w:r>
      <w:r w:rsidRPr="00801366">
        <w:t xml:space="preserve">, S1 (March 2014): e17–e22, and Viebahn, “Non-literal lies,” </w:t>
      </w:r>
      <w:r w:rsidRPr="00801366">
        <w:rPr>
          <w:i/>
          <w:iCs/>
        </w:rPr>
        <w:t>op. cit</w:t>
      </w:r>
      <w:r w:rsidRPr="00801366">
        <w:t xml:space="preserve">. For further support of the possibility of non-literal lies, see David Simpson, “Lying, liars and language,” </w:t>
      </w:r>
      <w:r w:rsidRPr="00801366">
        <w:rPr>
          <w:i/>
          <w:iCs/>
        </w:rPr>
        <w:t>Philosophy and Phenomenological Research</w:t>
      </w:r>
      <w:r w:rsidRPr="00801366">
        <w:t xml:space="preserve"> </w:t>
      </w:r>
      <w:r w:rsidRPr="00801366">
        <w:rPr>
          <w:smallCaps/>
        </w:rPr>
        <w:t>lii</w:t>
      </w:r>
      <w:r w:rsidRPr="00801366">
        <w:t xml:space="preserve">, 3 (September 1992): 623–639, and Marta </w:t>
      </w:r>
      <w:proofErr w:type="spellStart"/>
      <w:r w:rsidRPr="00801366">
        <w:t>Dynel</w:t>
      </w:r>
      <w:proofErr w:type="spellEnd"/>
      <w:r w:rsidRPr="00801366">
        <w:t xml:space="preserve">, “Comparing and combining covert and overt untruthfulness: on lying, deception, irony and metaphor,” </w:t>
      </w:r>
      <w:r w:rsidRPr="00801366">
        <w:rPr>
          <w:i/>
          <w:iCs/>
        </w:rPr>
        <w:t>Pragmatics &amp; Cognition</w:t>
      </w:r>
      <w:r w:rsidRPr="00801366">
        <w:t xml:space="preserve"> </w:t>
      </w:r>
      <w:r w:rsidRPr="00801366">
        <w:rPr>
          <w:smallCaps/>
        </w:rPr>
        <w:t>xxiii</w:t>
      </w:r>
      <w:r w:rsidRPr="00801366">
        <w:t xml:space="preserve">, 1 (January 2016): 174–208. Saul, </w:t>
      </w:r>
      <w:r w:rsidRPr="00801366">
        <w:rPr>
          <w:i/>
        </w:rPr>
        <w:t>Lying, Misleading, &amp; What is Said</w:t>
      </w:r>
      <w:r w:rsidRPr="00801366">
        <w:rPr>
          <w:i/>
          <w:iCs/>
        </w:rPr>
        <w:t>, op. cit.</w:t>
      </w:r>
      <w:r w:rsidRPr="00801366">
        <w:t xml:space="preserve">, at p. 19, leaves open the possibility of non-literal lies by restricting the scope of her definition to literal speech. </w:t>
      </w:r>
    </w:p>
  </w:footnote>
  <w:footnote w:id="24">
    <w:p w14:paraId="71E98549" w14:textId="534445B7" w:rsidR="001C0334" w:rsidRPr="00801366" w:rsidRDefault="001C0334">
      <w:pPr>
        <w:pStyle w:val="FootnoteText"/>
      </w:pPr>
      <w:r w:rsidRPr="00801366">
        <w:rPr>
          <w:rStyle w:val="FootnoteReference"/>
        </w:rPr>
        <w:footnoteRef/>
      </w:r>
      <w:r w:rsidRPr="00801366">
        <w:t xml:space="preserve"> Viebahn, “Non-literal lies,” </w:t>
      </w:r>
      <w:r w:rsidRPr="00801366">
        <w:rPr>
          <w:i/>
          <w:iCs/>
        </w:rPr>
        <w:t>op. cit</w:t>
      </w:r>
      <w:r w:rsidRPr="00801366">
        <w:t xml:space="preserve">., pp. 1368–1375. </w:t>
      </w:r>
    </w:p>
  </w:footnote>
  <w:footnote w:id="25">
    <w:p w14:paraId="20812DDA" w14:textId="4CE846A9" w:rsidR="001C0334" w:rsidRPr="00801366" w:rsidRDefault="001C0334" w:rsidP="00487742">
      <w:pPr>
        <w:pStyle w:val="FootnoteText"/>
      </w:pPr>
      <w:r w:rsidRPr="00801366">
        <w:rPr>
          <w:rStyle w:val="FootnoteReference"/>
        </w:rPr>
        <w:footnoteRef/>
      </w:r>
      <w:r w:rsidRPr="00801366">
        <w:t xml:space="preserve"> This example is </w:t>
      </w:r>
      <w:r>
        <w:t>discussed in</w:t>
      </w:r>
      <w:r w:rsidRPr="00801366">
        <w:t xml:space="preserve"> Saul, </w:t>
      </w:r>
      <w:r w:rsidRPr="00801366">
        <w:rPr>
          <w:i/>
        </w:rPr>
        <w:t>Lying, Misleading, &amp; What is Said</w:t>
      </w:r>
      <w:r w:rsidRPr="00801366">
        <w:rPr>
          <w:i/>
          <w:iCs/>
        </w:rPr>
        <w:t>, op. cit.</w:t>
      </w:r>
      <w:r w:rsidRPr="00801366">
        <w:t xml:space="preserve">, p. 16. García-Carpintero, “Sneaky Assertions,” </w:t>
      </w:r>
      <w:r w:rsidRPr="00801366">
        <w:rPr>
          <w:i/>
          <w:iCs/>
        </w:rPr>
        <w:t>op. cit.</w:t>
      </w:r>
      <w:r w:rsidRPr="00801366">
        <w:t xml:space="preserve">, at p. 208, remarks that this particular metaphor is </w:t>
      </w:r>
      <w:r>
        <w:t>“</w:t>
      </w:r>
      <w:r w:rsidRPr="00801366">
        <w:t>pretty dead</w:t>
      </w:r>
      <w:r>
        <w:t>”</w:t>
      </w:r>
      <w:r w:rsidRPr="00801366">
        <w:t xml:space="preserve">. But there are plenty of living metaphors that Ada could have used instead, such as </w:t>
      </w:r>
      <w:r>
        <w:t>“</w:t>
      </w:r>
      <w:r w:rsidRPr="00801366">
        <w:t>I hit the tomato jackpot</w:t>
      </w:r>
      <w:r>
        <w:t>”</w:t>
      </w:r>
      <w:r w:rsidRPr="00801366">
        <w:t xml:space="preserve"> or </w:t>
      </w:r>
      <w:r>
        <w:t>“</w:t>
      </w:r>
      <w:r w:rsidRPr="00801366">
        <w:t>The tomato-god was watching my garden</w:t>
      </w:r>
      <w:r>
        <w:t>”</w:t>
      </w:r>
      <w:r w:rsidRPr="00801366">
        <w:t xml:space="preserve">. </w:t>
      </w:r>
    </w:p>
  </w:footnote>
  <w:footnote w:id="26">
    <w:p w14:paraId="6349E926" w14:textId="679760DE" w:rsidR="001C0334" w:rsidRPr="00801366" w:rsidRDefault="001C0334" w:rsidP="00487742">
      <w:pPr>
        <w:pStyle w:val="FootnoteText"/>
      </w:pPr>
      <w:r w:rsidRPr="00801366">
        <w:rPr>
          <w:rStyle w:val="FootnoteReference"/>
        </w:rPr>
        <w:footnoteRef/>
      </w:r>
      <w:r w:rsidRPr="00801366">
        <w:t xml:space="preserve"> An anonymous reviewer noted that the impossibility of a consistent denial is less clear in the third of these examples. I think there may be versions of the example in which Greta could offer a consistent denial, but that a denial appears to be inconsistent if she makes her use of irony obvious, </w:t>
      </w:r>
      <w:r w:rsidR="00774B4B">
        <w:t>for instance</w:t>
      </w:r>
      <w:r w:rsidRPr="00801366">
        <w:t xml:space="preserve"> through winking or rolling her eyes. </w:t>
      </w:r>
    </w:p>
  </w:footnote>
  <w:footnote w:id="27">
    <w:p w14:paraId="70FA0B7E" w14:textId="12D1491E" w:rsidR="001C0334" w:rsidRPr="00801366" w:rsidRDefault="001C0334" w:rsidP="00487742">
      <w:pPr>
        <w:pStyle w:val="FootnoteText"/>
      </w:pPr>
      <w:r w:rsidRPr="00801366">
        <w:rPr>
          <w:rStyle w:val="FootnoteReference"/>
        </w:rPr>
        <w:footnoteRef/>
      </w:r>
      <w:r w:rsidRPr="00801366">
        <w:t xml:space="preserve"> Viebahn, “Lying with Presuppositions,” </w:t>
      </w:r>
      <w:r w:rsidRPr="00801366">
        <w:rPr>
          <w:i/>
          <w:iCs/>
        </w:rPr>
        <w:t>op. cit</w:t>
      </w:r>
      <w:r w:rsidRPr="00801366">
        <w:t xml:space="preserve">. Meibauer, </w:t>
      </w:r>
      <w:proofErr w:type="gramStart"/>
      <w:r w:rsidRPr="00801366">
        <w:rPr>
          <w:i/>
          <w:iCs/>
        </w:rPr>
        <w:t>Lying</w:t>
      </w:r>
      <w:proofErr w:type="gramEnd"/>
      <w:r w:rsidRPr="00801366">
        <w:rPr>
          <w:i/>
          <w:iCs/>
        </w:rPr>
        <w:t xml:space="preserve"> at the Semantics-Pragmatics Interface</w:t>
      </w:r>
      <w:r w:rsidRPr="00801366">
        <w:t xml:space="preserve">, </w:t>
      </w:r>
      <w:r w:rsidRPr="00801366">
        <w:rPr>
          <w:i/>
          <w:iCs/>
        </w:rPr>
        <w:t>op. cit</w:t>
      </w:r>
      <w:r w:rsidRPr="00801366">
        <w:t xml:space="preserve">., pp. 137–140, also argues in favour of the possibility of lying with presuppositions. As mentioned above, Meibauer accepts a very broad view of lying, so his verdict may differ for a notion of lying that contrasts with misleading. </w:t>
      </w:r>
    </w:p>
  </w:footnote>
  <w:footnote w:id="28">
    <w:p w14:paraId="45FB9BEA" w14:textId="35BDE2FF" w:rsidR="001C0334" w:rsidRPr="00801366" w:rsidRDefault="001C0334" w:rsidP="00487742">
      <w:pPr>
        <w:pStyle w:val="FootnoteText"/>
      </w:pPr>
      <w:r w:rsidRPr="00801366">
        <w:rPr>
          <w:rStyle w:val="FootnoteReference"/>
        </w:rPr>
        <w:footnoteRef/>
      </w:r>
      <w:r w:rsidRPr="00801366">
        <w:t xml:space="preserve"> In Viebahn, “Lying with Presuppositions,” </w:t>
      </w:r>
      <w:r w:rsidRPr="00801366">
        <w:rPr>
          <w:i/>
          <w:iCs/>
        </w:rPr>
        <w:t>op. cit.</w:t>
      </w:r>
      <w:r w:rsidRPr="00801366">
        <w:t>,</w:t>
      </w:r>
      <w:r w:rsidRPr="00801366">
        <w:rPr>
          <w:i/>
          <w:iCs/>
        </w:rPr>
        <w:t xml:space="preserve"> </w:t>
      </w:r>
      <w:r w:rsidRPr="00801366">
        <w:t xml:space="preserve">I discuss presuppositional lies featuring various different presupposition triggers, including the possessive </w:t>
      </w:r>
      <w:r w:rsidR="00197EE6">
        <w:t>‘</w:t>
      </w:r>
      <w:r w:rsidRPr="00801366">
        <w:t>my</w:t>
      </w:r>
      <w:r w:rsidR="00197EE6">
        <w:t>’</w:t>
      </w:r>
      <w:r w:rsidR="00D02234">
        <w:t>,</w:t>
      </w:r>
      <w:r w:rsidRPr="00801366">
        <w:t xml:space="preserve"> the additive particle </w:t>
      </w:r>
      <w:r w:rsidR="00197EE6">
        <w:t>‘</w:t>
      </w:r>
      <w:r w:rsidRPr="00801366">
        <w:t>again</w:t>
      </w:r>
      <w:r w:rsidR="00197EE6">
        <w:t>’</w:t>
      </w:r>
      <w:r w:rsidR="00D02234">
        <w:t>,</w:t>
      </w:r>
      <w:r w:rsidRPr="00801366">
        <w:t xml:space="preserve"> and the gendered pronoun </w:t>
      </w:r>
      <w:r w:rsidR="00197EE6">
        <w:t>‘</w:t>
      </w:r>
      <w:r w:rsidRPr="00801366">
        <w:t>her</w:t>
      </w:r>
      <w:r w:rsidR="00197EE6">
        <w:t>’</w:t>
      </w:r>
      <w:r w:rsidR="00D02234">
        <w:t>,</w:t>
      </w:r>
      <w:r w:rsidRPr="00801366">
        <w:t xml:space="preserve"> so the possibility of presuppositional lies is not tied to a particular view of </w:t>
      </w:r>
      <w:r w:rsidR="00197EE6">
        <w:t>‘</w:t>
      </w:r>
      <w:r w:rsidRPr="00801366">
        <w:t>know</w:t>
      </w:r>
      <w:r w:rsidR="00197EE6">
        <w:t>’</w:t>
      </w:r>
      <w:r w:rsidRPr="00801366">
        <w:t xml:space="preserve">. </w:t>
      </w:r>
    </w:p>
  </w:footnote>
  <w:footnote w:id="29">
    <w:p w14:paraId="58A59AB5" w14:textId="1E31BBAF" w:rsidR="001C0334" w:rsidRPr="00801366" w:rsidRDefault="001C0334" w:rsidP="00487742">
      <w:pPr>
        <w:pStyle w:val="FootnoteText"/>
      </w:pPr>
      <w:r w:rsidRPr="00801366">
        <w:rPr>
          <w:rStyle w:val="FootnoteReference"/>
        </w:rPr>
        <w:footnoteRef/>
      </w:r>
      <w:r w:rsidRPr="00801366">
        <w:t xml:space="preserve"> Richard Holton, “Lying About,” this </w:t>
      </w:r>
      <w:r w:rsidRPr="00801366">
        <w:rPr>
          <w:smallCaps/>
        </w:rPr>
        <w:t>journal</w:t>
      </w:r>
      <w:r w:rsidRPr="00801366">
        <w:t xml:space="preserve">, </w:t>
      </w:r>
      <w:r w:rsidRPr="00801366">
        <w:rPr>
          <w:smallCaps/>
        </w:rPr>
        <w:t>cxvi</w:t>
      </w:r>
      <w:r w:rsidRPr="00801366">
        <w:t xml:space="preserve">, 2 (February 2019): 99–105, rightly points out that we usually say that someone has lied </w:t>
      </w:r>
      <w:r w:rsidRPr="00801366">
        <w:rPr>
          <w:i/>
          <w:iCs/>
        </w:rPr>
        <w:t>about</w:t>
      </w:r>
      <w:r w:rsidRPr="00801366">
        <w:t xml:space="preserve"> p, not that they have lied </w:t>
      </w:r>
      <w:r w:rsidRPr="00801366">
        <w:rPr>
          <w:i/>
          <w:iCs/>
        </w:rPr>
        <w:t>that</w:t>
      </w:r>
      <w:r w:rsidRPr="00801366">
        <w:t xml:space="preserve"> p. </w:t>
      </w:r>
    </w:p>
  </w:footnote>
  <w:footnote w:id="30">
    <w:p w14:paraId="32695E09" w14:textId="33165075" w:rsidR="001C0334" w:rsidRPr="00801366" w:rsidRDefault="001C0334">
      <w:pPr>
        <w:pStyle w:val="FootnoteText"/>
      </w:pPr>
      <w:r w:rsidRPr="00801366">
        <w:rPr>
          <w:rStyle w:val="FootnoteReference"/>
        </w:rPr>
        <w:footnoteRef/>
      </w:r>
      <w:r w:rsidRPr="00801366">
        <w:t xml:space="preserve"> Carson, “The Definition of Lying,” </w:t>
      </w:r>
      <w:r w:rsidRPr="00801366">
        <w:rPr>
          <w:i/>
          <w:iCs/>
        </w:rPr>
        <w:t>op. cit</w:t>
      </w:r>
      <w:r w:rsidRPr="00801366">
        <w:t>., and</w:t>
      </w:r>
      <w:r w:rsidRPr="00801366">
        <w:rPr>
          <w:i/>
        </w:rPr>
        <w:t xml:space="preserve"> Lying and Deception: Theory and Practice</w:t>
      </w:r>
      <w:r w:rsidRPr="00801366">
        <w:t xml:space="preserve">, </w:t>
      </w:r>
      <w:r w:rsidRPr="00801366">
        <w:rPr>
          <w:i/>
          <w:iCs/>
        </w:rPr>
        <w:t>op. cit.</w:t>
      </w:r>
      <w:r w:rsidRPr="00801366">
        <w:t xml:space="preserve">, chapter </w:t>
      </w:r>
      <w:proofErr w:type="spellStart"/>
      <w:r w:rsidRPr="00801366">
        <w:rPr>
          <w:smallCaps/>
        </w:rPr>
        <w:t>i</w:t>
      </w:r>
      <w:proofErr w:type="spellEnd"/>
      <w:r w:rsidRPr="00801366">
        <w:t xml:space="preserve">. </w:t>
      </w:r>
    </w:p>
  </w:footnote>
  <w:footnote w:id="31">
    <w:p w14:paraId="2F3E9B78" w14:textId="7FC96F86" w:rsidR="001C0334" w:rsidRPr="00801366" w:rsidRDefault="001C0334" w:rsidP="00487742">
      <w:pPr>
        <w:pStyle w:val="FootnoteText"/>
      </w:pPr>
      <w:r w:rsidRPr="00801366">
        <w:rPr>
          <w:rStyle w:val="FootnoteReference"/>
        </w:rPr>
        <w:footnoteRef/>
      </w:r>
      <w:r w:rsidRPr="00801366">
        <w:t xml:space="preserve"> </w:t>
      </w:r>
      <w:r w:rsidRPr="00801366">
        <w:rPr>
          <w:i/>
          <w:iCs/>
        </w:rPr>
        <w:t>Ibid</w:t>
      </w:r>
      <w:r w:rsidRPr="00801366">
        <w:t xml:space="preserve">., p. 39. I have slightly rephrased Carson’s definition to make it structurally similar to the other definitions discussed in this paper. A definition similar in spirit is defended by Saul, </w:t>
      </w:r>
      <w:r w:rsidRPr="00801366">
        <w:rPr>
          <w:i/>
        </w:rPr>
        <w:t>Lying, Misleading, &amp; What is Said</w:t>
      </w:r>
      <w:r w:rsidRPr="00801366">
        <w:rPr>
          <w:i/>
          <w:iCs/>
        </w:rPr>
        <w:t>, op. cit.</w:t>
      </w:r>
      <w:r w:rsidRPr="00801366">
        <w:t xml:space="preserve">, p. 19. When it comes to the notion of warranting, Saul follows in Carson’s tracks, which is why </w:t>
      </w:r>
      <w:r w:rsidR="00DD4A9E">
        <w:t>I will only consider</w:t>
      </w:r>
      <w:r w:rsidRPr="00801366">
        <w:t xml:space="preserve"> Carson’s approach in this section. </w:t>
      </w:r>
    </w:p>
  </w:footnote>
  <w:footnote w:id="32">
    <w:p w14:paraId="0B78986D" w14:textId="41ADEA28" w:rsidR="001C0334" w:rsidRPr="00801366" w:rsidRDefault="001C0334">
      <w:pPr>
        <w:pStyle w:val="FootnoteText"/>
      </w:pPr>
      <w:r w:rsidRPr="00801366">
        <w:rPr>
          <w:rStyle w:val="FootnoteReference"/>
        </w:rPr>
        <w:footnoteRef/>
      </w:r>
      <w:r w:rsidRPr="00801366">
        <w:t xml:space="preserve"> </w:t>
      </w:r>
      <w:r w:rsidRPr="00801366">
        <w:rPr>
          <w:i/>
          <w:iCs/>
        </w:rPr>
        <w:t>Ibid</w:t>
      </w:r>
      <w:r w:rsidRPr="00801366">
        <w:t xml:space="preserve">., p. 3. </w:t>
      </w:r>
    </w:p>
  </w:footnote>
  <w:footnote w:id="33">
    <w:p w14:paraId="2BB9468F" w14:textId="441E96B0" w:rsidR="001C0334" w:rsidRPr="00801366" w:rsidRDefault="001C0334">
      <w:pPr>
        <w:pStyle w:val="FootnoteText"/>
      </w:pPr>
      <w:r w:rsidRPr="00801366">
        <w:rPr>
          <w:rStyle w:val="FootnoteReference"/>
        </w:rPr>
        <w:footnoteRef/>
      </w:r>
      <w:r w:rsidRPr="00801366">
        <w:t xml:space="preserve"> Carson, “The Definition of Lying,” </w:t>
      </w:r>
      <w:r w:rsidRPr="00801366">
        <w:rPr>
          <w:i/>
          <w:iCs/>
        </w:rPr>
        <w:t>op. cit</w:t>
      </w:r>
      <w:r w:rsidRPr="00801366">
        <w:t xml:space="preserve">., p. 287. </w:t>
      </w:r>
    </w:p>
  </w:footnote>
  <w:footnote w:id="34">
    <w:p w14:paraId="3A14B149" w14:textId="2ED0CCAE" w:rsidR="001C0334" w:rsidRPr="00801366" w:rsidRDefault="001C0334">
      <w:pPr>
        <w:pStyle w:val="FootnoteText"/>
      </w:pPr>
      <w:r w:rsidRPr="00801366">
        <w:rPr>
          <w:rStyle w:val="FootnoteReference"/>
        </w:rPr>
        <w:footnoteRef/>
      </w:r>
      <w:r w:rsidRPr="00801366">
        <w:t xml:space="preserve"> </w:t>
      </w:r>
      <w:r w:rsidRPr="00801366">
        <w:rPr>
          <w:i/>
          <w:iCs/>
        </w:rPr>
        <w:t>Ibid</w:t>
      </w:r>
      <w:r w:rsidRPr="00801366">
        <w:t>., p. 293.</w:t>
      </w:r>
    </w:p>
  </w:footnote>
  <w:footnote w:id="35">
    <w:p w14:paraId="6F6AFFEB" w14:textId="1850CDD7" w:rsidR="001C0334" w:rsidRPr="00801366" w:rsidRDefault="001C0334">
      <w:pPr>
        <w:pStyle w:val="FootnoteText"/>
      </w:pPr>
      <w:r w:rsidRPr="00801366">
        <w:rPr>
          <w:rStyle w:val="FootnoteReference"/>
        </w:rPr>
        <w:footnoteRef/>
      </w:r>
      <w:r w:rsidRPr="00801366">
        <w:t xml:space="preserve"> </w:t>
      </w:r>
      <w:r w:rsidRPr="00801366">
        <w:rPr>
          <w:i/>
          <w:iCs/>
        </w:rPr>
        <w:t>Ibid</w:t>
      </w:r>
      <w:r w:rsidRPr="00801366">
        <w:t>., p. 294.</w:t>
      </w:r>
    </w:p>
  </w:footnote>
  <w:footnote w:id="36">
    <w:p w14:paraId="7DE8A2E8" w14:textId="454CC73A" w:rsidR="00F063A6" w:rsidRPr="00BC0682" w:rsidRDefault="00F063A6" w:rsidP="00F063A6">
      <w:pPr>
        <w:pStyle w:val="FootnoteText"/>
      </w:pPr>
      <w:r>
        <w:rPr>
          <w:rStyle w:val="FootnoteReference"/>
        </w:rPr>
        <w:footnoteRef/>
      </w:r>
      <w:r>
        <w:t xml:space="preserve"> </w:t>
      </w:r>
      <w:r w:rsidR="00BC0682">
        <w:t xml:space="preserve">In previous work, I </w:t>
      </w:r>
      <w:r w:rsidR="00DD4A9E">
        <w:t xml:space="preserve">have </w:t>
      </w:r>
      <w:r w:rsidR="00BC0682">
        <w:t>pointed to and briefly commented on the commitment-based approach, see V</w:t>
      </w:r>
      <w:r>
        <w:t xml:space="preserve">iebahn, “Lying with Presuppositions,” </w:t>
      </w:r>
      <w:r w:rsidR="00BC0682">
        <w:rPr>
          <w:i/>
          <w:iCs/>
        </w:rPr>
        <w:t>op. cit.</w:t>
      </w:r>
      <w:r w:rsidR="00BC0682">
        <w:t xml:space="preserve">, “Lying with Pictures,” </w:t>
      </w:r>
      <w:r w:rsidR="00BC0682" w:rsidRPr="007057C1">
        <w:rPr>
          <w:i/>
          <w:iCs/>
        </w:rPr>
        <w:t>The British Journal of Aesthetics</w:t>
      </w:r>
      <w:r w:rsidR="00BC0682" w:rsidRPr="007057C1">
        <w:t xml:space="preserve">, </w:t>
      </w:r>
      <w:r w:rsidR="00BC0682" w:rsidRPr="007057C1">
        <w:rPr>
          <w:smallCaps/>
        </w:rPr>
        <w:t>lix</w:t>
      </w:r>
      <w:r w:rsidR="00BC0682" w:rsidRPr="007057C1">
        <w:t xml:space="preserve">, 3 </w:t>
      </w:r>
      <w:r w:rsidR="00BC0682">
        <w:t>(</w:t>
      </w:r>
      <w:r w:rsidR="00BC0682" w:rsidRPr="007057C1">
        <w:t>July 2019</w:t>
      </w:r>
      <w:r w:rsidR="00BC0682">
        <w:t>):</w:t>
      </w:r>
      <w:r w:rsidR="00BC0682" w:rsidRPr="007057C1">
        <w:t xml:space="preserve"> 243–257</w:t>
      </w:r>
      <w:r w:rsidR="00BC0682">
        <w:t xml:space="preserve">, and Timmermann and Viebahn, “To lie or to mislead?,” </w:t>
      </w:r>
      <w:r w:rsidR="00BC0682">
        <w:rPr>
          <w:i/>
          <w:iCs/>
        </w:rPr>
        <w:t>op. cit</w:t>
      </w:r>
      <w:r w:rsidR="00BC0682">
        <w:t xml:space="preserve">. The aim of the current section is to spell out and substantiate the considerations offered in those articles. </w:t>
      </w:r>
    </w:p>
  </w:footnote>
  <w:footnote w:id="37">
    <w:p w14:paraId="6CC4BA2A" w14:textId="15B9625B" w:rsidR="001C0334" w:rsidRPr="00801366" w:rsidRDefault="001C0334" w:rsidP="00487742">
      <w:pPr>
        <w:pStyle w:val="FootnoteText"/>
      </w:pPr>
      <w:r w:rsidRPr="00801366">
        <w:rPr>
          <w:rStyle w:val="FootnoteReference"/>
        </w:rPr>
        <w:footnoteRef/>
      </w:r>
      <w:r w:rsidRPr="00801366">
        <w:t xml:space="preserve"> See Stokke, </w:t>
      </w:r>
      <w:r w:rsidRPr="00801366">
        <w:rPr>
          <w:i/>
        </w:rPr>
        <w:t>Lying and Insincerity</w:t>
      </w:r>
      <w:r w:rsidRPr="00801366">
        <w:t xml:space="preserve">, </w:t>
      </w:r>
      <w:r w:rsidRPr="00801366">
        <w:rPr>
          <w:i/>
          <w:iCs/>
        </w:rPr>
        <w:t>op. cit.</w:t>
      </w:r>
      <w:r w:rsidRPr="00801366">
        <w:t xml:space="preserve">, p. 58–62, on the distinction between official and unofficial common ground. In a nutshell, information in the unofficial common ground is stored only temporarily (for instance during the course of a play or an argument), while information in the official common ground is stored more permanently. </w:t>
      </w:r>
    </w:p>
  </w:footnote>
  <w:footnote w:id="38">
    <w:p w14:paraId="4C73F8DA" w14:textId="77501C90" w:rsidR="001C0334" w:rsidRPr="00801366" w:rsidRDefault="001C0334" w:rsidP="00487742">
      <w:pPr>
        <w:pStyle w:val="FootnoteText"/>
      </w:pPr>
      <w:r w:rsidRPr="00801366">
        <w:rPr>
          <w:rStyle w:val="FootnoteReference"/>
        </w:rPr>
        <w:footnoteRef/>
      </w:r>
      <w:r w:rsidRPr="00801366">
        <w:t xml:space="preserve"> By requiring an intention to communicate, (D4) captures the strong intuition that lying must be intentional. It is an interesting question which role intentions play when it comes to the commitment in lying. As I see it, committing oneself to a proposition requires an intention to do so (which is why I say that liars </w:t>
      </w:r>
      <w:r w:rsidRPr="00801366">
        <w:rPr>
          <w:i/>
          <w:iCs/>
        </w:rPr>
        <w:t>commit themselves</w:t>
      </w:r>
      <w:r w:rsidRPr="00801366">
        <w:t xml:space="preserve"> or </w:t>
      </w:r>
      <w:r w:rsidRPr="00801366">
        <w:rPr>
          <w:i/>
          <w:iCs/>
        </w:rPr>
        <w:t>take on</w:t>
      </w:r>
      <w:r w:rsidRPr="00801366">
        <w:t xml:space="preserve"> </w:t>
      </w:r>
      <w:r w:rsidRPr="00801366">
        <w:rPr>
          <w:i/>
          <w:iCs/>
        </w:rPr>
        <w:t>commitment</w:t>
      </w:r>
      <w:r w:rsidRPr="00801366">
        <w:t xml:space="preserve">), but I think the definition is compatible with different views on the matter. </w:t>
      </w:r>
    </w:p>
  </w:footnote>
  <w:footnote w:id="39">
    <w:p w14:paraId="3DB692E8" w14:textId="35C6F9A9" w:rsidR="001C0334" w:rsidRPr="00801366" w:rsidRDefault="001C0334">
      <w:pPr>
        <w:pStyle w:val="FootnoteText"/>
      </w:pPr>
      <w:r w:rsidRPr="00801366">
        <w:rPr>
          <w:rStyle w:val="FootnoteReference"/>
        </w:rPr>
        <w:footnoteRef/>
      </w:r>
      <w:r w:rsidRPr="00801366">
        <w:t xml:space="preserve"> Charles Sanders Peirce, “Judgment and assertion,” in </w:t>
      </w:r>
      <w:r w:rsidRPr="00801366">
        <w:rPr>
          <w:i/>
          <w:iCs/>
        </w:rPr>
        <w:t>Collected papers of Charles Sanders Peirce</w:t>
      </w:r>
      <w:r w:rsidRPr="00801366">
        <w:t xml:space="preserve"> </w:t>
      </w:r>
      <w:r w:rsidRPr="00801366">
        <w:rPr>
          <w:i/>
          <w:iCs/>
        </w:rPr>
        <w:t>Vol. V</w:t>
      </w:r>
      <w:r w:rsidRPr="00801366">
        <w:t xml:space="preserve"> (Boston: Harvard University Press, 1934), pp. 385–387; John Searle, “A taxonomy of illocutionary acts,” in: Keith Gunderson, ed., </w:t>
      </w:r>
      <w:r w:rsidRPr="00801366">
        <w:rPr>
          <w:i/>
          <w:iCs/>
        </w:rPr>
        <w:t>Language, Mind and Knowledge</w:t>
      </w:r>
      <w:r w:rsidRPr="00801366">
        <w:t xml:space="preserve"> (Minneapolis: University of Minnesota Press, 1975), pp. 344–369; Robert </w:t>
      </w:r>
      <w:proofErr w:type="spellStart"/>
      <w:r w:rsidRPr="00801366">
        <w:t>Brandom</w:t>
      </w:r>
      <w:proofErr w:type="spellEnd"/>
      <w:r w:rsidRPr="00801366">
        <w:t xml:space="preserve">, “Asserting,” </w:t>
      </w:r>
      <w:r w:rsidRPr="00801366">
        <w:rPr>
          <w:i/>
          <w:iCs/>
        </w:rPr>
        <w:t>Noûs</w:t>
      </w:r>
      <w:r w:rsidRPr="00801366">
        <w:t xml:space="preserve"> </w:t>
      </w:r>
      <w:r w:rsidRPr="00801366">
        <w:rPr>
          <w:smallCaps/>
        </w:rPr>
        <w:t>xvii, 4 (</w:t>
      </w:r>
      <w:r w:rsidRPr="00801366">
        <w:t xml:space="preserve">November 1983), pp. 637–650; Gary Watson, “Asserting and promising,” </w:t>
      </w:r>
      <w:r w:rsidRPr="00801366">
        <w:rPr>
          <w:i/>
          <w:iCs/>
        </w:rPr>
        <w:t>Philosophical</w:t>
      </w:r>
      <w:r w:rsidRPr="00801366">
        <w:t xml:space="preserve"> </w:t>
      </w:r>
      <w:r w:rsidRPr="00801366">
        <w:rPr>
          <w:i/>
          <w:iCs/>
        </w:rPr>
        <w:t>Studies</w:t>
      </w:r>
      <w:r w:rsidRPr="00801366">
        <w:t xml:space="preserve"> </w:t>
      </w:r>
      <w:r w:rsidRPr="00801366">
        <w:rPr>
          <w:smallCaps/>
        </w:rPr>
        <w:t>cxvii, 1/2 (</w:t>
      </w:r>
      <w:r w:rsidRPr="00801366">
        <w:t>January</w:t>
      </w:r>
      <w:r w:rsidRPr="00801366">
        <w:rPr>
          <w:smallCaps/>
        </w:rPr>
        <w:t xml:space="preserve"> 2004):</w:t>
      </w:r>
      <w:r w:rsidRPr="00801366">
        <w:t xml:space="preserve"> 57–77. The commitment-based approach to assertion is still popular, with recent contributions by Manfred </w:t>
      </w:r>
      <w:proofErr w:type="spellStart"/>
      <w:r w:rsidRPr="00801366">
        <w:t>Krifka</w:t>
      </w:r>
      <w:proofErr w:type="spellEnd"/>
      <w:r w:rsidRPr="00801366">
        <w:t xml:space="preserve">, “Embedding illocutionary acts,” in: Thomas Roeper and Margaret </w:t>
      </w:r>
      <w:proofErr w:type="spellStart"/>
      <w:r w:rsidRPr="00801366">
        <w:t>Speas</w:t>
      </w:r>
      <w:proofErr w:type="spellEnd"/>
      <w:r w:rsidRPr="00801366">
        <w:t xml:space="preserve">, eds., </w:t>
      </w:r>
      <w:r w:rsidRPr="00801366">
        <w:rPr>
          <w:i/>
          <w:iCs/>
        </w:rPr>
        <w:t>Recursion: Complexity in cognition</w:t>
      </w:r>
      <w:r w:rsidRPr="00801366">
        <w:t xml:space="preserve"> (Amherst, MA: Springer, 2014), pp. 59–87; Lionel Shapiro, “Commitment accounts of assertion,” in: Sanford Goldberg, ed., </w:t>
      </w:r>
      <w:r w:rsidRPr="00801366">
        <w:rPr>
          <w:i/>
        </w:rPr>
        <w:t>The Oxford Handbook of Assertion</w:t>
      </w:r>
      <w:r w:rsidRPr="00801366">
        <w:t xml:space="preserve"> (Oxford: Oxford University Press, 2020), pp. 75–97; and Bart Geurts, “Communication as commitment sharing: speech acts, implicatures, common ground,” </w:t>
      </w:r>
      <w:r w:rsidRPr="00801366">
        <w:rPr>
          <w:i/>
          <w:iCs/>
        </w:rPr>
        <w:t>Theoretical Linguistics</w:t>
      </w:r>
      <w:r w:rsidRPr="00801366">
        <w:t xml:space="preserve"> </w:t>
      </w:r>
      <w:r w:rsidRPr="00801366">
        <w:rPr>
          <w:smallCaps/>
        </w:rPr>
        <w:t>xlv</w:t>
      </w:r>
      <w:r w:rsidRPr="00801366">
        <w:t xml:space="preserve">, 1–2 (June 2019): 1–30, amongst many others. </w:t>
      </w:r>
    </w:p>
  </w:footnote>
  <w:footnote w:id="40">
    <w:p w14:paraId="186D0F78" w14:textId="7D918A22" w:rsidR="001C0334" w:rsidRPr="00801366" w:rsidRDefault="001C0334" w:rsidP="00487742">
      <w:pPr>
        <w:pStyle w:val="FootnoteText"/>
      </w:pPr>
      <w:r w:rsidRPr="00801366">
        <w:rPr>
          <w:rStyle w:val="FootnoteReference"/>
        </w:rPr>
        <w:footnoteRef/>
      </w:r>
      <w:r w:rsidRPr="00801366">
        <w:t xml:space="preserve"> Cf. </w:t>
      </w:r>
      <w:proofErr w:type="spellStart"/>
      <w:r w:rsidRPr="00801366">
        <w:t>Brandom</w:t>
      </w:r>
      <w:proofErr w:type="spellEnd"/>
      <w:r w:rsidRPr="00801366">
        <w:t xml:space="preserve">, “Asserting,” </w:t>
      </w:r>
      <w:r w:rsidRPr="00801366">
        <w:rPr>
          <w:i/>
          <w:iCs/>
        </w:rPr>
        <w:t>op. cit</w:t>
      </w:r>
      <w:r w:rsidRPr="00801366">
        <w:t xml:space="preserve">., p. 641; Michael Rescorla, “Assertion and Its Constitutive Norms,” </w:t>
      </w:r>
      <w:r w:rsidRPr="00801366">
        <w:rPr>
          <w:i/>
          <w:iCs/>
        </w:rPr>
        <w:t>Philosophy and Phenomenological Research</w:t>
      </w:r>
      <w:r w:rsidRPr="00801366">
        <w:t xml:space="preserve"> </w:t>
      </w:r>
      <w:r w:rsidRPr="00801366">
        <w:rPr>
          <w:smallCaps/>
        </w:rPr>
        <w:t>lxxix</w:t>
      </w:r>
      <w:r w:rsidRPr="00801366">
        <w:t xml:space="preserve">, 1 (July 2009): 98–130, at p. 103, and Max Kölbel, “Conversational Score, Assertion and Testimony,” in: Jessica Brown and Herman Cappelen, eds., </w:t>
      </w:r>
      <w:r w:rsidRPr="00801366">
        <w:rPr>
          <w:i/>
          <w:iCs/>
        </w:rPr>
        <w:t>Assertion</w:t>
      </w:r>
      <w:r w:rsidRPr="00801366">
        <w:t xml:space="preserve"> (Oxford: Oxford University Press, 2011), pp. 49–78., at p. 68. As far as I am aware, </w:t>
      </w:r>
      <w:proofErr w:type="spellStart"/>
      <w:r w:rsidRPr="00801366">
        <w:rPr>
          <w:rFonts w:eastAsiaTheme="minorEastAsia"/>
        </w:rPr>
        <w:t>Brandom</w:t>
      </w:r>
      <w:proofErr w:type="spellEnd"/>
      <w:r w:rsidRPr="00801366">
        <w:rPr>
          <w:rFonts w:eastAsiaTheme="minorEastAsia"/>
        </w:rPr>
        <w:t xml:space="preserve"> was the first to label this responsibility as </w:t>
      </w:r>
      <w:r w:rsidRPr="00801366">
        <w:rPr>
          <w:rFonts w:eastAsiaTheme="minorEastAsia"/>
          <w:i/>
          <w:iCs/>
        </w:rPr>
        <w:t>justificatory responsibility.</w:t>
      </w:r>
      <w:r w:rsidRPr="00801366">
        <w:rPr>
          <w:rFonts w:eastAsiaTheme="minorEastAsia"/>
        </w:rPr>
        <w:t xml:space="preserve"> </w:t>
      </w:r>
      <w:r w:rsidRPr="00801366">
        <w:t xml:space="preserve">What kind of responsibility is this? Some theorists, including </w:t>
      </w:r>
      <w:proofErr w:type="spellStart"/>
      <w:r w:rsidRPr="00801366">
        <w:t>Brandom</w:t>
      </w:r>
      <w:proofErr w:type="spellEnd"/>
      <w:r w:rsidRPr="00801366">
        <w:t xml:space="preserve">, “Asserting,” </w:t>
      </w:r>
      <w:r w:rsidRPr="00801366">
        <w:rPr>
          <w:i/>
          <w:iCs/>
        </w:rPr>
        <w:t>op. cit</w:t>
      </w:r>
      <w:r w:rsidRPr="00801366">
        <w:t xml:space="preserve">., p. 640, Searle, </w:t>
      </w:r>
      <w:r w:rsidRPr="00801366">
        <w:rPr>
          <w:i/>
          <w:iCs/>
        </w:rPr>
        <w:t>Rationality in Action</w:t>
      </w:r>
      <w:r w:rsidRPr="00801366">
        <w:t xml:space="preserve"> (Cambridge, Mass.: MIT Press, 2001), p. 181, and Watson, “Asserting and promising,” </w:t>
      </w:r>
      <w:r w:rsidRPr="00801366">
        <w:rPr>
          <w:i/>
          <w:iCs/>
        </w:rPr>
        <w:t>op. cit</w:t>
      </w:r>
      <w:r w:rsidRPr="00801366">
        <w:t xml:space="preserve">., p. 60, think of it as a </w:t>
      </w:r>
      <w:r w:rsidRPr="00801366">
        <w:rPr>
          <w:i/>
          <w:iCs/>
        </w:rPr>
        <w:t>conversational</w:t>
      </w:r>
      <w:r w:rsidRPr="00801366">
        <w:t xml:space="preserve"> or </w:t>
      </w:r>
      <w:r w:rsidRPr="00801366">
        <w:rPr>
          <w:i/>
          <w:iCs/>
        </w:rPr>
        <w:t>communicative</w:t>
      </w:r>
      <w:r w:rsidRPr="00801366">
        <w:t xml:space="preserve"> responsibility. Others see the justificatory responsibility in assertion as a </w:t>
      </w:r>
      <w:r w:rsidRPr="00801366">
        <w:rPr>
          <w:i/>
          <w:iCs/>
        </w:rPr>
        <w:t xml:space="preserve">moral </w:t>
      </w:r>
      <w:r w:rsidRPr="00801366">
        <w:t>responsibility, see Angus Ross,</w:t>
      </w:r>
      <w:r w:rsidRPr="00801366">
        <w:rPr>
          <w:rFonts w:eastAsiaTheme="minorEastAsia"/>
        </w:rPr>
        <w:t xml:space="preserve"> “Why do we believe what we are told?,” </w:t>
      </w:r>
      <w:r w:rsidRPr="00801366">
        <w:rPr>
          <w:rFonts w:eastAsiaTheme="minorEastAsia"/>
          <w:i/>
          <w:iCs/>
        </w:rPr>
        <w:t xml:space="preserve">Ratio </w:t>
      </w:r>
      <w:r w:rsidRPr="00801366">
        <w:rPr>
          <w:rFonts w:eastAsiaTheme="minorEastAsia"/>
          <w:smallCaps/>
        </w:rPr>
        <w:t>xxviii</w:t>
      </w:r>
      <w:r w:rsidRPr="00801366">
        <w:rPr>
          <w:rFonts w:eastAsiaTheme="minorEastAsia"/>
        </w:rPr>
        <w:t>, 1 (June 1986): 69–88</w:t>
      </w:r>
      <w:r w:rsidRPr="00801366">
        <w:t xml:space="preserve">, at p. 79–80, Rescorla, </w:t>
      </w:r>
      <w:r w:rsidRPr="00801366">
        <w:rPr>
          <w:i/>
          <w:iCs/>
        </w:rPr>
        <w:t>op. cit</w:t>
      </w:r>
      <w:r w:rsidRPr="00801366">
        <w:t xml:space="preserve">., pp. 118–119, and Terence Cuneo, </w:t>
      </w:r>
      <w:r w:rsidRPr="00801366">
        <w:rPr>
          <w:i/>
          <w:iCs/>
        </w:rPr>
        <w:t>Speech and Morality: On the Metaethical Implications of Speaking</w:t>
      </w:r>
      <w:r w:rsidRPr="00801366">
        <w:t xml:space="preserve"> (Oxford: Oxford University Press, 2014). I am inclined to side with the second of these views. However, I do not think that a firm answer to this question</w:t>
      </w:r>
      <w:r>
        <w:t xml:space="preserve"> is required for the purposes of this paper</w:t>
      </w:r>
      <w:r w:rsidRPr="00801366">
        <w:t xml:space="preserve">, and so I will not resolve the matter here. As far as I can see, the commitment-based approach can succeed if lying and misleading involve different justificatory responsibilities that are </w:t>
      </w:r>
      <w:r w:rsidRPr="00801366">
        <w:rPr>
          <w:i/>
          <w:iCs/>
        </w:rPr>
        <w:t>at least</w:t>
      </w:r>
      <w:r w:rsidRPr="00801366">
        <w:t xml:space="preserve"> conversational or communicative responsibilities. The responsibility-question does play an important role when it comes to the debate about potential </w:t>
      </w:r>
      <w:r w:rsidRPr="00801366">
        <w:rPr>
          <w:i/>
          <w:iCs/>
        </w:rPr>
        <w:t>moral</w:t>
      </w:r>
      <w:r w:rsidRPr="00801366">
        <w:t xml:space="preserve"> differences between lying and misleading. I will briefly return to this question at the end of the paper.</w:t>
      </w:r>
    </w:p>
  </w:footnote>
  <w:footnote w:id="41">
    <w:p w14:paraId="7DBA2B09" w14:textId="1FF7EC25" w:rsidR="001C0334" w:rsidRPr="00801366" w:rsidRDefault="001C0334" w:rsidP="00487742">
      <w:pPr>
        <w:pStyle w:val="FootnoteText"/>
      </w:pPr>
      <w:r w:rsidRPr="00801366">
        <w:rPr>
          <w:rStyle w:val="FootnoteReference"/>
        </w:rPr>
        <w:footnoteRef/>
      </w:r>
      <w:r w:rsidRPr="00801366">
        <w:t xml:space="preserve"> In tying assertion to commitment, I do not wish to rule out that assertion can be characterised in terms of a constitutive knowledge-norm. Indeed, I agree with John MacFarlane that a commitment-account of the responsibilities incurred by asserters fits well with a knowledge-norm of assertion, see John MacFarlane “What is assertion?,” in: Jessica Brown and Herman Cappelen, eds., </w:t>
      </w:r>
      <w:r w:rsidRPr="00801366">
        <w:rPr>
          <w:i/>
          <w:iCs/>
        </w:rPr>
        <w:t>Assertion</w:t>
      </w:r>
      <w:r w:rsidRPr="00801366">
        <w:t xml:space="preserve"> (Oxford: Oxford University Press, 2011), pp. 79–98, at p. 94. </w:t>
      </w:r>
    </w:p>
  </w:footnote>
  <w:footnote w:id="42">
    <w:p w14:paraId="72A63243" w14:textId="1AD24693" w:rsidR="001C0334" w:rsidRPr="00801366" w:rsidRDefault="001C0334" w:rsidP="00487742">
      <w:pPr>
        <w:pStyle w:val="FootnoteText"/>
      </w:pPr>
      <w:r w:rsidRPr="00801366">
        <w:rPr>
          <w:rStyle w:val="FootnoteReference"/>
        </w:rPr>
        <w:footnoteRef/>
      </w:r>
      <w:r w:rsidRPr="00801366">
        <w:t xml:space="preserve"> The label </w:t>
      </w:r>
      <w:r w:rsidRPr="00801366">
        <w:rPr>
          <w:i/>
        </w:rPr>
        <w:t>constative</w:t>
      </w:r>
      <w:r w:rsidRPr="00801366">
        <w:t xml:space="preserve"> was introduced by John L. Austin, </w:t>
      </w:r>
      <w:r w:rsidRPr="00801366">
        <w:rPr>
          <w:i/>
          <w:iCs/>
        </w:rPr>
        <w:t>How to Do Things with Words</w:t>
      </w:r>
      <w:r w:rsidRPr="00801366">
        <w:t xml:space="preserve"> (Cambridge: Harvard University Press, 1962). Searle, “A taxonomy of illocutionary acts,” </w:t>
      </w:r>
      <w:r w:rsidRPr="00801366">
        <w:rPr>
          <w:i/>
          <w:iCs/>
        </w:rPr>
        <w:t>op. cit.</w:t>
      </w:r>
      <w:r w:rsidRPr="00801366">
        <w:t xml:space="preserve">, speaks of </w:t>
      </w:r>
      <w:r w:rsidRPr="00801366">
        <w:rPr>
          <w:i/>
          <w:iCs/>
        </w:rPr>
        <w:t>representative</w:t>
      </w:r>
      <w:r w:rsidRPr="00801366">
        <w:t xml:space="preserve"> speech-acts, John Turri, “Epistemic </w:t>
      </w:r>
      <w:proofErr w:type="spellStart"/>
      <w:r w:rsidRPr="00801366">
        <w:t>Invariantism</w:t>
      </w:r>
      <w:proofErr w:type="spellEnd"/>
      <w:r w:rsidRPr="00801366">
        <w:t xml:space="preserve"> and Speech Act Contextualism,” </w:t>
      </w:r>
      <w:r w:rsidRPr="00801366">
        <w:rPr>
          <w:i/>
          <w:iCs/>
        </w:rPr>
        <w:t xml:space="preserve">The </w:t>
      </w:r>
      <w:r w:rsidRPr="00801366">
        <w:rPr>
          <w:i/>
        </w:rPr>
        <w:t>Philosophical Review</w:t>
      </w:r>
      <w:r w:rsidRPr="00801366">
        <w:t xml:space="preserve"> </w:t>
      </w:r>
      <w:r w:rsidRPr="00801366">
        <w:rPr>
          <w:smallCaps/>
        </w:rPr>
        <w:t>cxix</w:t>
      </w:r>
      <w:r w:rsidRPr="00801366">
        <w:t xml:space="preserve">, 1 (January 2010): 77–95, of </w:t>
      </w:r>
      <w:r w:rsidRPr="00801366">
        <w:rPr>
          <w:i/>
        </w:rPr>
        <w:t>alethic</w:t>
      </w:r>
      <w:r w:rsidRPr="00801366">
        <w:t xml:space="preserve"> speech-acts. </w:t>
      </w:r>
    </w:p>
  </w:footnote>
  <w:footnote w:id="43">
    <w:p w14:paraId="28F41708" w14:textId="6FF75117" w:rsidR="001C0334" w:rsidRPr="00801366" w:rsidRDefault="001C0334">
      <w:pPr>
        <w:pStyle w:val="FootnoteText"/>
      </w:pPr>
      <w:r w:rsidRPr="00801366">
        <w:rPr>
          <w:rStyle w:val="FootnoteReference"/>
        </w:rPr>
        <w:footnoteRef/>
      </w:r>
      <w:r w:rsidRPr="00801366">
        <w:t xml:space="preserve"> But see </w:t>
      </w:r>
      <w:r>
        <w:t xml:space="preserve">J. O. </w:t>
      </w:r>
      <w:proofErr w:type="spellStart"/>
      <w:r>
        <w:t>Urmson</w:t>
      </w:r>
      <w:proofErr w:type="spellEnd"/>
      <w:r>
        <w:t xml:space="preserve">, “Parenthetical Verbs,” </w:t>
      </w:r>
      <w:r>
        <w:rPr>
          <w:i/>
          <w:iCs/>
        </w:rPr>
        <w:t>Mind</w:t>
      </w:r>
      <w:r>
        <w:t xml:space="preserve">, </w:t>
      </w:r>
      <w:r w:rsidRPr="00D90982">
        <w:rPr>
          <w:smallCaps/>
        </w:rPr>
        <w:t>lxi</w:t>
      </w:r>
      <w:r>
        <w:t xml:space="preserve">, 244 (October 1952): 480–96, </w:t>
      </w:r>
      <w:r w:rsidRPr="00801366">
        <w:t xml:space="preserve">Janet Holmes, “Modifying illocutionary force,” </w:t>
      </w:r>
      <w:r w:rsidRPr="00801366">
        <w:rPr>
          <w:i/>
          <w:iCs/>
        </w:rPr>
        <w:t>Journal of Pragmatics</w:t>
      </w:r>
      <w:r w:rsidRPr="00801366">
        <w:t xml:space="preserve">, </w:t>
      </w:r>
      <w:r w:rsidRPr="00801366">
        <w:rPr>
          <w:smallCaps/>
        </w:rPr>
        <w:t>viii</w:t>
      </w:r>
      <w:r w:rsidRPr="00801366">
        <w:t xml:space="preserve">, 3 (June 1984): 345–65, Marina </w:t>
      </w:r>
      <w:proofErr w:type="spellStart"/>
      <w:r w:rsidRPr="00801366">
        <w:t>Sbisà</w:t>
      </w:r>
      <w:proofErr w:type="spellEnd"/>
      <w:r w:rsidRPr="00801366">
        <w:t xml:space="preserve">, “Illocutionary force and degrees of strength in language use,” </w:t>
      </w:r>
      <w:r w:rsidRPr="00801366">
        <w:rPr>
          <w:i/>
          <w:iCs/>
        </w:rPr>
        <w:t>Journal of Pragmatics</w:t>
      </w:r>
      <w:r w:rsidRPr="00801366">
        <w:t xml:space="preserve">, </w:t>
      </w:r>
      <w:r w:rsidRPr="00801366">
        <w:rPr>
          <w:smallCaps/>
        </w:rPr>
        <w:t>xxxiii</w:t>
      </w:r>
      <w:r w:rsidRPr="00801366">
        <w:t xml:space="preserve">, 12 (December 2001): 1791–814, and Matthew A. Benton and Peter van </w:t>
      </w:r>
      <w:proofErr w:type="spellStart"/>
      <w:r w:rsidRPr="00801366">
        <w:t>Elswyk</w:t>
      </w:r>
      <w:proofErr w:type="spellEnd"/>
      <w:r w:rsidRPr="00801366">
        <w:t xml:space="preserve">, “Hedged assertion,” in: Sanford Goldberg, ed., </w:t>
      </w:r>
      <w:r w:rsidRPr="00801366">
        <w:rPr>
          <w:i/>
          <w:iCs/>
        </w:rPr>
        <w:t>The Oxford Handbook of Assertion</w:t>
      </w:r>
      <w:r w:rsidRPr="00801366">
        <w:t xml:space="preserve"> (Oxford: Oxford University Press, 2020), pp. 245–63. </w:t>
      </w:r>
    </w:p>
  </w:footnote>
  <w:footnote w:id="44">
    <w:p w14:paraId="007595D4" w14:textId="51F1C9BA" w:rsidR="001C0334" w:rsidRPr="00801366" w:rsidRDefault="001C0334" w:rsidP="00487742">
      <w:pPr>
        <w:pStyle w:val="FootnoteText"/>
      </w:pPr>
      <w:r w:rsidRPr="00801366">
        <w:rPr>
          <w:rStyle w:val="FootnoteReference"/>
        </w:rPr>
        <w:footnoteRef/>
      </w:r>
      <w:r w:rsidRPr="00801366">
        <w:t xml:space="preserve"> The speaker might be challenged in other ways, and the challenges need not ask for a </w:t>
      </w:r>
      <w:r w:rsidRPr="00801366">
        <w:rPr>
          <w:i/>
          <w:iCs/>
        </w:rPr>
        <w:t>knowledge</w:t>
      </w:r>
      <w:r w:rsidRPr="00801366">
        <w:t xml:space="preserve">-defence. For example, a challenge might ask how the speaker can be </w:t>
      </w:r>
      <w:r w:rsidRPr="00801366">
        <w:rPr>
          <w:i/>
          <w:iCs/>
        </w:rPr>
        <w:t>sure</w:t>
      </w:r>
      <w:r w:rsidRPr="00801366">
        <w:t xml:space="preserve"> that the capital is Asunción. To keep things simple, I will mainly focus on knowledge-challenges here. </w:t>
      </w:r>
    </w:p>
  </w:footnote>
  <w:footnote w:id="45">
    <w:p w14:paraId="338CBA69" w14:textId="1A14A483" w:rsidR="001C0334" w:rsidRPr="00801366" w:rsidRDefault="001C0334" w:rsidP="00487742">
      <w:pPr>
        <w:pStyle w:val="FootnoteText"/>
      </w:pPr>
      <w:r w:rsidRPr="00801366">
        <w:rPr>
          <w:rStyle w:val="FootnoteReference"/>
        </w:rPr>
        <w:footnoteRef/>
      </w:r>
      <w:r w:rsidRPr="00801366">
        <w:t xml:space="preserve"> So, a consistent dismissal in the sense relevant here is a dismissal that does not involve denying that one took on a justificatory responsibility one in fact did take on, and that does not involve denying that one performed a speech-act one in fact did perform. There are other ways of dismissing a challenge without answering it or retracting the proposition put forward, as an anonymous reviewer helpfully pointed out. For example, a challenged speaker might respond with “We don’t have time for your question now” or “Just trust me”. In what follows, I will be concerned only with dismissals with which the speaker denies having taken on the justificatory responsibility mentioned or presupposed in the challenge.   </w:t>
      </w:r>
    </w:p>
  </w:footnote>
  <w:footnote w:id="46">
    <w:p w14:paraId="355996B2" w14:textId="5B0949D4" w:rsidR="001C0334" w:rsidRPr="00801366" w:rsidRDefault="001C0334" w:rsidP="00487742">
      <w:pPr>
        <w:pStyle w:val="FootnoteText"/>
      </w:pPr>
      <w:r w:rsidRPr="00801366">
        <w:rPr>
          <w:rStyle w:val="FootnoteReference"/>
        </w:rPr>
        <w:footnoteRef/>
      </w:r>
      <w:r w:rsidRPr="00801366">
        <w:t xml:space="preserve"> This point has received less discussion than the challengeability of assertion, but see Mitchell S. Green, “Speech Acts, the Handicap Principle and the Expression of Psychological States,” </w:t>
      </w:r>
      <w:r w:rsidRPr="00801366">
        <w:rPr>
          <w:i/>
          <w:iCs/>
        </w:rPr>
        <w:t>Mind &amp; Language</w:t>
      </w:r>
      <w:r w:rsidRPr="00801366">
        <w:t xml:space="preserve"> </w:t>
      </w:r>
      <w:r w:rsidRPr="00801366">
        <w:rPr>
          <w:smallCaps/>
        </w:rPr>
        <w:t>xxiv</w:t>
      </w:r>
      <w:r w:rsidRPr="00801366">
        <w:t xml:space="preserve">, 2 (April 2009): 139–63, at p. 157, and “Speech Acts,” in: Edward N. </w:t>
      </w:r>
      <w:proofErr w:type="spellStart"/>
      <w:r w:rsidRPr="00801366">
        <w:t>Zalta</w:t>
      </w:r>
      <w:proofErr w:type="spellEnd"/>
      <w:r w:rsidRPr="00801366">
        <w:t xml:space="preserve">, ed., </w:t>
      </w:r>
      <w:r w:rsidRPr="00801366">
        <w:rPr>
          <w:i/>
          <w:iCs/>
        </w:rPr>
        <w:t xml:space="preserve">The Stanford </w:t>
      </w:r>
      <w:proofErr w:type="spellStart"/>
      <w:r w:rsidRPr="00801366">
        <w:rPr>
          <w:i/>
          <w:iCs/>
        </w:rPr>
        <w:t>Encyclopedia</w:t>
      </w:r>
      <w:proofErr w:type="spellEnd"/>
      <w:r w:rsidRPr="00801366">
        <w:rPr>
          <w:i/>
          <w:iCs/>
        </w:rPr>
        <w:t xml:space="preserve"> of Philosophy (Winter 2017 Edition</w:t>
      </w:r>
      <w:r w:rsidRPr="00801366">
        <w:t xml:space="preserve">): https://plato.stanford.edu/archives/win2017/entries/speech-acts/, and Martin Montminy, “Testing for assertion,” in: Sanford Goldberg, ed., </w:t>
      </w:r>
      <w:r w:rsidRPr="00801366">
        <w:rPr>
          <w:i/>
          <w:iCs/>
        </w:rPr>
        <w:t>The Oxford Handbook of Assertion</w:t>
      </w:r>
      <w:r w:rsidRPr="00801366">
        <w:t xml:space="preserve"> (Oxford: Oxford University Press, 2020), pp. 371–89. Considering which challenges can be consistently dismissed might help to identify which challenges are </w:t>
      </w:r>
      <w:r w:rsidRPr="00801366">
        <w:rPr>
          <w:i/>
          <w:iCs/>
        </w:rPr>
        <w:t>appropriate</w:t>
      </w:r>
      <w:r w:rsidRPr="00801366">
        <w:t xml:space="preserve"> (or </w:t>
      </w:r>
      <w:r w:rsidRPr="00801366">
        <w:rPr>
          <w:i/>
          <w:iCs/>
        </w:rPr>
        <w:t>legitimate</w:t>
      </w:r>
      <w:r w:rsidRPr="00801366">
        <w:t xml:space="preserve">) following constatives of different strength. Many theorists appeal to the notion of an </w:t>
      </w:r>
      <w:r w:rsidRPr="00801366">
        <w:rPr>
          <w:i/>
          <w:iCs/>
        </w:rPr>
        <w:t>appropriate challenge</w:t>
      </w:r>
      <w:r w:rsidRPr="00801366">
        <w:t xml:space="preserve"> in discussing the commitment in assertion; see, for example, Peter Unger, </w:t>
      </w:r>
      <w:r w:rsidRPr="00801366">
        <w:rPr>
          <w:i/>
          <w:iCs/>
        </w:rPr>
        <w:t>Ignorance</w:t>
      </w:r>
      <w:r w:rsidRPr="00801366">
        <w:t xml:space="preserve"> (Oxford: Clarendon Press, 1975), at. p. 263, Green “Speech Acts,” </w:t>
      </w:r>
      <w:r w:rsidRPr="00801366">
        <w:rPr>
          <w:i/>
          <w:iCs/>
        </w:rPr>
        <w:t>op. cit</w:t>
      </w:r>
      <w:r w:rsidRPr="00801366">
        <w:t xml:space="preserve">., Section 5.3, and Shapiro, “Commitment accounts of assertion,” </w:t>
      </w:r>
      <w:r w:rsidRPr="00801366">
        <w:rPr>
          <w:i/>
          <w:iCs/>
        </w:rPr>
        <w:t>op. cit</w:t>
      </w:r>
      <w:r w:rsidRPr="00801366">
        <w:t xml:space="preserve">. However, as Montminy, “Testing for assertion,” </w:t>
      </w:r>
      <w:r w:rsidRPr="00801366">
        <w:rPr>
          <w:i/>
          <w:iCs/>
        </w:rPr>
        <w:t>op. cit</w:t>
      </w:r>
      <w:r w:rsidRPr="00801366">
        <w:t xml:space="preserve">., rightly points out, the notion of an appropriate challenge has to be made more precise in order to elucidate assertoric commitment – after all, there are many reasons why a challenge might be inappropriate, not all of which have to do with assertoric commitment. For example, a challenge might be inappropriate because it is disrespectful. For these reasons, I will not rely on the notion of an appropriate challenge and instead consider whether certain challenges can be consistently dismissed. I am grateful to an anonymous reviewer for suggesting such an approach. </w:t>
      </w:r>
    </w:p>
  </w:footnote>
  <w:footnote w:id="47">
    <w:p w14:paraId="4E852BC5" w14:textId="5A21E3B7" w:rsidR="001C0334" w:rsidRPr="00801366" w:rsidRDefault="001C0334" w:rsidP="00487742">
      <w:pPr>
        <w:pStyle w:val="FootnoteText"/>
      </w:pPr>
      <w:r w:rsidRPr="00801366">
        <w:rPr>
          <w:rStyle w:val="FootnoteReference"/>
        </w:rPr>
        <w:footnoteRef/>
      </w:r>
      <w:r w:rsidRPr="00801366">
        <w:t xml:space="preserve"> It is tempting to speak of </w:t>
      </w:r>
      <w:r w:rsidRPr="00801366">
        <w:rPr>
          <w:i/>
        </w:rPr>
        <w:t>degrees of commitment</w:t>
      </w:r>
      <w:r w:rsidRPr="00801366">
        <w:t xml:space="preserve"> in this context; see, for example, Searle, “A taxonomy of illocutionary acts,” </w:t>
      </w:r>
      <w:r w:rsidRPr="00801366">
        <w:rPr>
          <w:i/>
          <w:iCs/>
        </w:rPr>
        <w:t>op. cit.</w:t>
      </w:r>
      <w:r w:rsidRPr="00801366">
        <w:t xml:space="preserve">, at p. 354. While I have no principled reason against using such terminology, I would like to resist the temptation, as I find a gradable reading much more natural if </w:t>
      </w:r>
      <w:r w:rsidR="00197EE6">
        <w:t>‘</w:t>
      </w:r>
      <w:r w:rsidRPr="00801366">
        <w:t>commitment</w:t>
      </w:r>
      <w:r w:rsidR="00197EE6">
        <w:t>’</w:t>
      </w:r>
      <w:r w:rsidRPr="00801366">
        <w:t xml:space="preserve"> expresses dedication to a certain cause, which is not the sense of the expression that is at issue here. I thus agree with Tamar </w:t>
      </w:r>
      <w:proofErr w:type="spellStart"/>
      <w:r w:rsidRPr="00801366">
        <w:t>Katriel</w:t>
      </w:r>
      <w:proofErr w:type="spellEnd"/>
      <w:r w:rsidRPr="00801366">
        <w:t xml:space="preserve"> and Marcelo </w:t>
      </w:r>
      <w:proofErr w:type="spellStart"/>
      <w:r w:rsidRPr="00801366">
        <w:t>Dascal</w:t>
      </w:r>
      <w:proofErr w:type="spellEnd"/>
      <w:r w:rsidRPr="00801366">
        <w:t xml:space="preserve">, “Speaker’s commitment and involvement in discourse,” in: Yishai Tobin, ed., </w:t>
      </w:r>
      <w:r w:rsidRPr="00801366">
        <w:rPr>
          <w:i/>
          <w:iCs/>
        </w:rPr>
        <w:t>From Sign to Text</w:t>
      </w:r>
      <w:r w:rsidRPr="00801366">
        <w:t xml:space="preserve"> (Amsterdam (Philadelphia): John </w:t>
      </w:r>
      <w:proofErr w:type="spellStart"/>
      <w:r w:rsidRPr="00801366">
        <w:t>Benjamins</w:t>
      </w:r>
      <w:proofErr w:type="spellEnd"/>
      <w:r w:rsidRPr="00801366">
        <w:t xml:space="preserve">, 1989), pp. 275–95, that commitment in constatives is all or nothing. But this terminological decision does not affect the content of the paper: even given a gradable understanding, it would be right to say that lying and misleading differ in terms of commitment. </w:t>
      </w:r>
    </w:p>
  </w:footnote>
  <w:footnote w:id="48">
    <w:p w14:paraId="59B5F7C2" w14:textId="4DA099AD" w:rsidR="001C0334" w:rsidRPr="00801366" w:rsidRDefault="001C0334" w:rsidP="00487742">
      <w:pPr>
        <w:pStyle w:val="FootnoteText"/>
      </w:pPr>
      <w:r w:rsidRPr="00801366">
        <w:rPr>
          <w:rStyle w:val="FootnoteReference"/>
        </w:rPr>
        <w:footnoteRef/>
      </w:r>
      <w:r w:rsidRPr="00801366">
        <w:t xml:space="preserve"> The standard case of misleading discussed in the literature features an assertion of a believed-true proposition that is used to implicate a believed-false proposition. However, neither assertion nor the involvement of a believed-true proposition is required for misleading: one can mislead through conjecturing, and the implicature can be generated by putting forward a proposition the speaker believes to be false. </w:t>
      </w:r>
    </w:p>
  </w:footnote>
  <w:footnote w:id="49">
    <w:p w14:paraId="5FEB18F7" w14:textId="53AC161D" w:rsidR="001C0334" w:rsidRPr="00801366" w:rsidRDefault="001C0334" w:rsidP="00487742">
      <w:pPr>
        <w:pStyle w:val="FootnoteText"/>
      </w:pPr>
      <w:r w:rsidRPr="00801366">
        <w:rPr>
          <w:rStyle w:val="FootnoteReference"/>
        </w:rPr>
        <w:footnoteRef/>
      </w:r>
      <w:r w:rsidRPr="00801366">
        <w:t xml:space="preserve"> In this sense, my stance towards commitment is similar to Saul’s stance towards what is said: Saul, </w:t>
      </w:r>
      <w:r w:rsidRPr="00801366">
        <w:rPr>
          <w:i/>
        </w:rPr>
        <w:t>Lying, Misleading, &amp; What is Said</w:t>
      </w:r>
      <w:r w:rsidRPr="00801366">
        <w:rPr>
          <w:i/>
          <w:iCs/>
        </w:rPr>
        <w:t>, op. cit.</w:t>
      </w:r>
      <w:r w:rsidRPr="00801366">
        <w:t xml:space="preserve">, Chapters 2 and 3, makes very clear that her aim is to find a notion of what is said that is suited to draw the lying-misleading distinction, and that other notions of what is said are needed for other purposes. I am grateful to an anonymous reviewer for helpful comments on this matter.  </w:t>
      </w:r>
    </w:p>
  </w:footnote>
  <w:footnote w:id="50">
    <w:p w14:paraId="4C65F2F4" w14:textId="1B31F1D4" w:rsidR="001C0334" w:rsidRPr="00801366" w:rsidRDefault="001C0334">
      <w:pPr>
        <w:pStyle w:val="FootnoteText"/>
      </w:pPr>
      <w:r w:rsidRPr="00801366">
        <w:rPr>
          <w:rStyle w:val="FootnoteReference"/>
        </w:rPr>
        <w:footnoteRef/>
      </w:r>
      <w:r w:rsidRPr="00801366">
        <w:t xml:space="preserve"> Cf. Shapiro, “Commitment accounts of assertion,” </w:t>
      </w:r>
      <w:r w:rsidRPr="00801366">
        <w:rPr>
          <w:i/>
          <w:iCs/>
        </w:rPr>
        <w:t>op. cit.</w:t>
      </w:r>
      <w:r w:rsidRPr="00801366">
        <w:t xml:space="preserve"> </w:t>
      </w:r>
    </w:p>
  </w:footnote>
  <w:footnote w:id="51">
    <w:p w14:paraId="6E1730F6" w14:textId="08DAE16A" w:rsidR="001C0334" w:rsidRPr="00801366" w:rsidRDefault="001C0334" w:rsidP="00487742">
      <w:pPr>
        <w:pStyle w:val="FootnoteText"/>
      </w:pPr>
      <w:r w:rsidRPr="00801366">
        <w:rPr>
          <w:rStyle w:val="FootnoteReference"/>
        </w:rPr>
        <w:footnoteRef/>
      </w:r>
      <w:r w:rsidRPr="00801366">
        <w:t xml:space="preserve"> This point is also made by Maitra, “Lying, Acting, and Asserting,” </w:t>
      </w:r>
      <w:r w:rsidRPr="00801366">
        <w:rPr>
          <w:i/>
          <w:iCs/>
        </w:rPr>
        <w:t>op. cit</w:t>
      </w:r>
      <w:r w:rsidRPr="00801366">
        <w:t xml:space="preserve">., pp. 69–71. For related observations on the challengeability of lies and misleadings, see Jonathan E. Adler, “Lying, Deceiving, or Falsely Implicating,” this </w:t>
      </w:r>
      <w:r w:rsidRPr="00801366">
        <w:rPr>
          <w:smallCaps/>
        </w:rPr>
        <w:t>journal</w:t>
      </w:r>
      <w:r w:rsidRPr="00801366">
        <w:t xml:space="preserve">, </w:t>
      </w:r>
      <w:r w:rsidRPr="00801366">
        <w:rPr>
          <w:smallCaps/>
        </w:rPr>
        <w:t>xciv</w:t>
      </w:r>
      <w:r w:rsidRPr="00801366">
        <w:t xml:space="preserve">, 9 (September 1997): 435–52, at pp. 449–51. </w:t>
      </w:r>
    </w:p>
  </w:footnote>
  <w:footnote w:id="52">
    <w:p w14:paraId="11F5BCA6" w14:textId="5743F643" w:rsidR="001C0334" w:rsidRPr="00801366" w:rsidRDefault="001C0334" w:rsidP="00487742">
      <w:pPr>
        <w:pStyle w:val="FootnoteText"/>
      </w:pPr>
      <w:r w:rsidRPr="00801366">
        <w:rPr>
          <w:rStyle w:val="FootnoteReference"/>
        </w:rPr>
        <w:footnoteRef/>
      </w:r>
      <w:r w:rsidRPr="00801366">
        <w:t xml:space="preserve"> This contrast becomes stronger if we consider a variant of the example in which the doctor saw the son yesterday, when he was fine, but has no further information on what has happened in the meantime. </w:t>
      </w:r>
    </w:p>
  </w:footnote>
  <w:footnote w:id="53">
    <w:p w14:paraId="7793C190" w14:textId="5DAE08F6" w:rsidR="001C0334" w:rsidRPr="00801366" w:rsidRDefault="001C0334" w:rsidP="00487742">
      <w:pPr>
        <w:pStyle w:val="FootnoteText"/>
      </w:pPr>
      <w:r w:rsidRPr="00801366">
        <w:rPr>
          <w:rStyle w:val="FootnoteReference"/>
        </w:rPr>
        <w:footnoteRef/>
      </w:r>
      <w:r w:rsidRPr="00801366">
        <w:t xml:space="preserve"> On this view, denials such as (5) and (20) are not denials of the </w:t>
      </w:r>
      <w:r w:rsidRPr="00801366">
        <w:rPr>
          <w:i/>
        </w:rPr>
        <w:t>content</w:t>
      </w:r>
      <w:r w:rsidRPr="00801366">
        <w:t xml:space="preserve"> uttered, but rather of having performed a speech-act with a certain </w:t>
      </w:r>
      <w:r w:rsidRPr="00801366">
        <w:rPr>
          <w:i/>
        </w:rPr>
        <w:t>force</w:t>
      </w:r>
      <w:r w:rsidRPr="00801366">
        <w:t xml:space="preserve">. This conflicts with a remark by Diana </w:t>
      </w:r>
      <w:proofErr w:type="spellStart"/>
      <w:r w:rsidRPr="00801366">
        <w:t>Mazzarella</w:t>
      </w:r>
      <w:proofErr w:type="spellEnd"/>
      <w:r w:rsidRPr="00801366">
        <w:t xml:space="preserve">, Robert Reinecke, Ira </w:t>
      </w:r>
      <w:proofErr w:type="spellStart"/>
      <w:r w:rsidRPr="00801366">
        <w:t>Noveck</w:t>
      </w:r>
      <w:proofErr w:type="spellEnd"/>
      <w:r w:rsidRPr="00801366">
        <w:t xml:space="preserve">, and Hugo Mercier, </w:t>
      </w:r>
      <w:r>
        <w:t>“</w:t>
      </w:r>
      <w:r w:rsidRPr="00801366">
        <w:t>Saying, presupposing and implicating: How pragmatics modulates commitment</w:t>
      </w:r>
      <w:r>
        <w:t>,”</w:t>
      </w:r>
      <w:r w:rsidRPr="00801366">
        <w:t> </w:t>
      </w:r>
      <w:r w:rsidRPr="00801366">
        <w:rPr>
          <w:i/>
          <w:iCs/>
        </w:rPr>
        <w:t>Journal of Pragmatics</w:t>
      </w:r>
      <w:r>
        <w:t>,</w:t>
      </w:r>
      <w:r w:rsidRPr="00801366">
        <w:t> </w:t>
      </w:r>
      <w:r w:rsidRPr="00801366">
        <w:rPr>
          <w:iCs/>
          <w:smallCaps/>
        </w:rPr>
        <w:t>cxxxiii</w:t>
      </w:r>
      <w:r>
        <w:rPr>
          <w:iCs/>
          <w:smallCaps/>
        </w:rPr>
        <w:t xml:space="preserve"> (</w:t>
      </w:r>
      <w:r>
        <w:rPr>
          <w:iCs/>
        </w:rPr>
        <w:t>August 2018)</w:t>
      </w:r>
      <w:r w:rsidRPr="00801366">
        <w:t>: 15–27</w:t>
      </w:r>
      <w:r>
        <w:t xml:space="preserve">, </w:t>
      </w:r>
      <w:r w:rsidRPr="00801366">
        <w:t xml:space="preserve">according to which denials following implicatures are aimed at the implicated content. </w:t>
      </w:r>
    </w:p>
  </w:footnote>
  <w:footnote w:id="54">
    <w:p w14:paraId="08F447A8" w14:textId="76D26CD6" w:rsidR="001C0334" w:rsidRPr="00801366" w:rsidRDefault="001C0334" w:rsidP="00487742">
      <w:pPr>
        <w:pStyle w:val="FootnoteText"/>
      </w:pPr>
      <w:r w:rsidRPr="00801366">
        <w:rPr>
          <w:rStyle w:val="FootnoteReference"/>
        </w:rPr>
        <w:footnoteRef/>
      </w:r>
      <w:r w:rsidRPr="00801366">
        <w:t xml:space="preserve"> The possibility of similar challenges that are legitimate is </w:t>
      </w:r>
      <w:r>
        <w:t>highlighted</w:t>
      </w:r>
      <w:r w:rsidRPr="00801366">
        <w:t xml:space="preserve"> by Pepp, “Assertion, Lying, and Untruthfully Implicating,”</w:t>
      </w:r>
      <w:r>
        <w:t xml:space="preserve"> </w:t>
      </w:r>
      <w:r w:rsidRPr="00801366">
        <w:rPr>
          <w:i/>
          <w:iCs/>
        </w:rPr>
        <w:t>op. cit</w:t>
      </w:r>
      <w:r>
        <w:t>., pp. 834–36</w:t>
      </w:r>
      <w:r w:rsidRPr="00801366">
        <w:t xml:space="preserve">. </w:t>
      </w:r>
    </w:p>
  </w:footnote>
  <w:footnote w:id="55">
    <w:p w14:paraId="449AD7E7" w14:textId="01A64422" w:rsidR="001C0334" w:rsidRPr="00801366" w:rsidRDefault="001C0334" w:rsidP="00487742">
      <w:pPr>
        <w:pStyle w:val="FootnoteText"/>
      </w:pPr>
      <w:r w:rsidRPr="00801366">
        <w:rPr>
          <w:rStyle w:val="FootnoteReference"/>
        </w:rPr>
        <w:footnoteRef/>
      </w:r>
      <w:r w:rsidRPr="00801366">
        <w:t xml:space="preserve"> One might think, as a reviewer pointed out, that she can consistently dismiss the challenge by saying: “I never claimed that he is still fine.” However, this does not appear to be a dismissal of challenge (21), but rather of a stronger challenge. A natural response on behalf of the challenger would be: “You didn’t claim it, but you implied/suggested it. So</w:t>
      </w:r>
      <w:r>
        <w:t>,</w:t>
      </w:r>
      <w:r w:rsidRPr="00801366">
        <w:t xml:space="preserve"> what makes you think he is fine?” Once the challenge has been precisified in this way, it seems even clearer that a consistent dismissal is unavailable. Similar follow-up challenges are, of course, possible and likely in the other examples discussed. </w:t>
      </w:r>
    </w:p>
  </w:footnote>
  <w:footnote w:id="56">
    <w:p w14:paraId="4CA61544" w14:textId="1043DF76" w:rsidR="001C0334" w:rsidRPr="007057C1" w:rsidRDefault="001C0334">
      <w:pPr>
        <w:pStyle w:val="FootnoteText"/>
      </w:pPr>
      <w:r>
        <w:rPr>
          <w:rStyle w:val="FootnoteReference"/>
        </w:rPr>
        <w:footnoteRef/>
      </w:r>
      <w:r>
        <w:t xml:space="preserve"> I have argued that it is also possible to take on the required commitment, and thus to lie, through presenting pictures, cf. Viebahn, “Lying with Pictures,” </w:t>
      </w:r>
      <w:r w:rsidR="00BC0682">
        <w:rPr>
          <w:i/>
          <w:iCs/>
        </w:rPr>
        <w:t>op. cit</w:t>
      </w:r>
      <w:r>
        <w:t>.</w:t>
      </w:r>
    </w:p>
  </w:footnote>
  <w:footnote w:id="57">
    <w:p w14:paraId="0471DFC1" w14:textId="45CF2C66" w:rsidR="001C0334" w:rsidRPr="00801366" w:rsidRDefault="001C0334" w:rsidP="00487742">
      <w:pPr>
        <w:pStyle w:val="FootnoteText"/>
      </w:pPr>
      <w:r w:rsidRPr="00801366">
        <w:rPr>
          <w:rStyle w:val="FootnoteReference"/>
        </w:rPr>
        <w:footnoteRef/>
      </w:r>
      <w:r w:rsidRPr="00801366">
        <w:t xml:space="preserve"> García-Carpintero, “Sneaky Assertions,” </w:t>
      </w:r>
      <w:r w:rsidRPr="00801366">
        <w:rPr>
          <w:i/>
          <w:iCs/>
        </w:rPr>
        <w:t>op. cit.</w:t>
      </w:r>
      <w:r w:rsidRPr="00801366">
        <w:t xml:space="preserve">, </w:t>
      </w:r>
      <w:r>
        <w:t xml:space="preserve">p. </w:t>
      </w:r>
      <w:r w:rsidRPr="00801366">
        <w:t>208</w:t>
      </w:r>
      <w:r>
        <w:t>,</w:t>
      </w:r>
      <w:r w:rsidRPr="00801366">
        <w:t xml:space="preserve"> mentions a similar challenge in a different variant of the example (see Section </w:t>
      </w:r>
      <w:r w:rsidRPr="007057C1">
        <w:rPr>
          <w:smallCaps/>
        </w:rPr>
        <w:t>vi</w:t>
      </w:r>
      <w:r w:rsidRPr="00801366">
        <w:t xml:space="preserve">). </w:t>
      </w:r>
    </w:p>
  </w:footnote>
  <w:footnote w:id="58">
    <w:p w14:paraId="05158AAC" w14:textId="7F6BEC09" w:rsidR="001C0334" w:rsidRPr="007057C1" w:rsidRDefault="001C0334">
      <w:pPr>
        <w:pStyle w:val="FootnoteText"/>
      </w:pPr>
      <w:r>
        <w:rPr>
          <w:rStyle w:val="FootnoteReference"/>
        </w:rPr>
        <w:footnoteRef/>
      </w:r>
      <w:r>
        <w:t xml:space="preserve"> On this distinction, see</w:t>
      </w:r>
      <w:r w:rsidRPr="007057C1">
        <w:t xml:space="preserve"> </w:t>
      </w:r>
      <w:r>
        <w:t xml:space="preserve">Jörg </w:t>
      </w:r>
      <w:r w:rsidRPr="007057C1">
        <w:t>Meibauer</w:t>
      </w:r>
      <w:r>
        <w:t>,</w:t>
      </w:r>
      <w:r w:rsidRPr="007862E6">
        <w:t xml:space="preserve"> </w:t>
      </w:r>
      <w:r>
        <w:t>“</w:t>
      </w:r>
      <w:r w:rsidRPr="007862E6">
        <w:t>Implicature</w:t>
      </w:r>
      <w:r>
        <w:t>,”</w:t>
      </w:r>
      <w:r w:rsidRPr="007862E6">
        <w:t xml:space="preserve"> </w:t>
      </w:r>
      <w:r>
        <w:t>i</w:t>
      </w:r>
      <w:r w:rsidRPr="007862E6">
        <w:t>n: J</w:t>
      </w:r>
      <w:r>
        <w:t>acob L.</w:t>
      </w:r>
      <w:r w:rsidRPr="007862E6">
        <w:t xml:space="preserve"> </w:t>
      </w:r>
      <w:proofErr w:type="spellStart"/>
      <w:r w:rsidRPr="007862E6">
        <w:t>Mey</w:t>
      </w:r>
      <w:proofErr w:type="spellEnd"/>
      <w:r>
        <w:t xml:space="preserve">, </w:t>
      </w:r>
      <w:r w:rsidRPr="007862E6">
        <w:t>ed</w:t>
      </w:r>
      <w:r>
        <w:t>.,</w:t>
      </w:r>
      <w:r w:rsidRPr="007862E6">
        <w:t xml:space="preserve"> </w:t>
      </w:r>
      <w:r w:rsidRPr="007862E6">
        <w:rPr>
          <w:i/>
          <w:iCs/>
        </w:rPr>
        <w:t xml:space="preserve">Concise </w:t>
      </w:r>
      <w:proofErr w:type="spellStart"/>
      <w:r w:rsidR="005B37E5">
        <w:rPr>
          <w:i/>
          <w:iCs/>
        </w:rPr>
        <w:t>E</w:t>
      </w:r>
      <w:r w:rsidRPr="007862E6">
        <w:rPr>
          <w:i/>
          <w:iCs/>
        </w:rPr>
        <w:t>ncyclopedia</w:t>
      </w:r>
      <w:proofErr w:type="spellEnd"/>
      <w:r w:rsidRPr="007862E6">
        <w:rPr>
          <w:i/>
          <w:iCs/>
        </w:rPr>
        <w:t xml:space="preserve"> of </w:t>
      </w:r>
      <w:r w:rsidR="005B37E5">
        <w:rPr>
          <w:i/>
          <w:iCs/>
        </w:rPr>
        <w:t>P</w:t>
      </w:r>
      <w:r w:rsidRPr="007862E6">
        <w:rPr>
          <w:i/>
          <w:iCs/>
        </w:rPr>
        <w:t xml:space="preserve">ragmatics. </w:t>
      </w:r>
      <w:r>
        <w:t>(</w:t>
      </w:r>
      <w:r w:rsidRPr="007862E6">
        <w:t>Amsterdam: Elsevier</w:t>
      </w:r>
      <w:r>
        <w:t>, 2009), pp.</w:t>
      </w:r>
      <w:r w:rsidRPr="007862E6">
        <w:t xml:space="preserve"> 365–378</w:t>
      </w:r>
      <w:r>
        <w:t>, at p.</w:t>
      </w:r>
      <w:r w:rsidRPr="007057C1">
        <w:t xml:space="preserve"> 374</w:t>
      </w:r>
      <w:r>
        <w:t>; Alexander</w:t>
      </w:r>
      <w:r w:rsidRPr="007057C1">
        <w:t xml:space="preserve"> Dinges</w:t>
      </w:r>
      <w:r>
        <w:t>,</w:t>
      </w:r>
      <w:r w:rsidRPr="007057C1">
        <w:t xml:space="preserve"> </w:t>
      </w:r>
      <w:r>
        <w:t>“</w:t>
      </w:r>
      <w:r w:rsidRPr="009A53CD">
        <w:rPr>
          <w:lang w:val="en-US"/>
        </w:rPr>
        <w:t>Innocent implicatures</w:t>
      </w:r>
      <w:r>
        <w:rPr>
          <w:lang w:val="en-US"/>
        </w:rPr>
        <w:t>,”</w:t>
      </w:r>
      <w:r w:rsidRPr="009A53CD">
        <w:rPr>
          <w:lang w:val="en-US"/>
        </w:rPr>
        <w:t xml:space="preserve"> </w:t>
      </w:r>
      <w:r w:rsidRPr="009A53CD">
        <w:rPr>
          <w:i/>
          <w:lang w:val="en-US"/>
        </w:rPr>
        <w:t>Journal of Pragmatics</w:t>
      </w:r>
      <w:r>
        <w:rPr>
          <w:iCs/>
          <w:lang w:val="en-US"/>
        </w:rPr>
        <w:t>,</w:t>
      </w:r>
      <w:r w:rsidRPr="009A53CD">
        <w:rPr>
          <w:lang w:val="en-US"/>
        </w:rPr>
        <w:t xml:space="preserve"> </w:t>
      </w:r>
      <w:r w:rsidRPr="007862E6">
        <w:rPr>
          <w:smallCaps/>
        </w:rPr>
        <w:t>lxxxvi</w:t>
      </w:r>
      <w:r>
        <w:rPr>
          <w:smallCaps/>
        </w:rPr>
        <w:t>i (2015)</w:t>
      </w:r>
      <w:r w:rsidRPr="009A53CD">
        <w:rPr>
          <w:lang w:val="en-US"/>
        </w:rPr>
        <w:t>: 54–63</w:t>
      </w:r>
      <w:r>
        <w:rPr>
          <w:lang w:val="en-US"/>
        </w:rPr>
        <w:t>, at p.</w:t>
      </w:r>
      <w:r w:rsidRPr="007057C1">
        <w:t xml:space="preserve"> 56</w:t>
      </w:r>
      <w:r>
        <w:t xml:space="preserve">; </w:t>
      </w:r>
      <w:r w:rsidRPr="007057C1">
        <w:t>and Viebahn</w:t>
      </w:r>
      <w:r>
        <w:t xml:space="preserve">, “Non-literal lies,” </w:t>
      </w:r>
      <w:r w:rsidRPr="009A53CD">
        <w:rPr>
          <w:i/>
          <w:iCs/>
        </w:rPr>
        <w:t>op. cit</w:t>
      </w:r>
      <w:r>
        <w:t>., p.</w:t>
      </w:r>
      <w:r w:rsidRPr="007057C1">
        <w:t xml:space="preserve"> 1369</w:t>
      </w:r>
      <w:r>
        <w:t xml:space="preserve">. </w:t>
      </w:r>
    </w:p>
  </w:footnote>
  <w:footnote w:id="59">
    <w:p w14:paraId="59F7DB27" w14:textId="1FBCEF50" w:rsidR="001C0334" w:rsidRPr="00801366" w:rsidRDefault="001C0334" w:rsidP="004423CA">
      <w:pPr>
        <w:pStyle w:val="FootnoteText"/>
      </w:pPr>
      <w:r w:rsidRPr="00801366">
        <w:rPr>
          <w:rStyle w:val="FootnoteReference"/>
        </w:rPr>
        <w:footnoteRef/>
      </w:r>
      <w:r w:rsidRPr="00801366">
        <w:t xml:space="preserve"> I thus disagree with </w:t>
      </w:r>
      <w:proofErr w:type="spellStart"/>
      <w:r w:rsidRPr="00801366">
        <w:t>Kölbel’s</w:t>
      </w:r>
      <w:proofErr w:type="spellEnd"/>
      <w:r w:rsidRPr="00801366">
        <w:t xml:space="preserve"> claim that “in general, the point of implicatures is precisely to avoid any official commitment to the implicated information</w:t>
      </w:r>
      <w:r>
        <w:t>,</w:t>
      </w:r>
      <w:r w:rsidRPr="00801366">
        <w:t>”</w:t>
      </w:r>
      <w:r>
        <w:t xml:space="preserve"> cf. </w:t>
      </w:r>
      <w:r w:rsidRPr="007862E6">
        <w:t xml:space="preserve">Kölbel, “Conversational Score, Assertion and Testimony,” </w:t>
      </w:r>
      <w:r w:rsidRPr="007862E6">
        <w:rPr>
          <w:i/>
          <w:iCs/>
        </w:rPr>
        <w:t>op. cit</w:t>
      </w:r>
      <w:r>
        <w:t>., p.</w:t>
      </w:r>
      <w:r w:rsidRPr="00801366">
        <w:t xml:space="preserve"> 70; </w:t>
      </w:r>
      <w:r>
        <w:t xml:space="preserve">for similar comments also </w:t>
      </w:r>
      <w:r w:rsidRPr="00801366">
        <w:t xml:space="preserve">see </w:t>
      </w:r>
      <w:r>
        <w:t xml:space="preserve">Elizabeth </w:t>
      </w:r>
      <w:r w:rsidRPr="007862E6">
        <w:t>Fricker</w:t>
      </w:r>
      <w:r>
        <w:t>,</w:t>
      </w:r>
      <w:r w:rsidRPr="007862E6">
        <w:t xml:space="preserve"> </w:t>
      </w:r>
      <w:r>
        <w:t>“</w:t>
      </w:r>
      <w:r w:rsidRPr="007862E6">
        <w:t>Stating and Insinuating</w:t>
      </w:r>
      <w:r>
        <w:t>,”</w:t>
      </w:r>
      <w:r w:rsidRPr="007862E6">
        <w:t xml:space="preserve"> </w:t>
      </w:r>
      <w:r w:rsidRPr="007862E6">
        <w:rPr>
          <w:i/>
          <w:iCs/>
        </w:rPr>
        <w:t>Aristotelian Society Supplementary Volume</w:t>
      </w:r>
      <w:r w:rsidRPr="007862E6">
        <w:t xml:space="preserve"> </w:t>
      </w:r>
      <w:r w:rsidRPr="007862E6">
        <w:rPr>
          <w:smallCaps/>
        </w:rPr>
        <w:t>lxxxvi</w:t>
      </w:r>
      <w:r>
        <w:rPr>
          <w:smallCaps/>
        </w:rPr>
        <w:t>, (2012)</w:t>
      </w:r>
      <w:r w:rsidRPr="007862E6">
        <w:t>: 61–94</w:t>
      </w:r>
      <w:r>
        <w:t>, at p.</w:t>
      </w:r>
      <w:r w:rsidRPr="00801366">
        <w:t xml:space="preserve"> 86</w:t>
      </w:r>
      <w:r>
        <w:t>,</w:t>
      </w:r>
      <w:r w:rsidRPr="00801366">
        <w:t xml:space="preserve"> and </w:t>
      </w:r>
      <w:r>
        <w:t xml:space="preserve">Matthew A. </w:t>
      </w:r>
      <w:r w:rsidRPr="00801366">
        <w:t>Benton</w:t>
      </w:r>
      <w:r>
        <w:t>,</w:t>
      </w:r>
      <w:r w:rsidRPr="007862E6">
        <w:t xml:space="preserve"> </w:t>
      </w:r>
      <w:r>
        <w:t>“</w:t>
      </w:r>
      <w:r w:rsidRPr="007862E6">
        <w:t>Lying, Belief, and Knowledge</w:t>
      </w:r>
      <w:r>
        <w:t>,”</w:t>
      </w:r>
      <w:r w:rsidRPr="007862E6">
        <w:t xml:space="preserve"> </w:t>
      </w:r>
      <w:r>
        <w:t>i</w:t>
      </w:r>
      <w:r w:rsidRPr="007862E6">
        <w:t>n: J</w:t>
      </w:r>
      <w:r>
        <w:t>örg</w:t>
      </w:r>
      <w:r w:rsidRPr="007862E6">
        <w:t xml:space="preserve"> Meibauer</w:t>
      </w:r>
      <w:r>
        <w:t>,</w:t>
      </w:r>
      <w:r w:rsidRPr="007862E6">
        <w:t xml:space="preserve"> e</w:t>
      </w:r>
      <w:r>
        <w:t>d.,</w:t>
      </w:r>
      <w:r w:rsidRPr="007862E6">
        <w:t xml:space="preserve"> </w:t>
      </w:r>
      <w:r w:rsidRPr="007862E6">
        <w:rPr>
          <w:i/>
          <w:iCs/>
        </w:rPr>
        <w:t>The Oxford Handbook of Lying</w:t>
      </w:r>
      <w:r w:rsidRPr="007862E6">
        <w:t xml:space="preserve"> </w:t>
      </w:r>
      <w:r>
        <w:t>(</w:t>
      </w:r>
      <w:r w:rsidRPr="007862E6">
        <w:t>Oxford: Oxford University Press</w:t>
      </w:r>
      <w:r>
        <w:t>,</w:t>
      </w:r>
      <w:r w:rsidRPr="007862E6">
        <w:t xml:space="preserve"> </w:t>
      </w:r>
      <w:r w:rsidRPr="00801366">
        <w:t>2018</w:t>
      </w:r>
      <w:r>
        <w:t>), pp.</w:t>
      </w:r>
      <w:r w:rsidR="00556884">
        <w:t xml:space="preserve"> </w:t>
      </w:r>
      <w:r>
        <w:t xml:space="preserve">120–33, at p. </w:t>
      </w:r>
      <w:r w:rsidRPr="00801366">
        <w:t>130. I</w:t>
      </w:r>
      <w:r>
        <w:t>t seems</w:t>
      </w:r>
      <w:r w:rsidRPr="00801366">
        <w:t xml:space="preserve"> that substitutive implicatures and their lack of commitment-averting power are a good reason to reject such a general view.</w:t>
      </w:r>
      <w:r w:rsidR="004423CA">
        <w:t xml:space="preserve"> </w:t>
      </w:r>
      <w:r w:rsidR="004423CA" w:rsidRPr="004423CA">
        <w:t xml:space="preserve">How about </w:t>
      </w:r>
      <w:r w:rsidR="004423CA" w:rsidRPr="004423CA">
        <w:rPr>
          <w:i/>
          <w:iCs/>
        </w:rPr>
        <w:t>conventional</w:t>
      </w:r>
      <w:r w:rsidR="004423CA" w:rsidRPr="004423CA">
        <w:t xml:space="preserve"> implicatures? These appear to be committal, which fits with</w:t>
      </w:r>
      <w:r w:rsidR="004423CA">
        <w:t xml:space="preserve"> Stokke’s verdict that it is possible to lie with conventional implicatures. See Andreas Stokke, “Conventional Implicature, Presupposition, and Lying,” </w:t>
      </w:r>
      <w:r w:rsidR="004423CA" w:rsidRPr="004423CA">
        <w:rPr>
          <w:i/>
          <w:iCs/>
        </w:rPr>
        <w:t>Aristotelian Society Supplementary Volume</w:t>
      </w:r>
      <w:r w:rsidR="004423CA">
        <w:t xml:space="preserve"> </w:t>
      </w:r>
      <w:r w:rsidR="00556884" w:rsidRPr="00556884">
        <w:rPr>
          <w:smallCaps/>
        </w:rPr>
        <w:t>xci</w:t>
      </w:r>
      <w:r w:rsidR="00556884">
        <w:t>, 1 (June 2017)</w:t>
      </w:r>
      <w:r w:rsidR="004423CA">
        <w:t>: 127–47.</w:t>
      </w:r>
    </w:p>
  </w:footnote>
  <w:footnote w:id="60">
    <w:p w14:paraId="1284128D" w14:textId="33D26449" w:rsidR="001C0334" w:rsidRPr="00801366" w:rsidRDefault="001C0334" w:rsidP="00487742">
      <w:pPr>
        <w:pStyle w:val="FootnoteText"/>
      </w:pPr>
      <w:r w:rsidRPr="00801366">
        <w:rPr>
          <w:rStyle w:val="FootnoteReference"/>
        </w:rPr>
        <w:footnoteRef/>
      </w:r>
      <w:r w:rsidRPr="00801366">
        <w:t xml:space="preserve"> One reason this rule of thumb is rough and might have to be revised is given by substitutive implicatures in ironic utterances, such as (8). If it turns out that speakers can consistently dismiss knowledge-challenges following ironic utterances (in cases in which there is no other commitment-averting device in play), then at least some substitutive implicatures can be used to avoid commitment. </w:t>
      </w:r>
    </w:p>
  </w:footnote>
  <w:footnote w:id="61">
    <w:p w14:paraId="4566FC2D" w14:textId="2B5D7125" w:rsidR="001C0334" w:rsidRPr="009A53CD" w:rsidRDefault="001C0334">
      <w:pPr>
        <w:pStyle w:val="FootnoteText"/>
      </w:pPr>
      <w:r>
        <w:rPr>
          <w:rStyle w:val="FootnoteReference"/>
        </w:rPr>
        <w:footnoteRef/>
      </w:r>
      <w:r>
        <w:t xml:space="preserve"> C</w:t>
      </w:r>
      <w:r w:rsidRPr="009A53CD">
        <w:t>f.</w:t>
      </w:r>
      <w:r>
        <w:t xml:space="preserve"> </w:t>
      </w:r>
      <w:r w:rsidRPr="00801366">
        <w:t xml:space="preserve">Grice, </w:t>
      </w:r>
      <w:r w:rsidRPr="00801366">
        <w:rPr>
          <w:i/>
        </w:rPr>
        <w:t>Studies in the Way of Words</w:t>
      </w:r>
      <w:r>
        <w:t xml:space="preserve">, </w:t>
      </w:r>
      <w:r w:rsidRPr="009A53CD">
        <w:rPr>
          <w:i/>
          <w:iCs/>
        </w:rPr>
        <w:t>op. cit</w:t>
      </w:r>
      <w:r>
        <w:t>., pp.</w:t>
      </w:r>
      <w:r w:rsidRPr="009A53CD">
        <w:t xml:space="preserve"> 31–40</w:t>
      </w:r>
      <w:r>
        <w:t xml:space="preserve">. </w:t>
      </w:r>
    </w:p>
  </w:footnote>
  <w:footnote w:id="62">
    <w:p w14:paraId="7E2FF482" w14:textId="391856B1" w:rsidR="001C0334" w:rsidRPr="009A53CD" w:rsidRDefault="001C0334">
      <w:pPr>
        <w:pStyle w:val="FootnoteText"/>
      </w:pPr>
      <w:r>
        <w:rPr>
          <w:rStyle w:val="FootnoteReference"/>
        </w:rPr>
        <w:footnoteRef/>
      </w:r>
      <w:r>
        <w:t xml:space="preserve"> </w:t>
      </w:r>
      <w:r>
        <w:rPr>
          <w:i/>
          <w:iCs/>
        </w:rPr>
        <w:t>Ibid.</w:t>
      </w:r>
      <w:r>
        <w:t xml:space="preserve">, p. 32. </w:t>
      </w:r>
    </w:p>
  </w:footnote>
  <w:footnote w:id="63">
    <w:p w14:paraId="495D2EB0" w14:textId="31D6C988" w:rsidR="001C0334" w:rsidRPr="00801366" w:rsidRDefault="001C0334" w:rsidP="00487742">
      <w:pPr>
        <w:pStyle w:val="FootnoteText"/>
      </w:pPr>
      <w:r w:rsidRPr="00801366">
        <w:rPr>
          <w:rStyle w:val="FootnoteReference"/>
        </w:rPr>
        <w:footnoteRef/>
      </w:r>
      <w:r w:rsidRPr="00801366">
        <w:t xml:space="preserve"> See </w:t>
      </w:r>
      <w:r w:rsidRPr="00340E67">
        <w:t xml:space="preserve">Pepp, “Assertion, Lying, and Untruthfully Implicating,” </w:t>
      </w:r>
      <w:r w:rsidRPr="00340E67">
        <w:rPr>
          <w:i/>
          <w:iCs/>
        </w:rPr>
        <w:t>op. cit</w:t>
      </w:r>
      <w:r w:rsidRPr="00340E67">
        <w:t>., pp. 83</w:t>
      </w:r>
      <w:r>
        <w:t>0</w:t>
      </w:r>
      <w:r w:rsidRPr="00340E67">
        <w:t>–3</w:t>
      </w:r>
      <w:r>
        <w:t>2,</w:t>
      </w:r>
      <w:r w:rsidRPr="00801366">
        <w:t xml:space="preserve"> for a helpful discussion of this point. Pepp rightly mentions that a lack of commitment may have to do with other commitment-averting devices, such as hedges or intonation. Grice, however, does not mention or describe any other hedging devices in giving the examples.  </w:t>
      </w:r>
    </w:p>
  </w:footnote>
  <w:footnote w:id="64">
    <w:p w14:paraId="7543427E" w14:textId="74D84F9A" w:rsidR="001C0334" w:rsidRPr="009A53CD" w:rsidRDefault="001C0334">
      <w:pPr>
        <w:pStyle w:val="FootnoteText"/>
      </w:pPr>
      <w:r>
        <w:rPr>
          <w:rStyle w:val="FootnoteReference"/>
        </w:rPr>
        <w:footnoteRef/>
      </w:r>
      <w:r>
        <w:t xml:space="preserve"> C</w:t>
      </w:r>
      <w:r w:rsidRPr="009A53CD">
        <w:t>f.</w:t>
      </w:r>
      <w:r>
        <w:t xml:space="preserve"> </w:t>
      </w:r>
      <w:r w:rsidRPr="00801366">
        <w:t xml:space="preserve">Grice, </w:t>
      </w:r>
      <w:r w:rsidRPr="00801366">
        <w:rPr>
          <w:i/>
        </w:rPr>
        <w:t>Studies in the Way of Words</w:t>
      </w:r>
      <w:r>
        <w:t xml:space="preserve">, </w:t>
      </w:r>
      <w:r w:rsidRPr="009A53CD">
        <w:rPr>
          <w:i/>
          <w:iCs/>
        </w:rPr>
        <w:t>op. cit</w:t>
      </w:r>
      <w:r>
        <w:t xml:space="preserve">., p. 33.  </w:t>
      </w:r>
    </w:p>
  </w:footnote>
  <w:footnote w:id="65">
    <w:p w14:paraId="18FAA75D" w14:textId="026A3CC6" w:rsidR="001C0334" w:rsidRPr="00801366" w:rsidRDefault="001C0334" w:rsidP="00487742">
      <w:pPr>
        <w:pStyle w:val="FootnoteText"/>
      </w:pPr>
      <w:r w:rsidRPr="00801366">
        <w:rPr>
          <w:rStyle w:val="FootnoteReference"/>
        </w:rPr>
        <w:footnoteRef/>
      </w:r>
      <w:r w:rsidRPr="00801366">
        <w:t xml:space="preserve"> Some support for this view is also offered by the empirical results of </w:t>
      </w:r>
      <w:proofErr w:type="spellStart"/>
      <w:r w:rsidRPr="00801366">
        <w:t>Mazzarella</w:t>
      </w:r>
      <w:proofErr w:type="spellEnd"/>
      <w:r w:rsidRPr="00801366">
        <w:t xml:space="preserve"> </w:t>
      </w:r>
      <w:r w:rsidRPr="00340E67">
        <w:rPr>
          <w:i/>
          <w:iCs/>
        </w:rPr>
        <w:t>et</w:t>
      </w:r>
      <w:r>
        <w:rPr>
          <w:i/>
          <w:iCs/>
        </w:rPr>
        <w:t>.</w:t>
      </w:r>
      <w:r w:rsidRPr="00340E67">
        <w:rPr>
          <w:i/>
          <w:iCs/>
        </w:rPr>
        <w:t xml:space="preserve"> al</w:t>
      </w:r>
      <w:r>
        <w:rPr>
          <w:i/>
          <w:iCs/>
        </w:rPr>
        <w:t>.</w:t>
      </w:r>
      <w:r>
        <w:t>,</w:t>
      </w:r>
      <w:r w:rsidRPr="00801366">
        <w:t xml:space="preserve"> </w:t>
      </w:r>
      <w:r>
        <w:t>“</w:t>
      </w:r>
      <w:r w:rsidRPr="00801366">
        <w:t>Saying, presupposing and implicating: How pragmatics modulates commitment</w:t>
      </w:r>
      <w:r>
        <w:t xml:space="preserve">,” </w:t>
      </w:r>
      <w:r w:rsidRPr="005F5490">
        <w:rPr>
          <w:i/>
          <w:iCs/>
        </w:rPr>
        <w:t>op. cit</w:t>
      </w:r>
      <w:r>
        <w:t>.</w:t>
      </w:r>
      <w:r w:rsidRPr="00801366">
        <w:t xml:space="preserve">, who found that participants judged speakers to be committed to what they said and what they presupposed, but not to certain additive conversational implicatures. An anonymous reviewer noted that the letter writer in Grice’s example can consistently dismiss knowledge-challenges with respect to the implicature, which would point towards a lack of commitment. I think it is unclear whether the letter writer indeed avoids the relevant commitment. It seems that he </w:t>
      </w:r>
      <w:r w:rsidRPr="00801366">
        <w:rPr>
          <w:i/>
          <w:iCs/>
        </w:rPr>
        <w:t>would</w:t>
      </w:r>
      <w:r w:rsidRPr="00801366">
        <w:t xml:space="preserve"> be inconsistent if he were to reply: “I didn’t commit myself to Mr. X being no good at philosophy.” Still, I do not wish to insist on the committal nature of this particular implicature, and there are likely to be </w:t>
      </w:r>
      <w:r>
        <w:t>clearer</w:t>
      </w:r>
      <w:r w:rsidRPr="00801366">
        <w:t xml:space="preserve"> examples of committal additive implicatures. </w:t>
      </w:r>
    </w:p>
  </w:footnote>
  <w:footnote w:id="66">
    <w:p w14:paraId="3530DA0B" w14:textId="2CC60A8B" w:rsidR="001C0334" w:rsidRPr="00801366" w:rsidRDefault="001C0334" w:rsidP="00487742">
      <w:pPr>
        <w:pStyle w:val="FootnoteText"/>
      </w:pPr>
      <w:r w:rsidRPr="00801366">
        <w:rPr>
          <w:rStyle w:val="FootnoteReference"/>
        </w:rPr>
        <w:footnoteRef/>
      </w:r>
      <w:r w:rsidRPr="00801366">
        <w:t xml:space="preserve"> Interestingly, recent empirical work suggests that the folk concept of lying does allow for the possibility of lying with at least some additive implicatures</w:t>
      </w:r>
      <w:r>
        <w:t xml:space="preserve">. For a helpful overview, </w:t>
      </w:r>
      <w:r w:rsidRPr="00801366">
        <w:t xml:space="preserve">see </w:t>
      </w:r>
      <w:r>
        <w:t xml:space="preserve">Alex </w:t>
      </w:r>
      <w:r w:rsidRPr="00801366">
        <w:t xml:space="preserve">Wiegmann </w:t>
      </w:r>
      <w:r>
        <w:t>and Jörg</w:t>
      </w:r>
      <w:r w:rsidRPr="00801366">
        <w:t xml:space="preserve"> Meibauer</w:t>
      </w:r>
      <w:r>
        <w:t>,</w:t>
      </w:r>
      <w:r w:rsidRPr="005F5490">
        <w:t xml:space="preserve"> </w:t>
      </w:r>
      <w:r>
        <w:t>“</w:t>
      </w:r>
      <w:r w:rsidRPr="005F5490">
        <w:t>The folk concept of lying</w:t>
      </w:r>
      <w:r>
        <w:t>,”</w:t>
      </w:r>
      <w:r w:rsidRPr="005F5490">
        <w:t xml:space="preserve"> </w:t>
      </w:r>
      <w:r w:rsidRPr="005F5490">
        <w:rPr>
          <w:i/>
          <w:iCs/>
        </w:rPr>
        <w:t>Philosophy Compass</w:t>
      </w:r>
      <w:r>
        <w:t>,</w:t>
      </w:r>
      <w:r w:rsidRPr="005F5490">
        <w:t xml:space="preserve"> </w:t>
      </w:r>
      <w:r w:rsidRPr="005F5490">
        <w:rPr>
          <w:smallCaps/>
        </w:rPr>
        <w:t>xiv</w:t>
      </w:r>
      <w:r>
        <w:t>, 8 (August 2019)</w:t>
      </w:r>
      <w:r w:rsidRPr="005F5490">
        <w:t>: e12620.</w:t>
      </w:r>
    </w:p>
  </w:footnote>
  <w:footnote w:id="67">
    <w:p w14:paraId="3D7F10A9" w14:textId="47813705" w:rsidR="001C0334" w:rsidRPr="005F5490" w:rsidRDefault="001C0334">
      <w:pPr>
        <w:pStyle w:val="FootnoteText"/>
      </w:pPr>
      <w:r>
        <w:rPr>
          <w:rStyle w:val="FootnoteReference"/>
        </w:rPr>
        <w:footnoteRef/>
      </w:r>
      <w:r>
        <w:t xml:space="preserve"> </w:t>
      </w:r>
      <w:r w:rsidRPr="00801366">
        <w:t xml:space="preserve">Carson, “The Definition of Lying,” </w:t>
      </w:r>
      <w:r w:rsidRPr="00801366">
        <w:rPr>
          <w:i/>
          <w:iCs/>
        </w:rPr>
        <w:t>op. cit</w:t>
      </w:r>
      <w:r w:rsidRPr="00801366">
        <w:t>.,</w:t>
      </w:r>
      <w:r>
        <w:t xml:space="preserve"> p. 290. </w:t>
      </w:r>
    </w:p>
  </w:footnote>
  <w:footnote w:id="68">
    <w:p w14:paraId="59D736EC" w14:textId="171DE69E" w:rsidR="001C0334" w:rsidRPr="00801366" w:rsidRDefault="001C0334" w:rsidP="00487742">
      <w:pPr>
        <w:pStyle w:val="FootnoteText"/>
      </w:pPr>
      <w:r w:rsidRPr="00801366">
        <w:rPr>
          <w:rStyle w:val="FootnoteReference"/>
        </w:rPr>
        <w:footnoteRef/>
      </w:r>
      <w:r w:rsidRPr="00801366">
        <w:t xml:space="preserve"> Some theorists disagree with this verdict. For instance, </w:t>
      </w:r>
      <w:r>
        <w:t xml:space="preserve">Jennifer </w:t>
      </w:r>
      <w:r w:rsidRPr="00801366">
        <w:t>Lackey</w:t>
      </w:r>
      <w:r>
        <w:t>,</w:t>
      </w:r>
      <w:r w:rsidRPr="005F5490">
        <w:t xml:space="preserve"> </w:t>
      </w:r>
      <w:r>
        <w:t>“</w:t>
      </w:r>
      <w:r w:rsidRPr="005F5490">
        <w:t>Lies and deception: an unhappy divorce</w:t>
      </w:r>
      <w:r>
        <w:t>,”</w:t>
      </w:r>
      <w:r w:rsidRPr="005F5490">
        <w:t xml:space="preserve"> </w:t>
      </w:r>
      <w:r w:rsidRPr="005F5490">
        <w:rPr>
          <w:i/>
          <w:iCs/>
        </w:rPr>
        <w:t>Analysis</w:t>
      </w:r>
      <w:r>
        <w:t>,</w:t>
      </w:r>
      <w:r w:rsidRPr="005F5490">
        <w:t xml:space="preserve"> </w:t>
      </w:r>
      <w:r w:rsidRPr="005F5490">
        <w:rPr>
          <w:smallCaps/>
        </w:rPr>
        <w:t>lxxiii</w:t>
      </w:r>
      <w:r>
        <w:t>, 2 (April 2013):</w:t>
      </w:r>
      <w:r w:rsidRPr="005F5490">
        <w:t xml:space="preserve"> 236–248</w:t>
      </w:r>
      <w:r>
        <w:t>,</w:t>
      </w:r>
      <w:r w:rsidRPr="00801366">
        <w:t xml:space="preserve"> has argued that bald-faced lies are deceptive after all. </w:t>
      </w:r>
    </w:p>
  </w:footnote>
  <w:footnote w:id="69">
    <w:p w14:paraId="0885466C" w14:textId="0056BA4A" w:rsidR="001C0334" w:rsidRPr="00801366" w:rsidRDefault="001C0334" w:rsidP="00487742">
      <w:pPr>
        <w:pStyle w:val="FootnoteText"/>
      </w:pPr>
      <w:r w:rsidRPr="00801366">
        <w:rPr>
          <w:rStyle w:val="FootnoteReference"/>
        </w:rPr>
        <w:footnoteRef/>
      </w:r>
      <w:r w:rsidRPr="00801366">
        <w:t xml:space="preserve"> In this case, it would be more natural to use a challenge that does not question the speaker’s </w:t>
      </w:r>
      <w:r w:rsidRPr="00801366">
        <w:rPr>
          <w:i/>
          <w:iCs/>
        </w:rPr>
        <w:t>knowledge</w:t>
      </w:r>
      <w:r w:rsidRPr="00801366">
        <w:t xml:space="preserve"> (</w:t>
      </w:r>
      <w:r w:rsidR="005E15F5">
        <w:t xml:space="preserve">such as </w:t>
      </w:r>
      <w:r w:rsidRPr="00801366">
        <w:t xml:space="preserve">“Are you really sure that you didn’t cheat?”). This shows that various factors (beyond the nature of the original utterance) can influence which kinds of challenges sound natural. </w:t>
      </w:r>
    </w:p>
  </w:footnote>
  <w:footnote w:id="70">
    <w:p w14:paraId="3530E1B0" w14:textId="19D7A269" w:rsidR="001C0334" w:rsidRPr="003D29EB" w:rsidRDefault="001C0334">
      <w:pPr>
        <w:pStyle w:val="FootnoteText"/>
        <w:rPr>
          <w:lang w:val="en-US"/>
        </w:rPr>
      </w:pPr>
      <w:r>
        <w:rPr>
          <w:rStyle w:val="FootnoteReference"/>
        </w:rPr>
        <w:footnoteRef/>
      </w:r>
      <w:r>
        <w:t xml:space="preserve"> Cf. Stokke, </w:t>
      </w:r>
      <w:r>
        <w:rPr>
          <w:i/>
          <w:iCs/>
        </w:rPr>
        <w:t xml:space="preserve">Lying and </w:t>
      </w:r>
      <w:r w:rsidRPr="00685196">
        <w:rPr>
          <w:i/>
          <w:iCs/>
        </w:rPr>
        <w:t>Insincerity</w:t>
      </w:r>
      <w:r>
        <w:t xml:space="preserve">, </w:t>
      </w:r>
      <w:r w:rsidRPr="00685196">
        <w:rPr>
          <w:i/>
          <w:iCs/>
        </w:rPr>
        <w:t>op. cit</w:t>
      </w:r>
      <w:r>
        <w:t>., p.</w:t>
      </w:r>
      <w:r w:rsidRPr="005F5490">
        <w:t xml:space="preserve"> 20</w:t>
      </w:r>
      <w:r>
        <w:t>.</w:t>
      </w:r>
      <w:r w:rsidRPr="005F5490">
        <w:t xml:space="preserve"> </w:t>
      </w:r>
      <w:r w:rsidR="00D16D09">
        <w:t>For contrary remarks, see</w:t>
      </w:r>
      <w:r>
        <w:t xml:space="preserve"> Jessica </w:t>
      </w:r>
      <w:r w:rsidRPr="005F5490">
        <w:t>Keiser</w:t>
      </w:r>
      <w:r>
        <w:t>, “</w:t>
      </w:r>
      <w:r w:rsidRPr="004F4B65">
        <w:t>Bald-faced lies: how to make a move in a language game without making a move in a conversation</w:t>
      </w:r>
      <w:r>
        <w:t xml:space="preserve">,” </w:t>
      </w:r>
      <w:r>
        <w:rPr>
          <w:i/>
          <w:iCs/>
        </w:rPr>
        <w:t>Philosophical Studies</w:t>
      </w:r>
      <w:r>
        <w:t>,</w:t>
      </w:r>
      <w:r>
        <w:rPr>
          <w:i/>
          <w:iCs/>
        </w:rPr>
        <w:t xml:space="preserve"> </w:t>
      </w:r>
      <w:r w:rsidRPr="00AF7513">
        <w:rPr>
          <w:smallCaps/>
        </w:rPr>
        <w:t>clxxiii</w:t>
      </w:r>
      <w:r>
        <w:t xml:space="preserve">, 2 (February 2016): 461–77, </w:t>
      </w:r>
      <w:r w:rsidRPr="005F5490">
        <w:t>and Maitra</w:t>
      </w:r>
      <w:r>
        <w:t>, “</w:t>
      </w:r>
      <w:r w:rsidRPr="00AF7513">
        <w:t>Lying, Acting, and Asserting</w:t>
      </w:r>
      <w:r>
        <w:t xml:space="preserve">,” </w:t>
      </w:r>
      <w:r w:rsidRPr="00AF7513">
        <w:rPr>
          <w:i/>
          <w:iCs/>
        </w:rPr>
        <w:t>op. cit</w:t>
      </w:r>
      <w:r>
        <w:t xml:space="preserve">. </w:t>
      </w:r>
    </w:p>
  </w:footnote>
  <w:footnote w:id="71">
    <w:p w14:paraId="115EB143" w14:textId="2DD73E72" w:rsidR="001C0334" w:rsidRPr="00964DDE" w:rsidRDefault="001C0334" w:rsidP="00964DDE">
      <w:pPr>
        <w:pStyle w:val="FootnoteText"/>
      </w:pPr>
      <w:r>
        <w:rPr>
          <w:rStyle w:val="FootnoteReference"/>
        </w:rPr>
        <w:footnoteRef/>
      </w:r>
      <w:r>
        <w:t xml:space="preserve"> Fallis, “</w:t>
      </w:r>
      <w:r w:rsidRPr="00964DDE">
        <w:t>What is Lying?</w:t>
      </w:r>
      <w:r>
        <w:t xml:space="preserve">”, </w:t>
      </w:r>
      <w:r w:rsidRPr="006F299B">
        <w:rPr>
          <w:i/>
          <w:iCs/>
        </w:rPr>
        <w:t>op. cit</w:t>
      </w:r>
      <w:r>
        <w:t xml:space="preserve">., p. 49. </w:t>
      </w:r>
      <w:r w:rsidR="005B37E5">
        <w:t>For relevant discussion, a</w:t>
      </w:r>
      <w:r>
        <w:t xml:space="preserve">lso see </w:t>
      </w:r>
      <w:r w:rsidR="00D16D09">
        <w:t>Jörg Meibauer, “</w:t>
      </w:r>
      <w:proofErr w:type="spellStart"/>
      <w:r w:rsidR="00D16D09">
        <w:t>Konzepte</w:t>
      </w:r>
      <w:proofErr w:type="spellEnd"/>
      <w:r w:rsidR="00D16D09">
        <w:t xml:space="preserve"> des </w:t>
      </w:r>
      <w:proofErr w:type="spellStart"/>
      <w:r w:rsidR="00D16D09">
        <w:t>Lügens</w:t>
      </w:r>
      <w:proofErr w:type="spellEnd"/>
      <w:r w:rsidR="00D16D09">
        <w:t xml:space="preserve">,” </w:t>
      </w:r>
      <w:proofErr w:type="spellStart"/>
      <w:r w:rsidR="00D16D09">
        <w:rPr>
          <w:i/>
          <w:iCs/>
        </w:rPr>
        <w:t>Zeitschrift</w:t>
      </w:r>
      <w:proofErr w:type="spellEnd"/>
      <w:r w:rsidR="00D16D09">
        <w:rPr>
          <w:i/>
          <w:iCs/>
        </w:rPr>
        <w:t xml:space="preserve"> für </w:t>
      </w:r>
      <w:proofErr w:type="spellStart"/>
      <w:r w:rsidR="00D16D09">
        <w:rPr>
          <w:i/>
          <w:iCs/>
        </w:rPr>
        <w:t>Sprachwissenschaft</w:t>
      </w:r>
      <w:proofErr w:type="spellEnd"/>
      <w:r w:rsidR="00D16D09">
        <w:t xml:space="preserve"> </w:t>
      </w:r>
      <w:r w:rsidR="00D16D09" w:rsidRPr="00AF7513">
        <w:rPr>
          <w:smallCaps/>
        </w:rPr>
        <w:t>xx</w:t>
      </w:r>
      <w:r w:rsidR="00D16D09">
        <w:rPr>
          <w:smallCaps/>
        </w:rPr>
        <w:t>x</w:t>
      </w:r>
      <w:r w:rsidR="00D16D09" w:rsidRPr="00AF7513">
        <w:rPr>
          <w:smallCaps/>
        </w:rPr>
        <w:t>i</w:t>
      </w:r>
      <w:r w:rsidR="00D16D09">
        <w:rPr>
          <w:smallCaps/>
        </w:rPr>
        <w:t>v</w:t>
      </w:r>
      <w:r w:rsidR="00D16D09">
        <w:t xml:space="preserve">, 2 (November 2015): 175–212, at pp. 195–97; </w:t>
      </w:r>
      <w:proofErr w:type="spellStart"/>
      <w:r>
        <w:t>Neri</w:t>
      </w:r>
      <w:proofErr w:type="spellEnd"/>
      <w:r>
        <w:t xml:space="preserve"> Marsili, “Lying as a scalar phenomenon: Insincerity along the certainty-uncertainty continuum,” in: </w:t>
      </w:r>
      <w:proofErr w:type="spellStart"/>
      <w:r>
        <w:t>Sibilla</w:t>
      </w:r>
      <w:proofErr w:type="spellEnd"/>
      <w:r>
        <w:t xml:space="preserve"> </w:t>
      </w:r>
      <w:proofErr w:type="spellStart"/>
      <w:r>
        <w:t>Cantarini</w:t>
      </w:r>
      <w:proofErr w:type="spellEnd"/>
      <w:r>
        <w:t xml:space="preserve">, Werner Abraham, and Elisabeth </w:t>
      </w:r>
      <w:proofErr w:type="spellStart"/>
      <w:r>
        <w:t>Leiss</w:t>
      </w:r>
      <w:proofErr w:type="spellEnd"/>
      <w:r>
        <w:t xml:space="preserve">, eds., </w:t>
      </w:r>
      <w:r w:rsidRPr="00964DDE">
        <w:rPr>
          <w:i/>
          <w:iCs/>
        </w:rPr>
        <w:t>Certainty-uncertainty – and the Attitudinal Space in Between</w:t>
      </w:r>
      <w:r>
        <w:rPr>
          <w:i/>
          <w:iCs/>
        </w:rPr>
        <w:t xml:space="preserve"> </w:t>
      </w:r>
      <w:r>
        <w:t>(</w:t>
      </w:r>
      <w:r w:rsidRPr="006F299B">
        <w:t xml:space="preserve">Amsterdam (Philadelphia): John </w:t>
      </w:r>
      <w:proofErr w:type="spellStart"/>
      <w:r w:rsidRPr="006F299B">
        <w:t>Benjamins</w:t>
      </w:r>
      <w:proofErr w:type="spellEnd"/>
      <w:r w:rsidRPr="006F299B">
        <w:t>,</w:t>
      </w:r>
      <w:r>
        <w:t xml:space="preserve"> 2014), pp. 153–73, at pp. 164–68</w:t>
      </w:r>
      <w:r w:rsidR="005B37E5">
        <w:t xml:space="preserve">. </w:t>
      </w:r>
    </w:p>
  </w:footnote>
  <w:footnote w:id="72">
    <w:p w14:paraId="4B59AB31" w14:textId="4C0644BD" w:rsidR="001C0334" w:rsidRPr="003D29EB" w:rsidRDefault="001C0334">
      <w:pPr>
        <w:pStyle w:val="FootnoteText"/>
        <w:rPr>
          <w:lang w:val="en-US"/>
        </w:rPr>
      </w:pPr>
      <w:r>
        <w:rPr>
          <w:rStyle w:val="FootnoteReference"/>
        </w:rPr>
        <w:footnoteRef/>
      </w:r>
      <w:r>
        <w:t xml:space="preserve"> Fallis, “</w:t>
      </w:r>
      <w:r w:rsidRPr="00964DDE">
        <w:t>What is Lying?</w:t>
      </w:r>
      <w:r>
        <w:t xml:space="preserve">”, </w:t>
      </w:r>
      <w:r w:rsidRPr="006F299B">
        <w:rPr>
          <w:i/>
          <w:iCs/>
        </w:rPr>
        <w:t>op. cit</w:t>
      </w:r>
      <w:r>
        <w:t>., p. 49.</w:t>
      </w:r>
    </w:p>
  </w:footnote>
  <w:footnote w:id="73">
    <w:p w14:paraId="0B59D889" w14:textId="4FE1E4FD" w:rsidR="001C0334" w:rsidRPr="003D29EB" w:rsidRDefault="001C0334">
      <w:pPr>
        <w:pStyle w:val="FootnoteText"/>
        <w:rPr>
          <w:lang w:val="en-US"/>
        </w:rPr>
      </w:pPr>
      <w:r>
        <w:rPr>
          <w:rStyle w:val="FootnoteReference"/>
        </w:rPr>
        <w:footnoteRef/>
      </w:r>
      <w:r>
        <w:t xml:space="preserve"> Cf</w:t>
      </w:r>
      <w:r w:rsidRPr="006F299B">
        <w:t xml:space="preserve">. Carson, </w:t>
      </w:r>
      <w:r w:rsidRPr="006F299B">
        <w:rPr>
          <w:i/>
        </w:rPr>
        <w:t>Lying and Deception</w:t>
      </w:r>
      <w:r w:rsidRPr="006F299B">
        <w:t xml:space="preserve">, </w:t>
      </w:r>
      <w:r w:rsidRPr="006F299B">
        <w:rPr>
          <w:i/>
          <w:iCs/>
        </w:rPr>
        <w:t>op. cit.</w:t>
      </w:r>
      <w:r w:rsidRPr="006F299B">
        <w:t>,</w:t>
      </w:r>
      <w:r>
        <w:t xml:space="preserve"> p.</w:t>
      </w:r>
      <w:r w:rsidRPr="006F299B">
        <w:t xml:space="preserve"> 38</w:t>
      </w:r>
      <w:r>
        <w:t xml:space="preserve">. </w:t>
      </w:r>
    </w:p>
  </w:footnote>
  <w:footnote w:id="74">
    <w:p w14:paraId="71C8D7B1" w14:textId="544C44C8" w:rsidR="001C0334" w:rsidRPr="00801366" w:rsidRDefault="001C0334" w:rsidP="00487742">
      <w:pPr>
        <w:pStyle w:val="FootnoteText"/>
      </w:pPr>
      <w:r w:rsidRPr="00801366">
        <w:rPr>
          <w:rStyle w:val="FootnoteReference"/>
        </w:rPr>
        <w:footnoteRef/>
      </w:r>
      <w:r w:rsidRPr="00801366">
        <w:t xml:space="preserve"> </w:t>
      </w:r>
      <w:r w:rsidRPr="005F5490">
        <w:t>Maitra</w:t>
      </w:r>
      <w:r>
        <w:t>, “</w:t>
      </w:r>
      <w:r w:rsidRPr="00AF7513">
        <w:t>Lying, Acting, and Asserting</w:t>
      </w:r>
      <w:r>
        <w:t xml:space="preserve">,” </w:t>
      </w:r>
      <w:r w:rsidRPr="00AF7513">
        <w:rPr>
          <w:i/>
          <w:iCs/>
        </w:rPr>
        <w:t>op. cit</w:t>
      </w:r>
      <w:r>
        <w:t>., pp.</w:t>
      </w:r>
      <w:r w:rsidRPr="00801366">
        <w:t xml:space="preserve"> 69–70</w:t>
      </w:r>
      <w:r>
        <w:t>,</w:t>
      </w:r>
      <w:r w:rsidRPr="00801366">
        <w:t xml:space="preserve"> reports similar intuitions about examples involving speech-acts weaker than assertion. It is worth noting that there will be cases in which it is indeterminate whether a speaker has committed herself to a proposition. In such cases, it can be indeterminate whether the speaker has lied or merely </w:t>
      </w:r>
      <w:r w:rsidR="00937F47">
        <w:t>attempted to m</w:t>
      </w:r>
      <w:r w:rsidRPr="00801366">
        <w:t>isle</w:t>
      </w:r>
      <w:r w:rsidR="00937F47">
        <w:t>a</w:t>
      </w:r>
      <w:r w:rsidRPr="00801366">
        <w:t xml:space="preserve">d: (D4) and (D5) imply that the border between lying and mere misleading is fuzzy. Such vagueness is to be expected for natural language expressions such as </w:t>
      </w:r>
      <w:r w:rsidR="00197EE6">
        <w:t>‘</w:t>
      </w:r>
      <w:r w:rsidRPr="00801366">
        <w:t>lying</w:t>
      </w:r>
      <w:r w:rsidR="00197EE6">
        <w:t>’</w:t>
      </w:r>
      <w:r w:rsidRPr="00801366">
        <w:t xml:space="preserve"> and </w:t>
      </w:r>
      <w:r w:rsidR="00197EE6">
        <w:t>‘m</w:t>
      </w:r>
      <w:r w:rsidRPr="00801366">
        <w:t>isleading</w:t>
      </w:r>
      <w:r w:rsidR="00197EE6">
        <w:t>’</w:t>
      </w:r>
      <w:r>
        <w:t xml:space="preserve">; cf. </w:t>
      </w:r>
      <w:r w:rsidRPr="00801366">
        <w:t xml:space="preserve">Williams, </w:t>
      </w:r>
      <w:r w:rsidRPr="00801366">
        <w:rPr>
          <w:i/>
        </w:rPr>
        <w:t>Truth and Truthfulness</w:t>
      </w:r>
      <w:r>
        <w:t xml:space="preserve">, </w:t>
      </w:r>
      <w:r w:rsidRPr="006F299B">
        <w:rPr>
          <w:i/>
          <w:iCs/>
        </w:rPr>
        <w:t>op. cit</w:t>
      </w:r>
      <w:r>
        <w:t>., p.</w:t>
      </w:r>
      <w:r w:rsidRPr="00801366">
        <w:t xml:space="preserve"> 97. </w:t>
      </w:r>
    </w:p>
  </w:footnote>
  <w:footnote w:id="75">
    <w:p w14:paraId="581603D3" w14:textId="066739B8" w:rsidR="001C0334" w:rsidRPr="003D29EB" w:rsidRDefault="001C0334">
      <w:pPr>
        <w:pStyle w:val="FootnoteText"/>
        <w:rPr>
          <w:lang w:val="en-US"/>
        </w:rPr>
      </w:pPr>
      <w:r>
        <w:rPr>
          <w:rStyle w:val="FootnoteReference"/>
        </w:rPr>
        <w:footnoteRef/>
      </w:r>
      <w:r>
        <w:t xml:space="preserve"> </w:t>
      </w:r>
      <w:r w:rsidRPr="006B0CB6">
        <w:t xml:space="preserve">García-Carpintero, “Sneaky Assertions,” </w:t>
      </w:r>
      <w:r w:rsidRPr="006B0CB6">
        <w:rPr>
          <w:i/>
          <w:iCs/>
        </w:rPr>
        <w:t>op. cit</w:t>
      </w:r>
      <w:r>
        <w:rPr>
          <w:i/>
          <w:iCs/>
        </w:rPr>
        <w:t>.</w:t>
      </w:r>
      <w:r>
        <w:t>, pp. 207–08, and Pepp</w:t>
      </w:r>
      <w:r w:rsidRPr="00340E67">
        <w:t xml:space="preserve">, “Assertion, Lying, and Untruthfully Implicating,” </w:t>
      </w:r>
      <w:r w:rsidRPr="00340E67">
        <w:rPr>
          <w:i/>
          <w:iCs/>
        </w:rPr>
        <w:t>op. cit</w:t>
      </w:r>
      <w:r w:rsidRPr="00340E67">
        <w:t>., pp. 83</w:t>
      </w:r>
      <w:r>
        <w:t>4</w:t>
      </w:r>
      <w:r w:rsidRPr="00340E67">
        <w:t>–3</w:t>
      </w:r>
      <w:r>
        <w:t>6.</w:t>
      </w:r>
    </w:p>
  </w:footnote>
  <w:footnote w:id="76">
    <w:p w14:paraId="23FEC9D7" w14:textId="4D61810E" w:rsidR="001C0334" w:rsidRPr="00801366" w:rsidRDefault="001C0334" w:rsidP="00487742">
      <w:pPr>
        <w:pStyle w:val="FootnoteText"/>
      </w:pPr>
      <w:r w:rsidRPr="00801366">
        <w:rPr>
          <w:rStyle w:val="FootnoteReference"/>
        </w:rPr>
        <w:footnoteRef/>
      </w:r>
      <w:r w:rsidRPr="00801366">
        <w:t xml:space="preserve"> An anonymous reviewer pointed out that the objection might be set aside if </w:t>
      </w:r>
      <w:r>
        <w:t>García-</w:t>
      </w:r>
      <w:r w:rsidRPr="00801366">
        <w:t xml:space="preserve">Carpintero and Pepp are understood as claiming that Ada and the doctor have a responsibility to defend the propositions in question </w:t>
      </w:r>
      <w:r w:rsidRPr="00801366">
        <w:rPr>
          <w:i/>
          <w:iCs/>
        </w:rPr>
        <w:t>even though</w:t>
      </w:r>
      <w:r w:rsidRPr="00801366">
        <w:t xml:space="preserve"> they can dismiss challenges such as (22) and (28). I think this is right, and I indeed agree with </w:t>
      </w:r>
      <w:r>
        <w:t>García-</w:t>
      </w:r>
      <w:r w:rsidRPr="00801366">
        <w:t xml:space="preserve">Carpintero and Pepp that Ada and the doctor </w:t>
      </w:r>
      <w:r w:rsidRPr="00801366">
        <w:rPr>
          <w:i/>
          <w:iCs/>
        </w:rPr>
        <w:t>do</w:t>
      </w:r>
      <w:r w:rsidRPr="00801366">
        <w:t xml:space="preserve"> have a responsibility to defend the propositions in question. What matters here, however, is whether they have a responsibility to defend that they </w:t>
      </w:r>
      <w:r w:rsidRPr="00801366">
        <w:rPr>
          <w:i/>
          <w:iCs/>
        </w:rPr>
        <w:t>know</w:t>
      </w:r>
      <w:r w:rsidRPr="00801366">
        <w:t xml:space="preserve"> the propositions in question, and on this </w:t>
      </w:r>
      <w:proofErr w:type="gramStart"/>
      <w:r w:rsidRPr="00801366">
        <w:t>point</w:t>
      </w:r>
      <w:proofErr w:type="gramEnd"/>
      <w:r w:rsidRPr="00801366">
        <w:t xml:space="preserve"> I disagree with </w:t>
      </w:r>
      <w:r>
        <w:t>García-</w:t>
      </w:r>
      <w:r w:rsidRPr="00801366">
        <w:t xml:space="preserve">Carpintero and Pepp. </w:t>
      </w:r>
    </w:p>
  </w:footnote>
  <w:footnote w:id="77">
    <w:p w14:paraId="13930553" w14:textId="44D5B703" w:rsidR="001C0334" w:rsidRPr="00801366" w:rsidRDefault="001C0334" w:rsidP="00487742">
      <w:pPr>
        <w:pStyle w:val="FootnoteText"/>
      </w:pPr>
      <w:r w:rsidRPr="00801366">
        <w:rPr>
          <w:rStyle w:val="FootnoteReference"/>
        </w:rPr>
        <w:footnoteRef/>
      </w:r>
      <w:r w:rsidRPr="00801366">
        <w:t xml:space="preserve"> Such a difference is noted by </w:t>
      </w:r>
      <w:r w:rsidRPr="00680FCD">
        <w:t>Adler, “Lying, Deceiving, or Falsely Implicating,”</w:t>
      </w:r>
      <w:r>
        <w:t xml:space="preserve"> </w:t>
      </w:r>
      <w:r w:rsidRPr="00680FCD">
        <w:rPr>
          <w:i/>
          <w:iCs/>
        </w:rPr>
        <w:t>op. cit</w:t>
      </w:r>
      <w:r>
        <w:t xml:space="preserve">., pp. </w:t>
      </w:r>
      <w:r w:rsidRPr="00801366">
        <w:t>450–451</w:t>
      </w:r>
      <w:r>
        <w:t>,</w:t>
      </w:r>
      <w:r w:rsidRPr="00801366">
        <w:t xml:space="preserve"> and</w:t>
      </w:r>
      <w:r w:rsidR="007948F7">
        <w:t xml:space="preserve"> Nicolas Asher and Alex </w:t>
      </w:r>
      <w:proofErr w:type="spellStart"/>
      <w:r w:rsidR="007948F7">
        <w:t>Lascarides</w:t>
      </w:r>
      <w:proofErr w:type="spellEnd"/>
      <w:r w:rsidR="007948F7">
        <w:t xml:space="preserve">, “Strategic conversation,” </w:t>
      </w:r>
      <w:r w:rsidR="007948F7">
        <w:rPr>
          <w:i/>
          <w:iCs/>
        </w:rPr>
        <w:t>Semantics &amp; Pragmatics</w:t>
      </w:r>
      <w:r w:rsidR="007948F7">
        <w:t xml:space="preserve"> </w:t>
      </w:r>
      <w:r w:rsidR="007948F7" w:rsidRPr="007948F7">
        <w:rPr>
          <w:smallCaps/>
        </w:rPr>
        <w:t>vi</w:t>
      </w:r>
      <w:r w:rsidR="007948F7">
        <w:t>, 2 (August 2013): 1–62, at p. 2. The difference is</w:t>
      </w:r>
      <w:r w:rsidRPr="00801366">
        <w:t xml:space="preserve"> also acknowledged by </w:t>
      </w:r>
      <w:r w:rsidRPr="00680FCD">
        <w:t xml:space="preserve">García-Carpintero, “Sneaky Assertions,” </w:t>
      </w:r>
      <w:r w:rsidRPr="00680FCD">
        <w:rPr>
          <w:i/>
          <w:iCs/>
        </w:rPr>
        <w:t>op. cit.</w:t>
      </w:r>
      <w:r w:rsidRPr="00680FCD">
        <w:t>, p. 20</w:t>
      </w:r>
      <w:r>
        <w:t>8</w:t>
      </w:r>
      <w:r w:rsidRPr="00801366">
        <w:t xml:space="preserve">. </w:t>
      </w:r>
    </w:p>
  </w:footnote>
  <w:footnote w:id="78">
    <w:p w14:paraId="138D6230" w14:textId="32A7F0BA" w:rsidR="001C0334" w:rsidRPr="00801366" w:rsidRDefault="001C0334" w:rsidP="00487742">
      <w:pPr>
        <w:pStyle w:val="FootnoteText"/>
      </w:pPr>
      <w:r w:rsidRPr="00801366">
        <w:rPr>
          <w:rStyle w:val="FootnoteReference"/>
        </w:rPr>
        <w:footnoteRef/>
      </w:r>
      <w:r w:rsidRPr="00801366">
        <w:t xml:space="preserve"> A recent study by </w:t>
      </w:r>
      <w:r>
        <w:t xml:space="preserve">Louisa </w:t>
      </w:r>
      <w:r w:rsidRPr="00801366">
        <w:t xml:space="preserve">Reins </w:t>
      </w:r>
      <w:r>
        <w:t>and Alex</w:t>
      </w:r>
      <w:r w:rsidRPr="00801366">
        <w:t xml:space="preserve"> Wiegmann</w:t>
      </w:r>
      <w:r>
        <w:t>, “Is Lying Bound to Commitment? Empirically Investigating Deceptive Presuppositions, Implicatures, and Action,” (Unpublished manuscript, 2020),</w:t>
      </w:r>
      <w:r w:rsidRPr="00801366">
        <w:t xml:space="preserve"> has delivered results that seem to fit well with the commitment-based approach. For one thing, the study brought out that some, but not all</w:t>
      </w:r>
      <w:r>
        <w:t>,</w:t>
      </w:r>
      <w:r w:rsidRPr="00801366">
        <w:t xml:space="preserve"> believed-false implicatures are classified as lies. Furthermore, participants were asked whether the speakers had committed themselves to something they believed to be false, and </w:t>
      </w:r>
      <w:r>
        <w:t xml:space="preserve">there was a strong relationship between </w:t>
      </w:r>
      <w:r w:rsidRPr="00801366">
        <w:t xml:space="preserve">commitment-ratings </w:t>
      </w:r>
      <w:r>
        <w:t>and</w:t>
      </w:r>
      <w:r w:rsidRPr="00801366">
        <w:t xml:space="preserve"> lie-ratings. </w:t>
      </w:r>
      <w:r>
        <w:t>Of course</w:t>
      </w:r>
      <w:r w:rsidRPr="00801366">
        <w:t xml:space="preserve">, </w:t>
      </w:r>
      <w:r>
        <w:t>it</w:t>
      </w:r>
      <w:r w:rsidRPr="00801366">
        <w:t xml:space="preserve"> is </w:t>
      </w:r>
      <w:r>
        <w:t>an</w:t>
      </w:r>
      <w:r w:rsidRPr="00801366">
        <w:t xml:space="preserve"> open question whether the participant</w:t>
      </w:r>
      <w:r>
        <w:t>s interpreted the</w:t>
      </w:r>
      <w:r w:rsidRPr="00801366">
        <w:t xml:space="preserve"> notion of commitment in line with (C). But, if anything, the</w:t>
      </w:r>
      <w:r>
        <w:t xml:space="preserve"> results</w:t>
      </w:r>
      <w:r w:rsidRPr="00801366">
        <w:t xml:space="preserve"> rather seem to work in favour of the commitment-based approach than against it. </w:t>
      </w:r>
    </w:p>
  </w:footnote>
  <w:footnote w:id="79">
    <w:p w14:paraId="41647D68" w14:textId="67DBDC3A" w:rsidR="001C0334" w:rsidRPr="003D29EB" w:rsidRDefault="001C0334">
      <w:pPr>
        <w:pStyle w:val="FootnoteText"/>
        <w:rPr>
          <w:lang w:val="en-US"/>
        </w:rPr>
      </w:pPr>
      <w:r>
        <w:rPr>
          <w:rStyle w:val="FootnoteReference"/>
        </w:rPr>
        <w:footnoteRef/>
      </w:r>
      <w:r>
        <w:t xml:space="preserve"> This view has been </w:t>
      </w:r>
      <w:r w:rsidRPr="005354B8">
        <w:t xml:space="preserve">defended by </w:t>
      </w:r>
      <w:r w:rsidRPr="00801366">
        <w:t>Chisholm and Feehan, “The Intent to Deceive</w:t>
      </w:r>
      <w:r>
        <w:t xml:space="preserve">,” op. cit., </w:t>
      </w:r>
      <w:r w:rsidRPr="00680FCD">
        <w:t>Adler, “Lying, Deceiving, or Falsely Implicating,”</w:t>
      </w:r>
      <w:r>
        <w:t xml:space="preserve"> </w:t>
      </w:r>
      <w:r w:rsidRPr="00680FCD">
        <w:rPr>
          <w:i/>
          <w:iCs/>
        </w:rPr>
        <w:t>op. cit</w:t>
      </w:r>
      <w:r>
        <w:t>.,</w:t>
      </w:r>
      <w:r w:rsidRPr="005354B8">
        <w:t xml:space="preserve"> </w:t>
      </w:r>
      <w:r>
        <w:t xml:space="preserve">Alan </w:t>
      </w:r>
      <w:r w:rsidRPr="005354B8">
        <w:t>Strudler</w:t>
      </w:r>
      <w:r>
        <w:t>,</w:t>
      </w:r>
      <w:r w:rsidRPr="005354B8">
        <w:t xml:space="preserve"> </w:t>
      </w:r>
      <w:r>
        <w:t>“</w:t>
      </w:r>
      <w:r w:rsidRPr="005354B8">
        <w:t>The distinctive wrong in lying</w:t>
      </w:r>
      <w:r>
        <w:t>,”</w:t>
      </w:r>
      <w:r w:rsidRPr="005354B8">
        <w:t xml:space="preserve"> </w:t>
      </w:r>
      <w:r w:rsidRPr="005354B8">
        <w:rPr>
          <w:i/>
          <w:iCs/>
        </w:rPr>
        <w:t>Ethical Theory and Moral Practice</w:t>
      </w:r>
      <w:r>
        <w:t>,</w:t>
      </w:r>
      <w:r w:rsidRPr="005354B8">
        <w:t xml:space="preserve"> </w:t>
      </w:r>
      <w:r w:rsidRPr="005354B8">
        <w:rPr>
          <w:smallCaps/>
        </w:rPr>
        <w:t>xiii</w:t>
      </w:r>
      <w:r>
        <w:t>, 2 (April 2010)</w:t>
      </w:r>
      <w:r w:rsidRPr="005354B8">
        <w:t>: 171–179</w:t>
      </w:r>
      <w:r>
        <w:t>,</w:t>
      </w:r>
      <w:r w:rsidRPr="005354B8">
        <w:t xml:space="preserve"> and </w:t>
      </w:r>
      <w:r>
        <w:t>Pepp</w:t>
      </w:r>
      <w:r w:rsidRPr="00340E67">
        <w:t xml:space="preserve">, “Assertion, Lying, and Untruthfully Implicating,” </w:t>
      </w:r>
      <w:r w:rsidRPr="00340E67">
        <w:rPr>
          <w:i/>
          <w:iCs/>
        </w:rPr>
        <w:t>op. cit</w:t>
      </w:r>
      <w:r w:rsidRPr="00340E67">
        <w:t>.</w:t>
      </w:r>
      <w:r>
        <w:t xml:space="preserve">, amongst others. </w:t>
      </w:r>
    </w:p>
  </w:footnote>
  <w:footnote w:id="80">
    <w:p w14:paraId="129097EB" w14:textId="5A6EC02E" w:rsidR="001C0334" w:rsidRPr="003D29EB" w:rsidRDefault="001C0334">
      <w:pPr>
        <w:pStyle w:val="FootnoteText"/>
        <w:rPr>
          <w:lang w:val="en-US"/>
        </w:rPr>
      </w:pPr>
      <w:r>
        <w:rPr>
          <w:rStyle w:val="FootnoteReference"/>
        </w:rPr>
        <w:footnoteRef/>
      </w:r>
      <w:r>
        <w:t xml:space="preserve"> </w:t>
      </w:r>
      <w:r w:rsidRPr="00801366">
        <w:t xml:space="preserve">Saul, </w:t>
      </w:r>
      <w:r w:rsidRPr="00801366">
        <w:rPr>
          <w:i/>
        </w:rPr>
        <w:t>Lying, Misleading, &amp; What is Said</w:t>
      </w:r>
      <w:r w:rsidRPr="00801366">
        <w:rPr>
          <w:i/>
          <w:iCs/>
        </w:rPr>
        <w:t>, op. cit.</w:t>
      </w:r>
      <w:r w:rsidRPr="00801366">
        <w:t>,</w:t>
      </w:r>
      <w:r>
        <w:t xml:space="preserve"> p. </w:t>
      </w:r>
      <w:proofErr w:type="gramStart"/>
      <w:r>
        <w:t>ix;</w:t>
      </w:r>
      <w:proofErr w:type="gramEnd"/>
      <w:r>
        <w:t xml:space="preserve"> italics unchanged. </w:t>
      </w:r>
    </w:p>
  </w:footnote>
  <w:footnote w:id="81">
    <w:p w14:paraId="4E8F21F9" w14:textId="6F93DAD9" w:rsidR="001C0334" w:rsidRPr="009501CC" w:rsidRDefault="001C0334">
      <w:pPr>
        <w:pStyle w:val="FootnoteText"/>
      </w:pPr>
      <w:r>
        <w:rPr>
          <w:rStyle w:val="FootnoteReference"/>
        </w:rPr>
        <w:footnoteRef/>
      </w:r>
      <w:r>
        <w:t xml:space="preserve"> Felix Timmermann and I have argued that the difference in commitment </w:t>
      </w:r>
      <w:r w:rsidRPr="005354B8">
        <w:rPr>
          <w:i/>
          <w:iCs/>
        </w:rPr>
        <w:t>can</w:t>
      </w:r>
      <w:r>
        <w:t xml:space="preserve"> ground a moral difference, at least in some cases, but that this moral difference can go either way: sometimes the difference in commitment makes misleading </w:t>
      </w:r>
      <w:r w:rsidRPr="009501CC">
        <w:rPr>
          <w:i/>
          <w:iCs/>
        </w:rPr>
        <w:t>better</w:t>
      </w:r>
      <w:r>
        <w:t xml:space="preserve"> than lying, sometimes it makes misleading </w:t>
      </w:r>
      <w:r w:rsidRPr="009501CC">
        <w:rPr>
          <w:i/>
          <w:iCs/>
        </w:rPr>
        <w:t>worse</w:t>
      </w:r>
      <w:r>
        <w:t xml:space="preserve"> than lying, and sometimes it is not morally relevant. See Timmermann and Viebahn, “To lie or to </w:t>
      </w:r>
      <w:proofErr w:type="gramStart"/>
      <w:r>
        <w:t>mislead?,</w:t>
      </w:r>
      <w:proofErr w:type="gramEnd"/>
      <w:r>
        <w:t xml:space="preserve">” </w:t>
      </w:r>
      <w:r>
        <w:rPr>
          <w:i/>
          <w:iCs/>
        </w:rPr>
        <w:t>op. cit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7112B"/>
    <w:multiLevelType w:val="hybridMultilevel"/>
    <w:tmpl w:val="E2CE9736"/>
    <w:lvl w:ilvl="0" w:tplc="FC7CD264">
      <w:start w:val="29"/>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56F1087"/>
    <w:multiLevelType w:val="hybridMultilevel"/>
    <w:tmpl w:val="97007CF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 w15:restartNumberingAfterBreak="0">
    <w:nsid w:val="05DB4938"/>
    <w:multiLevelType w:val="hybridMultilevel"/>
    <w:tmpl w:val="FD64763E"/>
    <w:lvl w:ilvl="0" w:tplc="A3D22C90">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 w15:restartNumberingAfterBreak="0">
    <w:nsid w:val="093B451D"/>
    <w:multiLevelType w:val="hybridMultilevel"/>
    <w:tmpl w:val="ACE8E116"/>
    <w:lvl w:ilvl="0" w:tplc="EABCE346">
      <w:start w:val="1"/>
      <w:numFmt w:val="decimal"/>
      <w:lvlText w:val="%1."/>
      <w:lvlJc w:val="left"/>
      <w:pPr>
        <w:ind w:left="960" w:hanging="6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DC02B14"/>
    <w:multiLevelType w:val="hybridMultilevel"/>
    <w:tmpl w:val="AA46CB76"/>
    <w:lvl w:ilvl="0" w:tplc="7E8C238A">
      <w:start w:val="2"/>
      <w:numFmt w:val="lowerLetter"/>
      <w:lvlText w:val="(%1)"/>
      <w:lvlJc w:val="left"/>
      <w:pPr>
        <w:ind w:left="1024" w:hanging="360"/>
      </w:pPr>
      <w:rPr>
        <w:rFonts w:hint="default"/>
      </w:rPr>
    </w:lvl>
    <w:lvl w:ilvl="1" w:tplc="04070019" w:tentative="1">
      <w:start w:val="1"/>
      <w:numFmt w:val="lowerLetter"/>
      <w:lvlText w:val="%2."/>
      <w:lvlJc w:val="left"/>
      <w:pPr>
        <w:ind w:left="1744" w:hanging="360"/>
      </w:pPr>
    </w:lvl>
    <w:lvl w:ilvl="2" w:tplc="0407001B" w:tentative="1">
      <w:start w:val="1"/>
      <w:numFmt w:val="lowerRoman"/>
      <w:lvlText w:val="%3."/>
      <w:lvlJc w:val="right"/>
      <w:pPr>
        <w:ind w:left="2464" w:hanging="180"/>
      </w:pPr>
    </w:lvl>
    <w:lvl w:ilvl="3" w:tplc="0407000F" w:tentative="1">
      <w:start w:val="1"/>
      <w:numFmt w:val="decimal"/>
      <w:lvlText w:val="%4."/>
      <w:lvlJc w:val="left"/>
      <w:pPr>
        <w:ind w:left="3184" w:hanging="360"/>
      </w:pPr>
    </w:lvl>
    <w:lvl w:ilvl="4" w:tplc="04070019" w:tentative="1">
      <w:start w:val="1"/>
      <w:numFmt w:val="lowerLetter"/>
      <w:lvlText w:val="%5."/>
      <w:lvlJc w:val="left"/>
      <w:pPr>
        <w:ind w:left="3904" w:hanging="360"/>
      </w:pPr>
    </w:lvl>
    <w:lvl w:ilvl="5" w:tplc="0407001B" w:tentative="1">
      <w:start w:val="1"/>
      <w:numFmt w:val="lowerRoman"/>
      <w:lvlText w:val="%6."/>
      <w:lvlJc w:val="right"/>
      <w:pPr>
        <w:ind w:left="4624" w:hanging="180"/>
      </w:pPr>
    </w:lvl>
    <w:lvl w:ilvl="6" w:tplc="0407000F" w:tentative="1">
      <w:start w:val="1"/>
      <w:numFmt w:val="decimal"/>
      <w:lvlText w:val="%7."/>
      <w:lvlJc w:val="left"/>
      <w:pPr>
        <w:ind w:left="5344" w:hanging="360"/>
      </w:pPr>
    </w:lvl>
    <w:lvl w:ilvl="7" w:tplc="04070019" w:tentative="1">
      <w:start w:val="1"/>
      <w:numFmt w:val="lowerLetter"/>
      <w:lvlText w:val="%8."/>
      <w:lvlJc w:val="left"/>
      <w:pPr>
        <w:ind w:left="6064" w:hanging="360"/>
      </w:pPr>
    </w:lvl>
    <w:lvl w:ilvl="8" w:tplc="0407001B" w:tentative="1">
      <w:start w:val="1"/>
      <w:numFmt w:val="lowerRoman"/>
      <w:lvlText w:val="%9."/>
      <w:lvlJc w:val="right"/>
      <w:pPr>
        <w:ind w:left="6784" w:hanging="180"/>
      </w:pPr>
    </w:lvl>
  </w:abstractNum>
  <w:abstractNum w:abstractNumId="6" w15:restartNumberingAfterBreak="0">
    <w:nsid w:val="0E836AEB"/>
    <w:multiLevelType w:val="hybridMultilevel"/>
    <w:tmpl w:val="D65401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4D50D1"/>
    <w:multiLevelType w:val="hybridMultilevel"/>
    <w:tmpl w:val="CEEEF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73780"/>
    <w:multiLevelType w:val="multilevel"/>
    <w:tmpl w:val="AD9A5D8A"/>
    <w:lvl w:ilvl="0">
      <w:start w:val="1"/>
      <w:numFmt w:val="decimal"/>
      <w:lvlText w:val="(%1."/>
      <w:lvlJc w:val="left"/>
      <w:pPr>
        <w:ind w:left="460" w:hanging="4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3983D7F"/>
    <w:multiLevelType w:val="hybridMultilevel"/>
    <w:tmpl w:val="CDEC7332"/>
    <w:lvl w:ilvl="0" w:tplc="1C88E55E">
      <w:start w:val="1"/>
      <w:numFmt w:val="decimal"/>
      <w:lvlText w:val="(%1)"/>
      <w:lvlJc w:val="left"/>
      <w:pPr>
        <w:ind w:left="700" w:hanging="360"/>
      </w:pPr>
      <w:rPr>
        <w:rFonts w:ascii="Garamond" w:eastAsiaTheme="minorEastAsia" w:hAnsi="Garamond" w:cs="Times New Roman"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0" w15:restartNumberingAfterBreak="0">
    <w:nsid w:val="2522388E"/>
    <w:multiLevelType w:val="hybridMultilevel"/>
    <w:tmpl w:val="0D1AFC14"/>
    <w:lvl w:ilvl="0" w:tplc="4D9CD3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513098"/>
    <w:multiLevelType w:val="hybridMultilevel"/>
    <w:tmpl w:val="DB4A2D8A"/>
    <w:lvl w:ilvl="0" w:tplc="713A36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2A941994"/>
    <w:multiLevelType w:val="hybridMultilevel"/>
    <w:tmpl w:val="08E8E9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203BF"/>
    <w:multiLevelType w:val="hybridMultilevel"/>
    <w:tmpl w:val="069C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84205"/>
    <w:multiLevelType w:val="hybridMultilevel"/>
    <w:tmpl w:val="86EA48E6"/>
    <w:lvl w:ilvl="0" w:tplc="670EF646">
      <w:start w:val="2"/>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 w15:restartNumberingAfterBreak="0">
    <w:nsid w:val="34A30653"/>
    <w:multiLevelType w:val="hybridMultilevel"/>
    <w:tmpl w:val="FE8A7F24"/>
    <w:lvl w:ilvl="0" w:tplc="ABAED32C">
      <w:start w:val="1"/>
      <w:numFmt w:val="decimal"/>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15:restartNumberingAfterBreak="0">
    <w:nsid w:val="34AF5BCA"/>
    <w:multiLevelType w:val="hybridMultilevel"/>
    <w:tmpl w:val="1DDE3FA2"/>
    <w:lvl w:ilvl="0" w:tplc="2E364D04">
      <w:start w:val="1"/>
      <w:numFmt w:val="decimal"/>
      <w:lvlText w:val="(%1)"/>
      <w:lvlJc w:val="left"/>
      <w:pPr>
        <w:ind w:left="1080" w:hanging="38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7" w15:restartNumberingAfterBreak="0">
    <w:nsid w:val="3AD8246B"/>
    <w:multiLevelType w:val="hybridMultilevel"/>
    <w:tmpl w:val="95403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851343"/>
    <w:multiLevelType w:val="hybridMultilevel"/>
    <w:tmpl w:val="5218F9EA"/>
    <w:lvl w:ilvl="0" w:tplc="979A680E">
      <w:start w:val="26"/>
      <w:numFmt w:val="decimal"/>
      <w:lvlText w:val="(%1)"/>
      <w:lvlJc w:val="left"/>
      <w:pPr>
        <w:ind w:left="1024" w:hanging="360"/>
      </w:pPr>
      <w:rPr>
        <w:rFonts w:hint="default"/>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19" w15:restartNumberingAfterBreak="0">
    <w:nsid w:val="3C333314"/>
    <w:multiLevelType w:val="hybridMultilevel"/>
    <w:tmpl w:val="36B29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72DB7"/>
    <w:multiLevelType w:val="hybridMultilevel"/>
    <w:tmpl w:val="6532AC9A"/>
    <w:lvl w:ilvl="0" w:tplc="E9D2A1CA">
      <w:start w:val="1"/>
      <w:numFmt w:val="decimal"/>
      <w:lvlText w:val="(%1)"/>
      <w:lvlJc w:val="left"/>
      <w:pPr>
        <w:ind w:left="1044" w:hanging="380"/>
      </w:pPr>
      <w:rPr>
        <w:rFonts w:hint="default"/>
      </w:rPr>
    </w:lvl>
    <w:lvl w:ilvl="1" w:tplc="04070019">
      <w:start w:val="1"/>
      <w:numFmt w:val="lowerLetter"/>
      <w:lvlText w:val="%2."/>
      <w:lvlJc w:val="left"/>
      <w:pPr>
        <w:ind w:left="1744" w:hanging="360"/>
      </w:pPr>
    </w:lvl>
    <w:lvl w:ilvl="2" w:tplc="0407001B" w:tentative="1">
      <w:start w:val="1"/>
      <w:numFmt w:val="lowerRoman"/>
      <w:lvlText w:val="%3."/>
      <w:lvlJc w:val="right"/>
      <w:pPr>
        <w:ind w:left="2464" w:hanging="180"/>
      </w:pPr>
    </w:lvl>
    <w:lvl w:ilvl="3" w:tplc="0407000F" w:tentative="1">
      <w:start w:val="1"/>
      <w:numFmt w:val="decimal"/>
      <w:lvlText w:val="%4."/>
      <w:lvlJc w:val="left"/>
      <w:pPr>
        <w:ind w:left="3184" w:hanging="360"/>
      </w:pPr>
    </w:lvl>
    <w:lvl w:ilvl="4" w:tplc="04070019" w:tentative="1">
      <w:start w:val="1"/>
      <w:numFmt w:val="lowerLetter"/>
      <w:lvlText w:val="%5."/>
      <w:lvlJc w:val="left"/>
      <w:pPr>
        <w:ind w:left="3904" w:hanging="360"/>
      </w:pPr>
    </w:lvl>
    <w:lvl w:ilvl="5" w:tplc="0407001B" w:tentative="1">
      <w:start w:val="1"/>
      <w:numFmt w:val="lowerRoman"/>
      <w:lvlText w:val="%6."/>
      <w:lvlJc w:val="right"/>
      <w:pPr>
        <w:ind w:left="4624" w:hanging="180"/>
      </w:pPr>
    </w:lvl>
    <w:lvl w:ilvl="6" w:tplc="0407000F" w:tentative="1">
      <w:start w:val="1"/>
      <w:numFmt w:val="decimal"/>
      <w:lvlText w:val="%7."/>
      <w:lvlJc w:val="left"/>
      <w:pPr>
        <w:ind w:left="5344" w:hanging="360"/>
      </w:pPr>
    </w:lvl>
    <w:lvl w:ilvl="7" w:tplc="04070019" w:tentative="1">
      <w:start w:val="1"/>
      <w:numFmt w:val="lowerLetter"/>
      <w:lvlText w:val="%8."/>
      <w:lvlJc w:val="left"/>
      <w:pPr>
        <w:ind w:left="6064" w:hanging="360"/>
      </w:pPr>
    </w:lvl>
    <w:lvl w:ilvl="8" w:tplc="0407001B" w:tentative="1">
      <w:start w:val="1"/>
      <w:numFmt w:val="lowerRoman"/>
      <w:lvlText w:val="%9."/>
      <w:lvlJc w:val="right"/>
      <w:pPr>
        <w:ind w:left="6784" w:hanging="180"/>
      </w:pPr>
    </w:lvl>
  </w:abstractNum>
  <w:abstractNum w:abstractNumId="21" w15:restartNumberingAfterBreak="0">
    <w:nsid w:val="3F1B3B06"/>
    <w:multiLevelType w:val="hybridMultilevel"/>
    <w:tmpl w:val="F97EE4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FC65A84"/>
    <w:multiLevelType w:val="hybridMultilevel"/>
    <w:tmpl w:val="82683884"/>
    <w:lvl w:ilvl="0" w:tplc="ED58DE0E">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3" w15:restartNumberingAfterBreak="0">
    <w:nsid w:val="433E50DF"/>
    <w:multiLevelType w:val="hybridMultilevel"/>
    <w:tmpl w:val="0D1AFC14"/>
    <w:lvl w:ilvl="0" w:tplc="4D9CD3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62B14D5"/>
    <w:multiLevelType w:val="hybridMultilevel"/>
    <w:tmpl w:val="B0C8906C"/>
    <w:lvl w:ilvl="0" w:tplc="74D20C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136F7F"/>
    <w:multiLevelType w:val="hybridMultilevel"/>
    <w:tmpl w:val="644E9C6A"/>
    <w:lvl w:ilvl="0" w:tplc="8F204ED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6" w15:restartNumberingAfterBreak="0">
    <w:nsid w:val="551A7D85"/>
    <w:multiLevelType w:val="hybridMultilevel"/>
    <w:tmpl w:val="AE207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5100F"/>
    <w:multiLevelType w:val="hybridMultilevel"/>
    <w:tmpl w:val="B23427A4"/>
    <w:lvl w:ilvl="0" w:tplc="7C02DA20">
      <w:start w:val="1"/>
      <w:numFmt w:val="decimal"/>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5F964168"/>
    <w:multiLevelType w:val="hybridMultilevel"/>
    <w:tmpl w:val="33162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45EF"/>
    <w:multiLevelType w:val="hybridMultilevel"/>
    <w:tmpl w:val="6BF87628"/>
    <w:lvl w:ilvl="0" w:tplc="04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0" w15:restartNumberingAfterBreak="0">
    <w:nsid w:val="64810470"/>
    <w:multiLevelType w:val="hybridMultilevel"/>
    <w:tmpl w:val="C3F4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33A3D"/>
    <w:multiLevelType w:val="hybridMultilevel"/>
    <w:tmpl w:val="C644B91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2" w15:restartNumberingAfterBreak="0">
    <w:nsid w:val="67451467"/>
    <w:multiLevelType w:val="hybridMultilevel"/>
    <w:tmpl w:val="E5B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440C5"/>
    <w:multiLevelType w:val="hybridMultilevel"/>
    <w:tmpl w:val="18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06F35"/>
    <w:multiLevelType w:val="hybridMultilevel"/>
    <w:tmpl w:val="BC405208"/>
    <w:lvl w:ilvl="0" w:tplc="3A80AD60">
      <w:start w:val="23"/>
      <w:numFmt w:val="decimal"/>
      <w:lvlText w:val="(%1)"/>
      <w:lvlJc w:val="left"/>
      <w:pPr>
        <w:ind w:left="1024" w:hanging="360"/>
      </w:pPr>
      <w:rPr>
        <w:rFonts w:hint="default"/>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35" w15:restartNumberingAfterBreak="0">
    <w:nsid w:val="7B136C91"/>
    <w:multiLevelType w:val="multilevel"/>
    <w:tmpl w:val="87A0A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538681">
    <w:abstractNumId w:val="31"/>
  </w:num>
  <w:num w:numId="2" w16cid:durableId="581374881">
    <w:abstractNumId w:val="2"/>
  </w:num>
  <w:num w:numId="3" w16cid:durableId="1153183430">
    <w:abstractNumId w:val="16"/>
  </w:num>
  <w:num w:numId="4" w16cid:durableId="1291210603">
    <w:abstractNumId w:val="23"/>
  </w:num>
  <w:num w:numId="5" w16cid:durableId="824974386">
    <w:abstractNumId w:val="10"/>
  </w:num>
  <w:num w:numId="6" w16cid:durableId="200359229">
    <w:abstractNumId w:val="11"/>
  </w:num>
  <w:num w:numId="7" w16cid:durableId="27141829">
    <w:abstractNumId w:val="27"/>
  </w:num>
  <w:num w:numId="8" w16cid:durableId="221066057">
    <w:abstractNumId w:val="20"/>
  </w:num>
  <w:num w:numId="9" w16cid:durableId="138424189">
    <w:abstractNumId w:val="5"/>
  </w:num>
  <w:num w:numId="10" w16cid:durableId="2128811028">
    <w:abstractNumId w:val="34"/>
  </w:num>
  <w:num w:numId="11" w16cid:durableId="1330449598">
    <w:abstractNumId w:val="18"/>
  </w:num>
  <w:num w:numId="12" w16cid:durableId="698358538">
    <w:abstractNumId w:val="14"/>
  </w:num>
  <w:num w:numId="13" w16cid:durableId="71898651">
    <w:abstractNumId w:val="0"/>
  </w:num>
  <w:num w:numId="14" w16cid:durableId="1102644590">
    <w:abstractNumId w:val="12"/>
  </w:num>
  <w:num w:numId="15" w16cid:durableId="1941060999">
    <w:abstractNumId w:val="35"/>
  </w:num>
  <w:num w:numId="16" w16cid:durableId="2008511934">
    <w:abstractNumId w:val="4"/>
  </w:num>
  <w:num w:numId="17" w16cid:durableId="1523744724">
    <w:abstractNumId w:val="13"/>
  </w:num>
  <w:num w:numId="18" w16cid:durableId="1135878013">
    <w:abstractNumId w:val="25"/>
  </w:num>
  <w:num w:numId="19" w16cid:durableId="147015927">
    <w:abstractNumId w:val="15"/>
  </w:num>
  <w:num w:numId="20" w16cid:durableId="1795320480">
    <w:abstractNumId w:val="28"/>
  </w:num>
  <w:num w:numId="21" w16cid:durableId="85000399">
    <w:abstractNumId w:val="30"/>
  </w:num>
  <w:num w:numId="22" w16cid:durableId="45810047">
    <w:abstractNumId w:val="24"/>
  </w:num>
  <w:num w:numId="23" w16cid:durableId="57486938">
    <w:abstractNumId w:val="9"/>
  </w:num>
  <w:num w:numId="24" w16cid:durableId="1795245148">
    <w:abstractNumId w:val="21"/>
  </w:num>
  <w:num w:numId="25" w16cid:durableId="1428191279">
    <w:abstractNumId w:val="6"/>
  </w:num>
  <w:num w:numId="26" w16cid:durableId="1770009315">
    <w:abstractNumId w:val="17"/>
  </w:num>
  <w:num w:numId="27" w16cid:durableId="569272664">
    <w:abstractNumId w:val="8"/>
  </w:num>
  <w:num w:numId="28" w16cid:durableId="224492435">
    <w:abstractNumId w:val="1"/>
  </w:num>
  <w:num w:numId="29" w16cid:durableId="1851136415">
    <w:abstractNumId w:val="33"/>
  </w:num>
  <w:num w:numId="30" w16cid:durableId="1942641544">
    <w:abstractNumId w:val="19"/>
  </w:num>
  <w:num w:numId="31" w16cid:durableId="1905555771">
    <w:abstractNumId w:val="32"/>
  </w:num>
  <w:num w:numId="32" w16cid:durableId="1029338450">
    <w:abstractNumId w:val="26"/>
  </w:num>
  <w:num w:numId="33" w16cid:durableId="2003389230">
    <w:abstractNumId w:val="7"/>
  </w:num>
  <w:num w:numId="34" w16cid:durableId="1074357408">
    <w:abstractNumId w:val="22"/>
  </w:num>
  <w:num w:numId="35" w16cid:durableId="541092419">
    <w:abstractNumId w:val="3"/>
  </w:num>
  <w:num w:numId="36" w16cid:durableId="9668188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footnotePr>
    <w:numFmt w:val="chicago"/>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6D"/>
    <w:rsid w:val="00000555"/>
    <w:rsid w:val="00000697"/>
    <w:rsid w:val="00002FB3"/>
    <w:rsid w:val="00002FD5"/>
    <w:rsid w:val="0000408E"/>
    <w:rsid w:val="000045C2"/>
    <w:rsid w:val="00004E37"/>
    <w:rsid w:val="00005B01"/>
    <w:rsid w:val="00007986"/>
    <w:rsid w:val="00010603"/>
    <w:rsid w:val="00010C55"/>
    <w:rsid w:val="00015689"/>
    <w:rsid w:val="0001590F"/>
    <w:rsid w:val="00015D98"/>
    <w:rsid w:val="00017FB2"/>
    <w:rsid w:val="000204C1"/>
    <w:rsid w:val="00020680"/>
    <w:rsid w:val="00020FA6"/>
    <w:rsid w:val="00022029"/>
    <w:rsid w:val="00022663"/>
    <w:rsid w:val="000228A5"/>
    <w:rsid w:val="00022B99"/>
    <w:rsid w:val="0002437B"/>
    <w:rsid w:val="00024BE2"/>
    <w:rsid w:val="0002570D"/>
    <w:rsid w:val="000264FE"/>
    <w:rsid w:val="00026676"/>
    <w:rsid w:val="00026D6B"/>
    <w:rsid w:val="00027470"/>
    <w:rsid w:val="00027C89"/>
    <w:rsid w:val="0003021F"/>
    <w:rsid w:val="00030655"/>
    <w:rsid w:val="00030F87"/>
    <w:rsid w:val="000311D9"/>
    <w:rsid w:val="000320D2"/>
    <w:rsid w:val="00032A0A"/>
    <w:rsid w:val="00032A81"/>
    <w:rsid w:val="000336A5"/>
    <w:rsid w:val="00033B6F"/>
    <w:rsid w:val="00034666"/>
    <w:rsid w:val="000348FF"/>
    <w:rsid w:val="00037445"/>
    <w:rsid w:val="00037543"/>
    <w:rsid w:val="00037D30"/>
    <w:rsid w:val="000405F4"/>
    <w:rsid w:val="000408B1"/>
    <w:rsid w:val="000415A2"/>
    <w:rsid w:val="0004182D"/>
    <w:rsid w:val="0004191C"/>
    <w:rsid w:val="00043B4B"/>
    <w:rsid w:val="000441FB"/>
    <w:rsid w:val="00044E2A"/>
    <w:rsid w:val="0004599E"/>
    <w:rsid w:val="00045F05"/>
    <w:rsid w:val="00046725"/>
    <w:rsid w:val="00047B08"/>
    <w:rsid w:val="00050115"/>
    <w:rsid w:val="00050976"/>
    <w:rsid w:val="000509AE"/>
    <w:rsid w:val="00051B4F"/>
    <w:rsid w:val="00051EB9"/>
    <w:rsid w:val="0005209E"/>
    <w:rsid w:val="000521C2"/>
    <w:rsid w:val="00052409"/>
    <w:rsid w:val="00053ADE"/>
    <w:rsid w:val="00054514"/>
    <w:rsid w:val="00055CA2"/>
    <w:rsid w:val="00056AB6"/>
    <w:rsid w:val="00056AC0"/>
    <w:rsid w:val="00056DC1"/>
    <w:rsid w:val="00057036"/>
    <w:rsid w:val="000573A5"/>
    <w:rsid w:val="00060B98"/>
    <w:rsid w:val="0006176C"/>
    <w:rsid w:val="00063036"/>
    <w:rsid w:val="00063F4E"/>
    <w:rsid w:val="000646CB"/>
    <w:rsid w:val="00064AC3"/>
    <w:rsid w:val="00065F64"/>
    <w:rsid w:val="00066419"/>
    <w:rsid w:val="000667D9"/>
    <w:rsid w:val="00067BFB"/>
    <w:rsid w:val="000703B7"/>
    <w:rsid w:val="00070B97"/>
    <w:rsid w:val="00071020"/>
    <w:rsid w:val="000718AE"/>
    <w:rsid w:val="00071D2D"/>
    <w:rsid w:val="000721F2"/>
    <w:rsid w:val="00072880"/>
    <w:rsid w:val="00073315"/>
    <w:rsid w:val="00073581"/>
    <w:rsid w:val="00073ECC"/>
    <w:rsid w:val="000800D4"/>
    <w:rsid w:val="000803EB"/>
    <w:rsid w:val="00080AC0"/>
    <w:rsid w:val="000812D4"/>
    <w:rsid w:val="0008188D"/>
    <w:rsid w:val="00081E94"/>
    <w:rsid w:val="000831D9"/>
    <w:rsid w:val="00083ACD"/>
    <w:rsid w:val="00083D5D"/>
    <w:rsid w:val="000849BF"/>
    <w:rsid w:val="00084E58"/>
    <w:rsid w:val="000852FA"/>
    <w:rsid w:val="000862CA"/>
    <w:rsid w:val="00086F16"/>
    <w:rsid w:val="00087F48"/>
    <w:rsid w:val="000901D9"/>
    <w:rsid w:val="00091A53"/>
    <w:rsid w:val="00091DAA"/>
    <w:rsid w:val="00091F19"/>
    <w:rsid w:val="0009482F"/>
    <w:rsid w:val="000951A7"/>
    <w:rsid w:val="00095860"/>
    <w:rsid w:val="000979F7"/>
    <w:rsid w:val="00097DF3"/>
    <w:rsid w:val="000A1493"/>
    <w:rsid w:val="000A149E"/>
    <w:rsid w:val="000A1FA8"/>
    <w:rsid w:val="000A25F9"/>
    <w:rsid w:val="000A2C45"/>
    <w:rsid w:val="000A3750"/>
    <w:rsid w:val="000A5170"/>
    <w:rsid w:val="000A5238"/>
    <w:rsid w:val="000A5688"/>
    <w:rsid w:val="000A5F8C"/>
    <w:rsid w:val="000A61C7"/>
    <w:rsid w:val="000A62A5"/>
    <w:rsid w:val="000A6741"/>
    <w:rsid w:val="000A7AD8"/>
    <w:rsid w:val="000B03FC"/>
    <w:rsid w:val="000B0494"/>
    <w:rsid w:val="000B0FE0"/>
    <w:rsid w:val="000B1105"/>
    <w:rsid w:val="000B150F"/>
    <w:rsid w:val="000B3AB7"/>
    <w:rsid w:val="000B4CE6"/>
    <w:rsid w:val="000B5874"/>
    <w:rsid w:val="000B5E84"/>
    <w:rsid w:val="000B6649"/>
    <w:rsid w:val="000B7C19"/>
    <w:rsid w:val="000C009D"/>
    <w:rsid w:val="000C0D05"/>
    <w:rsid w:val="000C0F64"/>
    <w:rsid w:val="000C198D"/>
    <w:rsid w:val="000C2846"/>
    <w:rsid w:val="000C29F7"/>
    <w:rsid w:val="000C3597"/>
    <w:rsid w:val="000C4373"/>
    <w:rsid w:val="000C56ED"/>
    <w:rsid w:val="000C6A1C"/>
    <w:rsid w:val="000C7427"/>
    <w:rsid w:val="000C7757"/>
    <w:rsid w:val="000C7EF3"/>
    <w:rsid w:val="000D10C9"/>
    <w:rsid w:val="000D139A"/>
    <w:rsid w:val="000D1FE9"/>
    <w:rsid w:val="000D2152"/>
    <w:rsid w:val="000D268D"/>
    <w:rsid w:val="000D2AD5"/>
    <w:rsid w:val="000D2BAE"/>
    <w:rsid w:val="000D37C9"/>
    <w:rsid w:val="000D4739"/>
    <w:rsid w:val="000D4E29"/>
    <w:rsid w:val="000D4EB2"/>
    <w:rsid w:val="000D5C10"/>
    <w:rsid w:val="000D682F"/>
    <w:rsid w:val="000D7BC8"/>
    <w:rsid w:val="000E08AA"/>
    <w:rsid w:val="000E12AF"/>
    <w:rsid w:val="000E1780"/>
    <w:rsid w:val="000E214E"/>
    <w:rsid w:val="000E26A6"/>
    <w:rsid w:val="000E2F48"/>
    <w:rsid w:val="000E34BE"/>
    <w:rsid w:val="000E5031"/>
    <w:rsid w:val="000E552B"/>
    <w:rsid w:val="000E5601"/>
    <w:rsid w:val="000E63FA"/>
    <w:rsid w:val="000E6561"/>
    <w:rsid w:val="000E6F36"/>
    <w:rsid w:val="000E7B6A"/>
    <w:rsid w:val="000F2ECD"/>
    <w:rsid w:val="000F399F"/>
    <w:rsid w:val="000F3EA0"/>
    <w:rsid w:val="000F4379"/>
    <w:rsid w:val="000F5ECE"/>
    <w:rsid w:val="000F6FF6"/>
    <w:rsid w:val="00100D2E"/>
    <w:rsid w:val="00100EEC"/>
    <w:rsid w:val="00101D75"/>
    <w:rsid w:val="00101F2D"/>
    <w:rsid w:val="001022A7"/>
    <w:rsid w:val="0010320B"/>
    <w:rsid w:val="001050A2"/>
    <w:rsid w:val="001066F2"/>
    <w:rsid w:val="00107691"/>
    <w:rsid w:val="00107AD0"/>
    <w:rsid w:val="00107B09"/>
    <w:rsid w:val="00107C03"/>
    <w:rsid w:val="00107DAD"/>
    <w:rsid w:val="00110853"/>
    <w:rsid w:val="00111053"/>
    <w:rsid w:val="001120E8"/>
    <w:rsid w:val="00112DDB"/>
    <w:rsid w:val="0011327B"/>
    <w:rsid w:val="0011577D"/>
    <w:rsid w:val="0011610A"/>
    <w:rsid w:val="0011747C"/>
    <w:rsid w:val="00117A8E"/>
    <w:rsid w:val="00117F72"/>
    <w:rsid w:val="0012041E"/>
    <w:rsid w:val="00120CCC"/>
    <w:rsid w:val="00121767"/>
    <w:rsid w:val="00122428"/>
    <w:rsid w:val="00123784"/>
    <w:rsid w:val="001244FD"/>
    <w:rsid w:val="00124618"/>
    <w:rsid w:val="00125233"/>
    <w:rsid w:val="00132D99"/>
    <w:rsid w:val="00132E7B"/>
    <w:rsid w:val="00133161"/>
    <w:rsid w:val="001339B4"/>
    <w:rsid w:val="00133B16"/>
    <w:rsid w:val="00134CEA"/>
    <w:rsid w:val="00135F4A"/>
    <w:rsid w:val="001361AD"/>
    <w:rsid w:val="001373BF"/>
    <w:rsid w:val="001401FB"/>
    <w:rsid w:val="00141661"/>
    <w:rsid w:val="00141B3A"/>
    <w:rsid w:val="00142AB8"/>
    <w:rsid w:val="00143F12"/>
    <w:rsid w:val="001443D1"/>
    <w:rsid w:val="00144CD5"/>
    <w:rsid w:val="00146700"/>
    <w:rsid w:val="001469B1"/>
    <w:rsid w:val="00146A6B"/>
    <w:rsid w:val="00146FAE"/>
    <w:rsid w:val="00147568"/>
    <w:rsid w:val="0014756B"/>
    <w:rsid w:val="00147767"/>
    <w:rsid w:val="00147C07"/>
    <w:rsid w:val="001500B3"/>
    <w:rsid w:val="001505BE"/>
    <w:rsid w:val="0015123D"/>
    <w:rsid w:val="001518B9"/>
    <w:rsid w:val="00152710"/>
    <w:rsid w:val="00152B80"/>
    <w:rsid w:val="00152C80"/>
    <w:rsid w:val="001537DC"/>
    <w:rsid w:val="00153DCC"/>
    <w:rsid w:val="00154E7C"/>
    <w:rsid w:val="00155047"/>
    <w:rsid w:val="00156477"/>
    <w:rsid w:val="00156729"/>
    <w:rsid w:val="00156981"/>
    <w:rsid w:val="001572C9"/>
    <w:rsid w:val="0015782E"/>
    <w:rsid w:val="00157A88"/>
    <w:rsid w:val="00157CF8"/>
    <w:rsid w:val="00162425"/>
    <w:rsid w:val="00162444"/>
    <w:rsid w:val="00163E4B"/>
    <w:rsid w:val="0016416B"/>
    <w:rsid w:val="001658D8"/>
    <w:rsid w:val="001666BB"/>
    <w:rsid w:val="0017084E"/>
    <w:rsid w:val="00171274"/>
    <w:rsid w:val="00171B06"/>
    <w:rsid w:val="00172274"/>
    <w:rsid w:val="00172BCB"/>
    <w:rsid w:val="00172C1F"/>
    <w:rsid w:val="00173132"/>
    <w:rsid w:val="0017345A"/>
    <w:rsid w:val="001745B3"/>
    <w:rsid w:val="001767D2"/>
    <w:rsid w:val="00177164"/>
    <w:rsid w:val="001809F3"/>
    <w:rsid w:val="00181A32"/>
    <w:rsid w:val="001828D0"/>
    <w:rsid w:val="00182E50"/>
    <w:rsid w:val="00185072"/>
    <w:rsid w:val="00190BC5"/>
    <w:rsid w:val="001912E7"/>
    <w:rsid w:val="00191C3F"/>
    <w:rsid w:val="00191D46"/>
    <w:rsid w:val="0019228F"/>
    <w:rsid w:val="001929B3"/>
    <w:rsid w:val="00192B88"/>
    <w:rsid w:val="00193B92"/>
    <w:rsid w:val="00194120"/>
    <w:rsid w:val="00194D67"/>
    <w:rsid w:val="0019524B"/>
    <w:rsid w:val="00197EE6"/>
    <w:rsid w:val="001A2028"/>
    <w:rsid w:val="001A2630"/>
    <w:rsid w:val="001A2A2B"/>
    <w:rsid w:val="001A330D"/>
    <w:rsid w:val="001A38F0"/>
    <w:rsid w:val="001A415C"/>
    <w:rsid w:val="001A41F8"/>
    <w:rsid w:val="001A4DBF"/>
    <w:rsid w:val="001A5311"/>
    <w:rsid w:val="001A543A"/>
    <w:rsid w:val="001B0FA9"/>
    <w:rsid w:val="001B14EC"/>
    <w:rsid w:val="001B18A8"/>
    <w:rsid w:val="001B32C9"/>
    <w:rsid w:val="001B37E3"/>
    <w:rsid w:val="001B465D"/>
    <w:rsid w:val="001B4A6E"/>
    <w:rsid w:val="001B4E9C"/>
    <w:rsid w:val="001C025E"/>
    <w:rsid w:val="001C0334"/>
    <w:rsid w:val="001C0E8B"/>
    <w:rsid w:val="001C2330"/>
    <w:rsid w:val="001C27C9"/>
    <w:rsid w:val="001C3D1F"/>
    <w:rsid w:val="001C4E57"/>
    <w:rsid w:val="001C5001"/>
    <w:rsid w:val="001C5119"/>
    <w:rsid w:val="001C57C2"/>
    <w:rsid w:val="001C5C62"/>
    <w:rsid w:val="001C673E"/>
    <w:rsid w:val="001C6A1E"/>
    <w:rsid w:val="001C74BC"/>
    <w:rsid w:val="001C7518"/>
    <w:rsid w:val="001C7963"/>
    <w:rsid w:val="001C79B2"/>
    <w:rsid w:val="001D0016"/>
    <w:rsid w:val="001D1C93"/>
    <w:rsid w:val="001D293F"/>
    <w:rsid w:val="001D2A1E"/>
    <w:rsid w:val="001D2C8E"/>
    <w:rsid w:val="001D3654"/>
    <w:rsid w:val="001D3916"/>
    <w:rsid w:val="001D3DD3"/>
    <w:rsid w:val="001D5722"/>
    <w:rsid w:val="001D5D4A"/>
    <w:rsid w:val="001D5E1B"/>
    <w:rsid w:val="001E0474"/>
    <w:rsid w:val="001E09D1"/>
    <w:rsid w:val="001E0A26"/>
    <w:rsid w:val="001E1BFF"/>
    <w:rsid w:val="001E1E63"/>
    <w:rsid w:val="001E2E41"/>
    <w:rsid w:val="001E4F0E"/>
    <w:rsid w:val="001E5E98"/>
    <w:rsid w:val="001E7C6B"/>
    <w:rsid w:val="001F0595"/>
    <w:rsid w:val="001F09CD"/>
    <w:rsid w:val="001F1A07"/>
    <w:rsid w:val="001F1BF5"/>
    <w:rsid w:val="001F2B35"/>
    <w:rsid w:val="001F45DF"/>
    <w:rsid w:val="001F4D6D"/>
    <w:rsid w:val="001F5AEF"/>
    <w:rsid w:val="00200099"/>
    <w:rsid w:val="002003FA"/>
    <w:rsid w:val="00200A73"/>
    <w:rsid w:val="00201E9E"/>
    <w:rsid w:val="0020468E"/>
    <w:rsid w:val="00205E94"/>
    <w:rsid w:val="002070DF"/>
    <w:rsid w:val="00207B24"/>
    <w:rsid w:val="00210E88"/>
    <w:rsid w:val="00211B3D"/>
    <w:rsid w:val="00211DF4"/>
    <w:rsid w:val="00212927"/>
    <w:rsid w:val="00212AFC"/>
    <w:rsid w:val="00212D6D"/>
    <w:rsid w:val="00214202"/>
    <w:rsid w:val="00214494"/>
    <w:rsid w:val="00215265"/>
    <w:rsid w:val="0021549F"/>
    <w:rsid w:val="002155FF"/>
    <w:rsid w:val="00215D8E"/>
    <w:rsid w:val="002177AB"/>
    <w:rsid w:val="00217DC3"/>
    <w:rsid w:val="0022010F"/>
    <w:rsid w:val="002208F2"/>
    <w:rsid w:val="00220C73"/>
    <w:rsid w:val="00221E8A"/>
    <w:rsid w:val="00223BD1"/>
    <w:rsid w:val="00225DB9"/>
    <w:rsid w:val="00226358"/>
    <w:rsid w:val="00226BC2"/>
    <w:rsid w:val="002276ED"/>
    <w:rsid w:val="0022778F"/>
    <w:rsid w:val="00230137"/>
    <w:rsid w:val="00230476"/>
    <w:rsid w:val="00230BFB"/>
    <w:rsid w:val="00230D5F"/>
    <w:rsid w:val="002317FA"/>
    <w:rsid w:val="002320E0"/>
    <w:rsid w:val="002321D9"/>
    <w:rsid w:val="002343C7"/>
    <w:rsid w:val="00235450"/>
    <w:rsid w:val="0023668D"/>
    <w:rsid w:val="00237767"/>
    <w:rsid w:val="0024026A"/>
    <w:rsid w:val="002407D3"/>
    <w:rsid w:val="002410EC"/>
    <w:rsid w:val="00241711"/>
    <w:rsid w:val="002424F1"/>
    <w:rsid w:val="00242A8F"/>
    <w:rsid w:val="0024386F"/>
    <w:rsid w:val="00243FDC"/>
    <w:rsid w:val="00244804"/>
    <w:rsid w:val="002448F4"/>
    <w:rsid w:val="00247AEC"/>
    <w:rsid w:val="00251E53"/>
    <w:rsid w:val="002525BF"/>
    <w:rsid w:val="00253FA4"/>
    <w:rsid w:val="0025526C"/>
    <w:rsid w:val="0025673E"/>
    <w:rsid w:val="00256E50"/>
    <w:rsid w:val="00257626"/>
    <w:rsid w:val="0025774C"/>
    <w:rsid w:val="00260064"/>
    <w:rsid w:val="002602DC"/>
    <w:rsid w:val="00262154"/>
    <w:rsid w:val="002626EF"/>
    <w:rsid w:val="0026281E"/>
    <w:rsid w:val="00262CC2"/>
    <w:rsid w:val="00262E2B"/>
    <w:rsid w:val="00263E03"/>
    <w:rsid w:val="00263EDC"/>
    <w:rsid w:val="00264090"/>
    <w:rsid w:val="002649CE"/>
    <w:rsid w:val="0026569E"/>
    <w:rsid w:val="00267BA3"/>
    <w:rsid w:val="002702C9"/>
    <w:rsid w:val="00270666"/>
    <w:rsid w:val="002728DA"/>
    <w:rsid w:val="002728E2"/>
    <w:rsid w:val="00273659"/>
    <w:rsid w:val="00274789"/>
    <w:rsid w:val="00275592"/>
    <w:rsid w:val="00276304"/>
    <w:rsid w:val="002767EB"/>
    <w:rsid w:val="00276BDC"/>
    <w:rsid w:val="002778BD"/>
    <w:rsid w:val="00281389"/>
    <w:rsid w:val="0028219A"/>
    <w:rsid w:val="002836A3"/>
    <w:rsid w:val="00283833"/>
    <w:rsid w:val="00284239"/>
    <w:rsid w:val="0028451C"/>
    <w:rsid w:val="00284F4A"/>
    <w:rsid w:val="00285E2D"/>
    <w:rsid w:val="0029124F"/>
    <w:rsid w:val="00291374"/>
    <w:rsid w:val="00291687"/>
    <w:rsid w:val="00291B05"/>
    <w:rsid w:val="00292E32"/>
    <w:rsid w:val="0029353E"/>
    <w:rsid w:val="00293885"/>
    <w:rsid w:val="00293BFF"/>
    <w:rsid w:val="002941E7"/>
    <w:rsid w:val="002954DE"/>
    <w:rsid w:val="00296EE1"/>
    <w:rsid w:val="00297477"/>
    <w:rsid w:val="00297D9E"/>
    <w:rsid w:val="002A0C18"/>
    <w:rsid w:val="002A2D81"/>
    <w:rsid w:val="002A2F1D"/>
    <w:rsid w:val="002A628E"/>
    <w:rsid w:val="002A6408"/>
    <w:rsid w:val="002A684B"/>
    <w:rsid w:val="002A721A"/>
    <w:rsid w:val="002B1609"/>
    <w:rsid w:val="002B2DBC"/>
    <w:rsid w:val="002B3C65"/>
    <w:rsid w:val="002B41D4"/>
    <w:rsid w:val="002B46A4"/>
    <w:rsid w:val="002B5616"/>
    <w:rsid w:val="002B580D"/>
    <w:rsid w:val="002B58E3"/>
    <w:rsid w:val="002B6114"/>
    <w:rsid w:val="002B64F8"/>
    <w:rsid w:val="002B6B0E"/>
    <w:rsid w:val="002B73E7"/>
    <w:rsid w:val="002B7AC1"/>
    <w:rsid w:val="002C05D8"/>
    <w:rsid w:val="002C08EA"/>
    <w:rsid w:val="002C1548"/>
    <w:rsid w:val="002C20D1"/>
    <w:rsid w:val="002C22BE"/>
    <w:rsid w:val="002C404B"/>
    <w:rsid w:val="002C4B94"/>
    <w:rsid w:val="002C4CAA"/>
    <w:rsid w:val="002C51F5"/>
    <w:rsid w:val="002C615E"/>
    <w:rsid w:val="002C75F8"/>
    <w:rsid w:val="002C76D3"/>
    <w:rsid w:val="002D0780"/>
    <w:rsid w:val="002D23F8"/>
    <w:rsid w:val="002D2EB9"/>
    <w:rsid w:val="002D38CD"/>
    <w:rsid w:val="002D3B03"/>
    <w:rsid w:val="002D4D86"/>
    <w:rsid w:val="002D5F98"/>
    <w:rsid w:val="002E0E2D"/>
    <w:rsid w:val="002E1329"/>
    <w:rsid w:val="002E1829"/>
    <w:rsid w:val="002E1B9B"/>
    <w:rsid w:val="002E2092"/>
    <w:rsid w:val="002E21EE"/>
    <w:rsid w:val="002E3217"/>
    <w:rsid w:val="002E3552"/>
    <w:rsid w:val="002E382B"/>
    <w:rsid w:val="002E43A5"/>
    <w:rsid w:val="002E47B1"/>
    <w:rsid w:val="002E48D3"/>
    <w:rsid w:val="002E4DE8"/>
    <w:rsid w:val="002E54E2"/>
    <w:rsid w:val="002E695F"/>
    <w:rsid w:val="002E6C0B"/>
    <w:rsid w:val="002F0650"/>
    <w:rsid w:val="002F0936"/>
    <w:rsid w:val="002F0C54"/>
    <w:rsid w:val="002F1278"/>
    <w:rsid w:val="002F18A9"/>
    <w:rsid w:val="002F1B83"/>
    <w:rsid w:val="002F21C9"/>
    <w:rsid w:val="002F2458"/>
    <w:rsid w:val="002F4380"/>
    <w:rsid w:val="002F555A"/>
    <w:rsid w:val="002F70ED"/>
    <w:rsid w:val="003002D7"/>
    <w:rsid w:val="00300751"/>
    <w:rsid w:val="00300BC0"/>
    <w:rsid w:val="00302F2C"/>
    <w:rsid w:val="00303965"/>
    <w:rsid w:val="00303EA5"/>
    <w:rsid w:val="003046F7"/>
    <w:rsid w:val="003052D4"/>
    <w:rsid w:val="00305AFF"/>
    <w:rsid w:val="00305FEE"/>
    <w:rsid w:val="00306022"/>
    <w:rsid w:val="0030643D"/>
    <w:rsid w:val="00306474"/>
    <w:rsid w:val="00307A47"/>
    <w:rsid w:val="00307D63"/>
    <w:rsid w:val="0031113C"/>
    <w:rsid w:val="00311C09"/>
    <w:rsid w:val="00312A3E"/>
    <w:rsid w:val="00312D8A"/>
    <w:rsid w:val="00314EFD"/>
    <w:rsid w:val="00315D16"/>
    <w:rsid w:val="00315E5E"/>
    <w:rsid w:val="003161A6"/>
    <w:rsid w:val="00316E0D"/>
    <w:rsid w:val="00317535"/>
    <w:rsid w:val="00320F5D"/>
    <w:rsid w:val="0032195D"/>
    <w:rsid w:val="003233A3"/>
    <w:rsid w:val="00325048"/>
    <w:rsid w:val="003254D1"/>
    <w:rsid w:val="003263A2"/>
    <w:rsid w:val="00327410"/>
    <w:rsid w:val="00327A43"/>
    <w:rsid w:val="0033076E"/>
    <w:rsid w:val="0033082C"/>
    <w:rsid w:val="00331F4E"/>
    <w:rsid w:val="00332B28"/>
    <w:rsid w:val="00333A67"/>
    <w:rsid w:val="00334C76"/>
    <w:rsid w:val="00335368"/>
    <w:rsid w:val="00336556"/>
    <w:rsid w:val="003367FA"/>
    <w:rsid w:val="003369F2"/>
    <w:rsid w:val="00336E29"/>
    <w:rsid w:val="003376F2"/>
    <w:rsid w:val="00340107"/>
    <w:rsid w:val="00340E67"/>
    <w:rsid w:val="00340F9E"/>
    <w:rsid w:val="003414DB"/>
    <w:rsid w:val="00341900"/>
    <w:rsid w:val="00341E43"/>
    <w:rsid w:val="00342466"/>
    <w:rsid w:val="0034246C"/>
    <w:rsid w:val="003424A9"/>
    <w:rsid w:val="00343CE1"/>
    <w:rsid w:val="00343DB3"/>
    <w:rsid w:val="003442ED"/>
    <w:rsid w:val="003456AA"/>
    <w:rsid w:val="00345A01"/>
    <w:rsid w:val="003462AB"/>
    <w:rsid w:val="003462F0"/>
    <w:rsid w:val="00346BAF"/>
    <w:rsid w:val="00346CDD"/>
    <w:rsid w:val="00346EE3"/>
    <w:rsid w:val="00347C2B"/>
    <w:rsid w:val="00347DF4"/>
    <w:rsid w:val="003505FA"/>
    <w:rsid w:val="0035126D"/>
    <w:rsid w:val="00351EE1"/>
    <w:rsid w:val="00351F23"/>
    <w:rsid w:val="0035346B"/>
    <w:rsid w:val="003536A3"/>
    <w:rsid w:val="00354FFD"/>
    <w:rsid w:val="003551AA"/>
    <w:rsid w:val="003567F6"/>
    <w:rsid w:val="00356968"/>
    <w:rsid w:val="00357680"/>
    <w:rsid w:val="00360B9F"/>
    <w:rsid w:val="00360C55"/>
    <w:rsid w:val="00360CFF"/>
    <w:rsid w:val="003615EE"/>
    <w:rsid w:val="00361B01"/>
    <w:rsid w:val="00361D4C"/>
    <w:rsid w:val="0036318A"/>
    <w:rsid w:val="00363910"/>
    <w:rsid w:val="00364841"/>
    <w:rsid w:val="0036485E"/>
    <w:rsid w:val="0036519C"/>
    <w:rsid w:val="00365D16"/>
    <w:rsid w:val="00370064"/>
    <w:rsid w:val="00370E9E"/>
    <w:rsid w:val="00370F11"/>
    <w:rsid w:val="003719C7"/>
    <w:rsid w:val="00371B39"/>
    <w:rsid w:val="003723CF"/>
    <w:rsid w:val="00373EEA"/>
    <w:rsid w:val="0037510A"/>
    <w:rsid w:val="0037578B"/>
    <w:rsid w:val="00377312"/>
    <w:rsid w:val="0038129B"/>
    <w:rsid w:val="00381609"/>
    <w:rsid w:val="00381714"/>
    <w:rsid w:val="00381CE2"/>
    <w:rsid w:val="00381D3B"/>
    <w:rsid w:val="0038323E"/>
    <w:rsid w:val="00383CA6"/>
    <w:rsid w:val="003840A5"/>
    <w:rsid w:val="00384227"/>
    <w:rsid w:val="00384ADF"/>
    <w:rsid w:val="00384FC6"/>
    <w:rsid w:val="0038532A"/>
    <w:rsid w:val="00385423"/>
    <w:rsid w:val="00386380"/>
    <w:rsid w:val="003868A5"/>
    <w:rsid w:val="003870FA"/>
    <w:rsid w:val="00387657"/>
    <w:rsid w:val="00387A50"/>
    <w:rsid w:val="00390858"/>
    <w:rsid w:val="00391063"/>
    <w:rsid w:val="00391207"/>
    <w:rsid w:val="00391AA5"/>
    <w:rsid w:val="00391F73"/>
    <w:rsid w:val="00392059"/>
    <w:rsid w:val="00392AF2"/>
    <w:rsid w:val="00392F3A"/>
    <w:rsid w:val="0039387A"/>
    <w:rsid w:val="00394168"/>
    <w:rsid w:val="00395C36"/>
    <w:rsid w:val="00395F17"/>
    <w:rsid w:val="00396024"/>
    <w:rsid w:val="0039609F"/>
    <w:rsid w:val="00396F16"/>
    <w:rsid w:val="0039730C"/>
    <w:rsid w:val="003A035D"/>
    <w:rsid w:val="003A0CA1"/>
    <w:rsid w:val="003A18F5"/>
    <w:rsid w:val="003A1D3C"/>
    <w:rsid w:val="003A1E7C"/>
    <w:rsid w:val="003A262C"/>
    <w:rsid w:val="003A2E44"/>
    <w:rsid w:val="003A42DF"/>
    <w:rsid w:val="003A47B5"/>
    <w:rsid w:val="003A4CA5"/>
    <w:rsid w:val="003A522E"/>
    <w:rsid w:val="003A67F6"/>
    <w:rsid w:val="003A6DA4"/>
    <w:rsid w:val="003A75B0"/>
    <w:rsid w:val="003B0703"/>
    <w:rsid w:val="003B1061"/>
    <w:rsid w:val="003B1D0E"/>
    <w:rsid w:val="003B4959"/>
    <w:rsid w:val="003B4C3C"/>
    <w:rsid w:val="003B5986"/>
    <w:rsid w:val="003B5BA7"/>
    <w:rsid w:val="003B6121"/>
    <w:rsid w:val="003B63A5"/>
    <w:rsid w:val="003C013C"/>
    <w:rsid w:val="003C05BA"/>
    <w:rsid w:val="003C05D1"/>
    <w:rsid w:val="003C1061"/>
    <w:rsid w:val="003C1591"/>
    <w:rsid w:val="003C2923"/>
    <w:rsid w:val="003C2DE5"/>
    <w:rsid w:val="003C34DB"/>
    <w:rsid w:val="003C44EA"/>
    <w:rsid w:val="003C489A"/>
    <w:rsid w:val="003C4D32"/>
    <w:rsid w:val="003C522A"/>
    <w:rsid w:val="003C564C"/>
    <w:rsid w:val="003C5EED"/>
    <w:rsid w:val="003C65EA"/>
    <w:rsid w:val="003C6AF6"/>
    <w:rsid w:val="003C7518"/>
    <w:rsid w:val="003C76D1"/>
    <w:rsid w:val="003C7701"/>
    <w:rsid w:val="003C78BF"/>
    <w:rsid w:val="003D0821"/>
    <w:rsid w:val="003D0866"/>
    <w:rsid w:val="003D14E4"/>
    <w:rsid w:val="003D29E3"/>
    <w:rsid w:val="003D29EB"/>
    <w:rsid w:val="003D3A4A"/>
    <w:rsid w:val="003D5AEE"/>
    <w:rsid w:val="003D6745"/>
    <w:rsid w:val="003D76C8"/>
    <w:rsid w:val="003E01B0"/>
    <w:rsid w:val="003E0ADC"/>
    <w:rsid w:val="003E17E9"/>
    <w:rsid w:val="003E261B"/>
    <w:rsid w:val="003E30A6"/>
    <w:rsid w:val="003E3C41"/>
    <w:rsid w:val="003E3D62"/>
    <w:rsid w:val="003E3E9A"/>
    <w:rsid w:val="003E4185"/>
    <w:rsid w:val="003F0DE7"/>
    <w:rsid w:val="003F2101"/>
    <w:rsid w:val="003F24B1"/>
    <w:rsid w:val="003F423C"/>
    <w:rsid w:val="003F473E"/>
    <w:rsid w:val="003F56EA"/>
    <w:rsid w:val="003F6286"/>
    <w:rsid w:val="003F7411"/>
    <w:rsid w:val="003F7E6B"/>
    <w:rsid w:val="003F7EF4"/>
    <w:rsid w:val="004004A1"/>
    <w:rsid w:val="00400BE7"/>
    <w:rsid w:val="00401130"/>
    <w:rsid w:val="0040114D"/>
    <w:rsid w:val="0040141C"/>
    <w:rsid w:val="00401575"/>
    <w:rsid w:val="00401586"/>
    <w:rsid w:val="004018B9"/>
    <w:rsid w:val="004019CE"/>
    <w:rsid w:val="00401C11"/>
    <w:rsid w:val="004023E3"/>
    <w:rsid w:val="00402D62"/>
    <w:rsid w:val="00402E4B"/>
    <w:rsid w:val="00402F97"/>
    <w:rsid w:val="00403D7C"/>
    <w:rsid w:val="004050AD"/>
    <w:rsid w:val="004054EA"/>
    <w:rsid w:val="0040554C"/>
    <w:rsid w:val="00406132"/>
    <w:rsid w:val="0040634D"/>
    <w:rsid w:val="00406B1D"/>
    <w:rsid w:val="00406E9E"/>
    <w:rsid w:val="00411266"/>
    <w:rsid w:val="00411298"/>
    <w:rsid w:val="00414605"/>
    <w:rsid w:val="00414AE8"/>
    <w:rsid w:val="00414D1F"/>
    <w:rsid w:val="00415F4C"/>
    <w:rsid w:val="00416399"/>
    <w:rsid w:val="00416D50"/>
    <w:rsid w:val="004207F4"/>
    <w:rsid w:val="00420E53"/>
    <w:rsid w:val="004214C9"/>
    <w:rsid w:val="00424B2C"/>
    <w:rsid w:val="0042516D"/>
    <w:rsid w:val="00425499"/>
    <w:rsid w:val="00425678"/>
    <w:rsid w:val="00425B31"/>
    <w:rsid w:val="00425D3A"/>
    <w:rsid w:val="00427CBA"/>
    <w:rsid w:val="0043008F"/>
    <w:rsid w:val="0043090D"/>
    <w:rsid w:val="004309BA"/>
    <w:rsid w:val="00430AA9"/>
    <w:rsid w:val="00430F5C"/>
    <w:rsid w:val="0043262E"/>
    <w:rsid w:val="00433B12"/>
    <w:rsid w:val="00434C28"/>
    <w:rsid w:val="004352C7"/>
    <w:rsid w:val="004355B3"/>
    <w:rsid w:val="004360EE"/>
    <w:rsid w:val="004366AE"/>
    <w:rsid w:val="00436ABD"/>
    <w:rsid w:val="00440135"/>
    <w:rsid w:val="004405B9"/>
    <w:rsid w:val="00440AA6"/>
    <w:rsid w:val="00441E7A"/>
    <w:rsid w:val="00442383"/>
    <w:rsid w:val="004423CA"/>
    <w:rsid w:val="00442680"/>
    <w:rsid w:val="0044271F"/>
    <w:rsid w:val="00442C08"/>
    <w:rsid w:val="00442E6E"/>
    <w:rsid w:val="0044318E"/>
    <w:rsid w:val="0044321F"/>
    <w:rsid w:val="00443D5D"/>
    <w:rsid w:val="00444441"/>
    <w:rsid w:val="0044475F"/>
    <w:rsid w:val="004450E1"/>
    <w:rsid w:val="00445683"/>
    <w:rsid w:val="00446AAE"/>
    <w:rsid w:val="00446B3F"/>
    <w:rsid w:val="004510ED"/>
    <w:rsid w:val="004514A1"/>
    <w:rsid w:val="00451C0B"/>
    <w:rsid w:val="004531C6"/>
    <w:rsid w:val="00454004"/>
    <w:rsid w:val="0045448D"/>
    <w:rsid w:val="00454591"/>
    <w:rsid w:val="0045473B"/>
    <w:rsid w:val="004554F8"/>
    <w:rsid w:val="00455AF9"/>
    <w:rsid w:val="00455BEB"/>
    <w:rsid w:val="00455EAE"/>
    <w:rsid w:val="00457009"/>
    <w:rsid w:val="0045776E"/>
    <w:rsid w:val="00460403"/>
    <w:rsid w:val="004607D8"/>
    <w:rsid w:val="004617B9"/>
    <w:rsid w:val="00464070"/>
    <w:rsid w:val="004648D5"/>
    <w:rsid w:val="00465D05"/>
    <w:rsid w:val="00466215"/>
    <w:rsid w:val="00466320"/>
    <w:rsid w:val="00467943"/>
    <w:rsid w:val="00470634"/>
    <w:rsid w:val="004744CB"/>
    <w:rsid w:val="0047528E"/>
    <w:rsid w:val="00476512"/>
    <w:rsid w:val="00476980"/>
    <w:rsid w:val="004775BD"/>
    <w:rsid w:val="00477E4E"/>
    <w:rsid w:val="0048104C"/>
    <w:rsid w:val="00481405"/>
    <w:rsid w:val="004836C8"/>
    <w:rsid w:val="00484073"/>
    <w:rsid w:val="00484A63"/>
    <w:rsid w:val="00484DAD"/>
    <w:rsid w:val="00486432"/>
    <w:rsid w:val="00486725"/>
    <w:rsid w:val="00486931"/>
    <w:rsid w:val="00487742"/>
    <w:rsid w:val="00491475"/>
    <w:rsid w:val="004914C7"/>
    <w:rsid w:val="00491843"/>
    <w:rsid w:val="004928A3"/>
    <w:rsid w:val="00492AC3"/>
    <w:rsid w:val="0049372D"/>
    <w:rsid w:val="00493FAC"/>
    <w:rsid w:val="00494120"/>
    <w:rsid w:val="004941FA"/>
    <w:rsid w:val="0049482D"/>
    <w:rsid w:val="004952D6"/>
    <w:rsid w:val="0049535A"/>
    <w:rsid w:val="00495B41"/>
    <w:rsid w:val="00497356"/>
    <w:rsid w:val="00497541"/>
    <w:rsid w:val="00497A66"/>
    <w:rsid w:val="004A24E8"/>
    <w:rsid w:val="004A26AE"/>
    <w:rsid w:val="004A2ECE"/>
    <w:rsid w:val="004A35C4"/>
    <w:rsid w:val="004A40D5"/>
    <w:rsid w:val="004A4196"/>
    <w:rsid w:val="004A491A"/>
    <w:rsid w:val="004A492D"/>
    <w:rsid w:val="004A496B"/>
    <w:rsid w:val="004A59A5"/>
    <w:rsid w:val="004A6993"/>
    <w:rsid w:val="004A7103"/>
    <w:rsid w:val="004A780A"/>
    <w:rsid w:val="004A7C34"/>
    <w:rsid w:val="004B0D91"/>
    <w:rsid w:val="004B1517"/>
    <w:rsid w:val="004B18A8"/>
    <w:rsid w:val="004B1A47"/>
    <w:rsid w:val="004B30D8"/>
    <w:rsid w:val="004B353C"/>
    <w:rsid w:val="004B36AC"/>
    <w:rsid w:val="004B5110"/>
    <w:rsid w:val="004B6BA9"/>
    <w:rsid w:val="004B6C7F"/>
    <w:rsid w:val="004B7417"/>
    <w:rsid w:val="004C16CD"/>
    <w:rsid w:val="004C1893"/>
    <w:rsid w:val="004C1C11"/>
    <w:rsid w:val="004C2BC5"/>
    <w:rsid w:val="004C37E9"/>
    <w:rsid w:val="004C6C22"/>
    <w:rsid w:val="004C7562"/>
    <w:rsid w:val="004C75BC"/>
    <w:rsid w:val="004C7F3F"/>
    <w:rsid w:val="004D00A3"/>
    <w:rsid w:val="004D0EE4"/>
    <w:rsid w:val="004D20DB"/>
    <w:rsid w:val="004D2ACB"/>
    <w:rsid w:val="004D2C1A"/>
    <w:rsid w:val="004D3043"/>
    <w:rsid w:val="004D36A0"/>
    <w:rsid w:val="004D3774"/>
    <w:rsid w:val="004D6CB2"/>
    <w:rsid w:val="004D734C"/>
    <w:rsid w:val="004D7E8E"/>
    <w:rsid w:val="004E062B"/>
    <w:rsid w:val="004E0E3D"/>
    <w:rsid w:val="004E3771"/>
    <w:rsid w:val="004E3BE2"/>
    <w:rsid w:val="004E440B"/>
    <w:rsid w:val="004E6F54"/>
    <w:rsid w:val="004E702A"/>
    <w:rsid w:val="004F0465"/>
    <w:rsid w:val="004F05D5"/>
    <w:rsid w:val="004F2293"/>
    <w:rsid w:val="004F318A"/>
    <w:rsid w:val="004F4756"/>
    <w:rsid w:val="004F4B65"/>
    <w:rsid w:val="004F5915"/>
    <w:rsid w:val="004F618B"/>
    <w:rsid w:val="004F6764"/>
    <w:rsid w:val="004F71C4"/>
    <w:rsid w:val="004F75DC"/>
    <w:rsid w:val="00500044"/>
    <w:rsid w:val="005000B1"/>
    <w:rsid w:val="005006E5"/>
    <w:rsid w:val="00500F3A"/>
    <w:rsid w:val="00501F92"/>
    <w:rsid w:val="005030AD"/>
    <w:rsid w:val="005032DE"/>
    <w:rsid w:val="0050351F"/>
    <w:rsid w:val="005044AC"/>
    <w:rsid w:val="00505735"/>
    <w:rsid w:val="00505A53"/>
    <w:rsid w:val="00506C99"/>
    <w:rsid w:val="0050714A"/>
    <w:rsid w:val="005072CA"/>
    <w:rsid w:val="005119AF"/>
    <w:rsid w:val="00514FC6"/>
    <w:rsid w:val="005152D7"/>
    <w:rsid w:val="00515490"/>
    <w:rsid w:val="00516B83"/>
    <w:rsid w:val="0052045F"/>
    <w:rsid w:val="005207A1"/>
    <w:rsid w:val="00520D61"/>
    <w:rsid w:val="00521161"/>
    <w:rsid w:val="005224D8"/>
    <w:rsid w:val="00522C0A"/>
    <w:rsid w:val="00524320"/>
    <w:rsid w:val="00524428"/>
    <w:rsid w:val="00524F9C"/>
    <w:rsid w:val="005259D5"/>
    <w:rsid w:val="00525FFB"/>
    <w:rsid w:val="00530446"/>
    <w:rsid w:val="0053118F"/>
    <w:rsid w:val="00531D12"/>
    <w:rsid w:val="0053210E"/>
    <w:rsid w:val="0053230C"/>
    <w:rsid w:val="00532A1E"/>
    <w:rsid w:val="005339D6"/>
    <w:rsid w:val="00533D1C"/>
    <w:rsid w:val="00534626"/>
    <w:rsid w:val="005349C7"/>
    <w:rsid w:val="0053547C"/>
    <w:rsid w:val="005354B8"/>
    <w:rsid w:val="00535AEF"/>
    <w:rsid w:val="00535CA8"/>
    <w:rsid w:val="005363E1"/>
    <w:rsid w:val="00536F6D"/>
    <w:rsid w:val="00537427"/>
    <w:rsid w:val="005375B6"/>
    <w:rsid w:val="005376E4"/>
    <w:rsid w:val="00540642"/>
    <w:rsid w:val="005407A2"/>
    <w:rsid w:val="00540C8F"/>
    <w:rsid w:val="00541EFA"/>
    <w:rsid w:val="00541FA2"/>
    <w:rsid w:val="00542E3D"/>
    <w:rsid w:val="00542E9E"/>
    <w:rsid w:val="00544F91"/>
    <w:rsid w:val="0054552F"/>
    <w:rsid w:val="00545BF8"/>
    <w:rsid w:val="00546BCE"/>
    <w:rsid w:val="00546E78"/>
    <w:rsid w:val="00547C0B"/>
    <w:rsid w:val="00547C9C"/>
    <w:rsid w:val="005501A8"/>
    <w:rsid w:val="00550CCC"/>
    <w:rsid w:val="00551BBD"/>
    <w:rsid w:val="005535E4"/>
    <w:rsid w:val="00553749"/>
    <w:rsid w:val="0055529C"/>
    <w:rsid w:val="00555A80"/>
    <w:rsid w:val="00556884"/>
    <w:rsid w:val="0056092A"/>
    <w:rsid w:val="00560CE6"/>
    <w:rsid w:val="0056286E"/>
    <w:rsid w:val="00562D1E"/>
    <w:rsid w:val="00563644"/>
    <w:rsid w:val="00564BBB"/>
    <w:rsid w:val="00567BB4"/>
    <w:rsid w:val="005715EE"/>
    <w:rsid w:val="00572B69"/>
    <w:rsid w:val="00574257"/>
    <w:rsid w:val="0057444E"/>
    <w:rsid w:val="0057533F"/>
    <w:rsid w:val="0057550F"/>
    <w:rsid w:val="00575F8C"/>
    <w:rsid w:val="00580592"/>
    <w:rsid w:val="005807DB"/>
    <w:rsid w:val="00581E10"/>
    <w:rsid w:val="00581F42"/>
    <w:rsid w:val="00583C10"/>
    <w:rsid w:val="00583D9C"/>
    <w:rsid w:val="00585390"/>
    <w:rsid w:val="005912A1"/>
    <w:rsid w:val="005926AD"/>
    <w:rsid w:val="00592F07"/>
    <w:rsid w:val="00593127"/>
    <w:rsid w:val="00595C87"/>
    <w:rsid w:val="00596135"/>
    <w:rsid w:val="005A0837"/>
    <w:rsid w:val="005A14BF"/>
    <w:rsid w:val="005A1718"/>
    <w:rsid w:val="005A184E"/>
    <w:rsid w:val="005A20FE"/>
    <w:rsid w:val="005A2591"/>
    <w:rsid w:val="005A4425"/>
    <w:rsid w:val="005A514E"/>
    <w:rsid w:val="005A54D9"/>
    <w:rsid w:val="005A6AD2"/>
    <w:rsid w:val="005B04FD"/>
    <w:rsid w:val="005B0EC6"/>
    <w:rsid w:val="005B15CE"/>
    <w:rsid w:val="005B1D13"/>
    <w:rsid w:val="005B2033"/>
    <w:rsid w:val="005B2376"/>
    <w:rsid w:val="005B24B6"/>
    <w:rsid w:val="005B2FA4"/>
    <w:rsid w:val="005B3160"/>
    <w:rsid w:val="005B31BD"/>
    <w:rsid w:val="005B37E5"/>
    <w:rsid w:val="005B69E4"/>
    <w:rsid w:val="005B6ED3"/>
    <w:rsid w:val="005B735B"/>
    <w:rsid w:val="005B760C"/>
    <w:rsid w:val="005C050A"/>
    <w:rsid w:val="005C1766"/>
    <w:rsid w:val="005C1795"/>
    <w:rsid w:val="005C19A6"/>
    <w:rsid w:val="005C1B21"/>
    <w:rsid w:val="005C3E85"/>
    <w:rsid w:val="005C4068"/>
    <w:rsid w:val="005C4277"/>
    <w:rsid w:val="005C4CFB"/>
    <w:rsid w:val="005C61CA"/>
    <w:rsid w:val="005C6EA3"/>
    <w:rsid w:val="005D0223"/>
    <w:rsid w:val="005D0C06"/>
    <w:rsid w:val="005D0EE3"/>
    <w:rsid w:val="005D173C"/>
    <w:rsid w:val="005D1A43"/>
    <w:rsid w:val="005D2A9E"/>
    <w:rsid w:val="005D2B5E"/>
    <w:rsid w:val="005D2C94"/>
    <w:rsid w:val="005D33A8"/>
    <w:rsid w:val="005D33A9"/>
    <w:rsid w:val="005D43A7"/>
    <w:rsid w:val="005D68E0"/>
    <w:rsid w:val="005D6E1E"/>
    <w:rsid w:val="005D7446"/>
    <w:rsid w:val="005E1469"/>
    <w:rsid w:val="005E15F5"/>
    <w:rsid w:val="005E1BE9"/>
    <w:rsid w:val="005E2F1F"/>
    <w:rsid w:val="005E312B"/>
    <w:rsid w:val="005E3138"/>
    <w:rsid w:val="005E345E"/>
    <w:rsid w:val="005E5123"/>
    <w:rsid w:val="005E5256"/>
    <w:rsid w:val="005E643E"/>
    <w:rsid w:val="005E6588"/>
    <w:rsid w:val="005E68D3"/>
    <w:rsid w:val="005E7216"/>
    <w:rsid w:val="005E7490"/>
    <w:rsid w:val="005E788B"/>
    <w:rsid w:val="005F039F"/>
    <w:rsid w:val="005F0A98"/>
    <w:rsid w:val="005F16D3"/>
    <w:rsid w:val="005F24BB"/>
    <w:rsid w:val="005F25A1"/>
    <w:rsid w:val="005F269C"/>
    <w:rsid w:val="005F28E5"/>
    <w:rsid w:val="005F3C26"/>
    <w:rsid w:val="005F4901"/>
    <w:rsid w:val="005F5490"/>
    <w:rsid w:val="005F66A9"/>
    <w:rsid w:val="005F66AC"/>
    <w:rsid w:val="005F6C5B"/>
    <w:rsid w:val="005F7873"/>
    <w:rsid w:val="0060122F"/>
    <w:rsid w:val="0060148D"/>
    <w:rsid w:val="006023D4"/>
    <w:rsid w:val="0060246C"/>
    <w:rsid w:val="006038EF"/>
    <w:rsid w:val="00604F51"/>
    <w:rsid w:val="00605384"/>
    <w:rsid w:val="00606512"/>
    <w:rsid w:val="006079A3"/>
    <w:rsid w:val="006114E3"/>
    <w:rsid w:val="006121CC"/>
    <w:rsid w:val="006125CB"/>
    <w:rsid w:val="006138A0"/>
    <w:rsid w:val="006141CD"/>
    <w:rsid w:val="00614485"/>
    <w:rsid w:val="006155FE"/>
    <w:rsid w:val="00615613"/>
    <w:rsid w:val="00615755"/>
    <w:rsid w:val="00616150"/>
    <w:rsid w:val="0061699E"/>
    <w:rsid w:val="00616D81"/>
    <w:rsid w:val="00617289"/>
    <w:rsid w:val="00617EE4"/>
    <w:rsid w:val="0062077B"/>
    <w:rsid w:val="00622A20"/>
    <w:rsid w:val="0062315F"/>
    <w:rsid w:val="0062324E"/>
    <w:rsid w:val="006238BF"/>
    <w:rsid w:val="00623D57"/>
    <w:rsid w:val="00623ED5"/>
    <w:rsid w:val="006249A4"/>
    <w:rsid w:val="006300CC"/>
    <w:rsid w:val="006304E9"/>
    <w:rsid w:val="0063227A"/>
    <w:rsid w:val="00632AEC"/>
    <w:rsid w:val="00632CD7"/>
    <w:rsid w:val="00632EAC"/>
    <w:rsid w:val="00634540"/>
    <w:rsid w:val="00634EA0"/>
    <w:rsid w:val="006359D9"/>
    <w:rsid w:val="006360B6"/>
    <w:rsid w:val="00636736"/>
    <w:rsid w:val="00637208"/>
    <w:rsid w:val="00637426"/>
    <w:rsid w:val="00637C7C"/>
    <w:rsid w:val="00637D91"/>
    <w:rsid w:val="00637EB1"/>
    <w:rsid w:val="00640495"/>
    <w:rsid w:val="006408EA"/>
    <w:rsid w:val="00640EE6"/>
    <w:rsid w:val="00640F0D"/>
    <w:rsid w:val="006410C4"/>
    <w:rsid w:val="00642D3A"/>
    <w:rsid w:val="00642D75"/>
    <w:rsid w:val="00643337"/>
    <w:rsid w:val="00644444"/>
    <w:rsid w:val="00644EFF"/>
    <w:rsid w:val="00647354"/>
    <w:rsid w:val="006474A3"/>
    <w:rsid w:val="006479AC"/>
    <w:rsid w:val="00650553"/>
    <w:rsid w:val="00650854"/>
    <w:rsid w:val="00650D74"/>
    <w:rsid w:val="00650F8C"/>
    <w:rsid w:val="006521C1"/>
    <w:rsid w:val="006524EE"/>
    <w:rsid w:val="00652625"/>
    <w:rsid w:val="006534F2"/>
    <w:rsid w:val="006539E2"/>
    <w:rsid w:val="00653D34"/>
    <w:rsid w:val="00654B4E"/>
    <w:rsid w:val="00654DBE"/>
    <w:rsid w:val="006550A9"/>
    <w:rsid w:val="006557AE"/>
    <w:rsid w:val="0065582B"/>
    <w:rsid w:val="006559A2"/>
    <w:rsid w:val="0065610E"/>
    <w:rsid w:val="00656171"/>
    <w:rsid w:val="00657075"/>
    <w:rsid w:val="006601B1"/>
    <w:rsid w:val="00660561"/>
    <w:rsid w:val="006615F2"/>
    <w:rsid w:val="006620B8"/>
    <w:rsid w:val="006621B4"/>
    <w:rsid w:val="006644B7"/>
    <w:rsid w:val="006646F4"/>
    <w:rsid w:val="0066622D"/>
    <w:rsid w:val="006668E0"/>
    <w:rsid w:val="00666A26"/>
    <w:rsid w:val="0067037B"/>
    <w:rsid w:val="00671531"/>
    <w:rsid w:val="00672685"/>
    <w:rsid w:val="0067279D"/>
    <w:rsid w:val="00672824"/>
    <w:rsid w:val="00673040"/>
    <w:rsid w:val="0067383B"/>
    <w:rsid w:val="006739B1"/>
    <w:rsid w:val="0067413D"/>
    <w:rsid w:val="00674AEC"/>
    <w:rsid w:val="0067564B"/>
    <w:rsid w:val="00676746"/>
    <w:rsid w:val="00676B59"/>
    <w:rsid w:val="006809B0"/>
    <w:rsid w:val="00680A5A"/>
    <w:rsid w:val="00680FCD"/>
    <w:rsid w:val="00682063"/>
    <w:rsid w:val="00684A6F"/>
    <w:rsid w:val="00685196"/>
    <w:rsid w:val="006854CB"/>
    <w:rsid w:val="006875F2"/>
    <w:rsid w:val="00690833"/>
    <w:rsid w:val="00690D4B"/>
    <w:rsid w:val="006928E4"/>
    <w:rsid w:val="006929C6"/>
    <w:rsid w:val="00693410"/>
    <w:rsid w:val="00693C61"/>
    <w:rsid w:val="00693E57"/>
    <w:rsid w:val="00694540"/>
    <w:rsid w:val="0069497B"/>
    <w:rsid w:val="0069556C"/>
    <w:rsid w:val="00696DDF"/>
    <w:rsid w:val="006A186B"/>
    <w:rsid w:val="006A1AE5"/>
    <w:rsid w:val="006A1E5A"/>
    <w:rsid w:val="006A271F"/>
    <w:rsid w:val="006A27CE"/>
    <w:rsid w:val="006A39B7"/>
    <w:rsid w:val="006A47F3"/>
    <w:rsid w:val="006A4F7D"/>
    <w:rsid w:val="006A51CC"/>
    <w:rsid w:val="006A6B5E"/>
    <w:rsid w:val="006A6E3F"/>
    <w:rsid w:val="006A6E5A"/>
    <w:rsid w:val="006A7F6D"/>
    <w:rsid w:val="006B0336"/>
    <w:rsid w:val="006B0CB6"/>
    <w:rsid w:val="006B0F7C"/>
    <w:rsid w:val="006B203E"/>
    <w:rsid w:val="006B2258"/>
    <w:rsid w:val="006B3D2F"/>
    <w:rsid w:val="006B62D0"/>
    <w:rsid w:val="006B645D"/>
    <w:rsid w:val="006C01BD"/>
    <w:rsid w:val="006C17BB"/>
    <w:rsid w:val="006C1A3F"/>
    <w:rsid w:val="006C3913"/>
    <w:rsid w:val="006C3EED"/>
    <w:rsid w:val="006C569E"/>
    <w:rsid w:val="006C57DA"/>
    <w:rsid w:val="006C640C"/>
    <w:rsid w:val="006C67F9"/>
    <w:rsid w:val="006D14D8"/>
    <w:rsid w:val="006D2915"/>
    <w:rsid w:val="006D6A5D"/>
    <w:rsid w:val="006D7DF9"/>
    <w:rsid w:val="006E038E"/>
    <w:rsid w:val="006E07D0"/>
    <w:rsid w:val="006E0E99"/>
    <w:rsid w:val="006E16F7"/>
    <w:rsid w:val="006E2907"/>
    <w:rsid w:val="006E4510"/>
    <w:rsid w:val="006E45E3"/>
    <w:rsid w:val="006E5508"/>
    <w:rsid w:val="006E5C79"/>
    <w:rsid w:val="006E60B4"/>
    <w:rsid w:val="006E6102"/>
    <w:rsid w:val="006E678C"/>
    <w:rsid w:val="006E6C13"/>
    <w:rsid w:val="006E6C76"/>
    <w:rsid w:val="006F00D8"/>
    <w:rsid w:val="006F0E00"/>
    <w:rsid w:val="006F299B"/>
    <w:rsid w:val="006F37DE"/>
    <w:rsid w:val="006F3AD9"/>
    <w:rsid w:val="006F40E2"/>
    <w:rsid w:val="006F46B6"/>
    <w:rsid w:val="006F5E7D"/>
    <w:rsid w:val="00702FC6"/>
    <w:rsid w:val="007033A1"/>
    <w:rsid w:val="00703C90"/>
    <w:rsid w:val="00703D64"/>
    <w:rsid w:val="007040AE"/>
    <w:rsid w:val="007041BA"/>
    <w:rsid w:val="007043D0"/>
    <w:rsid w:val="00704480"/>
    <w:rsid w:val="007051A1"/>
    <w:rsid w:val="007057C1"/>
    <w:rsid w:val="00705905"/>
    <w:rsid w:val="007059F8"/>
    <w:rsid w:val="00705DE9"/>
    <w:rsid w:val="00706880"/>
    <w:rsid w:val="00707E74"/>
    <w:rsid w:val="00710197"/>
    <w:rsid w:val="00711108"/>
    <w:rsid w:val="00711354"/>
    <w:rsid w:val="00711466"/>
    <w:rsid w:val="00711ECD"/>
    <w:rsid w:val="00713EE4"/>
    <w:rsid w:val="00715981"/>
    <w:rsid w:val="007159C0"/>
    <w:rsid w:val="007166A0"/>
    <w:rsid w:val="00717395"/>
    <w:rsid w:val="007179C7"/>
    <w:rsid w:val="0072032E"/>
    <w:rsid w:val="00720BD5"/>
    <w:rsid w:val="00721BBB"/>
    <w:rsid w:val="007227F7"/>
    <w:rsid w:val="00722D7D"/>
    <w:rsid w:val="00723185"/>
    <w:rsid w:val="007232B2"/>
    <w:rsid w:val="00723962"/>
    <w:rsid w:val="007246DF"/>
    <w:rsid w:val="00724B61"/>
    <w:rsid w:val="00724DC4"/>
    <w:rsid w:val="007279F9"/>
    <w:rsid w:val="007316F8"/>
    <w:rsid w:val="007319E3"/>
    <w:rsid w:val="00732C2E"/>
    <w:rsid w:val="007332D5"/>
    <w:rsid w:val="0073344E"/>
    <w:rsid w:val="00733E54"/>
    <w:rsid w:val="0073467F"/>
    <w:rsid w:val="00734931"/>
    <w:rsid w:val="0073617B"/>
    <w:rsid w:val="007378B2"/>
    <w:rsid w:val="00740844"/>
    <w:rsid w:val="00740EB5"/>
    <w:rsid w:val="007414AA"/>
    <w:rsid w:val="00742067"/>
    <w:rsid w:val="00742F6A"/>
    <w:rsid w:val="00743600"/>
    <w:rsid w:val="00743B20"/>
    <w:rsid w:val="00744492"/>
    <w:rsid w:val="00745029"/>
    <w:rsid w:val="0074503F"/>
    <w:rsid w:val="0074581A"/>
    <w:rsid w:val="00745F4A"/>
    <w:rsid w:val="0074661F"/>
    <w:rsid w:val="00746753"/>
    <w:rsid w:val="00747D0A"/>
    <w:rsid w:val="0075090F"/>
    <w:rsid w:val="007525C7"/>
    <w:rsid w:val="00752DFA"/>
    <w:rsid w:val="00753686"/>
    <w:rsid w:val="00754234"/>
    <w:rsid w:val="00755A42"/>
    <w:rsid w:val="00755E0C"/>
    <w:rsid w:val="00755ED9"/>
    <w:rsid w:val="00757347"/>
    <w:rsid w:val="00760B10"/>
    <w:rsid w:val="00762859"/>
    <w:rsid w:val="00762A88"/>
    <w:rsid w:val="00765D1A"/>
    <w:rsid w:val="00767038"/>
    <w:rsid w:val="0077035D"/>
    <w:rsid w:val="00771CC6"/>
    <w:rsid w:val="00771D59"/>
    <w:rsid w:val="00772129"/>
    <w:rsid w:val="00772476"/>
    <w:rsid w:val="00774697"/>
    <w:rsid w:val="00774B4B"/>
    <w:rsid w:val="0077591F"/>
    <w:rsid w:val="007759A3"/>
    <w:rsid w:val="00775A6C"/>
    <w:rsid w:val="00776285"/>
    <w:rsid w:val="00776F51"/>
    <w:rsid w:val="00780011"/>
    <w:rsid w:val="00780C81"/>
    <w:rsid w:val="00780E43"/>
    <w:rsid w:val="007818EE"/>
    <w:rsid w:val="00781E90"/>
    <w:rsid w:val="007824CB"/>
    <w:rsid w:val="007826A1"/>
    <w:rsid w:val="00782A59"/>
    <w:rsid w:val="007837C0"/>
    <w:rsid w:val="00783818"/>
    <w:rsid w:val="00783A4F"/>
    <w:rsid w:val="0078419E"/>
    <w:rsid w:val="0078468C"/>
    <w:rsid w:val="00784F4D"/>
    <w:rsid w:val="00785FF6"/>
    <w:rsid w:val="007862E6"/>
    <w:rsid w:val="00790435"/>
    <w:rsid w:val="007905E9"/>
    <w:rsid w:val="00790BB7"/>
    <w:rsid w:val="00790EA1"/>
    <w:rsid w:val="007910FC"/>
    <w:rsid w:val="00791C06"/>
    <w:rsid w:val="0079208C"/>
    <w:rsid w:val="0079246F"/>
    <w:rsid w:val="0079277A"/>
    <w:rsid w:val="00793034"/>
    <w:rsid w:val="00793AD2"/>
    <w:rsid w:val="007948F7"/>
    <w:rsid w:val="007958F8"/>
    <w:rsid w:val="00795A57"/>
    <w:rsid w:val="007967B1"/>
    <w:rsid w:val="00797157"/>
    <w:rsid w:val="00797644"/>
    <w:rsid w:val="00797E47"/>
    <w:rsid w:val="007A0083"/>
    <w:rsid w:val="007A15EC"/>
    <w:rsid w:val="007A1D9D"/>
    <w:rsid w:val="007A3E11"/>
    <w:rsid w:val="007A412A"/>
    <w:rsid w:val="007A4AE6"/>
    <w:rsid w:val="007A4F58"/>
    <w:rsid w:val="007A576A"/>
    <w:rsid w:val="007A5E0E"/>
    <w:rsid w:val="007A5F66"/>
    <w:rsid w:val="007A6464"/>
    <w:rsid w:val="007A6539"/>
    <w:rsid w:val="007A7ECE"/>
    <w:rsid w:val="007B0527"/>
    <w:rsid w:val="007B1294"/>
    <w:rsid w:val="007B206A"/>
    <w:rsid w:val="007B310F"/>
    <w:rsid w:val="007B66BE"/>
    <w:rsid w:val="007B6846"/>
    <w:rsid w:val="007B6DE9"/>
    <w:rsid w:val="007B701C"/>
    <w:rsid w:val="007B75B6"/>
    <w:rsid w:val="007B7F21"/>
    <w:rsid w:val="007C062A"/>
    <w:rsid w:val="007C176E"/>
    <w:rsid w:val="007C1E98"/>
    <w:rsid w:val="007C2AED"/>
    <w:rsid w:val="007C2B8D"/>
    <w:rsid w:val="007C3768"/>
    <w:rsid w:val="007C4821"/>
    <w:rsid w:val="007C52DC"/>
    <w:rsid w:val="007C602E"/>
    <w:rsid w:val="007C6F08"/>
    <w:rsid w:val="007C7234"/>
    <w:rsid w:val="007C7CFB"/>
    <w:rsid w:val="007D305C"/>
    <w:rsid w:val="007D3912"/>
    <w:rsid w:val="007D3D85"/>
    <w:rsid w:val="007D40A6"/>
    <w:rsid w:val="007D44B8"/>
    <w:rsid w:val="007D46A6"/>
    <w:rsid w:val="007D5B05"/>
    <w:rsid w:val="007D7BF4"/>
    <w:rsid w:val="007D7C15"/>
    <w:rsid w:val="007E08AB"/>
    <w:rsid w:val="007E1271"/>
    <w:rsid w:val="007E189C"/>
    <w:rsid w:val="007E19D4"/>
    <w:rsid w:val="007E1FBF"/>
    <w:rsid w:val="007E217E"/>
    <w:rsid w:val="007E271E"/>
    <w:rsid w:val="007E3C69"/>
    <w:rsid w:val="007E4949"/>
    <w:rsid w:val="007E4CE6"/>
    <w:rsid w:val="007E5028"/>
    <w:rsid w:val="007E668D"/>
    <w:rsid w:val="007F00BD"/>
    <w:rsid w:val="007F062D"/>
    <w:rsid w:val="007F194A"/>
    <w:rsid w:val="007F19B7"/>
    <w:rsid w:val="007F3947"/>
    <w:rsid w:val="007F3D2F"/>
    <w:rsid w:val="007F3DEE"/>
    <w:rsid w:val="007F5CEE"/>
    <w:rsid w:val="007F6CDC"/>
    <w:rsid w:val="007F714D"/>
    <w:rsid w:val="00801366"/>
    <w:rsid w:val="008015AC"/>
    <w:rsid w:val="00801CFE"/>
    <w:rsid w:val="00803257"/>
    <w:rsid w:val="00803F88"/>
    <w:rsid w:val="00803FFE"/>
    <w:rsid w:val="00806872"/>
    <w:rsid w:val="00807099"/>
    <w:rsid w:val="008070EF"/>
    <w:rsid w:val="008075F3"/>
    <w:rsid w:val="00811048"/>
    <w:rsid w:val="00811C2F"/>
    <w:rsid w:val="00811CD0"/>
    <w:rsid w:val="00812197"/>
    <w:rsid w:val="00812688"/>
    <w:rsid w:val="00812BAA"/>
    <w:rsid w:val="00812EEB"/>
    <w:rsid w:val="008131B2"/>
    <w:rsid w:val="00813C07"/>
    <w:rsid w:val="00813DCD"/>
    <w:rsid w:val="00813F96"/>
    <w:rsid w:val="00814995"/>
    <w:rsid w:val="00814A05"/>
    <w:rsid w:val="0081657B"/>
    <w:rsid w:val="008166BA"/>
    <w:rsid w:val="00817505"/>
    <w:rsid w:val="00820202"/>
    <w:rsid w:val="00821595"/>
    <w:rsid w:val="008215C5"/>
    <w:rsid w:val="00822F08"/>
    <w:rsid w:val="00824554"/>
    <w:rsid w:val="008246F6"/>
    <w:rsid w:val="008248A0"/>
    <w:rsid w:val="00824A96"/>
    <w:rsid w:val="00825523"/>
    <w:rsid w:val="00825B8A"/>
    <w:rsid w:val="008265F6"/>
    <w:rsid w:val="008267A4"/>
    <w:rsid w:val="0082786A"/>
    <w:rsid w:val="00827BA3"/>
    <w:rsid w:val="0083052F"/>
    <w:rsid w:val="00830D4A"/>
    <w:rsid w:val="00831190"/>
    <w:rsid w:val="00832517"/>
    <w:rsid w:val="00833493"/>
    <w:rsid w:val="0083373C"/>
    <w:rsid w:val="00833973"/>
    <w:rsid w:val="00833BA4"/>
    <w:rsid w:val="00833F38"/>
    <w:rsid w:val="00835110"/>
    <w:rsid w:val="00835795"/>
    <w:rsid w:val="00837D84"/>
    <w:rsid w:val="00841AA3"/>
    <w:rsid w:val="00841DDB"/>
    <w:rsid w:val="00842256"/>
    <w:rsid w:val="0084244B"/>
    <w:rsid w:val="008444CC"/>
    <w:rsid w:val="00845025"/>
    <w:rsid w:val="008452B9"/>
    <w:rsid w:val="008458FE"/>
    <w:rsid w:val="0084619E"/>
    <w:rsid w:val="008466D8"/>
    <w:rsid w:val="00846B5C"/>
    <w:rsid w:val="00847973"/>
    <w:rsid w:val="00847CD3"/>
    <w:rsid w:val="0085053C"/>
    <w:rsid w:val="00850640"/>
    <w:rsid w:val="00850F38"/>
    <w:rsid w:val="00850F75"/>
    <w:rsid w:val="00851F08"/>
    <w:rsid w:val="008525F9"/>
    <w:rsid w:val="00852625"/>
    <w:rsid w:val="00852E90"/>
    <w:rsid w:val="00852EF7"/>
    <w:rsid w:val="008532F4"/>
    <w:rsid w:val="00855134"/>
    <w:rsid w:val="00855165"/>
    <w:rsid w:val="00855324"/>
    <w:rsid w:val="008554CE"/>
    <w:rsid w:val="00855D57"/>
    <w:rsid w:val="00856873"/>
    <w:rsid w:val="00857011"/>
    <w:rsid w:val="00857B95"/>
    <w:rsid w:val="00857C89"/>
    <w:rsid w:val="00861E3E"/>
    <w:rsid w:val="00862DE0"/>
    <w:rsid w:val="008647F9"/>
    <w:rsid w:val="00864EC6"/>
    <w:rsid w:val="00865215"/>
    <w:rsid w:val="0086577B"/>
    <w:rsid w:val="00866FE9"/>
    <w:rsid w:val="0086707C"/>
    <w:rsid w:val="008676F0"/>
    <w:rsid w:val="00867A0B"/>
    <w:rsid w:val="00867A57"/>
    <w:rsid w:val="00867ED5"/>
    <w:rsid w:val="00870354"/>
    <w:rsid w:val="00871159"/>
    <w:rsid w:val="008713A8"/>
    <w:rsid w:val="008717A5"/>
    <w:rsid w:val="0087197B"/>
    <w:rsid w:val="00872874"/>
    <w:rsid w:val="00872A82"/>
    <w:rsid w:val="0087337A"/>
    <w:rsid w:val="008736E0"/>
    <w:rsid w:val="00876B20"/>
    <w:rsid w:val="00877BFF"/>
    <w:rsid w:val="0088072B"/>
    <w:rsid w:val="00882019"/>
    <w:rsid w:val="008828B4"/>
    <w:rsid w:val="0088435F"/>
    <w:rsid w:val="00884644"/>
    <w:rsid w:val="00884809"/>
    <w:rsid w:val="00885149"/>
    <w:rsid w:val="00885396"/>
    <w:rsid w:val="008857B8"/>
    <w:rsid w:val="00885873"/>
    <w:rsid w:val="00885A00"/>
    <w:rsid w:val="00885ADC"/>
    <w:rsid w:val="00885D92"/>
    <w:rsid w:val="00886243"/>
    <w:rsid w:val="0088699A"/>
    <w:rsid w:val="008870BA"/>
    <w:rsid w:val="008902FD"/>
    <w:rsid w:val="00890305"/>
    <w:rsid w:val="0089087C"/>
    <w:rsid w:val="008908EC"/>
    <w:rsid w:val="008909D2"/>
    <w:rsid w:val="00891077"/>
    <w:rsid w:val="008926A8"/>
    <w:rsid w:val="008934C7"/>
    <w:rsid w:val="0089384C"/>
    <w:rsid w:val="00893877"/>
    <w:rsid w:val="00893F99"/>
    <w:rsid w:val="0089402E"/>
    <w:rsid w:val="00894202"/>
    <w:rsid w:val="00895037"/>
    <w:rsid w:val="00895F01"/>
    <w:rsid w:val="0089693D"/>
    <w:rsid w:val="00896EB2"/>
    <w:rsid w:val="00897536"/>
    <w:rsid w:val="00897C48"/>
    <w:rsid w:val="008A044C"/>
    <w:rsid w:val="008A0C17"/>
    <w:rsid w:val="008A20A2"/>
    <w:rsid w:val="008A23FC"/>
    <w:rsid w:val="008A288E"/>
    <w:rsid w:val="008A2DB6"/>
    <w:rsid w:val="008A30F5"/>
    <w:rsid w:val="008A4347"/>
    <w:rsid w:val="008A446B"/>
    <w:rsid w:val="008A4917"/>
    <w:rsid w:val="008A5282"/>
    <w:rsid w:val="008A5451"/>
    <w:rsid w:val="008A677F"/>
    <w:rsid w:val="008B0D12"/>
    <w:rsid w:val="008B1461"/>
    <w:rsid w:val="008B1F6D"/>
    <w:rsid w:val="008B2F90"/>
    <w:rsid w:val="008B3622"/>
    <w:rsid w:val="008B48B8"/>
    <w:rsid w:val="008B5C3A"/>
    <w:rsid w:val="008B6E90"/>
    <w:rsid w:val="008C145A"/>
    <w:rsid w:val="008C1A87"/>
    <w:rsid w:val="008C3511"/>
    <w:rsid w:val="008C38B6"/>
    <w:rsid w:val="008C3AD5"/>
    <w:rsid w:val="008C4778"/>
    <w:rsid w:val="008C4CF4"/>
    <w:rsid w:val="008C5FA5"/>
    <w:rsid w:val="008C69D7"/>
    <w:rsid w:val="008C73DE"/>
    <w:rsid w:val="008C7C2C"/>
    <w:rsid w:val="008C7F86"/>
    <w:rsid w:val="008D073A"/>
    <w:rsid w:val="008D18AB"/>
    <w:rsid w:val="008D1B33"/>
    <w:rsid w:val="008D26D1"/>
    <w:rsid w:val="008D2C93"/>
    <w:rsid w:val="008D4DBB"/>
    <w:rsid w:val="008D620C"/>
    <w:rsid w:val="008D6747"/>
    <w:rsid w:val="008D6F1E"/>
    <w:rsid w:val="008D760B"/>
    <w:rsid w:val="008E1574"/>
    <w:rsid w:val="008E206C"/>
    <w:rsid w:val="008E335A"/>
    <w:rsid w:val="008E384B"/>
    <w:rsid w:val="008E4325"/>
    <w:rsid w:val="008E5596"/>
    <w:rsid w:val="008E61D0"/>
    <w:rsid w:val="008E6D85"/>
    <w:rsid w:val="008F0771"/>
    <w:rsid w:val="008F4BF0"/>
    <w:rsid w:val="008F6023"/>
    <w:rsid w:val="008F7ACC"/>
    <w:rsid w:val="009006DB"/>
    <w:rsid w:val="00902AF1"/>
    <w:rsid w:val="00902D71"/>
    <w:rsid w:val="00902DFB"/>
    <w:rsid w:val="0090371A"/>
    <w:rsid w:val="009048C6"/>
    <w:rsid w:val="0090514B"/>
    <w:rsid w:val="009055AE"/>
    <w:rsid w:val="00905E93"/>
    <w:rsid w:val="0090667C"/>
    <w:rsid w:val="00906CD9"/>
    <w:rsid w:val="00910F63"/>
    <w:rsid w:val="00911357"/>
    <w:rsid w:val="00911B4A"/>
    <w:rsid w:val="0091240F"/>
    <w:rsid w:val="00912BA1"/>
    <w:rsid w:val="00913FFE"/>
    <w:rsid w:val="00914031"/>
    <w:rsid w:val="009148C0"/>
    <w:rsid w:val="0091505C"/>
    <w:rsid w:val="009159EA"/>
    <w:rsid w:val="00916265"/>
    <w:rsid w:val="00916BF0"/>
    <w:rsid w:val="00917666"/>
    <w:rsid w:val="00920460"/>
    <w:rsid w:val="00920FBC"/>
    <w:rsid w:val="00921CB0"/>
    <w:rsid w:val="00922AF2"/>
    <w:rsid w:val="00922ECE"/>
    <w:rsid w:val="0092500B"/>
    <w:rsid w:val="009260B7"/>
    <w:rsid w:val="00926886"/>
    <w:rsid w:val="0092772D"/>
    <w:rsid w:val="00927A6F"/>
    <w:rsid w:val="009300E6"/>
    <w:rsid w:val="009305C8"/>
    <w:rsid w:val="00930609"/>
    <w:rsid w:val="009313C3"/>
    <w:rsid w:val="00931A33"/>
    <w:rsid w:val="00931AC1"/>
    <w:rsid w:val="009322F2"/>
    <w:rsid w:val="00933A0B"/>
    <w:rsid w:val="00933D9D"/>
    <w:rsid w:val="00933E40"/>
    <w:rsid w:val="00934F6E"/>
    <w:rsid w:val="0093582B"/>
    <w:rsid w:val="00937855"/>
    <w:rsid w:val="00937BD3"/>
    <w:rsid w:val="00937F47"/>
    <w:rsid w:val="00941C00"/>
    <w:rsid w:val="00941EF8"/>
    <w:rsid w:val="0094294F"/>
    <w:rsid w:val="00943283"/>
    <w:rsid w:val="009435B5"/>
    <w:rsid w:val="00944761"/>
    <w:rsid w:val="009449F1"/>
    <w:rsid w:val="009452EF"/>
    <w:rsid w:val="0094551F"/>
    <w:rsid w:val="00946627"/>
    <w:rsid w:val="009470F5"/>
    <w:rsid w:val="009475D0"/>
    <w:rsid w:val="009476B8"/>
    <w:rsid w:val="00947C0F"/>
    <w:rsid w:val="009501CC"/>
    <w:rsid w:val="0095031A"/>
    <w:rsid w:val="00950773"/>
    <w:rsid w:val="00951F23"/>
    <w:rsid w:val="00951F6E"/>
    <w:rsid w:val="00952D78"/>
    <w:rsid w:val="00953BAE"/>
    <w:rsid w:val="0095432E"/>
    <w:rsid w:val="009557A1"/>
    <w:rsid w:val="00955A61"/>
    <w:rsid w:val="00956B47"/>
    <w:rsid w:val="00956E50"/>
    <w:rsid w:val="00957886"/>
    <w:rsid w:val="009611BE"/>
    <w:rsid w:val="00961CA2"/>
    <w:rsid w:val="00963E2D"/>
    <w:rsid w:val="009640CB"/>
    <w:rsid w:val="00964771"/>
    <w:rsid w:val="00964B1B"/>
    <w:rsid w:val="00964DDE"/>
    <w:rsid w:val="00965197"/>
    <w:rsid w:val="009655AB"/>
    <w:rsid w:val="0096627F"/>
    <w:rsid w:val="00966618"/>
    <w:rsid w:val="009675EA"/>
    <w:rsid w:val="00967AEA"/>
    <w:rsid w:val="00967B68"/>
    <w:rsid w:val="00970378"/>
    <w:rsid w:val="00971485"/>
    <w:rsid w:val="00972F4B"/>
    <w:rsid w:val="009748D5"/>
    <w:rsid w:val="00974D82"/>
    <w:rsid w:val="00974F82"/>
    <w:rsid w:val="00975D63"/>
    <w:rsid w:val="00977326"/>
    <w:rsid w:val="009803D4"/>
    <w:rsid w:val="00981506"/>
    <w:rsid w:val="009829D9"/>
    <w:rsid w:val="00982B87"/>
    <w:rsid w:val="00982D41"/>
    <w:rsid w:val="00984882"/>
    <w:rsid w:val="0098586D"/>
    <w:rsid w:val="00987385"/>
    <w:rsid w:val="009874BD"/>
    <w:rsid w:val="00987D70"/>
    <w:rsid w:val="00990033"/>
    <w:rsid w:val="00992500"/>
    <w:rsid w:val="00993AB5"/>
    <w:rsid w:val="0099535A"/>
    <w:rsid w:val="00995EBE"/>
    <w:rsid w:val="009960EC"/>
    <w:rsid w:val="00996245"/>
    <w:rsid w:val="00996B53"/>
    <w:rsid w:val="0099797D"/>
    <w:rsid w:val="0099798B"/>
    <w:rsid w:val="00997C0B"/>
    <w:rsid w:val="009A002C"/>
    <w:rsid w:val="009A02E3"/>
    <w:rsid w:val="009A1F97"/>
    <w:rsid w:val="009A2C17"/>
    <w:rsid w:val="009A345A"/>
    <w:rsid w:val="009A4C59"/>
    <w:rsid w:val="009A5347"/>
    <w:rsid w:val="009A53CD"/>
    <w:rsid w:val="009A5815"/>
    <w:rsid w:val="009A5963"/>
    <w:rsid w:val="009A6FBA"/>
    <w:rsid w:val="009A706D"/>
    <w:rsid w:val="009B0A9C"/>
    <w:rsid w:val="009B3397"/>
    <w:rsid w:val="009B3719"/>
    <w:rsid w:val="009B46ED"/>
    <w:rsid w:val="009B4E42"/>
    <w:rsid w:val="009B527F"/>
    <w:rsid w:val="009B5652"/>
    <w:rsid w:val="009B5DE9"/>
    <w:rsid w:val="009B6210"/>
    <w:rsid w:val="009B6688"/>
    <w:rsid w:val="009B6F66"/>
    <w:rsid w:val="009B79AB"/>
    <w:rsid w:val="009C089E"/>
    <w:rsid w:val="009C1D5B"/>
    <w:rsid w:val="009C1FAE"/>
    <w:rsid w:val="009C242E"/>
    <w:rsid w:val="009C3EF8"/>
    <w:rsid w:val="009C40A8"/>
    <w:rsid w:val="009C40D3"/>
    <w:rsid w:val="009C41F5"/>
    <w:rsid w:val="009C4DCE"/>
    <w:rsid w:val="009C4E44"/>
    <w:rsid w:val="009C5085"/>
    <w:rsid w:val="009C51CF"/>
    <w:rsid w:val="009C6D57"/>
    <w:rsid w:val="009C7159"/>
    <w:rsid w:val="009C73F4"/>
    <w:rsid w:val="009D0F50"/>
    <w:rsid w:val="009D216D"/>
    <w:rsid w:val="009D22A2"/>
    <w:rsid w:val="009D3879"/>
    <w:rsid w:val="009D7299"/>
    <w:rsid w:val="009D79CB"/>
    <w:rsid w:val="009E152D"/>
    <w:rsid w:val="009E1E04"/>
    <w:rsid w:val="009E2E9D"/>
    <w:rsid w:val="009E3A86"/>
    <w:rsid w:val="009E3F8D"/>
    <w:rsid w:val="009E442A"/>
    <w:rsid w:val="009E4490"/>
    <w:rsid w:val="009E4F10"/>
    <w:rsid w:val="009E58AE"/>
    <w:rsid w:val="009E738A"/>
    <w:rsid w:val="009E788C"/>
    <w:rsid w:val="009E7FF6"/>
    <w:rsid w:val="009F08F6"/>
    <w:rsid w:val="009F140B"/>
    <w:rsid w:val="009F1EC5"/>
    <w:rsid w:val="009F1ED7"/>
    <w:rsid w:val="009F21A5"/>
    <w:rsid w:val="009F3DC9"/>
    <w:rsid w:val="009F5359"/>
    <w:rsid w:val="009F6BFC"/>
    <w:rsid w:val="009F72DE"/>
    <w:rsid w:val="009F7470"/>
    <w:rsid w:val="009F7484"/>
    <w:rsid w:val="009F78E4"/>
    <w:rsid w:val="009F7B50"/>
    <w:rsid w:val="009F7C31"/>
    <w:rsid w:val="00A00621"/>
    <w:rsid w:val="00A00745"/>
    <w:rsid w:val="00A00941"/>
    <w:rsid w:val="00A00B44"/>
    <w:rsid w:val="00A01474"/>
    <w:rsid w:val="00A02816"/>
    <w:rsid w:val="00A0395C"/>
    <w:rsid w:val="00A03C35"/>
    <w:rsid w:val="00A0405B"/>
    <w:rsid w:val="00A0513C"/>
    <w:rsid w:val="00A06EFA"/>
    <w:rsid w:val="00A0768E"/>
    <w:rsid w:val="00A07A48"/>
    <w:rsid w:val="00A07F98"/>
    <w:rsid w:val="00A10FF1"/>
    <w:rsid w:val="00A11CE2"/>
    <w:rsid w:val="00A12BB1"/>
    <w:rsid w:val="00A142BC"/>
    <w:rsid w:val="00A1503F"/>
    <w:rsid w:val="00A151C6"/>
    <w:rsid w:val="00A153B1"/>
    <w:rsid w:val="00A1635A"/>
    <w:rsid w:val="00A173A9"/>
    <w:rsid w:val="00A176FF"/>
    <w:rsid w:val="00A204D9"/>
    <w:rsid w:val="00A207C2"/>
    <w:rsid w:val="00A20F15"/>
    <w:rsid w:val="00A2136E"/>
    <w:rsid w:val="00A22092"/>
    <w:rsid w:val="00A22644"/>
    <w:rsid w:val="00A23286"/>
    <w:rsid w:val="00A23307"/>
    <w:rsid w:val="00A23347"/>
    <w:rsid w:val="00A2377A"/>
    <w:rsid w:val="00A24640"/>
    <w:rsid w:val="00A25439"/>
    <w:rsid w:val="00A2657C"/>
    <w:rsid w:val="00A26B9B"/>
    <w:rsid w:val="00A30798"/>
    <w:rsid w:val="00A30F8D"/>
    <w:rsid w:val="00A319C7"/>
    <w:rsid w:val="00A31BB7"/>
    <w:rsid w:val="00A31BCF"/>
    <w:rsid w:val="00A35677"/>
    <w:rsid w:val="00A35E60"/>
    <w:rsid w:val="00A360DE"/>
    <w:rsid w:val="00A3654A"/>
    <w:rsid w:val="00A37900"/>
    <w:rsid w:val="00A414D5"/>
    <w:rsid w:val="00A41566"/>
    <w:rsid w:val="00A41651"/>
    <w:rsid w:val="00A424C5"/>
    <w:rsid w:val="00A427CC"/>
    <w:rsid w:val="00A42FB5"/>
    <w:rsid w:val="00A44D96"/>
    <w:rsid w:val="00A451A7"/>
    <w:rsid w:val="00A46C98"/>
    <w:rsid w:val="00A50271"/>
    <w:rsid w:val="00A50277"/>
    <w:rsid w:val="00A504C8"/>
    <w:rsid w:val="00A533B1"/>
    <w:rsid w:val="00A5379D"/>
    <w:rsid w:val="00A53EB4"/>
    <w:rsid w:val="00A543B0"/>
    <w:rsid w:val="00A55A34"/>
    <w:rsid w:val="00A5707A"/>
    <w:rsid w:val="00A60106"/>
    <w:rsid w:val="00A602FF"/>
    <w:rsid w:val="00A60A9F"/>
    <w:rsid w:val="00A60C35"/>
    <w:rsid w:val="00A61E2E"/>
    <w:rsid w:val="00A63106"/>
    <w:rsid w:val="00A641BC"/>
    <w:rsid w:val="00A64F70"/>
    <w:rsid w:val="00A65439"/>
    <w:rsid w:val="00A65FB0"/>
    <w:rsid w:val="00A661C8"/>
    <w:rsid w:val="00A66C60"/>
    <w:rsid w:val="00A710EB"/>
    <w:rsid w:val="00A71F30"/>
    <w:rsid w:val="00A7367A"/>
    <w:rsid w:val="00A73E1F"/>
    <w:rsid w:val="00A74C2B"/>
    <w:rsid w:val="00A76845"/>
    <w:rsid w:val="00A80660"/>
    <w:rsid w:val="00A8163C"/>
    <w:rsid w:val="00A826C6"/>
    <w:rsid w:val="00A8274C"/>
    <w:rsid w:val="00A82E88"/>
    <w:rsid w:val="00A83DAB"/>
    <w:rsid w:val="00A852C2"/>
    <w:rsid w:val="00A85AB2"/>
    <w:rsid w:val="00A85B73"/>
    <w:rsid w:val="00A9187F"/>
    <w:rsid w:val="00A91B58"/>
    <w:rsid w:val="00A91ED6"/>
    <w:rsid w:val="00A92D7E"/>
    <w:rsid w:val="00A93E7E"/>
    <w:rsid w:val="00A94829"/>
    <w:rsid w:val="00A94D79"/>
    <w:rsid w:val="00A96F37"/>
    <w:rsid w:val="00AA123D"/>
    <w:rsid w:val="00AA1EF2"/>
    <w:rsid w:val="00AA2BDC"/>
    <w:rsid w:val="00AA2C96"/>
    <w:rsid w:val="00AA5511"/>
    <w:rsid w:val="00AA623A"/>
    <w:rsid w:val="00AB0227"/>
    <w:rsid w:val="00AB029A"/>
    <w:rsid w:val="00AB07EE"/>
    <w:rsid w:val="00AB1028"/>
    <w:rsid w:val="00AB1099"/>
    <w:rsid w:val="00AB16C8"/>
    <w:rsid w:val="00AB2982"/>
    <w:rsid w:val="00AB57A1"/>
    <w:rsid w:val="00AB624E"/>
    <w:rsid w:val="00AB6389"/>
    <w:rsid w:val="00AB6ADC"/>
    <w:rsid w:val="00AB6B89"/>
    <w:rsid w:val="00AB706D"/>
    <w:rsid w:val="00AB7272"/>
    <w:rsid w:val="00AB784B"/>
    <w:rsid w:val="00AC2790"/>
    <w:rsid w:val="00AC2BEC"/>
    <w:rsid w:val="00AC30F5"/>
    <w:rsid w:val="00AC33AD"/>
    <w:rsid w:val="00AC4315"/>
    <w:rsid w:val="00AC44DD"/>
    <w:rsid w:val="00AC4B59"/>
    <w:rsid w:val="00AC526B"/>
    <w:rsid w:val="00AC5BE8"/>
    <w:rsid w:val="00AC63D7"/>
    <w:rsid w:val="00AC6842"/>
    <w:rsid w:val="00AC6BB9"/>
    <w:rsid w:val="00AD02A3"/>
    <w:rsid w:val="00AD02E9"/>
    <w:rsid w:val="00AD0B46"/>
    <w:rsid w:val="00AD18BB"/>
    <w:rsid w:val="00AD1DAD"/>
    <w:rsid w:val="00AD3EE9"/>
    <w:rsid w:val="00AD5274"/>
    <w:rsid w:val="00AD6060"/>
    <w:rsid w:val="00AD6752"/>
    <w:rsid w:val="00AD7CCD"/>
    <w:rsid w:val="00AE0495"/>
    <w:rsid w:val="00AE18F2"/>
    <w:rsid w:val="00AE1C61"/>
    <w:rsid w:val="00AE2764"/>
    <w:rsid w:val="00AE3016"/>
    <w:rsid w:val="00AE45DC"/>
    <w:rsid w:val="00AE4E37"/>
    <w:rsid w:val="00AE60B0"/>
    <w:rsid w:val="00AE650C"/>
    <w:rsid w:val="00AE709F"/>
    <w:rsid w:val="00AE7DDD"/>
    <w:rsid w:val="00AF11CF"/>
    <w:rsid w:val="00AF1637"/>
    <w:rsid w:val="00AF2482"/>
    <w:rsid w:val="00AF274D"/>
    <w:rsid w:val="00AF2899"/>
    <w:rsid w:val="00AF2E53"/>
    <w:rsid w:val="00AF40E4"/>
    <w:rsid w:val="00AF41EE"/>
    <w:rsid w:val="00AF4E0D"/>
    <w:rsid w:val="00AF55DE"/>
    <w:rsid w:val="00AF60E6"/>
    <w:rsid w:val="00AF6CF8"/>
    <w:rsid w:val="00AF7513"/>
    <w:rsid w:val="00B00088"/>
    <w:rsid w:val="00B003CB"/>
    <w:rsid w:val="00B00D47"/>
    <w:rsid w:val="00B01C33"/>
    <w:rsid w:val="00B01DCF"/>
    <w:rsid w:val="00B022CE"/>
    <w:rsid w:val="00B023A5"/>
    <w:rsid w:val="00B02870"/>
    <w:rsid w:val="00B03ACC"/>
    <w:rsid w:val="00B054EA"/>
    <w:rsid w:val="00B0738A"/>
    <w:rsid w:val="00B073E0"/>
    <w:rsid w:val="00B11A3D"/>
    <w:rsid w:val="00B11EBA"/>
    <w:rsid w:val="00B12980"/>
    <w:rsid w:val="00B13BC0"/>
    <w:rsid w:val="00B143F3"/>
    <w:rsid w:val="00B16361"/>
    <w:rsid w:val="00B164CF"/>
    <w:rsid w:val="00B16A00"/>
    <w:rsid w:val="00B16A44"/>
    <w:rsid w:val="00B16EB4"/>
    <w:rsid w:val="00B175CA"/>
    <w:rsid w:val="00B17B1B"/>
    <w:rsid w:val="00B207C7"/>
    <w:rsid w:val="00B20AC3"/>
    <w:rsid w:val="00B21B6F"/>
    <w:rsid w:val="00B23956"/>
    <w:rsid w:val="00B260E0"/>
    <w:rsid w:val="00B27AD5"/>
    <w:rsid w:val="00B27B1F"/>
    <w:rsid w:val="00B31E70"/>
    <w:rsid w:val="00B31F45"/>
    <w:rsid w:val="00B32716"/>
    <w:rsid w:val="00B34626"/>
    <w:rsid w:val="00B34901"/>
    <w:rsid w:val="00B34B1B"/>
    <w:rsid w:val="00B364E6"/>
    <w:rsid w:val="00B37340"/>
    <w:rsid w:val="00B37A0F"/>
    <w:rsid w:val="00B4011F"/>
    <w:rsid w:val="00B41428"/>
    <w:rsid w:val="00B427FF"/>
    <w:rsid w:val="00B43DA4"/>
    <w:rsid w:val="00B44E76"/>
    <w:rsid w:val="00B454B4"/>
    <w:rsid w:val="00B46366"/>
    <w:rsid w:val="00B50F82"/>
    <w:rsid w:val="00B51D16"/>
    <w:rsid w:val="00B51DA3"/>
    <w:rsid w:val="00B52EE1"/>
    <w:rsid w:val="00B54BCB"/>
    <w:rsid w:val="00B54E17"/>
    <w:rsid w:val="00B56304"/>
    <w:rsid w:val="00B56F48"/>
    <w:rsid w:val="00B5767D"/>
    <w:rsid w:val="00B577B2"/>
    <w:rsid w:val="00B57AFB"/>
    <w:rsid w:val="00B57FB3"/>
    <w:rsid w:val="00B600E7"/>
    <w:rsid w:val="00B60B20"/>
    <w:rsid w:val="00B61855"/>
    <w:rsid w:val="00B62421"/>
    <w:rsid w:val="00B6376B"/>
    <w:rsid w:val="00B6381E"/>
    <w:rsid w:val="00B64AEC"/>
    <w:rsid w:val="00B65088"/>
    <w:rsid w:val="00B66492"/>
    <w:rsid w:val="00B7084C"/>
    <w:rsid w:val="00B70A2D"/>
    <w:rsid w:val="00B70EF4"/>
    <w:rsid w:val="00B71910"/>
    <w:rsid w:val="00B73670"/>
    <w:rsid w:val="00B746D3"/>
    <w:rsid w:val="00B75103"/>
    <w:rsid w:val="00B751DD"/>
    <w:rsid w:val="00B75C7F"/>
    <w:rsid w:val="00B76B8A"/>
    <w:rsid w:val="00B811CA"/>
    <w:rsid w:val="00B8189F"/>
    <w:rsid w:val="00B82E13"/>
    <w:rsid w:val="00B82F95"/>
    <w:rsid w:val="00B836D7"/>
    <w:rsid w:val="00B83A3C"/>
    <w:rsid w:val="00B83DEF"/>
    <w:rsid w:val="00B83EC8"/>
    <w:rsid w:val="00B852D5"/>
    <w:rsid w:val="00B85496"/>
    <w:rsid w:val="00B858ED"/>
    <w:rsid w:val="00B85A77"/>
    <w:rsid w:val="00B87F32"/>
    <w:rsid w:val="00B903F5"/>
    <w:rsid w:val="00B909CF"/>
    <w:rsid w:val="00B90D26"/>
    <w:rsid w:val="00B90ED1"/>
    <w:rsid w:val="00B915B1"/>
    <w:rsid w:val="00B9302B"/>
    <w:rsid w:val="00B93933"/>
    <w:rsid w:val="00B93D09"/>
    <w:rsid w:val="00B93F16"/>
    <w:rsid w:val="00B9415A"/>
    <w:rsid w:val="00B94313"/>
    <w:rsid w:val="00B95022"/>
    <w:rsid w:val="00B95149"/>
    <w:rsid w:val="00B956FA"/>
    <w:rsid w:val="00B95B23"/>
    <w:rsid w:val="00B95BB7"/>
    <w:rsid w:val="00B961F0"/>
    <w:rsid w:val="00B9620E"/>
    <w:rsid w:val="00B96352"/>
    <w:rsid w:val="00B966C3"/>
    <w:rsid w:val="00B96D76"/>
    <w:rsid w:val="00B97253"/>
    <w:rsid w:val="00B975F3"/>
    <w:rsid w:val="00B977B8"/>
    <w:rsid w:val="00BA0631"/>
    <w:rsid w:val="00BA0EC9"/>
    <w:rsid w:val="00BA1252"/>
    <w:rsid w:val="00BA2363"/>
    <w:rsid w:val="00BA2833"/>
    <w:rsid w:val="00BA3F05"/>
    <w:rsid w:val="00BA3F94"/>
    <w:rsid w:val="00BA42B1"/>
    <w:rsid w:val="00BA51AA"/>
    <w:rsid w:val="00BA52FB"/>
    <w:rsid w:val="00BA679E"/>
    <w:rsid w:val="00BA7609"/>
    <w:rsid w:val="00BA7DA8"/>
    <w:rsid w:val="00BB0593"/>
    <w:rsid w:val="00BB10A8"/>
    <w:rsid w:val="00BB24C4"/>
    <w:rsid w:val="00BB425A"/>
    <w:rsid w:val="00BB45C0"/>
    <w:rsid w:val="00BB6EE6"/>
    <w:rsid w:val="00BB75C4"/>
    <w:rsid w:val="00BB7D53"/>
    <w:rsid w:val="00BB7F87"/>
    <w:rsid w:val="00BC0682"/>
    <w:rsid w:val="00BC1E62"/>
    <w:rsid w:val="00BC2415"/>
    <w:rsid w:val="00BC3A81"/>
    <w:rsid w:val="00BC3BC2"/>
    <w:rsid w:val="00BC46CE"/>
    <w:rsid w:val="00BC6499"/>
    <w:rsid w:val="00BC678B"/>
    <w:rsid w:val="00BC6E32"/>
    <w:rsid w:val="00BC7CF5"/>
    <w:rsid w:val="00BC7CFD"/>
    <w:rsid w:val="00BD0D73"/>
    <w:rsid w:val="00BD13B2"/>
    <w:rsid w:val="00BD17EA"/>
    <w:rsid w:val="00BD25CF"/>
    <w:rsid w:val="00BD292F"/>
    <w:rsid w:val="00BD2D3C"/>
    <w:rsid w:val="00BD3971"/>
    <w:rsid w:val="00BD3B1A"/>
    <w:rsid w:val="00BD41BD"/>
    <w:rsid w:val="00BD42DA"/>
    <w:rsid w:val="00BD5557"/>
    <w:rsid w:val="00BD6557"/>
    <w:rsid w:val="00BD7528"/>
    <w:rsid w:val="00BD78EE"/>
    <w:rsid w:val="00BE0027"/>
    <w:rsid w:val="00BE0DCB"/>
    <w:rsid w:val="00BE1E3E"/>
    <w:rsid w:val="00BE2317"/>
    <w:rsid w:val="00BE283F"/>
    <w:rsid w:val="00BE2DCC"/>
    <w:rsid w:val="00BE33EC"/>
    <w:rsid w:val="00BE3647"/>
    <w:rsid w:val="00BE4BB2"/>
    <w:rsid w:val="00BE4BFE"/>
    <w:rsid w:val="00BE5B1C"/>
    <w:rsid w:val="00BE6493"/>
    <w:rsid w:val="00BE6C58"/>
    <w:rsid w:val="00BF2424"/>
    <w:rsid w:val="00BF33E7"/>
    <w:rsid w:val="00BF387C"/>
    <w:rsid w:val="00BF3B50"/>
    <w:rsid w:val="00BF414E"/>
    <w:rsid w:val="00BF51AE"/>
    <w:rsid w:val="00BF54AF"/>
    <w:rsid w:val="00BF5548"/>
    <w:rsid w:val="00BF62D4"/>
    <w:rsid w:val="00BF70C3"/>
    <w:rsid w:val="00C00278"/>
    <w:rsid w:val="00C007DE"/>
    <w:rsid w:val="00C01130"/>
    <w:rsid w:val="00C01593"/>
    <w:rsid w:val="00C015D2"/>
    <w:rsid w:val="00C01E94"/>
    <w:rsid w:val="00C02B09"/>
    <w:rsid w:val="00C03774"/>
    <w:rsid w:val="00C03F8E"/>
    <w:rsid w:val="00C0402C"/>
    <w:rsid w:val="00C05E28"/>
    <w:rsid w:val="00C06B90"/>
    <w:rsid w:val="00C06BD7"/>
    <w:rsid w:val="00C07E70"/>
    <w:rsid w:val="00C102A6"/>
    <w:rsid w:val="00C10DBB"/>
    <w:rsid w:val="00C13BCA"/>
    <w:rsid w:val="00C15DB4"/>
    <w:rsid w:val="00C15ECE"/>
    <w:rsid w:val="00C15F8F"/>
    <w:rsid w:val="00C16389"/>
    <w:rsid w:val="00C16694"/>
    <w:rsid w:val="00C16E8C"/>
    <w:rsid w:val="00C17BC4"/>
    <w:rsid w:val="00C208C0"/>
    <w:rsid w:val="00C209CE"/>
    <w:rsid w:val="00C20CCD"/>
    <w:rsid w:val="00C20DD7"/>
    <w:rsid w:val="00C20F7A"/>
    <w:rsid w:val="00C217AD"/>
    <w:rsid w:val="00C21DE3"/>
    <w:rsid w:val="00C21E39"/>
    <w:rsid w:val="00C22BFB"/>
    <w:rsid w:val="00C22E1E"/>
    <w:rsid w:val="00C23E7E"/>
    <w:rsid w:val="00C24543"/>
    <w:rsid w:val="00C247CE"/>
    <w:rsid w:val="00C252BE"/>
    <w:rsid w:val="00C2666A"/>
    <w:rsid w:val="00C26671"/>
    <w:rsid w:val="00C2673D"/>
    <w:rsid w:val="00C27164"/>
    <w:rsid w:val="00C27953"/>
    <w:rsid w:val="00C27BB0"/>
    <w:rsid w:val="00C307A8"/>
    <w:rsid w:val="00C31F36"/>
    <w:rsid w:val="00C32A55"/>
    <w:rsid w:val="00C32E46"/>
    <w:rsid w:val="00C336C3"/>
    <w:rsid w:val="00C352B5"/>
    <w:rsid w:val="00C35EA9"/>
    <w:rsid w:val="00C36B9F"/>
    <w:rsid w:val="00C370AC"/>
    <w:rsid w:val="00C3772F"/>
    <w:rsid w:val="00C40964"/>
    <w:rsid w:val="00C41098"/>
    <w:rsid w:val="00C41EEC"/>
    <w:rsid w:val="00C4299A"/>
    <w:rsid w:val="00C4596D"/>
    <w:rsid w:val="00C470FF"/>
    <w:rsid w:val="00C473D7"/>
    <w:rsid w:val="00C473FD"/>
    <w:rsid w:val="00C505DB"/>
    <w:rsid w:val="00C51829"/>
    <w:rsid w:val="00C52BF9"/>
    <w:rsid w:val="00C53006"/>
    <w:rsid w:val="00C542F0"/>
    <w:rsid w:val="00C54AE5"/>
    <w:rsid w:val="00C55760"/>
    <w:rsid w:val="00C55E53"/>
    <w:rsid w:val="00C566FD"/>
    <w:rsid w:val="00C569D1"/>
    <w:rsid w:val="00C56BC4"/>
    <w:rsid w:val="00C57636"/>
    <w:rsid w:val="00C57BB4"/>
    <w:rsid w:val="00C60090"/>
    <w:rsid w:val="00C60DEF"/>
    <w:rsid w:val="00C63638"/>
    <w:rsid w:val="00C638E6"/>
    <w:rsid w:val="00C63AF5"/>
    <w:rsid w:val="00C661F8"/>
    <w:rsid w:val="00C66AF1"/>
    <w:rsid w:val="00C66DCD"/>
    <w:rsid w:val="00C670C8"/>
    <w:rsid w:val="00C673F3"/>
    <w:rsid w:val="00C70BE6"/>
    <w:rsid w:val="00C713F5"/>
    <w:rsid w:val="00C717E4"/>
    <w:rsid w:val="00C72D88"/>
    <w:rsid w:val="00C73C8E"/>
    <w:rsid w:val="00C74B45"/>
    <w:rsid w:val="00C752CF"/>
    <w:rsid w:val="00C75F75"/>
    <w:rsid w:val="00C766AB"/>
    <w:rsid w:val="00C776E3"/>
    <w:rsid w:val="00C77F4A"/>
    <w:rsid w:val="00C8088E"/>
    <w:rsid w:val="00C81028"/>
    <w:rsid w:val="00C81799"/>
    <w:rsid w:val="00C81A59"/>
    <w:rsid w:val="00C81DA1"/>
    <w:rsid w:val="00C8394D"/>
    <w:rsid w:val="00C8430E"/>
    <w:rsid w:val="00C84372"/>
    <w:rsid w:val="00C844B6"/>
    <w:rsid w:val="00C8740F"/>
    <w:rsid w:val="00C87A88"/>
    <w:rsid w:val="00C92267"/>
    <w:rsid w:val="00C92CA3"/>
    <w:rsid w:val="00C92D3B"/>
    <w:rsid w:val="00C937C3"/>
    <w:rsid w:val="00C93DB1"/>
    <w:rsid w:val="00C95C44"/>
    <w:rsid w:val="00C96D24"/>
    <w:rsid w:val="00C97902"/>
    <w:rsid w:val="00C97B1B"/>
    <w:rsid w:val="00C97DDD"/>
    <w:rsid w:val="00CA064E"/>
    <w:rsid w:val="00CA1F75"/>
    <w:rsid w:val="00CA2172"/>
    <w:rsid w:val="00CA2399"/>
    <w:rsid w:val="00CA30C3"/>
    <w:rsid w:val="00CA3212"/>
    <w:rsid w:val="00CA3839"/>
    <w:rsid w:val="00CA3BF8"/>
    <w:rsid w:val="00CA5863"/>
    <w:rsid w:val="00CA66B9"/>
    <w:rsid w:val="00CA7CBF"/>
    <w:rsid w:val="00CB0B93"/>
    <w:rsid w:val="00CB14E1"/>
    <w:rsid w:val="00CB1E09"/>
    <w:rsid w:val="00CB343C"/>
    <w:rsid w:val="00CB36FE"/>
    <w:rsid w:val="00CB4762"/>
    <w:rsid w:val="00CB5126"/>
    <w:rsid w:val="00CB54DF"/>
    <w:rsid w:val="00CB5666"/>
    <w:rsid w:val="00CB58FA"/>
    <w:rsid w:val="00CB6C4A"/>
    <w:rsid w:val="00CC00E3"/>
    <w:rsid w:val="00CC081A"/>
    <w:rsid w:val="00CC0DF3"/>
    <w:rsid w:val="00CC1B85"/>
    <w:rsid w:val="00CC273F"/>
    <w:rsid w:val="00CC3562"/>
    <w:rsid w:val="00CC3FCD"/>
    <w:rsid w:val="00CC42C3"/>
    <w:rsid w:val="00CC4325"/>
    <w:rsid w:val="00CC46F5"/>
    <w:rsid w:val="00CC70D3"/>
    <w:rsid w:val="00CC7530"/>
    <w:rsid w:val="00CC7EE8"/>
    <w:rsid w:val="00CD0123"/>
    <w:rsid w:val="00CD0705"/>
    <w:rsid w:val="00CD13FE"/>
    <w:rsid w:val="00CD1C9B"/>
    <w:rsid w:val="00CD2739"/>
    <w:rsid w:val="00CD449F"/>
    <w:rsid w:val="00CD4F79"/>
    <w:rsid w:val="00CD563B"/>
    <w:rsid w:val="00CD5B4B"/>
    <w:rsid w:val="00CD60FC"/>
    <w:rsid w:val="00CD73CC"/>
    <w:rsid w:val="00CE0B1D"/>
    <w:rsid w:val="00CE1E96"/>
    <w:rsid w:val="00CE21B8"/>
    <w:rsid w:val="00CE24DE"/>
    <w:rsid w:val="00CE2B1C"/>
    <w:rsid w:val="00CE3182"/>
    <w:rsid w:val="00CE37A3"/>
    <w:rsid w:val="00CE3905"/>
    <w:rsid w:val="00CE541D"/>
    <w:rsid w:val="00CE5558"/>
    <w:rsid w:val="00CE5BD1"/>
    <w:rsid w:val="00CE611B"/>
    <w:rsid w:val="00CE6817"/>
    <w:rsid w:val="00CE6BB4"/>
    <w:rsid w:val="00CE76A4"/>
    <w:rsid w:val="00CE7964"/>
    <w:rsid w:val="00CF1B8C"/>
    <w:rsid w:val="00CF20A2"/>
    <w:rsid w:val="00CF29F1"/>
    <w:rsid w:val="00CF2BA4"/>
    <w:rsid w:val="00CF504F"/>
    <w:rsid w:val="00CF6695"/>
    <w:rsid w:val="00CF6A97"/>
    <w:rsid w:val="00CF7B1E"/>
    <w:rsid w:val="00D004C4"/>
    <w:rsid w:val="00D00ACB"/>
    <w:rsid w:val="00D014BF"/>
    <w:rsid w:val="00D0204E"/>
    <w:rsid w:val="00D02234"/>
    <w:rsid w:val="00D02CA1"/>
    <w:rsid w:val="00D03C46"/>
    <w:rsid w:val="00D04015"/>
    <w:rsid w:val="00D04B96"/>
    <w:rsid w:val="00D04BF1"/>
    <w:rsid w:val="00D0560D"/>
    <w:rsid w:val="00D05C68"/>
    <w:rsid w:val="00D05E75"/>
    <w:rsid w:val="00D06AC1"/>
    <w:rsid w:val="00D06C56"/>
    <w:rsid w:val="00D06C72"/>
    <w:rsid w:val="00D102AA"/>
    <w:rsid w:val="00D105E6"/>
    <w:rsid w:val="00D1062E"/>
    <w:rsid w:val="00D10741"/>
    <w:rsid w:val="00D10ACB"/>
    <w:rsid w:val="00D10BE3"/>
    <w:rsid w:val="00D115FC"/>
    <w:rsid w:val="00D11DA7"/>
    <w:rsid w:val="00D120B2"/>
    <w:rsid w:val="00D12EA2"/>
    <w:rsid w:val="00D1412B"/>
    <w:rsid w:val="00D144DD"/>
    <w:rsid w:val="00D161DB"/>
    <w:rsid w:val="00D16910"/>
    <w:rsid w:val="00D16CA3"/>
    <w:rsid w:val="00D16D09"/>
    <w:rsid w:val="00D17A25"/>
    <w:rsid w:val="00D17DDF"/>
    <w:rsid w:val="00D20EC9"/>
    <w:rsid w:val="00D21984"/>
    <w:rsid w:val="00D239C1"/>
    <w:rsid w:val="00D23CFC"/>
    <w:rsid w:val="00D248AC"/>
    <w:rsid w:val="00D24C23"/>
    <w:rsid w:val="00D261D9"/>
    <w:rsid w:val="00D268EA"/>
    <w:rsid w:val="00D26CED"/>
    <w:rsid w:val="00D26F1E"/>
    <w:rsid w:val="00D27BC4"/>
    <w:rsid w:val="00D304D3"/>
    <w:rsid w:val="00D30A8A"/>
    <w:rsid w:val="00D30C6D"/>
    <w:rsid w:val="00D328FD"/>
    <w:rsid w:val="00D3292B"/>
    <w:rsid w:val="00D32B22"/>
    <w:rsid w:val="00D32C79"/>
    <w:rsid w:val="00D32D0D"/>
    <w:rsid w:val="00D34034"/>
    <w:rsid w:val="00D3432F"/>
    <w:rsid w:val="00D36BCA"/>
    <w:rsid w:val="00D379F2"/>
    <w:rsid w:val="00D37CB9"/>
    <w:rsid w:val="00D41C56"/>
    <w:rsid w:val="00D4288D"/>
    <w:rsid w:val="00D42F07"/>
    <w:rsid w:val="00D43068"/>
    <w:rsid w:val="00D43DEF"/>
    <w:rsid w:val="00D447CA"/>
    <w:rsid w:val="00D44E0E"/>
    <w:rsid w:val="00D45AEC"/>
    <w:rsid w:val="00D462DA"/>
    <w:rsid w:val="00D46316"/>
    <w:rsid w:val="00D46BEB"/>
    <w:rsid w:val="00D47139"/>
    <w:rsid w:val="00D516F1"/>
    <w:rsid w:val="00D51B5F"/>
    <w:rsid w:val="00D51C60"/>
    <w:rsid w:val="00D5200C"/>
    <w:rsid w:val="00D52672"/>
    <w:rsid w:val="00D5269F"/>
    <w:rsid w:val="00D52EA3"/>
    <w:rsid w:val="00D52FE3"/>
    <w:rsid w:val="00D537BD"/>
    <w:rsid w:val="00D537CA"/>
    <w:rsid w:val="00D565FD"/>
    <w:rsid w:val="00D56D0C"/>
    <w:rsid w:val="00D5713D"/>
    <w:rsid w:val="00D57DE3"/>
    <w:rsid w:val="00D57FDB"/>
    <w:rsid w:val="00D60186"/>
    <w:rsid w:val="00D60640"/>
    <w:rsid w:val="00D6080E"/>
    <w:rsid w:val="00D60A2D"/>
    <w:rsid w:val="00D6113E"/>
    <w:rsid w:val="00D616D7"/>
    <w:rsid w:val="00D62D0C"/>
    <w:rsid w:val="00D62F2B"/>
    <w:rsid w:val="00D63307"/>
    <w:rsid w:val="00D63B53"/>
    <w:rsid w:val="00D657E6"/>
    <w:rsid w:val="00D65946"/>
    <w:rsid w:val="00D65A4B"/>
    <w:rsid w:val="00D66812"/>
    <w:rsid w:val="00D7116A"/>
    <w:rsid w:val="00D71366"/>
    <w:rsid w:val="00D7248E"/>
    <w:rsid w:val="00D7266C"/>
    <w:rsid w:val="00D72CF0"/>
    <w:rsid w:val="00D730E1"/>
    <w:rsid w:val="00D73399"/>
    <w:rsid w:val="00D741C2"/>
    <w:rsid w:val="00D7457F"/>
    <w:rsid w:val="00D74A92"/>
    <w:rsid w:val="00D757B4"/>
    <w:rsid w:val="00D75D8D"/>
    <w:rsid w:val="00D7629A"/>
    <w:rsid w:val="00D7735D"/>
    <w:rsid w:val="00D81033"/>
    <w:rsid w:val="00D8154E"/>
    <w:rsid w:val="00D815FE"/>
    <w:rsid w:val="00D816A6"/>
    <w:rsid w:val="00D8195B"/>
    <w:rsid w:val="00D82462"/>
    <w:rsid w:val="00D82C79"/>
    <w:rsid w:val="00D83AAA"/>
    <w:rsid w:val="00D84DE7"/>
    <w:rsid w:val="00D851A8"/>
    <w:rsid w:val="00D865B1"/>
    <w:rsid w:val="00D86DF6"/>
    <w:rsid w:val="00D87DB5"/>
    <w:rsid w:val="00D87F2B"/>
    <w:rsid w:val="00D9033F"/>
    <w:rsid w:val="00D90982"/>
    <w:rsid w:val="00D91629"/>
    <w:rsid w:val="00D9166A"/>
    <w:rsid w:val="00D92354"/>
    <w:rsid w:val="00D92A88"/>
    <w:rsid w:val="00D94DAB"/>
    <w:rsid w:val="00D965E9"/>
    <w:rsid w:val="00D971D4"/>
    <w:rsid w:val="00D97240"/>
    <w:rsid w:val="00DA188A"/>
    <w:rsid w:val="00DA2510"/>
    <w:rsid w:val="00DA2DA6"/>
    <w:rsid w:val="00DA3969"/>
    <w:rsid w:val="00DA5A32"/>
    <w:rsid w:val="00DA6A8E"/>
    <w:rsid w:val="00DA6D3A"/>
    <w:rsid w:val="00DA793D"/>
    <w:rsid w:val="00DA7C77"/>
    <w:rsid w:val="00DB0DB0"/>
    <w:rsid w:val="00DB1C8B"/>
    <w:rsid w:val="00DB2EC8"/>
    <w:rsid w:val="00DB398E"/>
    <w:rsid w:val="00DB39DA"/>
    <w:rsid w:val="00DB48F9"/>
    <w:rsid w:val="00DB6B27"/>
    <w:rsid w:val="00DB73D1"/>
    <w:rsid w:val="00DB78B1"/>
    <w:rsid w:val="00DC1884"/>
    <w:rsid w:val="00DC20FD"/>
    <w:rsid w:val="00DC2128"/>
    <w:rsid w:val="00DC277D"/>
    <w:rsid w:val="00DC2D42"/>
    <w:rsid w:val="00DC2D9D"/>
    <w:rsid w:val="00DC3226"/>
    <w:rsid w:val="00DC3B8E"/>
    <w:rsid w:val="00DC3DA4"/>
    <w:rsid w:val="00DC402D"/>
    <w:rsid w:val="00DC4410"/>
    <w:rsid w:val="00DC4A72"/>
    <w:rsid w:val="00DC7DD3"/>
    <w:rsid w:val="00DD0856"/>
    <w:rsid w:val="00DD15A8"/>
    <w:rsid w:val="00DD1FA5"/>
    <w:rsid w:val="00DD3016"/>
    <w:rsid w:val="00DD345B"/>
    <w:rsid w:val="00DD3FBC"/>
    <w:rsid w:val="00DD46FD"/>
    <w:rsid w:val="00DD4A9E"/>
    <w:rsid w:val="00DD568C"/>
    <w:rsid w:val="00DD56F1"/>
    <w:rsid w:val="00DD6206"/>
    <w:rsid w:val="00DD65E7"/>
    <w:rsid w:val="00DE0221"/>
    <w:rsid w:val="00DE1C62"/>
    <w:rsid w:val="00DE4B93"/>
    <w:rsid w:val="00DE4EED"/>
    <w:rsid w:val="00DE51B2"/>
    <w:rsid w:val="00DE5A16"/>
    <w:rsid w:val="00DE5DCB"/>
    <w:rsid w:val="00DE5F04"/>
    <w:rsid w:val="00DE6F21"/>
    <w:rsid w:val="00DE741B"/>
    <w:rsid w:val="00DF1211"/>
    <w:rsid w:val="00DF1B38"/>
    <w:rsid w:val="00DF3AA6"/>
    <w:rsid w:val="00DF425B"/>
    <w:rsid w:val="00DF48A6"/>
    <w:rsid w:val="00DF4AC3"/>
    <w:rsid w:val="00DF517C"/>
    <w:rsid w:val="00DF53F3"/>
    <w:rsid w:val="00DF5C3F"/>
    <w:rsid w:val="00DF60B7"/>
    <w:rsid w:val="00DF70D8"/>
    <w:rsid w:val="00DF7831"/>
    <w:rsid w:val="00DF7A9C"/>
    <w:rsid w:val="00E00117"/>
    <w:rsid w:val="00E00399"/>
    <w:rsid w:val="00E00EEE"/>
    <w:rsid w:val="00E011AE"/>
    <w:rsid w:val="00E01340"/>
    <w:rsid w:val="00E01CD8"/>
    <w:rsid w:val="00E01CE4"/>
    <w:rsid w:val="00E0266C"/>
    <w:rsid w:val="00E02801"/>
    <w:rsid w:val="00E02FA3"/>
    <w:rsid w:val="00E035E5"/>
    <w:rsid w:val="00E03CDF"/>
    <w:rsid w:val="00E04B66"/>
    <w:rsid w:val="00E06088"/>
    <w:rsid w:val="00E06930"/>
    <w:rsid w:val="00E06DFB"/>
    <w:rsid w:val="00E07C53"/>
    <w:rsid w:val="00E10996"/>
    <w:rsid w:val="00E11454"/>
    <w:rsid w:val="00E12B64"/>
    <w:rsid w:val="00E12F17"/>
    <w:rsid w:val="00E14354"/>
    <w:rsid w:val="00E17A6E"/>
    <w:rsid w:val="00E17DFC"/>
    <w:rsid w:val="00E21224"/>
    <w:rsid w:val="00E21CE2"/>
    <w:rsid w:val="00E22572"/>
    <w:rsid w:val="00E22677"/>
    <w:rsid w:val="00E22B41"/>
    <w:rsid w:val="00E23951"/>
    <w:rsid w:val="00E23A5B"/>
    <w:rsid w:val="00E25D72"/>
    <w:rsid w:val="00E25F83"/>
    <w:rsid w:val="00E277AA"/>
    <w:rsid w:val="00E27D90"/>
    <w:rsid w:val="00E30A5F"/>
    <w:rsid w:val="00E30F19"/>
    <w:rsid w:val="00E311C1"/>
    <w:rsid w:val="00E31C32"/>
    <w:rsid w:val="00E31CB5"/>
    <w:rsid w:val="00E31FC5"/>
    <w:rsid w:val="00E328CF"/>
    <w:rsid w:val="00E339F4"/>
    <w:rsid w:val="00E33A46"/>
    <w:rsid w:val="00E33E1C"/>
    <w:rsid w:val="00E342A4"/>
    <w:rsid w:val="00E345BF"/>
    <w:rsid w:val="00E35385"/>
    <w:rsid w:val="00E3542B"/>
    <w:rsid w:val="00E4062C"/>
    <w:rsid w:val="00E4080E"/>
    <w:rsid w:val="00E408EA"/>
    <w:rsid w:val="00E40920"/>
    <w:rsid w:val="00E4108A"/>
    <w:rsid w:val="00E433EC"/>
    <w:rsid w:val="00E4346F"/>
    <w:rsid w:val="00E446EF"/>
    <w:rsid w:val="00E46916"/>
    <w:rsid w:val="00E47778"/>
    <w:rsid w:val="00E47D84"/>
    <w:rsid w:val="00E504A3"/>
    <w:rsid w:val="00E50FE8"/>
    <w:rsid w:val="00E5168C"/>
    <w:rsid w:val="00E51B3A"/>
    <w:rsid w:val="00E523F8"/>
    <w:rsid w:val="00E53811"/>
    <w:rsid w:val="00E53E8A"/>
    <w:rsid w:val="00E57527"/>
    <w:rsid w:val="00E62F85"/>
    <w:rsid w:val="00E641DB"/>
    <w:rsid w:val="00E652FE"/>
    <w:rsid w:val="00E6699E"/>
    <w:rsid w:val="00E67DE4"/>
    <w:rsid w:val="00E709F0"/>
    <w:rsid w:val="00E71FCC"/>
    <w:rsid w:val="00E7248A"/>
    <w:rsid w:val="00E7259B"/>
    <w:rsid w:val="00E725EC"/>
    <w:rsid w:val="00E7324C"/>
    <w:rsid w:val="00E73519"/>
    <w:rsid w:val="00E73B4F"/>
    <w:rsid w:val="00E75066"/>
    <w:rsid w:val="00E753F6"/>
    <w:rsid w:val="00E7556F"/>
    <w:rsid w:val="00E76039"/>
    <w:rsid w:val="00E7616B"/>
    <w:rsid w:val="00E7621E"/>
    <w:rsid w:val="00E76C7F"/>
    <w:rsid w:val="00E8000C"/>
    <w:rsid w:val="00E80160"/>
    <w:rsid w:val="00E80344"/>
    <w:rsid w:val="00E804CF"/>
    <w:rsid w:val="00E809DB"/>
    <w:rsid w:val="00E817DB"/>
    <w:rsid w:val="00E82F2E"/>
    <w:rsid w:val="00E84806"/>
    <w:rsid w:val="00E84DC3"/>
    <w:rsid w:val="00E8595B"/>
    <w:rsid w:val="00E86B16"/>
    <w:rsid w:val="00E900B5"/>
    <w:rsid w:val="00E911A2"/>
    <w:rsid w:val="00E917A0"/>
    <w:rsid w:val="00E946A1"/>
    <w:rsid w:val="00E95375"/>
    <w:rsid w:val="00E97245"/>
    <w:rsid w:val="00EA05FF"/>
    <w:rsid w:val="00EA06B1"/>
    <w:rsid w:val="00EA0DB6"/>
    <w:rsid w:val="00EA0E0C"/>
    <w:rsid w:val="00EA1846"/>
    <w:rsid w:val="00EA2BFC"/>
    <w:rsid w:val="00EA318A"/>
    <w:rsid w:val="00EA425E"/>
    <w:rsid w:val="00EA46C8"/>
    <w:rsid w:val="00EA4AA5"/>
    <w:rsid w:val="00EA5607"/>
    <w:rsid w:val="00EA576C"/>
    <w:rsid w:val="00EA6397"/>
    <w:rsid w:val="00EA707D"/>
    <w:rsid w:val="00EA7C8B"/>
    <w:rsid w:val="00EB03C0"/>
    <w:rsid w:val="00EB07EA"/>
    <w:rsid w:val="00EB0F70"/>
    <w:rsid w:val="00EB1070"/>
    <w:rsid w:val="00EB3D5F"/>
    <w:rsid w:val="00EB4808"/>
    <w:rsid w:val="00EB661C"/>
    <w:rsid w:val="00EB6C8F"/>
    <w:rsid w:val="00EB7719"/>
    <w:rsid w:val="00EB7BB3"/>
    <w:rsid w:val="00EC002A"/>
    <w:rsid w:val="00EC049A"/>
    <w:rsid w:val="00EC07D6"/>
    <w:rsid w:val="00EC2103"/>
    <w:rsid w:val="00EC2D37"/>
    <w:rsid w:val="00EC3285"/>
    <w:rsid w:val="00EC4A6F"/>
    <w:rsid w:val="00EC63A0"/>
    <w:rsid w:val="00EC64C2"/>
    <w:rsid w:val="00EC6DDD"/>
    <w:rsid w:val="00EC7126"/>
    <w:rsid w:val="00ED12BA"/>
    <w:rsid w:val="00ED212E"/>
    <w:rsid w:val="00ED2195"/>
    <w:rsid w:val="00ED2791"/>
    <w:rsid w:val="00ED29BE"/>
    <w:rsid w:val="00ED2DD3"/>
    <w:rsid w:val="00ED34F5"/>
    <w:rsid w:val="00ED407F"/>
    <w:rsid w:val="00ED4152"/>
    <w:rsid w:val="00ED5651"/>
    <w:rsid w:val="00ED5B68"/>
    <w:rsid w:val="00ED654E"/>
    <w:rsid w:val="00ED671F"/>
    <w:rsid w:val="00ED7D53"/>
    <w:rsid w:val="00ED7F4A"/>
    <w:rsid w:val="00EE066E"/>
    <w:rsid w:val="00EE0F3B"/>
    <w:rsid w:val="00EE2E81"/>
    <w:rsid w:val="00EE324E"/>
    <w:rsid w:val="00EE42F5"/>
    <w:rsid w:val="00EE5136"/>
    <w:rsid w:val="00EE5302"/>
    <w:rsid w:val="00EE5C55"/>
    <w:rsid w:val="00EE731D"/>
    <w:rsid w:val="00EF024E"/>
    <w:rsid w:val="00EF1455"/>
    <w:rsid w:val="00EF2C45"/>
    <w:rsid w:val="00EF40C6"/>
    <w:rsid w:val="00EF4AFF"/>
    <w:rsid w:val="00EF4CE3"/>
    <w:rsid w:val="00EF6C26"/>
    <w:rsid w:val="00EF7261"/>
    <w:rsid w:val="00EF757F"/>
    <w:rsid w:val="00F000E4"/>
    <w:rsid w:val="00F015F3"/>
    <w:rsid w:val="00F01B35"/>
    <w:rsid w:val="00F028C4"/>
    <w:rsid w:val="00F02957"/>
    <w:rsid w:val="00F03232"/>
    <w:rsid w:val="00F03D71"/>
    <w:rsid w:val="00F05AEF"/>
    <w:rsid w:val="00F05F91"/>
    <w:rsid w:val="00F063A6"/>
    <w:rsid w:val="00F077FD"/>
    <w:rsid w:val="00F07C8F"/>
    <w:rsid w:val="00F118CB"/>
    <w:rsid w:val="00F11D11"/>
    <w:rsid w:val="00F14346"/>
    <w:rsid w:val="00F1498F"/>
    <w:rsid w:val="00F1558C"/>
    <w:rsid w:val="00F16AC1"/>
    <w:rsid w:val="00F16BE6"/>
    <w:rsid w:val="00F16C40"/>
    <w:rsid w:val="00F16F37"/>
    <w:rsid w:val="00F1709A"/>
    <w:rsid w:val="00F17188"/>
    <w:rsid w:val="00F1740F"/>
    <w:rsid w:val="00F1781D"/>
    <w:rsid w:val="00F20BF2"/>
    <w:rsid w:val="00F215BA"/>
    <w:rsid w:val="00F21864"/>
    <w:rsid w:val="00F22EC5"/>
    <w:rsid w:val="00F247A1"/>
    <w:rsid w:val="00F256BB"/>
    <w:rsid w:val="00F26B84"/>
    <w:rsid w:val="00F26E5F"/>
    <w:rsid w:val="00F27651"/>
    <w:rsid w:val="00F27665"/>
    <w:rsid w:val="00F3090F"/>
    <w:rsid w:val="00F32979"/>
    <w:rsid w:val="00F32FDC"/>
    <w:rsid w:val="00F348E3"/>
    <w:rsid w:val="00F3490E"/>
    <w:rsid w:val="00F34E65"/>
    <w:rsid w:val="00F352BE"/>
    <w:rsid w:val="00F3543A"/>
    <w:rsid w:val="00F36043"/>
    <w:rsid w:val="00F36286"/>
    <w:rsid w:val="00F36AB2"/>
    <w:rsid w:val="00F42547"/>
    <w:rsid w:val="00F4297B"/>
    <w:rsid w:val="00F436B7"/>
    <w:rsid w:val="00F43746"/>
    <w:rsid w:val="00F44E85"/>
    <w:rsid w:val="00F46D97"/>
    <w:rsid w:val="00F50AF5"/>
    <w:rsid w:val="00F510CC"/>
    <w:rsid w:val="00F515FF"/>
    <w:rsid w:val="00F5273B"/>
    <w:rsid w:val="00F538E9"/>
    <w:rsid w:val="00F53D99"/>
    <w:rsid w:val="00F54DFE"/>
    <w:rsid w:val="00F54E90"/>
    <w:rsid w:val="00F5613F"/>
    <w:rsid w:val="00F61532"/>
    <w:rsid w:val="00F61B34"/>
    <w:rsid w:val="00F6222B"/>
    <w:rsid w:val="00F62BDB"/>
    <w:rsid w:val="00F63B3C"/>
    <w:rsid w:val="00F6491B"/>
    <w:rsid w:val="00F65125"/>
    <w:rsid w:val="00F66346"/>
    <w:rsid w:val="00F66763"/>
    <w:rsid w:val="00F66A09"/>
    <w:rsid w:val="00F66D79"/>
    <w:rsid w:val="00F66D91"/>
    <w:rsid w:val="00F70530"/>
    <w:rsid w:val="00F70B28"/>
    <w:rsid w:val="00F73B3B"/>
    <w:rsid w:val="00F74017"/>
    <w:rsid w:val="00F75ADB"/>
    <w:rsid w:val="00F769EC"/>
    <w:rsid w:val="00F76E4B"/>
    <w:rsid w:val="00F77029"/>
    <w:rsid w:val="00F80D3A"/>
    <w:rsid w:val="00F8235D"/>
    <w:rsid w:val="00F8566C"/>
    <w:rsid w:val="00F85CE3"/>
    <w:rsid w:val="00F85FB6"/>
    <w:rsid w:val="00F8681A"/>
    <w:rsid w:val="00F86A81"/>
    <w:rsid w:val="00F87050"/>
    <w:rsid w:val="00F870DE"/>
    <w:rsid w:val="00F902F7"/>
    <w:rsid w:val="00F90A8F"/>
    <w:rsid w:val="00F90D0D"/>
    <w:rsid w:val="00F91F43"/>
    <w:rsid w:val="00F92605"/>
    <w:rsid w:val="00F928A4"/>
    <w:rsid w:val="00F92A31"/>
    <w:rsid w:val="00F933D5"/>
    <w:rsid w:val="00F940A2"/>
    <w:rsid w:val="00F94516"/>
    <w:rsid w:val="00F95E88"/>
    <w:rsid w:val="00F95EEE"/>
    <w:rsid w:val="00F96E18"/>
    <w:rsid w:val="00FA06A0"/>
    <w:rsid w:val="00FA0994"/>
    <w:rsid w:val="00FA16E9"/>
    <w:rsid w:val="00FA3354"/>
    <w:rsid w:val="00FA3D41"/>
    <w:rsid w:val="00FA3DD3"/>
    <w:rsid w:val="00FA43CB"/>
    <w:rsid w:val="00FA77F1"/>
    <w:rsid w:val="00FB144D"/>
    <w:rsid w:val="00FB3A55"/>
    <w:rsid w:val="00FB4AE9"/>
    <w:rsid w:val="00FB77C9"/>
    <w:rsid w:val="00FB7AF7"/>
    <w:rsid w:val="00FB7B26"/>
    <w:rsid w:val="00FC063C"/>
    <w:rsid w:val="00FC0965"/>
    <w:rsid w:val="00FC0EC2"/>
    <w:rsid w:val="00FC1B66"/>
    <w:rsid w:val="00FC1CE9"/>
    <w:rsid w:val="00FC232F"/>
    <w:rsid w:val="00FC3F0B"/>
    <w:rsid w:val="00FC5063"/>
    <w:rsid w:val="00FC51F2"/>
    <w:rsid w:val="00FC55FA"/>
    <w:rsid w:val="00FC5A00"/>
    <w:rsid w:val="00FC5C81"/>
    <w:rsid w:val="00FC6232"/>
    <w:rsid w:val="00FC634F"/>
    <w:rsid w:val="00FC7CE7"/>
    <w:rsid w:val="00FC7F36"/>
    <w:rsid w:val="00FD06F1"/>
    <w:rsid w:val="00FD182D"/>
    <w:rsid w:val="00FD2E48"/>
    <w:rsid w:val="00FD3834"/>
    <w:rsid w:val="00FD40A4"/>
    <w:rsid w:val="00FD4AAE"/>
    <w:rsid w:val="00FD4C0B"/>
    <w:rsid w:val="00FD5B2E"/>
    <w:rsid w:val="00FD5BDF"/>
    <w:rsid w:val="00FD5C6F"/>
    <w:rsid w:val="00FD5E8A"/>
    <w:rsid w:val="00FD6F98"/>
    <w:rsid w:val="00FD717B"/>
    <w:rsid w:val="00FD72E9"/>
    <w:rsid w:val="00FD73A7"/>
    <w:rsid w:val="00FD7DAC"/>
    <w:rsid w:val="00FE04AE"/>
    <w:rsid w:val="00FE1216"/>
    <w:rsid w:val="00FE16C8"/>
    <w:rsid w:val="00FE1F33"/>
    <w:rsid w:val="00FE2A7E"/>
    <w:rsid w:val="00FE3DDE"/>
    <w:rsid w:val="00FE4111"/>
    <w:rsid w:val="00FE4445"/>
    <w:rsid w:val="00FE6327"/>
    <w:rsid w:val="00FE6A25"/>
    <w:rsid w:val="00FE6D63"/>
    <w:rsid w:val="00FE7043"/>
    <w:rsid w:val="00FE745B"/>
    <w:rsid w:val="00FF0DDF"/>
    <w:rsid w:val="00FF145C"/>
    <w:rsid w:val="00FF15DD"/>
    <w:rsid w:val="00FF180D"/>
    <w:rsid w:val="00FF25B9"/>
    <w:rsid w:val="00FF291E"/>
    <w:rsid w:val="00FF3864"/>
    <w:rsid w:val="00FF3CE2"/>
    <w:rsid w:val="00FF42C4"/>
    <w:rsid w:val="00FF4CFC"/>
    <w:rsid w:val="00FF4E39"/>
    <w:rsid w:val="00FF6E1F"/>
    <w:rsid w:val="00FF7078"/>
    <w:rsid w:val="00FF719A"/>
    <w:rsid w:val="00FF7E92"/>
    <w:rsid w:val="00FF7EF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D27F9"/>
  <w14:defaultImageDpi w14:val="300"/>
  <w15:docId w15:val="{93E2E937-6E62-8E45-A44C-B39786E9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Garamond"/>
    <w:qFormat/>
    <w:rsid w:val="00487742"/>
    <w:pPr>
      <w:spacing w:line="312" w:lineRule="auto"/>
      <w:ind w:firstLine="340"/>
      <w:jc w:val="both"/>
    </w:pPr>
    <w:rPr>
      <w:rFonts w:ascii="Garamond" w:eastAsia="Times New Roman" w:hAnsi="Garamond" w:cs="Times New Roman"/>
      <w:lang w:val="en-GB"/>
    </w:rPr>
  </w:style>
  <w:style w:type="paragraph" w:styleId="Heading1">
    <w:name w:val="heading 1"/>
    <w:basedOn w:val="Normal"/>
    <w:next w:val="Normal"/>
    <w:link w:val="Heading1Char"/>
    <w:qFormat/>
    <w:rsid w:val="00AB706D"/>
    <w:pPr>
      <w:keepNext/>
      <w:spacing w:before="240" w:after="60"/>
      <w:ind w:firstLine="0"/>
      <w:outlineLvl w:val="0"/>
    </w:pPr>
    <w:rPr>
      <w:b/>
      <w:kern w:val="32"/>
      <w:sz w:val="28"/>
      <w:szCs w:val="32"/>
    </w:rPr>
  </w:style>
  <w:style w:type="paragraph" w:styleId="Heading2">
    <w:name w:val="heading 2"/>
    <w:basedOn w:val="Normal"/>
    <w:next w:val="Normal"/>
    <w:link w:val="Heading2Char"/>
    <w:uiPriority w:val="9"/>
    <w:unhideWhenUsed/>
    <w:qFormat/>
    <w:rsid w:val="00D52672"/>
    <w:pPr>
      <w:keepNext/>
      <w:keepLines/>
      <w:spacing w:before="200" w:line="240" w:lineRule="auto"/>
      <w:ind w:firstLine="0"/>
      <w:jc w:val="left"/>
      <w:outlineLvl w:val="1"/>
    </w:pPr>
    <w:rPr>
      <w:rFonts w:asciiTheme="majorHAnsi" w:eastAsiaTheme="majorEastAsia" w:hAnsiTheme="majorHAnsi" w:cstheme="majorBidi"/>
      <w:b/>
      <w:bCs/>
      <w:color w:val="4F81BD" w:themeColor="accent1"/>
      <w:sz w:val="26"/>
      <w:szCs w:val="26"/>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06D"/>
    <w:rPr>
      <w:rFonts w:ascii="Garamond" w:eastAsia="Times New Roman" w:hAnsi="Garamond" w:cs="Times New Roman"/>
      <w:b/>
      <w:kern w:val="32"/>
      <w:sz w:val="28"/>
      <w:szCs w:val="32"/>
      <w:lang w:val="en-GB"/>
    </w:rPr>
  </w:style>
  <w:style w:type="paragraph" w:styleId="FootnoteText">
    <w:name w:val="footnote text"/>
    <w:basedOn w:val="Normal"/>
    <w:link w:val="FootnoteTextChar"/>
    <w:autoRedefine/>
    <w:rsid w:val="00487742"/>
    <w:pPr>
      <w:suppressAutoHyphens/>
      <w:spacing w:line="288" w:lineRule="auto"/>
      <w:ind w:firstLine="0"/>
    </w:pPr>
    <w:rPr>
      <w:rFonts w:eastAsia="Garamond" w:cs="Garamond"/>
      <w:color w:val="000000"/>
      <w:sz w:val="20"/>
      <w:szCs w:val="20"/>
      <w:lang w:eastAsia="ar-SA"/>
    </w:rPr>
  </w:style>
  <w:style w:type="character" w:customStyle="1" w:styleId="FootnoteTextChar">
    <w:name w:val="Footnote Text Char"/>
    <w:basedOn w:val="DefaultParagraphFont"/>
    <w:link w:val="FootnoteText"/>
    <w:rsid w:val="00487742"/>
    <w:rPr>
      <w:rFonts w:ascii="Garamond" w:eastAsia="Garamond" w:hAnsi="Garamond" w:cs="Garamond"/>
      <w:color w:val="000000"/>
      <w:sz w:val="20"/>
      <w:szCs w:val="20"/>
      <w:lang w:val="en-GB" w:eastAsia="ar-SA"/>
    </w:rPr>
  </w:style>
  <w:style w:type="character" w:styleId="FootnoteReference">
    <w:name w:val="footnote reference"/>
    <w:basedOn w:val="DefaultParagraphFont"/>
    <w:unhideWhenUsed/>
    <w:rsid w:val="00AB706D"/>
    <w:rPr>
      <w:vertAlign w:val="superscript"/>
    </w:rPr>
  </w:style>
  <w:style w:type="character" w:styleId="CommentReference">
    <w:name w:val="annotation reference"/>
    <w:basedOn w:val="DefaultParagraphFont"/>
    <w:uiPriority w:val="99"/>
    <w:semiHidden/>
    <w:unhideWhenUsed/>
    <w:rsid w:val="00AB706D"/>
    <w:rPr>
      <w:sz w:val="18"/>
      <w:szCs w:val="18"/>
    </w:rPr>
  </w:style>
  <w:style w:type="paragraph" w:styleId="CommentText">
    <w:name w:val="annotation text"/>
    <w:basedOn w:val="Normal"/>
    <w:link w:val="CommentTextChar"/>
    <w:uiPriority w:val="99"/>
    <w:unhideWhenUsed/>
    <w:rsid w:val="00AB706D"/>
    <w:pPr>
      <w:spacing w:line="240" w:lineRule="auto"/>
    </w:pPr>
  </w:style>
  <w:style w:type="character" w:customStyle="1" w:styleId="CommentTextChar">
    <w:name w:val="Comment Text Char"/>
    <w:basedOn w:val="DefaultParagraphFont"/>
    <w:link w:val="CommentText"/>
    <w:uiPriority w:val="99"/>
    <w:rsid w:val="00AB706D"/>
    <w:rPr>
      <w:rFonts w:ascii="Garamond" w:eastAsia="Times New Roman" w:hAnsi="Garamond" w:cs="Times New Roman"/>
      <w:lang w:val="en-GB"/>
    </w:rPr>
  </w:style>
  <w:style w:type="paragraph" w:styleId="ListParagraph">
    <w:name w:val="List Paragraph"/>
    <w:basedOn w:val="Normal"/>
    <w:uiPriority w:val="34"/>
    <w:qFormat/>
    <w:rsid w:val="00AB706D"/>
    <w:pPr>
      <w:ind w:left="720"/>
      <w:contextualSpacing/>
    </w:pPr>
  </w:style>
  <w:style w:type="paragraph" w:styleId="BalloonText">
    <w:name w:val="Balloon Text"/>
    <w:basedOn w:val="Normal"/>
    <w:link w:val="BalloonTextChar"/>
    <w:uiPriority w:val="99"/>
    <w:semiHidden/>
    <w:unhideWhenUsed/>
    <w:rsid w:val="00AB706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06D"/>
    <w:rPr>
      <w:rFonts w:ascii="Lucida Grande" w:eastAsia="Times New Roman" w:hAnsi="Lucida Grande" w:cs="Lucida Grande"/>
      <w:sz w:val="18"/>
      <w:szCs w:val="18"/>
      <w:lang w:val="en-GB"/>
    </w:rPr>
  </w:style>
  <w:style w:type="paragraph" w:customStyle="1" w:styleId="longquote">
    <w:name w:val="long quote"/>
    <w:basedOn w:val="Normal"/>
    <w:rsid w:val="00487742"/>
    <w:pPr>
      <w:spacing w:before="240" w:after="240"/>
      <w:ind w:left="709" w:right="709" w:firstLine="0"/>
      <w:contextualSpacing/>
    </w:pPr>
  </w:style>
  <w:style w:type="paragraph" w:styleId="CommentSubject">
    <w:name w:val="annotation subject"/>
    <w:basedOn w:val="CommentText"/>
    <w:next w:val="CommentText"/>
    <w:link w:val="CommentSubjectChar"/>
    <w:uiPriority w:val="99"/>
    <w:semiHidden/>
    <w:unhideWhenUsed/>
    <w:rsid w:val="00CF20A2"/>
    <w:rPr>
      <w:b/>
      <w:bCs/>
      <w:sz w:val="20"/>
      <w:szCs w:val="20"/>
    </w:rPr>
  </w:style>
  <w:style w:type="character" w:customStyle="1" w:styleId="CommentSubjectChar">
    <w:name w:val="Comment Subject Char"/>
    <w:basedOn w:val="CommentTextChar"/>
    <w:link w:val="CommentSubject"/>
    <w:uiPriority w:val="99"/>
    <w:semiHidden/>
    <w:rsid w:val="00CF20A2"/>
    <w:rPr>
      <w:rFonts w:ascii="Garamond" w:eastAsia="Times New Roman" w:hAnsi="Garamond" w:cs="Times New Roman"/>
      <w:b/>
      <w:bCs/>
      <w:sz w:val="20"/>
      <w:szCs w:val="20"/>
      <w:lang w:val="en-GB"/>
    </w:rPr>
  </w:style>
  <w:style w:type="paragraph" w:styleId="Footer">
    <w:name w:val="footer"/>
    <w:basedOn w:val="Normal"/>
    <w:link w:val="FooterChar"/>
    <w:uiPriority w:val="99"/>
    <w:unhideWhenUsed/>
    <w:rsid w:val="004352C7"/>
    <w:pPr>
      <w:tabs>
        <w:tab w:val="center" w:pos="4320"/>
        <w:tab w:val="right" w:pos="8640"/>
      </w:tabs>
      <w:spacing w:line="240" w:lineRule="auto"/>
    </w:pPr>
  </w:style>
  <w:style w:type="character" w:customStyle="1" w:styleId="FooterChar">
    <w:name w:val="Footer Char"/>
    <w:basedOn w:val="DefaultParagraphFont"/>
    <w:link w:val="Footer"/>
    <w:uiPriority w:val="99"/>
    <w:rsid w:val="004352C7"/>
    <w:rPr>
      <w:rFonts w:ascii="Garamond" w:eastAsia="Times New Roman" w:hAnsi="Garamond" w:cs="Times New Roman"/>
      <w:lang w:val="en-GB"/>
    </w:rPr>
  </w:style>
  <w:style w:type="character" w:styleId="PageNumber">
    <w:name w:val="page number"/>
    <w:basedOn w:val="DefaultParagraphFont"/>
    <w:uiPriority w:val="99"/>
    <w:semiHidden/>
    <w:unhideWhenUsed/>
    <w:rsid w:val="004352C7"/>
  </w:style>
  <w:style w:type="paragraph" w:styleId="Header">
    <w:name w:val="header"/>
    <w:basedOn w:val="Normal"/>
    <w:link w:val="HeaderChar"/>
    <w:uiPriority w:val="99"/>
    <w:unhideWhenUsed/>
    <w:rsid w:val="004352C7"/>
    <w:pPr>
      <w:tabs>
        <w:tab w:val="center" w:pos="4320"/>
        <w:tab w:val="right" w:pos="8640"/>
      </w:tabs>
      <w:spacing w:line="240" w:lineRule="auto"/>
    </w:pPr>
  </w:style>
  <w:style w:type="character" w:customStyle="1" w:styleId="HeaderChar">
    <w:name w:val="Header Char"/>
    <w:basedOn w:val="DefaultParagraphFont"/>
    <w:link w:val="Header"/>
    <w:uiPriority w:val="99"/>
    <w:rsid w:val="004352C7"/>
    <w:rPr>
      <w:rFonts w:ascii="Garamond" w:eastAsia="Times New Roman" w:hAnsi="Garamond" w:cs="Times New Roman"/>
      <w:lang w:val="en-GB"/>
    </w:rPr>
  </w:style>
  <w:style w:type="character" w:customStyle="1" w:styleId="Heading2Char">
    <w:name w:val="Heading 2 Char"/>
    <w:basedOn w:val="DefaultParagraphFont"/>
    <w:link w:val="Heading2"/>
    <w:uiPriority w:val="9"/>
    <w:rsid w:val="00D52672"/>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430F5C"/>
    <w:rPr>
      <w:rFonts w:ascii="Garamond" w:eastAsia="Times New Roman" w:hAnsi="Garamond" w:cs="Times New Roman"/>
      <w:lang w:val="en-GB"/>
    </w:rPr>
  </w:style>
  <w:style w:type="paragraph" w:customStyle="1" w:styleId="bibliographie">
    <w:name w:val="bibliographie"/>
    <w:basedOn w:val="Normal"/>
    <w:rsid w:val="00742F6A"/>
    <w:pPr>
      <w:ind w:left="709" w:hanging="709"/>
    </w:pPr>
  </w:style>
  <w:style w:type="character" w:styleId="Hyperlink">
    <w:name w:val="Hyperlink"/>
    <w:basedOn w:val="DefaultParagraphFont"/>
    <w:uiPriority w:val="99"/>
    <w:unhideWhenUsed/>
    <w:rsid w:val="00742F6A"/>
    <w:rPr>
      <w:color w:val="0000FF" w:themeColor="hyperlink"/>
      <w:u w:val="single"/>
    </w:rPr>
  </w:style>
  <w:style w:type="paragraph" w:styleId="NormalWeb">
    <w:name w:val="Normal (Web)"/>
    <w:basedOn w:val="Normal"/>
    <w:uiPriority w:val="99"/>
    <w:semiHidden/>
    <w:unhideWhenUsed/>
    <w:rsid w:val="009435B5"/>
    <w:pPr>
      <w:spacing w:before="100" w:beforeAutospacing="1" w:after="100" w:afterAutospacing="1" w:line="240" w:lineRule="auto"/>
      <w:ind w:firstLine="0"/>
      <w:jc w:val="left"/>
    </w:pPr>
    <w:rPr>
      <w:rFonts w:ascii="Times" w:eastAsiaTheme="minorEastAsia" w:hAnsi="Times"/>
      <w:sz w:val="20"/>
      <w:szCs w:val="20"/>
      <w:lang w:val="en-US" w:eastAsia="en-US"/>
    </w:rPr>
  </w:style>
  <w:style w:type="paragraph" w:styleId="EndnoteText">
    <w:name w:val="endnote text"/>
    <w:basedOn w:val="Normal"/>
    <w:link w:val="EndnoteTextChar"/>
    <w:uiPriority w:val="99"/>
    <w:unhideWhenUsed/>
    <w:rsid w:val="00B9415A"/>
    <w:pPr>
      <w:spacing w:line="240" w:lineRule="auto"/>
    </w:pPr>
  </w:style>
  <w:style w:type="character" w:customStyle="1" w:styleId="EndnoteTextChar">
    <w:name w:val="Endnote Text Char"/>
    <w:basedOn w:val="DefaultParagraphFont"/>
    <w:link w:val="EndnoteText"/>
    <w:uiPriority w:val="99"/>
    <w:rsid w:val="00B9415A"/>
    <w:rPr>
      <w:rFonts w:ascii="Garamond" w:eastAsia="Times New Roman" w:hAnsi="Garamond" w:cs="Times New Roman"/>
      <w:lang w:val="en-GB"/>
    </w:rPr>
  </w:style>
  <w:style w:type="character" w:styleId="EndnoteReference">
    <w:name w:val="endnote reference"/>
    <w:basedOn w:val="DefaultParagraphFont"/>
    <w:uiPriority w:val="99"/>
    <w:unhideWhenUsed/>
    <w:rsid w:val="00B9415A"/>
    <w:rPr>
      <w:vertAlign w:val="superscript"/>
    </w:rPr>
  </w:style>
  <w:style w:type="paragraph" w:styleId="DocumentMap">
    <w:name w:val="Document Map"/>
    <w:basedOn w:val="Normal"/>
    <w:link w:val="DocumentMapChar"/>
    <w:uiPriority w:val="99"/>
    <w:semiHidden/>
    <w:unhideWhenUsed/>
    <w:rsid w:val="003C1591"/>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3C1591"/>
    <w:rPr>
      <w:rFonts w:ascii="Lucida Grande" w:eastAsia="Times New Roman" w:hAnsi="Lucida Grande" w:cs="Lucida Grande"/>
      <w:lang w:val="en-GB"/>
    </w:rPr>
  </w:style>
  <w:style w:type="table" w:styleId="TableGrid">
    <w:name w:val="Table Grid"/>
    <w:basedOn w:val="TableNormal"/>
    <w:uiPriority w:val="59"/>
    <w:rsid w:val="007F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7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241">
      <w:bodyDiv w:val="1"/>
      <w:marLeft w:val="0"/>
      <w:marRight w:val="0"/>
      <w:marTop w:val="0"/>
      <w:marBottom w:val="0"/>
      <w:divBdr>
        <w:top w:val="none" w:sz="0" w:space="0" w:color="auto"/>
        <w:left w:val="none" w:sz="0" w:space="0" w:color="auto"/>
        <w:bottom w:val="none" w:sz="0" w:space="0" w:color="auto"/>
        <w:right w:val="none" w:sz="0" w:space="0" w:color="auto"/>
      </w:divBdr>
    </w:div>
    <w:div w:id="32579470">
      <w:bodyDiv w:val="1"/>
      <w:marLeft w:val="0"/>
      <w:marRight w:val="0"/>
      <w:marTop w:val="0"/>
      <w:marBottom w:val="0"/>
      <w:divBdr>
        <w:top w:val="none" w:sz="0" w:space="0" w:color="auto"/>
        <w:left w:val="none" w:sz="0" w:space="0" w:color="auto"/>
        <w:bottom w:val="none" w:sz="0" w:space="0" w:color="auto"/>
        <w:right w:val="none" w:sz="0" w:space="0" w:color="auto"/>
      </w:divBdr>
      <w:divsChild>
        <w:div w:id="578640145">
          <w:marLeft w:val="0"/>
          <w:marRight w:val="0"/>
          <w:marTop w:val="0"/>
          <w:marBottom w:val="0"/>
          <w:divBdr>
            <w:top w:val="none" w:sz="0" w:space="0" w:color="auto"/>
            <w:left w:val="none" w:sz="0" w:space="0" w:color="auto"/>
            <w:bottom w:val="none" w:sz="0" w:space="0" w:color="auto"/>
            <w:right w:val="none" w:sz="0" w:space="0" w:color="auto"/>
          </w:divBdr>
          <w:divsChild>
            <w:div w:id="707140551">
              <w:marLeft w:val="0"/>
              <w:marRight w:val="0"/>
              <w:marTop w:val="0"/>
              <w:marBottom w:val="0"/>
              <w:divBdr>
                <w:top w:val="none" w:sz="0" w:space="0" w:color="auto"/>
                <w:left w:val="none" w:sz="0" w:space="0" w:color="auto"/>
                <w:bottom w:val="none" w:sz="0" w:space="0" w:color="auto"/>
                <w:right w:val="none" w:sz="0" w:space="0" w:color="auto"/>
              </w:divBdr>
              <w:divsChild>
                <w:div w:id="6093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2952">
      <w:bodyDiv w:val="1"/>
      <w:marLeft w:val="0"/>
      <w:marRight w:val="0"/>
      <w:marTop w:val="0"/>
      <w:marBottom w:val="0"/>
      <w:divBdr>
        <w:top w:val="none" w:sz="0" w:space="0" w:color="auto"/>
        <w:left w:val="none" w:sz="0" w:space="0" w:color="auto"/>
        <w:bottom w:val="none" w:sz="0" w:space="0" w:color="auto"/>
        <w:right w:val="none" w:sz="0" w:space="0" w:color="auto"/>
      </w:divBdr>
      <w:divsChild>
        <w:div w:id="1933052859">
          <w:marLeft w:val="0"/>
          <w:marRight w:val="0"/>
          <w:marTop w:val="0"/>
          <w:marBottom w:val="0"/>
          <w:divBdr>
            <w:top w:val="none" w:sz="0" w:space="0" w:color="auto"/>
            <w:left w:val="none" w:sz="0" w:space="0" w:color="auto"/>
            <w:bottom w:val="none" w:sz="0" w:space="0" w:color="auto"/>
            <w:right w:val="none" w:sz="0" w:space="0" w:color="auto"/>
          </w:divBdr>
          <w:divsChild>
            <w:div w:id="1126122755">
              <w:marLeft w:val="0"/>
              <w:marRight w:val="0"/>
              <w:marTop w:val="0"/>
              <w:marBottom w:val="0"/>
              <w:divBdr>
                <w:top w:val="none" w:sz="0" w:space="0" w:color="auto"/>
                <w:left w:val="none" w:sz="0" w:space="0" w:color="auto"/>
                <w:bottom w:val="none" w:sz="0" w:space="0" w:color="auto"/>
                <w:right w:val="none" w:sz="0" w:space="0" w:color="auto"/>
              </w:divBdr>
              <w:divsChild>
                <w:div w:id="761873941">
                  <w:marLeft w:val="0"/>
                  <w:marRight w:val="0"/>
                  <w:marTop w:val="0"/>
                  <w:marBottom w:val="0"/>
                  <w:divBdr>
                    <w:top w:val="none" w:sz="0" w:space="0" w:color="auto"/>
                    <w:left w:val="none" w:sz="0" w:space="0" w:color="auto"/>
                    <w:bottom w:val="none" w:sz="0" w:space="0" w:color="auto"/>
                    <w:right w:val="none" w:sz="0" w:space="0" w:color="auto"/>
                  </w:divBdr>
                </w:div>
              </w:divsChild>
            </w:div>
            <w:div w:id="1449659759">
              <w:marLeft w:val="0"/>
              <w:marRight w:val="0"/>
              <w:marTop w:val="0"/>
              <w:marBottom w:val="0"/>
              <w:divBdr>
                <w:top w:val="none" w:sz="0" w:space="0" w:color="auto"/>
                <w:left w:val="none" w:sz="0" w:space="0" w:color="auto"/>
                <w:bottom w:val="none" w:sz="0" w:space="0" w:color="auto"/>
                <w:right w:val="none" w:sz="0" w:space="0" w:color="auto"/>
              </w:divBdr>
              <w:divsChild>
                <w:div w:id="7144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8760">
      <w:bodyDiv w:val="1"/>
      <w:marLeft w:val="0"/>
      <w:marRight w:val="0"/>
      <w:marTop w:val="0"/>
      <w:marBottom w:val="0"/>
      <w:divBdr>
        <w:top w:val="none" w:sz="0" w:space="0" w:color="auto"/>
        <w:left w:val="none" w:sz="0" w:space="0" w:color="auto"/>
        <w:bottom w:val="none" w:sz="0" w:space="0" w:color="auto"/>
        <w:right w:val="none" w:sz="0" w:space="0" w:color="auto"/>
      </w:divBdr>
      <w:divsChild>
        <w:div w:id="2100175194">
          <w:marLeft w:val="0"/>
          <w:marRight w:val="0"/>
          <w:marTop w:val="0"/>
          <w:marBottom w:val="0"/>
          <w:divBdr>
            <w:top w:val="none" w:sz="0" w:space="0" w:color="auto"/>
            <w:left w:val="none" w:sz="0" w:space="0" w:color="auto"/>
            <w:bottom w:val="none" w:sz="0" w:space="0" w:color="auto"/>
            <w:right w:val="none" w:sz="0" w:space="0" w:color="auto"/>
          </w:divBdr>
          <w:divsChild>
            <w:div w:id="941643111">
              <w:marLeft w:val="0"/>
              <w:marRight w:val="0"/>
              <w:marTop w:val="0"/>
              <w:marBottom w:val="0"/>
              <w:divBdr>
                <w:top w:val="none" w:sz="0" w:space="0" w:color="auto"/>
                <w:left w:val="none" w:sz="0" w:space="0" w:color="auto"/>
                <w:bottom w:val="none" w:sz="0" w:space="0" w:color="auto"/>
                <w:right w:val="none" w:sz="0" w:space="0" w:color="auto"/>
              </w:divBdr>
              <w:divsChild>
                <w:div w:id="1081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6951">
      <w:bodyDiv w:val="1"/>
      <w:marLeft w:val="0"/>
      <w:marRight w:val="0"/>
      <w:marTop w:val="0"/>
      <w:marBottom w:val="0"/>
      <w:divBdr>
        <w:top w:val="none" w:sz="0" w:space="0" w:color="auto"/>
        <w:left w:val="none" w:sz="0" w:space="0" w:color="auto"/>
        <w:bottom w:val="none" w:sz="0" w:space="0" w:color="auto"/>
        <w:right w:val="none" w:sz="0" w:space="0" w:color="auto"/>
      </w:divBdr>
      <w:divsChild>
        <w:div w:id="1267736932">
          <w:marLeft w:val="0"/>
          <w:marRight w:val="0"/>
          <w:marTop w:val="0"/>
          <w:marBottom w:val="0"/>
          <w:divBdr>
            <w:top w:val="none" w:sz="0" w:space="0" w:color="auto"/>
            <w:left w:val="none" w:sz="0" w:space="0" w:color="auto"/>
            <w:bottom w:val="none" w:sz="0" w:space="0" w:color="auto"/>
            <w:right w:val="none" w:sz="0" w:space="0" w:color="auto"/>
          </w:divBdr>
          <w:divsChild>
            <w:div w:id="522941473">
              <w:marLeft w:val="0"/>
              <w:marRight w:val="0"/>
              <w:marTop w:val="0"/>
              <w:marBottom w:val="0"/>
              <w:divBdr>
                <w:top w:val="none" w:sz="0" w:space="0" w:color="auto"/>
                <w:left w:val="none" w:sz="0" w:space="0" w:color="auto"/>
                <w:bottom w:val="none" w:sz="0" w:space="0" w:color="auto"/>
                <w:right w:val="none" w:sz="0" w:space="0" w:color="auto"/>
              </w:divBdr>
              <w:divsChild>
                <w:div w:id="1905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293">
      <w:bodyDiv w:val="1"/>
      <w:marLeft w:val="0"/>
      <w:marRight w:val="0"/>
      <w:marTop w:val="0"/>
      <w:marBottom w:val="0"/>
      <w:divBdr>
        <w:top w:val="none" w:sz="0" w:space="0" w:color="auto"/>
        <w:left w:val="none" w:sz="0" w:space="0" w:color="auto"/>
        <w:bottom w:val="none" w:sz="0" w:space="0" w:color="auto"/>
        <w:right w:val="none" w:sz="0" w:space="0" w:color="auto"/>
      </w:divBdr>
      <w:divsChild>
        <w:div w:id="1692294414">
          <w:marLeft w:val="0"/>
          <w:marRight w:val="0"/>
          <w:marTop w:val="0"/>
          <w:marBottom w:val="0"/>
          <w:divBdr>
            <w:top w:val="none" w:sz="0" w:space="0" w:color="auto"/>
            <w:left w:val="none" w:sz="0" w:space="0" w:color="auto"/>
            <w:bottom w:val="none" w:sz="0" w:space="0" w:color="auto"/>
            <w:right w:val="none" w:sz="0" w:space="0" w:color="auto"/>
          </w:divBdr>
          <w:divsChild>
            <w:div w:id="21368135">
              <w:marLeft w:val="0"/>
              <w:marRight w:val="0"/>
              <w:marTop w:val="0"/>
              <w:marBottom w:val="0"/>
              <w:divBdr>
                <w:top w:val="none" w:sz="0" w:space="0" w:color="auto"/>
                <w:left w:val="none" w:sz="0" w:space="0" w:color="auto"/>
                <w:bottom w:val="none" w:sz="0" w:space="0" w:color="auto"/>
                <w:right w:val="none" w:sz="0" w:space="0" w:color="auto"/>
              </w:divBdr>
              <w:divsChild>
                <w:div w:id="13696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9324">
      <w:bodyDiv w:val="1"/>
      <w:marLeft w:val="0"/>
      <w:marRight w:val="0"/>
      <w:marTop w:val="0"/>
      <w:marBottom w:val="0"/>
      <w:divBdr>
        <w:top w:val="none" w:sz="0" w:space="0" w:color="auto"/>
        <w:left w:val="none" w:sz="0" w:space="0" w:color="auto"/>
        <w:bottom w:val="none" w:sz="0" w:space="0" w:color="auto"/>
        <w:right w:val="none" w:sz="0" w:space="0" w:color="auto"/>
      </w:divBdr>
      <w:divsChild>
        <w:div w:id="1406952075">
          <w:marLeft w:val="0"/>
          <w:marRight w:val="0"/>
          <w:marTop w:val="0"/>
          <w:marBottom w:val="0"/>
          <w:divBdr>
            <w:top w:val="none" w:sz="0" w:space="0" w:color="auto"/>
            <w:left w:val="none" w:sz="0" w:space="0" w:color="auto"/>
            <w:bottom w:val="none" w:sz="0" w:space="0" w:color="auto"/>
            <w:right w:val="none" w:sz="0" w:space="0" w:color="auto"/>
          </w:divBdr>
          <w:divsChild>
            <w:div w:id="420839025">
              <w:marLeft w:val="0"/>
              <w:marRight w:val="0"/>
              <w:marTop w:val="0"/>
              <w:marBottom w:val="0"/>
              <w:divBdr>
                <w:top w:val="none" w:sz="0" w:space="0" w:color="auto"/>
                <w:left w:val="none" w:sz="0" w:space="0" w:color="auto"/>
                <w:bottom w:val="none" w:sz="0" w:space="0" w:color="auto"/>
                <w:right w:val="none" w:sz="0" w:space="0" w:color="auto"/>
              </w:divBdr>
              <w:divsChild>
                <w:div w:id="500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6393">
      <w:bodyDiv w:val="1"/>
      <w:marLeft w:val="0"/>
      <w:marRight w:val="0"/>
      <w:marTop w:val="0"/>
      <w:marBottom w:val="0"/>
      <w:divBdr>
        <w:top w:val="none" w:sz="0" w:space="0" w:color="auto"/>
        <w:left w:val="none" w:sz="0" w:space="0" w:color="auto"/>
        <w:bottom w:val="none" w:sz="0" w:space="0" w:color="auto"/>
        <w:right w:val="none" w:sz="0" w:space="0" w:color="auto"/>
      </w:divBdr>
      <w:divsChild>
        <w:div w:id="1592397078">
          <w:marLeft w:val="0"/>
          <w:marRight w:val="0"/>
          <w:marTop w:val="0"/>
          <w:marBottom w:val="0"/>
          <w:divBdr>
            <w:top w:val="none" w:sz="0" w:space="0" w:color="auto"/>
            <w:left w:val="none" w:sz="0" w:space="0" w:color="auto"/>
            <w:bottom w:val="none" w:sz="0" w:space="0" w:color="auto"/>
            <w:right w:val="none" w:sz="0" w:space="0" w:color="auto"/>
          </w:divBdr>
          <w:divsChild>
            <w:div w:id="1074350745">
              <w:marLeft w:val="0"/>
              <w:marRight w:val="0"/>
              <w:marTop w:val="0"/>
              <w:marBottom w:val="0"/>
              <w:divBdr>
                <w:top w:val="none" w:sz="0" w:space="0" w:color="auto"/>
                <w:left w:val="none" w:sz="0" w:space="0" w:color="auto"/>
                <w:bottom w:val="none" w:sz="0" w:space="0" w:color="auto"/>
                <w:right w:val="none" w:sz="0" w:space="0" w:color="auto"/>
              </w:divBdr>
              <w:divsChild>
                <w:div w:id="8481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353">
      <w:bodyDiv w:val="1"/>
      <w:marLeft w:val="0"/>
      <w:marRight w:val="0"/>
      <w:marTop w:val="0"/>
      <w:marBottom w:val="0"/>
      <w:divBdr>
        <w:top w:val="none" w:sz="0" w:space="0" w:color="auto"/>
        <w:left w:val="none" w:sz="0" w:space="0" w:color="auto"/>
        <w:bottom w:val="none" w:sz="0" w:space="0" w:color="auto"/>
        <w:right w:val="none" w:sz="0" w:space="0" w:color="auto"/>
      </w:divBdr>
    </w:div>
    <w:div w:id="137889362">
      <w:bodyDiv w:val="1"/>
      <w:marLeft w:val="0"/>
      <w:marRight w:val="0"/>
      <w:marTop w:val="0"/>
      <w:marBottom w:val="0"/>
      <w:divBdr>
        <w:top w:val="none" w:sz="0" w:space="0" w:color="auto"/>
        <w:left w:val="none" w:sz="0" w:space="0" w:color="auto"/>
        <w:bottom w:val="none" w:sz="0" w:space="0" w:color="auto"/>
        <w:right w:val="none" w:sz="0" w:space="0" w:color="auto"/>
      </w:divBdr>
    </w:div>
    <w:div w:id="142284965">
      <w:bodyDiv w:val="1"/>
      <w:marLeft w:val="0"/>
      <w:marRight w:val="0"/>
      <w:marTop w:val="0"/>
      <w:marBottom w:val="0"/>
      <w:divBdr>
        <w:top w:val="none" w:sz="0" w:space="0" w:color="auto"/>
        <w:left w:val="none" w:sz="0" w:space="0" w:color="auto"/>
        <w:bottom w:val="none" w:sz="0" w:space="0" w:color="auto"/>
        <w:right w:val="none" w:sz="0" w:space="0" w:color="auto"/>
      </w:divBdr>
      <w:divsChild>
        <w:div w:id="1083450417">
          <w:marLeft w:val="0"/>
          <w:marRight w:val="0"/>
          <w:marTop w:val="0"/>
          <w:marBottom w:val="0"/>
          <w:divBdr>
            <w:top w:val="none" w:sz="0" w:space="0" w:color="auto"/>
            <w:left w:val="none" w:sz="0" w:space="0" w:color="auto"/>
            <w:bottom w:val="none" w:sz="0" w:space="0" w:color="auto"/>
            <w:right w:val="none" w:sz="0" w:space="0" w:color="auto"/>
          </w:divBdr>
          <w:divsChild>
            <w:div w:id="264844587">
              <w:marLeft w:val="0"/>
              <w:marRight w:val="0"/>
              <w:marTop w:val="0"/>
              <w:marBottom w:val="0"/>
              <w:divBdr>
                <w:top w:val="none" w:sz="0" w:space="0" w:color="auto"/>
                <w:left w:val="none" w:sz="0" w:space="0" w:color="auto"/>
                <w:bottom w:val="none" w:sz="0" w:space="0" w:color="auto"/>
                <w:right w:val="none" w:sz="0" w:space="0" w:color="auto"/>
              </w:divBdr>
              <w:divsChild>
                <w:div w:id="13426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7251">
      <w:bodyDiv w:val="1"/>
      <w:marLeft w:val="0"/>
      <w:marRight w:val="0"/>
      <w:marTop w:val="0"/>
      <w:marBottom w:val="0"/>
      <w:divBdr>
        <w:top w:val="none" w:sz="0" w:space="0" w:color="auto"/>
        <w:left w:val="none" w:sz="0" w:space="0" w:color="auto"/>
        <w:bottom w:val="none" w:sz="0" w:space="0" w:color="auto"/>
        <w:right w:val="none" w:sz="0" w:space="0" w:color="auto"/>
      </w:divBdr>
      <w:divsChild>
        <w:div w:id="2020887034">
          <w:marLeft w:val="0"/>
          <w:marRight w:val="0"/>
          <w:marTop w:val="0"/>
          <w:marBottom w:val="0"/>
          <w:divBdr>
            <w:top w:val="none" w:sz="0" w:space="0" w:color="auto"/>
            <w:left w:val="none" w:sz="0" w:space="0" w:color="auto"/>
            <w:bottom w:val="none" w:sz="0" w:space="0" w:color="auto"/>
            <w:right w:val="none" w:sz="0" w:space="0" w:color="auto"/>
          </w:divBdr>
          <w:divsChild>
            <w:div w:id="764031393">
              <w:marLeft w:val="0"/>
              <w:marRight w:val="0"/>
              <w:marTop w:val="0"/>
              <w:marBottom w:val="0"/>
              <w:divBdr>
                <w:top w:val="none" w:sz="0" w:space="0" w:color="auto"/>
                <w:left w:val="none" w:sz="0" w:space="0" w:color="auto"/>
                <w:bottom w:val="none" w:sz="0" w:space="0" w:color="auto"/>
                <w:right w:val="none" w:sz="0" w:space="0" w:color="auto"/>
              </w:divBdr>
              <w:divsChild>
                <w:div w:id="18337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5764">
      <w:bodyDiv w:val="1"/>
      <w:marLeft w:val="0"/>
      <w:marRight w:val="0"/>
      <w:marTop w:val="0"/>
      <w:marBottom w:val="0"/>
      <w:divBdr>
        <w:top w:val="none" w:sz="0" w:space="0" w:color="auto"/>
        <w:left w:val="none" w:sz="0" w:space="0" w:color="auto"/>
        <w:bottom w:val="none" w:sz="0" w:space="0" w:color="auto"/>
        <w:right w:val="none" w:sz="0" w:space="0" w:color="auto"/>
      </w:divBdr>
      <w:divsChild>
        <w:div w:id="571306633">
          <w:marLeft w:val="0"/>
          <w:marRight w:val="0"/>
          <w:marTop w:val="0"/>
          <w:marBottom w:val="0"/>
          <w:divBdr>
            <w:top w:val="none" w:sz="0" w:space="0" w:color="auto"/>
            <w:left w:val="none" w:sz="0" w:space="0" w:color="auto"/>
            <w:bottom w:val="none" w:sz="0" w:space="0" w:color="auto"/>
            <w:right w:val="none" w:sz="0" w:space="0" w:color="auto"/>
          </w:divBdr>
          <w:divsChild>
            <w:div w:id="233246592">
              <w:marLeft w:val="0"/>
              <w:marRight w:val="0"/>
              <w:marTop w:val="0"/>
              <w:marBottom w:val="0"/>
              <w:divBdr>
                <w:top w:val="none" w:sz="0" w:space="0" w:color="auto"/>
                <w:left w:val="none" w:sz="0" w:space="0" w:color="auto"/>
                <w:bottom w:val="none" w:sz="0" w:space="0" w:color="auto"/>
                <w:right w:val="none" w:sz="0" w:space="0" w:color="auto"/>
              </w:divBdr>
              <w:divsChild>
                <w:div w:id="16449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568">
      <w:bodyDiv w:val="1"/>
      <w:marLeft w:val="0"/>
      <w:marRight w:val="0"/>
      <w:marTop w:val="0"/>
      <w:marBottom w:val="0"/>
      <w:divBdr>
        <w:top w:val="none" w:sz="0" w:space="0" w:color="auto"/>
        <w:left w:val="none" w:sz="0" w:space="0" w:color="auto"/>
        <w:bottom w:val="none" w:sz="0" w:space="0" w:color="auto"/>
        <w:right w:val="none" w:sz="0" w:space="0" w:color="auto"/>
      </w:divBdr>
      <w:divsChild>
        <w:div w:id="1116874028">
          <w:marLeft w:val="0"/>
          <w:marRight w:val="0"/>
          <w:marTop w:val="0"/>
          <w:marBottom w:val="0"/>
          <w:divBdr>
            <w:top w:val="none" w:sz="0" w:space="0" w:color="auto"/>
            <w:left w:val="none" w:sz="0" w:space="0" w:color="auto"/>
            <w:bottom w:val="none" w:sz="0" w:space="0" w:color="auto"/>
            <w:right w:val="none" w:sz="0" w:space="0" w:color="auto"/>
          </w:divBdr>
          <w:divsChild>
            <w:div w:id="1461345034">
              <w:marLeft w:val="0"/>
              <w:marRight w:val="0"/>
              <w:marTop w:val="0"/>
              <w:marBottom w:val="0"/>
              <w:divBdr>
                <w:top w:val="none" w:sz="0" w:space="0" w:color="auto"/>
                <w:left w:val="none" w:sz="0" w:space="0" w:color="auto"/>
                <w:bottom w:val="none" w:sz="0" w:space="0" w:color="auto"/>
                <w:right w:val="none" w:sz="0" w:space="0" w:color="auto"/>
              </w:divBdr>
              <w:divsChild>
                <w:div w:id="4094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1096">
      <w:bodyDiv w:val="1"/>
      <w:marLeft w:val="0"/>
      <w:marRight w:val="0"/>
      <w:marTop w:val="0"/>
      <w:marBottom w:val="0"/>
      <w:divBdr>
        <w:top w:val="none" w:sz="0" w:space="0" w:color="auto"/>
        <w:left w:val="none" w:sz="0" w:space="0" w:color="auto"/>
        <w:bottom w:val="none" w:sz="0" w:space="0" w:color="auto"/>
        <w:right w:val="none" w:sz="0" w:space="0" w:color="auto"/>
      </w:divBdr>
      <w:divsChild>
        <w:div w:id="2142914809">
          <w:marLeft w:val="0"/>
          <w:marRight w:val="0"/>
          <w:marTop w:val="0"/>
          <w:marBottom w:val="0"/>
          <w:divBdr>
            <w:top w:val="none" w:sz="0" w:space="0" w:color="auto"/>
            <w:left w:val="none" w:sz="0" w:space="0" w:color="auto"/>
            <w:bottom w:val="none" w:sz="0" w:space="0" w:color="auto"/>
            <w:right w:val="none" w:sz="0" w:space="0" w:color="auto"/>
          </w:divBdr>
          <w:divsChild>
            <w:div w:id="2127262951">
              <w:marLeft w:val="0"/>
              <w:marRight w:val="0"/>
              <w:marTop w:val="0"/>
              <w:marBottom w:val="0"/>
              <w:divBdr>
                <w:top w:val="none" w:sz="0" w:space="0" w:color="auto"/>
                <w:left w:val="none" w:sz="0" w:space="0" w:color="auto"/>
                <w:bottom w:val="none" w:sz="0" w:space="0" w:color="auto"/>
                <w:right w:val="none" w:sz="0" w:space="0" w:color="auto"/>
              </w:divBdr>
              <w:divsChild>
                <w:div w:id="20822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0796">
      <w:bodyDiv w:val="1"/>
      <w:marLeft w:val="0"/>
      <w:marRight w:val="0"/>
      <w:marTop w:val="0"/>
      <w:marBottom w:val="0"/>
      <w:divBdr>
        <w:top w:val="none" w:sz="0" w:space="0" w:color="auto"/>
        <w:left w:val="none" w:sz="0" w:space="0" w:color="auto"/>
        <w:bottom w:val="none" w:sz="0" w:space="0" w:color="auto"/>
        <w:right w:val="none" w:sz="0" w:space="0" w:color="auto"/>
      </w:divBdr>
      <w:divsChild>
        <w:div w:id="1247616603">
          <w:marLeft w:val="0"/>
          <w:marRight w:val="0"/>
          <w:marTop w:val="0"/>
          <w:marBottom w:val="0"/>
          <w:divBdr>
            <w:top w:val="none" w:sz="0" w:space="0" w:color="auto"/>
            <w:left w:val="none" w:sz="0" w:space="0" w:color="auto"/>
            <w:bottom w:val="none" w:sz="0" w:space="0" w:color="auto"/>
            <w:right w:val="none" w:sz="0" w:space="0" w:color="auto"/>
          </w:divBdr>
          <w:divsChild>
            <w:div w:id="2146269875">
              <w:marLeft w:val="0"/>
              <w:marRight w:val="0"/>
              <w:marTop w:val="0"/>
              <w:marBottom w:val="0"/>
              <w:divBdr>
                <w:top w:val="none" w:sz="0" w:space="0" w:color="auto"/>
                <w:left w:val="none" w:sz="0" w:space="0" w:color="auto"/>
                <w:bottom w:val="none" w:sz="0" w:space="0" w:color="auto"/>
                <w:right w:val="none" w:sz="0" w:space="0" w:color="auto"/>
              </w:divBdr>
              <w:divsChild>
                <w:div w:id="8042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59109">
      <w:bodyDiv w:val="1"/>
      <w:marLeft w:val="0"/>
      <w:marRight w:val="0"/>
      <w:marTop w:val="0"/>
      <w:marBottom w:val="0"/>
      <w:divBdr>
        <w:top w:val="none" w:sz="0" w:space="0" w:color="auto"/>
        <w:left w:val="none" w:sz="0" w:space="0" w:color="auto"/>
        <w:bottom w:val="none" w:sz="0" w:space="0" w:color="auto"/>
        <w:right w:val="none" w:sz="0" w:space="0" w:color="auto"/>
      </w:divBdr>
      <w:divsChild>
        <w:div w:id="605234899">
          <w:marLeft w:val="0"/>
          <w:marRight w:val="0"/>
          <w:marTop w:val="0"/>
          <w:marBottom w:val="0"/>
          <w:divBdr>
            <w:top w:val="none" w:sz="0" w:space="0" w:color="auto"/>
            <w:left w:val="none" w:sz="0" w:space="0" w:color="auto"/>
            <w:bottom w:val="none" w:sz="0" w:space="0" w:color="auto"/>
            <w:right w:val="none" w:sz="0" w:space="0" w:color="auto"/>
          </w:divBdr>
          <w:divsChild>
            <w:div w:id="237599713">
              <w:marLeft w:val="0"/>
              <w:marRight w:val="0"/>
              <w:marTop w:val="0"/>
              <w:marBottom w:val="0"/>
              <w:divBdr>
                <w:top w:val="none" w:sz="0" w:space="0" w:color="auto"/>
                <w:left w:val="none" w:sz="0" w:space="0" w:color="auto"/>
                <w:bottom w:val="none" w:sz="0" w:space="0" w:color="auto"/>
                <w:right w:val="none" w:sz="0" w:space="0" w:color="auto"/>
              </w:divBdr>
              <w:divsChild>
                <w:div w:id="3928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2485">
      <w:bodyDiv w:val="1"/>
      <w:marLeft w:val="0"/>
      <w:marRight w:val="0"/>
      <w:marTop w:val="0"/>
      <w:marBottom w:val="0"/>
      <w:divBdr>
        <w:top w:val="none" w:sz="0" w:space="0" w:color="auto"/>
        <w:left w:val="none" w:sz="0" w:space="0" w:color="auto"/>
        <w:bottom w:val="none" w:sz="0" w:space="0" w:color="auto"/>
        <w:right w:val="none" w:sz="0" w:space="0" w:color="auto"/>
      </w:divBdr>
      <w:divsChild>
        <w:div w:id="212696684">
          <w:marLeft w:val="0"/>
          <w:marRight w:val="0"/>
          <w:marTop w:val="0"/>
          <w:marBottom w:val="0"/>
          <w:divBdr>
            <w:top w:val="none" w:sz="0" w:space="0" w:color="auto"/>
            <w:left w:val="none" w:sz="0" w:space="0" w:color="auto"/>
            <w:bottom w:val="none" w:sz="0" w:space="0" w:color="auto"/>
            <w:right w:val="none" w:sz="0" w:space="0" w:color="auto"/>
          </w:divBdr>
          <w:divsChild>
            <w:div w:id="483162835">
              <w:marLeft w:val="0"/>
              <w:marRight w:val="0"/>
              <w:marTop w:val="0"/>
              <w:marBottom w:val="0"/>
              <w:divBdr>
                <w:top w:val="none" w:sz="0" w:space="0" w:color="auto"/>
                <w:left w:val="none" w:sz="0" w:space="0" w:color="auto"/>
                <w:bottom w:val="none" w:sz="0" w:space="0" w:color="auto"/>
                <w:right w:val="none" w:sz="0" w:space="0" w:color="auto"/>
              </w:divBdr>
              <w:divsChild>
                <w:div w:id="8572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7450">
      <w:bodyDiv w:val="1"/>
      <w:marLeft w:val="0"/>
      <w:marRight w:val="0"/>
      <w:marTop w:val="0"/>
      <w:marBottom w:val="0"/>
      <w:divBdr>
        <w:top w:val="none" w:sz="0" w:space="0" w:color="auto"/>
        <w:left w:val="none" w:sz="0" w:space="0" w:color="auto"/>
        <w:bottom w:val="none" w:sz="0" w:space="0" w:color="auto"/>
        <w:right w:val="none" w:sz="0" w:space="0" w:color="auto"/>
      </w:divBdr>
    </w:div>
    <w:div w:id="314065429">
      <w:bodyDiv w:val="1"/>
      <w:marLeft w:val="0"/>
      <w:marRight w:val="0"/>
      <w:marTop w:val="0"/>
      <w:marBottom w:val="0"/>
      <w:divBdr>
        <w:top w:val="none" w:sz="0" w:space="0" w:color="auto"/>
        <w:left w:val="none" w:sz="0" w:space="0" w:color="auto"/>
        <w:bottom w:val="none" w:sz="0" w:space="0" w:color="auto"/>
        <w:right w:val="none" w:sz="0" w:space="0" w:color="auto"/>
      </w:divBdr>
      <w:divsChild>
        <w:div w:id="92868603">
          <w:marLeft w:val="0"/>
          <w:marRight w:val="0"/>
          <w:marTop w:val="0"/>
          <w:marBottom w:val="0"/>
          <w:divBdr>
            <w:top w:val="none" w:sz="0" w:space="0" w:color="auto"/>
            <w:left w:val="none" w:sz="0" w:space="0" w:color="auto"/>
            <w:bottom w:val="none" w:sz="0" w:space="0" w:color="auto"/>
            <w:right w:val="none" w:sz="0" w:space="0" w:color="auto"/>
          </w:divBdr>
          <w:divsChild>
            <w:div w:id="1374386641">
              <w:marLeft w:val="0"/>
              <w:marRight w:val="0"/>
              <w:marTop w:val="0"/>
              <w:marBottom w:val="0"/>
              <w:divBdr>
                <w:top w:val="none" w:sz="0" w:space="0" w:color="auto"/>
                <w:left w:val="none" w:sz="0" w:space="0" w:color="auto"/>
                <w:bottom w:val="none" w:sz="0" w:space="0" w:color="auto"/>
                <w:right w:val="none" w:sz="0" w:space="0" w:color="auto"/>
              </w:divBdr>
              <w:divsChild>
                <w:div w:id="10985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19954">
      <w:bodyDiv w:val="1"/>
      <w:marLeft w:val="0"/>
      <w:marRight w:val="0"/>
      <w:marTop w:val="0"/>
      <w:marBottom w:val="0"/>
      <w:divBdr>
        <w:top w:val="none" w:sz="0" w:space="0" w:color="auto"/>
        <w:left w:val="none" w:sz="0" w:space="0" w:color="auto"/>
        <w:bottom w:val="none" w:sz="0" w:space="0" w:color="auto"/>
        <w:right w:val="none" w:sz="0" w:space="0" w:color="auto"/>
      </w:divBdr>
      <w:divsChild>
        <w:div w:id="1453591667">
          <w:marLeft w:val="0"/>
          <w:marRight w:val="0"/>
          <w:marTop w:val="0"/>
          <w:marBottom w:val="0"/>
          <w:divBdr>
            <w:top w:val="none" w:sz="0" w:space="0" w:color="auto"/>
            <w:left w:val="none" w:sz="0" w:space="0" w:color="auto"/>
            <w:bottom w:val="none" w:sz="0" w:space="0" w:color="auto"/>
            <w:right w:val="none" w:sz="0" w:space="0" w:color="auto"/>
          </w:divBdr>
          <w:divsChild>
            <w:div w:id="1177965419">
              <w:marLeft w:val="0"/>
              <w:marRight w:val="0"/>
              <w:marTop w:val="0"/>
              <w:marBottom w:val="0"/>
              <w:divBdr>
                <w:top w:val="none" w:sz="0" w:space="0" w:color="auto"/>
                <w:left w:val="none" w:sz="0" w:space="0" w:color="auto"/>
                <w:bottom w:val="none" w:sz="0" w:space="0" w:color="auto"/>
                <w:right w:val="none" w:sz="0" w:space="0" w:color="auto"/>
              </w:divBdr>
              <w:divsChild>
                <w:div w:id="1647391382">
                  <w:marLeft w:val="0"/>
                  <w:marRight w:val="0"/>
                  <w:marTop w:val="0"/>
                  <w:marBottom w:val="0"/>
                  <w:divBdr>
                    <w:top w:val="none" w:sz="0" w:space="0" w:color="auto"/>
                    <w:left w:val="none" w:sz="0" w:space="0" w:color="auto"/>
                    <w:bottom w:val="none" w:sz="0" w:space="0" w:color="auto"/>
                    <w:right w:val="none" w:sz="0" w:space="0" w:color="auto"/>
                  </w:divBdr>
                  <w:divsChild>
                    <w:div w:id="18636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236831">
      <w:bodyDiv w:val="1"/>
      <w:marLeft w:val="0"/>
      <w:marRight w:val="0"/>
      <w:marTop w:val="0"/>
      <w:marBottom w:val="0"/>
      <w:divBdr>
        <w:top w:val="none" w:sz="0" w:space="0" w:color="auto"/>
        <w:left w:val="none" w:sz="0" w:space="0" w:color="auto"/>
        <w:bottom w:val="none" w:sz="0" w:space="0" w:color="auto"/>
        <w:right w:val="none" w:sz="0" w:space="0" w:color="auto"/>
      </w:divBdr>
    </w:div>
    <w:div w:id="392703875">
      <w:bodyDiv w:val="1"/>
      <w:marLeft w:val="0"/>
      <w:marRight w:val="0"/>
      <w:marTop w:val="0"/>
      <w:marBottom w:val="0"/>
      <w:divBdr>
        <w:top w:val="none" w:sz="0" w:space="0" w:color="auto"/>
        <w:left w:val="none" w:sz="0" w:space="0" w:color="auto"/>
        <w:bottom w:val="none" w:sz="0" w:space="0" w:color="auto"/>
        <w:right w:val="none" w:sz="0" w:space="0" w:color="auto"/>
      </w:divBdr>
      <w:divsChild>
        <w:div w:id="1050388">
          <w:marLeft w:val="0"/>
          <w:marRight w:val="0"/>
          <w:marTop w:val="0"/>
          <w:marBottom w:val="0"/>
          <w:divBdr>
            <w:top w:val="none" w:sz="0" w:space="0" w:color="auto"/>
            <w:left w:val="none" w:sz="0" w:space="0" w:color="auto"/>
            <w:bottom w:val="none" w:sz="0" w:space="0" w:color="auto"/>
            <w:right w:val="none" w:sz="0" w:space="0" w:color="auto"/>
          </w:divBdr>
          <w:divsChild>
            <w:div w:id="900864892">
              <w:marLeft w:val="0"/>
              <w:marRight w:val="0"/>
              <w:marTop w:val="0"/>
              <w:marBottom w:val="0"/>
              <w:divBdr>
                <w:top w:val="none" w:sz="0" w:space="0" w:color="auto"/>
                <w:left w:val="none" w:sz="0" w:space="0" w:color="auto"/>
                <w:bottom w:val="none" w:sz="0" w:space="0" w:color="auto"/>
                <w:right w:val="none" w:sz="0" w:space="0" w:color="auto"/>
              </w:divBdr>
              <w:divsChild>
                <w:div w:id="498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89039">
      <w:bodyDiv w:val="1"/>
      <w:marLeft w:val="0"/>
      <w:marRight w:val="0"/>
      <w:marTop w:val="0"/>
      <w:marBottom w:val="0"/>
      <w:divBdr>
        <w:top w:val="none" w:sz="0" w:space="0" w:color="auto"/>
        <w:left w:val="none" w:sz="0" w:space="0" w:color="auto"/>
        <w:bottom w:val="none" w:sz="0" w:space="0" w:color="auto"/>
        <w:right w:val="none" w:sz="0" w:space="0" w:color="auto"/>
      </w:divBdr>
      <w:divsChild>
        <w:div w:id="300352910">
          <w:marLeft w:val="0"/>
          <w:marRight w:val="0"/>
          <w:marTop w:val="0"/>
          <w:marBottom w:val="0"/>
          <w:divBdr>
            <w:top w:val="none" w:sz="0" w:space="0" w:color="auto"/>
            <w:left w:val="none" w:sz="0" w:space="0" w:color="auto"/>
            <w:bottom w:val="none" w:sz="0" w:space="0" w:color="auto"/>
            <w:right w:val="none" w:sz="0" w:space="0" w:color="auto"/>
          </w:divBdr>
          <w:divsChild>
            <w:div w:id="221450515">
              <w:marLeft w:val="0"/>
              <w:marRight w:val="0"/>
              <w:marTop w:val="0"/>
              <w:marBottom w:val="0"/>
              <w:divBdr>
                <w:top w:val="none" w:sz="0" w:space="0" w:color="auto"/>
                <w:left w:val="none" w:sz="0" w:space="0" w:color="auto"/>
                <w:bottom w:val="none" w:sz="0" w:space="0" w:color="auto"/>
                <w:right w:val="none" w:sz="0" w:space="0" w:color="auto"/>
              </w:divBdr>
              <w:divsChild>
                <w:div w:id="3160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90765">
      <w:bodyDiv w:val="1"/>
      <w:marLeft w:val="0"/>
      <w:marRight w:val="0"/>
      <w:marTop w:val="0"/>
      <w:marBottom w:val="0"/>
      <w:divBdr>
        <w:top w:val="none" w:sz="0" w:space="0" w:color="auto"/>
        <w:left w:val="none" w:sz="0" w:space="0" w:color="auto"/>
        <w:bottom w:val="none" w:sz="0" w:space="0" w:color="auto"/>
        <w:right w:val="none" w:sz="0" w:space="0" w:color="auto"/>
      </w:divBdr>
      <w:divsChild>
        <w:div w:id="1748722939">
          <w:marLeft w:val="0"/>
          <w:marRight w:val="0"/>
          <w:marTop w:val="0"/>
          <w:marBottom w:val="0"/>
          <w:divBdr>
            <w:top w:val="none" w:sz="0" w:space="0" w:color="auto"/>
            <w:left w:val="none" w:sz="0" w:space="0" w:color="auto"/>
            <w:bottom w:val="none" w:sz="0" w:space="0" w:color="auto"/>
            <w:right w:val="none" w:sz="0" w:space="0" w:color="auto"/>
          </w:divBdr>
          <w:divsChild>
            <w:div w:id="1934557377">
              <w:marLeft w:val="0"/>
              <w:marRight w:val="0"/>
              <w:marTop w:val="0"/>
              <w:marBottom w:val="0"/>
              <w:divBdr>
                <w:top w:val="none" w:sz="0" w:space="0" w:color="auto"/>
                <w:left w:val="none" w:sz="0" w:space="0" w:color="auto"/>
                <w:bottom w:val="none" w:sz="0" w:space="0" w:color="auto"/>
                <w:right w:val="none" w:sz="0" w:space="0" w:color="auto"/>
              </w:divBdr>
              <w:divsChild>
                <w:div w:id="4480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159212">
      <w:bodyDiv w:val="1"/>
      <w:marLeft w:val="0"/>
      <w:marRight w:val="0"/>
      <w:marTop w:val="0"/>
      <w:marBottom w:val="0"/>
      <w:divBdr>
        <w:top w:val="none" w:sz="0" w:space="0" w:color="auto"/>
        <w:left w:val="none" w:sz="0" w:space="0" w:color="auto"/>
        <w:bottom w:val="none" w:sz="0" w:space="0" w:color="auto"/>
        <w:right w:val="none" w:sz="0" w:space="0" w:color="auto"/>
      </w:divBdr>
      <w:divsChild>
        <w:div w:id="819617979">
          <w:marLeft w:val="0"/>
          <w:marRight w:val="0"/>
          <w:marTop w:val="0"/>
          <w:marBottom w:val="0"/>
          <w:divBdr>
            <w:top w:val="none" w:sz="0" w:space="0" w:color="auto"/>
            <w:left w:val="none" w:sz="0" w:space="0" w:color="auto"/>
            <w:bottom w:val="none" w:sz="0" w:space="0" w:color="auto"/>
            <w:right w:val="none" w:sz="0" w:space="0" w:color="auto"/>
          </w:divBdr>
          <w:divsChild>
            <w:div w:id="808398022">
              <w:marLeft w:val="0"/>
              <w:marRight w:val="0"/>
              <w:marTop w:val="0"/>
              <w:marBottom w:val="0"/>
              <w:divBdr>
                <w:top w:val="none" w:sz="0" w:space="0" w:color="auto"/>
                <w:left w:val="none" w:sz="0" w:space="0" w:color="auto"/>
                <w:bottom w:val="none" w:sz="0" w:space="0" w:color="auto"/>
                <w:right w:val="none" w:sz="0" w:space="0" w:color="auto"/>
              </w:divBdr>
              <w:divsChild>
                <w:div w:id="3267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7600">
      <w:bodyDiv w:val="1"/>
      <w:marLeft w:val="0"/>
      <w:marRight w:val="0"/>
      <w:marTop w:val="0"/>
      <w:marBottom w:val="0"/>
      <w:divBdr>
        <w:top w:val="none" w:sz="0" w:space="0" w:color="auto"/>
        <w:left w:val="none" w:sz="0" w:space="0" w:color="auto"/>
        <w:bottom w:val="none" w:sz="0" w:space="0" w:color="auto"/>
        <w:right w:val="none" w:sz="0" w:space="0" w:color="auto"/>
      </w:divBdr>
    </w:div>
    <w:div w:id="490215639">
      <w:bodyDiv w:val="1"/>
      <w:marLeft w:val="0"/>
      <w:marRight w:val="0"/>
      <w:marTop w:val="0"/>
      <w:marBottom w:val="0"/>
      <w:divBdr>
        <w:top w:val="none" w:sz="0" w:space="0" w:color="auto"/>
        <w:left w:val="none" w:sz="0" w:space="0" w:color="auto"/>
        <w:bottom w:val="none" w:sz="0" w:space="0" w:color="auto"/>
        <w:right w:val="none" w:sz="0" w:space="0" w:color="auto"/>
      </w:divBdr>
      <w:divsChild>
        <w:div w:id="1951935448">
          <w:marLeft w:val="0"/>
          <w:marRight w:val="0"/>
          <w:marTop w:val="0"/>
          <w:marBottom w:val="0"/>
          <w:divBdr>
            <w:top w:val="none" w:sz="0" w:space="0" w:color="auto"/>
            <w:left w:val="none" w:sz="0" w:space="0" w:color="auto"/>
            <w:bottom w:val="none" w:sz="0" w:space="0" w:color="auto"/>
            <w:right w:val="none" w:sz="0" w:space="0" w:color="auto"/>
          </w:divBdr>
          <w:divsChild>
            <w:div w:id="2088533794">
              <w:marLeft w:val="0"/>
              <w:marRight w:val="0"/>
              <w:marTop w:val="0"/>
              <w:marBottom w:val="0"/>
              <w:divBdr>
                <w:top w:val="none" w:sz="0" w:space="0" w:color="auto"/>
                <w:left w:val="none" w:sz="0" w:space="0" w:color="auto"/>
                <w:bottom w:val="none" w:sz="0" w:space="0" w:color="auto"/>
                <w:right w:val="none" w:sz="0" w:space="0" w:color="auto"/>
              </w:divBdr>
              <w:divsChild>
                <w:div w:id="7624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6583">
      <w:bodyDiv w:val="1"/>
      <w:marLeft w:val="0"/>
      <w:marRight w:val="0"/>
      <w:marTop w:val="0"/>
      <w:marBottom w:val="0"/>
      <w:divBdr>
        <w:top w:val="none" w:sz="0" w:space="0" w:color="auto"/>
        <w:left w:val="none" w:sz="0" w:space="0" w:color="auto"/>
        <w:bottom w:val="none" w:sz="0" w:space="0" w:color="auto"/>
        <w:right w:val="none" w:sz="0" w:space="0" w:color="auto"/>
      </w:divBdr>
      <w:divsChild>
        <w:div w:id="687869740">
          <w:marLeft w:val="0"/>
          <w:marRight w:val="0"/>
          <w:marTop w:val="0"/>
          <w:marBottom w:val="0"/>
          <w:divBdr>
            <w:top w:val="none" w:sz="0" w:space="0" w:color="auto"/>
            <w:left w:val="none" w:sz="0" w:space="0" w:color="auto"/>
            <w:bottom w:val="none" w:sz="0" w:space="0" w:color="auto"/>
            <w:right w:val="none" w:sz="0" w:space="0" w:color="auto"/>
          </w:divBdr>
          <w:divsChild>
            <w:div w:id="1720976986">
              <w:marLeft w:val="0"/>
              <w:marRight w:val="0"/>
              <w:marTop w:val="0"/>
              <w:marBottom w:val="0"/>
              <w:divBdr>
                <w:top w:val="none" w:sz="0" w:space="0" w:color="auto"/>
                <w:left w:val="none" w:sz="0" w:space="0" w:color="auto"/>
                <w:bottom w:val="none" w:sz="0" w:space="0" w:color="auto"/>
                <w:right w:val="none" w:sz="0" w:space="0" w:color="auto"/>
              </w:divBdr>
              <w:divsChild>
                <w:div w:id="265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5964">
      <w:bodyDiv w:val="1"/>
      <w:marLeft w:val="0"/>
      <w:marRight w:val="0"/>
      <w:marTop w:val="0"/>
      <w:marBottom w:val="0"/>
      <w:divBdr>
        <w:top w:val="none" w:sz="0" w:space="0" w:color="auto"/>
        <w:left w:val="none" w:sz="0" w:space="0" w:color="auto"/>
        <w:bottom w:val="none" w:sz="0" w:space="0" w:color="auto"/>
        <w:right w:val="none" w:sz="0" w:space="0" w:color="auto"/>
      </w:divBdr>
    </w:div>
    <w:div w:id="540438582">
      <w:bodyDiv w:val="1"/>
      <w:marLeft w:val="0"/>
      <w:marRight w:val="0"/>
      <w:marTop w:val="0"/>
      <w:marBottom w:val="0"/>
      <w:divBdr>
        <w:top w:val="none" w:sz="0" w:space="0" w:color="auto"/>
        <w:left w:val="none" w:sz="0" w:space="0" w:color="auto"/>
        <w:bottom w:val="none" w:sz="0" w:space="0" w:color="auto"/>
        <w:right w:val="none" w:sz="0" w:space="0" w:color="auto"/>
      </w:divBdr>
    </w:div>
    <w:div w:id="578684687">
      <w:bodyDiv w:val="1"/>
      <w:marLeft w:val="0"/>
      <w:marRight w:val="0"/>
      <w:marTop w:val="0"/>
      <w:marBottom w:val="0"/>
      <w:divBdr>
        <w:top w:val="none" w:sz="0" w:space="0" w:color="auto"/>
        <w:left w:val="none" w:sz="0" w:space="0" w:color="auto"/>
        <w:bottom w:val="none" w:sz="0" w:space="0" w:color="auto"/>
        <w:right w:val="none" w:sz="0" w:space="0" w:color="auto"/>
      </w:divBdr>
      <w:divsChild>
        <w:div w:id="989754370">
          <w:marLeft w:val="0"/>
          <w:marRight w:val="0"/>
          <w:marTop w:val="0"/>
          <w:marBottom w:val="0"/>
          <w:divBdr>
            <w:top w:val="none" w:sz="0" w:space="0" w:color="auto"/>
            <w:left w:val="none" w:sz="0" w:space="0" w:color="auto"/>
            <w:bottom w:val="none" w:sz="0" w:space="0" w:color="auto"/>
            <w:right w:val="none" w:sz="0" w:space="0" w:color="auto"/>
          </w:divBdr>
          <w:divsChild>
            <w:div w:id="73014078">
              <w:marLeft w:val="0"/>
              <w:marRight w:val="0"/>
              <w:marTop w:val="0"/>
              <w:marBottom w:val="0"/>
              <w:divBdr>
                <w:top w:val="none" w:sz="0" w:space="0" w:color="auto"/>
                <w:left w:val="none" w:sz="0" w:space="0" w:color="auto"/>
                <w:bottom w:val="none" w:sz="0" w:space="0" w:color="auto"/>
                <w:right w:val="none" w:sz="0" w:space="0" w:color="auto"/>
              </w:divBdr>
              <w:divsChild>
                <w:div w:id="4244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75431">
      <w:bodyDiv w:val="1"/>
      <w:marLeft w:val="0"/>
      <w:marRight w:val="0"/>
      <w:marTop w:val="0"/>
      <w:marBottom w:val="0"/>
      <w:divBdr>
        <w:top w:val="none" w:sz="0" w:space="0" w:color="auto"/>
        <w:left w:val="none" w:sz="0" w:space="0" w:color="auto"/>
        <w:bottom w:val="none" w:sz="0" w:space="0" w:color="auto"/>
        <w:right w:val="none" w:sz="0" w:space="0" w:color="auto"/>
      </w:divBdr>
      <w:divsChild>
        <w:div w:id="1859462801">
          <w:marLeft w:val="0"/>
          <w:marRight w:val="0"/>
          <w:marTop w:val="0"/>
          <w:marBottom w:val="0"/>
          <w:divBdr>
            <w:top w:val="none" w:sz="0" w:space="0" w:color="auto"/>
            <w:left w:val="none" w:sz="0" w:space="0" w:color="auto"/>
            <w:bottom w:val="none" w:sz="0" w:space="0" w:color="auto"/>
            <w:right w:val="none" w:sz="0" w:space="0" w:color="auto"/>
          </w:divBdr>
          <w:divsChild>
            <w:div w:id="1813670058">
              <w:marLeft w:val="0"/>
              <w:marRight w:val="0"/>
              <w:marTop w:val="0"/>
              <w:marBottom w:val="0"/>
              <w:divBdr>
                <w:top w:val="none" w:sz="0" w:space="0" w:color="auto"/>
                <w:left w:val="none" w:sz="0" w:space="0" w:color="auto"/>
                <w:bottom w:val="none" w:sz="0" w:space="0" w:color="auto"/>
                <w:right w:val="none" w:sz="0" w:space="0" w:color="auto"/>
              </w:divBdr>
              <w:divsChild>
                <w:div w:id="1104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2492">
      <w:bodyDiv w:val="1"/>
      <w:marLeft w:val="0"/>
      <w:marRight w:val="0"/>
      <w:marTop w:val="0"/>
      <w:marBottom w:val="0"/>
      <w:divBdr>
        <w:top w:val="none" w:sz="0" w:space="0" w:color="auto"/>
        <w:left w:val="none" w:sz="0" w:space="0" w:color="auto"/>
        <w:bottom w:val="none" w:sz="0" w:space="0" w:color="auto"/>
        <w:right w:val="none" w:sz="0" w:space="0" w:color="auto"/>
      </w:divBdr>
    </w:div>
    <w:div w:id="598417481">
      <w:bodyDiv w:val="1"/>
      <w:marLeft w:val="0"/>
      <w:marRight w:val="0"/>
      <w:marTop w:val="0"/>
      <w:marBottom w:val="0"/>
      <w:divBdr>
        <w:top w:val="none" w:sz="0" w:space="0" w:color="auto"/>
        <w:left w:val="none" w:sz="0" w:space="0" w:color="auto"/>
        <w:bottom w:val="none" w:sz="0" w:space="0" w:color="auto"/>
        <w:right w:val="none" w:sz="0" w:space="0" w:color="auto"/>
      </w:divBdr>
      <w:divsChild>
        <w:div w:id="1449426353">
          <w:marLeft w:val="0"/>
          <w:marRight w:val="0"/>
          <w:marTop w:val="0"/>
          <w:marBottom w:val="0"/>
          <w:divBdr>
            <w:top w:val="none" w:sz="0" w:space="0" w:color="auto"/>
            <w:left w:val="none" w:sz="0" w:space="0" w:color="auto"/>
            <w:bottom w:val="none" w:sz="0" w:space="0" w:color="auto"/>
            <w:right w:val="none" w:sz="0" w:space="0" w:color="auto"/>
          </w:divBdr>
          <w:divsChild>
            <w:div w:id="1165167262">
              <w:marLeft w:val="0"/>
              <w:marRight w:val="0"/>
              <w:marTop w:val="0"/>
              <w:marBottom w:val="0"/>
              <w:divBdr>
                <w:top w:val="none" w:sz="0" w:space="0" w:color="auto"/>
                <w:left w:val="none" w:sz="0" w:space="0" w:color="auto"/>
                <w:bottom w:val="none" w:sz="0" w:space="0" w:color="auto"/>
                <w:right w:val="none" w:sz="0" w:space="0" w:color="auto"/>
              </w:divBdr>
              <w:divsChild>
                <w:div w:id="15690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3998">
      <w:bodyDiv w:val="1"/>
      <w:marLeft w:val="0"/>
      <w:marRight w:val="0"/>
      <w:marTop w:val="0"/>
      <w:marBottom w:val="0"/>
      <w:divBdr>
        <w:top w:val="none" w:sz="0" w:space="0" w:color="auto"/>
        <w:left w:val="none" w:sz="0" w:space="0" w:color="auto"/>
        <w:bottom w:val="none" w:sz="0" w:space="0" w:color="auto"/>
        <w:right w:val="none" w:sz="0" w:space="0" w:color="auto"/>
      </w:divBdr>
    </w:div>
    <w:div w:id="604658728">
      <w:bodyDiv w:val="1"/>
      <w:marLeft w:val="0"/>
      <w:marRight w:val="0"/>
      <w:marTop w:val="0"/>
      <w:marBottom w:val="0"/>
      <w:divBdr>
        <w:top w:val="none" w:sz="0" w:space="0" w:color="auto"/>
        <w:left w:val="none" w:sz="0" w:space="0" w:color="auto"/>
        <w:bottom w:val="none" w:sz="0" w:space="0" w:color="auto"/>
        <w:right w:val="none" w:sz="0" w:space="0" w:color="auto"/>
      </w:divBdr>
    </w:div>
    <w:div w:id="612395151">
      <w:bodyDiv w:val="1"/>
      <w:marLeft w:val="0"/>
      <w:marRight w:val="0"/>
      <w:marTop w:val="0"/>
      <w:marBottom w:val="0"/>
      <w:divBdr>
        <w:top w:val="none" w:sz="0" w:space="0" w:color="auto"/>
        <w:left w:val="none" w:sz="0" w:space="0" w:color="auto"/>
        <w:bottom w:val="none" w:sz="0" w:space="0" w:color="auto"/>
        <w:right w:val="none" w:sz="0" w:space="0" w:color="auto"/>
      </w:divBdr>
      <w:divsChild>
        <w:div w:id="2039619674">
          <w:marLeft w:val="0"/>
          <w:marRight w:val="0"/>
          <w:marTop w:val="0"/>
          <w:marBottom w:val="0"/>
          <w:divBdr>
            <w:top w:val="none" w:sz="0" w:space="0" w:color="auto"/>
            <w:left w:val="none" w:sz="0" w:space="0" w:color="auto"/>
            <w:bottom w:val="none" w:sz="0" w:space="0" w:color="auto"/>
            <w:right w:val="none" w:sz="0" w:space="0" w:color="auto"/>
          </w:divBdr>
          <w:divsChild>
            <w:div w:id="1796026004">
              <w:marLeft w:val="0"/>
              <w:marRight w:val="0"/>
              <w:marTop w:val="0"/>
              <w:marBottom w:val="0"/>
              <w:divBdr>
                <w:top w:val="none" w:sz="0" w:space="0" w:color="auto"/>
                <w:left w:val="none" w:sz="0" w:space="0" w:color="auto"/>
                <w:bottom w:val="none" w:sz="0" w:space="0" w:color="auto"/>
                <w:right w:val="none" w:sz="0" w:space="0" w:color="auto"/>
              </w:divBdr>
              <w:divsChild>
                <w:div w:id="9432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2171">
      <w:bodyDiv w:val="1"/>
      <w:marLeft w:val="0"/>
      <w:marRight w:val="0"/>
      <w:marTop w:val="0"/>
      <w:marBottom w:val="0"/>
      <w:divBdr>
        <w:top w:val="none" w:sz="0" w:space="0" w:color="auto"/>
        <w:left w:val="none" w:sz="0" w:space="0" w:color="auto"/>
        <w:bottom w:val="none" w:sz="0" w:space="0" w:color="auto"/>
        <w:right w:val="none" w:sz="0" w:space="0" w:color="auto"/>
      </w:divBdr>
      <w:divsChild>
        <w:div w:id="1173496719">
          <w:marLeft w:val="0"/>
          <w:marRight w:val="0"/>
          <w:marTop w:val="0"/>
          <w:marBottom w:val="0"/>
          <w:divBdr>
            <w:top w:val="none" w:sz="0" w:space="0" w:color="auto"/>
            <w:left w:val="none" w:sz="0" w:space="0" w:color="auto"/>
            <w:bottom w:val="none" w:sz="0" w:space="0" w:color="auto"/>
            <w:right w:val="none" w:sz="0" w:space="0" w:color="auto"/>
          </w:divBdr>
          <w:divsChild>
            <w:div w:id="1229849355">
              <w:marLeft w:val="0"/>
              <w:marRight w:val="0"/>
              <w:marTop w:val="0"/>
              <w:marBottom w:val="0"/>
              <w:divBdr>
                <w:top w:val="none" w:sz="0" w:space="0" w:color="auto"/>
                <w:left w:val="none" w:sz="0" w:space="0" w:color="auto"/>
                <w:bottom w:val="none" w:sz="0" w:space="0" w:color="auto"/>
                <w:right w:val="none" w:sz="0" w:space="0" w:color="auto"/>
              </w:divBdr>
              <w:divsChild>
                <w:div w:id="2771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4310">
      <w:bodyDiv w:val="1"/>
      <w:marLeft w:val="0"/>
      <w:marRight w:val="0"/>
      <w:marTop w:val="0"/>
      <w:marBottom w:val="0"/>
      <w:divBdr>
        <w:top w:val="none" w:sz="0" w:space="0" w:color="auto"/>
        <w:left w:val="none" w:sz="0" w:space="0" w:color="auto"/>
        <w:bottom w:val="none" w:sz="0" w:space="0" w:color="auto"/>
        <w:right w:val="none" w:sz="0" w:space="0" w:color="auto"/>
      </w:divBdr>
      <w:divsChild>
        <w:div w:id="974871012">
          <w:marLeft w:val="0"/>
          <w:marRight w:val="0"/>
          <w:marTop w:val="0"/>
          <w:marBottom w:val="0"/>
          <w:divBdr>
            <w:top w:val="none" w:sz="0" w:space="0" w:color="auto"/>
            <w:left w:val="none" w:sz="0" w:space="0" w:color="auto"/>
            <w:bottom w:val="none" w:sz="0" w:space="0" w:color="auto"/>
            <w:right w:val="none" w:sz="0" w:space="0" w:color="auto"/>
          </w:divBdr>
          <w:divsChild>
            <w:div w:id="1955821581">
              <w:marLeft w:val="0"/>
              <w:marRight w:val="0"/>
              <w:marTop w:val="0"/>
              <w:marBottom w:val="0"/>
              <w:divBdr>
                <w:top w:val="none" w:sz="0" w:space="0" w:color="auto"/>
                <w:left w:val="none" w:sz="0" w:space="0" w:color="auto"/>
                <w:bottom w:val="none" w:sz="0" w:space="0" w:color="auto"/>
                <w:right w:val="none" w:sz="0" w:space="0" w:color="auto"/>
              </w:divBdr>
              <w:divsChild>
                <w:div w:id="18763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7094">
      <w:bodyDiv w:val="1"/>
      <w:marLeft w:val="0"/>
      <w:marRight w:val="0"/>
      <w:marTop w:val="0"/>
      <w:marBottom w:val="0"/>
      <w:divBdr>
        <w:top w:val="none" w:sz="0" w:space="0" w:color="auto"/>
        <w:left w:val="none" w:sz="0" w:space="0" w:color="auto"/>
        <w:bottom w:val="none" w:sz="0" w:space="0" w:color="auto"/>
        <w:right w:val="none" w:sz="0" w:space="0" w:color="auto"/>
      </w:divBdr>
      <w:divsChild>
        <w:div w:id="642390125">
          <w:marLeft w:val="0"/>
          <w:marRight w:val="0"/>
          <w:marTop w:val="0"/>
          <w:marBottom w:val="0"/>
          <w:divBdr>
            <w:top w:val="none" w:sz="0" w:space="0" w:color="auto"/>
            <w:left w:val="none" w:sz="0" w:space="0" w:color="auto"/>
            <w:bottom w:val="none" w:sz="0" w:space="0" w:color="auto"/>
            <w:right w:val="none" w:sz="0" w:space="0" w:color="auto"/>
          </w:divBdr>
          <w:divsChild>
            <w:div w:id="1956591124">
              <w:marLeft w:val="0"/>
              <w:marRight w:val="0"/>
              <w:marTop w:val="0"/>
              <w:marBottom w:val="0"/>
              <w:divBdr>
                <w:top w:val="none" w:sz="0" w:space="0" w:color="auto"/>
                <w:left w:val="none" w:sz="0" w:space="0" w:color="auto"/>
                <w:bottom w:val="none" w:sz="0" w:space="0" w:color="auto"/>
                <w:right w:val="none" w:sz="0" w:space="0" w:color="auto"/>
              </w:divBdr>
              <w:divsChild>
                <w:div w:id="12869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7191">
      <w:bodyDiv w:val="1"/>
      <w:marLeft w:val="0"/>
      <w:marRight w:val="0"/>
      <w:marTop w:val="0"/>
      <w:marBottom w:val="0"/>
      <w:divBdr>
        <w:top w:val="none" w:sz="0" w:space="0" w:color="auto"/>
        <w:left w:val="none" w:sz="0" w:space="0" w:color="auto"/>
        <w:bottom w:val="none" w:sz="0" w:space="0" w:color="auto"/>
        <w:right w:val="none" w:sz="0" w:space="0" w:color="auto"/>
      </w:divBdr>
    </w:div>
    <w:div w:id="673068207">
      <w:bodyDiv w:val="1"/>
      <w:marLeft w:val="0"/>
      <w:marRight w:val="0"/>
      <w:marTop w:val="0"/>
      <w:marBottom w:val="0"/>
      <w:divBdr>
        <w:top w:val="none" w:sz="0" w:space="0" w:color="auto"/>
        <w:left w:val="none" w:sz="0" w:space="0" w:color="auto"/>
        <w:bottom w:val="none" w:sz="0" w:space="0" w:color="auto"/>
        <w:right w:val="none" w:sz="0" w:space="0" w:color="auto"/>
      </w:divBdr>
      <w:divsChild>
        <w:div w:id="1740781860">
          <w:marLeft w:val="0"/>
          <w:marRight w:val="0"/>
          <w:marTop w:val="0"/>
          <w:marBottom w:val="0"/>
          <w:divBdr>
            <w:top w:val="none" w:sz="0" w:space="0" w:color="auto"/>
            <w:left w:val="none" w:sz="0" w:space="0" w:color="auto"/>
            <w:bottom w:val="none" w:sz="0" w:space="0" w:color="auto"/>
            <w:right w:val="none" w:sz="0" w:space="0" w:color="auto"/>
          </w:divBdr>
          <w:divsChild>
            <w:div w:id="32586165">
              <w:marLeft w:val="0"/>
              <w:marRight w:val="0"/>
              <w:marTop w:val="0"/>
              <w:marBottom w:val="0"/>
              <w:divBdr>
                <w:top w:val="none" w:sz="0" w:space="0" w:color="auto"/>
                <w:left w:val="none" w:sz="0" w:space="0" w:color="auto"/>
                <w:bottom w:val="none" w:sz="0" w:space="0" w:color="auto"/>
                <w:right w:val="none" w:sz="0" w:space="0" w:color="auto"/>
              </w:divBdr>
              <w:divsChild>
                <w:div w:id="1143429483">
                  <w:marLeft w:val="0"/>
                  <w:marRight w:val="0"/>
                  <w:marTop w:val="0"/>
                  <w:marBottom w:val="0"/>
                  <w:divBdr>
                    <w:top w:val="none" w:sz="0" w:space="0" w:color="auto"/>
                    <w:left w:val="none" w:sz="0" w:space="0" w:color="auto"/>
                    <w:bottom w:val="none" w:sz="0" w:space="0" w:color="auto"/>
                    <w:right w:val="none" w:sz="0" w:space="0" w:color="auto"/>
                  </w:divBdr>
                  <w:divsChild>
                    <w:div w:id="8999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4636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01">
          <w:marLeft w:val="0"/>
          <w:marRight w:val="0"/>
          <w:marTop w:val="0"/>
          <w:marBottom w:val="0"/>
          <w:divBdr>
            <w:top w:val="none" w:sz="0" w:space="0" w:color="auto"/>
            <w:left w:val="none" w:sz="0" w:space="0" w:color="auto"/>
            <w:bottom w:val="none" w:sz="0" w:space="0" w:color="auto"/>
            <w:right w:val="none" w:sz="0" w:space="0" w:color="auto"/>
          </w:divBdr>
          <w:divsChild>
            <w:div w:id="36971777">
              <w:marLeft w:val="0"/>
              <w:marRight w:val="0"/>
              <w:marTop w:val="0"/>
              <w:marBottom w:val="0"/>
              <w:divBdr>
                <w:top w:val="none" w:sz="0" w:space="0" w:color="auto"/>
                <w:left w:val="none" w:sz="0" w:space="0" w:color="auto"/>
                <w:bottom w:val="none" w:sz="0" w:space="0" w:color="auto"/>
                <w:right w:val="none" w:sz="0" w:space="0" w:color="auto"/>
              </w:divBdr>
              <w:divsChild>
                <w:div w:id="171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9976">
      <w:bodyDiv w:val="1"/>
      <w:marLeft w:val="0"/>
      <w:marRight w:val="0"/>
      <w:marTop w:val="0"/>
      <w:marBottom w:val="0"/>
      <w:divBdr>
        <w:top w:val="none" w:sz="0" w:space="0" w:color="auto"/>
        <w:left w:val="none" w:sz="0" w:space="0" w:color="auto"/>
        <w:bottom w:val="none" w:sz="0" w:space="0" w:color="auto"/>
        <w:right w:val="none" w:sz="0" w:space="0" w:color="auto"/>
      </w:divBdr>
      <w:divsChild>
        <w:div w:id="935600078">
          <w:marLeft w:val="0"/>
          <w:marRight w:val="0"/>
          <w:marTop w:val="0"/>
          <w:marBottom w:val="0"/>
          <w:divBdr>
            <w:top w:val="none" w:sz="0" w:space="0" w:color="auto"/>
            <w:left w:val="none" w:sz="0" w:space="0" w:color="auto"/>
            <w:bottom w:val="none" w:sz="0" w:space="0" w:color="auto"/>
            <w:right w:val="none" w:sz="0" w:space="0" w:color="auto"/>
          </w:divBdr>
          <w:divsChild>
            <w:div w:id="2023360644">
              <w:marLeft w:val="0"/>
              <w:marRight w:val="0"/>
              <w:marTop w:val="0"/>
              <w:marBottom w:val="0"/>
              <w:divBdr>
                <w:top w:val="none" w:sz="0" w:space="0" w:color="auto"/>
                <w:left w:val="none" w:sz="0" w:space="0" w:color="auto"/>
                <w:bottom w:val="none" w:sz="0" w:space="0" w:color="auto"/>
                <w:right w:val="none" w:sz="0" w:space="0" w:color="auto"/>
              </w:divBdr>
              <w:divsChild>
                <w:div w:id="6823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89965">
      <w:bodyDiv w:val="1"/>
      <w:marLeft w:val="0"/>
      <w:marRight w:val="0"/>
      <w:marTop w:val="0"/>
      <w:marBottom w:val="0"/>
      <w:divBdr>
        <w:top w:val="none" w:sz="0" w:space="0" w:color="auto"/>
        <w:left w:val="none" w:sz="0" w:space="0" w:color="auto"/>
        <w:bottom w:val="none" w:sz="0" w:space="0" w:color="auto"/>
        <w:right w:val="none" w:sz="0" w:space="0" w:color="auto"/>
      </w:divBdr>
      <w:divsChild>
        <w:div w:id="1518274985">
          <w:marLeft w:val="0"/>
          <w:marRight w:val="0"/>
          <w:marTop w:val="0"/>
          <w:marBottom w:val="0"/>
          <w:divBdr>
            <w:top w:val="none" w:sz="0" w:space="0" w:color="auto"/>
            <w:left w:val="none" w:sz="0" w:space="0" w:color="auto"/>
            <w:bottom w:val="none" w:sz="0" w:space="0" w:color="auto"/>
            <w:right w:val="none" w:sz="0" w:space="0" w:color="auto"/>
          </w:divBdr>
          <w:divsChild>
            <w:div w:id="1522280710">
              <w:marLeft w:val="0"/>
              <w:marRight w:val="0"/>
              <w:marTop w:val="0"/>
              <w:marBottom w:val="0"/>
              <w:divBdr>
                <w:top w:val="none" w:sz="0" w:space="0" w:color="auto"/>
                <w:left w:val="none" w:sz="0" w:space="0" w:color="auto"/>
                <w:bottom w:val="none" w:sz="0" w:space="0" w:color="auto"/>
                <w:right w:val="none" w:sz="0" w:space="0" w:color="auto"/>
              </w:divBdr>
              <w:divsChild>
                <w:div w:id="319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2892">
      <w:bodyDiv w:val="1"/>
      <w:marLeft w:val="0"/>
      <w:marRight w:val="0"/>
      <w:marTop w:val="0"/>
      <w:marBottom w:val="0"/>
      <w:divBdr>
        <w:top w:val="none" w:sz="0" w:space="0" w:color="auto"/>
        <w:left w:val="none" w:sz="0" w:space="0" w:color="auto"/>
        <w:bottom w:val="none" w:sz="0" w:space="0" w:color="auto"/>
        <w:right w:val="none" w:sz="0" w:space="0" w:color="auto"/>
      </w:divBdr>
      <w:divsChild>
        <w:div w:id="1268544648">
          <w:marLeft w:val="0"/>
          <w:marRight w:val="0"/>
          <w:marTop w:val="0"/>
          <w:marBottom w:val="0"/>
          <w:divBdr>
            <w:top w:val="none" w:sz="0" w:space="0" w:color="auto"/>
            <w:left w:val="none" w:sz="0" w:space="0" w:color="auto"/>
            <w:bottom w:val="none" w:sz="0" w:space="0" w:color="auto"/>
            <w:right w:val="none" w:sz="0" w:space="0" w:color="auto"/>
          </w:divBdr>
          <w:divsChild>
            <w:div w:id="562915300">
              <w:marLeft w:val="0"/>
              <w:marRight w:val="0"/>
              <w:marTop w:val="0"/>
              <w:marBottom w:val="0"/>
              <w:divBdr>
                <w:top w:val="none" w:sz="0" w:space="0" w:color="auto"/>
                <w:left w:val="none" w:sz="0" w:space="0" w:color="auto"/>
                <w:bottom w:val="none" w:sz="0" w:space="0" w:color="auto"/>
                <w:right w:val="none" w:sz="0" w:space="0" w:color="auto"/>
              </w:divBdr>
              <w:divsChild>
                <w:div w:id="19436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97296">
      <w:bodyDiv w:val="1"/>
      <w:marLeft w:val="0"/>
      <w:marRight w:val="0"/>
      <w:marTop w:val="0"/>
      <w:marBottom w:val="0"/>
      <w:divBdr>
        <w:top w:val="none" w:sz="0" w:space="0" w:color="auto"/>
        <w:left w:val="none" w:sz="0" w:space="0" w:color="auto"/>
        <w:bottom w:val="none" w:sz="0" w:space="0" w:color="auto"/>
        <w:right w:val="none" w:sz="0" w:space="0" w:color="auto"/>
      </w:divBdr>
    </w:div>
    <w:div w:id="784620542">
      <w:bodyDiv w:val="1"/>
      <w:marLeft w:val="0"/>
      <w:marRight w:val="0"/>
      <w:marTop w:val="0"/>
      <w:marBottom w:val="0"/>
      <w:divBdr>
        <w:top w:val="none" w:sz="0" w:space="0" w:color="auto"/>
        <w:left w:val="none" w:sz="0" w:space="0" w:color="auto"/>
        <w:bottom w:val="none" w:sz="0" w:space="0" w:color="auto"/>
        <w:right w:val="none" w:sz="0" w:space="0" w:color="auto"/>
      </w:divBdr>
      <w:divsChild>
        <w:div w:id="1395541502">
          <w:marLeft w:val="0"/>
          <w:marRight w:val="0"/>
          <w:marTop w:val="0"/>
          <w:marBottom w:val="0"/>
          <w:divBdr>
            <w:top w:val="none" w:sz="0" w:space="0" w:color="auto"/>
            <w:left w:val="none" w:sz="0" w:space="0" w:color="auto"/>
            <w:bottom w:val="none" w:sz="0" w:space="0" w:color="auto"/>
            <w:right w:val="none" w:sz="0" w:space="0" w:color="auto"/>
          </w:divBdr>
          <w:divsChild>
            <w:div w:id="1251156156">
              <w:marLeft w:val="0"/>
              <w:marRight w:val="0"/>
              <w:marTop w:val="0"/>
              <w:marBottom w:val="0"/>
              <w:divBdr>
                <w:top w:val="none" w:sz="0" w:space="0" w:color="auto"/>
                <w:left w:val="none" w:sz="0" w:space="0" w:color="auto"/>
                <w:bottom w:val="none" w:sz="0" w:space="0" w:color="auto"/>
                <w:right w:val="none" w:sz="0" w:space="0" w:color="auto"/>
              </w:divBdr>
              <w:divsChild>
                <w:div w:id="2427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4757">
      <w:bodyDiv w:val="1"/>
      <w:marLeft w:val="0"/>
      <w:marRight w:val="0"/>
      <w:marTop w:val="0"/>
      <w:marBottom w:val="0"/>
      <w:divBdr>
        <w:top w:val="none" w:sz="0" w:space="0" w:color="auto"/>
        <w:left w:val="none" w:sz="0" w:space="0" w:color="auto"/>
        <w:bottom w:val="none" w:sz="0" w:space="0" w:color="auto"/>
        <w:right w:val="none" w:sz="0" w:space="0" w:color="auto"/>
      </w:divBdr>
      <w:divsChild>
        <w:div w:id="275718734">
          <w:marLeft w:val="0"/>
          <w:marRight w:val="0"/>
          <w:marTop w:val="0"/>
          <w:marBottom w:val="0"/>
          <w:divBdr>
            <w:top w:val="none" w:sz="0" w:space="0" w:color="auto"/>
            <w:left w:val="none" w:sz="0" w:space="0" w:color="auto"/>
            <w:bottom w:val="none" w:sz="0" w:space="0" w:color="auto"/>
            <w:right w:val="none" w:sz="0" w:space="0" w:color="auto"/>
          </w:divBdr>
          <w:divsChild>
            <w:div w:id="1284776476">
              <w:marLeft w:val="0"/>
              <w:marRight w:val="0"/>
              <w:marTop w:val="0"/>
              <w:marBottom w:val="0"/>
              <w:divBdr>
                <w:top w:val="none" w:sz="0" w:space="0" w:color="auto"/>
                <w:left w:val="none" w:sz="0" w:space="0" w:color="auto"/>
                <w:bottom w:val="none" w:sz="0" w:space="0" w:color="auto"/>
                <w:right w:val="none" w:sz="0" w:space="0" w:color="auto"/>
              </w:divBdr>
              <w:divsChild>
                <w:div w:id="20235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59928">
      <w:bodyDiv w:val="1"/>
      <w:marLeft w:val="0"/>
      <w:marRight w:val="0"/>
      <w:marTop w:val="0"/>
      <w:marBottom w:val="0"/>
      <w:divBdr>
        <w:top w:val="none" w:sz="0" w:space="0" w:color="auto"/>
        <w:left w:val="none" w:sz="0" w:space="0" w:color="auto"/>
        <w:bottom w:val="none" w:sz="0" w:space="0" w:color="auto"/>
        <w:right w:val="none" w:sz="0" w:space="0" w:color="auto"/>
      </w:divBdr>
    </w:div>
    <w:div w:id="840894041">
      <w:bodyDiv w:val="1"/>
      <w:marLeft w:val="0"/>
      <w:marRight w:val="0"/>
      <w:marTop w:val="0"/>
      <w:marBottom w:val="0"/>
      <w:divBdr>
        <w:top w:val="none" w:sz="0" w:space="0" w:color="auto"/>
        <w:left w:val="none" w:sz="0" w:space="0" w:color="auto"/>
        <w:bottom w:val="none" w:sz="0" w:space="0" w:color="auto"/>
        <w:right w:val="none" w:sz="0" w:space="0" w:color="auto"/>
      </w:divBdr>
      <w:divsChild>
        <w:div w:id="27266917">
          <w:marLeft w:val="0"/>
          <w:marRight w:val="0"/>
          <w:marTop w:val="0"/>
          <w:marBottom w:val="0"/>
          <w:divBdr>
            <w:top w:val="none" w:sz="0" w:space="0" w:color="auto"/>
            <w:left w:val="none" w:sz="0" w:space="0" w:color="auto"/>
            <w:bottom w:val="none" w:sz="0" w:space="0" w:color="auto"/>
            <w:right w:val="none" w:sz="0" w:space="0" w:color="auto"/>
          </w:divBdr>
          <w:divsChild>
            <w:div w:id="2063943485">
              <w:marLeft w:val="0"/>
              <w:marRight w:val="0"/>
              <w:marTop w:val="0"/>
              <w:marBottom w:val="0"/>
              <w:divBdr>
                <w:top w:val="none" w:sz="0" w:space="0" w:color="auto"/>
                <w:left w:val="none" w:sz="0" w:space="0" w:color="auto"/>
                <w:bottom w:val="none" w:sz="0" w:space="0" w:color="auto"/>
                <w:right w:val="none" w:sz="0" w:space="0" w:color="auto"/>
              </w:divBdr>
              <w:divsChild>
                <w:div w:id="11453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73034">
      <w:bodyDiv w:val="1"/>
      <w:marLeft w:val="0"/>
      <w:marRight w:val="0"/>
      <w:marTop w:val="0"/>
      <w:marBottom w:val="0"/>
      <w:divBdr>
        <w:top w:val="none" w:sz="0" w:space="0" w:color="auto"/>
        <w:left w:val="none" w:sz="0" w:space="0" w:color="auto"/>
        <w:bottom w:val="none" w:sz="0" w:space="0" w:color="auto"/>
        <w:right w:val="none" w:sz="0" w:space="0" w:color="auto"/>
      </w:divBdr>
      <w:divsChild>
        <w:div w:id="1708330276">
          <w:marLeft w:val="0"/>
          <w:marRight w:val="0"/>
          <w:marTop w:val="0"/>
          <w:marBottom w:val="0"/>
          <w:divBdr>
            <w:top w:val="none" w:sz="0" w:space="0" w:color="auto"/>
            <w:left w:val="none" w:sz="0" w:space="0" w:color="auto"/>
            <w:bottom w:val="none" w:sz="0" w:space="0" w:color="auto"/>
            <w:right w:val="none" w:sz="0" w:space="0" w:color="auto"/>
          </w:divBdr>
          <w:divsChild>
            <w:div w:id="1439252734">
              <w:marLeft w:val="0"/>
              <w:marRight w:val="0"/>
              <w:marTop w:val="0"/>
              <w:marBottom w:val="0"/>
              <w:divBdr>
                <w:top w:val="none" w:sz="0" w:space="0" w:color="auto"/>
                <w:left w:val="none" w:sz="0" w:space="0" w:color="auto"/>
                <w:bottom w:val="none" w:sz="0" w:space="0" w:color="auto"/>
                <w:right w:val="none" w:sz="0" w:space="0" w:color="auto"/>
              </w:divBdr>
              <w:divsChild>
                <w:div w:id="17155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69638">
      <w:bodyDiv w:val="1"/>
      <w:marLeft w:val="0"/>
      <w:marRight w:val="0"/>
      <w:marTop w:val="0"/>
      <w:marBottom w:val="0"/>
      <w:divBdr>
        <w:top w:val="none" w:sz="0" w:space="0" w:color="auto"/>
        <w:left w:val="none" w:sz="0" w:space="0" w:color="auto"/>
        <w:bottom w:val="none" w:sz="0" w:space="0" w:color="auto"/>
        <w:right w:val="none" w:sz="0" w:space="0" w:color="auto"/>
      </w:divBdr>
      <w:divsChild>
        <w:div w:id="1462842376">
          <w:marLeft w:val="0"/>
          <w:marRight w:val="0"/>
          <w:marTop w:val="0"/>
          <w:marBottom w:val="0"/>
          <w:divBdr>
            <w:top w:val="none" w:sz="0" w:space="0" w:color="auto"/>
            <w:left w:val="none" w:sz="0" w:space="0" w:color="auto"/>
            <w:bottom w:val="none" w:sz="0" w:space="0" w:color="auto"/>
            <w:right w:val="none" w:sz="0" w:space="0" w:color="auto"/>
          </w:divBdr>
          <w:divsChild>
            <w:div w:id="373966084">
              <w:marLeft w:val="0"/>
              <w:marRight w:val="0"/>
              <w:marTop w:val="0"/>
              <w:marBottom w:val="0"/>
              <w:divBdr>
                <w:top w:val="none" w:sz="0" w:space="0" w:color="auto"/>
                <w:left w:val="none" w:sz="0" w:space="0" w:color="auto"/>
                <w:bottom w:val="none" w:sz="0" w:space="0" w:color="auto"/>
                <w:right w:val="none" w:sz="0" w:space="0" w:color="auto"/>
              </w:divBdr>
              <w:divsChild>
                <w:div w:id="2005547916">
                  <w:marLeft w:val="0"/>
                  <w:marRight w:val="0"/>
                  <w:marTop w:val="0"/>
                  <w:marBottom w:val="0"/>
                  <w:divBdr>
                    <w:top w:val="none" w:sz="0" w:space="0" w:color="auto"/>
                    <w:left w:val="none" w:sz="0" w:space="0" w:color="auto"/>
                    <w:bottom w:val="none" w:sz="0" w:space="0" w:color="auto"/>
                    <w:right w:val="none" w:sz="0" w:space="0" w:color="auto"/>
                  </w:divBdr>
                  <w:divsChild>
                    <w:div w:id="10852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0985">
      <w:bodyDiv w:val="1"/>
      <w:marLeft w:val="0"/>
      <w:marRight w:val="0"/>
      <w:marTop w:val="0"/>
      <w:marBottom w:val="0"/>
      <w:divBdr>
        <w:top w:val="none" w:sz="0" w:space="0" w:color="auto"/>
        <w:left w:val="none" w:sz="0" w:space="0" w:color="auto"/>
        <w:bottom w:val="none" w:sz="0" w:space="0" w:color="auto"/>
        <w:right w:val="none" w:sz="0" w:space="0" w:color="auto"/>
      </w:divBdr>
      <w:divsChild>
        <w:div w:id="686101250">
          <w:marLeft w:val="0"/>
          <w:marRight w:val="0"/>
          <w:marTop w:val="0"/>
          <w:marBottom w:val="0"/>
          <w:divBdr>
            <w:top w:val="none" w:sz="0" w:space="0" w:color="auto"/>
            <w:left w:val="none" w:sz="0" w:space="0" w:color="auto"/>
            <w:bottom w:val="none" w:sz="0" w:space="0" w:color="auto"/>
            <w:right w:val="none" w:sz="0" w:space="0" w:color="auto"/>
          </w:divBdr>
          <w:divsChild>
            <w:div w:id="243683381">
              <w:marLeft w:val="0"/>
              <w:marRight w:val="0"/>
              <w:marTop w:val="0"/>
              <w:marBottom w:val="0"/>
              <w:divBdr>
                <w:top w:val="none" w:sz="0" w:space="0" w:color="auto"/>
                <w:left w:val="none" w:sz="0" w:space="0" w:color="auto"/>
                <w:bottom w:val="none" w:sz="0" w:space="0" w:color="auto"/>
                <w:right w:val="none" w:sz="0" w:space="0" w:color="auto"/>
              </w:divBdr>
              <w:divsChild>
                <w:div w:id="4292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3891">
      <w:bodyDiv w:val="1"/>
      <w:marLeft w:val="0"/>
      <w:marRight w:val="0"/>
      <w:marTop w:val="0"/>
      <w:marBottom w:val="0"/>
      <w:divBdr>
        <w:top w:val="none" w:sz="0" w:space="0" w:color="auto"/>
        <w:left w:val="none" w:sz="0" w:space="0" w:color="auto"/>
        <w:bottom w:val="none" w:sz="0" w:space="0" w:color="auto"/>
        <w:right w:val="none" w:sz="0" w:space="0" w:color="auto"/>
      </w:divBdr>
      <w:divsChild>
        <w:div w:id="1479954729">
          <w:marLeft w:val="0"/>
          <w:marRight w:val="0"/>
          <w:marTop w:val="0"/>
          <w:marBottom w:val="0"/>
          <w:divBdr>
            <w:top w:val="none" w:sz="0" w:space="0" w:color="auto"/>
            <w:left w:val="none" w:sz="0" w:space="0" w:color="auto"/>
            <w:bottom w:val="none" w:sz="0" w:space="0" w:color="auto"/>
            <w:right w:val="none" w:sz="0" w:space="0" w:color="auto"/>
          </w:divBdr>
          <w:divsChild>
            <w:div w:id="402215257">
              <w:marLeft w:val="0"/>
              <w:marRight w:val="0"/>
              <w:marTop w:val="0"/>
              <w:marBottom w:val="0"/>
              <w:divBdr>
                <w:top w:val="none" w:sz="0" w:space="0" w:color="auto"/>
                <w:left w:val="none" w:sz="0" w:space="0" w:color="auto"/>
                <w:bottom w:val="none" w:sz="0" w:space="0" w:color="auto"/>
                <w:right w:val="none" w:sz="0" w:space="0" w:color="auto"/>
              </w:divBdr>
              <w:divsChild>
                <w:div w:id="2440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66541">
      <w:bodyDiv w:val="1"/>
      <w:marLeft w:val="0"/>
      <w:marRight w:val="0"/>
      <w:marTop w:val="0"/>
      <w:marBottom w:val="0"/>
      <w:divBdr>
        <w:top w:val="none" w:sz="0" w:space="0" w:color="auto"/>
        <w:left w:val="none" w:sz="0" w:space="0" w:color="auto"/>
        <w:bottom w:val="none" w:sz="0" w:space="0" w:color="auto"/>
        <w:right w:val="none" w:sz="0" w:space="0" w:color="auto"/>
      </w:divBdr>
      <w:divsChild>
        <w:div w:id="693116685">
          <w:marLeft w:val="0"/>
          <w:marRight w:val="0"/>
          <w:marTop w:val="0"/>
          <w:marBottom w:val="0"/>
          <w:divBdr>
            <w:top w:val="none" w:sz="0" w:space="0" w:color="auto"/>
            <w:left w:val="none" w:sz="0" w:space="0" w:color="auto"/>
            <w:bottom w:val="none" w:sz="0" w:space="0" w:color="auto"/>
            <w:right w:val="none" w:sz="0" w:space="0" w:color="auto"/>
          </w:divBdr>
          <w:divsChild>
            <w:div w:id="498040058">
              <w:marLeft w:val="0"/>
              <w:marRight w:val="0"/>
              <w:marTop w:val="0"/>
              <w:marBottom w:val="0"/>
              <w:divBdr>
                <w:top w:val="none" w:sz="0" w:space="0" w:color="auto"/>
                <w:left w:val="none" w:sz="0" w:space="0" w:color="auto"/>
                <w:bottom w:val="none" w:sz="0" w:space="0" w:color="auto"/>
                <w:right w:val="none" w:sz="0" w:space="0" w:color="auto"/>
              </w:divBdr>
              <w:divsChild>
                <w:div w:id="17972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23520">
      <w:bodyDiv w:val="1"/>
      <w:marLeft w:val="0"/>
      <w:marRight w:val="0"/>
      <w:marTop w:val="0"/>
      <w:marBottom w:val="0"/>
      <w:divBdr>
        <w:top w:val="none" w:sz="0" w:space="0" w:color="auto"/>
        <w:left w:val="none" w:sz="0" w:space="0" w:color="auto"/>
        <w:bottom w:val="none" w:sz="0" w:space="0" w:color="auto"/>
        <w:right w:val="none" w:sz="0" w:space="0" w:color="auto"/>
      </w:divBdr>
      <w:divsChild>
        <w:div w:id="1809129803">
          <w:marLeft w:val="0"/>
          <w:marRight w:val="0"/>
          <w:marTop w:val="0"/>
          <w:marBottom w:val="0"/>
          <w:divBdr>
            <w:top w:val="none" w:sz="0" w:space="0" w:color="auto"/>
            <w:left w:val="none" w:sz="0" w:space="0" w:color="auto"/>
            <w:bottom w:val="none" w:sz="0" w:space="0" w:color="auto"/>
            <w:right w:val="none" w:sz="0" w:space="0" w:color="auto"/>
          </w:divBdr>
          <w:divsChild>
            <w:div w:id="451369306">
              <w:marLeft w:val="0"/>
              <w:marRight w:val="0"/>
              <w:marTop w:val="0"/>
              <w:marBottom w:val="0"/>
              <w:divBdr>
                <w:top w:val="none" w:sz="0" w:space="0" w:color="auto"/>
                <w:left w:val="none" w:sz="0" w:space="0" w:color="auto"/>
                <w:bottom w:val="none" w:sz="0" w:space="0" w:color="auto"/>
                <w:right w:val="none" w:sz="0" w:space="0" w:color="auto"/>
              </w:divBdr>
              <w:divsChild>
                <w:div w:id="19408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15038">
      <w:bodyDiv w:val="1"/>
      <w:marLeft w:val="0"/>
      <w:marRight w:val="0"/>
      <w:marTop w:val="0"/>
      <w:marBottom w:val="0"/>
      <w:divBdr>
        <w:top w:val="none" w:sz="0" w:space="0" w:color="auto"/>
        <w:left w:val="none" w:sz="0" w:space="0" w:color="auto"/>
        <w:bottom w:val="none" w:sz="0" w:space="0" w:color="auto"/>
        <w:right w:val="none" w:sz="0" w:space="0" w:color="auto"/>
      </w:divBdr>
    </w:div>
    <w:div w:id="1016230298">
      <w:bodyDiv w:val="1"/>
      <w:marLeft w:val="0"/>
      <w:marRight w:val="0"/>
      <w:marTop w:val="0"/>
      <w:marBottom w:val="0"/>
      <w:divBdr>
        <w:top w:val="none" w:sz="0" w:space="0" w:color="auto"/>
        <w:left w:val="none" w:sz="0" w:space="0" w:color="auto"/>
        <w:bottom w:val="none" w:sz="0" w:space="0" w:color="auto"/>
        <w:right w:val="none" w:sz="0" w:space="0" w:color="auto"/>
      </w:divBdr>
      <w:divsChild>
        <w:div w:id="886264783">
          <w:marLeft w:val="0"/>
          <w:marRight w:val="0"/>
          <w:marTop w:val="0"/>
          <w:marBottom w:val="0"/>
          <w:divBdr>
            <w:top w:val="none" w:sz="0" w:space="0" w:color="auto"/>
            <w:left w:val="none" w:sz="0" w:space="0" w:color="auto"/>
            <w:bottom w:val="none" w:sz="0" w:space="0" w:color="auto"/>
            <w:right w:val="none" w:sz="0" w:space="0" w:color="auto"/>
          </w:divBdr>
          <w:divsChild>
            <w:div w:id="721169856">
              <w:marLeft w:val="0"/>
              <w:marRight w:val="0"/>
              <w:marTop w:val="0"/>
              <w:marBottom w:val="0"/>
              <w:divBdr>
                <w:top w:val="none" w:sz="0" w:space="0" w:color="auto"/>
                <w:left w:val="none" w:sz="0" w:space="0" w:color="auto"/>
                <w:bottom w:val="none" w:sz="0" w:space="0" w:color="auto"/>
                <w:right w:val="none" w:sz="0" w:space="0" w:color="auto"/>
              </w:divBdr>
              <w:divsChild>
                <w:div w:id="11119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2547">
      <w:bodyDiv w:val="1"/>
      <w:marLeft w:val="0"/>
      <w:marRight w:val="0"/>
      <w:marTop w:val="0"/>
      <w:marBottom w:val="0"/>
      <w:divBdr>
        <w:top w:val="none" w:sz="0" w:space="0" w:color="auto"/>
        <w:left w:val="none" w:sz="0" w:space="0" w:color="auto"/>
        <w:bottom w:val="none" w:sz="0" w:space="0" w:color="auto"/>
        <w:right w:val="none" w:sz="0" w:space="0" w:color="auto"/>
      </w:divBdr>
      <w:divsChild>
        <w:div w:id="511601910">
          <w:marLeft w:val="0"/>
          <w:marRight w:val="0"/>
          <w:marTop w:val="0"/>
          <w:marBottom w:val="0"/>
          <w:divBdr>
            <w:top w:val="none" w:sz="0" w:space="0" w:color="auto"/>
            <w:left w:val="none" w:sz="0" w:space="0" w:color="auto"/>
            <w:bottom w:val="none" w:sz="0" w:space="0" w:color="auto"/>
            <w:right w:val="none" w:sz="0" w:space="0" w:color="auto"/>
          </w:divBdr>
          <w:divsChild>
            <w:div w:id="1102185580">
              <w:marLeft w:val="0"/>
              <w:marRight w:val="0"/>
              <w:marTop w:val="0"/>
              <w:marBottom w:val="0"/>
              <w:divBdr>
                <w:top w:val="none" w:sz="0" w:space="0" w:color="auto"/>
                <w:left w:val="none" w:sz="0" w:space="0" w:color="auto"/>
                <w:bottom w:val="none" w:sz="0" w:space="0" w:color="auto"/>
                <w:right w:val="none" w:sz="0" w:space="0" w:color="auto"/>
              </w:divBdr>
              <w:divsChild>
                <w:div w:id="87315333">
                  <w:marLeft w:val="0"/>
                  <w:marRight w:val="0"/>
                  <w:marTop w:val="0"/>
                  <w:marBottom w:val="0"/>
                  <w:divBdr>
                    <w:top w:val="none" w:sz="0" w:space="0" w:color="auto"/>
                    <w:left w:val="none" w:sz="0" w:space="0" w:color="auto"/>
                    <w:bottom w:val="none" w:sz="0" w:space="0" w:color="auto"/>
                    <w:right w:val="none" w:sz="0" w:space="0" w:color="auto"/>
                  </w:divBdr>
                  <w:divsChild>
                    <w:div w:id="1960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068795">
      <w:bodyDiv w:val="1"/>
      <w:marLeft w:val="0"/>
      <w:marRight w:val="0"/>
      <w:marTop w:val="0"/>
      <w:marBottom w:val="0"/>
      <w:divBdr>
        <w:top w:val="none" w:sz="0" w:space="0" w:color="auto"/>
        <w:left w:val="none" w:sz="0" w:space="0" w:color="auto"/>
        <w:bottom w:val="none" w:sz="0" w:space="0" w:color="auto"/>
        <w:right w:val="none" w:sz="0" w:space="0" w:color="auto"/>
      </w:divBdr>
    </w:div>
    <w:div w:id="1090084777">
      <w:bodyDiv w:val="1"/>
      <w:marLeft w:val="0"/>
      <w:marRight w:val="0"/>
      <w:marTop w:val="0"/>
      <w:marBottom w:val="0"/>
      <w:divBdr>
        <w:top w:val="none" w:sz="0" w:space="0" w:color="auto"/>
        <w:left w:val="none" w:sz="0" w:space="0" w:color="auto"/>
        <w:bottom w:val="none" w:sz="0" w:space="0" w:color="auto"/>
        <w:right w:val="none" w:sz="0" w:space="0" w:color="auto"/>
      </w:divBdr>
      <w:divsChild>
        <w:div w:id="977958755">
          <w:marLeft w:val="0"/>
          <w:marRight w:val="0"/>
          <w:marTop w:val="0"/>
          <w:marBottom w:val="0"/>
          <w:divBdr>
            <w:top w:val="none" w:sz="0" w:space="0" w:color="auto"/>
            <w:left w:val="none" w:sz="0" w:space="0" w:color="auto"/>
            <w:bottom w:val="none" w:sz="0" w:space="0" w:color="auto"/>
            <w:right w:val="none" w:sz="0" w:space="0" w:color="auto"/>
          </w:divBdr>
          <w:divsChild>
            <w:div w:id="1787695270">
              <w:marLeft w:val="0"/>
              <w:marRight w:val="0"/>
              <w:marTop w:val="0"/>
              <w:marBottom w:val="0"/>
              <w:divBdr>
                <w:top w:val="none" w:sz="0" w:space="0" w:color="auto"/>
                <w:left w:val="none" w:sz="0" w:space="0" w:color="auto"/>
                <w:bottom w:val="none" w:sz="0" w:space="0" w:color="auto"/>
                <w:right w:val="none" w:sz="0" w:space="0" w:color="auto"/>
              </w:divBdr>
              <w:divsChild>
                <w:div w:id="1709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9928">
      <w:bodyDiv w:val="1"/>
      <w:marLeft w:val="0"/>
      <w:marRight w:val="0"/>
      <w:marTop w:val="0"/>
      <w:marBottom w:val="0"/>
      <w:divBdr>
        <w:top w:val="none" w:sz="0" w:space="0" w:color="auto"/>
        <w:left w:val="none" w:sz="0" w:space="0" w:color="auto"/>
        <w:bottom w:val="none" w:sz="0" w:space="0" w:color="auto"/>
        <w:right w:val="none" w:sz="0" w:space="0" w:color="auto"/>
      </w:divBdr>
      <w:divsChild>
        <w:div w:id="576398941">
          <w:marLeft w:val="0"/>
          <w:marRight w:val="0"/>
          <w:marTop w:val="0"/>
          <w:marBottom w:val="0"/>
          <w:divBdr>
            <w:top w:val="none" w:sz="0" w:space="0" w:color="auto"/>
            <w:left w:val="none" w:sz="0" w:space="0" w:color="auto"/>
            <w:bottom w:val="none" w:sz="0" w:space="0" w:color="auto"/>
            <w:right w:val="none" w:sz="0" w:space="0" w:color="auto"/>
          </w:divBdr>
          <w:divsChild>
            <w:div w:id="453327780">
              <w:marLeft w:val="0"/>
              <w:marRight w:val="0"/>
              <w:marTop w:val="0"/>
              <w:marBottom w:val="0"/>
              <w:divBdr>
                <w:top w:val="none" w:sz="0" w:space="0" w:color="auto"/>
                <w:left w:val="none" w:sz="0" w:space="0" w:color="auto"/>
                <w:bottom w:val="none" w:sz="0" w:space="0" w:color="auto"/>
                <w:right w:val="none" w:sz="0" w:space="0" w:color="auto"/>
              </w:divBdr>
              <w:divsChild>
                <w:div w:id="17030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7080">
      <w:bodyDiv w:val="1"/>
      <w:marLeft w:val="0"/>
      <w:marRight w:val="0"/>
      <w:marTop w:val="0"/>
      <w:marBottom w:val="0"/>
      <w:divBdr>
        <w:top w:val="none" w:sz="0" w:space="0" w:color="auto"/>
        <w:left w:val="none" w:sz="0" w:space="0" w:color="auto"/>
        <w:bottom w:val="none" w:sz="0" w:space="0" w:color="auto"/>
        <w:right w:val="none" w:sz="0" w:space="0" w:color="auto"/>
      </w:divBdr>
    </w:div>
    <w:div w:id="1161118188">
      <w:bodyDiv w:val="1"/>
      <w:marLeft w:val="0"/>
      <w:marRight w:val="0"/>
      <w:marTop w:val="0"/>
      <w:marBottom w:val="0"/>
      <w:divBdr>
        <w:top w:val="none" w:sz="0" w:space="0" w:color="auto"/>
        <w:left w:val="none" w:sz="0" w:space="0" w:color="auto"/>
        <w:bottom w:val="none" w:sz="0" w:space="0" w:color="auto"/>
        <w:right w:val="none" w:sz="0" w:space="0" w:color="auto"/>
      </w:divBdr>
    </w:div>
    <w:div w:id="1176964640">
      <w:bodyDiv w:val="1"/>
      <w:marLeft w:val="0"/>
      <w:marRight w:val="0"/>
      <w:marTop w:val="0"/>
      <w:marBottom w:val="0"/>
      <w:divBdr>
        <w:top w:val="none" w:sz="0" w:space="0" w:color="auto"/>
        <w:left w:val="none" w:sz="0" w:space="0" w:color="auto"/>
        <w:bottom w:val="none" w:sz="0" w:space="0" w:color="auto"/>
        <w:right w:val="none" w:sz="0" w:space="0" w:color="auto"/>
      </w:divBdr>
      <w:divsChild>
        <w:div w:id="1526748858">
          <w:marLeft w:val="0"/>
          <w:marRight w:val="0"/>
          <w:marTop w:val="0"/>
          <w:marBottom w:val="0"/>
          <w:divBdr>
            <w:top w:val="none" w:sz="0" w:space="0" w:color="auto"/>
            <w:left w:val="none" w:sz="0" w:space="0" w:color="auto"/>
            <w:bottom w:val="none" w:sz="0" w:space="0" w:color="auto"/>
            <w:right w:val="none" w:sz="0" w:space="0" w:color="auto"/>
          </w:divBdr>
          <w:divsChild>
            <w:div w:id="2026857548">
              <w:marLeft w:val="0"/>
              <w:marRight w:val="0"/>
              <w:marTop w:val="0"/>
              <w:marBottom w:val="0"/>
              <w:divBdr>
                <w:top w:val="none" w:sz="0" w:space="0" w:color="auto"/>
                <w:left w:val="none" w:sz="0" w:space="0" w:color="auto"/>
                <w:bottom w:val="none" w:sz="0" w:space="0" w:color="auto"/>
                <w:right w:val="none" w:sz="0" w:space="0" w:color="auto"/>
              </w:divBdr>
              <w:divsChild>
                <w:div w:id="12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1700">
      <w:bodyDiv w:val="1"/>
      <w:marLeft w:val="0"/>
      <w:marRight w:val="0"/>
      <w:marTop w:val="0"/>
      <w:marBottom w:val="0"/>
      <w:divBdr>
        <w:top w:val="none" w:sz="0" w:space="0" w:color="auto"/>
        <w:left w:val="none" w:sz="0" w:space="0" w:color="auto"/>
        <w:bottom w:val="none" w:sz="0" w:space="0" w:color="auto"/>
        <w:right w:val="none" w:sz="0" w:space="0" w:color="auto"/>
      </w:divBdr>
      <w:divsChild>
        <w:div w:id="1768690351">
          <w:marLeft w:val="0"/>
          <w:marRight w:val="0"/>
          <w:marTop w:val="0"/>
          <w:marBottom w:val="0"/>
          <w:divBdr>
            <w:top w:val="none" w:sz="0" w:space="0" w:color="auto"/>
            <w:left w:val="none" w:sz="0" w:space="0" w:color="auto"/>
            <w:bottom w:val="none" w:sz="0" w:space="0" w:color="auto"/>
            <w:right w:val="none" w:sz="0" w:space="0" w:color="auto"/>
          </w:divBdr>
          <w:divsChild>
            <w:div w:id="1352996775">
              <w:marLeft w:val="0"/>
              <w:marRight w:val="0"/>
              <w:marTop w:val="0"/>
              <w:marBottom w:val="0"/>
              <w:divBdr>
                <w:top w:val="none" w:sz="0" w:space="0" w:color="auto"/>
                <w:left w:val="none" w:sz="0" w:space="0" w:color="auto"/>
                <w:bottom w:val="none" w:sz="0" w:space="0" w:color="auto"/>
                <w:right w:val="none" w:sz="0" w:space="0" w:color="auto"/>
              </w:divBdr>
              <w:divsChild>
                <w:div w:id="3326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87771">
      <w:bodyDiv w:val="1"/>
      <w:marLeft w:val="0"/>
      <w:marRight w:val="0"/>
      <w:marTop w:val="0"/>
      <w:marBottom w:val="0"/>
      <w:divBdr>
        <w:top w:val="none" w:sz="0" w:space="0" w:color="auto"/>
        <w:left w:val="none" w:sz="0" w:space="0" w:color="auto"/>
        <w:bottom w:val="none" w:sz="0" w:space="0" w:color="auto"/>
        <w:right w:val="none" w:sz="0" w:space="0" w:color="auto"/>
      </w:divBdr>
    </w:div>
    <w:div w:id="1316034279">
      <w:bodyDiv w:val="1"/>
      <w:marLeft w:val="0"/>
      <w:marRight w:val="0"/>
      <w:marTop w:val="0"/>
      <w:marBottom w:val="0"/>
      <w:divBdr>
        <w:top w:val="none" w:sz="0" w:space="0" w:color="auto"/>
        <w:left w:val="none" w:sz="0" w:space="0" w:color="auto"/>
        <w:bottom w:val="none" w:sz="0" w:space="0" w:color="auto"/>
        <w:right w:val="none" w:sz="0" w:space="0" w:color="auto"/>
      </w:divBdr>
      <w:divsChild>
        <w:div w:id="1926449142">
          <w:marLeft w:val="0"/>
          <w:marRight w:val="0"/>
          <w:marTop w:val="0"/>
          <w:marBottom w:val="0"/>
          <w:divBdr>
            <w:top w:val="none" w:sz="0" w:space="0" w:color="auto"/>
            <w:left w:val="none" w:sz="0" w:space="0" w:color="auto"/>
            <w:bottom w:val="none" w:sz="0" w:space="0" w:color="auto"/>
            <w:right w:val="none" w:sz="0" w:space="0" w:color="auto"/>
          </w:divBdr>
          <w:divsChild>
            <w:div w:id="610893379">
              <w:marLeft w:val="0"/>
              <w:marRight w:val="0"/>
              <w:marTop w:val="0"/>
              <w:marBottom w:val="0"/>
              <w:divBdr>
                <w:top w:val="none" w:sz="0" w:space="0" w:color="auto"/>
                <w:left w:val="none" w:sz="0" w:space="0" w:color="auto"/>
                <w:bottom w:val="none" w:sz="0" w:space="0" w:color="auto"/>
                <w:right w:val="none" w:sz="0" w:space="0" w:color="auto"/>
              </w:divBdr>
              <w:divsChild>
                <w:div w:id="11891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97738">
      <w:bodyDiv w:val="1"/>
      <w:marLeft w:val="0"/>
      <w:marRight w:val="0"/>
      <w:marTop w:val="0"/>
      <w:marBottom w:val="0"/>
      <w:divBdr>
        <w:top w:val="none" w:sz="0" w:space="0" w:color="auto"/>
        <w:left w:val="none" w:sz="0" w:space="0" w:color="auto"/>
        <w:bottom w:val="none" w:sz="0" w:space="0" w:color="auto"/>
        <w:right w:val="none" w:sz="0" w:space="0" w:color="auto"/>
      </w:divBdr>
      <w:divsChild>
        <w:div w:id="1806048267">
          <w:marLeft w:val="0"/>
          <w:marRight w:val="0"/>
          <w:marTop w:val="0"/>
          <w:marBottom w:val="0"/>
          <w:divBdr>
            <w:top w:val="none" w:sz="0" w:space="0" w:color="auto"/>
            <w:left w:val="none" w:sz="0" w:space="0" w:color="auto"/>
            <w:bottom w:val="none" w:sz="0" w:space="0" w:color="auto"/>
            <w:right w:val="none" w:sz="0" w:space="0" w:color="auto"/>
          </w:divBdr>
          <w:divsChild>
            <w:div w:id="511340428">
              <w:marLeft w:val="0"/>
              <w:marRight w:val="0"/>
              <w:marTop w:val="0"/>
              <w:marBottom w:val="0"/>
              <w:divBdr>
                <w:top w:val="none" w:sz="0" w:space="0" w:color="auto"/>
                <w:left w:val="none" w:sz="0" w:space="0" w:color="auto"/>
                <w:bottom w:val="none" w:sz="0" w:space="0" w:color="auto"/>
                <w:right w:val="none" w:sz="0" w:space="0" w:color="auto"/>
              </w:divBdr>
              <w:divsChild>
                <w:div w:id="4837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2332">
      <w:bodyDiv w:val="1"/>
      <w:marLeft w:val="0"/>
      <w:marRight w:val="0"/>
      <w:marTop w:val="0"/>
      <w:marBottom w:val="0"/>
      <w:divBdr>
        <w:top w:val="none" w:sz="0" w:space="0" w:color="auto"/>
        <w:left w:val="none" w:sz="0" w:space="0" w:color="auto"/>
        <w:bottom w:val="none" w:sz="0" w:space="0" w:color="auto"/>
        <w:right w:val="none" w:sz="0" w:space="0" w:color="auto"/>
      </w:divBdr>
    </w:div>
    <w:div w:id="1362897758">
      <w:bodyDiv w:val="1"/>
      <w:marLeft w:val="0"/>
      <w:marRight w:val="0"/>
      <w:marTop w:val="0"/>
      <w:marBottom w:val="0"/>
      <w:divBdr>
        <w:top w:val="none" w:sz="0" w:space="0" w:color="auto"/>
        <w:left w:val="none" w:sz="0" w:space="0" w:color="auto"/>
        <w:bottom w:val="none" w:sz="0" w:space="0" w:color="auto"/>
        <w:right w:val="none" w:sz="0" w:space="0" w:color="auto"/>
      </w:divBdr>
      <w:divsChild>
        <w:div w:id="259610379">
          <w:marLeft w:val="0"/>
          <w:marRight w:val="0"/>
          <w:marTop w:val="0"/>
          <w:marBottom w:val="0"/>
          <w:divBdr>
            <w:top w:val="none" w:sz="0" w:space="0" w:color="auto"/>
            <w:left w:val="none" w:sz="0" w:space="0" w:color="auto"/>
            <w:bottom w:val="none" w:sz="0" w:space="0" w:color="auto"/>
            <w:right w:val="none" w:sz="0" w:space="0" w:color="auto"/>
          </w:divBdr>
          <w:divsChild>
            <w:div w:id="1214268705">
              <w:marLeft w:val="0"/>
              <w:marRight w:val="0"/>
              <w:marTop w:val="0"/>
              <w:marBottom w:val="0"/>
              <w:divBdr>
                <w:top w:val="none" w:sz="0" w:space="0" w:color="auto"/>
                <w:left w:val="none" w:sz="0" w:space="0" w:color="auto"/>
                <w:bottom w:val="none" w:sz="0" w:space="0" w:color="auto"/>
                <w:right w:val="none" w:sz="0" w:space="0" w:color="auto"/>
              </w:divBdr>
              <w:divsChild>
                <w:div w:id="10706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4824">
      <w:bodyDiv w:val="1"/>
      <w:marLeft w:val="0"/>
      <w:marRight w:val="0"/>
      <w:marTop w:val="0"/>
      <w:marBottom w:val="0"/>
      <w:divBdr>
        <w:top w:val="none" w:sz="0" w:space="0" w:color="auto"/>
        <w:left w:val="none" w:sz="0" w:space="0" w:color="auto"/>
        <w:bottom w:val="none" w:sz="0" w:space="0" w:color="auto"/>
        <w:right w:val="none" w:sz="0" w:space="0" w:color="auto"/>
      </w:divBdr>
    </w:div>
    <w:div w:id="1374696420">
      <w:bodyDiv w:val="1"/>
      <w:marLeft w:val="0"/>
      <w:marRight w:val="0"/>
      <w:marTop w:val="0"/>
      <w:marBottom w:val="0"/>
      <w:divBdr>
        <w:top w:val="none" w:sz="0" w:space="0" w:color="auto"/>
        <w:left w:val="none" w:sz="0" w:space="0" w:color="auto"/>
        <w:bottom w:val="none" w:sz="0" w:space="0" w:color="auto"/>
        <w:right w:val="none" w:sz="0" w:space="0" w:color="auto"/>
      </w:divBdr>
    </w:div>
    <w:div w:id="1396590998">
      <w:bodyDiv w:val="1"/>
      <w:marLeft w:val="0"/>
      <w:marRight w:val="0"/>
      <w:marTop w:val="0"/>
      <w:marBottom w:val="0"/>
      <w:divBdr>
        <w:top w:val="none" w:sz="0" w:space="0" w:color="auto"/>
        <w:left w:val="none" w:sz="0" w:space="0" w:color="auto"/>
        <w:bottom w:val="none" w:sz="0" w:space="0" w:color="auto"/>
        <w:right w:val="none" w:sz="0" w:space="0" w:color="auto"/>
      </w:divBdr>
    </w:div>
    <w:div w:id="1400328932">
      <w:bodyDiv w:val="1"/>
      <w:marLeft w:val="0"/>
      <w:marRight w:val="0"/>
      <w:marTop w:val="0"/>
      <w:marBottom w:val="0"/>
      <w:divBdr>
        <w:top w:val="none" w:sz="0" w:space="0" w:color="auto"/>
        <w:left w:val="none" w:sz="0" w:space="0" w:color="auto"/>
        <w:bottom w:val="none" w:sz="0" w:space="0" w:color="auto"/>
        <w:right w:val="none" w:sz="0" w:space="0" w:color="auto"/>
      </w:divBdr>
    </w:div>
    <w:div w:id="1424492453">
      <w:bodyDiv w:val="1"/>
      <w:marLeft w:val="0"/>
      <w:marRight w:val="0"/>
      <w:marTop w:val="0"/>
      <w:marBottom w:val="0"/>
      <w:divBdr>
        <w:top w:val="none" w:sz="0" w:space="0" w:color="auto"/>
        <w:left w:val="none" w:sz="0" w:space="0" w:color="auto"/>
        <w:bottom w:val="none" w:sz="0" w:space="0" w:color="auto"/>
        <w:right w:val="none" w:sz="0" w:space="0" w:color="auto"/>
      </w:divBdr>
      <w:divsChild>
        <w:div w:id="2007318371">
          <w:marLeft w:val="0"/>
          <w:marRight w:val="0"/>
          <w:marTop w:val="0"/>
          <w:marBottom w:val="0"/>
          <w:divBdr>
            <w:top w:val="none" w:sz="0" w:space="0" w:color="auto"/>
            <w:left w:val="none" w:sz="0" w:space="0" w:color="auto"/>
            <w:bottom w:val="none" w:sz="0" w:space="0" w:color="auto"/>
            <w:right w:val="none" w:sz="0" w:space="0" w:color="auto"/>
          </w:divBdr>
          <w:divsChild>
            <w:div w:id="882138805">
              <w:marLeft w:val="0"/>
              <w:marRight w:val="0"/>
              <w:marTop w:val="0"/>
              <w:marBottom w:val="0"/>
              <w:divBdr>
                <w:top w:val="none" w:sz="0" w:space="0" w:color="auto"/>
                <w:left w:val="none" w:sz="0" w:space="0" w:color="auto"/>
                <w:bottom w:val="none" w:sz="0" w:space="0" w:color="auto"/>
                <w:right w:val="none" w:sz="0" w:space="0" w:color="auto"/>
              </w:divBdr>
              <w:divsChild>
                <w:div w:id="264507705">
                  <w:marLeft w:val="0"/>
                  <w:marRight w:val="0"/>
                  <w:marTop w:val="0"/>
                  <w:marBottom w:val="0"/>
                  <w:divBdr>
                    <w:top w:val="none" w:sz="0" w:space="0" w:color="auto"/>
                    <w:left w:val="none" w:sz="0" w:space="0" w:color="auto"/>
                    <w:bottom w:val="none" w:sz="0" w:space="0" w:color="auto"/>
                    <w:right w:val="none" w:sz="0" w:space="0" w:color="auto"/>
                  </w:divBdr>
                  <w:divsChild>
                    <w:div w:id="7394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69158">
      <w:bodyDiv w:val="1"/>
      <w:marLeft w:val="0"/>
      <w:marRight w:val="0"/>
      <w:marTop w:val="0"/>
      <w:marBottom w:val="0"/>
      <w:divBdr>
        <w:top w:val="none" w:sz="0" w:space="0" w:color="auto"/>
        <w:left w:val="none" w:sz="0" w:space="0" w:color="auto"/>
        <w:bottom w:val="none" w:sz="0" w:space="0" w:color="auto"/>
        <w:right w:val="none" w:sz="0" w:space="0" w:color="auto"/>
      </w:divBdr>
    </w:div>
    <w:div w:id="1442801176">
      <w:bodyDiv w:val="1"/>
      <w:marLeft w:val="0"/>
      <w:marRight w:val="0"/>
      <w:marTop w:val="0"/>
      <w:marBottom w:val="0"/>
      <w:divBdr>
        <w:top w:val="none" w:sz="0" w:space="0" w:color="auto"/>
        <w:left w:val="none" w:sz="0" w:space="0" w:color="auto"/>
        <w:bottom w:val="none" w:sz="0" w:space="0" w:color="auto"/>
        <w:right w:val="none" w:sz="0" w:space="0" w:color="auto"/>
      </w:divBdr>
      <w:divsChild>
        <w:div w:id="1906790868">
          <w:marLeft w:val="0"/>
          <w:marRight w:val="0"/>
          <w:marTop w:val="0"/>
          <w:marBottom w:val="0"/>
          <w:divBdr>
            <w:top w:val="none" w:sz="0" w:space="0" w:color="auto"/>
            <w:left w:val="none" w:sz="0" w:space="0" w:color="auto"/>
            <w:bottom w:val="none" w:sz="0" w:space="0" w:color="auto"/>
            <w:right w:val="none" w:sz="0" w:space="0" w:color="auto"/>
          </w:divBdr>
          <w:divsChild>
            <w:div w:id="1517231346">
              <w:marLeft w:val="0"/>
              <w:marRight w:val="0"/>
              <w:marTop w:val="0"/>
              <w:marBottom w:val="0"/>
              <w:divBdr>
                <w:top w:val="none" w:sz="0" w:space="0" w:color="auto"/>
                <w:left w:val="none" w:sz="0" w:space="0" w:color="auto"/>
                <w:bottom w:val="none" w:sz="0" w:space="0" w:color="auto"/>
                <w:right w:val="none" w:sz="0" w:space="0" w:color="auto"/>
              </w:divBdr>
              <w:divsChild>
                <w:div w:id="10114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9679">
      <w:bodyDiv w:val="1"/>
      <w:marLeft w:val="0"/>
      <w:marRight w:val="0"/>
      <w:marTop w:val="0"/>
      <w:marBottom w:val="0"/>
      <w:divBdr>
        <w:top w:val="none" w:sz="0" w:space="0" w:color="auto"/>
        <w:left w:val="none" w:sz="0" w:space="0" w:color="auto"/>
        <w:bottom w:val="none" w:sz="0" w:space="0" w:color="auto"/>
        <w:right w:val="none" w:sz="0" w:space="0" w:color="auto"/>
      </w:divBdr>
      <w:divsChild>
        <w:div w:id="1121657063">
          <w:marLeft w:val="0"/>
          <w:marRight w:val="0"/>
          <w:marTop w:val="0"/>
          <w:marBottom w:val="0"/>
          <w:divBdr>
            <w:top w:val="none" w:sz="0" w:space="0" w:color="auto"/>
            <w:left w:val="none" w:sz="0" w:space="0" w:color="auto"/>
            <w:bottom w:val="none" w:sz="0" w:space="0" w:color="auto"/>
            <w:right w:val="none" w:sz="0" w:space="0" w:color="auto"/>
          </w:divBdr>
          <w:divsChild>
            <w:div w:id="1372681156">
              <w:marLeft w:val="0"/>
              <w:marRight w:val="0"/>
              <w:marTop w:val="0"/>
              <w:marBottom w:val="0"/>
              <w:divBdr>
                <w:top w:val="none" w:sz="0" w:space="0" w:color="auto"/>
                <w:left w:val="none" w:sz="0" w:space="0" w:color="auto"/>
                <w:bottom w:val="none" w:sz="0" w:space="0" w:color="auto"/>
                <w:right w:val="none" w:sz="0" w:space="0" w:color="auto"/>
              </w:divBdr>
              <w:divsChild>
                <w:div w:id="10334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4473">
      <w:bodyDiv w:val="1"/>
      <w:marLeft w:val="0"/>
      <w:marRight w:val="0"/>
      <w:marTop w:val="0"/>
      <w:marBottom w:val="0"/>
      <w:divBdr>
        <w:top w:val="none" w:sz="0" w:space="0" w:color="auto"/>
        <w:left w:val="none" w:sz="0" w:space="0" w:color="auto"/>
        <w:bottom w:val="none" w:sz="0" w:space="0" w:color="auto"/>
        <w:right w:val="none" w:sz="0" w:space="0" w:color="auto"/>
      </w:divBdr>
      <w:divsChild>
        <w:div w:id="515194586">
          <w:marLeft w:val="0"/>
          <w:marRight w:val="0"/>
          <w:marTop w:val="0"/>
          <w:marBottom w:val="0"/>
          <w:divBdr>
            <w:top w:val="none" w:sz="0" w:space="0" w:color="auto"/>
            <w:left w:val="none" w:sz="0" w:space="0" w:color="auto"/>
            <w:bottom w:val="none" w:sz="0" w:space="0" w:color="auto"/>
            <w:right w:val="none" w:sz="0" w:space="0" w:color="auto"/>
          </w:divBdr>
          <w:divsChild>
            <w:div w:id="769547007">
              <w:marLeft w:val="0"/>
              <w:marRight w:val="0"/>
              <w:marTop w:val="0"/>
              <w:marBottom w:val="0"/>
              <w:divBdr>
                <w:top w:val="none" w:sz="0" w:space="0" w:color="auto"/>
                <w:left w:val="none" w:sz="0" w:space="0" w:color="auto"/>
                <w:bottom w:val="none" w:sz="0" w:space="0" w:color="auto"/>
                <w:right w:val="none" w:sz="0" w:space="0" w:color="auto"/>
              </w:divBdr>
              <w:divsChild>
                <w:div w:id="1109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4690">
      <w:bodyDiv w:val="1"/>
      <w:marLeft w:val="0"/>
      <w:marRight w:val="0"/>
      <w:marTop w:val="0"/>
      <w:marBottom w:val="0"/>
      <w:divBdr>
        <w:top w:val="none" w:sz="0" w:space="0" w:color="auto"/>
        <w:left w:val="none" w:sz="0" w:space="0" w:color="auto"/>
        <w:bottom w:val="none" w:sz="0" w:space="0" w:color="auto"/>
        <w:right w:val="none" w:sz="0" w:space="0" w:color="auto"/>
      </w:divBdr>
      <w:divsChild>
        <w:div w:id="908811546">
          <w:marLeft w:val="0"/>
          <w:marRight w:val="0"/>
          <w:marTop w:val="0"/>
          <w:marBottom w:val="0"/>
          <w:divBdr>
            <w:top w:val="none" w:sz="0" w:space="0" w:color="auto"/>
            <w:left w:val="none" w:sz="0" w:space="0" w:color="auto"/>
            <w:bottom w:val="none" w:sz="0" w:space="0" w:color="auto"/>
            <w:right w:val="none" w:sz="0" w:space="0" w:color="auto"/>
          </w:divBdr>
          <w:divsChild>
            <w:div w:id="1533498725">
              <w:marLeft w:val="0"/>
              <w:marRight w:val="0"/>
              <w:marTop w:val="0"/>
              <w:marBottom w:val="0"/>
              <w:divBdr>
                <w:top w:val="none" w:sz="0" w:space="0" w:color="auto"/>
                <w:left w:val="none" w:sz="0" w:space="0" w:color="auto"/>
                <w:bottom w:val="none" w:sz="0" w:space="0" w:color="auto"/>
                <w:right w:val="none" w:sz="0" w:space="0" w:color="auto"/>
              </w:divBdr>
              <w:divsChild>
                <w:div w:id="7243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6274">
      <w:bodyDiv w:val="1"/>
      <w:marLeft w:val="0"/>
      <w:marRight w:val="0"/>
      <w:marTop w:val="0"/>
      <w:marBottom w:val="0"/>
      <w:divBdr>
        <w:top w:val="none" w:sz="0" w:space="0" w:color="auto"/>
        <w:left w:val="none" w:sz="0" w:space="0" w:color="auto"/>
        <w:bottom w:val="none" w:sz="0" w:space="0" w:color="auto"/>
        <w:right w:val="none" w:sz="0" w:space="0" w:color="auto"/>
      </w:divBdr>
      <w:divsChild>
        <w:div w:id="1281834578">
          <w:marLeft w:val="0"/>
          <w:marRight w:val="0"/>
          <w:marTop w:val="0"/>
          <w:marBottom w:val="0"/>
          <w:divBdr>
            <w:top w:val="none" w:sz="0" w:space="0" w:color="auto"/>
            <w:left w:val="none" w:sz="0" w:space="0" w:color="auto"/>
            <w:bottom w:val="none" w:sz="0" w:space="0" w:color="auto"/>
            <w:right w:val="none" w:sz="0" w:space="0" w:color="auto"/>
          </w:divBdr>
          <w:divsChild>
            <w:div w:id="337512063">
              <w:marLeft w:val="0"/>
              <w:marRight w:val="0"/>
              <w:marTop w:val="0"/>
              <w:marBottom w:val="0"/>
              <w:divBdr>
                <w:top w:val="none" w:sz="0" w:space="0" w:color="auto"/>
                <w:left w:val="none" w:sz="0" w:space="0" w:color="auto"/>
                <w:bottom w:val="none" w:sz="0" w:space="0" w:color="auto"/>
                <w:right w:val="none" w:sz="0" w:space="0" w:color="auto"/>
              </w:divBdr>
              <w:divsChild>
                <w:div w:id="11756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6039">
      <w:bodyDiv w:val="1"/>
      <w:marLeft w:val="0"/>
      <w:marRight w:val="0"/>
      <w:marTop w:val="0"/>
      <w:marBottom w:val="0"/>
      <w:divBdr>
        <w:top w:val="none" w:sz="0" w:space="0" w:color="auto"/>
        <w:left w:val="none" w:sz="0" w:space="0" w:color="auto"/>
        <w:bottom w:val="none" w:sz="0" w:space="0" w:color="auto"/>
        <w:right w:val="none" w:sz="0" w:space="0" w:color="auto"/>
      </w:divBdr>
    </w:div>
    <w:div w:id="1560360911">
      <w:bodyDiv w:val="1"/>
      <w:marLeft w:val="0"/>
      <w:marRight w:val="0"/>
      <w:marTop w:val="0"/>
      <w:marBottom w:val="0"/>
      <w:divBdr>
        <w:top w:val="none" w:sz="0" w:space="0" w:color="auto"/>
        <w:left w:val="none" w:sz="0" w:space="0" w:color="auto"/>
        <w:bottom w:val="none" w:sz="0" w:space="0" w:color="auto"/>
        <w:right w:val="none" w:sz="0" w:space="0" w:color="auto"/>
      </w:divBdr>
      <w:divsChild>
        <w:div w:id="1951931716">
          <w:marLeft w:val="0"/>
          <w:marRight w:val="0"/>
          <w:marTop w:val="0"/>
          <w:marBottom w:val="0"/>
          <w:divBdr>
            <w:top w:val="none" w:sz="0" w:space="0" w:color="auto"/>
            <w:left w:val="none" w:sz="0" w:space="0" w:color="auto"/>
            <w:bottom w:val="none" w:sz="0" w:space="0" w:color="auto"/>
            <w:right w:val="none" w:sz="0" w:space="0" w:color="auto"/>
          </w:divBdr>
          <w:divsChild>
            <w:div w:id="1748962605">
              <w:marLeft w:val="0"/>
              <w:marRight w:val="0"/>
              <w:marTop w:val="0"/>
              <w:marBottom w:val="0"/>
              <w:divBdr>
                <w:top w:val="none" w:sz="0" w:space="0" w:color="auto"/>
                <w:left w:val="none" w:sz="0" w:space="0" w:color="auto"/>
                <w:bottom w:val="none" w:sz="0" w:space="0" w:color="auto"/>
                <w:right w:val="none" w:sz="0" w:space="0" w:color="auto"/>
              </w:divBdr>
              <w:divsChild>
                <w:div w:id="703404377">
                  <w:marLeft w:val="0"/>
                  <w:marRight w:val="0"/>
                  <w:marTop w:val="0"/>
                  <w:marBottom w:val="0"/>
                  <w:divBdr>
                    <w:top w:val="none" w:sz="0" w:space="0" w:color="auto"/>
                    <w:left w:val="none" w:sz="0" w:space="0" w:color="auto"/>
                    <w:bottom w:val="none" w:sz="0" w:space="0" w:color="auto"/>
                    <w:right w:val="none" w:sz="0" w:space="0" w:color="auto"/>
                  </w:divBdr>
                  <w:divsChild>
                    <w:div w:id="12358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145912">
      <w:bodyDiv w:val="1"/>
      <w:marLeft w:val="0"/>
      <w:marRight w:val="0"/>
      <w:marTop w:val="0"/>
      <w:marBottom w:val="0"/>
      <w:divBdr>
        <w:top w:val="none" w:sz="0" w:space="0" w:color="auto"/>
        <w:left w:val="none" w:sz="0" w:space="0" w:color="auto"/>
        <w:bottom w:val="none" w:sz="0" w:space="0" w:color="auto"/>
        <w:right w:val="none" w:sz="0" w:space="0" w:color="auto"/>
      </w:divBdr>
      <w:divsChild>
        <w:div w:id="1593470849">
          <w:marLeft w:val="0"/>
          <w:marRight w:val="0"/>
          <w:marTop w:val="0"/>
          <w:marBottom w:val="0"/>
          <w:divBdr>
            <w:top w:val="none" w:sz="0" w:space="0" w:color="auto"/>
            <w:left w:val="none" w:sz="0" w:space="0" w:color="auto"/>
            <w:bottom w:val="none" w:sz="0" w:space="0" w:color="auto"/>
            <w:right w:val="none" w:sz="0" w:space="0" w:color="auto"/>
          </w:divBdr>
          <w:divsChild>
            <w:div w:id="1427456057">
              <w:marLeft w:val="0"/>
              <w:marRight w:val="0"/>
              <w:marTop w:val="0"/>
              <w:marBottom w:val="0"/>
              <w:divBdr>
                <w:top w:val="none" w:sz="0" w:space="0" w:color="auto"/>
                <w:left w:val="none" w:sz="0" w:space="0" w:color="auto"/>
                <w:bottom w:val="none" w:sz="0" w:space="0" w:color="auto"/>
                <w:right w:val="none" w:sz="0" w:space="0" w:color="auto"/>
              </w:divBdr>
              <w:divsChild>
                <w:div w:id="13282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6243">
      <w:bodyDiv w:val="1"/>
      <w:marLeft w:val="0"/>
      <w:marRight w:val="0"/>
      <w:marTop w:val="0"/>
      <w:marBottom w:val="0"/>
      <w:divBdr>
        <w:top w:val="none" w:sz="0" w:space="0" w:color="auto"/>
        <w:left w:val="none" w:sz="0" w:space="0" w:color="auto"/>
        <w:bottom w:val="none" w:sz="0" w:space="0" w:color="auto"/>
        <w:right w:val="none" w:sz="0" w:space="0" w:color="auto"/>
      </w:divBdr>
      <w:divsChild>
        <w:div w:id="1030107058">
          <w:marLeft w:val="0"/>
          <w:marRight w:val="0"/>
          <w:marTop w:val="0"/>
          <w:marBottom w:val="0"/>
          <w:divBdr>
            <w:top w:val="none" w:sz="0" w:space="0" w:color="auto"/>
            <w:left w:val="none" w:sz="0" w:space="0" w:color="auto"/>
            <w:bottom w:val="none" w:sz="0" w:space="0" w:color="auto"/>
            <w:right w:val="none" w:sz="0" w:space="0" w:color="auto"/>
          </w:divBdr>
          <w:divsChild>
            <w:div w:id="346566107">
              <w:marLeft w:val="0"/>
              <w:marRight w:val="0"/>
              <w:marTop w:val="0"/>
              <w:marBottom w:val="0"/>
              <w:divBdr>
                <w:top w:val="none" w:sz="0" w:space="0" w:color="auto"/>
                <w:left w:val="none" w:sz="0" w:space="0" w:color="auto"/>
                <w:bottom w:val="none" w:sz="0" w:space="0" w:color="auto"/>
                <w:right w:val="none" w:sz="0" w:space="0" w:color="auto"/>
              </w:divBdr>
              <w:divsChild>
                <w:div w:id="6363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622">
      <w:bodyDiv w:val="1"/>
      <w:marLeft w:val="0"/>
      <w:marRight w:val="0"/>
      <w:marTop w:val="0"/>
      <w:marBottom w:val="0"/>
      <w:divBdr>
        <w:top w:val="none" w:sz="0" w:space="0" w:color="auto"/>
        <w:left w:val="none" w:sz="0" w:space="0" w:color="auto"/>
        <w:bottom w:val="none" w:sz="0" w:space="0" w:color="auto"/>
        <w:right w:val="none" w:sz="0" w:space="0" w:color="auto"/>
      </w:divBdr>
    </w:div>
    <w:div w:id="1635255456">
      <w:bodyDiv w:val="1"/>
      <w:marLeft w:val="0"/>
      <w:marRight w:val="0"/>
      <w:marTop w:val="0"/>
      <w:marBottom w:val="0"/>
      <w:divBdr>
        <w:top w:val="none" w:sz="0" w:space="0" w:color="auto"/>
        <w:left w:val="none" w:sz="0" w:space="0" w:color="auto"/>
        <w:bottom w:val="none" w:sz="0" w:space="0" w:color="auto"/>
        <w:right w:val="none" w:sz="0" w:space="0" w:color="auto"/>
      </w:divBdr>
      <w:divsChild>
        <w:div w:id="1762221021">
          <w:marLeft w:val="0"/>
          <w:marRight w:val="0"/>
          <w:marTop w:val="0"/>
          <w:marBottom w:val="0"/>
          <w:divBdr>
            <w:top w:val="none" w:sz="0" w:space="0" w:color="auto"/>
            <w:left w:val="none" w:sz="0" w:space="0" w:color="auto"/>
            <w:bottom w:val="none" w:sz="0" w:space="0" w:color="auto"/>
            <w:right w:val="none" w:sz="0" w:space="0" w:color="auto"/>
          </w:divBdr>
          <w:divsChild>
            <w:div w:id="555162282">
              <w:marLeft w:val="0"/>
              <w:marRight w:val="0"/>
              <w:marTop w:val="0"/>
              <w:marBottom w:val="0"/>
              <w:divBdr>
                <w:top w:val="none" w:sz="0" w:space="0" w:color="auto"/>
                <w:left w:val="none" w:sz="0" w:space="0" w:color="auto"/>
                <w:bottom w:val="none" w:sz="0" w:space="0" w:color="auto"/>
                <w:right w:val="none" w:sz="0" w:space="0" w:color="auto"/>
              </w:divBdr>
              <w:divsChild>
                <w:div w:id="21231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4470">
      <w:bodyDiv w:val="1"/>
      <w:marLeft w:val="0"/>
      <w:marRight w:val="0"/>
      <w:marTop w:val="0"/>
      <w:marBottom w:val="0"/>
      <w:divBdr>
        <w:top w:val="none" w:sz="0" w:space="0" w:color="auto"/>
        <w:left w:val="none" w:sz="0" w:space="0" w:color="auto"/>
        <w:bottom w:val="none" w:sz="0" w:space="0" w:color="auto"/>
        <w:right w:val="none" w:sz="0" w:space="0" w:color="auto"/>
      </w:divBdr>
    </w:div>
    <w:div w:id="1657953492">
      <w:bodyDiv w:val="1"/>
      <w:marLeft w:val="0"/>
      <w:marRight w:val="0"/>
      <w:marTop w:val="0"/>
      <w:marBottom w:val="0"/>
      <w:divBdr>
        <w:top w:val="none" w:sz="0" w:space="0" w:color="auto"/>
        <w:left w:val="none" w:sz="0" w:space="0" w:color="auto"/>
        <w:bottom w:val="none" w:sz="0" w:space="0" w:color="auto"/>
        <w:right w:val="none" w:sz="0" w:space="0" w:color="auto"/>
      </w:divBdr>
      <w:divsChild>
        <w:div w:id="568426180">
          <w:marLeft w:val="0"/>
          <w:marRight w:val="0"/>
          <w:marTop w:val="0"/>
          <w:marBottom w:val="0"/>
          <w:divBdr>
            <w:top w:val="none" w:sz="0" w:space="0" w:color="auto"/>
            <w:left w:val="none" w:sz="0" w:space="0" w:color="auto"/>
            <w:bottom w:val="none" w:sz="0" w:space="0" w:color="auto"/>
            <w:right w:val="none" w:sz="0" w:space="0" w:color="auto"/>
          </w:divBdr>
          <w:divsChild>
            <w:div w:id="1355376541">
              <w:marLeft w:val="0"/>
              <w:marRight w:val="0"/>
              <w:marTop w:val="0"/>
              <w:marBottom w:val="0"/>
              <w:divBdr>
                <w:top w:val="none" w:sz="0" w:space="0" w:color="auto"/>
                <w:left w:val="none" w:sz="0" w:space="0" w:color="auto"/>
                <w:bottom w:val="none" w:sz="0" w:space="0" w:color="auto"/>
                <w:right w:val="none" w:sz="0" w:space="0" w:color="auto"/>
              </w:divBdr>
              <w:divsChild>
                <w:div w:id="5169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2679">
      <w:bodyDiv w:val="1"/>
      <w:marLeft w:val="0"/>
      <w:marRight w:val="0"/>
      <w:marTop w:val="0"/>
      <w:marBottom w:val="0"/>
      <w:divBdr>
        <w:top w:val="none" w:sz="0" w:space="0" w:color="auto"/>
        <w:left w:val="none" w:sz="0" w:space="0" w:color="auto"/>
        <w:bottom w:val="none" w:sz="0" w:space="0" w:color="auto"/>
        <w:right w:val="none" w:sz="0" w:space="0" w:color="auto"/>
      </w:divBdr>
      <w:divsChild>
        <w:div w:id="1910000968">
          <w:marLeft w:val="0"/>
          <w:marRight w:val="0"/>
          <w:marTop w:val="0"/>
          <w:marBottom w:val="0"/>
          <w:divBdr>
            <w:top w:val="none" w:sz="0" w:space="0" w:color="auto"/>
            <w:left w:val="none" w:sz="0" w:space="0" w:color="auto"/>
            <w:bottom w:val="none" w:sz="0" w:space="0" w:color="auto"/>
            <w:right w:val="none" w:sz="0" w:space="0" w:color="auto"/>
          </w:divBdr>
          <w:divsChild>
            <w:div w:id="761026239">
              <w:marLeft w:val="0"/>
              <w:marRight w:val="0"/>
              <w:marTop w:val="0"/>
              <w:marBottom w:val="0"/>
              <w:divBdr>
                <w:top w:val="none" w:sz="0" w:space="0" w:color="auto"/>
                <w:left w:val="none" w:sz="0" w:space="0" w:color="auto"/>
                <w:bottom w:val="none" w:sz="0" w:space="0" w:color="auto"/>
                <w:right w:val="none" w:sz="0" w:space="0" w:color="auto"/>
              </w:divBdr>
              <w:divsChild>
                <w:div w:id="20651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25560">
      <w:bodyDiv w:val="1"/>
      <w:marLeft w:val="0"/>
      <w:marRight w:val="0"/>
      <w:marTop w:val="0"/>
      <w:marBottom w:val="0"/>
      <w:divBdr>
        <w:top w:val="none" w:sz="0" w:space="0" w:color="auto"/>
        <w:left w:val="none" w:sz="0" w:space="0" w:color="auto"/>
        <w:bottom w:val="none" w:sz="0" w:space="0" w:color="auto"/>
        <w:right w:val="none" w:sz="0" w:space="0" w:color="auto"/>
      </w:divBdr>
      <w:divsChild>
        <w:div w:id="606083720">
          <w:marLeft w:val="0"/>
          <w:marRight w:val="0"/>
          <w:marTop w:val="0"/>
          <w:marBottom w:val="0"/>
          <w:divBdr>
            <w:top w:val="none" w:sz="0" w:space="0" w:color="auto"/>
            <w:left w:val="none" w:sz="0" w:space="0" w:color="auto"/>
            <w:bottom w:val="none" w:sz="0" w:space="0" w:color="auto"/>
            <w:right w:val="none" w:sz="0" w:space="0" w:color="auto"/>
          </w:divBdr>
          <w:divsChild>
            <w:div w:id="1700007291">
              <w:marLeft w:val="0"/>
              <w:marRight w:val="0"/>
              <w:marTop w:val="0"/>
              <w:marBottom w:val="0"/>
              <w:divBdr>
                <w:top w:val="none" w:sz="0" w:space="0" w:color="auto"/>
                <w:left w:val="none" w:sz="0" w:space="0" w:color="auto"/>
                <w:bottom w:val="none" w:sz="0" w:space="0" w:color="auto"/>
                <w:right w:val="none" w:sz="0" w:space="0" w:color="auto"/>
              </w:divBdr>
              <w:divsChild>
                <w:div w:id="19105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2571">
      <w:bodyDiv w:val="1"/>
      <w:marLeft w:val="0"/>
      <w:marRight w:val="0"/>
      <w:marTop w:val="0"/>
      <w:marBottom w:val="0"/>
      <w:divBdr>
        <w:top w:val="none" w:sz="0" w:space="0" w:color="auto"/>
        <w:left w:val="none" w:sz="0" w:space="0" w:color="auto"/>
        <w:bottom w:val="none" w:sz="0" w:space="0" w:color="auto"/>
        <w:right w:val="none" w:sz="0" w:space="0" w:color="auto"/>
      </w:divBdr>
      <w:divsChild>
        <w:div w:id="1035495828">
          <w:marLeft w:val="0"/>
          <w:marRight w:val="0"/>
          <w:marTop w:val="0"/>
          <w:marBottom w:val="0"/>
          <w:divBdr>
            <w:top w:val="none" w:sz="0" w:space="0" w:color="auto"/>
            <w:left w:val="none" w:sz="0" w:space="0" w:color="auto"/>
            <w:bottom w:val="none" w:sz="0" w:space="0" w:color="auto"/>
            <w:right w:val="none" w:sz="0" w:space="0" w:color="auto"/>
          </w:divBdr>
          <w:divsChild>
            <w:div w:id="1530528386">
              <w:marLeft w:val="0"/>
              <w:marRight w:val="0"/>
              <w:marTop w:val="0"/>
              <w:marBottom w:val="0"/>
              <w:divBdr>
                <w:top w:val="none" w:sz="0" w:space="0" w:color="auto"/>
                <w:left w:val="none" w:sz="0" w:space="0" w:color="auto"/>
                <w:bottom w:val="none" w:sz="0" w:space="0" w:color="auto"/>
                <w:right w:val="none" w:sz="0" w:space="0" w:color="auto"/>
              </w:divBdr>
              <w:divsChild>
                <w:div w:id="14648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1680">
      <w:bodyDiv w:val="1"/>
      <w:marLeft w:val="0"/>
      <w:marRight w:val="0"/>
      <w:marTop w:val="0"/>
      <w:marBottom w:val="0"/>
      <w:divBdr>
        <w:top w:val="none" w:sz="0" w:space="0" w:color="auto"/>
        <w:left w:val="none" w:sz="0" w:space="0" w:color="auto"/>
        <w:bottom w:val="none" w:sz="0" w:space="0" w:color="auto"/>
        <w:right w:val="none" w:sz="0" w:space="0" w:color="auto"/>
      </w:divBdr>
      <w:divsChild>
        <w:div w:id="1108770187">
          <w:marLeft w:val="0"/>
          <w:marRight w:val="0"/>
          <w:marTop w:val="0"/>
          <w:marBottom w:val="0"/>
          <w:divBdr>
            <w:top w:val="none" w:sz="0" w:space="0" w:color="auto"/>
            <w:left w:val="none" w:sz="0" w:space="0" w:color="auto"/>
            <w:bottom w:val="none" w:sz="0" w:space="0" w:color="auto"/>
            <w:right w:val="none" w:sz="0" w:space="0" w:color="auto"/>
          </w:divBdr>
          <w:divsChild>
            <w:div w:id="1738625211">
              <w:marLeft w:val="0"/>
              <w:marRight w:val="0"/>
              <w:marTop w:val="0"/>
              <w:marBottom w:val="0"/>
              <w:divBdr>
                <w:top w:val="none" w:sz="0" w:space="0" w:color="auto"/>
                <w:left w:val="none" w:sz="0" w:space="0" w:color="auto"/>
                <w:bottom w:val="none" w:sz="0" w:space="0" w:color="auto"/>
                <w:right w:val="none" w:sz="0" w:space="0" w:color="auto"/>
              </w:divBdr>
              <w:divsChild>
                <w:div w:id="632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92014">
      <w:bodyDiv w:val="1"/>
      <w:marLeft w:val="0"/>
      <w:marRight w:val="0"/>
      <w:marTop w:val="0"/>
      <w:marBottom w:val="0"/>
      <w:divBdr>
        <w:top w:val="none" w:sz="0" w:space="0" w:color="auto"/>
        <w:left w:val="none" w:sz="0" w:space="0" w:color="auto"/>
        <w:bottom w:val="none" w:sz="0" w:space="0" w:color="auto"/>
        <w:right w:val="none" w:sz="0" w:space="0" w:color="auto"/>
      </w:divBdr>
      <w:divsChild>
        <w:div w:id="949969923">
          <w:marLeft w:val="0"/>
          <w:marRight w:val="0"/>
          <w:marTop w:val="0"/>
          <w:marBottom w:val="0"/>
          <w:divBdr>
            <w:top w:val="none" w:sz="0" w:space="0" w:color="auto"/>
            <w:left w:val="none" w:sz="0" w:space="0" w:color="auto"/>
            <w:bottom w:val="none" w:sz="0" w:space="0" w:color="auto"/>
            <w:right w:val="none" w:sz="0" w:space="0" w:color="auto"/>
          </w:divBdr>
          <w:divsChild>
            <w:div w:id="1108544484">
              <w:marLeft w:val="0"/>
              <w:marRight w:val="0"/>
              <w:marTop w:val="0"/>
              <w:marBottom w:val="0"/>
              <w:divBdr>
                <w:top w:val="none" w:sz="0" w:space="0" w:color="auto"/>
                <w:left w:val="none" w:sz="0" w:space="0" w:color="auto"/>
                <w:bottom w:val="none" w:sz="0" w:space="0" w:color="auto"/>
                <w:right w:val="none" w:sz="0" w:space="0" w:color="auto"/>
              </w:divBdr>
              <w:divsChild>
                <w:div w:id="3111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7906">
      <w:bodyDiv w:val="1"/>
      <w:marLeft w:val="0"/>
      <w:marRight w:val="0"/>
      <w:marTop w:val="0"/>
      <w:marBottom w:val="0"/>
      <w:divBdr>
        <w:top w:val="none" w:sz="0" w:space="0" w:color="auto"/>
        <w:left w:val="none" w:sz="0" w:space="0" w:color="auto"/>
        <w:bottom w:val="none" w:sz="0" w:space="0" w:color="auto"/>
        <w:right w:val="none" w:sz="0" w:space="0" w:color="auto"/>
      </w:divBdr>
      <w:divsChild>
        <w:div w:id="481778500">
          <w:marLeft w:val="0"/>
          <w:marRight w:val="0"/>
          <w:marTop w:val="0"/>
          <w:marBottom w:val="0"/>
          <w:divBdr>
            <w:top w:val="none" w:sz="0" w:space="0" w:color="auto"/>
            <w:left w:val="none" w:sz="0" w:space="0" w:color="auto"/>
            <w:bottom w:val="none" w:sz="0" w:space="0" w:color="auto"/>
            <w:right w:val="none" w:sz="0" w:space="0" w:color="auto"/>
          </w:divBdr>
          <w:divsChild>
            <w:div w:id="376587236">
              <w:marLeft w:val="0"/>
              <w:marRight w:val="0"/>
              <w:marTop w:val="0"/>
              <w:marBottom w:val="0"/>
              <w:divBdr>
                <w:top w:val="none" w:sz="0" w:space="0" w:color="auto"/>
                <w:left w:val="none" w:sz="0" w:space="0" w:color="auto"/>
                <w:bottom w:val="none" w:sz="0" w:space="0" w:color="auto"/>
                <w:right w:val="none" w:sz="0" w:space="0" w:color="auto"/>
              </w:divBdr>
              <w:divsChild>
                <w:div w:id="11330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5005">
      <w:bodyDiv w:val="1"/>
      <w:marLeft w:val="0"/>
      <w:marRight w:val="0"/>
      <w:marTop w:val="0"/>
      <w:marBottom w:val="0"/>
      <w:divBdr>
        <w:top w:val="none" w:sz="0" w:space="0" w:color="auto"/>
        <w:left w:val="none" w:sz="0" w:space="0" w:color="auto"/>
        <w:bottom w:val="none" w:sz="0" w:space="0" w:color="auto"/>
        <w:right w:val="none" w:sz="0" w:space="0" w:color="auto"/>
      </w:divBdr>
    </w:div>
    <w:div w:id="1825199300">
      <w:bodyDiv w:val="1"/>
      <w:marLeft w:val="0"/>
      <w:marRight w:val="0"/>
      <w:marTop w:val="0"/>
      <w:marBottom w:val="0"/>
      <w:divBdr>
        <w:top w:val="none" w:sz="0" w:space="0" w:color="auto"/>
        <w:left w:val="none" w:sz="0" w:space="0" w:color="auto"/>
        <w:bottom w:val="none" w:sz="0" w:space="0" w:color="auto"/>
        <w:right w:val="none" w:sz="0" w:space="0" w:color="auto"/>
      </w:divBdr>
      <w:divsChild>
        <w:div w:id="1499149438">
          <w:marLeft w:val="0"/>
          <w:marRight w:val="0"/>
          <w:marTop w:val="0"/>
          <w:marBottom w:val="0"/>
          <w:divBdr>
            <w:top w:val="none" w:sz="0" w:space="0" w:color="auto"/>
            <w:left w:val="none" w:sz="0" w:space="0" w:color="auto"/>
            <w:bottom w:val="none" w:sz="0" w:space="0" w:color="auto"/>
            <w:right w:val="none" w:sz="0" w:space="0" w:color="auto"/>
          </w:divBdr>
          <w:divsChild>
            <w:div w:id="898128324">
              <w:marLeft w:val="0"/>
              <w:marRight w:val="0"/>
              <w:marTop w:val="0"/>
              <w:marBottom w:val="0"/>
              <w:divBdr>
                <w:top w:val="none" w:sz="0" w:space="0" w:color="auto"/>
                <w:left w:val="none" w:sz="0" w:space="0" w:color="auto"/>
                <w:bottom w:val="none" w:sz="0" w:space="0" w:color="auto"/>
                <w:right w:val="none" w:sz="0" w:space="0" w:color="auto"/>
              </w:divBdr>
              <w:divsChild>
                <w:div w:id="11588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8600">
      <w:bodyDiv w:val="1"/>
      <w:marLeft w:val="0"/>
      <w:marRight w:val="0"/>
      <w:marTop w:val="0"/>
      <w:marBottom w:val="0"/>
      <w:divBdr>
        <w:top w:val="none" w:sz="0" w:space="0" w:color="auto"/>
        <w:left w:val="none" w:sz="0" w:space="0" w:color="auto"/>
        <w:bottom w:val="none" w:sz="0" w:space="0" w:color="auto"/>
        <w:right w:val="none" w:sz="0" w:space="0" w:color="auto"/>
      </w:divBdr>
      <w:divsChild>
        <w:div w:id="247354243">
          <w:marLeft w:val="0"/>
          <w:marRight w:val="0"/>
          <w:marTop w:val="0"/>
          <w:marBottom w:val="0"/>
          <w:divBdr>
            <w:top w:val="none" w:sz="0" w:space="0" w:color="auto"/>
            <w:left w:val="none" w:sz="0" w:space="0" w:color="auto"/>
            <w:bottom w:val="none" w:sz="0" w:space="0" w:color="auto"/>
            <w:right w:val="none" w:sz="0" w:space="0" w:color="auto"/>
          </w:divBdr>
          <w:divsChild>
            <w:div w:id="2004507141">
              <w:marLeft w:val="0"/>
              <w:marRight w:val="0"/>
              <w:marTop w:val="0"/>
              <w:marBottom w:val="0"/>
              <w:divBdr>
                <w:top w:val="none" w:sz="0" w:space="0" w:color="auto"/>
                <w:left w:val="none" w:sz="0" w:space="0" w:color="auto"/>
                <w:bottom w:val="none" w:sz="0" w:space="0" w:color="auto"/>
                <w:right w:val="none" w:sz="0" w:space="0" w:color="auto"/>
              </w:divBdr>
              <w:divsChild>
                <w:div w:id="7323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8428">
      <w:bodyDiv w:val="1"/>
      <w:marLeft w:val="0"/>
      <w:marRight w:val="0"/>
      <w:marTop w:val="0"/>
      <w:marBottom w:val="0"/>
      <w:divBdr>
        <w:top w:val="none" w:sz="0" w:space="0" w:color="auto"/>
        <w:left w:val="none" w:sz="0" w:space="0" w:color="auto"/>
        <w:bottom w:val="none" w:sz="0" w:space="0" w:color="auto"/>
        <w:right w:val="none" w:sz="0" w:space="0" w:color="auto"/>
      </w:divBdr>
      <w:divsChild>
        <w:div w:id="762186966">
          <w:marLeft w:val="0"/>
          <w:marRight w:val="0"/>
          <w:marTop w:val="0"/>
          <w:marBottom w:val="0"/>
          <w:divBdr>
            <w:top w:val="none" w:sz="0" w:space="0" w:color="auto"/>
            <w:left w:val="none" w:sz="0" w:space="0" w:color="auto"/>
            <w:bottom w:val="none" w:sz="0" w:space="0" w:color="auto"/>
            <w:right w:val="none" w:sz="0" w:space="0" w:color="auto"/>
          </w:divBdr>
          <w:divsChild>
            <w:div w:id="513225149">
              <w:marLeft w:val="0"/>
              <w:marRight w:val="0"/>
              <w:marTop w:val="0"/>
              <w:marBottom w:val="0"/>
              <w:divBdr>
                <w:top w:val="none" w:sz="0" w:space="0" w:color="auto"/>
                <w:left w:val="none" w:sz="0" w:space="0" w:color="auto"/>
                <w:bottom w:val="none" w:sz="0" w:space="0" w:color="auto"/>
                <w:right w:val="none" w:sz="0" w:space="0" w:color="auto"/>
              </w:divBdr>
              <w:divsChild>
                <w:div w:id="10852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16848">
      <w:bodyDiv w:val="1"/>
      <w:marLeft w:val="0"/>
      <w:marRight w:val="0"/>
      <w:marTop w:val="0"/>
      <w:marBottom w:val="0"/>
      <w:divBdr>
        <w:top w:val="none" w:sz="0" w:space="0" w:color="auto"/>
        <w:left w:val="none" w:sz="0" w:space="0" w:color="auto"/>
        <w:bottom w:val="none" w:sz="0" w:space="0" w:color="auto"/>
        <w:right w:val="none" w:sz="0" w:space="0" w:color="auto"/>
      </w:divBdr>
      <w:divsChild>
        <w:div w:id="1074354999">
          <w:marLeft w:val="0"/>
          <w:marRight w:val="0"/>
          <w:marTop w:val="0"/>
          <w:marBottom w:val="0"/>
          <w:divBdr>
            <w:top w:val="none" w:sz="0" w:space="0" w:color="auto"/>
            <w:left w:val="none" w:sz="0" w:space="0" w:color="auto"/>
            <w:bottom w:val="none" w:sz="0" w:space="0" w:color="auto"/>
            <w:right w:val="none" w:sz="0" w:space="0" w:color="auto"/>
          </w:divBdr>
          <w:divsChild>
            <w:div w:id="572543430">
              <w:marLeft w:val="0"/>
              <w:marRight w:val="0"/>
              <w:marTop w:val="0"/>
              <w:marBottom w:val="0"/>
              <w:divBdr>
                <w:top w:val="none" w:sz="0" w:space="0" w:color="auto"/>
                <w:left w:val="none" w:sz="0" w:space="0" w:color="auto"/>
                <w:bottom w:val="none" w:sz="0" w:space="0" w:color="auto"/>
                <w:right w:val="none" w:sz="0" w:space="0" w:color="auto"/>
              </w:divBdr>
              <w:divsChild>
                <w:div w:id="20926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5461">
      <w:bodyDiv w:val="1"/>
      <w:marLeft w:val="0"/>
      <w:marRight w:val="0"/>
      <w:marTop w:val="0"/>
      <w:marBottom w:val="0"/>
      <w:divBdr>
        <w:top w:val="none" w:sz="0" w:space="0" w:color="auto"/>
        <w:left w:val="none" w:sz="0" w:space="0" w:color="auto"/>
        <w:bottom w:val="none" w:sz="0" w:space="0" w:color="auto"/>
        <w:right w:val="none" w:sz="0" w:space="0" w:color="auto"/>
      </w:divBdr>
      <w:divsChild>
        <w:div w:id="727999901">
          <w:marLeft w:val="0"/>
          <w:marRight w:val="0"/>
          <w:marTop w:val="0"/>
          <w:marBottom w:val="0"/>
          <w:divBdr>
            <w:top w:val="none" w:sz="0" w:space="0" w:color="auto"/>
            <w:left w:val="none" w:sz="0" w:space="0" w:color="auto"/>
            <w:bottom w:val="none" w:sz="0" w:space="0" w:color="auto"/>
            <w:right w:val="none" w:sz="0" w:space="0" w:color="auto"/>
          </w:divBdr>
          <w:divsChild>
            <w:div w:id="37054349">
              <w:marLeft w:val="0"/>
              <w:marRight w:val="0"/>
              <w:marTop w:val="0"/>
              <w:marBottom w:val="0"/>
              <w:divBdr>
                <w:top w:val="none" w:sz="0" w:space="0" w:color="auto"/>
                <w:left w:val="none" w:sz="0" w:space="0" w:color="auto"/>
                <w:bottom w:val="none" w:sz="0" w:space="0" w:color="auto"/>
                <w:right w:val="none" w:sz="0" w:space="0" w:color="auto"/>
              </w:divBdr>
              <w:divsChild>
                <w:div w:id="107553437">
                  <w:marLeft w:val="0"/>
                  <w:marRight w:val="0"/>
                  <w:marTop w:val="0"/>
                  <w:marBottom w:val="0"/>
                  <w:divBdr>
                    <w:top w:val="none" w:sz="0" w:space="0" w:color="auto"/>
                    <w:left w:val="none" w:sz="0" w:space="0" w:color="auto"/>
                    <w:bottom w:val="none" w:sz="0" w:space="0" w:color="auto"/>
                    <w:right w:val="none" w:sz="0" w:space="0" w:color="auto"/>
                  </w:divBdr>
                  <w:divsChild>
                    <w:div w:id="3830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67785">
      <w:bodyDiv w:val="1"/>
      <w:marLeft w:val="0"/>
      <w:marRight w:val="0"/>
      <w:marTop w:val="0"/>
      <w:marBottom w:val="0"/>
      <w:divBdr>
        <w:top w:val="none" w:sz="0" w:space="0" w:color="auto"/>
        <w:left w:val="none" w:sz="0" w:space="0" w:color="auto"/>
        <w:bottom w:val="none" w:sz="0" w:space="0" w:color="auto"/>
        <w:right w:val="none" w:sz="0" w:space="0" w:color="auto"/>
      </w:divBdr>
      <w:divsChild>
        <w:div w:id="536964140">
          <w:marLeft w:val="0"/>
          <w:marRight w:val="0"/>
          <w:marTop w:val="0"/>
          <w:marBottom w:val="0"/>
          <w:divBdr>
            <w:top w:val="none" w:sz="0" w:space="0" w:color="auto"/>
            <w:left w:val="none" w:sz="0" w:space="0" w:color="auto"/>
            <w:bottom w:val="none" w:sz="0" w:space="0" w:color="auto"/>
            <w:right w:val="none" w:sz="0" w:space="0" w:color="auto"/>
          </w:divBdr>
          <w:divsChild>
            <w:div w:id="740758507">
              <w:marLeft w:val="0"/>
              <w:marRight w:val="0"/>
              <w:marTop w:val="0"/>
              <w:marBottom w:val="0"/>
              <w:divBdr>
                <w:top w:val="none" w:sz="0" w:space="0" w:color="auto"/>
                <w:left w:val="none" w:sz="0" w:space="0" w:color="auto"/>
                <w:bottom w:val="none" w:sz="0" w:space="0" w:color="auto"/>
                <w:right w:val="none" w:sz="0" w:space="0" w:color="auto"/>
              </w:divBdr>
              <w:divsChild>
                <w:div w:id="117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0524">
      <w:bodyDiv w:val="1"/>
      <w:marLeft w:val="0"/>
      <w:marRight w:val="0"/>
      <w:marTop w:val="0"/>
      <w:marBottom w:val="0"/>
      <w:divBdr>
        <w:top w:val="none" w:sz="0" w:space="0" w:color="auto"/>
        <w:left w:val="none" w:sz="0" w:space="0" w:color="auto"/>
        <w:bottom w:val="none" w:sz="0" w:space="0" w:color="auto"/>
        <w:right w:val="none" w:sz="0" w:space="0" w:color="auto"/>
      </w:divBdr>
      <w:divsChild>
        <w:div w:id="412778414">
          <w:marLeft w:val="0"/>
          <w:marRight w:val="0"/>
          <w:marTop w:val="0"/>
          <w:marBottom w:val="0"/>
          <w:divBdr>
            <w:top w:val="none" w:sz="0" w:space="0" w:color="auto"/>
            <w:left w:val="none" w:sz="0" w:space="0" w:color="auto"/>
            <w:bottom w:val="none" w:sz="0" w:space="0" w:color="auto"/>
            <w:right w:val="none" w:sz="0" w:space="0" w:color="auto"/>
          </w:divBdr>
          <w:divsChild>
            <w:div w:id="735589497">
              <w:marLeft w:val="0"/>
              <w:marRight w:val="0"/>
              <w:marTop w:val="0"/>
              <w:marBottom w:val="0"/>
              <w:divBdr>
                <w:top w:val="none" w:sz="0" w:space="0" w:color="auto"/>
                <w:left w:val="none" w:sz="0" w:space="0" w:color="auto"/>
                <w:bottom w:val="none" w:sz="0" w:space="0" w:color="auto"/>
                <w:right w:val="none" w:sz="0" w:space="0" w:color="auto"/>
              </w:divBdr>
              <w:divsChild>
                <w:div w:id="10366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0419">
      <w:bodyDiv w:val="1"/>
      <w:marLeft w:val="0"/>
      <w:marRight w:val="0"/>
      <w:marTop w:val="0"/>
      <w:marBottom w:val="0"/>
      <w:divBdr>
        <w:top w:val="none" w:sz="0" w:space="0" w:color="auto"/>
        <w:left w:val="none" w:sz="0" w:space="0" w:color="auto"/>
        <w:bottom w:val="none" w:sz="0" w:space="0" w:color="auto"/>
        <w:right w:val="none" w:sz="0" w:space="0" w:color="auto"/>
      </w:divBdr>
      <w:divsChild>
        <w:div w:id="627391558">
          <w:marLeft w:val="0"/>
          <w:marRight w:val="0"/>
          <w:marTop w:val="0"/>
          <w:marBottom w:val="0"/>
          <w:divBdr>
            <w:top w:val="none" w:sz="0" w:space="0" w:color="auto"/>
            <w:left w:val="none" w:sz="0" w:space="0" w:color="auto"/>
            <w:bottom w:val="none" w:sz="0" w:space="0" w:color="auto"/>
            <w:right w:val="none" w:sz="0" w:space="0" w:color="auto"/>
          </w:divBdr>
          <w:divsChild>
            <w:div w:id="451825380">
              <w:marLeft w:val="0"/>
              <w:marRight w:val="0"/>
              <w:marTop w:val="0"/>
              <w:marBottom w:val="0"/>
              <w:divBdr>
                <w:top w:val="none" w:sz="0" w:space="0" w:color="auto"/>
                <w:left w:val="none" w:sz="0" w:space="0" w:color="auto"/>
                <w:bottom w:val="none" w:sz="0" w:space="0" w:color="auto"/>
                <w:right w:val="none" w:sz="0" w:space="0" w:color="auto"/>
              </w:divBdr>
              <w:divsChild>
                <w:div w:id="14769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5019">
      <w:bodyDiv w:val="1"/>
      <w:marLeft w:val="0"/>
      <w:marRight w:val="0"/>
      <w:marTop w:val="0"/>
      <w:marBottom w:val="0"/>
      <w:divBdr>
        <w:top w:val="none" w:sz="0" w:space="0" w:color="auto"/>
        <w:left w:val="none" w:sz="0" w:space="0" w:color="auto"/>
        <w:bottom w:val="none" w:sz="0" w:space="0" w:color="auto"/>
        <w:right w:val="none" w:sz="0" w:space="0" w:color="auto"/>
      </w:divBdr>
    </w:div>
    <w:div w:id="2027322976">
      <w:bodyDiv w:val="1"/>
      <w:marLeft w:val="0"/>
      <w:marRight w:val="0"/>
      <w:marTop w:val="0"/>
      <w:marBottom w:val="0"/>
      <w:divBdr>
        <w:top w:val="none" w:sz="0" w:space="0" w:color="auto"/>
        <w:left w:val="none" w:sz="0" w:space="0" w:color="auto"/>
        <w:bottom w:val="none" w:sz="0" w:space="0" w:color="auto"/>
        <w:right w:val="none" w:sz="0" w:space="0" w:color="auto"/>
      </w:divBdr>
    </w:div>
    <w:div w:id="2028093723">
      <w:bodyDiv w:val="1"/>
      <w:marLeft w:val="0"/>
      <w:marRight w:val="0"/>
      <w:marTop w:val="0"/>
      <w:marBottom w:val="0"/>
      <w:divBdr>
        <w:top w:val="none" w:sz="0" w:space="0" w:color="auto"/>
        <w:left w:val="none" w:sz="0" w:space="0" w:color="auto"/>
        <w:bottom w:val="none" w:sz="0" w:space="0" w:color="auto"/>
        <w:right w:val="none" w:sz="0" w:space="0" w:color="auto"/>
      </w:divBdr>
    </w:div>
    <w:div w:id="2057584457">
      <w:bodyDiv w:val="1"/>
      <w:marLeft w:val="0"/>
      <w:marRight w:val="0"/>
      <w:marTop w:val="0"/>
      <w:marBottom w:val="0"/>
      <w:divBdr>
        <w:top w:val="none" w:sz="0" w:space="0" w:color="auto"/>
        <w:left w:val="none" w:sz="0" w:space="0" w:color="auto"/>
        <w:bottom w:val="none" w:sz="0" w:space="0" w:color="auto"/>
        <w:right w:val="none" w:sz="0" w:space="0" w:color="auto"/>
      </w:divBdr>
    </w:div>
    <w:div w:id="2058045559">
      <w:bodyDiv w:val="1"/>
      <w:marLeft w:val="0"/>
      <w:marRight w:val="0"/>
      <w:marTop w:val="0"/>
      <w:marBottom w:val="0"/>
      <w:divBdr>
        <w:top w:val="none" w:sz="0" w:space="0" w:color="auto"/>
        <w:left w:val="none" w:sz="0" w:space="0" w:color="auto"/>
        <w:bottom w:val="none" w:sz="0" w:space="0" w:color="auto"/>
        <w:right w:val="none" w:sz="0" w:space="0" w:color="auto"/>
      </w:divBdr>
      <w:divsChild>
        <w:div w:id="1844392953">
          <w:marLeft w:val="0"/>
          <w:marRight w:val="0"/>
          <w:marTop w:val="0"/>
          <w:marBottom w:val="0"/>
          <w:divBdr>
            <w:top w:val="none" w:sz="0" w:space="0" w:color="auto"/>
            <w:left w:val="none" w:sz="0" w:space="0" w:color="auto"/>
            <w:bottom w:val="none" w:sz="0" w:space="0" w:color="auto"/>
            <w:right w:val="none" w:sz="0" w:space="0" w:color="auto"/>
          </w:divBdr>
          <w:divsChild>
            <w:div w:id="78909187">
              <w:marLeft w:val="0"/>
              <w:marRight w:val="0"/>
              <w:marTop w:val="0"/>
              <w:marBottom w:val="0"/>
              <w:divBdr>
                <w:top w:val="none" w:sz="0" w:space="0" w:color="auto"/>
                <w:left w:val="none" w:sz="0" w:space="0" w:color="auto"/>
                <w:bottom w:val="none" w:sz="0" w:space="0" w:color="auto"/>
                <w:right w:val="none" w:sz="0" w:space="0" w:color="auto"/>
              </w:divBdr>
              <w:divsChild>
                <w:div w:id="1373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4247">
      <w:bodyDiv w:val="1"/>
      <w:marLeft w:val="0"/>
      <w:marRight w:val="0"/>
      <w:marTop w:val="0"/>
      <w:marBottom w:val="0"/>
      <w:divBdr>
        <w:top w:val="none" w:sz="0" w:space="0" w:color="auto"/>
        <w:left w:val="none" w:sz="0" w:space="0" w:color="auto"/>
        <w:bottom w:val="none" w:sz="0" w:space="0" w:color="auto"/>
        <w:right w:val="none" w:sz="0" w:space="0" w:color="auto"/>
      </w:divBdr>
      <w:divsChild>
        <w:div w:id="405686710">
          <w:marLeft w:val="0"/>
          <w:marRight w:val="0"/>
          <w:marTop w:val="0"/>
          <w:marBottom w:val="0"/>
          <w:divBdr>
            <w:top w:val="none" w:sz="0" w:space="0" w:color="auto"/>
            <w:left w:val="none" w:sz="0" w:space="0" w:color="auto"/>
            <w:bottom w:val="none" w:sz="0" w:space="0" w:color="auto"/>
            <w:right w:val="none" w:sz="0" w:space="0" w:color="auto"/>
          </w:divBdr>
          <w:divsChild>
            <w:div w:id="664281254">
              <w:marLeft w:val="0"/>
              <w:marRight w:val="0"/>
              <w:marTop w:val="0"/>
              <w:marBottom w:val="0"/>
              <w:divBdr>
                <w:top w:val="none" w:sz="0" w:space="0" w:color="auto"/>
                <w:left w:val="none" w:sz="0" w:space="0" w:color="auto"/>
                <w:bottom w:val="none" w:sz="0" w:space="0" w:color="auto"/>
                <w:right w:val="none" w:sz="0" w:space="0" w:color="auto"/>
              </w:divBdr>
              <w:divsChild>
                <w:div w:id="12021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59">
      <w:bodyDiv w:val="1"/>
      <w:marLeft w:val="0"/>
      <w:marRight w:val="0"/>
      <w:marTop w:val="0"/>
      <w:marBottom w:val="0"/>
      <w:divBdr>
        <w:top w:val="none" w:sz="0" w:space="0" w:color="auto"/>
        <w:left w:val="none" w:sz="0" w:space="0" w:color="auto"/>
        <w:bottom w:val="none" w:sz="0" w:space="0" w:color="auto"/>
        <w:right w:val="none" w:sz="0" w:space="0" w:color="auto"/>
      </w:divBdr>
      <w:divsChild>
        <w:div w:id="1272005763">
          <w:marLeft w:val="0"/>
          <w:marRight w:val="0"/>
          <w:marTop w:val="0"/>
          <w:marBottom w:val="0"/>
          <w:divBdr>
            <w:top w:val="none" w:sz="0" w:space="0" w:color="auto"/>
            <w:left w:val="none" w:sz="0" w:space="0" w:color="auto"/>
            <w:bottom w:val="none" w:sz="0" w:space="0" w:color="auto"/>
            <w:right w:val="none" w:sz="0" w:space="0" w:color="auto"/>
          </w:divBdr>
          <w:divsChild>
            <w:div w:id="1338145469">
              <w:marLeft w:val="0"/>
              <w:marRight w:val="0"/>
              <w:marTop w:val="0"/>
              <w:marBottom w:val="0"/>
              <w:divBdr>
                <w:top w:val="none" w:sz="0" w:space="0" w:color="auto"/>
                <w:left w:val="none" w:sz="0" w:space="0" w:color="auto"/>
                <w:bottom w:val="none" w:sz="0" w:space="0" w:color="auto"/>
                <w:right w:val="none" w:sz="0" w:space="0" w:color="auto"/>
              </w:divBdr>
              <w:divsChild>
                <w:div w:id="55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47030">
      <w:bodyDiv w:val="1"/>
      <w:marLeft w:val="0"/>
      <w:marRight w:val="0"/>
      <w:marTop w:val="0"/>
      <w:marBottom w:val="0"/>
      <w:divBdr>
        <w:top w:val="none" w:sz="0" w:space="0" w:color="auto"/>
        <w:left w:val="none" w:sz="0" w:space="0" w:color="auto"/>
        <w:bottom w:val="none" w:sz="0" w:space="0" w:color="auto"/>
        <w:right w:val="none" w:sz="0" w:space="0" w:color="auto"/>
      </w:divBdr>
      <w:divsChild>
        <w:div w:id="905260158">
          <w:marLeft w:val="0"/>
          <w:marRight w:val="0"/>
          <w:marTop w:val="0"/>
          <w:marBottom w:val="0"/>
          <w:divBdr>
            <w:top w:val="none" w:sz="0" w:space="0" w:color="auto"/>
            <w:left w:val="none" w:sz="0" w:space="0" w:color="auto"/>
            <w:bottom w:val="none" w:sz="0" w:space="0" w:color="auto"/>
            <w:right w:val="none" w:sz="0" w:space="0" w:color="auto"/>
          </w:divBdr>
          <w:divsChild>
            <w:div w:id="1663964433">
              <w:marLeft w:val="0"/>
              <w:marRight w:val="0"/>
              <w:marTop w:val="0"/>
              <w:marBottom w:val="0"/>
              <w:divBdr>
                <w:top w:val="none" w:sz="0" w:space="0" w:color="auto"/>
                <w:left w:val="none" w:sz="0" w:space="0" w:color="auto"/>
                <w:bottom w:val="none" w:sz="0" w:space="0" w:color="auto"/>
                <w:right w:val="none" w:sz="0" w:space="0" w:color="auto"/>
              </w:divBdr>
              <w:divsChild>
                <w:div w:id="1075132696">
                  <w:marLeft w:val="0"/>
                  <w:marRight w:val="0"/>
                  <w:marTop w:val="0"/>
                  <w:marBottom w:val="0"/>
                  <w:divBdr>
                    <w:top w:val="none" w:sz="0" w:space="0" w:color="auto"/>
                    <w:left w:val="none" w:sz="0" w:space="0" w:color="auto"/>
                    <w:bottom w:val="none" w:sz="0" w:space="0" w:color="auto"/>
                    <w:right w:val="none" w:sz="0" w:space="0" w:color="auto"/>
                  </w:divBdr>
                  <w:divsChild>
                    <w:div w:id="13192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1276">
      <w:bodyDiv w:val="1"/>
      <w:marLeft w:val="0"/>
      <w:marRight w:val="0"/>
      <w:marTop w:val="0"/>
      <w:marBottom w:val="0"/>
      <w:divBdr>
        <w:top w:val="none" w:sz="0" w:space="0" w:color="auto"/>
        <w:left w:val="none" w:sz="0" w:space="0" w:color="auto"/>
        <w:bottom w:val="none" w:sz="0" w:space="0" w:color="auto"/>
        <w:right w:val="none" w:sz="0" w:space="0" w:color="auto"/>
      </w:divBdr>
      <w:divsChild>
        <w:div w:id="1464537025">
          <w:marLeft w:val="0"/>
          <w:marRight w:val="0"/>
          <w:marTop w:val="0"/>
          <w:marBottom w:val="0"/>
          <w:divBdr>
            <w:top w:val="none" w:sz="0" w:space="0" w:color="auto"/>
            <w:left w:val="none" w:sz="0" w:space="0" w:color="auto"/>
            <w:bottom w:val="none" w:sz="0" w:space="0" w:color="auto"/>
            <w:right w:val="none" w:sz="0" w:space="0" w:color="auto"/>
          </w:divBdr>
          <w:divsChild>
            <w:div w:id="1708793967">
              <w:marLeft w:val="0"/>
              <w:marRight w:val="0"/>
              <w:marTop w:val="0"/>
              <w:marBottom w:val="0"/>
              <w:divBdr>
                <w:top w:val="none" w:sz="0" w:space="0" w:color="auto"/>
                <w:left w:val="none" w:sz="0" w:space="0" w:color="auto"/>
                <w:bottom w:val="none" w:sz="0" w:space="0" w:color="auto"/>
                <w:right w:val="none" w:sz="0" w:space="0" w:color="auto"/>
              </w:divBdr>
              <w:divsChild>
                <w:div w:id="4649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3798">
      <w:bodyDiv w:val="1"/>
      <w:marLeft w:val="0"/>
      <w:marRight w:val="0"/>
      <w:marTop w:val="0"/>
      <w:marBottom w:val="0"/>
      <w:divBdr>
        <w:top w:val="none" w:sz="0" w:space="0" w:color="auto"/>
        <w:left w:val="none" w:sz="0" w:space="0" w:color="auto"/>
        <w:bottom w:val="none" w:sz="0" w:space="0" w:color="auto"/>
        <w:right w:val="none" w:sz="0" w:space="0" w:color="auto"/>
      </w:divBdr>
      <w:divsChild>
        <w:div w:id="688795147">
          <w:marLeft w:val="0"/>
          <w:marRight w:val="0"/>
          <w:marTop w:val="0"/>
          <w:marBottom w:val="0"/>
          <w:divBdr>
            <w:top w:val="none" w:sz="0" w:space="0" w:color="auto"/>
            <w:left w:val="none" w:sz="0" w:space="0" w:color="auto"/>
            <w:bottom w:val="none" w:sz="0" w:space="0" w:color="auto"/>
            <w:right w:val="none" w:sz="0" w:space="0" w:color="auto"/>
          </w:divBdr>
          <w:divsChild>
            <w:div w:id="591400855">
              <w:marLeft w:val="0"/>
              <w:marRight w:val="0"/>
              <w:marTop w:val="0"/>
              <w:marBottom w:val="0"/>
              <w:divBdr>
                <w:top w:val="none" w:sz="0" w:space="0" w:color="auto"/>
                <w:left w:val="none" w:sz="0" w:space="0" w:color="auto"/>
                <w:bottom w:val="none" w:sz="0" w:space="0" w:color="auto"/>
                <w:right w:val="none" w:sz="0" w:space="0" w:color="auto"/>
              </w:divBdr>
              <w:divsChild>
                <w:div w:id="15985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8724</Words>
  <Characters>49728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Vetter</dc:creator>
  <cp:keywords/>
  <dc:description/>
  <cp:lastModifiedBy>emanuel.viebahn@hu-berlin.de</cp:lastModifiedBy>
  <cp:revision>3</cp:revision>
  <cp:lastPrinted>2020-11-24T12:02:00Z</cp:lastPrinted>
  <dcterms:created xsi:type="dcterms:W3CDTF">2022-07-23T16:29:00Z</dcterms:created>
  <dcterms:modified xsi:type="dcterms:W3CDTF">2022-07-23T16:31:00Z</dcterms:modified>
</cp:coreProperties>
</file>