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D8" w:rsidRDefault="002C1169" w:rsidP="008F155F">
      <w:pPr>
        <w:spacing w:after="0" w:line="480" w:lineRule="auto"/>
        <w:jc w:val="center"/>
        <w:rPr>
          <w:rFonts w:ascii="Times New Roman" w:hAnsi="Times New Roman" w:cs="Times New Roman"/>
          <w:sz w:val="32"/>
          <w:szCs w:val="32"/>
        </w:rPr>
      </w:pPr>
      <w:r w:rsidRPr="008102FE">
        <w:rPr>
          <w:rFonts w:ascii="Times New Roman" w:hAnsi="Times New Roman" w:cs="Times New Roman"/>
          <w:sz w:val="32"/>
          <w:szCs w:val="32"/>
        </w:rPr>
        <w:t xml:space="preserve">Wittgenstein and the phenomenological movement: </w:t>
      </w:r>
      <w:r w:rsidR="00B36598" w:rsidRPr="008102FE">
        <w:rPr>
          <w:rFonts w:ascii="Times New Roman" w:hAnsi="Times New Roman" w:cs="Times New Roman"/>
          <w:sz w:val="32"/>
          <w:szCs w:val="32"/>
        </w:rPr>
        <w:t>Reply to Monk</w:t>
      </w:r>
    </w:p>
    <w:p w:rsidR="008102FE" w:rsidRPr="00247D15" w:rsidRDefault="008102FE" w:rsidP="008F155F">
      <w:pPr>
        <w:spacing w:after="0" w:line="480" w:lineRule="auto"/>
        <w:rPr>
          <w:rFonts w:ascii="Times New Roman" w:hAnsi="Times New Roman" w:cs="Times New Roman"/>
        </w:rPr>
      </w:pPr>
    </w:p>
    <w:p w:rsidR="0063155E" w:rsidRDefault="0063155E" w:rsidP="008F155F">
      <w:pPr>
        <w:spacing w:after="0" w:line="480" w:lineRule="auto"/>
        <w:jc w:val="center"/>
        <w:rPr>
          <w:rFonts w:ascii="Times New Roman" w:hAnsi="Times New Roman" w:cs="Times New Roman"/>
        </w:rPr>
      </w:pPr>
      <w:r>
        <w:rPr>
          <w:rFonts w:ascii="Times New Roman" w:hAnsi="Times New Roman" w:cs="Times New Roman"/>
        </w:rPr>
        <w:t xml:space="preserve">Andreas </w:t>
      </w:r>
      <w:proofErr w:type="spellStart"/>
      <w:r>
        <w:rPr>
          <w:rFonts w:ascii="Times New Roman" w:hAnsi="Times New Roman" w:cs="Times New Roman"/>
        </w:rPr>
        <w:t>Vrahimis</w:t>
      </w:r>
      <w:proofErr w:type="spellEnd"/>
    </w:p>
    <w:p w:rsidR="0063155E" w:rsidRDefault="0063155E" w:rsidP="008F155F">
      <w:pPr>
        <w:spacing w:after="0" w:line="480" w:lineRule="auto"/>
        <w:jc w:val="center"/>
        <w:rPr>
          <w:rFonts w:ascii="Times New Roman" w:hAnsi="Times New Roman" w:cs="Times New Roman"/>
        </w:rPr>
      </w:pPr>
    </w:p>
    <w:p w:rsidR="0063155E" w:rsidRDefault="003F2CE6" w:rsidP="008F155F">
      <w:pPr>
        <w:spacing w:after="0" w:line="480" w:lineRule="auto"/>
        <w:jc w:val="center"/>
        <w:rPr>
          <w:rFonts w:ascii="Times New Roman" w:hAnsi="Times New Roman" w:cs="Times New Roman"/>
        </w:rPr>
      </w:pPr>
      <w:proofErr w:type="gramStart"/>
      <w:r>
        <w:rPr>
          <w:rFonts w:ascii="Times New Roman" w:hAnsi="Times New Roman" w:cs="Times New Roman"/>
        </w:rPr>
        <w:t>Final Draft.</w:t>
      </w:r>
      <w:proofErr w:type="gramEnd"/>
      <w:r>
        <w:rPr>
          <w:rFonts w:ascii="Times New Roman" w:hAnsi="Times New Roman" w:cs="Times New Roman"/>
        </w:rPr>
        <w:t xml:space="preserve"> Published in </w:t>
      </w:r>
      <w:r w:rsidRPr="003F2CE6">
        <w:rPr>
          <w:rFonts w:ascii="Times New Roman" w:hAnsi="Times New Roman" w:cs="Times New Roman"/>
          <w:i/>
        </w:rPr>
        <w:t xml:space="preserve">International Journal of </w:t>
      </w:r>
      <w:r w:rsidRPr="003F2CE6">
        <w:rPr>
          <w:rFonts w:ascii="Times New Roman" w:hAnsi="Times New Roman" w:cs="Times New Roman"/>
          <w:i/>
        </w:rPr>
        <w:t>Philosophical Studies</w:t>
      </w:r>
      <w:r>
        <w:rPr>
          <w:rFonts w:ascii="Times New Roman" w:hAnsi="Times New Roman" w:cs="Times New Roman"/>
        </w:rPr>
        <w:t xml:space="preserve">, 22:3, 341-348, </w:t>
      </w:r>
      <w:r w:rsidRPr="003F2CE6">
        <w:rPr>
          <w:rFonts w:ascii="Times New Roman" w:hAnsi="Times New Roman" w:cs="Times New Roman"/>
        </w:rPr>
        <w:t>DOI: 10.1080/09672559.2014.913885</w:t>
      </w:r>
    </w:p>
    <w:p w:rsidR="00EE6F03" w:rsidRDefault="00EE6F03">
      <w:pPr>
        <w:rPr>
          <w:rFonts w:ascii="Times New Roman" w:hAnsi="Times New Roman" w:cs="Times New Roman"/>
          <w:b/>
        </w:rPr>
      </w:pPr>
      <w:bookmarkStart w:id="0" w:name="_GoBack"/>
      <w:bookmarkEnd w:id="0"/>
    </w:p>
    <w:p w:rsidR="00627B38" w:rsidRPr="00EE6F03" w:rsidRDefault="00627B38" w:rsidP="008F155F">
      <w:pPr>
        <w:spacing w:after="0" w:line="480" w:lineRule="auto"/>
        <w:jc w:val="center"/>
        <w:rPr>
          <w:rFonts w:ascii="Times New Roman" w:hAnsi="Times New Roman" w:cs="Times New Roman"/>
          <w:b/>
        </w:rPr>
      </w:pPr>
      <w:r w:rsidRPr="00EE6F03">
        <w:rPr>
          <w:rFonts w:ascii="Times New Roman" w:hAnsi="Times New Roman" w:cs="Times New Roman"/>
          <w:b/>
        </w:rPr>
        <w:t>Abstract</w:t>
      </w:r>
    </w:p>
    <w:p w:rsidR="00382620" w:rsidRPr="00247D15" w:rsidRDefault="00382620" w:rsidP="008F155F">
      <w:pPr>
        <w:spacing w:after="0" w:line="480" w:lineRule="auto"/>
        <w:ind w:left="360"/>
        <w:rPr>
          <w:rFonts w:ascii="Times New Roman" w:hAnsi="Times New Roman" w:cs="Times New Roman"/>
        </w:rPr>
      </w:pPr>
    </w:p>
    <w:p w:rsidR="00382620" w:rsidRDefault="00627B38" w:rsidP="008F155F">
      <w:pPr>
        <w:spacing w:after="0" w:line="480" w:lineRule="auto"/>
        <w:ind w:left="360"/>
        <w:rPr>
          <w:rFonts w:ascii="Times New Roman" w:hAnsi="Times New Roman" w:cs="Times New Roman"/>
        </w:rPr>
      </w:pPr>
      <w:r w:rsidRPr="00247D15">
        <w:rPr>
          <w:rFonts w:ascii="Times New Roman" w:hAnsi="Times New Roman" w:cs="Times New Roman"/>
        </w:rPr>
        <w:t>Monk’s ‘The Temptations of Phenomenology’ examin</w:t>
      </w:r>
      <w:r w:rsidR="00E9454E" w:rsidRPr="00247D15">
        <w:rPr>
          <w:rFonts w:ascii="Times New Roman" w:hAnsi="Times New Roman" w:cs="Times New Roman"/>
        </w:rPr>
        <w:t>e</w:t>
      </w:r>
      <w:r w:rsidR="008102FE">
        <w:rPr>
          <w:rFonts w:ascii="Times New Roman" w:hAnsi="Times New Roman" w:cs="Times New Roman"/>
        </w:rPr>
        <w:t>s</w:t>
      </w:r>
      <w:r w:rsidRPr="00247D15">
        <w:rPr>
          <w:rFonts w:ascii="Times New Roman" w:hAnsi="Times New Roman" w:cs="Times New Roman"/>
        </w:rPr>
        <w:t xml:space="preserve"> what the term </w:t>
      </w:r>
      <w:r w:rsidR="008102FE" w:rsidRPr="00247D15">
        <w:rPr>
          <w:rFonts w:ascii="Times New Roman" w:hAnsi="Times New Roman" w:cs="Times New Roman"/>
        </w:rPr>
        <w:t>‘</w:t>
      </w:r>
      <w:proofErr w:type="spellStart"/>
      <w:r w:rsidR="008102FE" w:rsidRPr="00247D15">
        <w:rPr>
          <w:rFonts w:ascii="Times New Roman" w:hAnsi="Times New Roman" w:cs="Times New Roman"/>
        </w:rPr>
        <w:t>Phänomenologie</w:t>
      </w:r>
      <w:proofErr w:type="spellEnd"/>
      <w:r w:rsidR="008102FE" w:rsidRPr="00247D15">
        <w:rPr>
          <w:rFonts w:ascii="Times New Roman" w:hAnsi="Times New Roman" w:cs="Times New Roman"/>
        </w:rPr>
        <w:t xml:space="preserve">’ </w:t>
      </w:r>
      <w:r w:rsidRPr="00247D15">
        <w:rPr>
          <w:rFonts w:ascii="Times New Roman" w:hAnsi="Times New Roman" w:cs="Times New Roman"/>
        </w:rPr>
        <w:t xml:space="preserve">meant for Wittgenstein. </w:t>
      </w:r>
      <w:r w:rsidR="008A20ED" w:rsidRPr="00247D15">
        <w:rPr>
          <w:rFonts w:ascii="Times New Roman" w:hAnsi="Times New Roman" w:cs="Times New Roman"/>
        </w:rPr>
        <w:t xml:space="preserve">Contesting </w:t>
      </w:r>
      <w:r w:rsidRPr="00247D15">
        <w:rPr>
          <w:rFonts w:ascii="Times New Roman" w:hAnsi="Times New Roman" w:cs="Times New Roman"/>
        </w:rPr>
        <w:t>various o</w:t>
      </w:r>
      <w:r w:rsidRPr="008102FE">
        <w:rPr>
          <w:rFonts w:ascii="Times New Roman" w:hAnsi="Times New Roman" w:cs="Times New Roman"/>
        </w:rPr>
        <w:t>ther scholars (</w:t>
      </w:r>
      <w:proofErr w:type="spellStart"/>
      <w:r w:rsidRPr="008102FE">
        <w:rPr>
          <w:rFonts w:ascii="Times New Roman" w:hAnsi="Times New Roman" w:cs="Times New Roman"/>
        </w:rPr>
        <w:t>Hintikka</w:t>
      </w:r>
      <w:proofErr w:type="spellEnd"/>
      <w:r w:rsidR="004C553C" w:rsidRPr="008102FE">
        <w:rPr>
          <w:rFonts w:ascii="Times New Roman" w:hAnsi="Times New Roman" w:cs="Times New Roman"/>
        </w:rPr>
        <w:t xml:space="preserve"> &amp; </w:t>
      </w:r>
      <w:proofErr w:type="spellStart"/>
      <w:r w:rsidR="004C553C" w:rsidRPr="008102FE">
        <w:rPr>
          <w:rFonts w:ascii="Times New Roman" w:hAnsi="Times New Roman" w:cs="Times New Roman"/>
        </w:rPr>
        <w:t>Hintikka</w:t>
      </w:r>
      <w:proofErr w:type="spellEnd"/>
      <w:r w:rsidR="004C553C" w:rsidRPr="008102FE">
        <w:rPr>
          <w:rFonts w:ascii="Times New Roman" w:hAnsi="Times New Roman" w:cs="Times New Roman"/>
        </w:rPr>
        <w:t>, 1986;</w:t>
      </w:r>
      <w:r w:rsidRPr="008102FE">
        <w:rPr>
          <w:rFonts w:ascii="Times New Roman" w:hAnsi="Times New Roman" w:cs="Times New Roman"/>
        </w:rPr>
        <w:t xml:space="preserve"> </w:t>
      </w:r>
      <w:proofErr w:type="spellStart"/>
      <w:r w:rsidR="00382620" w:rsidRPr="008102FE">
        <w:rPr>
          <w:rFonts w:ascii="Times New Roman" w:hAnsi="Times New Roman" w:cs="Times New Roman"/>
        </w:rPr>
        <w:t>Spiegelberg</w:t>
      </w:r>
      <w:proofErr w:type="spellEnd"/>
      <w:r w:rsidR="00382620" w:rsidRPr="008102FE">
        <w:rPr>
          <w:rFonts w:ascii="Times New Roman" w:hAnsi="Times New Roman" w:cs="Times New Roman"/>
        </w:rPr>
        <w:t xml:space="preserve">, </w:t>
      </w:r>
      <w:r w:rsidR="004C553C" w:rsidRPr="008102FE">
        <w:rPr>
          <w:rFonts w:ascii="Times New Roman" w:hAnsi="Times New Roman" w:cs="Times New Roman"/>
        </w:rPr>
        <w:t xml:space="preserve">1968; </w:t>
      </w:r>
      <w:proofErr w:type="spellStart"/>
      <w:r w:rsidR="00382620" w:rsidRPr="008102FE">
        <w:rPr>
          <w:rFonts w:ascii="Times New Roman" w:hAnsi="Times New Roman" w:cs="Times New Roman"/>
        </w:rPr>
        <w:t>Gier</w:t>
      </w:r>
      <w:proofErr w:type="spellEnd"/>
      <w:r w:rsidR="004C553C" w:rsidRPr="008102FE">
        <w:rPr>
          <w:rFonts w:ascii="Times New Roman" w:hAnsi="Times New Roman" w:cs="Times New Roman"/>
        </w:rPr>
        <w:t>, 1981</w:t>
      </w:r>
      <w:r w:rsidR="00382620" w:rsidRPr="008102FE">
        <w:rPr>
          <w:rFonts w:ascii="Times New Roman" w:hAnsi="Times New Roman" w:cs="Times New Roman"/>
        </w:rPr>
        <w:t>)</w:t>
      </w:r>
      <w:r w:rsidRPr="008102FE">
        <w:rPr>
          <w:rFonts w:ascii="Times New Roman" w:hAnsi="Times New Roman" w:cs="Times New Roman"/>
        </w:rPr>
        <w:t>, Monk</w:t>
      </w:r>
      <w:r w:rsidR="00382620" w:rsidRPr="008102FE">
        <w:rPr>
          <w:rFonts w:ascii="Times New Roman" w:hAnsi="Times New Roman" w:cs="Times New Roman"/>
        </w:rPr>
        <w:t xml:space="preserve"> claims that Wittgenstein’s relation to ‘</w:t>
      </w:r>
      <w:proofErr w:type="spellStart"/>
      <w:r w:rsidR="00382620" w:rsidRPr="008102FE">
        <w:rPr>
          <w:rFonts w:ascii="Times New Roman" w:hAnsi="Times New Roman" w:cs="Times New Roman"/>
        </w:rPr>
        <w:t>Phänomenologie</w:t>
      </w:r>
      <w:proofErr w:type="spellEnd"/>
      <w:r w:rsidR="00382620" w:rsidRPr="008102FE">
        <w:rPr>
          <w:rFonts w:ascii="Times New Roman" w:hAnsi="Times New Roman" w:cs="Times New Roman"/>
        </w:rPr>
        <w:t xml:space="preserve">’ </w:t>
      </w:r>
      <w:r w:rsidR="00B9121B" w:rsidRPr="008102FE">
        <w:rPr>
          <w:rFonts w:ascii="Times New Roman" w:hAnsi="Times New Roman" w:cs="Times New Roman"/>
        </w:rPr>
        <w:t xml:space="preserve">began and ended </w:t>
      </w:r>
      <w:r w:rsidR="00382620" w:rsidRPr="008102FE">
        <w:rPr>
          <w:rFonts w:ascii="Times New Roman" w:hAnsi="Times New Roman" w:cs="Times New Roman"/>
        </w:rPr>
        <w:t xml:space="preserve">during 1929. </w:t>
      </w:r>
      <w:r w:rsidR="00D42B7C" w:rsidRPr="008102FE">
        <w:rPr>
          <w:rFonts w:ascii="Times New Roman" w:hAnsi="Times New Roman" w:cs="Times New Roman"/>
        </w:rPr>
        <w:t>Monk only pa</w:t>
      </w:r>
      <w:r w:rsidR="00D42B7C" w:rsidRPr="00247D15">
        <w:rPr>
          <w:rFonts w:ascii="Times New Roman" w:hAnsi="Times New Roman" w:cs="Times New Roman"/>
        </w:rPr>
        <w:t xml:space="preserve">rtially touches on </w:t>
      </w:r>
      <w:r w:rsidR="00136F70">
        <w:rPr>
          <w:rFonts w:ascii="Times New Roman" w:hAnsi="Times New Roman" w:cs="Times New Roman"/>
        </w:rPr>
        <w:t xml:space="preserve">the </w:t>
      </w:r>
      <w:r w:rsidR="00D42B7C" w:rsidRPr="00247D15">
        <w:rPr>
          <w:rFonts w:ascii="Times New Roman" w:hAnsi="Times New Roman" w:cs="Times New Roman"/>
        </w:rPr>
        <w:t xml:space="preserve">question </w:t>
      </w:r>
      <w:r w:rsidR="00136F70">
        <w:rPr>
          <w:rFonts w:ascii="Times New Roman" w:hAnsi="Times New Roman" w:cs="Times New Roman"/>
        </w:rPr>
        <w:t xml:space="preserve">of </w:t>
      </w:r>
      <w:r w:rsidR="00D42B7C" w:rsidRPr="00247D15">
        <w:rPr>
          <w:rFonts w:ascii="Times New Roman" w:hAnsi="Times New Roman" w:cs="Times New Roman"/>
        </w:rPr>
        <w:t xml:space="preserve">Wittgenstein’s relation to the phenomenological movement during this time. </w:t>
      </w:r>
      <w:r w:rsidR="00382620" w:rsidRPr="00247D15">
        <w:rPr>
          <w:rFonts w:ascii="Times New Roman" w:hAnsi="Times New Roman" w:cs="Times New Roman"/>
        </w:rPr>
        <w:t xml:space="preserve">Though Monk does not mention this, 1929 was also the year in which </w:t>
      </w:r>
      <w:r w:rsidR="00EC5464" w:rsidRPr="00247D15">
        <w:rPr>
          <w:rFonts w:ascii="Times New Roman" w:hAnsi="Times New Roman" w:cs="Times New Roman"/>
        </w:rPr>
        <w:t xml:space="preserve">Ryle and </w:t>
      </w:r>
      <w:proofErr w:type="spellStart"/>
      <w:r w:rsidR="00EC5464" w:rsidRPr="00247D15">
        <w:rPr>
          <w:rFonts w:ascii="Times New Roman" w:hAnsi="Times New Roman" w:cs="Times New Roman"/>
        </w:rPr>
        <w:t>Carnap</w:t>
      </w:r>
      <w:proofErr w:type="spellEnd"/>
      <w:r w:rsidR="00EC5464" w:rsidRPr="00247D15">
        <w:rPr>
          <w:rFonts w:ascii="Times New Roman" w:hAnsi="Times New Roman" w:cs="Times New Roman"/>
        </w:rPr>
        <w:t xml:space="preserve"> </w:t>
      </w:r>
      <w:r w:rsidR="00382620" w:rsidRPr="00247D15">
        <w:rPr>
          <w:rFonts w:ascii="Times New Roman" w:hAnsi="Times New Roman" w:cs="Times New Roman"/>
        </w:rPr>
        <w:t xml:space="preserve">turned their critical attention toward Heidegger. </w:t>
      </w:r>
      <w:r w:rsidR="00D42B7C" w:rsidRPr="00247D15">
        <w:rPr>
          <w:rFonts w:ascii="Times New Roman" w:hAnsi="Times New Roman" w:cs="Times New Roman"/>
        </w:rPr>
        <w:t xml:space="preserve">Wittgenstein </w:t>
      </w:r>
      <w:r w:rsidR="008102FE">
        <w:rPr>
          <w:rFonts w:ascii="Times New Roman" w:hAnsi="Times New Roman" w:cs="Times New Roman"/>
        </w:rPr>
        <w:t xml:space="preserve">also </w:t>
      </w:r>
      <w:r w:rsidR="00D42B7C" w:rsidRPr="00247D15">
        <w:rPr>
          <w:rFonts w:ascii="Times New Roman" w:hAnsi="Times New Roman" w:cs="Times New Roman"/>
        </w:rPr>
        <w:t>expressed his sympathy for Heidegger in 1929.</w:t>
      </w:r>
      <w:r w:rsidR="00136F70">
        <w:rPr>
          <w:rFonts w:ascii="Times New Roman" w:hAnsi="Times New Roman" w:cs="Times New Roman"/>
        </w:rPr>
        <w:t xml:space="preserve"> Furthermore, t</w:t>
      </w:r>
      <w:r w:rsidR="00D42B7C" w:rsidRPr="00247D15">
        <w:rPr>
          <w:rFonts w:ascii="Times New Roman" w:hAnsi="Times New Roman" w:cs="Times New Roman"/>
        </w:rPr>
        <w:t>hough in 1929 Wittgenstein agrees with the early Husserl on relating logic and science to phenomenology, it is not clear that they mean the same thing by either logic or phenomenology, or that they agree on what the relation between the two should be.</w:t>
      </w:r>
    </w:p>
    <w:p w:rsidR="005E7341" w:rsidRDefault="005E7341" w:rsidP="008F155F">
      <w:pPr>
        <w:spacing w:after="0" w:line="480" w:lineRule="auto"/>
        <w:ind w:left="360"/>
        <w:rPr>
          <w:rFonts w:ascii="Times New Roman" w:hAnsi="Times New Roman" w:cs="Times New Roman"/>
        </w:rPr>
      </w:pPr>
    </w:p>
    <w:p w:rsidR="005E7341" w:rsidRPr="00247D15" w:rsidRDefault="005E7341" w:rsidP="008F155F">
      <w:pPr>
        <w:spacing w:after="0" w:line="480" w:lineRule="auto"/>
        <w:ind w:left="360"/>
        <w:rPr>
          <w:rFonts w:ascii="Times New Roman" w:hAnsi="Times New Roman" w:cs="Times New Roman"/>
        </w:rPr>
      </w:pPr>
      <w:r>
        <w:rPr>
          <w:rFonts w:ascii="Times New Roman" w:hAnsi="Times New Roman" w:cs="Times New Roman"/>
        </w:rPr>
        <w:t xml:space="preserve">Keywords: Wittgenstein, Heidegger, Husserl, </w:t>
      </w:r>
      <w:proofErr w:type="spellStart"/>
      <w:r w:rsidRPr="00247D15">
        <w:rPr>
          <w:rFonts w:ascii="Times New Roman" w:hAnsi="Times New Roman" w:cs="Times New Roman"/>
        </w:rPr>
        <w:t>Phänomenologie</w:t>
      </w:r>
      <w:proofErr w:type="spellEnd"/>
      <w:r>
        <w:rPr>
          <w:rFonts w:ascii="Times New Roman" w:hAnsi="Times New Roman" w:cs="Times New Roman"/>
        </w:rPr>
        <w:t>, phenomenological movement</w:t>
      </w:r>
    </w:p>
    <w:p w:rsidR="00916D94" w:rsidRPr="00247D15" w:rsidRDefault="00916D94" w:rsidP="008F155F">
      <w:pPr>
        <w:spacing w:after="0" w:line="480" w:lineRule="auto"/>
        <w:rPr>
          <w:rFonts w:ascii="Times New Roman" w:hAnsi="Times New Roman" w:cs="Times New Roman"/>
        </w:rPr>
      </w:pPr>
    </w:p>
    <w:p w:rsidR="00BB07B1" w:rsidRPr="002C1169" w:rsidRDefault="002C1169" w:rsidP="008F155F">
      <w:pPr>
        <w:spacing w:after="0" w:line="480" w:lineRule="auto"/>
        <w:jc w:val="center"/>
        <w:rPr>
          <w:rFonts w:ascii="Times New Roman" w:hAnsi="Times New Roman" w:cs="Times New Roman"/>
          <w:b/>
        </w:rPr>
      </w:pPr>
      <w:r>
        <w:rPr>
          <w:rFonts w:ascii="Times New Roman" w:hAnsi="Times New Roman" w:cs="Times New Roman"/>
          <w:b/>
        </w:rPr>
        <w:t xml:space="preserve">1. </w:t>
      </w:r>
      <w:r w:rsidRPr="002C1169">
        <w:rPr>
          <w:rFonts w:ascii="Times New Roman" w:hAnsi="Times New Roman" w:cs="Times New Roman"/>
          <w:b/>
        </w:rPr>
        <w:t>Introduction</w:t>
      </w:r>
    </w:p>
    <w:p w:rsidR="00BB07B1" w:rsidRPr="00247D15" w:rsidRDefault="00BB07B1" w:rsidP="008F155F">
      <w:pPr>
        <w:spacing w:after="0" w:line="480" w:lineRule="auto"/>
        <w:rPr>
          <w:rFonts w:ascii="Times New Roman" w:hAnsi="Times New Roman" w:cs="Times New Roman"/>
        </w:rPr>
      </w:pPr>
    </w:p>
    <w:p w:rsidR="00247D15" w:rsidRPr="00247D15" w:rsidRDefault="001F3A4C" w:rsidP="008F155F">
      <w:pPr>
        <w:spacing w:after="0" w:line="480" w:lineRule="auto"/>
        <w:rPr>
          <w:rFonts w:ascii="Times New Roman" w:hAnsi="Times New Roman" w:cs="Times New Roman"/>
        </w:rPr>
      </w:pPr>
      <w:r w:rsidRPr="00247D15">
        <w:rPr>
          <w:rFonts w:ascii="Times New Roman" w:hAnsi="Times New Roman" w:cs="Times New Roman"/>
        </w:rPr>
        <w:t xml:space="preserve">Wittgenstein’s remarks on phenomenology were first published </w:t>
      </w:r>
      <w:r w:rsidR="00265ECC">
        <w:rPr>
          <w:rFonts w:ascii="Times New Roman" w:hAnsi="Times New Roman" w:cs="Times New Roman"/>
        </w:rPr>
        <w:t xml:space="preserve">as part of </w:t>
      </w:r>
      <w:proofErr w:type="spellStart"/>
      <w:r w:rsidR="00DD4622" w:rsidRPr="00247D15">
        <w:rPr>
          <w:rFonts w:ascii="Times New Roman" w:hAnsi="Times New Roman" w:cs="Times New Roman"/>
          <w:i/>
        </w:rPr>
        <w:t>Philosophische</w:t>
      </w:r>
      <w:proofErr w:type="spellEnd"/>
      <w:r w:rsidR="00DD4622" w:rsidRPr="00247D15">
        <w:rPr>
          <w:rFonts w:ascii="Times New Roman" w:hAnsi="Times New Roman" w:cs="Times New Roman"/>
          <w:i/>
        </w:rPr>
        <w:t xml:space="preserve"> </w:t>
      </w:r>
      <w:proofErr w:type="spellStart"/>
      <w:r w:rsidR="00DD4622" w:rsidRPr="00247D15">
        <w:rPr>
          <w:rFonts w:ascii="Times New Roman" w:hAnsi="Times New Roman" w:cs="Times New Roman"/>
          <w:i/>
        </w:rPr>
        <w:t>Bemerkungen</w:t>
      </w:r>
      <w:proofErr w:type="spellEnd"/>
      <w:r w:rsidR="0066321A" w:rsidRPr="00247D15">
        <w:rPr>
          <w:rFonts w:ascii="Times New Roman" w:hAnsi="Times New Roman" w:cs="Times New Roman"/>
          <w:i/>
        </w:rPr>
        <w:t xml:space="preserve"> </w:t>
      </w:r>
      <w:r w:rsidR="0066321A" w:rsidRPr="00247D15">
        <w:rPr>
          <w:rFonts w:ascii="Times New Roman" w:hAnsi="Times New Roman" w:cs="Times New Roman"/>
        </w:rPr>
        <w:t>in 1964</w:t>
      </w:r>
      <w:r w:rsidR="00DD4622" w:rsidRPr="00247D15">
        <w:rPr>
          <w:rFonts w:ascii="Times New Roman" w:hAnsi="Times New Roman" w:cs="Times New Roman"/>
          <w:i/>
        </w:rPr>
        <w:t>,</w:t>
      </w:r>
      <w:r w:rsidR="00DD4622" w:rsidRPr="00247D15">
        <w:rPr>
          <w:rFonts w:ascii="Times New Roman" w:hAnsi="Times New Roman" w:cs="Times New Roman"/>
        </w:rPr>
        <w:t xml:space="preserve"> </w:t>
      </w:r>
      <w:r w:rsidRPr="00247D15">
        <w:rPr>
          <w:rFonts w:ascii="Times New Roman" w:hAnsi="Times New Roman" w:cs="Times New Roman"/>
        </w:rPr>
        <w:t xml:space="preserve">more than a decade after his death. </w:t>
      </w:r>
      <w:r w:rsidR="00DD4622" w:rsidRPr="00247D15">
        <w:rPr>
          <w:rFonts w:ascii="Times New Roman" w:hAnsi="Times New Roman" w:cs="Times New Roman"/>
        </w:rPr>
        <w:t>F</w:t>
      </w:r>
      <w:r w:rsidRPr="00247D15">
        <w:rPr>
          <w:rFonts w:ascii="Times New Roman" w:hAnsi="Times New Roman" w:cs="Times New Roman"/>
        </w:rPr>
        <w:t>our years later</w:t>
      </w:r>
      <w:r w:rsidR="00DD4622" w:rsidRPr="00247D15">
        <w:rPr>
          <w:rFonts w:ascii="Times New Roman" w:hAnsi="Times New Roman" w:cs="Times New Roman"/>
        </w:rPr>
        <w:t>,</w:t>
      </w:r>
      <w:r w:rsidRPr="00247D15">
        <w:rPr>
          <w:rFonts w:ascii="Times New Roman" w:hAnsi="Times New Roman" w:cs="Times New Roman"/>
        </w:rPr>
        <w:t xml:space="preserve"> Herbert </w:t>
      </w:r>
      <w:proofErr w:type="spellStart"/>
      <w:r w:rsidRPr="00247D15">
        <w:rPr>
          <w:rFonts w:ascii="Times New Roman" w:hAnsi="Times New Roman" w:cs="Times New Roman"/>
        </w:rPr>
        <w:t>Spiegelberg</w:t>
      </w:r>
      <w:proofErr w:type="spellEnd"/>
      <w:r w:rsidRPr="00247D15">
        <w:rPr>
          <w:rFonts w:ascii="Times New Roman" w:hAnsi="Times New Roman" w:cs="Times New Roman"/>
        </w:rPr>
        <w:t xml:space="preserve"> </w:t>
      </w:r>
      <w:r w:rsidR="00DD4622" w:rsidRPr="00247D15">
        <w:rPr>
          <w:rFonts w:ascii="Times New Roman" w:hAnsi="Times New Roman" w:cs="Times New Roman"/>
        </w:rPr>
        <w:t xml:space="preserve">responded by </w:t>
      </w:r>
      <w:r w:rsidRPr="00247D15">
        <w:rPr>
          <w:rFonts w:ascii="Times New Roman" w:hAnsi="Times New Roman" w:cs="Times New Roman"/>
        </w:rPr>
        <w:t>outlin</w:t>
      </w:r>
      <w:r w:rsidR="00DD4622" w:rsidRPr="00247D15">
        <w:rPr>
          <w:rFonts w:ascii="Times New Roman" w:hAnsi="Times New Roman" w:cs="Times New Roman"/>
        </w:rPr>
        <w:t>ing</w:t>
      </w:r>
      <w:r w:rsidRPr="00247D15">
        <w:rPr>
          <w:rFonts w:ascii="Times New Roman" w:hAnsi="Times New Roman" w:cs="Times New Roman"/>
        </w:rPr>
        <w:t xml:space="preserve"> six </w:t>
      </w:r>
      <w:r w:rsidRPr="00247D15">
        <w:rPr>
          <w:rFonts w:ascii="Times New Roman" w:hAnsi="Times New Roman" w:cs="Times New Roman"/>
        </w:rPr>
        <w:lastRenderedPageBreak/>
        <w:t xml:space="preserve">questions that frame the </w:t>
      </w:r>
      <w:r w:rsidR="00296048" w:rsidRPr="00247D15">
        <w:rPr>
          <w:rFonts w:ascii="Times New Roman" w:hAnsi="Times New Roman" w:cs="Times New Roman"/>
        </w:rPr>
        <w:t>examination of Wittgenstein’s relation to phenomenology</w:t>
      </w:r>
      <w:r w:rsidR="0064157C" w:rsidRPr="00247D15">
        <w:rPr>
          <w:rFonts w:ascii="Times New Roman" w:hAnsi="Times New Roman" w:cs="Times New Roman"/>
        </w:rPr>
        <w:t xml:space="preserve">. </w:t>
      </w:r>
      <w:r w:rsidRPr="00247D15">
        <w:rPr>
          <w:rFonts w:ascii="Times New Roman" w:hAnsi="Times New Roman" w:cs="Times New Roman"/>
        </w:rPr>
        <w:t xml:space="preserve">In ‘The Temptations of Phenomenology’, </w:t>
      </w:r>
      <w:r w:rsidR="0076649A" w:rsidRPr="00247D15">
        <w:rPr>
          <w:rFonts w:ascii="Times New Roman" w:hAnsi="Times New Roman" w:cs="Times New Roman"/>
        </w:rPr>
        <w:t xml:space="preserve">Monk’s primary </w:t>
      </w:r>
      <w:r w:rsidRPr="00247D15">
        <w:rPr>
          <w:rFonts w:ascii="Times New Roman" w:hAnsi="Times New Roman" w:cs="Times New Roman"/>
        </w:rPr>
        <w:t xml:space="preserve">concern </w:t>
      </w:r>
      <w:r w:rsidR="0066321A" w:rsidRPr="00247D15">
        <w:rPr>
          <w:rFonts w:ascii="Times New Roman" w:hAnsi="Times New Roman" w:cs="Times New Roman"/>
        </w:rPr>
        <w:t xml:space="preserve">is </w:t>
      </w:r>
      <w:r w:rsidRPr="00247D15">
        <w:rPr>
          <w:rFonts w:ascii="Times New Roman" w:hAnsi="Times New Roman" w:cs="Times New Roman"/>
        </w:rPr>
        <w:t>to provide answer</w:t>
      </w:r>
      <w:r w:rsidR="00DD4622" w:rsidRPr="00247D15">
        <w:rPr>
          <w:rFonts w:ascii="Times New Roman" w:hAnsi="Times New Roman" w:cs="Times New Roman"/>
        </w:rPr>
        <w:t>s</w:t>
      </w:r>
      <w:r w:rsidRPr="00247D15">
        <w:rPr>
          <w:rFonts w:ascii="Times New Roman" w:hAnsi="Times New Roman" w:cs="Times New Roman"/>
        </w:rPr>
        <w:t xml:space="preserve"> to </w:t>
      </w:r>
      <w:proofErr w:type="spellStart"/>
      <w:r w:rsidRPr="00247D15">
        <w:rPr>
          <w:rFonts w:ascii="Times New Roman" w:hAnsi="Times New Roman" w:cs="Times New Roman"/>
        </w:rPr>
        <w:t>Spiegelberg’s</w:t>
      </w:r>
      <w:proofErr w:type="spellEnd"/>
      <w:r w:rsidRPr="00247D15">
        <w:rPr>
          <w:rFonts w:ascii="Times New Roman" w:hAnsi="Times New Roman" w:cs="Times New Roman"/>
        </w:rPr>
        <w:t xml:space="preserve"> first </w:t>
      </w:r>
      <w:r w:rsidR="00DD4622" w:rsidRPr="00247D15">
        <w:rPr>
          <w:rFonts w:ascii="Times New Roman" w:hAnsi="Times New Roman" w:cs="Times New Roman"/>
        </w:rPr>
        <w:t>and fourth questions</w:t>
      </w:r>
      <w:r w:rsidR="0064157C" w:rsidRPr="00247D15">
        <w:rPr>
          <w:rFonts w:ascii="Times New Roman" w:hAnsi="Times New Roman" w:cs="Times New Roman"/>
        </w:rPr>
        <w:t xml:space="preserve">, namely </w:t>
      </w:r>
      <w:r w:rsidR="0076649A" w:rsidRPr="00247D15">
        <w:rPr>
          <w:rFonts w:ascii="Times New Roman" w:hAnsi="Times New Roman" w:cs="Times New Roman"/>
        </w:rPr>
        <w:t>‘</w:t>
      </w:r>
      <w:r w:rsidR="00296048" w:rsidRPr="00247D15">
        <w:rPr>
          <w:rFonts w:ascii="Times New Roman" w:hAnsi="Times New Roman" w:cs="Times New Roman"/>
        </w:rPr>
        <w:t>What did Wittgenstein really mean by “</w:t>
      </w:r>
      <w:proofErr w:type="spellStart"/>
      <w:r w:rsidR="00296048" w:rsidRPr="00247D15">
        <w:rPr>
          <w:rFonts w:ascii="Times New Roman" w:hAnsi="Times New Roman" w:cs="Times New Roman"/>
        </w:rPr>
        <w:t>Phänomenologie</w:t>
      </w:r>
      <w:proofErr w:type="spellEnd"/>
      <w:r w:rsidR="00296048" w:rsidRPr="00247D15">
        <w:rPr>
          <w:rFonts w:ascii="Times New Roman" w:hAnsi="Times New Roman" w:cs="Times New Roman"/>
        </w:rPr>
        <w:t>”?’ (</w:t>
      </w:r>
      <w:proofErr w:type="gramStart"/>
      <w:r w:rsidR="00296048" w:rsidRPr="00247D15">
        <w:rPr>
          <w:rFonts w:ascii="Times New Roman" w:hAnsi="Times New Roman" w:cs="Times New Roman"/>
        </w:rPr>
        <w:t>quoted</w:t>
      </w:r>
      <w:proofErr w:type="gramEnd"/>
      <w:r w:rsidR="00296048" w:rsidRPr="00247D15">
        <w:rPr>
          <w:rFonts w:ascii="Times New Roman" w:hAnsi="Times New Roman" w:cs="Times New Roman"/>
        </w:rPr>
        <w:t xml:space="preserve"> on p. 4)</w:t>
      </w:r>
      <w:r w:rsidR="00866589">
        <w:rPr>
          <w:rFonts w:ascii="Times New Roman" w:hAnsi="Times New Roman" w:cs="Times New Roman"/>
        </w:rPr>
        <w:t xml:space="preserve"> </w:t>
      </w:r>
      <w:r w:rsidR="00DD4622" w:rsidRPr="00247D15">
        <w:rPr>
          <w:rFonts w:ascii="Times New Roman" w:hAnsi="Times New Roman" w:cs="Times New Roman"/>
        </w:rPr>
        <w:t xml:space="preserve">and </w:t>
      </w:r>
      <w:r w:rsidR="00296048" w:rsidRPr="00247D15">
        <w:rPr>
          <w:rFonts w:ascii="Times New Roman" w:hAnsi="Times New Roman" w:cs="Times New Roman"/>
        </w:rPr>
        <w:t>‘what role the notion played in his philosophical development’ (p. 7).</w:t>
      </w:r>
      <w:r w:rsidR="00247D15" w:rsidRPr="00247D15">
        <w:rPr>
          <w:rStyle w:val="EndnoteReference"/>
          <w:rFonts w:ascii="Times New Roman" w:hAnsi="Times New Roman" w:cs="Times New Roman"/>
        </w:rPr>
        <w:endnoteReference w:id="1"/>
      </w:r>
      <w:r w:rsidR="00247D15" w:rsidRPr="00247D15">
        <w:rPr>
          <w:rFonts w:ascii="Times New Roman" w:hAnsi="Times New Roman" w:cs="Times New Roman"/>
        </w:rPr>
        <w:t xml:space="preserve"> Monk claims that by getting the correct answers, </w:t>
      </w:r>
      <w:r w:rsidR="008D6A10">
        <w:rPr>
          <w:rFonts w:ascii="Times New Roman" w:hAnsi="Times New Roman" w:cs="Times New Roman"/>
        </w:rPr>
        <w:t xml:space="preserve">the answer to </w:t>
      </w:r>
      <w:r w:rsidR="00247D15" w:rsidRPr="00247D15">
        <w:rPr>
          <w:rFonts w:ascii="Times New Roman" w:hAnsi="Times New Roman" w:cs="Times New Roman"/>
        </w:rPr>
        <w:t>‘when and why Wittgenstein abandoned the term’ (p.7) (</w:t>
      </w:r>
      <w:r w:rsidR="00236482">
        <w:rPr>
          <w:rFonts w:ascii="Times New Roman" w:hAnsi="Times New Roman" w:cs="Times New Roman"/>
        </w:rPr>
        <w:t xml:space="preserve">which </w:t>
      </w:r>
      <w:r w:rsidR="008D6A10">
        <w:rPr>
          <w:rFonts w:ascii="Times New Roman" w:hAnsi="Times New Roman" w:cs="Times New Roman"/>
        </w:rPr>
        <w:t xml:space="preserve">forms </w:t>
      </w:r>
      <w:proofErr w:type="spellStart"/>
      <w:r w:rsidR="00247D15" w:rsidRPr="00247D15">
        <w:rPr>
          <w:rFonts w:ascii="Times New Roman" w:hAnsi="Times New Roman" w:cs="Times New Roman"/>
        </w:rPr>
        <w:t>Spiegelberg’s</w:t>
      </w:r>
      <w:proofErr w:type="spellEnd"/>
      <w:r w:rsidR="00247D15" w:rsidRPr="00247D15">
        <w:rPr>
          <w:rFonts w:ascii="Times New Roman" w:hAnsi="Times New Roman" w:cs="Times New Roman"/>
        </w:rPr>
        <w:t xml:space="preserve"> third question)</w:t>
      </w:r>
      <w:r w:rsidR="008D6A10">
        <w:rPr>
          <w:rFonts w:ascii="Times New Roman" w:hAnsi="Times New Roman" w:cs="Times New Roman"/>
        </w:rPr>
        <w:t xml:space="preserve"> is reached</w:t>
      </w:r>
      <w:r w:rsidR="00247D15" w:rsidRPr="00247D15">
        <w:rPr>
          <w:rFonts w:ascii="Times New Roman" w:hAnsi="Times New Roman" w:cs="Times New Roman"/>
        </w:rPr>
        <w:t xml:space="preserve">. Monk also answers part of </w:t>
      </w:r>
      <w:proofErr w:type="spellStart"/>
      <w:r w:rsidR="00247D15" w:rsidRPr="00247D15">
        <w:rPr>
          <w:rFonts w:ascii="Times New Roman" w:hAnsi="Times New Roman" w:cs="Times New Roman"/>
        </w:rPr>
        <w:t>Spiegelberg’s</w:t>
      </w:r>
      <w:proofErr w:type="spellEnd"/>
      <w:r w:rsidR="00247D15" w:rsidRPr="00247D15">
        <w:rPr>
          <w:rFonts w:ascii="Times New Roman" w:hAnsi="Times New Roman" w:cs="Times New Roman"/>
        </w:rPr>
        <w:t xml:space="preserve"> second question regarding when Wittgenstein first adopted the term. </w:t>
      </w:r>
    </w:p>
    <w:p w:rsidR="00247D15" w:rsidRPr="00247D15" w:rsidRDefault="00247D15" w:rsidP="008F155F">
      <w:pPr>
        <w:spacing w:after="0" w:line="480" w:lineRule="auto"/>
        <w:ind w:firstLine="360"/>
        <w:rPr>
          <w:rFonts w:ascii="Times New Roman" w:hAnsi="Times New Roman" w:cs="Times New Roman"/>
        </w:rPr>
      </w:pPr>
      <w:r w:rsidRPr="00247D15">
        <w:rPr>
          <w:rFonts w:ascii="Times New Roman" w:hAnsi="Times New Roman" w:cs="Times New Roman"/>
        </w:rPr>
        <w:t xml:space="preserve">All the above relate to another part of </w:t>
      </w:r>
      <w:proofErr w:type="spellStart"/>
      <w:r w:rsidRPr="00247D15">
        <w:rPr>
          <w:rFonts w:ascii="Times New Roman" w:hAnsi="Times New Roman" w:cs="Times New Roman"/>
        </w:rPr>
        <w:t>Spiegelberg’s</w:t>
      </w:r>
      <w:proofErr w:type="spellEnd"/>
      <w:r w:rsidRPr="00247D15">
        <w:rPr>
          <w:rFonts w:ascii="Times New Roman" w:hAnsi="Times New Roman" w:cs="Times New Roman"/>
        </w:rPr>
        <w:t xml:space="preserve"> second question, namely that regarding Wittgenstein’s relation to ‘the phenomenological movement of the time’ (quoted on p. 4), which Monk very briefly touches on. With the exception of this latter issue, my response to Monk shall not focus on his answers to the prior questions which, as in </w:t>
      </w:r>
      <w:proofErr w:type="spellStart"/>
      <w:r w:rsidRPr="00247D15">
        <w:rPr>
          <w:rFonts w:ascii="Times New Roman" w:hAnsi="Times New Roman" w:cs="Times New Roman"/>
        </w:rPr>
        <w:t>Spiegelberg’s</w:t>
      </w:r>
      <w:proofErr w:type="spellEnd"/>
      <w:r w:rsidRPr="00247D15">
        <w:rPr>
          <w:rFonts w:ascii="Times New Roman" w:hAnsi="Times New Roman" w:cs="Times New Roman"/>
        </w:rPr>
        <w:t xml:space="preserve"> case, ‘presuppose a much fuller knowledge of Wittgenstein’s philosophy than I can muster’ (quoted on p. 5)</w:t>
      </w:r>
      <w:proofErr w:type="gramStart"/>
      <w:r w:rsidRPr="00247D15">
        <w:rPr>
          <w:rFonts w:ascii="Times New Roman" w:hAnsi="Times New Roman" w:cs="Times New Roman"/>
        </w:rPr>
        <w:t>.</w:t>
      </w:r>
      <w:proofErr w:type="gramEnd"/>
      <w:r w:rsidRPr="00247D15">
        <w:rPr>
          <w:rFonts w:ascii="Times New Roman" w:hAnsi="Times New Roman" w:cs="Times New Roman"/>
        </w:rPr>
        <w:t xml:space="preserve"> What follows restricts itself to a number of comments on the relation between the phenomenological movement, Wittgenstein, and early analytic philosophers he was in touch with at the time</w:t>
      </w:r>
      <w:r w:rsidRPr="00247D15">
        <w:rPr>
          <w:rFonts w:ascii="Times New Roman" w:hAnsi="Times New Roman" w:cs="Times New Roman"/>
          <w:b/>
        </w:rPr>
        <w:t>.</w:t>
      </w:r>
    </w:p>
    <w:p w:rsidR="00247D15" w:rsidRPr="00247D15" w:rsidRDefault="00247D15" w:rsidP="008F155F">
      <w:pPr>
        <w:spacing w:after="0" w:line="480" w:lineRule="auto"/>
        <w:ind w:firstLine="360"/>
        <w:rPr>
          <w:rFonts w:ascii="Times New Roman" w:hAnsi="Times New Roman" w:cs="Times New Roman"/>
        </w:rPr>
      </w:pPr>
      <w:r w:rsidRPr="00247D15">
        <w:rPr>
          <w:rFonts w:ascii="Times New Roman" w:hAnsi="Times New Roman" w:cs="Times New Roman"/>
        </w:rPr>
        <w:t>According to Monk, there are three possible ways to interpret Wittgenstein’s use of ‘</w:t>
      </w:r>
      <w:proofErr w:type="spellStart"/>
      <w:r w:rsidRPr="00247D15">
        <w:rPr>
          <w:rFonts w:ascii="Times New Roman" w:hAnsi="Times New Roman" w:cs="Times New Roman"/>
        </w:rPr>
        <w:t>Phänomenologie</w:t>
      </w:r>
      <w:proofErr w:type="spellEnd"/>
      <w:r w:rsidRPr="00247D15">
        <w:rPr>
          <w:rFonts w:ascii="Times New Roman" w:hAnsi="Times New Roman" w:cs="Times New Roman"/>
        </w:rPr>
        <w:t>’: (</w:t>
      </w:r>
      <w:proofErr w:type="spellStart"/>
      <w:r w:rsidRPr="00247D15">
        <w:rPr>
          <w:rFonts w:ascii="Times New Roman" w:hAnsi="Times New Roman" w:cs="Times New Roman"/>
        </w:rPr>
        <w:t>i</w:t>
      </w:r>
      <w:proofErr w:type="spellEnd"/>
      <w:r w:rsidRPr="00247D15">
        <w:rPr>
          <w:rFonts w:ascii="Times New Roman" w:hAnsi="Times New Roman" w:cs="Times New Roman"/>
        </w:rPr>
        <w:t xml:space="preserve">) Wittgenstein was a phenomenologist sometime between 1913 and 1929 (as the </w:t>
      </w:r>
      <w:proofErr w:type="spellStart"/>
      <w:r w:rsidRPr="00247D15">
        <w:rPr>
          <w:rFonts w:ascii="Times New Roman" w:hAnsi="Times New Roman" w:cs="Times New Roman"/>
        </w:rPr>
        <w:t>Hintikkas</w:t>
      </w:r>
      <w:proofErr w:type="spellEnd"/>
      <w:r w:rsidRPr="00247D15">
        <w:rPr>
          <w:rFonts w:ascii="Times New Roman" w:hAnsi="Times New Roman" w:cs="Times New Roman"/>
        </w:rPr>
        <w:t xml:space="preserve"> hold),</w:t>
      </w:r>
      <w:r w:rsidR="00D50763">
        <w:rPr>
          <w:rStyle w:val="EndnoteReference"/>
          <w:rFonts w:ascii="Times New Roman" w:hAnsi="Times New Roman" w:cs="Times New Roman"/>
        </w:rPr>
        <w:endnoteReference w:id="2"/>
      </w:r>
      <w:r w:rsidRPr="00247D15">
        <w:rPr>
          <w:rFonts w:ascii="Times New Roman" w:hAnsi="Times New Roman" w:cs="Times New Roman"/>
        </w:rPr>
        <w:t xml:space="preserve"> (ii) the flirtation with phenomenology lasted for a few months in 1929, or (iii) Wittgenstein became a phenomenologist in 1929 and remained so for the rest of his life (a position held by </w:t>
      </w:r>
      <w:proofErr w:type="spellStart"/>
      <w:r w:rsidRPr="00247D15">
        <w:rPr>
          <w:rFonts w:ascii="Times New Roman" w:hAnsi="Times New Roman" w:cs="Times New Roman"/>
        </w:rPr>
        <w:t>Spiegelberg</w:t>
      </w:r>
      <w:proofErr w:type="spellEnd"/>
      <w:r w:rsidR="00D50763">
        <w:rPr>
          <w:rStyle w:val="EndnoteReference"/>
          <w:rFonts w:ascii="Times New Roman" w:hAnsi="Times New Roman" w:cs="Times New Roman"/>
        </w:rPr>
        <w:endnoteReference w:id="3"/>
      </w:r>
      <w:r w:rsidRPr="00247D15">
        <w:rPr>
          <w:rFonts w:ascii="Times New Roman" w:hAnsi="Times New Roman" w:cs="Times New Roman"/>
        </w:rPr>
        <w:t xml:space="preserve"> and </w:t>
      </w:r>
      <w:proofErr w:type="spellStart"/>
      <w:r w:rsidRPr="00247D15">
        <w:rPr>
          <w:rFonts w:ascii="Times New Roman" w:hAnsi="Times New Roman" w:cs="Times New Roman"/>
        </w:rPr>
        <w:t>Gier</w:t>
      </w:r>
      <w:proofErr w:type="spellEnd"/>
      <w:r w:rsidR="00E8256E">
        <w:rPr>
          <w:rStyle w:val="EndnoteReference"/>
          <w:rFonts w:ascii="Times New Roman" w:hAnsi="Times New Roman" w:cs="Times New Roman"/>
        </w:rPr>
        <w:endnoteReference w:id="4"/>
      </w:r>
      <w:r w:rsidRPr="00247D15">
        <w:rPr>
          <w:rFonts w:ascii="Times New Roman" w:hAnsi="Times New Roman" w:cs="Times New Roman"/>
        </w:rPr>
        <w:t xml:space="preserve">). Monk attempts to demonstrate the truth of (ii). Monk clarifies, however, that he does not wish to challenge a toned down version of (iii) according to which Wittgenstein’s later work is in some sense phenomenological. After what one might call Wittgenstein’s brief </w:t>
      </w:r>
      <w:r w:rsidR="00833F66">
        <w:rPr>
          <w:rFonts w:ascii="Times New Roman" w:hAnsi="Times New Roman" w:cs="Times New Roman"/>
        </w:rPr>
        <w:t>‘</w:t>
      </w:r>
      <w:r w:rsidRPr="00247D15">
        <w:rPr>
          <w:rFonts w:ascii="Times New Roman" w:hAnsi="Times New Roman" w:cs="Times New Roman"/>
        </w:rPr>
        <w:t>flirtation</w:t>
      </w:r>
      <w:r w:rsidR="00833F66">
        <w:rPr>
          <w:rFonts w:ascii="Times New Roman" w:hAnsi="Times New Roman" w:cs="Times New Roman"/>
        </w:rPr>
        <w:t>’</w:t>
      </w:r>
      <w:r w:rsidR="00833F66">
        <w:rPr>
          <w:rStyle w:val="EndnoteReference"/>
          <w:rFonts w:ascii="Times New Roman" w:hAnsi="Times New Roman" w:cs="Times New Roman"/>
        </w:rPr>
        <w:endnoteReference w:id="5"/>
      </w:r>
      <w:r w:rsidRPr="00247D15">
        <w:rPr>
          <w:rFonts w:ascii="Times New Roman" w:hAnsi="Times New Roman" w:cs="Times New Roman"/>
        </w:rPr>
        <w:t xml:space="preserve"> with phenomenology in 1929, his work</w:t>
      </w:r>
      <w:r w:rsidR="00742F8B">
        <w:rPr>
          <w:rFonts w:ascii="Times New Roman" w:hAnsi="Times New Roman" w:cs="Times New Roman"/>
        </w:rPr>
        <w:t>, Monk contends,</w:t>
      </w:r>
      <w:r w:rsidRPr="00247D15">
        <w:rPr>
          <w:rFonts w:ascii="Times New Roman" w:hAnsi="Times New Roman" w:cs="Times New Roman"/>
        </w:rPr>
        <w:t xml:space="preserve"> is neither strictly speaking </w:t>
      </w:r>
      <w:proofErr w:type="spellStart"/>
      <w:r w:rsidRPr="00247D15">
        <w:rPr>
          <w:rFonts w:ascii="Times New Roman" w:hAnsi="Times New Roman" w:cs="Times New Roman"/>
        </w:rPr>
        <w:t>Husserlian</w:t>
      </w:r>
      <w:proofErr w:type="spellEnd"/>
      <w:r w:rsidRPr="00247D15">
        <w:rPr>
          <w:rFonts w:ascii="Times New Roman" w:hAnsi="Times New Roman" w:cs="Times New Roman"/>
        </w:rPr>
        <w:t>, nor post-</w:t>
      </w:r>
      <w:proofErr w:type="spellStart"/>
      <w:r w:rsidRPr="00247D15">
        <w:rPr>
          <w:rFonts w:ascii="Times New Roman" w:hAnsi="Times New Roman" w:cs="Times New Roman"/>
        </w:rPr>
        <w:t>Husserlian</w:t>
      </w:r>
      <w:proofErr w:type="spellEnd"/>
      <w:r w:rsidRPr="00247D15">
        <w:rPr>
          <w:rFonts w:ascii="Times New Roman" w:hAnsi="Times New Roman" w:cs="Times New Roman"/>
        </w:rPr>
        <w:t xml:space="preserve"> phenomenology.</w:t>
      </w:r>
      <w:r w:rsidRPr="00247D15">
        <w:rPr>
          <w:rStyle w:val="EndnoteReference"/>
          <w:rFonts w:ascii="Times New Roman" w:hAnsi="Times New Roman" w:cs="Times New Roman"/>
        </w:rPr>
        <w:endnoteReference w:id="6"/>
      </w:r>
    </w:p>
    <w:p w:rsidR="00662827" w:rsidRPr="00247D15" w:rsidRDefault="00662827" w:rsidP="008F155F">
      <w:pPr>
        <w:spacing w:after="0" w:line="480" w:lineRule="auto"/>
        <w:ind w:firstLine="360"/>
        <w:rPr>
          <w:rFonts w:ascii="Times New Roman" w:hAnsi="Times New Roman" w:cs="Times New Roman"/>
        </w:rPr>
      </w:pPr>
    </w:p>
    <w:p w:rsidR="00247D15" w:rsidRPr="002C1169" w:rsidRDefault="002C1169" w:rsidP="008F155F">
      <w:pPr>
        <w:spacing w:after="0" w:line="480" w:lineRule="auto"/>
        <w:jc w:val="center"/>
        <w:rPr>
          <w:rFonts w:ascii="Times New Roman" w:hAnsi="Times New Roman" w:cs="Times New Roman"/>
          <w:b/>
        </w:rPr>
      </w:pPr>
      <w:r>
        <w:rPr>
          <w:rFonts w:ascii="Times New Roman" w:hAnsi="Times New Roman" w:cs="Times New Roman"/>
          <w:b/>
        </w:rPr>
        <w:t>2</w:t>
      </w:r>
      <w:r w:rsidR="00247D15" w:rsidRPr="002C1169">
        <w:rPr>
          <w:rFonts w:ascii="Times New Roman" w:hAnsi="Times New Roman" w:cs="Times New Roman"/>
          <w:b/>
        </w:rPr>
        <w:t>.</w:t>
      </w:r>
      <w:r w:rsidRPr="002C1169">
        <w:rPr>
          <w:rFonts w:ascii="Times New Roman" w:hAnsi="Times New Roman" w:cs="Times New Roman"/>
          <w:b/>
        </w:rPr>
        <w:t xml:space="preserve"> Wittgenstein and Heidegger</w:t>
      </w:r>
    </w:p>
    <w:p w:rsidR="00247D15" w:rsidRPr="00247D15" w:rsidRDefault="00247D15" w:rsidP="008F155F">
      <w:pPr>
        <w:spacing w:after="0" w:line="480" w:lineRule="auto"/>
        <w:rPr>
          <w:rFonts w:ascii="Times New Roman" w:hAnsi="Times New Roman" w:cs="Times New Roman"/>
        </w:rPr>
      </w:pPr>
    </w:p>
    <w:p w:rsidR="00247D15" w:rsidRPr="00247D15" w:rsidRDefault="00247D15" w:rsidP="008F155F">
      <w:pPr>
        <w:spacing w:after="0" w:line="480" w:lineRule="auto"/>
        <w:rPr>
          <w:rFonts w:ascii="Times New Roman" w:hAnsi="Times New Roman" w:cs="Times New Roman"/>
        </w:rPr>
      </w:pPr>
      <w:r w:rsidRPr="00247D15">
        <w:rPr>
          <w:rFonts w:ascii="Times New Roman" w:hAnsi="Times New Roman" w:cs="Times New Roman"/>
        </w:rPr>
        <w:lastRenderedPageBreak/>
        <w:t xml:space="preserve">Monk contrasts Wittgenstein’s relation to phenomenology with the distinction between analytic philosophy and phenomenology presented at the 1959 </w:t>
      </w:r>
      <w:proofErr w:type="spellStart"/>
      <w:r w:rsidRPr="00247D15">
        <w:rPr>
          <w:rFonts w:ascii="Times New Roman" w:hAnsi="Times New Roman" w:cs="Times New Roman"/>
        </w:rPr>
        <w:t>Royaumont</w:t>
      </w:r>
      <w:proofErr w:type="spellEnd"/>
      <w:r w:rsidRPr="00247D15">
        <w:rPr>
          <w:rFonts w:ascii="Times New Roman" w:hAnsi="Times New Roman" w:cs="Times New Roman"/>
        </w:rPr>
        <w:t xml:space="preserve"> colloquium. In particular he refers to ‘</w:t>
      </w:r>
      <w:r w:rsidRPr="00247D15">
        <w:rPr>
          <w:rFonts w:ascii="Times New Roman" w:eastAsia="Times New Roman" w:hAnsi="Times New Roman" w:cs="Times New Roman"/>
          <w:bCs/>
        </w:rPr>
        <w:t>Ryle’s dismissive attitude towards Husserl’ which ‘contrasted sharply with his admiration for Wittgenstein’ (pp. 2-3)</w:t>
      </w:r>
      <w:r w:rsidRPr="00247D15">
        <w:rPr>
          <w:rFonts w:ascii="Times New Roman" w:hAnsi="Times New Roman" w:cs="Times New Roman"/>
        </w:rPr>
        <w:t xml:space="preserve">. Yet this contrast is complicated by Ryle’s claim that </w:t>
      </w:r>
      <w:r w:rsidRPr="00247D15">
        <w:rPr>
          <w:rFonts w:ascii="Times New Roman" w:hAnsi="Times New Roman" w:cs="Times New Roman"/>
          <w:i/>
        </w:rPr>
        <w:t>The Concept of Mind</w:t>
      </w:r>
      <w:r w:rsidRPr="00247D15">
        <w:rPr>
          <w:rFonts w:ascii="Times New Roman" w:hAnsi="Times New Roman" w:cs="Times New Roman"/>
        </w:rPr>
        <w:t xml:space="preserve"> ‘could be described as a sustained essay in phenomenology, if you are at home with that label’.</w:t>
      </w:r>
      <w:r w:rsidRPr="00247D15">
        <w:rPr>
          <w:rStyle w:val="EndnoteReference"/>
          <w:rFonts w:ascii="Times New Roman" w:hAnsi="Times New Roman" w:cs="Times New Roman"/>
        </w:rPr>
        <w:endnoteReference w:id="7"/>
      </w:r>
      <w:r w:rsidRPr="00247D15">
        <w:rPr>
          <w:rFonts w:ascii="Times New Roman" w:hAnsi="Times New Roman" w:cs="Times New Roman"/>
        </w:rPr>
        <w:t xml:space="preserve"> Furthermore, it would be inappropriate to describe Ryle’s presentation of Wittgenstein in that paper as one of ‘admiration’ without clarifying that Ryle’s intention is to counter the idea that philosophy should follow some master-thinker.</w:t>
      </w:r>
      <w:r w:rsidRPr="00247D15">
        <w:rPr>
          <w:rStyle w:val="EndnoteReference"/>
          <w:rFonts w:ascii="Times New Roman" w:hAnsi="Times New Roman" w:cs="Times New Roman"/>
        </w:rPr>
        <w:endnoteReference w:id="8"/>
      </w:r>
      <w:r w:rsidRPr="00247D15">
        <w:rPr>
          <w:rFonts w:ascii="Times New Roman" w:hAnsi="Times New Roman" w:cs="Times New Roman"/>
        </w:rPr>
        <w:t xml:space="preserve"> A related misunderstanding allowed the </w:t>
      </w:r>
      <w:proofErr w:type="spellStart"/>
      <w:r w:rsidRPr="00247D15">
        <w:rPr>
          <w:rFonts w:ascii="Times New Roman" w:hAnsi="Times New Roman" w:cs="Times New Roman"/>
        </w:rPr>
        <w:t>Royaumont</w:t>
      </w:r>
      <w:proofErr w:type="spellEnd"/>
      <w:r w:rsidRPr="00247D15">
        <w:rPr>
          <w:rFonts w:ascii="Times New Roman" w:hAnsi="Times New Roman" w:cs="Times New Roman"/>
        </w:rPr>
        <w:t xml:space="preserve"> colloquium to be seen as a clash between analytic philosophy and phenomenology: Ryle was asked by </w:t>
      </w:r>
      <w:proofErr w:type="spellStart"/>
      <w:r w:rsidRPr="00247D15">
        <w:rPr>
          <w:rFonts w:ascii="Times New Roman" w:hAnsi="Times New Roman" w:cs="Times New Roman"/>
        </w:rPr>
        <w:t>Merleau-Ponty</w:t>
      </w:r>
      <w:proofErr w:type="spellEnd"/>
      <w:r w:rsidRPr="00247D15">
        <w:rPr>
          <w:rFonts w:ascii="Times New Roman" w:hAnsi="Times New Roman" w:cs="Times New Roman"/>
        </w:rPr>
        <w:t xml:space="preserve"> whether he was member of a philosophical school founded by Russell and Wittgenstein, to which Ryle replied that ‘I hope not’.</w:t>
      </w:r>
      <w:r w:rsidRPr="00247D15">
        <w:rPr>
          <w:rStyle w:val="EndnoteReference"/>
          <w:rFonts w:ascii="Times New Roman" w:hAnsi="Times New Roman" w:cs="Times New Roman"/>
        </w:rPr>
        <w:endnoteReference w:id="9"/>
      </w:r>
      <w:r w:rsidRPr="00247D15">
        <w:rPr>
          <w:rFonts w:ascii="Times New Roman" w:hAnsi="Times New Roman" w:cs="Times New Roman"/>
        </w:rPr>
        <w:t xml:space="preserve"> This was then misquoted, making Ryle appear to be saying that he hopes that he is not a phenomenologist.</w:t>
      </w:r>
      <w:r w:rsidRPr="00247D15">
        <w:rPr>
          <w:rStyle w:val="EndnoteReference"/>
          <w:rFonts w:ascii="Times New Roman" w:hAnsi="Times New Roman" w:cs="Times New Roman"/>
        </w:rPr>
        <w:endnoteReference w:id="10"/>
      </w:r>
    </w:p>
    <w:p w:rsidR="00247D15" w:rsidRPr="00247D15" w:rsidRDefault="00247D15" w:rsidP="008F155F">
      <w:pPr>
        <w:spacing w:after="0" w:line="480" w:lineRule="auto"/>
        <w:ind w:firstLine="360"/>
        <w:rPr>
          <w:rFonts w:ascii="Times New Roman" w:hAnsi="Times New Roman" w:cs="Times New Roman"/>
        </w:rPr>
      </w:pPr>
      <w:r w:rsidRPr="00247D15">
        <w:rPr>
          <w:rFonts w:ascii="Times New Roman" w:hAnsi="Times New Roman" w:cs="Times New Roman"/>
        </w:rPr>
        <w:t>Ryle started his academic career as a phenomenologist (and despite subsequent polemical remarks this might have influenced his later work).</w:t>
      </w:r>
      <w:r w:rsidRPr="00247D15">
        <w:rPr>
          <w:rStyle w:val="EndnoteReference"/>
          <w:rFonts w:ascii="Times New Roman" w:hAnsi="Times New Roman" w:cs="Times New Roman"/>
        </w:rPr>
        <w:endnoteReference w:id="11"/>
      </w:r>
      <w:r w:rsidRPr="00247D15">
        <w:rPr>
          <w:rFonts w:ascii="Times New Roman" w:hAnsi="Times New Roman" w:cs="Times New Roman"/>
        </w:rPr>
        <w:t xml:space="preserve"> And he was not the only philosopher close to Wittgenstein that was, at the time, interested in phenomenology.</w:t>
      </w:r>
      <w:r w:rsidRPr="00247D15">
        <w:rPr>
          <w:rStyle w:val="EndnoteReference"/>
          <w:rFonts w:ascii="Times New Roman" w:hAnsi="Times New Roman" w:cs="Times New Roman"/>
        </w:rPr>
        <w:endnoteReference w:id="12"/>
      </w:r>
      <w:r w:rsidRPr="00247D15">
        <w:rPr>
          <w:rFonts w:ascii="Times New Roman" w:hAnsi="Times New Roman" w:cs="Times New Roman"/>
        </w:rPr>
        <w:t xml:space="preserve"> Rudolf </w:t>
      </w:r>
      <w:proofErr w:type="spellStart"/>
      <w:r w:rsidRPr="00247D15">
        <w:rPr>
          <w:rFonts w:ascii="Times New Roman" w:hAnsi="Times New Roman" w:cs="Times New Roman"/>
        </w:rPr>
        <w:t>Carnap</w:t>
      </w:r>
      <w:proofErr w:type="spellEnd"/>
      <w:r w:rsidRPr="00247D15">
        <w:rPr>
          <w:rFonts w:ascii="Times New Roman" w:hAnsi="Times New Roman" w:cs="Times New Roman"/>
        </w:rPr>
        <w:t xml:space="preserve"> studied under </w:t>
      </w:r>
      <w:r w:rsidR="00134BC0">
        <w:rPr>
          <w:rFonts w:ascii="Times New Roman" w:hAnsi="Times New Roman" w:cs="Times New Roman"/>
        </w:rPr>
        <w:t xml:space="preserve">and </w:t>
      </w:r>
      <w:r w:rsidRPr="00247D15">
        <w:rPr>
          <w:rFonts w:ascii="Times New Roman" w:hAnsi="Times New Roman" w:cs="Times New Roman"/>
        </w:rPr>
        <w:t>was influenced by Husserl, though after 1928 there are few references to Husserl in his work.</w:t>
      </w:r>
      <w:r w:rsidRPr="00247D15">
        <w:rPr>
          <w:rStyle w:val="EndnoteReference"/>
          <w:rFonts w:ascii="Times New Roman" w:hAnsi="Times New Roman" w:cs="Times New Roman"/>
        </w:rPr>
        <w:endnoteReference w:id="13"/>
      </w:r>
      <w:r w:rsidRPr="00247D15">
        <w:rPr>
          <w:rFonts w:ascii="Times New Roman" w:hAnsi="Times New Roman" w:cs="Times New Roman"/>
        </w:rPr>
        <w:t xml:space="preserve"> By contrast, Moritz </w:t>
      </w:r>
      <w:proofErr w:type="spellStart"/>
      <w:r w:rsidRPr="00247D15">
        <w:rPr>
          <w:rFonts w:ascii="Times New Roman" w:hAnsi="Times New Roman" w:cs="Times New Roman"/>
        </w:rPr>
        <w:t>Schlick</w:t>
      </w:r>
      <w:proofErr w:type="spellEnd"/>
      <w:r w:rsidRPr="00247D15">
        <w:rPr>
          <w:rFonts w:ascii="Times New Roman" w:hAnsi="Times New Roman" w:cs="Times New Roman"/>
        </w:rPr>
        <w:t xml:space="preserve"> had already been involved in a polemical exchange with Husserl a decade earlier, and as Monk also mentions (p. 9), referred to Wittgenstein in his arguments against phenomenology in 1929.</w:t>
      </w:r>
      <w:r w:rsidRPr="00247D15">
        <w:rPr>
          <w:rStyle w:val="EndnoteReference"/>
          <w:rFonts w:ascii="Times New Roman" w:hAnsi="Times New Roman" w:cs="Times New Roman"/>
        </w:rPr>
        <w:endnoteReference w:id="14"/>
      </w:r>
    </w:p>
    <w:p w:rsidR="00247D15" w:rsidRPr="00247D15" w:rsidRDefault="00247D15" w:rsidP="008F155F">
      <w:pPr>
        <w:spacing w:after="0" w:line="480" w:lineRule="auto"/>
        <w:ind w:firstLine="360"/>
        <w:rPr>
          <w:rFonts w:ascii="Times New Roman" w:hAnsi="Times New Roman" w:cs="Times New Roman"/>
        </w:rPr>
      </w:pPr>
      <w:r w:rsidRPr="00247D15">
        <w:rPr>
          <w:rFonts w:ascii="Times New Roman" w:hAnsi="Times New Roman" w:cs="Times New Roman"/>
        </w:rPr>
        <w:t xml:space="preserve">In 1929 </w:t>
      </w:r>
      <w:proofErr w:type="spellStart"/>
      <w:r w:rsidRPr="00247D15">
        <w:rPr>
          <w:rFonts w:ascii="Times New Roman" w:hAnsi="Times New Roman" w:cs="Times New Roman"/>
        </w:rPr>
        <w:t>Carnap</w:t>
      </w:r>
      <w:proofErr w:type="spellEnd"/>
      <w:r w:rsidRPr="00247D15">
        <w:rPr>
          <w:rFonts w:ascii="Times New Roman" w:hAnsi="Times New Roman" w:cs="Times New Roman"/>
        </w:rPr>
        <w:t xml:space="preserve"> and Ryle both seem to have turned their attention towards a significant development in the phenomenological movement, namely Heidegger’s rise to prominence</w:t>
      </w:r>
      <w:r w:rsidR="00297E63">
        <w:rPr>
          <w:rFonts w:ascii="Times New Roman" w:hAnsi="Times New Roman" w:cs="Times New Roman"/>
        </w:rPr>
        <w:t xml:space="preserve"> through his assumption of Husserl’s chair at Freiburg</w:t>
      </w:r>
      <w:r w:rsidRPr="00247D15">
        <w:rPr>
          <w:rFonts w:ascii="Times New Roman" w:hAnsi="Times New Roman" w:cs="Times New Roman"/>
        </w:rPr>
        <w:t xml:space="preserve">. Ryle’s first publication, in 1929, was a review of Heidegger’s </w:t>
      </w:r>
      <w:r w:rsidRPr="00247D15">
        <w:rPr>
          <w:rFonts w:ascii="Times New Roman" w:hAnsi="Times New Roman" w:cs="Times New Roman"/>
          <w:i/>
        </w:rPr>
        <w:t xml:space="preserve">Sein und </w:t>
      </w:r>
      <w:proofErr w:type="spellStart"/>
      <w:r w:rsidRPr="00247D15">
        <w:rPr>
          <w:rFonts w:ascii="Times New Roman" w:hAnsi="Times New Roman" w:cs="Times New Roman"/>
          <w:i/>
        </w:rPr>
        <w:t>Zeit</w:t>
      </w:r>
      <w:proofErr w:type="spellEnd"/>
      <w:r w:rsidRPr="00247D15">
        <w:rPr>
          <w:rFonts w:ascii="Times New Roman" w:hAnsi="Times New Roman" w:cs="Times New Roman"/>
        </w:rPr>
        <w:t>, which though otherwise largely sympathetic, concludes that ‘</w:t>
      </w:r>
      <w:r w:rsidRPr="00247D15">
        <w:rPr>
          <w:rFonts w:ascii="Times New Roman" w:hAnsi="Times New Roman" w:cs="Times New Roman"/>
          <w:i/>
        </w:rPr>
        <w:t>qua</w:t>
      </w:r>
      <w:r w:rsidRPr="00247D15">
        <w:rPr>
          <w:rFonts w:ascii="Times New Roman" w:hAnsi="Times New Roman" w:cs="Times New Roman"/>
        </w:rPr>
        <w:t xml:space="preserve"> First Philosophy Phenomenology is at present heading for bankruptcy and disaster and will end either in self-ruinous Subjectivism or in a windy mysticism’.</w:t>
      </w:r>
      <w:r w:rsidRPr="00247D15">
        <w:rPr>
          <w:rStyle w:val="EndnoteReference"/>
          <w:rFonts w:ascii="Times New Roman" w:hAnsi="Times New Roman" w:cs="Times New Roman"/>
        </w:rPr>
        <w:endnoteReference w:id="15"/>
      </w:r>
      <w:r w:rsidRPr="00247D15">
        <w:rPr>
          <w:rFonts w:ascii="Times New Roman" w:hAnsi="Times New Roman" w:cs="Times New Roman"/>
        </w:rPr>
        <w:t xml:space="preserve"> In that same year, </w:t>
      </w:r>
      <w:proofErr w:type="spellStart"/>
      <w:r w:rsidRPr="00247D15">
        <w:rPr>
          <w:rFonts w:ascii="Times New Roman" w:hAnsi="Times New Roman" w:cs="Times New Roman"/>
        </w:rPr>
        <w:t>Carnap</w:t>
      </w:r>
      <w:proofErr w:type="spellEnd"/>
      <w:r w:rsidRPr="00247D15">
        <w:rPr>
          <w:rFonts w:ascii="Times New Roman" w:hAnsi="Times New Roman" w:cs="Times New Roman"/>
        </w:rPr>
        <w:t xml:space="preserve"> had met with Heidegger at the ‘Locarno </w:t>
      </w:r>
      <w:r w:rsidR="00662827">
        <w:rPr>
          <w:rFonts w:ascii="Times New Roman" w:hAnsi="Times New Roman" w:cs="Times New Roman"/>
        </w:rPr>
        <w:t>for</w:t>
      </w:r>
      <w:r w:rsidRPr="00247D15">
        <w:rPr>
          <w:rFonts w:ascii="Times New Roman" w:hAnsi="Times New Roman" w:cs="Times New Roman"/>
        </w:rPr>
        <w:t xml:space="preserve"> intellectuals’,</w:t>
      </w:r>
      <w:r w:rsidR="00662827">
        <w:rPr>
          <w:rStyle w:val="EndnoteReference"/>
          <w:rFonts w:ascii="Times New Roman" w:hAnsi="Times New Roman" w:cs="Times New Roman"/>
        </w:rPr>
        <w:endnoteReference w:id="16"/>
      </w:r>
      <w:r w:rsidRPr="00247D15">
        <w:rPr>
          <w:rFonts w:ascii="Times New Roman" w:hAnsi="Times New Roman" w:cs="Times New Roman"/>
        </w:rPr>
        <w:t xml:space="preserve"> a gathering of Francophone and </w:t>
      </w:r>
      <w:proofErr w:type="spellStart"/>
      <w:r w:rsidRPr="00247D15">
        <w:rPr>
          <w:rFonts w:ascii="Times New Roman" w:hAnsi="Times New Roman" w:cs="Times New Roman"/>
        </w:rPr>
        <w:t>Germanophone</w:t>
      </w:r>
      <w:proofErr w:type="spellEnd"/>
      <w:r w:rsidRPr="00247D15">
        <w:rPr>
          <w:rFonts w:ascii="Times New Roman" w:hAnsi="Times New Roman" w:cs="Times New Roman"/>
        </w:rPr>
        <w:t xml:space="preserve"> philosophers at Davos, where Heidegger would dispute with the leading Marburg Neo-Kantian, Ernst Cassirer. After Heidegger’s supposed ‘victory’ at Davos,</w:t>
      </w:r>
      <w:r w:rsidRPr="00247D15">
        <w:rPr>
          <w:rStyle w:val="EndnoteReference"/>
          <w:rFonts w:ascii="Times New Roman" w:hAnsi="Times New Roman" w:cs="Times New Roman"/>
        </w:rPr>
        <w:endnoteReference w:id="17"/>
      </w:r>
      <w:r w:rsidRPr="00247D15">
        <w:rPr>
          <w:rFonts w:ascii="Times New Roman" w:hAnsi="Times New Roman" w:cs="Times New Roman"/>
        </w:rPr>
        <w:t xml:space="preserve"> </w:t>
      </w:r>
      <w:r w:rsidRPr="00247D15">
        <w:rPr>
          <w:rFonts w:ascii="Times New Roman" w:hAnsi="Times New Roman" w:cs="Times New Roman"/>
        </w:rPr>
        <w:lastRenderedPageBreak/>
        <w:t xml:space="preserve">followed by Heidegger’s inaugural lecture at Freiburg titled ‘What is Metaphysics?’, </w:t>
      </w:r>
      <w:proofErr w:type="spellStart"/>
      <w:r w:rsidRPr="00247D15">
        <w:rPr>
          <w:rFonts w:ascii="Times New Roman" w:hAnsi="Times New Roman" w:cs="Times New Roman"/>
        </w:rPr>
        <w:t>Carnap</w:t>
      </w:r>
      <w:proofErr w:type="spellEnd"/>
      <w:r w:rsidRPr="00247D15">
        <w:rPr>
          <w:rFonts w:ascii="Times New Roman" w:hAnsi="Times New Roman" w:cs="Times New Roman"/>
        </w:rPr>
        <w:t xml:space="preserve"> would start using phrases from Heidegger (e.g. ‘Das </w:t>
      </w:r>
      <w:proofErr w:type="spellStart"/>
      <w:r w:rsidRPr="00247D15">
        <w:rPr>
          <w:rFonts w:ascii="Times New Roman" w:hAnsi="Times New Roman" w:cs="Times New Roman"/>
        </w:rPr>
        <w:t>Nichts</w:t>
      </w:r>
      <w:proofErr w:type="spellEnd"/>
      <w:r w:rsidRPr="00247D15">
        <w:rPr>
          <w:rFonts w:ascii="Times New Roman" w:hAnsi="Times New Roman" w:cs="Times New Roman"/>
        </w:rPr>
        <w:t xml:space="preserve"> </w:t>
      </w:r>
      <w:proofErr w:type="spellStart"/>
      <w:r w:rsidRPr="00247D15">
        <w:rPr>
          <w:rFonts w:ascii="Times New Roman" w:hAnsi="Times New Roman" w:cs="Times New Roman"/>
        </w:rPr>
        <w:t>nichtet</w:t>
      </w:r>
      <w:proofErr w:type="spellEnd"/>
      <w:r w:rsidRPr="00247D15">
        <w:rPr>
          <w:rFonts w:ascii="Times New Roman" w:hAnsi="Times New Roman" w:cs="Times New Roman"/>
        </w:rPr>
        <w:t>’) as examples of metaphysical nonsense.</w:t>
      </w:r>
      <w:r w:rsidRPr="00247D15">
        <w:rPr>
          <w:rStyle w:val="EndnoteReference"/>
          <w:rFonts w:ascii="Times New Roman" w:hAnsi="Times New Roman" w:cs="Times New Roman"/>
        </w:rPr>
        <w:endnoteReference w:id="18"/>
      </w:r>
    </w:p>
    <w:p w:rsidR="00297499" w:rsidRDefault="00D22B1F" w:rsidP="008F155F">
      <w:pPr>
        <w:spacing w:after="0" w:line="480" w:lineRule="auto"/>
        <w:ind w:firstLine="360"/>
        <w:rPr>
          <w:rFonts w:ascii="Times New Roman" w:hAnsi="Times New Roman" w:cs="Times New Roman"/>
        </w:rPr>
      </w:pPr>
      <w:r>
        <w:rPr>
          <w:rFonts w:ascii="Times New Roman" w:hAnsi="Times New Roman" w:cs="Times New Roman"/>
        </w:rPr>
        <w:t xml:space="preserve">During the last months of </w:t>
      </w:r>
      <w:r w:rsidR="00247D15" w:rsidRPr="00247D15">
        <w:rPr>
          <w:rFonts w:ascii="Times New Roman" w:hAnsi="Times New Roman" w:cs="Times New Roman"/>
        </w:rPr>
        <w:t>1929,</w:t>
      </w:r>
      <w:r>
        <w:rPr>
          <w:rStyle w:val="EndnoteReference"/>
          <w:rFonts w:ascii="Times New Roman" w:hAnsi="Times New Roman" w:cs="Times New Roman"/>
        </w:rPr>
        <w:endnoteReference w:id="19"/>
      </w:r>
      <w:r w:rsidR="00247D15" w:rsidRPr="00247D15">
        <w:rPr>
          <w:rFonts w:ascii="Times New Roman" w:hAnsi="Times New Roman" w:cs="Times New Roman"/>
        </w:rPr>
        <w:t xml:space="preserve"> apart from the comments on Husserl Monk mentions, Wittgenstein would also claim that</w:t>
      </w:r>
    </w:p>
    <w:p w:rsidR="00297499" w:rsidRDefault="00297499" w:rsidP="008F155F">
      <w:pPr>
        <w:spacing w:after="0" w:line="480" w:lineRule="auto"/>
        <w:rPr>
          <w:rFonts w:ascii="Times New Roman" w:hAnsi="Times New Roman" w:cs="Times New Roman"/>
        </w:rPr>
      </w:pPr>
    </w:p>
    <w:p w:rsidR="00297499" w:rsidRDefault="00297499" w:rsidP="008F155F">
      <w:pPr>
        <w:spacing w:after="0" w:line="480" w:lineRule="auto"/>
        <w:ind w:left="360"/>
        <w:rPr>
          <w:rFonts w:ascii="Times New Roman" w:hAnsi="Times New Roman" w:cs="Times New Roman"/>
        </w:rPr>
      </w:pPr>
      <w:r w:rsidRPr="00297499">
        <w:rPr>
          <w:rFonts w:ascii="Times New Roman" w:hAnsi="Times New Roman" w:cs="Times New Roman"/>
        </w:rPr>
        <w:t>I can readily think what Heidegger means by Being and Dread. Man has the impulse to run up against the limits of language. Think, for example, of the astonishment that anything exists. This astonishment cannot be expressed in the form of a question, and there is also no answer to it. Everything which we feel like saying can, a priori, only be nonsense. Nevertheless, we do run up against the limits of language</w:t>
      </w:r>
      <w:r w:rsidR="00247D15" w:rsidRPr="00297499">
        <w:rPr>
          <w:rFonts w:ascii="Times New Roman" w:hAnsi="Times New Roman" w:cs="Times New Roman"/>
        </w:rPr>
        <w:t>.</w:t>
      </w:r>
      <w:r w:rsidR="00247D15" w:rsidRPr="00297499">
        <w:rPr>
          <w:rStyle w:val="EndnoteReference"/>
          <w:rFonts w:ascii="Times New Roman" w:hAnsi="Times New Roman" w:cs="Times New Roman"/>
        </w:rPr>
        <w:endnoteReference w:id="20"/>
      </w:r>
    </w:p>
    <w:p w:rsidR="00297499" w:rsidRPr="00297499" w:rsidRDefault="00297499" w:rsidP="008F155F">
      <w:pPr>
        <w:spacing w:after="0" w:line="480" w:lineRule="auto"/>
        <w:ind w:left="360"/>
        <w:rPr>
          <w:rFonts w:ascii="Times New Roman" w:hAnsi="Times New Roman" w:cs="Times New Roman"/>
        </w:rPr>
      </w:pPr>
    </w:p>
    <w:p w:rsidR="00C97BF6" w:rsidRDefault="00D22B1F" w:rsidP="008F155F">
      <w:pPr>
        <w:spacing w:after="0" w:line="480" w:lineRule="auto"/>
        <w:rPr>
          <w:rFonts w:ascii="Times New Roman" w:hAnsi="Times New Roman" w:cs="Times New Roman"/>
        </w:rPr>
      </w:pPr>
      <w:r>
        <w:rPr>
          <w:rFonts w:ascii="Times New Roman" w:hAnsi="Times New Roman" w:cs="Times New Roman"/>
        </w:rPr>
        <w:t xml:space="preserve">It is not clear, thus, that </w:t>
      </w:r>
      <w:r w:rsidR="00247D15" w:rsidRPr="00247D15">
        <w:rPr>
          <w:rFonts w:ascii="Times New Roman" w:hAnsi="Times New Roman" w:cs="Times New Roman"/>
        </w:rPr>
        <w:t>Wittgenstein</w:t>
      </w:r>
      <w:r w:rsidR="00297499">
        <w:rPr>
          <w:rFonts w:ascii="Times New Roman" w:hAnsi="Times New Roman" w:cs="Times New Roman"/>
        </w:rPr>
        <w:t xml:space="preserve"> would agree with </w:t>
      </w:r>
      <w:proofErr w:type="spellStart"/>
      <w:r w:rsidR="00247D15" w:rsidRPr="00247D15">
        <w:rPr>
          <w:rFonts w:ascii="Times New Roman" w:hAnsi="Times New Roman" w:cs="Times New Roman"/>
        </w:rPr>
        <w:t>Carnap</w:t>
      </w:r>
      <w:proofErr w:type="spellEnd"/>
      <w:r w:rsidR="00297499">
        <w:rPr>
          <w:rFonts w:ascii="Times New Roman" w:hAnsi="Times New Roman" w:cs="Times New Roman"/>
        </w:rPr>
        <w:t xml:space="preserve"> regarding the polemical conclusions the latter reaches through seeing </w:t>
      </w:r>
      <w:r w:rsidR="00247D15" w:rsidRPr="00247D15">
        <w:rPr>
          <w:rFonts w:ascii="Times New Roman" w:hAnsi="Times New Roman" w:cs="Times New Roman"/>
        </w:rPr>
        <w:t>Heidegger’s work as nonsense.</w:t>
      </w:r>
      <w:r w:rsidR="00247D15" w:rsidRPr="00247D15">
        <w:rPr>
          <w:rStyle w:val="EndnoteReference"/>
          <w:rFonts w:ascii="Times New Roman" w:hAnsi="Times New Roman" w:cs="Times New Roman"/>
        </w:rPr>
        <w:endnoteReference w:id="21"/>
      </w:r>
      <w:r>
        <w:rPr>
          <w:rFonts w:ascii="Times New Roman" w:hAnsi="Times New Roman" w:cs="Times New Roman"/>
        </w:rPr>
        <w:t xml:space="preserve"> </w:t>
      </w:r>
      <w:r w:rsidR="00297499">
        <w:rPr>
          <w:rFonts w:ascii="Times New Roman" w:hAnsi="Times New Roman" w:cs="Times New Roman"/>
        </w:rPr>
        <w:t xml:space="preserve">Wittgenstein’s declaration of sympathy for Heidegger appears to be in line with </w:t>
      </w:r>
      <w:r w:rsidR="00E504D7">
        <w:rPr>
          <w:rFonts w:ascii="Times New Roman" w:hAnsi="Times New Roman" w:cs="Times New Roman"/>
        </w:rPr>
        <w:t>Monk’s claim that Wittgenstein had his mind set against phenomenology by the end of 1929.</w:t>
      </w:r>
      <w:r w:rsidR="00E504D7">
        <w:rPr>
          <w:rStyle w:val="EndnoteReference"/>
          <w:rFonts w:ascii="Times New Roman" w:hAnsi="Times New Roman" w:cs="Times New Roman"/>
        </w:rPr>
        <w:endnoteReference w:id="22"/>
      </w:r>
      <w:r w:rsidR="00297499">
        <w:rPr>
          <w:rFonts w:ascii="Times New Roman" w:hAnsi="Times New Roman" w:cs="Times New Roman"/>
        </w:rPr>
        <w:t xml:space="preserve"> It might be a form of </w:t>
      </w:r>
      <w:r w:rsidR="00662827">
        <w:rPr>
          <w:rFonts w:ascii="Times New Roman" w:hAnsi="Times New Roman" w:cs="Times New Roman"/>
        </w:rPr>
        <w:t xml:space="preserve">the </w:t>
      </w:r>
      <w:r w:rsidR="00297499">
        <w:rPr>
          <w:rFonts w:ascii="Times New Roman" w:hAnsi="Times New Roman" w:cs="Times New Roman"/>
        </w:rPr>
        <w:t xml:space="preserve">temptation towards phenomenology that Wittgenstein had recently overcome which leads Heidegger to </w:t>
      </w:r>
      <w:r w:rsidR="002C1169">
        <w:rPr>
          <w:rFonts w:ascii="Times New Roman" w:hAnsi="Times New Roman" w:cs="Times New Roman"/>
        </w:rPr>
        <w:t>‘</w:t>
      </w:r>
      <w:r w:rsidR="00297499">
        <w:rPr>
          <w:rFonts w:ascii="Times New Roman" w:hAnsi="Times New Roman" w:cs="Times New Roman"/>
        </w:rPr>
        <w:t>run up against the limits of language’.</w:t>
      </w:r>
    </w:p>
    <w:p w:rsidR="00247D15" w:rsidRPr="00247D15" w:rsidRDefault="00C97BF6" w:rsidP="008F155F">
      <w:pPr>
        <w:spacing w:after="0" w:line="480" w:lineRule="auto"/>
        <w:ind w:firstLine="360"/>
        <w:rPr>
          <w:rFonts w:ascii="Times New Roman" w:hAnsi="Times New Roman" w:cs="Times New Roman"/>
        </w:rPr>
      </w:pPr>
      <w:r>
        <w:rPr>
          <w:rFonts w:ascii="Times New Roman" w:hAnsi="Times New Roman" w:cs="Times New Roman"/>
        </w:rPr>
        <w:t xml:space="preserve">Of course this would hinge on the relation between Wittgenstein’s remarks on Heidegger and his conception of phenomenology. </w:t>
      </w:r>
      <w:r w:rsidR="00247D15" w:rsidRPr="00247D15">
        <w:rPr>
          <w:rFonts w:ascii="Times New Roman" w:hAnsi="Times New Roman" w:cs="Times New Roman"/>
        </w:rPr>
        <w:t xml:space="preserve">Could a turn by Wittgenstein towards phenomenology in 1929 be one that is completely unaffected by this turn against Heidegger by figures who were close to him? It will suffice for now merely to suggest how one might begin </w:t>
      </w:r>
      <w:r>
        <w:rPr>
          <w:rFonts w:ascii="Times New Roman" w:hAnsi="Times New Roman" w:cs="Times New Roman"/>
        </w:rPr>
        <w:t>attempt</w:t>
      </w:r>
      <w:r w:rsidR="00662827">
        <w:rPr>
          <w:rFonts w:ascii="Times New Roman" w:hAnsi="Times New Roman" w:cs="Times New Roman"/>
        </w:rPr>
        <w:t>ing</w:t>
      </w:r>
      <w:r>
        <w:rPr>
          <w:rFonts w:ascii="Times New Roman" w:hAnsi="Times New Roman" w:cs="Times New Roman"/>
        </w:rPr>
        <w:t xml:space="preserve"> </w:t>
      </w:r>
      <w:r w:rsidR="00247D15" w:rsidRPr="00247D15">
        <w:rPr>
          <w:rFonts w:ascii="Times New Roman" w:hAnsi="Times New Roman" w:cs="Times New Roman"/>
        </w:rPr>
        <w:t xml:space="preserve">to </w:t>
      </w:r>
      <w:r>
        <w:rPr>
          <w:rFonts w:ascii="Times New Roman" w:hAnsi="Times New Roman" w:cs="Times New Roman"/>
        </w:rPr>
        <w:t xml:space="preserve">find </w:t>
      </w:r>
      <w:r w:rsidR="00247D15" w:rsidRPr="00247D15">
        <w:rPr>
          <w:rFonts w:ascii="Times New Roman" w:hAnsi="Times New Roman" w:cs="Times New Roman"/>
        </w:rPr>
        <w:t xml:space="preserve">an answer to </w:t>
      </w:r>
      <w:proofErr w:type="spellStart"/>
      <w:r w:rsidR="00247D15" w:rsidRPr="00247D15">
        <w:rPr>
          <w:rFonts w:ascii="Times New Roman" w:hAnsi="Times New Roman" w:cs="Times New Roman"/>
        </w:rPr>
        <w:t>Spiegelberg’s</w:t>
      </w:r>
      <w:proofErr w:type="spellEnd"/>
      <w:r w:rsidR="00247D15" w:rsidRPr="00247D15">
        <w:rPr>
          <w:rFonts w:ascii="Times New Roman" w:hAnsi="Times New Roman" w:cs="Times New Roman"/>
        </w:rPr>
        <w:t xml:space="preserve"> second question. We do not have any proof that Wittgenstein had read either Husserl or Heidegger. It is more likely that Wittgenstein’s relation to the phenomenological movement was mediated by discussions others around him were having about it at the time. It is likely, for example, given that Wittgenstein had met Ryle at the joint conference of The Aristotelian Society and The Mind Association in 1929,</w:t>
      </w:r>
      <w:r w:rsidR="00247D15" w:rsidRPr="00247D15">
        <w:rPr>
          <w:rStyle w:val="EndnoteReference"/>
          <w:rFonts w:ascii="Times New Roman" w:hAnsi="Times New Roman" w:cs="Times New Roman"/>
        </w:rPr>
        <w:endnoteReference w:id="23"/>
      </w:r>
      <w:r w:rsidR="00247D15" w:rsidRPr="00247D15">
        <w:rPr>
          <w:rFonts w:ascii="Times New Roman" w:hAnsi="Times New Roman" w:cs="Times New Roman"/>
        </w:rPr>
        <w:t xml:space="preserve"> when </w:t>
      </w:r>
      <w:r w:rsidR="00247D15" w:rsidRPr="00247D15">
        <w:rPr>
          <w:rFonts w:ascii="Times New Roman" w:hAnsi="Times New Roman" w:cs="Times New Roman"/>
          <w:i/>
        </w:rPr>
        <w:t>Mind</w:t>
      </w:r>
      <w:r w:rsidR="00247D15" w:rsidRPr="00247D15">
        <w:rPr>
          <w:rFonts w:ascii="Times New Roman" w:hAnsi="Times New Roman" w:cs="Times New Roman"/>
        </w:rPr>
        <w:t xml:space="preserve"> had just published Ryle’s review of </w:t>
      </w:r>
      <w:proofErr w:type="gramStart"/>
      <w:r w:rsidR="00247D15" w:rsidRPr="00247D15">
        <w:rPr>
          <w:rFonts w:ascii="Times New Roman" w:hAnsi="Times New Roman" w:cs="Times New Roman"/>
        </w:rPr>
        <w:t>Heidegger, that</w:t>
      </w:r>
      <w:proofErr w:type="gramEnd"/>
      <w:r w:rsidR="00247D15" w:rsidRPr="00247D15">
        <w:rPr>
          <w:rFonts w:ascii="Times New Roman" w:hAnsi="Times New Roman" w:cs="Times New Roman"/>
        </w:rPr>
        <w:t xml:space="preserve"> Wittgenstein might have read it.</w:t>
      </w:r>
      <w:r w:rsidR="00247D15" w:rsidRPr="00247D15">
        <w:rPr>
          <w:rStyle w:val="EndnoteReference"/>
          <w:rFonts w:ascii="Times New Roman" w:hAnsi="Times New Roman" w:cs="Times New Roman"/>
        </w:rPr>
        <w:endnoteReference w:id="24"/>
      </w:r>
      <w:r w:rsidR="00247D15" w:rsidRPr="00247D15">
        <w:rPr>
          <w:rFonts w:ascii="Times New Roman" w:hAnsi="Times New Roman" w:cs="Times New Roman"/>
        </w:rPr>
        <w:t xml:space="preserve"> And</w:t>
      </w:r>
      <w:r w:rsidR="00B85D35">
        <w:rPr>
          <w:rFonts w:ascii="Times New Roman" w:hAnsi="Times New Roman" w:cs="Times New Roman"/>
        </w:rPr>
        <w:t>,</w:t>
      </w:r>
      <w:r w:rsidR="00247D15" w:rsidRPr="00247D15">
        <w:rPr>
          <w:rFonts w:ascii="Times New Roman" w:hAnsi="Times New Roman" w:cs="Times New Roman"/>
        </w:rPr>
        <w:t xml:space="preserve"> though Wittgenstein last saw </w:t>
      </w:r>
      <w:proofErr w:type="spellStart"/>
      <w:r w:rsidR="00247D15" w:rsidRPr="00247D15">
        <w:rPr>
          <w:rFonts w:ascii="Times New Roman" w:hAnsi="Times New Roman" w:cs="Times New Roman"/>
        </w:rPr>
        <w:t>Carnap</w:t>
      </w:r>
      <w:proofErr w:type="spellEnd"/>
      <w:r w:rsidR="00247D15" w:rsidRPr="00247D15">
        <w:rPr>
          <w:rFonts w:ascii="Times New Roman" w:hAnsi="Times New Roman" w:cs="Times New Roman"/>
        </w:rPr>
        <w:t xml:space="preserve"> at the beginning of 1929 (before </w:t>
      </w:r>
      <w:proofErr w:type="spellStart"/>
      <w:r w:rsidR="00247D15" w:rsidRPr="00247D15">
        <w:rPr>
          <w:rFonts w:ascii="Times New Roman" w:hAnsi="Times New Roman" w:cs="Times New Roman"/>
        </w:rPr>
        <w:t>Carnap</w:t>
      </w:r>
      <w:proofErr w:type="spellEnd"/>
      <w:r w:rsidR="00247D15" w:rsidRPr="00247D15">
        <w:rPr>
          <w:rFonts w:ascii="Times New Roman" w:hAnsi="Times New Roman" w:cs="Times New Roman"/>
        </w:rPr>
        <w:t xml:space="preserve"> went to Davos),</w:t>
      </w:r>
      <w:r w:rsidR="00247D15" w:rsidRPr="00247D15">
        <w:rPr>
          <w:rStyle w:val="EndnoteReference"/>
          <w:rFonts w:ascii="Times New Roman" w:hAnsi="Times New Roman" w:cs="Times New Roman"/>
        </w:rPr>
        <w:endnoteReference w:id="25"/>
      </w:r>
      <w:r w:rsidR="00247D15" w:rsidRPr="00247D15">
        <w:rPr>
          <w:rFonts w:ascii="Times New Roman" w:hAnsi="Times New Roman" w:cs="Times New Roman"/>
        </w:rPr>
        <w:t xml:space="preserve"> he probably had </w:t>
      </w:r>
      <w:r w:rsidR="00247D15" w:rsidRPr="00247D15">
        <w:rPr>
          <w:rFonts w:ascii="Times New Roman" w:hAnsi="Times New Roman" w:cs="Times New Roman"/>
        </w:rPr>
        <w:lastRenderedPageBreak/>
        <w:t xml:space="preserve">heard of </w:t>
      </w:r>
      <w:proofErr w:type="spellStart"/>
      <w:r w:rsidR="00247D15" w:rsidRPr="00247D15">
        <w:rPr>
          <w:rFonts w:ascii="Times New Roman" w:hAnsi="Times New Roman" w:cs="Times New Roman"/>
        </w:rPr>
        <w:t>Carnap’s</w:t>
      </w:r>
      <w:proofErr w:type="spellEnd"/>
      <w:r w:rsidR="00247D15" w:rsidRPr="00247D15">
        <w:rPr>
          <w:rFonts w:ascii="Times New Roman" w:hAnsi="Times New Roman" w:cs="Times New Roman"/>
        </w:rPr>
        <w:t xml:space="preserve"> views of Heidegger through other Circle members. Phenomenology was, so to speak, in the air around Wittgenstein in 1929.</w:t>
      </w:r>
    </w:p>
    <w:p w:rsidR="00247D15" w:rsidRPr="00247D15" w:rsidRDefault="00247D15" w:rsidP="008F155F">
      <w:pPr>
        <w:spacing w:after="0" w:line="480" w:lineRule="auto"/>
        <w:rPr>
          <w:rFonts w:ascii="Times New Roman" w:hAnsi="Times New Roman" w:cs="Times New Roman"/>
        </w:rPr>
      </w:pPr>
    </w:p>
    <w:p w:rsidR="00247D15" w:rsidRPr="002C1169" w:rsidRDefault="002C1169" w:rsidP="008F155F">
      <w:pPr>
        <w:spacing w:after="0" w:line="480" w:lineRule="auto"/>
        <w:jc w:val="center"/>
        <w:rPr>
          <w:rFonts w:ascii="Times New Roman" w:hAnsi="Times New Roman" w:cs="Times New Roman"/>
          <w:b/>
        </w:rPr>
      </w:pPr>
      <w:r>
        <w:rPr>
          <w:rFonts w:ascii="Times New Roman" w:hAnsi="Times New Roman" w:cs="Times New Roman"/>
          <w:b/>
        </w:rPr>
        <w:t>3</w:t>
      </w:r>
      <w:r w:rsidR="00247D15" w:rsidRPr="002C1169">
        <w:rPr>
          <w:rFonts w:ascii="Times New Roman" w:hAnsi="Times New Roman" w:cs="Times New Roman"/>
          <w:b/>
        </w:rPr>
        <w:t>.</w:t>
      </w:r>
      <w:r w:rsidRPr="002C1169">
        <w:rPr>
          <w:rFonts w:ascii="Times New Roman" w:hAnsi="Times New Roman" w:cs="Times New Roman"/>
          <w:b/>
        </w:rPr>
        <w:t xml:space="preserve"> Are </w:t>
      </w:r>
      <w:proofErr w:type="spellStart"/>
      <w:r w:rsidRPr="002C1169">
        <w:rPr>
          <w:rFonts w:ascii="Times New Roman" w:hAnsi="Times New Roman" w:cs="Times New Roman"/>
          <w:b/>
        </w:rPr>
        <w:t>Wittgensteinian</w:t>
      </w:r>
      <w:proofErr w:type="spellEnd"/>
      <w:r w:rsidRPr="002C1169">
        <w:rPr>
          <w:rFonts w:ascii="Times New Roman" w:hAnsi="Times New Roman" w:cs="Times New Roman"/>
          <w:b/>
        </w:rPr>
        <w:t xml:space="preserve"> and </w:t>
      </w:r>
      <w:proofErr w:type="spellStart"/>
      <w:r w:rsidRPr="002C1169">
        <w:rPr>
          <w:rFonts w:ascii="Times New Roman" w:hAnsi="Times New Roman" w:cs="Times New Roman"/>
          <w:b/>
        </w:rPr>
        <w:t>Husserlian</w:t>
      </w:r>
      <w:proofErr w:type="spellEnd"/>
      <w:r w:rsidRPr="002C1169">
        <w:rPr>
          <w:rFonts w:ascii="Times New Roman" w:hAnsi="Times New Roman" w:cs="Times New Roman"/>
          <w:b/>
        </w:rPr>
        <w:t xml:space="preserve"> phenomenology </w:t>
      </w:r>
      <w:r>
        <w:rPr>
          <w:rFonts w:ascii="Times New Roman" w:hAnsi="Times New Roman" w:cs="Times New Roman"/>
          <w:b/>
        </w:rPr>
        <w:t>‘exactly the same’</w:t>
      </w:r>
      <w:r w:rsidRPr="002C1169">
        <w:rPr>
          <w:rFonts w:ascii="Times New Roman" w:hAnsi="Times New Roman" w:cs="Times New Roman"/>
          <w:b/>
        </w:rPr>
        <w:t>?</w:t>
      </w:r>
    </w:p>
    <w:p w:rsidR="00917CF0" w:rsidRDefault="00917CF0" w:rsidP="008F155F">
      <w:pPr>
        <w:spacing w:after="0" w:line="480" w:lineRule="auto"/>
        <w:rPr>
          <w:rFonts w:ascii="Times New Roman" w:hAnsi="Times New Roman" w:cs="Times New Roman"/>
        </w:rPr>
      </w:pPr>
    </w:p>
    <w:p w:rsidR="00247D15" w:rsidRPr="00247D15" w:rsidRDefault="00247D15" w:rsidP="008F155F">
      <w:pPr>
        <w:spacing w:after="0" w:line="480" w:lineRule="auto"/>
        <w:rPr>
          <w:rFonts w:ascii="Times New Roman" w:hAnsi="Times New Roman" w:cs="Times New Roman"/>
        </w:rPr>
      </w:pPr>
      <w:r w:rsidRPr="00247D15">
        <w:rPr>
          <w:rFonts w:ascii="Times New Roman" w:hAnsi="Times New Roman" w:cs="Times New Roman"/>
        </w:rPr>
        <w:t xml:space="preserve">Though Monk dedicates most of his paper on discussing exactly what Wittgenstein may have meant by phenomenology, he does also briefly discuss what Husserl had meant by the term. Monk focuses on the </w:t>
      </w:r>
      <w:r w:rsidRPr="00247D15">
        <w:rPr>
          <w:rFonts w:ascii="Times New Roman" w:hAnsi="Times New Roman" w:cs="Times New Roman"/>
          <w:i/>
        </w:rPr>
        <w:t>Logical Investigations</w:t>
      </w:r>
      <w:r w:rsidRPr="00247D15">
        <w:rPr>
          <w:rFonts w:ascii="Times New Roman" w:hAnsi="Times New Roman" w:cs="Times New Roman"/>
        </w:rPr>
        <w:t>, which has been more widely read and discussed by analytic philosophers than much of Husserl’s subsequent work.</w:t>
      </w:r>
    </w:p>
    <w:p w:rsidR="00247D15" w:rsidRPr="00247D15" w:rsidRDefault="00247D15" w:rsidP="008F155F">
      <w:pPr>
        <w:spacing w:after="0" w:line="480" w:lineRule="auto"/>
        <w:ind w:firstLine="360"/>
        <w:rPr>
          <w:rFonts w:ascii="Times New Roman" w:hAnsi="Times New Roman" w:cs="Times New Roman"/>
        </w:rPr>
      </w:pPr>
      <w:r w:rsidRPr="00247D15">
        <w:rPr>
          <w:rFonts w:ascii="Times New Roman" w:hAnsi="Times New Roman" w:cs="Times New Roman"/>
        </w:rPr>
        <w:t xml:space="preserve">As Monk points out, the first edition of the </w:t>
      </w:r>
      <w:r w:rsidRPr="00247D15">
        <w:rPr>
          <w:rFonts w:ascii="Times New Roman" w:hAnsi="Times New Roman" w:cs="Times New Roman"/>
          <w:i/>
        </w:rPr>
        <w:t>Investigations</w:t>
      </w:r>
      <w:r w:rsidRPr="00247D15">
        <w:rPr>
          <w:rFonts w:ascii="Times New Roman" w:hAnsi="Times New Roman" w:cs="Times New Roman"/>
        </w:rPr>
        <w:t xml:space="preserve"> aligns phenomenology with ‘descriptive psychology’ (a title inherited from Brentano). The term phenomenology loosely relates to the epistemological project of investigating the origins of the basic concepts of logic. Precisely what Husserl meant by logic has been the subject of debate.</w:t>
      </w:r>
      <w:r w:rsidRPr="00247D15">
        <w:rPr>
          <w:rStyle w:val="EndnoteReference"/>
          <w:rFonts w:ascii="Times New Roman" w:hAnsi="Times New Roman" w:cs="Times New Roman"/>
        </w:rPr>
        <w:endnoteReference w:id="26"/>
      </w:r>
      <w:r w:rsidRPr="00247D15">
        <w:rPr>
          <w:rFonts w:ascii="Times New Roman" w:hAnsi="Times New Roman" w:cs="Times New Roman"/>
        </w:rPr>
        <w:t xml:space="preserve"> Husserl had been aware of his contemporary developments in mathematical logic, and had even been among the first </w:t>
      </w:r>
      <w:proofErr w:type="spellStart"/>
      <w:r w:rsidRPr="00247D15">
        <w:rPr>
          <w:rFonts w:ascii="Times New Roman" w:hAnsi="Times New Roman" w:cs="Times New Roman"/>
        </w:rPr>
        <w:t>Germanophone</w:t>
      </w:r>
      <w:proofErr w:type="spellEnd"/>
      <w:r w:rsidRPr="00247D15">
        <w:rPr>
          <w:rFonts w:ascii="Times New Roman" w:hAnsi="Times New Roman" w:cs="Times New Roman"/>
        </w:rPr>
        <w:t xml:space="preserve"> philosophers to mention </w:t>
      </w:r>
      <w:proofErr w:type="spellStart"/>
      <w:r w:rsidRPr="00247D15">
        <w:rPr>
          <w:rFonts w:ascii="Times New Roman" w:hAnsi="Times New Roman" w:cs="Times New Roman"/>
        </w:rPr>
        <w:t>Frege’s</w:t>
      </w:r>
      <w:proofErr w:type="spellEnd"/>
      <w:r w:rsidRPr="00247D15">
        <w:rPr>
          <w:rFonts w:ascii="Times New Roman" w:hAnsi="Times New Roman" w:cs="Times New Roman"/>
        </w:rPr>
        <w:t xml:space="preserve"> contributions to the subject. Yet he was partly critical of such conceptions of logic, preferring the view that philosophical logic involved a broader discussion of the subject. Following Bolzano, Husserl saw logic as a kind of theory of science (</w:t>
      </w:r>
      <w:proofErr w:type="spellStart"/>
      <w:r w:rsidRPr="00247D15">
        <w:rPr>
          <w:rFonts w:ascii="Times New Roman" w:hAnsi="Times New Roman" w:cs="Times New Roman"/>
          <w:i/>
        </w:rPr>
        <w:t>Wissenschaftslehre</w:t>
      </w:r>
      <w:proofErr w:type="spellEnd"/>
      <w:r w:rsidRPr="00247D15">
        <w:rPr>
          <w:rFonts w:ascii="Times New Roman" w:hAnsi="Times New Roman" w:cs="Times New Roman"/>
        </w:rPr>
        <w:t>), unifying the various special sciences.</w:t>
      </w:r>
    </w:p>
    <w:p w:rsidR="00247D15" w:rsidRPr="00247D15" w:rsidRDefault="00247D15" w:rsidP="008F155F">
      <w:pPr>
        <w:spacing w:after="0" w:line="480" w:lineRule="auto"/>
        <w:ind w:firstLine="360"/>
        <w:rPr>
          <w:rFonts w:ascii="Times New Roman" w:hAnsi="Times New Roman" w:cs="Times New Roman"/>
        </w:rPr>
      </w:pPr>
      <w:r w:rsidRPr="00247D15">
        <w:rPr>
          <w:rFonts w:ascii="Times New Roman" w:hAnsi="Times New Roman" w:cs="Times New Roman"/>
        </w:rPr>
        <w:t xml:space="preserve">Already here we face a possible </w:t>
      </w:r>
      <w:proofErr w:type="spellStart"/>
      <w:r w:rsidRPr="00247D15">
        <w:rPr>
          <w:rFonts w:ascii="Times New Roman" w:hAnsi="Times New Roman" w:cs="Times New Roman"/>
        </w:rPr>
        <w:t>inconsumerability</w:t>
      </w:r>
      <w:proofErr w:type="spellEnd"/>
      <w:r w:rsidRPr="00247D15">
        <w:rPr>
          <w:rFonts w:ascii="Times New Roman" w:hAnsi="Times New Roman" w:cs="Times New Roman"/>
        </w:rPr>
        <w:t xml:space="preserve"> between Husserl’s and Wittgenstein’s take on phenomenology. There is firstly the question of whether their conceptions of logic are potentially incompatible, and furthermore the question regarding their views of the relation between logic and phenomenology. Clearly both thought that phenomenology and logic are interwoven in some way. Monk focuses on Wittgenstein’s view that phenomenology is ‘midway between logic and science’ (quoted on p. 1). In 1900, Husserl may be interpreted as seeing phenomenology as either prior to logic (</w:t>
      </w:r>
      <w:r w:rsidRPr="00247D15">
        <w:rPr>
          <w:rFonts w:ascii="Times New Roman" w:hAnsi="Times New Roman" w:cs="Times New Roman"/>
          <w:i/>
        </w:rPr>
        <w:t>qua</w:t>
      </w:r>
      <w:r w:rsidRPr="00247D15">
        <w:rPr>
          <w:rFonts w:ascii="Times New Roman" w:hAnsi="Times New Roman" w:cs="Times New Roman"/>
        </w:rPr>
        <w:t xml:space="preserve"> </w:t>
      </w:r>
      <w:proofErr w:type="spellStart"/>
      <w:r w:rsidRPr="00247D15">
        <w:rPr>
          <w:rFonts w:ascii="Times New Roman" w:hAnsi="Times New Roman" w:cs="Times New Roman"/>
          <w:i/>
        </w:rPr>
        <w:t>Wissenschaftslehre</w:t>
      </w:r>
      <w:proofErr w:type="spellEnd"/>
      <w:r w:rsidRPr="00247D15">
        <w:rPr>
          <w:rFonts w:ascii="Times New Roman" w:hAnsi="Times New Roman" w:cs="Times New Roman"/>
        </w:rPr>
        <w:t>), or part of it (given a broad enough conception of logic).</w:t>
      </w:r>
      <w:r w:rsidR="00E01EFC">
        <w:rPr>
          <w:rFonts w:ascii="Times New Roman" w:hAnsi="Times New Roman" w:cs="Times New Roman"/>
        </w:rPr>
        <w:t xml:space="preserve"> It is not immediately clear that this is exactly what Wittgenstein had in mind.</w:t>
      </w:r>
      <w:r w:rsidRPr="00247D15">
        <w:rPr>
          <w:rFonts w:ascii="Times New Roman" w:hAnsi="Times New Roman" w:cs="Times New Roman"/>
        </w:rPr>
        <w:t xml:space="preserve"> Even if the early Husserl comes close to Wittgenstein </w:t>
      </w:r>
      <w:r w:rsidRPr="00247D15">
        <w:rPr>
          <w:rFonts w:ascii="Times New Roman" w:hAnsi="Times New Roman" w:cs="Times New Roman"/>
        </w:rPr>
        <w:lastRenderedPageBreak/>
        <w:t xml:space="preserve">in thinking of phenomenology, logic, and science as intimately related, </w:t>
      </w:r>
      <w:r w:rsidR="00E01EFC">
        <w:rPr>
          <w:rFonts w:ascii="Times New Roman" w:hAnsi="Times New Roman" w:cs="Times New Roman"/>
        </w:rPr>
        <w:t xml:space="preserve">it would take a lot more interpretative work to show whether they </w:t>
      </w:r>
      <w:r w:rsidRPr="00247D15">
        <w:rPr>
          <w:rFonts w:ascii="Times New Roman" w:hAnsi="Times New Roman" w:cs="Times New Roman"/>
        </w:rPr>
        <w:t>agree on the kind of relation that holds between the three.</w:t>
      </w:r>
    </w:p>
    <w:p w:rsidR="00247D15" w:rsidRPr="00247D15" w:rsidRDefault="00247D15" w:rsidP="008F155F">
      <w:pPr>
        <w:spacing w:after="0" w:line="480" w:lineRule="auto"/>
        <w:ind w:firstLine="360"/>
        <w:rPr>
          <w:rFonts w:ascii="Times New Roman" w:hAnsi="Times New Roman" w:cs="Times New Roman"/>
        </w:rPr>
      </w:pPr>
      <w:r w:rsidRPr="00247D15">
        <w:rPr>
          <w:rFonts w:ascii="Times New Roman" w:hAnsi="Times New Roman" w:cs="Times New Roman"/>
        </w:rPr>
        <w:t xml:space="preserve">As Husserl’s account of phenomenology evolved, he sought to divorce phenomenology from its relation to logic, seeing its application to logic in the </w:t>
      </w:r>
      <w:r w:rsidRPr="00247D15">
        <w:rPr>
          <w:rFonts w:ascii="Times New Roman" w:hAnsi="Times New Roman" w:cs="Times New Roman"/>
          <w:i/>
        </w:rPr>
        <w:t>Logical Investigations</w:t>
      </w:r>
      <w:r w:rsidRPr="00247D15">
        <w:rPr>
          <w:rFonts w:ascii="Times New Roman" w:hAnsi="Times New Roman" w:cs="Times New Roman"/>
        </w:rPr>
        <w:t xml:space="preserve"> as only one of its many possible </w:t>
      </w:r>
      <w:r w:rsidR="00B85D35">
        <w:rPr>
          <w:rFonts w:ascii="Times New Roman" w:hAnsi="Times New Roman" w:cs="Times New Roman"/>
        </w:rPr>
        <w:t>phenomenological exercises</w:t>
      </w:r>
      <w:r w:rsidRPr="00E01EFC">
        <w:rPr>
          <w:rFonts w:ascii="Times New Roman" w:hAnsi="Times New Roman" w:cs="Times New Roman"/>
        </w:rPr>
        <w:t>.</w:t>
      </w:r>
      <w:r w:rsidRPr="00247D15">
        <w:rPr>
          <w:rFonts w:ascii="Times New Roman" w:hAnsi="Times New Roman" w:cs="Times New Roman"/>
        </w:rPr>
        <w:t xml:space="preserve"> It is, nonetheless, with this later </w:t>
      </w:r>
      <w:proofErr w:type="spellStart"/>
      <w:r w:rsidRPr="00247D15">
        <w:rPr>
          <w:rFonts w:ascii="Times New Roman" w:hAnsi="Times New Roman" w:cs="Times New Roman"/>
        </w:rPr>
        <w:t>Husserlian</w:t>
      </w:r>
      <w:proofErr w:type="spellEnd"/>
      <w:r w:rsidRPr="00247D15">
        <w:rPr>
          <w:rFonts w:ascii="Times New Roman" w:hAnsi="Times New Roman" w:cs="Times New Roman"/>
        </w:rPr>
        <w:t xml:space="preserve"> view that Monk compares Wittgenstein’s phenomenology. As Monk points out, the epistemological project laid out by the first edition of the </w:t>
      </w:r>
      <w:r w:rsidRPr="00247D15">
        <w:rPr>
          <w:rFonts w:ascii="Times New Roman" w:hAnsi="Times New Roman" w:cs="Times New Roman"/>
          <w:i/>
        </w:rPr>
        <w:t>Logical Investigations</w:t>
      </w:r>
      <w:r w:rsidRPr="00247D15">
        <w:rPr>
          <w:rFonts w:ascii="Times New Roman" w:hAnsi="Times New Roman" w:cs="Times New Roman"/>
        </w:rPr>
        <w:t xml:space="preserve"> is transformed by Husserl’s subsequent insistence on separating phenomenology from empirical research of any kind in the second edition. Phenomenology puts aside the ‘naturalistic attitude’.</w:t>
      </w:r>
    </w:p>
    <w:p w:rsidR="00B9121B" w:rsidRPr="00247D15" w:rsidRDefault="00247D15" w:rsidP="008F155F">
      <w:pPr>
        <w:spacing w:after="0" w:line="480" w:lineRule="auto"/>
        <w:ind w:firstLine="360"/>
        <w:rPr>
          <w:rFonts w:ascii="Times New Roman" w:hAnsi="Times New Roman" w:cs="Times New Roman"/>
        </w:rPr>
      </w:pPr>
      <w:r w:rsidRPr="00247D15">
        <w:rPr>
          <w:rFonts w:ascii="Times New Roman" w:hAnsi="Times New Roman" w:cs="Times New Roman"/>
        </w:rPr>
        <w:t>Monk claims that the later Husserl’s distinction between ‘the phenomenological and the naturalistic’ is the same as that drawn by Wittgenstein during his phenomenological period. Unfortunately, Monk does not qualify this further, other than by saying that both Husserl and Wittgenstein wanted to look at phenomena themselves by separating them from naturalistic hypotheses. Monk is clear regarding what Wittgenstein means by this, which has something to do ultimately with the impossibility that ‘immediate experience’ (</w:t>
      </w:r>
      <w:r w:rsidRPr="00E01EFC">
        <w:rPr>
          <w:rFonts w:ascii="Times New Roman" w:hAnsi="Times New Roman" w:cs="Times New Roman"/>
        </w:rPr>
        <w:t>p. 33</w:t>
      </w:r>
      <w:r w:rsidRPr="00247D15">
        <w:rPr>
          <w:rFonts w:ascii="Times New Roman" w:hAnsi="Times New Roman" w:cs="Times New Roman"/>
        </w:rPr>
        <w:t xml:space="preserve">) may contain contradictions: something cannot be both red and blue at the same time. But it is not altogether clear that </w:t>
      </w:r>
      <w:proofErr w:type="spellStart"/>
      <w:r w:rsidRPr="00247D15">
        <w:rPr>
          <w:rFonts w:ascii="Times New Roman" w:hAnsi="Times New Roman" w:cs="Times New Roman"/>
        </w:rPr>
        <w:t>Husserlian</w:t>
      </w:r>
      <w:proofErr w:type="spellEnd"/>
      <w:r w:rsidRPr="00247D15">
        <w:rPr>
          <w:rFonts w:ascii="Times New Roman" w:hAnsi="Times New Roman" w:cs="Times New Roman"/>
        </w:rPr>
        <w:t xml:space="preserve"> phenomenology consists in examining this sort of ‘immediate experience’.</w:t>
      </w:r>
      <w:r w:rsidRPr="00247D15">
        <w:rPr>
          <w:rStyle w:val="EndnoteReference"/>
          <w:rFonts w:ascii="Times New Roman" w:hAnsi="Times New Roman" w:cs="Times New Roman"/>
        </w:rPr>
        <w:endnoteReference w:id="27"/>
      </w:r>
      <w:r w:rsidRPr="00247D15">
        <w:rPr>
          <w:rFonts w:ascii="Times New Roman" w:hAnsi="Times New Roman" w:cs="Times New Roman"/>
        </w:rPr>
        <w:t xml:space="preserve"> </w:t>
      </w:r>
      <w:r w:rsidR="007A7D87" w:rsidRPr="00247D15">
        <w:rPr>
          <w:rFonts w:ascii="Times New Roman" w:hAnsi="Times New Roman" w:cs="Times New Roman"/>
        </w:rPr>
        <w:t>It would take much more by way of interpretative work on Husserl than may be undertaken within the bounds of this study to either prove or disprove this association.</w:t>
      </w:r>
    </w:p>
    <w:p w:rsidR="004F31D3" w:rsidRPr="00247D15" w:rsidRDefault="00AC7DBB" w:rsidP="008F155F">
      <w:pPr>
        <w:spacing w:after="0" w:line="480" w:lineRule="auto"/>
        <w:ind w:firstLine="360"/>
        <w:rPr>
          <w:rFonts w:ascii="Times New Roman" w:hAnsi="Times New Roman" w:cs="Times New Roman"/>
        </w:rPr>
      </w:pPr>
      <w:r w:rsidRPr="00247D15">
        <w:rPr>
          <w:rFonts w:ascii="Times New Roman" w:hAnsi="Times New Roman" w:cs="Times New Roman"/>
        </w:rPr>
        <w:t>It</w:t>
      </w:r>
      <w:r w:rsidR="007A7D87" w:rsidRPr="00247D15">
        <w:rPr>
          <w:rFonts w:ascii="Times New Roman" w:hAnsi="Times New Roman" w:cs="Times New Roman"/>
        </w:rPr>
        <w:t xml:space="preserve"> is hard to accept, without further ado, Monk’s claim that Wittgenstein’s discussion of ‘</w:t>
      </w:r>
      <w:proofErr w:type="spellStart"/>
      <w:r w:rsidR="007A7D87" w:rsidRPr="00247D15">
        <w:rPr>
          <w:rFonts w:ascii="Times New Roman" w:hAnsi="Times New Roman" w:cs="Times New Roman"/>
        </w:rPr>
        <w:t>Phänomenologie</w:t>
      </w:r>
      <w:proofErr w:type="spellEnd"/>
      <w:r w:rsidR="007A7D87" w:rsidRPr="00247D15">
        <w:rPr>
          <w:rFonts w:ascii="Times New Roman" w:hAnsi="Times New Roman" w:cs="Times New Roman"/>
        </w:rPr>
        <w:t>’ can be characterised as doing ‘exactly the same thing’ (p. 32) as what the later Husserl was doing</w:t>
      </w:r>
      <w:r w:rsidRPr="00247D15">
        <w:rPr>
          <w:rFonts w:ascii="Times New Roman" w:hAnsi="Times New Roman" w:cs="Times New Roman"/>
        </w:rPr>
        <w:t>.</w:t>
      </w:r>
      <w:r w:rsidR="007A7D87" w:rsidRPr="00247D15">
        <w:rPr>
          <w:rFonts w:ascii="Times New Roman" w:hAnsi="Times New Roman" w:cs="Times New Roman"/>
        </w:rPr>
        <w:t xml:space="preserve"> </w:t>
      </w:r>
      <w:r w:rsidRPr="00247D15">
        <w:rPr>
          <w:rFonts w:ascii="Times New Roman" w:hAnsi="Times New Roman" w:cs="Times New Roman"/>
        </w:rPr>
        <w:t>T</w:t>
      </w:r>
      <w:r w:rsidR="00A64B51" w:rsidRPr="00247D15">
        <w:rPr>
          <w:rFonts w:ascii="Times New Roman" w:hAnsi="Times New Roman" w:cs="Times New Roman"/>
        </w:rPr>
        <w:t>his</w:t>
      </w:r>
      <w:r w:rsidRPr="00247D15">
        <w:rPr>
          <w:rFonts w:ascii="Times New Roman" w:hAnsi="Times New Roman" w:cs="Times New Roman"/>
        </w:rPr>
        <w:t>, however,</w:t>
      </w:r>
      <w:r w:rsidR="00A64B51" w:rsidRPr="00247D15">
        <w:rPr>
          <w:rFonts w:ascii="Times New Roman" w:hAnsi="Times New Roman" w:cs="Times New Roman"/>
        </w:rPr>
        <w:t xml:space="preserve"> is far from being Monk’s main contention. </w:t>
      </w:r>
      <w:r w:rsidR="00B9121B" w:rsidRPr="00247D15">
        <w:rPr>
          <w:rFonts w:ascii="Times New Roman" w:hAnsi="Times New Roman" w:cs="Times New Roman"/>
        </w:rPr>
        <w:t xml:space="preserve">Despite being too brief, it points towards a promising </w:t>
      </w:r>
      <w:r w:rsidR="00A64B51" w:rsidRPr="00247D15">
        <w:rPr>
          <w:rFonts w:ascii="Times New Roman" w:hAnsi="Times New Roman" w:cs="Times New Roman"/>
        </w:rPr>
        <w:t>direction</w:t>
      </w:r>
      <w:r w:rsidR="00B9121B" w:rsidRPr="00247D15">
        <w:rPr>
          <w:rFonts w:ascii="Times New Roman" w:hAnsi="Times New Roman" w:cs="Times New Roman"/>
        </w:rPr>
        <w:t xml:space="preserve"> which scholars have not yet adequately explored.</w:t>
      </w:r>
      <w:r w:rsidR="00A64B51" w:rsidRPr="00247D15">
        <w:rPr>
          <w:rFonts w:ascii="Times New Roman" w:hAnsi="Times New Roman" w:cs="Times New Roman"/>
        </w:rPr>
        <w:t xml:space="preserve"> </w:t>
      </w:r>
      <w:r w:rsidR="00627B38" w:rsidRPr="00247D15">
        <w:rPr>
          <w:rFonts w:ascii="Times New Roman" w:hAnsi="Times New Roman" w:cs="Times New Roman"/>
        </w:rPr>
        <w:t xml:space="preserve">Hopefully this </w:t>
      </w:r>
      <w:r w:rsidR="00A64B51" w:rsidRPr="00247D15">
        <w:rPr>
          <w:rFonts w:ascii="Times New Roman" w:hAnsi="Times New Roman" w:cs="Times New Roman"/>
        </w:rPr>
        <w:t xml:space="preserve">reply </w:t>
      </w:r>
      <w:r w:rsidR="00627B38" w:rsidRPr="00247D15">
        <w:rPr>
          <w:rFonts w:ascii="Times New Roman" w:hAnsi="Times New Roman" w:cs="Times New Roman"/>
        </w:rPr>
        <w:t>contributes somewhat toward clearing the path for more scholars</w:t>
      </w:r>
      <w:r w:rsidR="00A64B51" w:rsidRPr="00247D15">
        <w:rPr>
          <w:rFonts w:ascii="Times New Roman" w:hAnsi="Times New Roman" w:cs="Times New Roman"/>
        </w:rPr>
        <w:t>hip</w:t>
      </w:r>
      <w:r w:rsidR="00627B38" w:rsidRPr="00247D15">
        <w:rPr>
          <w:rFonts w:ascii="Times New Roman" w:hAnsi="Times New Roman" w:cs="Times New Roman"/>
        </w:rPr>
        <w:t xml:space="preserve"> to </w:t>
      </w:r>
      <w:r w:rsidR="00A64B51" w:rsidRPr="00247D15">
        <w:rPr>
          <w:rFonts w:ascii="Times New Roman" w:hAnsi="Times New Roman" w:cs="Times New Roman"/>
        </w:rPr>
        <w:t>follow</w:t>
      </w:r>
      <w:r w:rsidR="00627B38" w:rsidRPr="00247D15">
        <w:rPr>
          <w:rFonts w:ascii="Times New Roman" w:hAnsi="Times New Roman" w:cs="Times New Roman"/>
        </w:rPr>
        <w:t>.</w:t>
      </w:r>
    </w:p>
    <w:p w:rsidR="004F31D3" w:rsidRPr="00247D15" w:rsidRDefault="004F31D3" w:rsidP="008F155F">
      <w:pPr>
        <w:spacing w:after="0" w:line="480" w:lineRule="auto"/>
        <w:ind w:firstLine="360"/>
        <w:rPr>
          <w:rFonts w:ascii="Times New Roman" w:hAnsi="Times New Roman" w:cs="Times New Roman"/>
        </w:rPr>
      </w:pPr>
    </w:p>
    <w:sectPr w:rsidR="004F31D3" w:rsidRPr="00247D15" w:rsidSect="002336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9C" w:rsidRPr="0063155E" w:rsidRDefault="00104C9C" w:rsidP="0063155E">
      <w:pPr>
        <w:pStyle w:val="Footer"/>
      </w:pPr>
    </w:p>
  </w:endnote>
  <w:endnote w:type="continuationSeparator" w:id="0">
    <w:p w:rsidR="00104C9C" w:rsidRPr="0063155E" w:rsidRDefault="00104C9C" w:rsidP="0063155E">
      <w:pPr>
        <w:pStyle w:val="Footer"/>
      </w:pPr>
    </w:p>
  </w:endnote>
  <w:endnote w:id="1">
    <w:p w:rsidR="0063155E" w:rsidRPr="005E7341" w:rsidRDefault="0063155E" w:rsidP="008F155F">
      <w:pPr>
        <w:pStyle w:val="EndnoteText"/>
        <w:spacing w:line="480" w:lineRule="auto"/>
        <w:jc w:val="center"/>
        <w:rPr>
          <w:b/>
          <w:sz w:val="24"/>
          <w:szCs w:val="24"/>
        </w:rPr>
      </w:pPr>
      <w:r w:rsidRPr="005E7341">
        <w:rPr>
          <w:b/>
          <w:sz w:val="24"/>
          <w:szCs w:val="24"/>
        </w:rPr>
        <w:t>Notes</w:t>
      </w:r>
    </w:p>
    <w:p w:rsidR="0063155E" w:rsidRDefault="0063155E" w:rsidP="008F155F">
      <w:pPr>
        <w:pStyle w:val="EndnoteText"/>
        <w:spacing w:line="480" w:lineRule="auto"/>
      </w:pPr>
    </w:p>
    <w:p w:rsidR="00247D15" w:rsidRPr="00B93602" w:rsidRDefault="00247D15" w:rsidP="008F155F">
      <w:pPr>
        <w:pStyle w:val="EndnoteText"/>
        <w:spacing w:line="480" w:lineRule="auto"/>
        <w:rPr>
          <w:lang w:val="en-US"/>
        </w:rPr>
      </w:pPr>
      <w:r w:rsidRPr="00B93602">
        <w:rPr>
          <w:rStyle w:val="EndnoteReference"/>
        </w:rPr>
        <w:endnoteRef/>
      </w:r>
      <w:r w:rsidRPr="00B93602">
        <w:t xml:space="preserve"> As Monk points out, very little has been written on the subject. To his list of articles one could add: </w:t>
      </w:r>
      <w:r w:rsidR="00E619C2" w:rsidRPr="00476B5D">
        <w:rPr>
          <w:lang w:val="en-US"/>
        </w:rPr>
        <w:t>David Woodruff</w:t>
      </w:r>
      <w:r w:rsidR="00E619C2">
        <w:rPr>
          <w:lang w:val="en-US"/>
        </w:rPr>
        <w:t xml:space="preserve"> </w:t>
      </w:r>
      <w:r w:rsidRPr="00476B5D">
        <w:rPr>
          <w:lang w:val="en-US"/>
        </w:rPr>
        <w:t xml:space="preserve">Smith, </w:t>
      </w:r>
      <w:r w:rsidR="00E619C2">
        <w:rPr>
          <w:lang w:val="en-US"/>
        </w:rPr>
        <w:t>‘</w:t>
      </w:r>
      <w:r w:rsidRPr="00476B5D">
        <w:rPr>
          <w:lang w:val="en-US"/>
        </w:rPr>
        <w:t>Intentionality and Picturing: Early Husserl Vis-à-vis Early Wittgenstein</w:t>
      </w:r>
      <w:r w:rsidR="00E619C2">
        <w:rPr>
          <w:lang w:val="en-US"/>
        </w:rPr>
        <w:t>’,</w:t>
      </w:r>
      <w:r w:rsidRPr="00476B5D">
        <w:rPr>
          <w:lang w:val="en-US"/>
        </w:rPr>
        <w:t xml:space="preserve"> </w:t>
      </w:r>
      <w:r w:rsidRPr="00476B5D">
        <w:rPr>
          <w:iCs/>
          <w:lang w:val="en-US"/>
        </w:rPr>
        <w:t>The Southern Journal of Philosophy</w:t>
      </w:r>
      <w:r w:rsidRPr="00476B5D">
        <w:rPr>
          <w:lang w:val="en-US"/>
        </w:rPr>
        <w:t xml:space="preserve"> 40</w:t>
      </w:r>
      <w:r w:rsidR="00E619C2">
        <w:rPr>
          <w:lang w:val="en-US"/>
        </w:rPr>
        <w:t>(</w:t>
      </w:r>
      <w:r w:rsidRPr="00476B5D">
        <w:rPr>
          <w:lang w:val="en-US"/>
        </w:rPr>
        <w:t>1</w:t>
      </w:r>
      <w:r w:rsidR="00E619C2">
        <w:rPr>
          <w:lang w:val="en-US"/>
        </w:rPr>
        <w:t>),</w:t>
      </w:r>
      <w:r w:rsidRPr="00476B5D">
        <w:rPr>
          <w:lang w:val="en-US"/>
        </w:rPr>
        <w:t xml:space="preserve"> (</w:t>
      </w:r>
      <w:r w:rsidR="00E619C2">
        <w:rPr>
          <w:lang w:val="en-US"/>
        </w:rPr>
        <w:t xml:space="preserve">Spring </w:t>
      </w:r>
      <w:r w:rsidRPr="00476B5D">
        <w:rPr>
          <w:lang w:val="en-US"/>
        </w:rPr>
        <w:t xml:space="preserve">2002): </w:t>
      </w:r>
      <w:r w:rsidR="00E619C2">
        <w:rPr>
          <w:lang w:val="en-US"/>
        </w:rPr>
        <w:t xml:space="preserve">pp. </w:t>
      </w:r>
      <w:r w:rsidRPr="00476B5D">
        <w:rPr>
          <w:lang w:val="en-US"/>
        </w:rPr>
        <w:t>153</w:t>
      </w:r>
      <w:r w:rsidR="00E619C2">
        <w:rPr>
          <w:lang w:val="en-US"/>
        </w:rPr>
        <w:t>-</w:t>
      </w:r>
      <w:r w:rsidRPr="00476B5D">
        <w:rPr>
          <w:lang w:val="en-US"/>
        </w:rPr>
        <w:t>180</w:t>
      </w:r>
      <w:r w:rsidRPr="00B93602">
        <w:rPr>
          <w:lang w:val="en-US"/>
        </w:rPr>
        <w:t xml:space="preserve">; </w:t>
      </w:r>
      <w:r w:rsidR="00E619C2">
        <w:rPr>
          <w:lang w:val="en-US"/>
        </w:rPr>
        <w:t xml:space="preserve">Sara </w:t>
      </w:r>
      <w:proofErr w:type="spellStart"/>
      <w:r w:rsidRPr="00476B5D">
        <w:rPr>
          <w:lang w:val="en-US"/>
        </w:rPr>
        <w:t>Heinämaa</w:t>
      </w:r>
      <w:proofErr w:type="spellEnd"/>
      <w:r w:rsidR="00E619C2">
        <w:rPr>
          <w:lang w:val="en-US"/>
        </w:rPr>
        <w:t>,</w:t>
      </w:r>
      <w:r w:rsidRPr="00476B5D">
        <w:rPr>
          <w:lang w:val="en-US"/>
        </w:rPr>
        <w:t xml:space="preserve"> </w:t>
      </w:r>
      <w:r w:rsidR="00E619C2">
        <w:rPr>
          <w:lang w:val="en-US"/>
        </w:rPr>
        <w:t>‘</w:t>
      </w:r>
      <w:r w:rsidRPr="00476B5D">
        <w:rPr>
          <w:lang w:val="en-US"/>
        </w:rPr>
        <w:t xml:space="preserve">The Self and the </w:t>
      </w:r>
      <w:proofErr w:type="gramStart"/>
      <w:r w:rsidRPr="00476B5D">
        <w:rPr>
          <w:lang w:val="en-US"/>
        </w:rPr>
        <w:t>Others</w:t>
      </w:r>
      <w:proofErr w:type="gramEnd"/>
      <w:r w:rsidRPr="00476B5D">
        <w:rPr>
          <w:lang w:val="en-US"/>
        </w:rPr>
        <w:t>: Common Topics for Husserl and Wittgenstein</w:t>
      </w:r>
      <w:r w:rsidR="00E619C2">
        <w:rPr>
          <w:lang w:val="en-US"/>
        </w:rPr>
        <w:t>’,</w:t>
      </w:r>
      <w:r w:rsidRPr="00476B5D">
        <w:rPr>
          <w:lang w:val="en-US"/>
        </w:rPr>
        <w:t xml:space="preserve"> </w:t>
      </w:r>
      <w:r w:rsidRPr="00476B5D">
        <w:rPr>
          <w:iCs/>
          <w:lang w:val="en-US"/>
        </w:rPr>
        <w:t>The Southern Journal of Philosophy</w:t>
      </w:r>
      <w:r w:rsidRPr="00476B5D">
        <w:rPr>
          <w:lang w:val="en-US"/>
        </w:rPr>
        <w:t xml:space="preserve"> 50</w:t>
      </w:r>
      <w:r w:rsidR="00E619C2">
        <w:rPr>
          <w:lang w:val="en-US"/>
        </w:rPr>
        <w:t>(</w:t>
      </w:r>
      <w:r w:rsidRPr="00476B5D">
        <w:rPr>
          <w:lang w:val="en-US"/>
        </w:rPr>
        <w:t>2</w:t>
      </w:r>
      <w:r w:rsidR="00E619C2">
        <w:rPr>
          <w:lang w:val="en-US"/>
        </w:rPr>
        <w:t>)</w:t>
      </w:r>
      <w:r w:rsidRPr="00476B5D">
        <w:rPr>
          <w:lang w:val="en-US"/>
        </w:rPr>
        <w:t xml:space="preserve"> (</w:t>
      </w:r>
      <w:r w:rsidR="00E619C2">
        <w:rPr>
          <w:lang w:val="en-US"/>
        </w:rPr>
        <w:t xml:space="preserve">June </w:t>
      </w:r>
      <w:r w:rsidRPr="00476B5D">
        <w:rPr>
          <w:lang w:val="en-US"/>
        </w:rPr>
        <w:t xml:space="preserve">2012): </w:t>
      </w:r>
      <w:r w:rsidR="00E619C2">
        <w:rPr>
          <w:lang w:val="en-US"/>
        </w:rPr>
        <w:t xml:space="preserve">pp. </w:t>
      </w:r>
      <w:r w:rsidRPr="00476B5D">
        <w:rPr>
          <w:lang w:val="en-US"/>
        </w:rPr>
        <w:t>234</w:t>
      </w:r>
      <w:r w:rsidR="00E619C2">
        <w:rPr>
          <w:lang w:val="en-US"/>
        </w:rPr>
        <w:t>-</w:t>
      </w:r>
      <w:r w:rsidRPr="00476B5D">
        <w:rPr>
          <w:lang w:val="en-US"/>
        </w:rPr>
        <w:t>249</w:t>
      </w:r>
      <w:r w:rsidRPr="00B93602">
        <w:rPr>
          <w:lang w:val="en-US"/>
        </w:rPr>
        <w:t>.</w:t>
      </w:r>
    </w:p>
  </w:endnote>
  <w:endnote w:id="2">
    <w:p w:rsidR="00D50763" w:rsidRPr="00D50763" w:rsidRDefault="00D50763" w:rsidP="008F155F">
      <w:pPr>
        <w:pStyle w:val="EndnoteText"/>
        <w:spacing w:line="480" w:lineRule="auto"/>
      </w:pPr>
      <w:r>
        <w:rPr>
          <w:rStyle w:val="EndnoteReference"/>
        </w:rPr>
        <w:endnoteRef/>
      </w:r>
      <w:r>
        <w:t xml:space="preserve"> S</w:t>
      </w:r>
      <w:r w:rsidRPr="00D50763">
        <w:t xml:space="preserve">ee </w:t>
      </w:r>
      <w:r>
        <w:t xml:space="preserve">Monk, </w:t>
      </w:r>
      <w:r w:rsidRPr="00D50763">
        <w:t>p. 35</w:t>
      </w:r>
      <w:r>
        <w:t xml:space="preserve">; </w:t>
      </w:r>
      <w:r w:rsidRPr="00876B74">
        <w:t xml:space="preserve">Merrill B. </w:t>
      </w:r>
      <w:proofErr w:type="spellStart"/>
      <w:r w:rsidRPr="00876B74">
        <w:t>Hintikka</w:t>
      </w:r>
      <w:proofErr w:type="spellEnd"/>
      <w:r w:rsidRPr="00876B74">
        <w:t xml:space="preserve">, and </w:t>
      </w:r>
      <w:proofErr w:type="spellStart"/>
      <w:r>
        <w:t>Jaako</w:t>
      </w:r>
      <w:proofErr w:type="spellEnd"/>
      <w:r>
        <w:t xml:space="preserve"> </w:t>
      </w:r>
      <w:proofErr w:type="spellStart"/>
      <w:r w:rsidRPr="00876B74">
        <w:t>Hintikka</w:t>
      </w:r>
      <w:proofErr w:type="spellEnd"/>
      <w:r w:rsidRPr="00876B74">
        <w:t xml:space="preserve">, </w:t>
      </w:r>
      <w:r w:rsidRPr="00876B74">
        <w:rPr>
          <w:i/>
        </w:rPr>
        <w:t>Investigating Wittgenstein</w:t>
      </w:r>
      <w:r w:rsidRPr="00876B74">
        <w:t xml:space="preserve"> </w:t>
      </w:r>
      <w:r>
        <w:t>(</w:t>
      </w:r>
      <w:r w:rsidRPr="00876B74">
        <w:t>Oxford: Blackwell, 1986</w:t>
      </w:r>
      <w:r>
        <w:t>).</w:t>
      </w:r>
    </w:p>
  </w:endnote>
  <w:endnote w:id="3">
    <w:p w:rsidR="00D50763" w:rsidRPr="00D50763" w:rsidRDefault="00D50763" w:rsidP="008F155F">
      <w:pPr>
        <w:pStyle w:val="EndnoteText"/>
        <w:spacing w:line="480" w:lineRule="auto"/>
      </w:pPr>
      <w:r>
        <w:rPr>
          <w:rStyle w:val="EndnoteReference"/>
        </w:rPr>
        <w:endnoteRef/>
      </w:r>
      <w:r>
        <w:t xml:space="preserve"> </w:t>
      </w:r>
      <w:r w:rsidR="00E8256E">
        <w:t xml:space="preserve">Herbert </w:t>
      </w:r>
      <w:proofErr w:type="spellStart"/>
      <w:r w:rsidR="00E8256E">
        <w:t>Spiegelberg</w:t>
      </w:r>
      <w:proofErr w:type="spellEnd"/>
      <w:r w:rsidR="00E8256E">
        <w:t xml:space="preserve">, </w:t>
      </w:r>
      <w:r w:rsidR="00E8256E" w:rsidRPr="00876B74">
        <w:t xml:space="preserve">‘Wittgenstein Calls His Philosophy “Phenomenology”’, </w:t>
      </w:r>
      <w:r w:rsidR="00E8256E" w:rsidRPr="00E8256E">
        <w:t>Journal of the British Society for Phenomenology,</w:t>
      </w:r>
      <w:r w:rsidR="00E8256E" w:rsidRPr="00876B74">
        <w:t xml:space="preserve"> 13</w:t>
      </w:r>
      <w:r w:rsidR="00E8256E">
        <w:t xml:space="preserve"> (</w:t>
      </w:r>
      <w:r w:rsidR="00E8256E" w:rsidRPr="00876B74">
        <w:t>3</w:t>
      </w:r>
      <w:r w:rsidR="00E8256E">
        <w:t xml:space="preserve">), (1982), pp. </w:t>
      </w:r>
      <w:r w:rsidR="00E8256E" w:rsidRPr="00876B74">
        <w:t>296-99</w:t>
      </w:r>
      <w:r w:rsidR="00E8256E">
        <w:t>.</w:t>
      </w:r>
    </w:p>
  </w:endnote>
  <w:endnote w:id="4">
    <w:p w:rsidR="00E8256E" w:rsidRPr="00E8256E" w:rsidRDefault="00E8256E" w:rsidP="008F155F">
      <w:pPr>
        <w:pStyle w:val="EndnoteText"/>
        <w:spacing w:line="480" w:lineRule="auto"/>
      </w:pPr>
      <w:r>
        <w:rPr>
          <w:rStyle w:val="EndnoteReference"/>
        </w:rPr>
        <w:endnoteRef/>
      </w:r>
      <w:r>
        <w:t xml:space="preserve"> Nicholas F. </w:t>
      </w:r>
      <w:proofErr w:type="spellStart"/>
      <w:r>
        <w:t>Gier</w:t>
      </w:r>
      <w:proofErr w:type="spellEnd"/>
      <w:r>
        <w:t xml:space="preserve">, </w:t>
      </w:r>
      <w:r w:rsidRPr="00876B74">
        <w:rPr>
          <w:i/>
        </w:rPr>
        <w:t>Wittgenstein and Phenomenology: A Comparative Study of the Later Wittgenstein</w:t>
      </w:r>
      <w:r w:rsidRPr="00876B74">
        <w:t xml:space="preserve">, </w:t>
      </w:r>
      <w:r w:rsidRPr="00BC1848">
        <w:rPr>
          <w:i/>
        </w:rPr>
        <w:t xml:space="preserve">Husserl, Heidegger and </w:t>
      </w:r>
      <w:proofErr w:type="spellStart"/>
      <w:r w:rsidRPr="00BC1848">
        <w:rPr>
          <w:i/>
        </w:rPr>
        <w:t>Merleau-Ponty</w:t>
      </w:r>
      <w:proofErr w:type="spellEnd"/>
      <w:r>
        <w:t xml:space="preserve"> (</w:t>
      </w:r>
      <w:r w:rsidRPr="00876B74">
        <w:t>Albany: SUNY Press, 198</w:t>
      </w:r>
      <w:r>
        <w:t>1).</w:t>
      </w:r>
    </w:p>
  </w:endnote>
  <w:endnote w:id="5">
    <w:p w:rsidR="00833F66" w:rsidRPr="00833F66" w:rsidRDefault="00833F66" w:rsidP="008F155F">
      <w:pPr>
        <w:pStyle w:val="EndnoteText"/>
        <w:spacing w:line="480" w:lineRule="auto"/>
      </w:pPr>
      <w:r>
        <w:rPr>
          <w:rStyle w:val="EndnoteReference"/>
        </w:rPr>
        <w:endnoteRef/>
      </w:r>
      <w:r>
        <w:t xml:space="preserve"> See also J. O. </w:t>
      </w:r>
      <w:proofErr w:type="spellStart"/>
      <w:r>
        <w:t>Urmson</w:t>
      </w:r>
      <w:proofErr w:type="spellEnd"/>
      <w:r>
        <w:t xml:space="preserve">, ‘Ryle, Gilbert’, in P. Edwards (Ed.), </w:t>
      </w:r>
      <w:r w:rsidRPr="00B36C9E">
        <w:rPr>
          <w:i/>
        </w:rPr>
        <w:t xml:space="preserve">The </w:t>
      </w:r>
      <w:proofErr w:type="spellStart"/>
      <w:r>
        <w:rPr>
          <w:i/>
        </w:rPr>
        <w:t>E</w:t>
      </w:r>
      <w:r w:rsidRPr="00B36C9E">
        <w:rPr>
          <w:i/>
        </w:rPr>
        <w:t>ncyclopedia</w:t>
      </w:r>
      <w:proofErr w:type="spellEnd"/>
      <w:r w:rsidRPr="00B36C9E">
        <w:rPr>
          <w:i/>
        </w:rPr>
        <w:t xml:space="preserve"> of </w:t>
      </w:r>
      <w:proofErr w:type="gramStart"/>
      <w:r>
        <w:rPr>
          <w:i/>
        </w:rPr>
        <w:t>P</w:t>
      </w:r>
      <w:r w:rsidRPr="00B36C9E">
        <w:rPr>
          <w:i/>
        </w:rPr>
        <w:t>hilosophy</w:t>
      </w:r>
      <w:r>
        <w:t xml:space="preserve"> ,</w:t>
      </w:r>
      <w:proofErr w:type="gramEnd"/>
      <w:r>
        <w:t xml:space="preserve"> Vol. 7 (New York: Macmillan, 1967), p. 269.</w:t>
      </w:r>
    </w:p>
  </w:endnote>
  <w:endnote w:id="6">
    <w:p w:rsidR="00247D15" w:rsidRPr="00B93602" w:rsidRDefault="00247D15" w:rsidP="008F155F">
      <w:pPr>
        <w:pStyle w:val="EndnoteText"/>
        <w:spacing w:line="480" w:lineRule="auto"/>
      </w:pPr>
      <w:r w:rsidRPr="00B93602">
        <w:rPr>
          <w:rStyle w:val="EndnoteReference"/>
        </w:rPr>
        <w:endnoteRef/>
      </w:r>
      <w:r w:rsidRPr="00B93602">
        <w:t xml:space="preserve"> Other commentators have suggested that Wittgenstein appropriated the term ‘</w:t>
      </w:r>
      <w:proofErr w:type="spellStart"/>
      <w:r w:rsidRPr="00B93602">
        <w:t>Phänomenologie</w:t>
      </w:r>
      <w:proofErr w:type="spellEnd"/>
      <w:r w:rsidRPr="00B93602">
        <w:t>’ from Boltzmann, not Husserl (</w:t>
      </w:r>
      <w:proofErr w:type="spellStart"/>
      <w:r w:rsidR="00E619C2" w:rsidRPr="00B93602">
        <w:t>Byong-Chul</w:t>
      </w:r>
      <w:proofErr w:type="spellEnd"/>
      <w:r w:rsidR="00E619C2" w:rsidRPr="00B93602">
        <w:t xml:space="preserve"> </w:t>
      </w:r>
      <w:r w:rsidRPr="00B93602">
        <w:t xml:space="preserve">Park, </w:t>
      </w:r>
      <w:r w:rsidRPr="00B93602">
        <w:rPr>
          <w:i/>
        </w:rPr>
        <w:t>Phenomenological Aspects of Wittgenstein’s Philosophy</w:t>
      </w:r>
      <w:r w:rsidR="00E619C2">
        <w:t xml:space="preserve"> (</w:t>
      </w:r>
      <w:r w:rsidRPr="00B93602">
        <w:t>Dordrecht: Kluwer, 1998</w:t>
      </w:r>
      <w:r w:rsidR="00E619C2">
        <w:t>)</w:t>
      </w:r>
      <w:r w:rsidRPr="00B93602">
        <w:t>, p. 12).</w:t>
      </w:r>
    </w:p>
  </w:endnote>
  <w:endnote w:id="7">
    <w:p w:rsidR="00247D15" w:rsidRPr="00E619C2" w:rsidRDefault="00247D15" w:rsidP="008F155F">
      <w:pPr>
        <w:spacing w:after="0" w:line="480" w:lineRule="auto"/>
        <w:jc w:val="both"/>
        <w:rPr>
          <w:rFonts w:ascii="Times New Roman" w:hAnsi="Times New Roman" w:cs="Times New Roman"/>
          <w:sz w:val="20"/>
          <w:szCs w:val="20"/>
        </w:rPr>
      </w:pPr>
      <w:r w:rsidRPr="00B93602">
        <w:rPr>
          <w:rStyle w:val="EndnoteReference"/>
          <w:rFonts w:ascii="Times New Roman" w:hAnsi="Times New Roman" w:cs="Times New Roman"/>
          <w:sz w:val="20"/>
          <w:szCs w:val="20"/>
        </w:rPr>
        <w:endnoteRef/>
      </w:r>
      <w:r w:rsidRPr="00B93602">
        <w:rPr>
          <w:rFonts w:ascii="Times New Roman" w:hAnsi="Times New Roman" w:cs="Times New Roman"/>
          <w:sz w:val="20"/>
          <w:szCs w:val="20"/>
        </w:rPr>
        <w:t xml:space="preserve"> </w:t>
      </w:r>
      <w:r w:rsidR="00E619C2">
        <w:rPr>
          <w:rFonts w:ascii="Times New Roman" w:hAnsi="Times New Roman" w:cs="Times New Roman"/>
          <w:sz w:val="20"/>
          <w:szCs w:val="20"/>
        </w:rPr>
        <w:t xml:space="preserve">Gilbert </w:t>
      </w:r>
      <w:r w:rsidRPr="00B93602">
        <w:rPr>
          <w:rFonts w:ascii="Times New Roman" w:hAnsi="Times New Roman" w:cs="Times New Roman"/>
          <w:sz w:val="20"/>
          <w:szCs w:val="20"/>
        </w:rPr>
        <w:t>Ryle</w:t>
      </w:r>
      <w:r w:rsidR="00E619C2">
        <w:rPr>
          <w:rFonts w:ascii="Times New Roman" w:hAnsi="Times New Roman" w:cs="Times New Roman"/>
          <w:sz w:val="20"/>
          <w:szCs w:val="20"/>
        </w:rPr>
        <w:t>, ‘</w:t>
      </w:r>
      <w:r w:rsidRPr="00B93602">
        <w:rPr>
          <w:rFonts w:ascii="Times New Roman" w:hAnsi="Times New Roman" w:cs="Times New Roman"/>
          <w:sz w:val="20"/>
          <w:szCs w:val="20"/>
        </w:rPr>
        <w:t xml:space="preserve">Phenomenology vs. </w:t>
      </w:r>
      <w:proofErr w:type="gramStart"/>
      <w:r w:rsidRPr="00B93602">
        <w:rPr>
          <w:rFonts w:ascii="Times New Roman" w:hAnsi="Times New Roman" w:cs="Times New Roman"/>
          <w:i/>
          <w:sz w:val="20"/>
          <w:szCs w:val="20"/>
        </w:rPr>
        <w:t>The</w:t>
      </w:r>
      <w:proofErr w:type="gramEnd"/>
      <w:r w:rsidRPr="00B93602">
        <w:rPr>
          <w:rFonts w:ascii="Times New Roman" w:hAnsi="Times New Roman" w:cs="Times New Roman"/>
          <w:i/>
          <w:sz w:val="20"/>
          <w:szCs w:val="20"/>
        </w:rPr>
        <w:t xml:space="preserve"> Concept of Mind</w:t>
      </w:r>
      <w:r w:rsidR="00E619C2">
        <w:rPr>
          <w:rFonts w:ascii="Times New Roman" w:hAnsi="Times New Roman" w:cs="Times New Roman"/>
          <w:sz w:val="20"/>
          <w:szCs w:val="20"/>
        </w:rPr>
        <w:t>’,</w:t>
      </w:r>
      <w:r w:rsidRPr="00B93602">
        <w:rPr>
          <w:rFonts w:ascii="Times New Roman" w:hAnsi="Times New Roman" w:cs="Times New Roman"/>
          <w:sz w:val="20"/>
          <w:szCs w:val="20"/>
        </w:rPr>
        <w:t xml:space="preserve"> </w:t>
      </w:r>
      <w:r w:rsidR="00E619C2">
        <w:rPr>
          <w:rFonts w:ascii="Times New Roman" w:hAnsi="Times New Roman" w:cs="Times New Roman"/>
          <w:sz w:val="20"/>
          <w:szCs w:val="20"/>
        </w:rPr>
        <w:t>i</w:t>
      </w:r>
      <w:r w:rsidRPr="00B93602">
        <w:rPr>
          <w:rFonts w:ascii="Times New Roman" w:hAnsi="Times New Roman" w:cs="Times New Roman"/>
          <w:sz w:val="20"/>
          <w:szCs w:val="20"/>
        </w:rPr>
        <w:t xml:space="preserve">n </w:t>
      </w:r>
      <w:r w:rsidRPr="00B93602">
        <w:rPr>
          <w:rFonts w:ascii="Times New Roman" w:hAnsi="Times New Roman" w:cs="Times New Roman"/>
          <w:i/>
          <w:sz w:val="20"/>
          <w:szCs w:val="20"/>
        </w:rPr>
        <w:t>Collected Papers: Critical Essays</w:t>
      </w:r>
      <w:r w:rsidR="00E619C2">
        <w:rPr>
          <w:rFonts w:ascii="Times New Roman" w:hAnsi="Times New Roman" w:cs="Times New Roman"/>
          <w:sz w:val="20"/>
          <w:szCs w:val="20"/>
        </w:rPr>
        <w:t xml:space="preserve">, </w:t>
      </w:r>
      <w:r w:rsidRPr="00B93602">
        <w:rPr>
          <w:rFonts w:ascii="Times New Roman" w:hAnsi="Times New Roman" w:cs="Times New Roman"/>
          <w:sz w:val="20"/>
          <w:szCs w:val="20"/>
        </w:rPr>
        <w:t>Vol. 1</w:t>
      </w:r>
      <w:r w:rsidR="00E619C2">
        <w:rPr>
          <w:rFonts w:ascii="Times New Roman" w:hAnsi="Times New Roman" w:cs="Times New Roman"/>
          <w:sz w:val="20"/>
          <w:szCs w:val="20"/>
        </w:rPr>
        <w:t xml:space="preserve"> (</w:t>
      </w:r>
      <w:r w:rsidRPr="00B93602">
        <w:rPr>
          <w:rFonts w:ascii="Times New Roman" w:hAnsi="Times New Roman" w:cs="Times New Roman"/>
          <w:sz w:val="20"/>
          <w:szCs w:val="20"/>
        </w:rPr>
        <w:t>London: Hutchinson</w:t>
      </w:r>
      <w:r w:rsidR="00E619C2">
        <w:rPr>
          <w:rFonts w:ascii="Times New Roman" w:hAnsi="Times New Roman" w:cs="Times New Roman"/>
          <w:sz w:val="20"/>
          <w:szCs w:val="20"/>
        </w:rPr>
        <w:t>, 1971)</w:t>
      </w:r>
      <w:r w:rsidRPr="00B93602">
        <w:rPr>
          <w:rFonts w:ascii="Times New Roman" w:hAnsi="Times New Roman" w:cs="Times New Roman"/>
          <w:sz w:val="20"/>
          <w:szCs w:val="20"/>
        </w:rPr>
        <w:t xml:space="preserve">, </w:t>
      </w:r>
      <w:r w:rsidRPr="00E619C2">
        <w:rPr>
          <w:rFonts w:ascii="Times New Roman" w:hAnsi="Times New Roman" w:cs="Times New Roman"/>
          <w:sz w:val="20"/>
          <w:szCs w:val="20"/>
        </w:rPr>
        <w:t>p. 188.</w:t>
      </w:r>
    </w:p>
  </w:endnote>
  <w:endnote w:id="8">
    <w:p w:rsidR="00247D15" w:rsidRPr="00B93602" w:rsidRDefault="00247D15" w:rsidP="008F155F">
      <w:pPr>
        <w:pStyle w:val="EndnoteText"/>
        <w:spacing w:line="480" w:lineRule="auto"/>
      </w:pPr>
      <w:r w:rsidRPr="00B93602">
        <w:rPr>
          <w:rStyle w:val="EndnoteReference"/>
        </w:rPr>
        <w:endnoteRef/>
      </w:r>
      <w:r w:rsidRPr="00B93602">
        <w:t xml:space="preserve"> See e.g. ibid</w:t>
      </w:r>
      <w:r w:rsidRPr="00B93602">
        <w:rPr>
          <w:rFonts w:eastAsia="Calibri"/>
        </w:rPr>
        <w:t>, p. 182</w:t>
      </w:r>
      <w:r w:rsidRPr="00B93602">
        <w:t>. Ryle also disliked Wittgenstein’s tendency to attract disciples</w:t>
      </w:r>
      <w:r w:rsidR="00B01EAF">
        <w:t xml:space="preserve">; see Ray </w:t>
      </w:r>
      <w:r w:rsidR="00B01EAF" w:rsidRPr="00B93602">
        <w:t>Monk</w:t>
      </w:r>
      <w:r w:rsidR="00B01EAF">
        <w:t xml:space="preserve">, </w:t>
      </w:r>
      <w:r w:rsidR="00B01EAF" w:rsidRPr="00B93602">
        <w:rPr>
          <w:i/>
        </w:rPr>
        <w:t>Ludwig Wittgenstein: The Duty of Genius</w:t>
      </w:r>
      <w:r w:rsidR="00B01EAF">
        <w:t xml:space="preserve"> (</w:t>
      </w:r>
      <w:r w:rsidR="00B01EAF" w:rsidRPr="00B93602">
        <w:t xml:space="preserve">London: Vintage, </w:t>
      </w:r>
      <w:r w:rsidR="00B01EAF">
        <w:t xml:space="preserve">1991), </w:t>
      </w:r>
      <w:r w:rsidR="00B01EAF" w:rsidRPr="00B93602">
        <w:t>p. 275</w:t>
      </w:r>
      <w:r w:rsidRPr="00B93602">
        <w:t>. By contrast to ‘Continental philosophy’, ‘analytic philosophy’ had, for Ryle, no place for discipleship.</w:t>
      </w:r>
    </w:p>
  </w:endnote>
  <w:endnote w:id="9">
    <w:p w:rsidR="00247D15" w:rsidRPr="00B01EAF" w:rsidRDefault="00247D15" w:rsidP="008F155F">
      <w:pPr>
        <w:pStyle w:val="EndnoteText"/>
        <w:spacing w:line="480" w:lineRule="auto"/>
        <w:rPr>
          <w:lang w:val="en-US"/>
        </w:rPr>
      </w:pPr>
      <w:r w:rsidRPr="00B93602">
        <w:rPr>
          <w:rStyle w:val="EndnoteReference"/>
        </w:rPr>
        <w:endnoteRef/>
      </w:r>
      <w:r w:rsidRPr="00B93602">
        <w:t xml:space="preserve"> </w:t>
      </w:r>
      <w:r w:rsidR="008102FE">
        <w:t xml:space="preserve">L. </w:t>
      </w:r>
      <w:r w:rsidRPr="00B93602">
        <w:t xml:space="preserve">Beck, </w:t>
      </w:r>
      <w:r w:rsidR="008102FE">
        <w:t xml:space="preserve">J. </w:t>
      </w:r>
      <w:r w:rsidRPr="00B93602">
        <w:t xml:space="preserve">Wahl, </w:t>
      </w:r>
      <w:r w:rsidR="008102FE">
        <w:t xml:space="preserve">J. O. </w:t>
      </w:r>
      <w:proofErr w:type="spellStart"/>
      <w:r w:rsidRPr="00B93602">
        <w:t>Urmson</w:t>
      </w:r>
      <w:proofErr w:type="spellEnd"/>
      <w:r w:rsidRPr="00B93602">
        <w:t xml:space="preserve">, </w:t>
      </w:r>
      <w:r w:rsidR="008102FE">
        <w:t xml:space="preserve">B. </w:t>
      </w:r>
      <w:r w:rsidRPr="00B93602">
        <w:t xml:space="preserve">Williams, </w:t>
      </w:r>
      <w:r w:rsidR="008102FE">
        <w:t xml:space="preserve">G. </w:t>
      </w:r>
      <w:r w:rsidRPr="00B93602">
        <w:t xml:space="preserve">Ryle, </w:t>
      </w:r>
      <w:r w:rsidR="008102FE">
        <w:t xml:space="preserve">P. F. </w:t>
      </w:r>
      <w:proofErr w:type="spellStart"/>
      <w:r w:rsidRPr="00B93602">
        <w:t>Strawson</w:t>
      </w:r>
      <w:proofErr w:type="spellEnd"/>
      <w:r w:rsidRPr="00B93602">
        <w:t xml:space="preserve">, </w:t>
      </w:r>
      <w:r w:rsidR="008102FE">
        <w:t xml:space="preserve">W. V. </w:t>
      </w:r>
      <w:r w:rsidRPr="00B93602">
        <w:t xml:space="preserve">Quine, </w:t>
      </w:r>
      <w:r w:rsidR="008102FE">
        <w:t xml:space="preserve">L. </w:t>
      </w:r>
      <w:proofErr w:type="spellStart"/>
      <w:r w:rsidRPr="00B93602">
        <w:t>Apostel</w:t>
      </w:r>
      <w:proofErr w:type="spellEnd"/>
      <w:r w:rsidRPr="00B93602">
        <w:t xml:space="preserve">, </w:t>
      </w:r>
      <w:r w:rsidR="008102FE">
        <w:t xml:space="preserve">E. W. </w:t>
      </w:r>
      <w:r w:rsidRPr="00B93602">
        <w:t xml:space="preserve">Beth, </w:t>
      </w:r>
      <w:r w:rsidR="008102FE">
        <w:t xml:space="preserve">J. L. </w:t>
      </w:r>
      <w:r w:rsidRPr="00B93602">
        <w:t xml:space="preserve">Austin, </w:t>
      </w:r>
      <w:r w:rsidR="008102FE">
        <w:t xml:space="preserve">R. </w:t>
      </w:r>
      <w:r w:rsidRPr="00B93602">
        <w:t xml:space="preserve">Hare, </w:t>
      </w:r>
      <w:r w:rsidRPr="00B93602">
        <w:rPr>
          <w:i/>
        </w:rPr>
        <w:t xml:space="preserve">La </w:t>
      </w:r>
      <w:proofErr w:type="spellStart"/>
      <w:r w:rsidRPr="00B93602">
        <w:rPr>
          <w:i/>
        </w:rPr>
        <w:t>Philosophie</w:t>
      </w:r>
      <w:proofErr w:type="spellEnd"/>
      <w:r w:rsidRPr="00B93602">
        <w:rPr>
          <w:i/>
        </w:rPr>
        <w:t xml:space="preserve"> </w:t>
      </w:r>
      <w:proofErr w:type="spellStart"/>
      <w:r w:rsidRPr="00B93602">
        <w:rPr>
          <w:i/>
        </w:rPr>
        <w:t>Analytique</w:t>
      </w:r>
      <w:proofErr w:type="spellEnd"/>
      <w:r w:rsidRPr="00B93602">
        <w:rPr>
          <w:i/>
        </w:rPr>
        <w:t xml:space="preserve"> (Cahiers de </w:t>
      </w:r>
      <w:proofErr w:type="spellStart"/>
      <w:r w:rsidRPr="00B93602">
        <w:rPr>
          <w:i/>
        </w:rPr>
        <w:t>Royaumont</w:t>
      </w:r>
      <w:proofErr w:type="spellEnd"/>
      <w:r w:rsidRPr="00B93602">
        <w:rPr>
          <w:i/>
        </w:rPr>
        <w:t xml:space="preserve">,  </w:t>
      </w:r>
      <w:proofErr w:type="spellStart"/>
      <w:r w:rsidRPr="00B93602">
        <w:rPr>
          <w:i/>
        </w:rPr>
        <w:t>Philosophie</w:t>
      </w:r>
      <w:proofErr w:type="spellEnd"/>
      <w:r w:rsidRPr="008102FE">
        <w:rPr>
          <w:i/>
        </w:rPr>
        <w:t>, No. 4</w:t>
      </w:r>
      <w:r w:rsidRPr="00B93602">
        <w:rPr>
          <w:i/>
        </w:rPr>
        <w:t>)</w:t>
      </w:r>
      <w:r w:rsidR="00B01EAF">
        <w:t xml:space="preserve"> (</w:t>
      </w:r>
      <w:r w:rsidRPr="00B93602">
        <w:t>Paris: Minuit</w:t>
      </w:r>
      <w:r w:rsidR="00B01EAF">
        <w:t>, 1962)</w:t>
      </w:r>
      <w:r w:rsidRPr="00B93602">
        <w:t xml:space="preserve">, </w:t>
      </w:r>
      <w:r w:rsidRPr="00B01EAF">
        <w:t>p. 7.</w:t>
      </w:r>
    </w:p>
  </w:endnote>
  <w:endnote w:id="10">
    <w:p w:rsidR="00247D15" w:rsidRPr="00B01EAF" w:rsidRDefault="00247D15" w:rsidP="008F155F">
      <w:pPr>
        <w:pStyle w:val="EndnoteText"/>
        <w:spacing w:line="480" w:lineRule="auto"/>
      </w:pPr>
      <w:r w:rsidRPr="00B01EAF">
        <w:rPr>
          <w:rStyle w:val="EndnoteReference"/>
        </w:rPr>
        <w:endnoteRef/>
      </w:r>
      <w:r w:rsidRPr="00B01EAF">
        <w:t xml:space="preserve"> See </w:t>
      </w:r>
      <w:r w:rsidR="00B01EAF" w:rsidRPr="00B01EAF">
        <w:t xml:space="preserve">Simon </w:t>
      </w:r>
      <w:proofErr w:type="spellStart"/>
      <w:r w:rsidRPr="00B01EAF">
        <w:t>Glendinning</w:t>
      </w:r>
      <w:proofErr w:type="spellEnd"/>
      <w:r w:rsidRPr="00B01EAF">
        <w:t xml:space="preserve">, </w:t>
      </w:r>
      <w:proofErr w:type="gramStart"/>
      <w:r w:rsidRPr="00B01EAF">
        <w:rPr>
          <w:i/>
        </w:rPr>
        <w:t>The</w:t>
      </w:r>
      <w:proofErr w:type="gramEnd"/>
      <w:r w:rsidRPr="00B01EAF">
        <w:rPr>
          <w:i/>
        </w:rPr>
        <w:t xml:space="preserve"> Idea of Continental Philosophy: A Philosophical Chronicle</w:t>
      </w:r>
      <w:r w:rsidR="00B01EAF" w:rsidRPr="00B01EAF">
        <w:t xml:space="preserve"> (</w:t>
      </w:r>
      <w:r w:rsidRPr="00B01EAF">
        <w:t>Edinburgh: Edinburgh University Press</w:t>
      </w:r>
      <w:r w:rsidRPr="00B01EAF">
        <w:rPr>
          <w:rFonts w:eastAsia="Calibri"/>
        </w:rPr>
        <w:t xml:space="preserve">, </w:t>
      </w:r>
      <w:r w:rsidR="00B01EAF" w:rsidRPr="00B01EAF">
        <w:t xml:space="preserve">2006), </w:t>
      </w:r>
      <w:r w:rsidRPr="00B01EAF">
        <w:rPr>
          <w:rFonts w:eastAsia="Calibri"/>
        </w:rPr>
        <w:t>p. 73</w:t>
      </w:r>
      <w:r w:rsidRPr="00B01EAF">
        <w:t>.</w:t>
      </w:r>
    </w:p>
  </w:endnote>
  <w:endnote w:id="11">
    <w:p w:rsidR="00247D15" w:rsidRPr="00B93602" w:rsidRDefault="00247D15" w:rsidP="008F155F">
      <w:pPr>
        <w:pStyle w:val="EndnoteText"/>
        <w:spacing w:line="480" w:lineRule="auto"/>
      </w:pPr>
      <w:r w:rsidRPr="00B93602">
        <w:rPr>
          <w:rStyle w:val="EndnoteReference"/>
        </w:rPr>
        <w:endnoteRef/>
      </w:r>
      <w:r w:rsidRPr="00B93602">
        <w:t xml:space="preserve"> See </w:t>
      </w:r>
      <w:r w:rsidR="004F74E1">
        <w:t xml:space="preserve">Amy L. </w:t>
      </w:r>
      <w:r w:rsidRPr="00B93602">
        <w:rPr>
          <w:rFonts w:eastAsia="Calibri"/>
        </w:rPr>
        <w:t xml:space="preserve">Thomasson, </w:t>
      </w:r>
      <w:r w:rsidR="004F74E1">
        <w:rPr>
          <w:rFonts w:eastAsia="Calibri"/>
        </w:rPr>
        <w:t>‘</w:t>
      </w:r>
      <w:r w:rsidRPr="00B93602">
        <w:rPr>
          <w:rFonts w:eastAsia="Calibri"/>
        </w:rPr>
        <w:t>Phenomenology and the Development of Analytic Philosophy</w:t>
      </w:r>
      <w:r w:rsidR="004F74E1">
        <w:rPr>
          <w:rFonts w:eastAsia="Calibri"/>
        </w:rPr>
        <w:t>’,</w:t>
      </w:r>
      <w:r w:rsidRPr="00B93602">
        <w:rPr>
          <w:rFonts w:eastAsia="Calibri"/>
        </w:rPr>
        <w:t xml:space="preserve"> </w:t>
      </w:r>
      <w:r w:rsidRPr="004F74E1">
        <w:rPr>
          <w:rFonts w:eastAsia="Calibri"/>
        </w:rPr>
        <w:t>Southern Journal of Philosophy</w:t>
      </w:r>
      <w:r w:rsidRPr="00B93602">
        <w:rPr>
          <w:rFonts w:eastAsia="Calibri"/>
        </w:rPr>
        <w:t xml:space="preserve">, </w:t>
      </w:r>
      <w:r w:rsidRPr="004F74E1">
        <w:rPr>
          <w:rFonts w:eastAsia="Calibri"/>
        </w:rPr>
        <w:t>40</w:t>
      </w:r>
      <w:r w:rsidRPr="00B93602">
        <w:rPr>
          <w:rFonts w:eastAsia="Calibri"/>
        </w:rPr>
        <w:t xml:space="preserve">(1), </w:t>
      </w:r>
      <w:r w:rsidR="004F74E1">
        <w:rPr>
          <w:rFonts w:eastAsia="Calibri"/>
        </w:rPr>
        <w:t xml:space="preserve">(Spring 2002), pp. </w:t>
      </w:r>
      <w:r w:rsidRPr="00B93602">
        <w:rPr>
          <w:rFonts w:eastAsia="Calibri"/>
        </w:rPr>
        <w:t>115-142.</w:t>
      </w:r>
    </w:p>
  </w:endnote>
  <w:endnote w:id="12">
    <w:p w:rsidR="00247D15" w:rsidRPr="00B93602" w:rsidRDefault="00247D15" w:rsidP="008F155F">
      <w:pPr>
        <w:pStyle w:val="EndnoteText"/>
        <w:spacing w:line="480" w:lineRule="auto"/>
      </w:pPr>
      <w:r w:rsidRPr="00B93602">
        <w:rPr>
          <w:rStyle w:val="EndnoteReference"/>
        </w:rPr>
        <w:endnoteRef/>
      </w:r>
      <w:r w:rsidRPr="00B93602">
        <w:t xml:space="preserve"> </w:t>
      </w:r>
      <w:proofErr w:type="spellStart"/>
      <w:r w:rsidRPr="00B93602">
        <w:t>Waismann</w:t>
      </w:r>
      <w:proofErr w:type="spellEnd"/>
      <w:r w:rsidRPr="00B93602">
        <w:t xml:space="preserve">, for example, ‘in private recommended reading Husserl’ (quoted in </w:t>
      </w:r>
      <w:r w:rsidR="004F74E1">
        <w:t xml:space="preserve">Wolfgang </w:t>
      </w:r>
      <w:proofErr w:type="spellStart"/>
      <w:r w:rsidRPr="00B93602">
        <w:t>Huemer</w:t>
      </w:r>
      <w:proofErr w:type="spellEnd"/>
      <w:r w:rsidR="004F74E1">
        <w:t>, ‘</w:t>
      </w:r>
      <w:r w:rsidRPr="00B93602">
        <w:t>Logical Empiricism and Phenomenology: Felix Kaufmann</w:t>
      </w:r>
      <w:r w:rsidR="004F74E1">
        <w:t>’,</w:t>
      </w:r>
      <w:r w:rsidRPr="00B93602">
        <w:t xml:space="preserve"> </w:t>
      </w:r>
      <w:r w:rsidR="004F74E1">
        <w:t>i</w:t>
      </w:r>
      <w:r w:rsidRPr="00B93602">
        <w:t xml:space="preserve">n F. </w:t>
      </w:r>
      <w:proofErr w:type="spellStart"/>
      <w:r w:rsidRPr="00B93602">
        <w:t>Stadler</w:t>
      </w:r>
      <w:proofErr w:type="spellEnd"/>
      <w:r w:rsidRPr="00B93602">
        <w:t xml:space="preserve"> (Ed.)</w:t>
      </w:r>
      <w:r w:rsidR="004F74E1">
        <w:t>,</w:t>
      </w:r>
      <w:r w:rsidRPr="00B93602">
        <w:t xml:space="preserve"> </w:t>
      </w:r>
      <w:r w:rsidRPr="00B93602">
        <w:rPr>
          <w:i/>
        </w:rPr>
        <w:t>The Vienna Circle and Logical Empiricism: Re-evaluation and Future Perspectives</w:t>
      </w:r>
      <w:r w:rsidRPr="00B93602">
        <w:t xml:space="preserve"> (pp. 151-160)</w:t>
      </w:r>
      <w:r w:rsidR="004F74E1">
        <w:t xml:space="preserve"> (</w:t>
      </w:r>
      <w:r w:rsidRPr="00B93602">
        <w:t>Dordrecht: Kluwer</w:t>
      </w:r>
      <w:r w:rsidR="004F74E1">
        <w:t>, 2003)</w:t>
      </w:r>
      <w:r w:rsidRPr="004F74E1">
        <w:t>, p. 153). Felix Kaufmann and Robert Neumann were considered phenomenologists by the rest of the group; see</w:t>
      </w:r>
      <w:r w:rsidRPr="00B93602">
        <w:t xml:space="preserve"> ibid. Kurt Gödel would later become interested in Husserl.</w:t>
      </w:r>
    </w:p>
  </w:endnote>
  <w:endnote w:id="13">
    <w:p w:rsidR="00247D15" w:rsidRPr="00B93602" w:rsidRDefault="00247D15" w:rsidP="008F155F">
      <w:pPr>
        <w:pStyle w:val="EndnoteText"/>
        <w:spacing w:line="480" w:lineRule="auto"/>
      </w:pPr>
      <w:r w:rsidRPr="00B93602">
        <w:rPr>
          <w:rStyle w:val="EndnoteReference"/>
        </w:rPr>
        <w:endnoteRef/>
      </w:r>
      <w:r w:rsidRPr="00B93602">
        <w:t xml:space="preserve"> See </w:t>
      </w:r>
      <w:r w:rsidR="004F74E1">
        <w:t xml:space="preserve">Guillermo E. </w:t>
      </w:r>
      <w:r w:rsidRPr="00B93602">
        <w:rPr>
          <w:rFonts w:eastAsia="Calibri"/>
        </w:rPr>
        <w:t xml:space="preserve">Rosado Haddock, </w:t>
      </w:r>
      <w:r w:rsidRPr="00B93602">
        <w:rPr>
          <w:rFonts w:eastAsia="Calibri"/>
          <w:i/>
        </w:rPr>
        <w:t xml:space="preserve">The Young </w:t>
      </w:r>
      <w:proofErr w:type="spellStart"/>
      <w:r w:rsidRPr="00B93602">
        <w:rPr>
          <w:rFonts w:eastAsia="Calibri"/>
          <w:i/>
        </w:rPr>
        <w:t>Carnap’s</w:t>
      </w:r>
      <w:proofErr w:type="spellEnd"/>
      <w:r w:rsidRPr="00B93602">
        <w:rPr>
          <w:rFonts w:eastAsia="Calibri"/>
          <w:i/>
        </w:rPr>
        <w:t xml:space="preserve"> Unknown Master: Husserl's Influence on </w:t>
      </w:r>
      <w:r w:rsidRPr="00B93602">
        <w:rPr>
          <w:rFonts w:eastAsia="Calibri"/>
        </w:rPr>
        <w:t xml:space="preserve">Der </w:t>
      </w:r>
      <w:proofErr w:type="spellStart"/>
      <w:r w:rsidRPr="00B93602">
        <w:rPr>
          <w:rFonts w:eastAsia="Calibri"/>
        </w:rPr>
        <w:t>Raum</w:t>
      </w:r>
      <w:proofErr w:type="spellEnd"/>
      <w:r w:rsidRPr="00B93602">
        <w:rPr>
          <w:rFonts w:eastAsia="Calibri"/>
          <w:i/>
        </w:rPr>
        <w:t xml:space="preserve"> and </w:t>
      </w:r>
      <w:r w:rsidRPr="00B93602">
        <w:rPr>
          <w:rFonts w:eastAsia="Calibri"/>
        </w:rPr>
        <w:t xml:space="preserve">Der </w:t>
      </w:r>
      <w:proofErr w:type="spellStart"/>
      <w:r w:rsidRPr="00B93602">
        <w:rPr>
          <w:rFonts w:eastAsia="Calibri"/>
        </w:rPr>
        <w:t>logische</w:t>
      </w:r>
      <w:proofErr w:type="spellEnd"/>
      <w:r w:rsidRPr="00B93602">
        <w:rPr>
          <w:rFonts w:eastAsia="Calibri"/>
        </w:rPr>
        <w:t xml:space="preserve"> </w:t>
      </w:r>
      <w:proofErr w:type="spellStart"/>
      <w:r w:rsidRPr="00B93602">
        <w:rPr>
          <w:rFonts w:eastAsia="Calibri"/>
        </w:rPr>
        <w:t>Aufbau</w:t>
      </w:r>
      <w:proofErr w:type="spellEnd"/>
      <w:r w:rsidRPr="00B93602">
        <w:rPr>
          <w:rFonts w:eastAsia="Calibri"/>
        </w:rPr>
        <w:t xml:space="preserve"> der Welt</w:t>
      </w:r>
      <w:r w:rsidR="004F74E1">
        <w:rPr>
          <w:rFonts w:eastAsia="Calibri"/>
        </w:rPr>
        <w:t xml:space="preserve"> (</w:t>
      </w:r>
      <w:r w:rsidRPr="00B93602">
        <w:rPr>
          <w:rFonts w:eastAsia="Calibri"/>
        </w:rPr>
        <w:t xml:space="preserve">Aldershot: </w:t>
      </w:r>
      <w:proofErr w:type="spellStart"/>
      <w:r w:rsidRPr="00B93602">
        <w:rPr>
          <w:rFonts w:eastAsia="Calibri"/>
        </w:rPr>
        <w:t>Ashgate</w:t>
      </w:r>
      <w:proofErr w:type="spellEnd"/>
      <w:r w:rsidR="004F74E1">
        <w:rPr>
          <w:rFonts w:eastAsia="Calibri"/>
        </w:rPr>
        <w:t xml:space="preserve">, </w:t>
      </w:r>
      <w:r w:rsidR="004F74E1" w:rsidRPr="00B93602">
        <w:rPr>
          <w:rFonts w:eastAsia="Calibri"/>
        </w:rPr>
        <w:t>2008</w:t>
      </w:r>
      <w:r w:rsidR="004F74E1">
        <w:rPr>
          <w:rFonts w:eastAsia="Calibri"/>
        </w:rPr>
        <w:t>)</w:t>
      </w:r>
      <w:r w:rsidRPr="00B93602">
        <w:rPr>
          <w:rFonts w:eastAsia="Calibri"/>
        </w:rPr>
        <w:t>.</w:t>
      </w:r>
    </w:p>
  </w:endnote>
  <w:endnote w:id="14">
    <w:p w:rsidR="00247D15" w:rsidRPr="00B93602" w:rsidRDefault="00247D15" w:rsidP="008F155F">
      <w:pPr>
        <w:pStyle w:val="EndnoteText"/>
        <w:spacing w:line="480" w:lineRule="auto"/>
      </w:pPr>
      <w:r w:rsidRPr="00B93602">
        <w:rPr>
          <w:rStyle w:val="EndnoteReference"/>
        </w:rPr>
        <w:endnoteRef/>
      </w:r>
      <w:r w:rsidRPr="00B93602">
        <w:t xml:space="preserve"> See </w:t>
      </w:r>
      <w:r w:rsidR="004F74E1">
        <w:t xml:space="preserve">M. M. </w:t>
      </w:r>
      <w:r w:rsidRPr="00B93602">
        <w:t xml:space="preserve">Van de </w:t>
      </w:r>
      <w:proofErr w:type="spellStart"/>
      <w:r w:rsidRPr="00B93602">
        <w:t>Pitte</w:t>
      </w:r>
      <w:proofErr w:type="spellEnd"/>
      <w:r w:rsidRPr="00B93602">
        <w:t xml:space="preserve">, </w:t>
      </w:r>
      <w:r w:rsidR="004F74E1">
        <w:t>‘</w:t>
      </w:r>
      <w:proofErr w:type="spellStart"/>
      <w:r w:rsidRPr="00B93602">
        <w:t>Schlick's</w:t>
      </w:r>
      <w:proofErr w:type="spellEnd"/>
      <w:r w:rsidRPr="00B93602">
        <w:t xml:space="preserve"> Critique of Phenomenological Propositions</w:t>
      </w:r>
      <w:r w:rsidR="004F74E1">
        <w:t>’</w:t>
      </w:r>
      <w:r w:rsidR="004F74E1" w:rsidRPr="004F74E1">
        <w:t>,</w:t>
      </w:r>
      <w:r w:rsidRPr="004F74E1">
        <w:t xml:space="preserve"> Philosophy and Phenomenological Research, 45</w:t>
      </w:r>
      <w:r w:rsidR="004F74E1">
        <w:t>(2)</w:t>
      </w:r>
      <w:r w:rsidRPr="004F74E1">
        <w:t xml:space="preserve">, </w:t>
      </w:r>
      <w:r w:rsidR="004F74E1" w:rsidRPr="004F74E1">
        <w:t>(</w:t>
      </w:r>
      <w:r w:rsidR="008042E0">
        <w:t xml:space="preserve">December </w:t>
      </w:r>
      <w:r w:rsidR="004F74E1" w:rsidRPr="004F74E1">
        <w:t>1984)</w:t>
      </w:r>
      <w:r w:rsidR="004F74E1">
        <w:t xml:space="preserve">, pp. </w:t>
      </w:r>
      <w:r w:rsidRPr="004F74E1">
        <w:t xml:space="preserve">195-225; </w:t>
      </w:r>
      <w:r w:rsidR="008042E0">
        <w:t xml:space="preserve">Paul </w:t>
      </w:r>
      <w:r w:rsidRPr="004F74E1">
        <w:t>Livingston</w:t>
      </w:r>
      <w:r w:rsidR="008042E0">
        <w:t>, ‘</w:t>
      </w:r>
      <w:r w:rsidRPr="004F74E1">
        <w:t>Husser</w:t>
      </w:r>
      <w:r w:rsidRPr="00B93602">
        <w:t xml:space="preserve">l and </w:t>
      </w:r>
      <w:proofErr w:type="spellStart"/>
      <w:r w:rsidRPr="00B93602">
        <w:t>Schlick</w:t>
      </w:r>
      <w:proofErr w:type="spellEnd"/>
      <w:r w:rsidRPr="00B93602">
        <w:t xml:space="preserve"> on the Logical Form of Experience</w:t>
      </w:r>
      <w:r w:rsidR="008042E0">
        <w:t>’,</w:t>
      </w:r>
      <w:r w:rsidRPr="008042E0">
        <w:t xml:space="preserve"> </w:t>
      </w:r>
      <w:proofErr w:type="spellStart"/>
      <w:r w:rsidRPr="008042E0">
        <w:t>Synthese</w:t>
      </w:r>
      <w:proofErr w:type="spellEnd"/>
      <w:r w:rsidRPr="008042E0">
        <w:t>, 132(3</w:t>
      </w:r>
      <w:r w:rsidRPr="00B93602">
        <w:t xml:space="preserve">), </w:t>
      </w:r>
      <w:r w:rsidR="008042E0">
        <w:t>(September 2002), pp.</w:t>
      </w:r>
      <w:r w:rsidR="008042E0" w:rsidRPr="004F74E1">
        <w:t xml:space="preserve"> </w:t>
      </w:r>
      <w:r w:rsidRPr="00B93602">
        <w:t>239-272.</w:t>
      </w:r>
    </w:p>
  </w:endnote>
  <w:endnote w:id="15">
    <w:p w:rsidR="00247D15" w:rsidRPr="00B93602" w:rsidRDefault="00247D15" w:rsidP="008F155F">
      <w:pPr>
        <w:pStyle w:val="EndnoteText"/>
        <w:spacing w:line="480" w:lineRule="auto"/>
      </w:pPr>
      <w:r w:rsidRPr="00B93602">
        <w:rPr>
          <w:rStyle w:val="EndnoteReference"/>
        </w:rPr>
        <w:endnoteRef/>
      </w:r>
      <w:r w:rsidRPr="00B93602">
        <w:t xml:space="preserve"> </w:t>
      </w:r>
      <w:proofErr w:type="gramStart"/>
      <w:r w:rsidR="008042E0">
        <w:t xml:space="preserve">Gilbert </w:t>
      </w:r>
      <w:r w:rsidRPr="00B93602">
        <w:t>Ryle</w:t>
      </w:r>
      <w:r w:rsidR="008042E0">
        <w:t>,</w:t>
      </w:r>
      <w:r w:rsidRPr="00B93602">
        <w:t xml:space="preserve"> </w:t>
      </w:r>
      <w:r w:rsidR="008042E0">
        <w:t>‘</w:t>
      </w:r>
      <w:r w:rsidRPr="00B93602">
        <w:t xml:space="preserve">Review of Heidegger’s </w:t>
      </w:r>
      <w:r w:rsidRPr="00B93602">
        <w:rPr>
          <w:i/>
        </w:rPr>
        <w:t xml:space="preserve">Sein und </w:t>
      </w:r>
      <w:proofErr w:type="spellStart"/>
      <w:r w:rsidRPr="00B93602">
        <w:rPr>
          <w:i/>
        </w:rPr>
        <w:t>Zeit</w:t>
      </w:r>
      <w:proofErr w:type="spellEnd"/>
      <w:r w:rsidR="008042E0">
        <w:t>’,</w:t>
      </w:r>
      <w:r w:rsidRPr="00B93602">
        <w:t xml:space="preserve"> </w:t>
      </w:r>
      <w:r w:rsidRPr="008042E0">
        <w:t>Mind, 38(</w:t>
      </w:r>
      <w:r w:rsidRPr="00B93602">
        <w:t xml:space="preserve">151), </w:t>
      </w:r>
      <w:r w:rsidR="008042E0" w:rsidRPr="00B93602">
        <w:t>(</w:t>
      </w:r>
      <w:r w:rsidR="008042E0">
        <w:t xml:space="preserve">July </w:t>
      </w:r>
      <w:r w:rsidR="008042E0" w:rsidRPr="00B93602">
        <w:t>1929)</w:t>
      </w:r>
      <w:r w:rsidR="008042E0">
        <w:t>, pp.</w:t>
      </w:r>
      <w:r w:rsidR="008042E0" w:rsidRPr="00B93602">
        <w:t xml:space="preserve"> </w:t>
      </w:r>
      <w:r w:rsidRPr="00B93602">
        <w:t>355-370</w:t>
      </w:r>
      <w:r w:rsidRPr="008042E0">
        <w:t>, p. 370</w:t>
      </w:r>
      <w:r w:rsidR="008042E0">
        <w:t>.</w:t>
      </w:r>
      <w:proofErr w:type="gramEnd"/>
    </w:p>
  </w:endnote>
  <w:endnote w:id="16">
    <w:p w:rsidR="00662827" w:rsidRPr="00662827" w:rsidRDefault="00662827" w:rsidP="008F155F">
      <w:pPr>
        <w:pStyle w:val="EndnoteText"/>
        <w:spacing w:line="480" w:lineRule="auto"/>
      </w:pPr>
      <w:r>
        <w:rPr>
          <w:rStyle w:val="EndnoteReference"/>
        </w:rPr>
        <w:endnoteRef/>
      </w:r>
      <w:r>
        <w:t xml:space="preserve"> Quoted in Peter E. Gordon, ‘</w:t>
      </w:r>
      <w:r w:rsidRPr="00D4615B">
        <w:t>Continental Divide: Ernst Cassirer and Martin Heidegger at Davos, 1929 – An A</w:t>
      </w:r>
      <w:r>
        <w:t xml:space="preserve">llegory of Intellectual History’, </w:t>
      </w:r>
      <w:r w:rsidRPr="00662827">
        <w:t>Modern Intellectual History, 1</w:t>
      </w:r>
      <w:r>
        <w:t>(2), (2004), pp. 219-</w:t>
      </w:r>
      <w:r w:rsidRPr="00D4615B">
        <w:t>248</w:t>
      </w:r>
      <w:r>
        <w:t>, p. 229.</w:t>
      </w:r>
    </w:p>
  </w:endnote>
  <w:endnote w:id="17">
    <w:p w:rsidR="00247D15" w:rsidRPr="00B93602" w:rsidRDefault="00247D15" w:rsidP="008F155F">
      <w:pPr>
        <w:pStyle w:val="EndnoteText"/>
        <w:spacing w:line="480" w:lineRule="auto"/>
      </w:pPr>
      <w:r w:rsidRPr="00B93602">
        <w:rPr>
          <w:rStyle w:val="EndnoteReference"/>
        </w:rPr>
        <w:endnoteRef/>
      </w:r>
      <w:r w:rsidRPr="00B93602">
        <w:t xml:space="preserve"> The idea that this was a battle won by Heidegger is an exaggeration; See </w:t>
      </w:r>
      <w:r w:rsidR="00D93494">
        <w:t xml:space="preserve">Peter E. </w:t>
      </w:r>
      <w:r w:rsidRPr="00B93602">
        <w:t>Gordon</w:t>
      </w:r>
      <w:r w:rsidR="00D93494">
        <w:t xml:space="preserve">, </w:t>
      </w:r>
      <w:r w:rsidRPr="00B93602">
        <w:rPr>
          <w:i/>
          <w:iCs/>
        </w:rPr>
        <w:t xml:space="preserve">Continental Divide: Heidegger, Cassirer, </w:t>
      </w:r>
      <w:proofErr w:type="gramStart"/>
      <w:r w:rsidRPr="00B93602">
        <w:rPr>
          <w:i/>
          <w:iCs/>
        </w:rPr>
        <w:t>Davos</w:t>
      </w:r>
      <w:proofErr w:type="gramEnd"/>
      <w:r w:rsidR="00D93494">
        <w:t xml:space="preserve"> (</w:t>
      </w:r>
      <w:r w:rsidRPr="00B93602">
        <w:t>US: Harvard University Press</w:t>
      </w:r>
      <w:r w:rsidR="00D93494">
        <w:t>,</w:t>
      </w:r>
      <w:r w:rsidR="00D93494" w:rsidRPr="00D93494">
        <w:t xml:space="preserve"> </w:t>
      </w:r>
      <w:r w:rsidR="00D93494">
        <w:t>2010)</w:t>
      </w:r>
      <w:r w:rsidRPr="00B93602">
        <w:t>.</w:t>
      </w:r>
    </w:p>
  </w:endnote>
  <w:endnote w:id="18">
    <w:p w:rsidR="00247D15" w:rsidRPr="00D93494" w:rsidRDefault="00247D15" w:rsidP="008F155F">
      <w:pPr>
        <w:pStyle w:val="EndnoteText"/>
        <w:spacing w:line="480" w:lineRule="auto"/>
      </w:pPr>
      <w:r w:rsidRPr="00D93494">
        <w:rPr>
          <w:rStyle w:val="EndnoteReference"/>
        </w:rPr>
        <w:endnoteRef/>
      </w:r>
      <w:r w:rsidRPr="00D93494">
        <w:t xml:space="preserve"> See </w:t>
      </w:r>
      <w:r w:rsidR="00D93494" w:rsidRPr="00D93494">
        <w:t xml:space="preserve">Hans J. </w:t>
      </w:r>
      <w:proofErr w:type="spellStart"/>
      <w:r w:rsidRPr="00D93494">
        <w:t>Dahms</w:t>
      </w:r>
      <w:proofErr w:type="spellEnd"/>
      <w:r w:rsidRPr="00D93494">
        <w:t xml:space="preserve">, </w:t>
      </w:r>
      <w:r w:rsidR="00D93494" w:rsidRPr="00D93494">
        <w:t>‘</w:t>
      </w:r>
      <w:proofErr w:type="spellStart"/>
      <w:r w:rsidRPr="00D93494">
        <w:t>Neue</w:t>
      </w:r>
      <w:proofErr w:type="spellEnd"/>
      <w:r w:rsidRPr="00D93494">
        <w:t xml:space="preserve"> </w:t>
      </w:r>
      <w:proofErr w:type="spellStart"/>
      <w:r w:rsidRPr="00D93494">
        <w:t>Sachlichkeit</w:t>
      </w:r>
      <w:proofErr w:type="spellEnd"/>
      <w:r w:rsidRPr="00D93494">
        <w:t xml:space="preserve"> in the Architecture and Philosophy of the 1920s</w:t>
      </w:r>
      <w:r w:rsidR="00D93494" w:rsidRPr="00D93494">
        <w:t>’,</w:t>
      </w:r>
      <w:r w:rsidRPr="00D93494">
        <w:t xml:space="preserve"> </w:t>
      </w:r>
      <w:r w:rsidR="00D93494" w:rsidRPr="00D93494">
        <w:t>i</w:t>
      </w:r>
      <w:r w:rsidRPr="00D93494">
        <w:t xml:space="preserve">n S. </w:t>
      </w:r>
      <w:proofErr w:type="spellStart"/>
      <w:r w:rsidRPr="00D93494">
        <w:t>Awodey</w:t>
      </w:r>
      <w:proofErr w:type="spellEnd"/>
      <w:r w:rsidRPr="00D93494">
        <w:t>, C. Klein (</w:t>
      </w:r>
      <w:proofErr w:type="spellStart"/>
      <w:r w:rsidRPr="00D93494">
        <w:t>Eds</w:t>
      </w:r>
      <w:proofErr w:type="spellEnd"/>
      <w:r w:rsidRPr="00D93494">
        <w:t xml:space="preserve">), </w:t>
      </w:r>
      <w:proofErr w:type="spellStart"/>
      <w:r w:rsidRPr="00D93494">
        <w:rPr>
          <w:i/>
        </w:rPr>
        <w:t>Carnap</w:t>
      </w:r>
      <w:proofErr w:type="spellEnd"/>
      <w:r w:rsidRPr="00D93494">
        <w:rPr>
          <w:i/>
        </w:rPr>
        <w:t xml:space="preserve"> brought home: the view from Jena </w:t>
      </w:r>
      <w:r w:rsidRPr="00D93494">
        <w:t>(pp. 357-376)</w:t>
      </w:r>
      <w:r w:rsidR="00D93494" w:rsidRPr="00D93494">
        <w:t xml:space="preserve"> (</w:t>
      </w:r>
      <w:proofErr w:type="spellStart"/>
      <w:r w:rsidRPr="00D93494">
        <w:t>Chigago</w:t>
      </w:r>
      <w:proofErr w:type="spellEnd"/>
      <w:r w:rsidRPr="00D93494">
        <w:t xml:space="preserve">: Open Court , </w:t>
      </w:r>
      <w:r w:rsidR="00D93494" w:rsidRPr="00D93494">
        <w:t xml:space="preserve">2004), </w:t>
      </w:r>
      <w:r w:rsidRPr="00D93494">
        <w:t>p. 369.</w:t>
      </w:r>
    </w:p>
  </w:endnote>
  <w:endnote w:id="19">
    <w:p w:rsidR="00D22B1F" w:rsidRPr="00D22B1F" w:rsidRDefault="00D22B1F" w:rsidP="008F155F">
      <w:pPr>
        <w:pStyle w:val="EndnoteText"/>
        <w:spacing w:line="480" w:lineRule="auto"/>
      </w:pPr>
      <w:r>
        <w:rPr>
          <w:rStyle w:val="EndnoteReference"/>
        </w:rPr>
        <w:endnoteRef/>
      </w:r>
      <w:r>
        <w:t xml:space="preserve"> According to Gordon Baker, these remarks were probably dictated on December 1929; see L. </w:t>
      </w:r>
      <w:r w:rsidRPr="00A7210C">
        <w:rPr>
          <w:rStyle w:val="z3988"/>
        </w:rPr>
        <w:t xml:space="preserve">Wittgenstein, </w:t>
      </w:r>
      <w:r>
        <w:rPr>
          <w:rStyle w:val="z3988"/>
        </w:rPr>
        <w:t xml:space="preserve">F. </w:t>
      </w:r>
      <w:proofErr w:type="spellStart"/>
      <w:r w:rsidRPr="00A7210C">
        <w:rPr>
          <w:rStyle w:val="z3988"/>
        </w:rPr>
        <w:t>Waismann</w:t>
      </w:r>
      <w:proofErr w:type="spellEnd"/>
      <w:r w:rsidRPr="00A7210C">
        <w:rPr>
          <w:rStyle w:val="z3988"/>
        </w:rPr>
        <w:t xml:space="preserve">, &amp; </w:t>
      </w:r>
      <w:r>
        <w:rPr>
          <w:rStyle w:val="z3988"/>
        </w:rPr>
        <w:t xml:space="preserve">G. P. </w:t>
      </w:r>
      <w:r w:rsidRPr="00A7210C">
        <w:t xml:space="preserve">Baker, </w:t>
      </w:r>
      <w:r w:rsidRPr="00A7210C">
        <w:rPr>
          <w:i/>
          <w:iCs/>
        </w:rPr>
        <w:t>The Voices of Wittgenstein</w:t>
      </w:r>
      <w:r>
        <w:t xml:space="preserve"> (</w:t>
      </w:r>
      <w:r w:rsidRPr="00A7210C">
        <w:t>London: Routledge</w:t>
      </w:r>
      <w:r>
        <w:t xml:space="preserve">, </w:t>
      </w:r>
      <w:r>
        <w:rPr>
          <w:rStyle w:val="z3988"/>
        </w:rPr>
        <w:t>2003), p.</w:t>
      </w:r>
      <w:r w:rsidR="00E504D7">
        <w:rPr>
          <w:rStyle w:val="z3988"/>
        </w:rPr>
        <w:t xml:space="preserve"> xvi</w:t>
      </w:r>
      <w:r w:rsidRPr="00A7210C">
        <w:t>.</w:t>
      </w:r>
    </w:p>
  </w:endnote>
  <w:endnote w:id="20">
    <w:p w:rsidR="00247D15" w:rsidRPr="00B93602" w:rsidRDefault="00247D15" w:rsidP="008F155F">
      <w:pPr>
        <w:pStyle w:val="EndnoteText"/>
        <w:spacing w:line="480" w:lineRule="auto"/>
        <w:jc w:val="both"/>
      </w:pPr>
      <w:r w:rsidRPr="00B93602">
        <w:rPr>
          <w:rStyle w:val="EndnoteReference"/>
        </w:rPr>
        <w:endnoteRef/>
      </w:r>
      <w:r w:rsidRPr="00B93602">
        <w:t xml:space="preserve"> </w:t>
      </w:r>
      <w:r w:rsidR="00D93494">
        <w:t xml:space="preserve">Ludwig </w:t>
      </w:r>
      <w:r w:rsidRPr="00B93602">
        <w:t>Wittgenstein</w:t>
      </w:r>
      <w:r w:rsidR="00D93494">
        <w:t>, ‘</w:t>
      </w:r>
      <w:r w:rsidRPr="00B93602">
        <w:t>On Heidegger on Being and Dread</w:t>
      </w:r>
      <w:r w:rsidR="00D93494">
        <w:t>’,</w:t>
      </w:r>
      <w:r w:rsidRPr="00B93602">
        <w:t xml:space="preserve"> </w:t>
      </w:r>
      <w:r w:rsidR="00D93494">
        <w:t>i</w:t>
      </w:r>
      <w:r w:rsidRPr="00B93602">
        <w:t xml:space="preserve">n M. Murray (Ed.), </w:t>
      </w:r>
      <w:r w:rsidRPr="00B93602">
        <w:rPr>
          <w:i/>
          <w:iCs/>
        </w:rPr>
        <w:t xml:space="preserve">Heidegger and Modern Philosophy </w:t>
      </w:r>
      <w:r w:rsidRPr="00B93602">
        <w:rPr>
          <w:iCs/>
        </w:rPr>
        <w:t>(</w:t>
      </w:r>
      <w:r w:rsidRPr="00B93602">
        <w:t>pp. 80-83)</w:t>
      </w:r>
      <w:r w:rsidR="00D93494">
        <w:t xml:space="preserve"> (</w:t>
      </w:r>
      <w:r w:rsidRPr="00B93602">
        <w:t>New Haven and London: Yale University Press</w:t>
      </w:r>
      <w:r w:rsidR="00D93494">
        <w:t>, 1978)</w:t>
      </w:r>
      <w:r w:rsidRPr="00D93494">
        <w:t xml:space="preserve">, p. 80. This sentence was omitted from the first English publication of this remark; see </w:t>
      </w:r>
      <w:r w:rsidR="00D93494">
        <w:t xml:space="preserve">Michael </w:t>
      </w:r>
      <w:r w:rsidRPr="00D93494">
        <w:t>Murray</w:t>
      </w:r>
      <w:r w:rsidR="00D93494">
        <w:t>, ‘</w:t>
      </w:r>
      <w:r w:rsidRPr="00D93494">
        <w:t>A No</w:t>
      </w:r>
      <w:r w:rsidRPr="00B93602">
        <w:t>te on Wittgenstein and Heidegger</w:t>
      </w:r>
      <w:r w:rsidR="00D93494">
        <w:t>’,</w:t>
      </w:r>
      <w:r w:rsidRPr="00B93602">
        <w:t xml:space="preserve"> </w:t>
      </w:r>
      <w:r w:rsidRPr="00D93494">
        <w:rPr>
          <w:iCs/>
        </w:rPr>
        <w:t>The Philosophical Review</w:t>
      </w:r>
      <w:r w:rsidRPr="00D93494">
        <w:t xml:space="preserve">, </w:t>
      </w:r>
      <w:r w:rsidRPr="00D93494">
        <w:rPr>
          <w:iCs/>
        </w:rPr>
        <w:t>83</w:t>
      </w:r>
      <w:r w:rsidRPr="00B93602">
        <w:t xml:space="preserve">(4), </w:t>
      </w:r>
      <w:r w:rsidR="00D93494">
        <w:t>(October 1974)</w:t>
      </w:r>
      <w:r w:rsidR="00D93494" w:rsidRPr="00D93494">
        <w:t xml:space="preserve"> </w:t>
      </w:r>
      <w:r w:rsidR="00D93494">
        <w:t xml:space="preserve">pp. </w:t>
      </w:r>
      <w:r w:rsidRPr="00B93602">
        <w:t>501-503.</w:t>
      </w:r>
    </w:p>
  </w:endnote>
  <w:endnote w:id="21">
    <w:p w:rsidR="00247D15" w:rsidRPr="00D22B1F" w:rsidRDefault="00247D15" w:rsidP="008F155F">
      <w:pPr>
        <w:pStyle w:val="EndnoteText"/>
        <w:spacing w:line="480" w:lineRule="auto"/>
      </w:pPr>
      <w:r w:rsidRPr="00D22B1F">
        <w:rPr>
          <w:rStyle w:val="EndnoteReference"/>
        </w:rPr>
        <w:endnoteRef/>
      </w:r>
      <w:r w:rsidRPr="00D22B1F">
        <w:t xml:space="preserve"> </w:t>
      </w:r>
      <w:r w:rsidR="00297499">
        <w:t xml:space="preserve">But </w:t>
      </w:r>
      <w:r w:rsidR="00D22B1F">
        <w:t xml:space="preserve">see e.g. </w:t>
      </w:r>
      <w:r w:rsidR="00D22B1F" w:rsidRPr="00D22B1F">
        <w:t xml:space="preserve">Peter M. S. Hacker, ‘Wittgenstein, </w:t>
      </w:r>
      <w:proofErr w:type="spellStart"/>
      <w:r w:rsidR="00D22B1F" w:rsidRPr="00D22B1F">
        <w:t>Carnap</w:t>
      </w:r>
      <w:proofErr w:type="spellEnd"/>
      <w:r w:rsidR="00D22B1F" w:rsidRPr="00D22B1F">
        <w:t xml:space="preserve"> and the New American </w:t>
      </w:r>
      <w:proofErr w:type="spellStart"/>
      <w:r w:rsidR="00D22B1F" w:rsidRPr="00D22B1F">
        <w:t>Wittgensteinians</w:t>
      </w:r>
      <w:proofErr w:type="spellEnd"/>
      <w:r w:rsidR="00D22B1F" w:rsidRPr="00D22B1F">
        <w:t xml:space="preserve">’, The Philosophical Quarterly, 53(210), (January 2003), pp. </w:t>
      </w:r>
      <w:r w:rsidR="00D22B1F">
        <w:t>1-23</w:t>
      </w:r>
      <w:r w:rsidRPr="00D22B1F">
        <w:t>.</w:t>
      </w:r>
    </w:p>
  </w:endnote>
  <w:endnote w:id="22">
    <w:p w:rsidR="00E504D7" w:rsidRPr="00E504D7" w:rsidRDefault="00E504D7" w:rsidP="008F155F">
      <w:pPr>
        <w:pStyle w:val="EndnoteText"/>
        <w:spacing w:line="480" w:lineRule="auto"/>
      </w:pPr>
      <w:r>
        <w:rPr>
          <w:rStyle w:val="EndnoteReference"/>
        </w:rPr>
        <w:endnoteRef/>
      </w:r>
      <w:r>
        <w:t xml:space="preserve"> Wittgenstein’s later comments on Heidegger (L. </w:t>
      </w:r>
      <w:r w:rsidRPr="00A7210C">
        <w:rPr>
          <w:rStyle w:val="z3988"/>
        </w:rPr>
        <w:t xml:space="preserve">Wittgenstein, </w:t>
      </w:r>
      <w:r>
        <w:rPr>
          <w:rStyle w:val="z3988"/>
        </w:rPr>
        <w:t xml:space="preserve">F. </w:t>
      </w:r>
      <w:proofErr w:type="spellStart"/>
      <w:r w:rsidRPr="00A7210C">
        <w:rPr>
          <w:rStyle w:val="z3988"/>
        </w:rPr>
        <w:t>Waismann</w:t>
      </w:r>
      <w:proofErr w:type="spellEnd"/>
      <w:r w:rsidRPr="00A7210C">
        <w:rPr>
          <w:rStyle w:val="z3988"/>
        </w:rPr>
        <w:t xml:space="preserve">, &amp; </w:t>
      </w:r>
      <w:r>
        <w:rPr>
          <w:rStyle w:val="z3988"/>
        </w:rPr>
        <w:t xml:space="preserve">G. P. </w:t>
      </w:r>
      <w:r w:rsidRPr="00A7210C">
        <w:t xml:space="preserve">Baker, </w:t>
      </w:r>
      <w:r w:rsidRPr="00A7210C">
        <w:rPr>
          <w:i/>
          <w:iCs/>
        </w:rPr>
        <w:t>The Voices of Wittgenstein</w:t>
      </w:r>
      <w:r>
        <w:t xml:space="preserve"> (</w:t>
      </w:r>
      <w:r w:rsidRPr="00A7210C">
        <w:t>London: Routledge</w:t>
      </w:r>
      <w:r>
        <w:t xml:space="preserve">, </w:t>
      </w:r>
      <w:r>
        <w:rPr>
          <w:rStyle w:val="z3988"/>
        </w:rPr>
        <w:t>2003), pp. 69-77)</w:t>
      </w:r>
      <w:r w:rsidR="00297499">
        <w:t xml:space="preserve"> seem to elaborate on this theme</w:t>
      </w:r>
      <w:r>
        <w:t>.</w:t>
      </w:r>
    </w:p>
  </w:endnote>
  <w:endnote w:id="23">
    <w:p w:rsidR="00247D15" w:rsidRPr="00B93602" w:rsidRDefault="00247D15" w:rsidP="008F155F">
      <w:pPr>
        <w:pStyle w:val="EndnoteText"/>
        <w:spacing w:line="480" w:lineRule="auto"/>
      </w:pPr>
      <w:r w:rsidRPr="00B93602">
        <w:rPr>
          <w:rStyle w:val="EndnoteReference"/>
        </w:rPr>
        <w:endnoteRef/>
      </w:r>
      <w:r w:rsidRPr="00B93602">
        <w:t xml:space="preserve"> See </w:t>
      </w:r>
      <w:r w:rsidR="00D93494">
        <w:t xml:space="preserve">Ray </w:t>
      </w:r>
      <w:r w:rsidR="00D93494" w:rsidRPr="00B93602">
        <w:t>Monk</w:t>
      </w:r>
      <w:r w:rsidR="00D93494">
        <w:t xml:space="preserve">, </w:t>
      </w:r>
      <w:r w:rsidR="00D93494" w:rsidRPr="00B93602">
        <w:rPr>
          <w:i/>
        </w:rPr>
        <w:t>Ludwig Wittgenstein: The Duty of Genius</w:t>
      </w:r>
      <w:r w:rsidR="00D93494">
        <w:t xml:space="preserve"> (</w:t>
      </w:r>
      <w:r w:rsidR="00D93494" w:rsidRPr="00B93602">
        <w:t xml:space="preserve">London: Vintage, </w:t>
      </w:r>
      <w:r w:rsidR="00D93494">
        <w:t xml:space="preserve">1991), </w:t>
      </w:r>
      <w:r w:rsidR="00D93494" w:rsidRPr="00B93602">
        <w:t>p. 275</w:t>
      </w:r>
      <w:r w:rsidRPr="00B93602">
        <w:t>.</w:t>
      </w:r>
    </w:p>
  </w:endnote>
  <w:endnote w:id="24">
    <w:p w:rsidR="00247D15" w:rsidRPr="00B93602" w:rsidRDefault="00247D15" w:rsidP="008F155F">
      <w:pPr>
        <w:pStyle w:val="EndnoteText"/>
        <w:spacing w:line="480" w:lineRule="auto"/>
      </w:pPr>
      <w:r w:rsidRPr="00B93602">
        <w:rPr>
          <w:rStyle w:val="EndnoteReference"/>
        </w:rPr>
        <w:endnoteRef/>
      </w:r>
      <w:r w:rsidRPr="00B93602">
        <w:t xml:space="preserve"> See </w:t>
      </w:r>
      <w:r w:rsidR="00D93494">
        <w:t xml:space="preserve">Jonathan </w:t>
      </w:r>
      <w:r w:rsidRPr="00B93602">
        <w:t>Beale</w:t>
      </w:r>
      <w:r w:rsidR="00D93494">
        <w:t>, ‘</w:t>
      </w:r>
      <w:r w:rsidRPr="00B93602">
        <w:t xml:space="preserve">Nonsense </w:t>
      </w:r>
      <w:r w:rsidRPr="00B93602">
        <w:rPr>
          <w:i/>
        </w:rPr>
        <w:t>Par Excellence</w:t>
      </w:r>
      <w:r w:rsidRPr="00B93602">
        <w:t>: Wittgenstein on the Question of Being</w:t>
      </w:r>
      <w:r w:rsidR="00D93494">
        <w:t>’,</w:t>
      </w:r>
      <w:r w:rsidRPr="00B93602">
        <w:t xml:space="preserve"> </w:t>
      </w:r>
      <w:r w:rsidRPr="00D93494">
        <w:t>Proceedings of the Southeast Philosophy Congress, 3</w:t>
      </w:r>
      <w:r w:rsidRPr="00B93602">
        <w:t>,</w:t>
      </w:r>
      <w:r w:rsidR="00D93494" w:rsidRPr="00D93494">
        <w:t xml:space="preserve"> </w:t>
      </w:r>
      <w:r w:rsidR="00D93494" w:rsidRPr="00B93602">
        <w:t>(2010)</w:t>
      </w:r>
      <w:r w:rsidR="00D93494">
        <w:t xml:space="preserve">, pp. </w:t>
      </w:r>
      <w:r w:rsidRPr="00B93602">
        <w:t>13-27, p. 15.</w:t>
      </w:r>
    </w:p>
  </w:endnote>
  <w:endnote w:id="25">
    <w:p w:rsidR="00247D15" w:rsidRPr="00B93602" w:rsidRDefault="00247D15" w:rsidP="008F155F">
      <w:pPr>
        <w:pStyle w:val="EndnoteText"/>
        <w:spacing w:line="480" w:lineRule="auto"/>
      </w:pPr>
      <w:r w:rsidRPr="00B93602">
        <w:rPr>
          <w:rStyle w:val="EndnoteReference"/>
        </w:rPr>
        <w:endnoteRef/>
      </w:r>
      <w:r w:rsidRPr="00B93602">
        <w:t xml:space="preserve"> </w:t>
      </w:r>
      <w:r w:rsidR="00272CAB">
        <w:t xml:space="preserve">Andreas </w:t>
      </w:r>
      <w:proofErr w:type="spellStart"/>
      <w:r w:rsidR="00272CAB">
        <w:t>Vrahimis</w:t>
      </w:r>
      <w:proofErr w:type="spellEnd"/>
      <w:r w:rsidR="00272CAB">
        <w:t>, ‘Modernism and the Vienna Circle’s Critique of Heidegger’, Critical Quarterly, 54(3), (October 2012), pp. 61-83, pp. 74-75 includes further discussion of this</w:t>
      </w:r>
      <w:r w:rsidRPr="00B93602">
        <w:t>.</w:t>
      </w:r>
    </w:p>
  </w:endnote>
  <w:endnote w:id="26">
    <w:p w:rsidR="00247D15" w:rsidRPr="00B93602" w:rsidRDefault="00247D15" w:rsidP="008F155F">
      <w:pPr>
        <w:pStyle w:val="EndnoteText"/>
        <w:spacing w:line="480" w:lineRule="auto"/>
      </w:pPr>
      <w:r w:rsidRPr="00B93602">
        <w:rPr>
          <w:rStyle w:val="EndnoteReference"/>
        </w:rPr>
        <w:endnoteRef/>
      </w:r>
      <w:r w:rsidRPr="00B93602">
        <w:t xml:space="preserve"> According to </w:t>
      </w:r>
      <w:r w:rsidR="00D22B1F">
        <w:t xml:space="preserve">David W. </w:t>
      </w:r>
      <w:r w:rsidRPr="00B93602">
        <w:t xml:space="preserve">Smith, </w:t>
      </w:r>
      <w:r w:rsidR="00D22B1F">
        <w:t>‘</w:t>
      </w:r>
      <w:r w:rsidRPr="00B93602">
        <w:t xml:space="preserve">What is ‘Logical’ in Husserl’s </w:t>
      </w:r>
      <w:r w:rsidRPr="00B93602">
        <w:rPr>
          <w:i/>
        </w:rPr>
        <w:t>Logical Investigations</w:t>
      </w:r>
      <w:r w:rsidRPr="00B93602">
        <w:t>? The Copenhagen interpretation</w:t>
      </w:r>
      <w:r w:rsidR="00D22B1F">
        <w:t>’,</w:t>
      </w:r>
      <w:r w:rsidRPr="00B93602">
        <w:t xml:space="preserve"> </w:t>
      </w:r>
      <w:r w:rsidR="00D22B1F">
        <w:t>i</w:t>
      </w:r>
      <w:r w:rsidRPr="00B93602">
        <w:t xml:space="preserve">n </w:t>
      </w:r>
      <w:r w:rsidR="00D22B1F">
        <w:t xml:space="preserve">D. </w:t>
      </w:r>
      <w:proofErr w:type="spellStart"/>
      <w:r w:rsidRPr="00B93602">
        <w:t>Zahavi</w:t>
      </w:r>
      <w:proofErr w:type="spellEnd"/>
      <w:r w:rsidRPr="00B93602">
        <w:t xml:space="preserve">, (Ed.), </w:t>
      </w:r>
      <w:r w:rsidRPr="00B93602">
        <w:rPr>
          <w:i/>
        </w:rPr>
        <w:t xml:space="preserve">One Hundred Years of Phenomenology: Husserl’s </w:t>
      </w:r>
      <w:r w:rsidRPr="00B93602">
        <w:t>Logical Investigations</w:t>
      </w:r>
      <w:r w:rsidRPr="00B93602">
        <w:rPr>
          <w:i/>
        </w:rPr>
        <w:t xml:space="preserve"> Revisited</w:t>
      </w:r>
      <w:r w:rsidRPr="00B93602">
        <w:t xml:space="preserve"> (pp. 51-68.). </w:t>
      </w:r>
      <w:r w:rsidR="00D22B1F">
        <w:t>(</w:t>
      </w:r>
      <w:proofErr w:type="spellStart"/>
      <w:r w:rsidRPr="00B93602">
        <w:t>Dodrecht</w:t>
      </w:r>
      <w:proofErr w:type="spellEnd"/>
      <w:r w:rsidRPr="00B93602">
        <w:t>: Kluwer</w:t>
      </w:r>
      <w:r w:rsidR="00D22B1F">
        <w:t xml:space="preserve">, </w:t>
      </w:r>
      <w:r w:rsidR="00D22B1F" w:rsidRPr="00B93602">
        <w:t>2002)</w:t>
      </w:r>
      <w:r w:rsidRPr="00D22B1F">
        <w:t>, p. 52</w:t>
      </w:r>
      <w:r w:rsidRPr="00B93602">
        <w:t>, there are three possible approaches to the issue: (</w:t>
      </w:r>
      <w:proofErr w:type="spellStart"/>
      <w:r w:rsidRPr="00B93602">
        <w:t>i</w:t>
      </w:r>
      <w:proofErr w:type="spellEnd"/>
      <w:r w:rsidRPr="00B93602">
        <w:t xml:space="preserve">) the whole of </w:t>
      </w:r>
      <w:r w:rsidRPr="00B93602">
        <w:rPr>
          <w:i/>
        </w:rPr>
        <w:t>Logical Investigations</w:t>
      </w:r>
      <w:r w:rsidRPr="00B93602">
        <w:t xml:space="preserve"> is about logic (construed in its nineteenth century sense as a kind of philosophy of logic), (ii) only a small part of </w:t>
      </w:r>
      <w:r w:rsidRPr="00B93602">
        <w:rPr>
          <w:i/>
        </w:rPr>
        <w:t>Logical Investigations</w:t>
      </w:r>
      <w:r w:rsidRPr="00B93602">
        <w:t xml:space="preserve"> is about logic (construed as what in the 19</w:t>
      </w:r>
      <w:r w:rsidRPr="00B93602">
        <w:rPr>
          <w:vertAlign w:val="superscript"/>
        </w:rPr>
        <w:t>h</w:t>
      </w:r>
      <w:r w:rsidRPr="00B93602">
        <w:t xml:space="preserve"> century would be called </w:t>
      </w:r>
      <w:proofErr w:type="spellStart"/>
      <w:r w:rsidRPr="00B93602">
        <w:rPr>
          <w:i/>
        </w:rPr>
        <w:t>Logistik</w:t>
      </w:r>
      <w:proofErr w:type="spellEnd"/>
      <w:r w:rsidRPr="00B93602">
        <w:t xml:space="preserve">) (iii) in the </w:t>
      </w:r>
      <w:r w:rsidRPr="00B93602">
        <w:rPr>
          <w:i/>
        </w:rPr>
        <w:t>Logical Investigations</w:t>
      </w:r>
      <w:r w:rsidRPr="00B93602">
        <w:t>, ‘logic as conceived today is integrated with speech-act theory, ontology, phenomenology, and epistemology’ (p. 52). Although the 21</w:t>
      </w:r>
      <w:r w:rsidRPr="00B93602">
        <w:rPr>
          <w:vertAlign w:val="superscript"/>
        </w:rPr>
        <w:t>st</w:t>
      </w:r>
      <w:r w:rsidRPr="00B93602">
        <w:t xml:space="preserve"> century view of logic (what Smith calls the ‘Copenhagen’ interpretation of Husserl) is anachronistic when applied to Husserl, it is not completely implausible, given (</w:t>
      </w:r>
      <w:proofErr w:type="spellStart"/>
      <w:r w:rsidRPr="00B93602">
        <w:t>i</w:t>
      </w:r>
      <w:proofErr w:type="spellEnd"/>
      <w:r w:rsidRPr="00B93602">
        <w:t>), that Husserl may have held it.</w:t>
      </w:r>
    </w:p>
  </w:endnote>
  <w:endnote w:id="27">
    <w:p w:rsidR="00247D15" w:rsidRPr="00B93602" w:rsidRDefault="00247D15" w:rsidP="008F155F">
      <w:pPr>
        <w:pStyle w:val="EndnoteText"/>
        <w:spacing w:line="480" w:lineRule="auto"/>
      </w:pPr>
      <w:r w:rsidRPr="00B93602">
        <w:rPr>
          <w:rStyle w:val="EndnoteReference"/>
        </w:rPr>
        <w:endnoteRef/>
      </w:r>
      <w:r w:rsidRPr="00B93602">
        <w:t xml:space="preserve"> Ayer, for example, sees it as a study of ‘concepts at work [...] very close in practice to the linguistic analysts’ (</w:t>
      </w:r>
      <w:r w:rsidR="00D22B1F">
        <w:t xml:space="preserve">Charles </w:t>
      </w:r>
      <w:r w:rsidRPr="00B93602">
        <w:t xml:space="preserve">Taylor, &amp; </w:t>
      </w:r>
      <w:r w:rsidR="00D22B1F">
        <w:t xml:space="preserve">A. J. </w:t>
      </w:r>
      <w:r w:rsidRPr="00B93602">
        <w:t xml:space="preserve">Ayer, </w:t>
      </w:r>
      <w:r w:rsidR="00D22B1F">
        <w:t>‘</w:t>
      </w:r>
      <w:r w:rsidRPr="00B93602">
        <w:t>Symposium: Phenomenology and Linguistic Analysis</w:t>
      </w:r>
      <w:r w:rsidR="00D22B1F">
        <w:t>’,</w:t>
      </w:r>
      <w:r w:rsidRPr="00B93602">
        <w:t xml:space="preserve"> </w:t>
      </w:r>
      <w:r w:rsidRPr="00B93602">
        <w:rPr>
          <w:i/>
        </w:rPr>
        <w:t>Proceedings of the Aristotelian Society, Supplementary Volumes</w:t>
      </w:r>
      <w:r w:rsidRPr="00B93602">
        <w:t xml:space="preserve">, </w:t>
      </w:r>
      <w:r w:rsidRPr="00B93602">
        <w:rPr>
          <w:i/>
        </w:rPr>
        <w:t>33</w:t>
      </w:r>
      <w:r w:rsidRPr="00B93602">
        <w:t xml:space="preserve">, </w:t>
      </w:r>
      <w:r w:rsidR="00D22B1F" w:rsidRPr="00B93602">
        <w:t>(1959)</w:t>
      </w:r>
      <w:r w:rsidR="00D22B1F">
        <w:t>,</w:t>
      </w:r>
      <w:r w:rsidR="00D22B1F" w:rsidRPr="00B93602">
        <w:t xml:space="preserve"> </w:t>
      </w:r>
      <w:r w:rsidRPr="00B93602">
        <w:t>93-124</w:t>
      </w:r>
      <w:r w:rsidRPr="00D22B1F">
        <w:t>, p. 121</w:t>
      </w:r>
      <w:r w:rsidRPr="00B93602">
        <w:t xml:space="preserve">); see also </w:t>
      </w:r>
      <w:r w:rsidR="00D22B1F">
        <w:t xml:space="preserve">Amy L. </w:t>
      </w:r>
      <w:r w:rsidRPr="00B93602">
        <w:t xml:space="preserve">Thomasson, </w:t>
      </w:r>
      <w:r w:rsidR="00D22B1F">
        <w:t>‘</w:t>
      </w:r>
      <w:r w:rsidRPr="00B93602">
        <w:t>Conceptual Analysis in Phenomenology and Ordinary Language Philosophy</w:t>
      </w:r>
      <w:r w:rsidR="00D22B1F">
        <w:t>’,</w:t>
      </w:r>
      <w:r w:rsidRPr="00B93602">
        <w:t xml:space="preserve"> </w:t>
      </w:r>
      <w:r w:rsidR="00D22B1F">
        <w:t>i</w:t>
      </w:r>
      <w:r w:rsidRPr="00B93602">
        <w:t xml:space="preserve">n M. </w:t>
      </w:r>
      <w:proofErr w:type="spellStart"/>
      <w:r w:rsidRPr="00B93602">
        <w:t>Beaney</w:t>
      </w:r>
      <w:proofErr w:type="spellEnd"/>
      <w:r w:rsidRPr="00B93602">
        <w:t xml:space="preserve"> (Ed.), </w:t>
      </w:r>
      <w:r w:rsidRPr="00B93602">
        <w:rPr>
          <w:i/>
        </w:rPr>
        <w:t>The Analytic Turn: Analysis in Early Analytic Philosophy and Phenomenology</w:t>
      </w:r>
      <w:r w:rsidRPr="00B93602">
        <w:t xml:space="preserve"> (pp. 270-284)</w:t>
      </w:r>
      <w:r w:rsidR="00D22B1F">
        <w:t xml:space="preserve"> (</w:t>
      </w:r>
      <w:r w:rsidRPr="00B93602">
        <w:t>London: Routledge</w:t>
      </w:r>
      <w:r w:rsidR="00D22B1F">
        <w:t>, 2007)</w:t>
      </w:r>
      <w:r w:rsidRPr="00B93602">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9C" w:rsidRDefault="00104C9C" w:rsidP="00CB1314">
      <w:pPr>
        <w:spacing w:after="0" w:line="240" w:lineRule="auto"/>
      </w:pPr>
      <w:r>
        <w:separator/>
      </w:r>
    </w:p>
  </w:footnote>
  <w:footnote w:type="continuationSeparator" w:id="0">
    <w:p w:rsidR="00104C9C" w:rsidRDefault="00104C9C" w:rsidP="00CB1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98"/>
    <w:rsid w:val="000004A0"/>
    <w:rsid w:val="00002962"/>
    <w:rsid w:val="00030C1A"/>
    <w:rsid w:val="00056B8B"/>
    <w:rsid w:val="00063C7A"/>
    <w:rsid w:val="00065AA6"/>
    <w:rsid w:val="000771D5"/>
    <w:rsid w:val="00095843"/>
    <w:rsid w:val="00104C9C"/>
    <w:rsid w:val="00134BC0"/>
    <w:rsid w:val="00136CB1"/>
    <w:rsid w:val="00136F70"/>
    <w:rsid w:val="00184D91"/>
    <w:rsid w:val="00185417"/>
    <w:rsid w:val="0018646C"/>
    <w:rsid w:val="001E0979"/>
    <w:rsid w:val="001F3A4C"/>
    <w:rsid w:val="001F55A8"/>
    <w:rsid w:val="0022213D"/>
    <w:rsid w:val="002276E9"/>
    <w:rsid w:val="00231D60"/>
    <w:rsid w:val="002336D8"/>
    <w:rsid w:val="00233EE5"/>
    <w:rsid w:val="00236482"/>
    <w:rsid w:val="00247D15"/>
    <w:rsid w:val="002657BE"/>
    <w:rsid w:val="00265ECC"/>
    <w:rsid w:val="00270F3E"/>
    <w:rsid w:val="00272CAB"/>
    <w:rsid w:val="00296048"/>
    <w:rsid w:val="00296688"/>
    <w:rsid w:val="00297499"/>
    <w:rsid w:val="00297E63"/>
    <w:rsid w:val="002C1169"/>
    <w:rsid w:val="002E7C6F"/>
    <w:rsid w:val="002F5A99"/>
    <w:rsid w:val="003821CF"/>
    <w:rsid w:val="00382620"/>
    <w:rsid w:val="003B0E15"/>
    <w:rsid w:val="003B65DA"/>
    <w:rsid w:val="003F2164"/>
    <w:rsid w:val="003F2CE6"/>
    <w:rsid w:val="00457573"/>
    <w:rsid w:val="00464137"/>
    <w:rsid w:val="0047157A"/>
    <w:rsid w:val="0047521F"/>
    <w:rsid w:val="004876DF"/>
    <w:rsid w:val="00495CF6"/>
    <w:rsid w:val="004A5A18"/>
    <w:rsid w:val="004A5C9B"/>
    <w:rsid w:val="004C0600"/>
    <w:rsid w:val="004C553C"/>
    <w:rsid w:val="004C7FDF"/>
    <w:rsid w:val="004E1697"/>
    <w:rsid w:val="004E6BF5"/>
    <w:rsid w:val="004F31D3"/>
    <w:rsid w:val="004F74E1"/>
    <w:rsid w:val="0050369B"/>
    <w:rsid w:val="00526711"/>
    <w:rsid w:val="00547395"/>
    <w:rsid w:val="00555931"/>
    <w:rsid w:val="005A69AE"/>
    <w:rsid w:val="005D5E12"/>
    <w:rsid w:val="005E2D6A"/>
    <w:rsid w:val="005E7341"/>
    <w:rsid w:val="00614C88"/>
    <w:rsid w:val="00624391"/>
    <w:rsid w:val="00627B38"/>
    <w:rsid w:val="0063155E"/>
    <w:rsid w:val="0064157C"/>
    <w:rsid w:val="00651CE1"/>
    <w:rsid w:val="00654E5F"/>
    <w:rsid w:val="00657E5D"/>
    <w:rsid w:val="00662398"/>
    <w:rsid w:val="00662827"/>
    <w:rsid w:val="0066321A"/>
    <w:rsid w:val="006675D4"/>
    <w:rsid w:val="00667A6F"/>
    <w:rsid w:val="00680579"/>
    <w:rsid w:val="00681B75"/>
    <w:rsid w:val="00685F4D"/>
    <w:rsid w:val="006931D3"/>
    <w:rsid w:val="006A5166"/>
    <w:rsid w:val="006D62DB"/>
    <w:rsid w:val="007301E2"/>
    <w:rsid w:val="00736635"/>
    <w:rsid w:val="00740D53"/>
    <w:rsid w:val="007415C9"/>
    <w:rsid w:val="00742F8B"/>
    <w:rsid w:val="00756954"/>
    <w:rsid w:val="0076649A"/>
    <w:rsid w:val="007A7D87"/>
    <w:rsid w:val="008042E0"/>
    <w:rsid w:val="008102FE"/>
    <w:rsid w:val="00833F66"/>
    <w:rsid w:val="008345EC"/>
    <w:rsid w:val="00866589"/>
    <w:rsid w:val="008673D0"/>
    <w:rsid w:val="0087126D"/>
    <w:rsid w:val="008A20ED"/>
    <w:rsid w:val="008A23DD"/>
    <w:rsid w:val="008A3F94"/>
    <w:rsid w:val="008D6A10"/>
    <w:rsid w:val="008F155F"/>
    <w:rsid w:val="00916D94"/>
    <w:rsid w:val="00917CF0"/>
    <w:rsid w:val="00925F00"/>
    <w:rsid w:val="00952962"/>
    <w:rsid w:val="009906F6"/>
    <w:rsid w:val="009910B8"/>
    <w:rsid w:val="00992CDF"/>
    <w:rsid w:val="009C79D7"/>
    <w:rsid w:val="009D2D20"/>
    <w:rsid w:val="00A11C6D"/>
    <w:rsid w:val="00A64B51"/>
    <w:rsid w:val="00A65869"/>
    <w:rsid w:val="00A826CD"/>
    <w:rsid w:val="00AA2F09"/>
    <w:rsid w:val="00AB35A9"/>
    <w:rsid w:val="00AB6D1C"/>
    <w:rsid w:val="00AC1232"/>
    <w:rsid w:val="00AC68DB"/>
    <w:rsid w:val="00AC7DBB"/>
    <w:rsid w:val="00AF3642"/>
    <w:rsid w:val="00B01EAF"/>
    <w:rsid w:val="00B11616"/>
    <w:rsid w:val="00B23892"/>
    <w:rsid w:val="00B36598"/>
    <w:rsid w:val="00B678EC"/>
    <w:rsid w:val="00B85D35"/>
    <w:rsid w:val="00B9121B"/>
    <w:rsid w:val="00B93602"/>
    <w:rsid w:val="00BB07B1"/>
    <w:rsid w:val="00BB2499"/>
    <w:rsid w:val="00BD5201"/>
    <w:rsid w:val="00C750FB"/>
    <w:rsid w:val="00C82832"/>
    <w:rsid w:val="00C97BF6"/>
    <w:rsid w:val="00CA7709"/>
    <w:rsid w:val="00CB1314"/>
    <w:rsid w:val="00CC170D"/>
    <w:rsid w:val="00CC19D8"/>
    <w:rsid w:val="00D22B1F"/>
    <w:rsid w:val="00D42B7C"/>
    <w:rsid w:val="00D50763"/>
    <w:rsid w:val="00D83354"/>
    <w:rsid w:val="00D93494"/>
    <w:rsid w:val="00DD4622"/>
    <w:rsid w:val="00DF5743"/>
    <w:rsid w:val="00E01EFC"/>
    <w:rsid w:val="00E42E8D"/>
    <w:rsid w:val="00E43115"/>
    <w:rsid w:val="00E504D7"/>
    <w:rsid w:val="00E619C2"/>
    <w:rsid w:val="00E73D07"/>
    <w:rsid w:val="00E75F72"/>
    <w:rsid w:val="00E8256E"/>
    <w:rsid w:val="00E93BAD"/>
    <w:rsid w:val="00E9454E"/>
    <w:rsid w:val="00EA4E99"/>
    <w:rsid w:val="00EA6F45"/>
    <w:rsid w:val="00EB35E6"/>
    <w:rsid w:val="00EB3772"/>
    <w:rsid w:val="00EC5464"/>
    <w:rsid w:val="00EE6F03"/>
    <w:rsid w:val="00F07002"/>
    <w:rsid w:val="00F16E80"/>
    <w:rsid w:val="00F25C25"/>
    <w:rsid w:val="00F37197"/>
    <w:rsid w:val="00F440F8"/>
    <w:rsid w:val="00F448C1"/>
    <w:rsid w:val="00F667E7"/>
    <w:rsid w:val="00F84EDE"/>
    <w:rsid w:val="00FC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13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314"/>
    <w:rPr>
      <w:sz w:val="20"/>
      <w:szCs w:val="20"/>
      <w:lang w:val="en-GB"/>
    </w:rPr>
  </w:style>
  <w:style w:type="character" w:styleId="FootnoteReference">
    <w:name w:val="footnote reference"/>
    <w:basedOn w:val="DefaultParagraphFont"/>
    <w:uiPriority w:val="99"/>
    <w:semiHidden/>
    <w:unhideWhenUsed/>
    <w:rsid w:val="00CB1314"/>
    <w:rPr>
      <w:vertAlign w:val="superscript"/>
    </w:rPr>
  </w:style>
  <w:style w:type="character" w:styleId="EndnoteReference">
    <w:name w:val="endnote reference"/>
    <w:basedOn w:val="DefaultParagraphFont"/>
    <w:rsid w:val="00662398"/>
    <w:rPr>
      <w:vertAlign w:val="superscript"/>
    </w:rPr>
  </w:style>
  <w:style w:type="paragraph" w:styleId="EndnoteText">
    <w:name w:val="endnote text"/>
    <w:basedOn w:val="Normal"/>
    <w:link w:val="EndnoteTextChar"/>
    <w:rsid w:val="004876D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876DF"/>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4876DF"/>
    <w:rPr>
      <w:sz w:val="16"/>
      <w:szCs w:val="16"/>
    </w:rPr>
  </w:style>
  <w:style w:type="paragraph" w:styleId="CommentText">
    <w:name w:val="annotation text"/>
    <w:basedOn w:val="Normal"/>
    <w:link w:val="CommentTextChar"/>
    <w:uiPriority w:val="99"/>
    <w:semiHidden/>
    <w:unhideWhenUsed/>
    <w:rsid w:val="004876DF"/>
    <w:pPr>
      <w:spacing w:line="240" w:lineRule="auto"/>
    </w:pPr>
    <w:rPr>
      <w:sz w:val="20"/>
      <w:szCs w:val="20"/>
    </w:rPr>
  </w:style>
  <w:style w:type="character" w:customStyle="1" w:styleId="CommentTextChar">
    <w:name w:val="Comment Text Char"/>
    <w:basedOn w:val="DefaultParagraphFont"/>
    <w:link w:val="CommentText"/>
    <w:uiPriority w:val="99"/>
    <w:semiHidden/>
    <w:rsid w:val="004876DF"/>
    <w:rPr>
      <w:sz w:val="20"/>
      <w:szCs w:val="20"/>
      <w:lang w:val="en-GB"/>
    </w:rPr>
  </w:style>
  <w:style w:type="paragraph" w:styleId="CommentSubject">
    <w:name w:val="annotation subject"/>
    <w:basedOn w:val="CommentText"/>
    <w:next w:val="CommentText"/>
    <w:link w:val="CommentSubjectChar"/>
    <w:uiPriority w:val="99"/>
    <w:semiHidden/>
    <w:unhideWhenUsed/>
    <w:rsid w:val="004876DF"/>
    <w:rPr>
      <w:b/>
      <w:bCs/>
    </w:rPr>
  </w:style>
  <w:style w:type="character" w:customStyle="1" w:styleId="CommentSubjectChar">
    <w:name w:val="Comment Subject Char"/>
    <w:basedOn w:val="CommentTextChar"/>
    <w:link w:val="CommentSubject"/>
    <w:uiPriority w:val="99"/>
    <w:semiHidden/>
    <w:rsid w:val="004876DF"/>
    <w:rPr>
      <w:b/>
      <w:bCs/>
      <w:sz w:val="20"/>
      <w:szCs w:val="20"/>
      <w:lang w:val="en-GB"/>
    </w:rPr>
  </w:style>
  <w:style w:type="paragraph" w:styleId="BalloonText">
    <w:name w:val="Balloon Text"/>
    <w:basedOn w:val="Normal"/>
    <w:link w:val="BalloonTextChar"/>
    <w:uiPriority w:val="99"/>
    <w:semiHidden/>
    <w:unhideWhenUsed/>
    <w:rsid w:val="0048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DF"/>
    <w:rPr>
      <w:rFonts w:ascii="Tahoma" w:hAnsi="Tahoma" w:cs="Tahoma"/>
      <w:sz w:val="16"/>
      <w:szCs w:val="16"/>
      <w:lang w:val="en-GB"/>
    </w:rPr>
  </w:style>
  <w:style w:type="character" w:customStyle="1" w:styleId="z3988">
    <w:name w:val="z3988"/>
    <w:basedOn w:val="DefaultParagraphFont"/>
    <w:rsid w:val="00D22B1F"/>
  </w:style>
  <w:style w:type="paragraph" w:styleId="Footer">
    <w:name w:val="footer"/>
    <w:basedOn w:val="Normal"/>
    <w:link w:val="FooterChar"/>
    <w:uiPriority w:val="99"/>
    <w:semiHidden/>
    <w:unhideWhenUsed/>
    <w:rsid w:val="006315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155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13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314"/>
    <w:rPr>
      <w:sz w:val="20"/>
      <w:szCs w:val="20"/>
      <w:lang w:val="en-GB"/>
    </w:rPr>
  </w:style>
  <w:style w:type="character" w:styleId="FootnoteReference">
    <w:name w:val="footnote reference"/>
    <w:basedOn w:val="DefaultParagraphFont"/>
    <w:uiPriority w:val="99"/>
    <w:semiHidden/>
    <w:unhideWhenUsed/>
    <w:rsid w:val="00CB1314"/>
    <w:rPr>
      <w:vertAlign w:val="superscript"/>
    </w:rPr>
  </w:style>
  <w:style w:type="character" w:styleId="EndnoteReference">
    <w:name w:val="endnote reference"/>
    <w:basedOn w:val="DefaultParagraphFont"/>
    <w:rsid w:val="00662398"/>
    <w:rPr>
      <w:vertAlign w:val="superscript"/>
    </w:rPr>
  </w:style>
  <w:style w:type="paragraph" w:styleId="EndnoteText">
    <w:name w:val="endnote text"/>
    <w:basedOn w:val="Normal"/>
    <w:link w:val="EndnoteTextChar"/>
    <w:rsid w:val="004876D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876DF"/>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4876DF"/>
    <w:rPr>
      <w:sz w:val="16"/>
      <w:szCs w:val="16"/>
    </w:rPr>
  </w:style>
  <w:style w:type="paragraph" w:styleId="CommentText">
    <w:name w:val="annotation text"/>
    <w:basedOn w:val="Normal"/>
    <w:link w:val="CommentTextChar"/>
    <w:uiPriority w:val="99"/>
    <w:semiHidden/>
    <w:unhideWhenUsed/>
    <w:rsid w:val="004876DF"/>
    <w:pPr>
      <w:spacing w:line="240" w:lineRule="auto"/>
    </w:pPr>
    <w:rPr>
      <w:sz w:val="20"/>
      <w:szCs w:val="20"/>
    </w:rPr>
  </w:style>
  <w:style w:type="character" w:customStyle="1" w:styleId="CommentTextChar">
    <w:name w:val="Comment Text Char"/>
    <w:basedOn w:val="DefaultParagraphFont"/>
    <w:link w:val="CommentText"/>
    <w:uiPriority w:val="99"/>
    <w:semiHidden/>
    <w:rsid w:val="004876DF"/>
    <w:rPr>
      <w:sz w:val="20"/>
      <w:szCs w:val="20"/>
      <w:lang w:val="en-GB"/>
    </w:rPr>
  </w:style>
  <w:style w:type="paragraph" w:styleId="CommentSubject">
    <w:name w:val="annotation subject"/>
    <w:basedOn w:val="CommentText"/>
    <w:next w:val="CommentText"/>
    <w:link w:val="CommentSubjectChar"/>
    <w:uiPriority w:val="99"/>
    <w:semiHidden/>
    <w:unhideWhenUsed/>
    <w:rsid w:val="004876DF"/>
    <w:rPr>
      <w:b/>
      <w:bCs/>
    </w:rPr>
  </w:style>
  <w:style w:type="character" w:customStyle="1" w:styleId="CommentSubjectChar">
    <w:name w:val="Comment Subject Char"/>
    <w:basedOn w:val="CommentTextChar"/>
    <w:link w:val="CommentSubject"/>
    <w:uiPriority w:val="99"/>
    <w:semiHidden/>
    <w:rsid w:val="004876DF"/>
    <w:rPr>
      <w:b/>
      <w:bCs/>
      <w:sz w:val="20"/>
      <w:szCs w:val="20"/>
      <w:lang w:val="en-GB"/>
    </w:rPr>
  </w:style>
  <w:style w:type="paragraph" w:styleId="BalloonText">
    <w:name w:val="Balloon Text"/>
    <w:basedOn w:val="Normal"/>
    <w:link w:val="BalloonTextChar"/>
    <w:uiPriority w:val="99"/>
    <w:semiHidden/>
    <w:unhideWhenUsed/>
    <w:rsid w:val="0048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DF"/>
    <w:rPr>
      <w:rFonts w:ascii="Tahoma" w:hAnsi="Tahoma" w:cs="Tahoma"/>
      <w:sz w:val="16"/>
      <w:szCs w:val="16"/>
      <w:lang w:val="en-GB"/>
    </w:rPr>
  </w:style>
  <w:style w:type="character" w:customStyle="1" w:styleId="z3988">
    <w:name w:val="z3988"/>
    <w:basedOn w:val="DefaultParagraphFont"/>
    <w:rsid w:val="00D22B1F"/>
  </w:style>
  <w:style w:type="paragraph" w:styleId="Footer">
    <w:name w:val="footer"/>
    <w:basedOn w:val="Normal"/>
    <w:link w:val="FooterChar"/>
    <w:uiPriority w:val="99"/>
    <w:semiHidden/>
    <w:unhideWhenUsed/>
    <w:rsid w:val="006315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155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EB59-F927-4588-802E-BFFE249F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1895</Words>
  <Characters>10806</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2020-07-22T15:57:00Z</dcterms:created>
  <dcterms:modified xsi:type="dcterms:W3CDTF">2020-07-22T16:01:00Z</dcterms:modified>
</cp:coreProperties>
</file>