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6A3B4" w14:textId="117D9EF9" w:rsidR="00C13A7D" w:rsidRPr="00351567" w:rsidRDefault="00C13A7D" w:rsidP="00351567">
      <w:pPr>
        <w:pStyle w:val="Heading1"/>
        <w:rPr>
          <w:rFonts w:ascii="Century Schoolbook" w:hAnsi="Century Schoolbook"/>
        </w:rPr>
      </w:pPr>
      <w:r w:rsidRPr="00351567">
        <w:rPr>
          <w:rStyle w:val="Heading1Char"/>
          <w:rFonts w:ascii="Century Schoolbook" w:hAnsi="Century Schoolbook"/>
        </w:rPr>
        <w:t>COMMON</w:t>
      </w:r>
      <w:r w:rsidRPr="00351567">
        <w:rPr>
          <w:rFonts w:ascii="Century Schoolbook" w:hAnsi="Century Schoolbook"/>
        </w:rPr>
        <w:t>-SENSE FUNCTIONALISM AND THE EXTENDED MIND</w:t>
      </w:r>
    </w:p>
    <w:p w14:paraId="104B1BA5" w14:textId="10835B93" w:rsidR="003A4827" w:rsidRPr="00351567" w:rsidRDefault="003F7508" w:rsidP="00351567">
      <w:pPr>
        <w:jc w:val="center"/>
        <w:rPr>
          <w:rFonts w:ascii="Century Schoolbook" w:hAnsi="Century Schoolbook"/>
          <w:i/>
          <w:smallCaps/>
          <w:szCs w:val="28"/>
        </w:rPr>
      </w:pPr>
      <w:r w:rsidRPr="00351567">
        <w:rPr>
          <w:rFonts w:ascii="Century Schoolbook" w:hAnsi="Century Schoolbook"/>
          <w:i/>
          <w:smallCaps/>
        </w:rPr>
        <w:t>BY JACK WADHAM</w:t>
      </w:r>
    </w:p>
    <w:p w14:paraId="19B300B7" w14:textId="2AFE1CB2" w:rsidR="00C13A7D" w:rsidRPr="00351567" w:rsidRDefault="004A11B2" w:rsidP="004A11B2">
      <w:pPr>
        <w:jc w:val="both"/>
        <w:rPr>
          <w:rFonts w:ascii="Century Schoolbook" w:hAnsi="Century Schoolbook"/>
          <w:b/>
          <w:sz w:val="28"/>
          <w:szCs w:val="28"/>
        </w:rPr>
      </w:pPr>
      <w:r w:rsidRPr="00351567">
        <w:rPr>
          <w:rFonts w:ascii="Century Schoolbook" w:hAnsi="Century Schoolbook"/>
          <w:b/>
        </w:rPr>
        <w:t>ABSTRACT</w:t>
      </w:r>
      <w:r w:rsidR="00C13A7D" w:rsidRPr="00351567">
        <w:rPr>
          <w:rFonts w:ascii="Century Schoolbook" w:hAnsi="Century Schoolbook"/>
          <w:b/>
          <w:sz w:val="28"/>
          <w:szCs w:val="28"/>
        </w:rPr>
        <w:t>:</w:t>
      </w:r>
    </w:p>
    <w:p w14:paraId="27E84C9A" w14:textId="59B660C8" w:rsidR="00241446" w:rsidRPr="00351567" w:rsidRDefault="00241446" w:rsidP="00351567">
      <w:pPr>
        <w:jc w:val="both"/>
        <w:rPr>
          <w:rFonts w:ascii="Century Schoolbook" w:hAnsi="Century Schoolbook"/>
        </w:rPr>
      </w:pPr>
      <w:r w:rsidRPr="00351567">
        <w:rPr>
          <w:rFonts w:ascii="Century Schoolbook" w:hAnsi="Century Schoolbook"/>
        </w:rPr>
        <w:t xml:space="preserve">The main claim of this paper is that Andy Clark’s most influential argument for </w:t>
      </w:r>
      <w:r w:rsidR="007605A8" w:rsidRPr="00351567">
        <w:rPr>
          <w:rFonts w:ascii="Century Schoolbook" w:hAnsi="Century Schoolbook"/>
        </w:rPr>
        <w:t>‘</w:t>
      </w:r>
      <w:r w:rsidRPr="00351567">
        <w:rPr>
          <w:rFonts w:ascii="Century Schoolbook" w:hAnsi="Century Schoolbook"/>
        </w:rPr>
        <w:t xml:space="preserve">the extended mind thesis’ (EM henceforth) </w:t>
      </w:r>
      <w:r w:rsidR="00030141" w:rsidRPr="00351567">
        <w:rPr>
          <w:rFonts w:ascii="Century Schoolbook" w:hAnsi="Century Schoolbook"/>
        </w:rPr>
        <w:t>fails</w:t>
      </w:r>
      <w:r w:rsidRPr="00351567">
        <w:rPr>
          <w:rFonts w:ascii="Century Schoolbook" w:hAnsi="Century Schoolbook"/>
        </w:rPr>
        <w:t xml:space="preserve">. Clark’s argument for EM assumes that a certain form of common-sense functionalism is true. I argue, </w:t>
      </w:r>
      <w:r w:rsidRPr="00351567">
        <w:rPr>
          <w:rFonts w:ascii="Century Schoolbook" w:hAnsi="Century Schoolbook"/>
          <w:i/>
        </w:rPr>
        <w:t xml:space="preserve">contra </w:t>
      </w:r>
      <w:r w:rsidRPr="00351567">
        <w:rPr>
          <w:rFonts w:ascii="Century Schoolbook" w:hAnsi="Century Schoolbook"/>
        </w:rPr>
        <w:t xml:space="preserve">Clark, that the assumed brand of common-sense functionalism does not imply EM. </w:t>
      </w:r>
      <w:r w:rsidR="00030141" w:rsidRPr="00351567">
        <w:rPr>
          <w:rFonts w:ascii="Century Schoolbook" w:hAnsi="Century Schoolbook"/>
        </w:rPr>
        <w:t>Clark’s</w:t>
      </w:r>
      <w:r w:rsidRPr="00351567">
        <w:rPr>
          <w:rFonts w:ascii="Century Schoolbook" w:hAnsi="Century Schoolbook"/>
        </w:rPr>
        <w:t xml:space="preserve"> argument</w:t>
      </w:r>
      <w:r w:rsidR="00030141" w:rsidRPr="00351567">
        <w:rPr>
          <w:rFonts w:ascii="Century Schoolbook" w:hAnsi="Century Schoolbook"/>
        </w:rPr>
        <w:t xml:space="preserve"> </w:t>
      </w:r>
      <w:r w:rsidR="00215051" w:rsidRPr="00351567">
        <w:rPr>
          <w:rFonts w:ascii="Century Schoolbook" w:hAnsi="Century Schoolbook"/>
        </w:rPr>
        <w:t>also relies on an unspoken, undefended and</w:t>
      </w:r>
      <w:r w:rsidRPr="00351567">
        <w:rPr>
          <w:rFonts w:ascii="Century Schoolbook" w:hAnsi="Century Schoolbook"/>
        </w:rPr>
        <w:t xml:space="preserve"> optional assumption about the nature of mental kinds – an assumption denied by the very common-sense functionalists on whom Clark’s argument draws. </w:t>
      </w:r>
      <w:r w:rsidR="00030141" w:rsidRPr="00351567">
        <w:rPr>
          <w:rFonts w:ascii="Century Schoolbook" w:hAnsi="Century Schoolbook"/>
        </w:rPr>
        <w:t>I also critique</w:t>
      </w:r>
      <w:r w:rsidRPr="00351567">
        <w:rPr>
          <w:rFonts w:ascii="Century Schoolbook" w:hAnsi="Century Schoolbook"/>
        </w:rPr>
        <w:t xml:space="preserve"> Mark Sprevak’s </w:t>
      </w:r>
      <w:r w:rsidRPr="00351567">
        <w:rPr>
          <w:rFonts w:ascii="Century Schoolbook" w:hAnsi="Century Schoolbook"/>
          <w:i/>
        </w:rPr>
        <w:t>reductio</w:t>
      </w:r>
      <w:r w:rsidRPr="00351567">
        <w:rPr>
          <w:rFonts w:ascii="Century Schoolbook" w:hAnsi="Century Schoolbook"/>
        </w:rPr>
        <w:t xml:space="preserve"> of Clark’s argument. Sprevak </w:t>
      </w:r>
      <w:r w:rsidR="00DA2636" w:rsidRPr="00351567">
        <w:rPr>
          <w:rFonts w:ascii="Century Schoolbook" w:hAnsi="Century Schoolbook"/>
        </w:rPr>
        <w:t>contends</w:t>
      </w:r>
      <w:r w:rsidRPr="00351567">
        <w:rPr>
          <w:rFonts w:ascii="Century Schoolbook" w:hAnsi="Century Schoolbook"/>
        </w:rPr>
        <w:t xml:space="preserve"> that Clark’s argument does not</w:t>
      </w:r>
      <w:r w:rsidR="007605A8" w:rsidRPr="00351567">
        <w:rPr>
          <w:rFonts w:ascii="Century Schoolbook" w:hAnsi="Century Schoolbook"/>
        </w:rPr>
        <w:t xml:space="preserve"> merely entail EM; i</w:t>
      </w:r>
      <w:r w:rsidRPr="00351567">
        <w:rPr>
          <w:rFonts w:ascii="Century Schoolbook" w:hAnsi="Century Schoolbook"/>
        </w:rPr>
        <w:t>t entails a</w:t>
      </w:r>
      <w:r w:rsidR="00030141" w:rsidRPr="00351567">
        <w:rPr>
          <w:rFonts w:ascii="Century Schoolbook" w:hAnsi="Century Schoolbook"/>
        </w:rPr>
        <w:t>n extended mind thesis so</w:t>
      </w:r>
      <w:r w:rsidRPr="00351567">
        <w:rPr>
          <w:rFonts w:ascii="Century Schoolbook" w:hAnsi="Century Schoolbook"/>
        </w:rPr>
        <w:t xml:space="preserve"> strong as to be absurd. He goes on to claim that Clark’s argument should properly be viewed as a </w:t>
      </w:r>
      <w:r w:rsidRPr="00351567">
        <w:rPr>
          <w:rFonts w:ascii="Century Schoolbook" w:hAnsi="Century Schoolbook"/>
          <w:i/>
        </w:rPr>
        <w:t xml:space="preserve">reductio </w:t>
      </w:r>
      <w:r w:rsidRPr="00351567">
        <w:rPr>
          <w:rFonts w:ascii="Century Schoolbook" w:hAnsi="Century Schoolbook"/>
        </w:rPr>
        <w:t xml:space="preserve">of the very common-sense functionalism on which it depends. Sprevak’s </w:t>
      </w:r>
      <w:r w:rsidR="00030141" w:rsidRPr="00351567">
        <w:rPr>
          <w:rFonts w:ascii="Century Schoolbook" w:hAnsi="Century Schoolbook"/>
        </w:rPr>
        <w:t xml:space="preserve">argument </w:t>
      </w:r>
      <w:r w:rsidR="007605A8" w:rsidRPr="00351567">
        <w:rPr>
          <w:rFonts w:ascii="Century Schoolbook" w:hAnsi="Century Schoolbook"/>
        </w:rPr>
        <w:t xml:space="preserve">shares the flaw </w:t>
      </w:r>
      <w:r w:rsidR="00DA2636" w:rsidRPr="00351567">
        <w:rPr>
          <w:rFonts w:ascii="Century Schoolbook" w:hAnsi="Century Schoolbook"/>
        </w:rPr>
        <w:t>that afflicts</w:t>
      </w:r>
      <w:r w:rsidR="007605A8" w:rsidRPr="00351567">
        <w:rPr>
          <w:rFonts w:ascii="Century Schoolbook" w:hAnsi="Century Schoolbook"/>
        </w:rPr>
        <w:t xml:space="preserve"> Clark’s argument, or so I claim.</w:t>
      </w:r>
    </w:p>
    <w:p w14:paraId="0206EA29" w14:textId="7C1C0345" w:rsidR="005B24D2" w:rsidRPr="00351567" w:rsidRDefault="003F7508" w:rsidP="00351567">
      <w:pPr>
        <w:pStyle w:val="NoSpacing"/>
        <w:spacing w:before="240" w:after="240" w:line="480" w:lineRule="auto"/>
        <w:jc w:val="both"/>
        <w:rPr>
          <w:rFonts w:ascii="Century Schoolbook" w:hAnsi="Century Schoolbook"/>
          <w:b w:val="0"/>
        </w:rPr>
      </w:pPr>
      <w:r w:rsidRPr="00351567">
        <w:rPr>
          <w:rFonts w:ascii="Century Schoolbook" w:hAnsi="Century Schoolbook"/>
          <w:sz w:val="24"/>
          <w:szCs w:val="24"/>
        </w:rPr>
        <w:t>K</w:t>
      </w:r>
      <w:r w:rsidR="005B24D2" w:rsidRPr="00351567">
        <w:rPr>
          <w:rFonts w:ascii="Century Schoolbook" w:hAnsi="Century Schoolbook"/>
          <w:sz w:val="24"/>
          <w:szCs w:val="24"/>
        </w:rPr>
        <w:t>eywords:</w:t>
      </w:r>
      <w:r w:rsidR="005B24D2" w:rsidRPr="00351567">
        <w:rPr>
          <w:rFonts w:ascii="Century Schoolbook" w:hAnsi="Century Schoolbook"/>
        </w:rPr>
        <w:t xml:space="preserve"> </w:t>
      </w:r>
      <w:r w:rsidR="005B24D2" w:rsidRPr="00351567">
        <w:rPr>
          <w:rFonts w:ascii="Century Schoolbook" w:hAnsi="Century Schoolbook"/>
          <w:b w:val="0"/>
          <w:sz w:val="24"/>
          <w:szCs w:val="24"/>
        </w:rPr>
        <w:t xml:space="preserve">extended mind, </w:t>
      </w:r>
      <w:r w:rsidR="007605A8" w:rsidRPr="00351567">
        <w:rPr>
          <w:rFonts w:ascii="Century Schoolbook" w:hAnsi="Century Schoolbook"/>
          <w:b w:val="0"/>
          <w:sz w:val="24"/>
          <w:szCs w:val="24"/>
        </w:rPr>
        <w:t xml:space="preserve">common-sense </w:t>
      </w:r>
      <w:r w:rsidR="005B24D2" w:rsidRPr="00351567">
        <w:rPr>
          <w:rFonts w:ascii="Century Schoolbook" w:hAnsi="Century Schoolbook"/>
          <w:b w:val="0"/>
          <w:sz w:val="24"/>
          <w:szCs w:val="24"/>
        </w:rPr>
        <w:t>functionalism, mental kinds</w:t>
      </w:r>
      <w:r w:rsidR="001F2B26" w:rsidRPr="00351567">
        <w:rPr>
          <w:rFonts w:ascii="Century Schoolbook" w:hAnsi="Century Schoolbook"/>
          <w:b w:val="0"/>
          <w:sz w:val="24"/>
          <w:szCs w:val="24"/>
        </w:rPr>
        <w:t xml:space="preserve">, </w:t>
      </w:r>
      <w:r w:rsidRPr="00351567">
        <w:rPr>
          <w:rFonts w:ascii="Century Schoolbook" w:hAnsi="Century Schoolbook"/>
          <w:b w:val="0"/>
          <w:sz w:val="24"/>
          <w:szCs w:val="24"/>
        </w:rPr>
        <w:t>belief</w:t>
      </w:r>
      <w:r w:rsidR="000603BF" w:rsidRPr="00351567">
        <w:rPr>
          <w:rFonts w:ascii="Century Schoolbook" w:hAnsi="Century Schoolbook"/>
          <w:b w:val="0"/>
          <w:sz w:val="24"/>
          <w:szCs w:val="24"/>
        </w:rPr>
        <w:t>, memory</w:t>
      </w:r>
    </w:p>
    <w:p w14:paraId="47B2A502" w14:textId="564B4CE2" w:rsidR="008F475F" w:rsidRPr="00351567" w:rsidRDefault="00514618" w:rsidP="00351567">
      <w:pPr>
        <w:pStyle w:val="Heading1"/>
        <w:rPr>
          <w:rFonts w:ascii="Century Schoolbook" w:hAnsi="Century Schoolbook"/>
        </w:rPr>
      </w:pPr>
      <w:r w:rsidRPr="00351567">
        <w:rPr>
          <w:rFonts w:ascii="Century Schoolbook" w:hAnsi="Century Schoolbook"/>
        </w:rPr>
        <w:t xml:space="preserve">1. </w:t>
      </w:r>
      <w:r w:rsidR="007605A8" w:rsidRPr="00351567">
        <w:rPr>
          <w:rFonts w:ascii="Century Schoolbook" w:hAnsi="Century Schoolbook"/>
        </w:rPr>
        <w:t>INTRODUCTION</w:t>
      </w:r>
    </w:p>
    <w:p w14:paraId="2B7108CE" w14:textId="77777777" w:rsidR="00C13A7D" w:rsidRPr="00351567" w:rsidRDefault="008F475F" w:rsidP="004A11B2">
      <w:pPr>
        <w:spacing w:line="480" w:lineRule="auto"/>
        <w:jc w:val="both"/>
        <w:rPr>
          <w:rFonts w:ascii="Century Schoolbook" w:hAnsi="Century Schoolbook"/>
        </w:rPr>
      </w:pPr>
      <w:r w:rsidRPr="00351567">
        <w:rPr>
          <w:rFonts w:ascii="Century Schoolbook" w:hAnsi="Century Schoolbook"/>
        </w:rPr>
        <w:t xml:space="preserve">Clark’s claim that the mind might extend beyond the brain has generated huge interest and a burgeoning literature. </w:t>
      </w:r>
      <w:r w:rsidR="005030EC" w:rsidRPr="00351567">
        <w:rPr>
          <w:rFonts w:ascii="Century Schoolbook" w:hAnsi="Century Schoolbook"/>
        </w:rPr>
        <w:t>T</w:t>
      </w:r>
      <w:r w:rsidRPr="00351567">
        <w:rPr>
          <w:rFonts w:ascii="Century Schoolbook" w:hAnsi="Century Schoolbook"/>
        </w:rPr>
        <w:t>he portion of this literature that centres on Clark’s</w:t>
      </w:r>
      <w:r w:rsidR="00BC2F5E" w:rsidRPr="00351567">
        <w:rPr>
          <w:rFonts w:ascii="Century Schoolbook" w:hAnsi="Century Schoolbook"/>
        </w:rPr>
        <w:t xml:space="preserve"> </w:t>
      </w:r>
      <w:r w:rsidR="00650471" w:rsidRPr="00351567">
        <w:rPr>
          <w:rFonts w:ascii="Century Schoolbook" w:hAnsi="Century Schoolbook"/>
        </w:rPr>
        <w:t>main</w:t>
      </w:r>
      <w:r w:rsidRPr="00351567">
        <w:rPr>
          <w:rFonts w:ascii="Century Schoolbook" w:hAnsi="Century Schoolbook"/>
        </w:rPr>
        <w:t xml:space="preserve"> </w:t>
      </w:r>
      <w:r w:rsidR="00650471" w:rsidRPr="00351567">
        <w:rPr>
          <w:rFonts w:ascii="Century Schoolbook" w:hAnsi="Century Schoolbook"/>
        </w:rPr>
        <w:t>argument</w:t>
      </w:r>
      <w:r w:rsidRPr="00351567">
        <w:rPr>
          <w:rFonts w:ascii="Century Schoolbook" w:hAnsi="Century Schoolbook"/>
        </w:rPr>
        <w:t xml:space="preserve"> for EM has a p</w:t>
      </w:r>
      <w:r w:rsidR="005030EC" w:rsidRPr="00351567">
        <w:rPr>
          <w:rFonts w:ascii="Century Schoolbook" w:hAnsi="Century Schoolbook"/>
        </w:rPr>
        <w:t>eculiar</w:t>
      </w:r>
      <w:r w:rsidRPr="00351567">
        <w:rPr>
          <w:rFonts w:ascii="Century Schoolbook" w:hAnsi="Century Schoolbook"/>
        </w:rPr>
        <w:t xml:space="preserve"> dialectical structure</w:t>
      </w:r>
      <w:r w:rsidR="005030EC" w:rsidRPr="00351567">
        <w:rPr>
          <w:rFonts w:ascii="Century Schoolbook" w:hAnsi="Century Schoolbook"/>
        </w:rPr>
        <w:t xml:space="preserve">. </w:t>
      </w:r>
      <w:r w:rsidR="00D023C5" w:rsidRPr="00351567">
        <w:rPr>
          <w:rFonts w:ascii="Century Schoolbook" w:hAnsi="Century Schoolbook"/>
        </w:rPr>
        <w:t>Having presented his ma</w:t>
      </w:r>
      <w:r w:rsidR="00643DB2" w:rsidRPr="00351567">
        <w:rPr>
          <w:rFonts w:ascii="Century Schoolbook" w:hAnsi="Century Schoolbook"/>
        </w:rPr>
        <w:t>in</w:t>
      </w:r>
      <w:r w:rsidR="00D023C5" w:rsidRPr="00351567">
        <w:rPr>
          <w:rFonts w:ascii="Century Schoolbook" w:hAnsi="Century Schoolbook"/>
        </w:rPr>
        <w:t xml:space="preserve"> argument for EM, Clark </w:t>
      </w:r>
      <w:r w:rsidR="00080FE9" w:rsidRPr="00351567">
        <w:rPr>
          <w:rFonts w:ascii="Century Schoolbook" w:hAnsi="Century Schoolbook"/>
        </w:rPr>
        <w:t>dictates terms to his opponents: he sets out a challenge that they must meet if they are to prove him wrong. And</w:t>
      </w:r>
      <w:r w:rsidR="00643DB2" w:rsidRPr="00351567">
        <w:rPr>
          <w:rFonts w:ascii="Century Schoolbook" w:hAnsi="Century Schoolbook"/>
        </w:rPr>
        <w:t>,</w:t>
      </w:r>
      <w:r w:rsidR="00080FE9" w:rsidRPr="00351567">
        <w:rPr>
          <w:rFonts w:ascii="Century Schoolbook" w:hAnsi="Century Schoolbook"/>
        </w:rPr>
        <w:t xml:space="preserve"> </w:t>
      </w:r>
      <w:r w:rsidR="00643DB2" w:rsidRPr="00351567">
        <w:rPr>
          <w:rFonts w:ascii="Century Schoolbook" w:hAnsi="Century Schoolbook"/>
        </w:rPr>
        <w:t>after</w:t>
      </w:r>
      <w:r w:rsidR="00080FE9" w:rsidRPr="00351567">
        <w:rPr>
          <w:rFonts w:ascii="Century Schoolbook" w:hAnsi="Century Schoolbook"/>
        </w:rPr>
        <w:t xml:space="preserve"> his opponents have obligingly followed his lead, he sets out to show that they have failed properly to meet his challenge.</w:t>
      </w:r>
      <w:r w:rsidR="00677EC4" w:rsidRPr="00351567">
        <w:rPr>
          <w:rFonts w:ascii="Century Schoolbook" w:hAnsi="Century Schoolbook"/>
        </w:rPr>
        <w:t xml:space="preserve"> Rather than adding to th</w:t>
      </w:r>
      <w:r w:rsidR="00CF0962" w:rsidRPr="00351567">
        <w:rPr>
          <w:rFonts w:ascii="Century Schoolbook" w:hAnsi="Century Schoolbook"/>
        </w:rPr>
        <w:t>is</w:t>
      </w:r>
      <w:r w:rsidR="00677EC4" w:rsidRPr="00351567">
        <w:rPr>
          <w:rFonts w:ascii="Century Schoolbook" w:hAnsi="Century Schoolbook"/>
        </w:rPr>
        <w:t xml:space="preserve"> pattern of </w:t>
      </w:r>
      <w:r w:rsidR="00677EC4" w:rsidRPr="00351567">
        <w:rPr>
          <w:rFonts w:ascii="Century Schoolbook" w:hAnsi="Century Schoolbook"/>
        </w:rPr>
        <w:lastRenderedPageBreak/>
        <w:t xml:space="preserve">objection and reply, I argue that that </w:t>
      </w:r>
      <w:r w:rsidR="00CF0962" w:rsidRPr="00351567">
        <w:rPr>
          <w:rFonts w:ascii="Century Schoolbook" w:hAnsi="Century Schoolbook"/>
        </w:rPr>
        <w:t>the manner in which the debate is framed comes to seem wrongheaded once we drop an optional assumption</w:t>
      </w:r>
      <w:r w:rsidR="00677EC4" w:rsidRPr="00351567">
        <w:rPr>
          <w:rFonts w:ascii="Century Schoolbook" w:hAnsi="Century Schoolbook"/>
        </w:rPr>
        <w:t>.</w:t>
      </w:r>
    </w:p>
    <w:p w14:paraId="3895417D" w14:textId="1B87874E" w:rsidR="00C13A7D" w:rsidRPr="00351567" w:rsidRDefault="00514618" w:rsidP="00351567">
      <w:pPr>
        <w:pStyle w:val="Heading1"/>
        <w:rPr>
          <w:rFonts w:ascii="Century Schoolbook" w:hAnsi="Century Schoolbook"/>
        </w:rPr>
      </w:pPr>
      <w:r w:rsidRPr="00351567">
        <w:rPr>
          <w:rFonts w:ascii="Century Schoolbook" w:hAnsi="Century Schoolbook"/>
        </w:rPr>
        <w:t>2</w:t>
      </w:r>
      <w:r w:rsidR="00CD4587" w:rsidRPr="00351567">
        <w:rPr>
          <w:rFonts w:ascii="Century Schoolbook" w:hAnsi="Century Schoolbook"/>
        </w:rPr>
        <w:t>.</w:t>
      </w:r>
      <w:r w:rsidR="00C13A7D" w:rsidRPr="00351567">
        <w:rPr>
          <w:rFonts w:ascii="Century Schoolbook" w:hAnsi="Century Schoolbook"/>
        </w:rPr>
        <w:t xml:space="preserve"> </w:t>
      </w:r>
      <w:r w:rsidR="007605A8" w:rsidRPr="00351567">
        <w:rPr>
          <w:rFonts w:ascii="Century Schoolbook" w:hAnsi="Century Schoolbook"/>
        </w:rPr>
        <w:t>EM AS EXTENDED FUNCTIONALISM</w:t>
      </w:r>
    </w:p>
    <w:p w14:paraId="50FE2775" w14:textId="52C12631" w:rsidR="00C13A7D" w:rsidRPr="00351567" w:rsidRDefault="00C402FA" w:rsidP="004A11B2">
      <w:pPr>
        <w:spacing w:line="480" w:lineRule="auto"/>
        <w:jc w:val="both"/>
        <w:rPr>
          <w:rFonts w:ascii="Century Schoolbook" w:hAnsi="Century Schoolbook"/>
          <w:szCs w:val="24"/>
        </w:rPr>
      </w:pPr>
      <w:r w:rsidRPr="00351567">
        <w:rPr>
          <w:rFonts w:ascii="Century Schoolbook" w:hAnsi="Century Schoolbook"/>
          <w:szCs w:val="24"/>
        </w:rPr>
        <w:t>Many arguments have been</w:t>
      </w:r>
      <w:r w:rsidR="004B4C19" w:rsidRPr="00351567">
        <w:rPr>
          <w:rFonts w:ascii="Century Schoolbook" w:hAnsi="Century Schoolbook"/>
          <w:szCs w:val="24"/>
        </w:rPr>
        <w:t xml:space="preserve"> put</w:t>
      </w:r>
      <w:r w:rsidRPr="00351567">
        <w:rPr>
          <w:rFonts w:ascii="Century Schoolbook" w:hAnsi="Century Schoolbook"/>
          <w:szCs w:val="24"/>
        </w:rPr>
        <w:t xml:space="preserve"> forward in support of EM, but I will be concerned </w:t>
      </w:r>
      <w:r w:rsidR="00650471" w:rsidRPr="00351567">
        <w:rPr>
          <w:rFonts w:ascii="Century Schoolbook" w:hAnsi="Century Schoolbook"/>
          <w:szCs w:val="24"/>
        </w:rPr>
        <w:t xml:space="preserve">only </w:t>
      </w:r>
      <w:r w:rsidRPr="00351567">
        <w:rPr>
          <w:rFonts w:ascii="Century Schoolbook" w:hAnsi="Century Schoolbook"/>
          <w:szCs w:val="24"/>
        </w:rPr>
        <w:t xml:space="preserve">with the most </w:t>
      </w:r>
      <w:r w:rsidR="004B4C19" w:rsidRPr="00351567">
        <w:rPr>
          <w:rFonts w:ascii="Century Schoolbook" w:hAnsi="Century Schoolbook"/>
          <w:szCs w:val="24"/>
        </w:rPr>
        <w:t>well-known</w:t>
      </w:r>
      <w:r w:rsidRPr="00351567">
        <w:rPr>
          <w:rFonts w:ascii="Century Schoolbook" w:hAnsi="Century Schoolbook"/>
          <w:szCs w:val="24"/>
        </w:rPr>
        <w:t xml:space="preserve"> and influential of these</w:t>
      </w:r>
      <w:r w:rsidR="00DA2636" w:rsidRPr="00351567">
        <w:rPr>
          <w:rFonts w:ascii="Century Schoolbook" w:hAnsi="Century Schoolbook"/>
          <w:szCs w:val="24"/>
        </w:rPr>
        <w:t xml:space="preserve"> </w:t>
      </w:r>
      <w:r w:rsidRPr="00351567">
        <w:rPr>
          <w:rFonts w:ascii="Century Schoolbook" w:hAnsi="Century Schoolbook"/>
          <w:szCs w:val="24"/>
        </w:rPr>
        <w:t>– an argument that has been developed and refined by</w:t>
      </w:r>
      <w:r w:rsidR="00C13A7D" w:rsidRPr="00351567">
        <w:rPr>
          <w:rFonts w:ascii="Century Schoolbook" w:hAnsi="Century Schoolbook"/>
          <w:szCs w:val="24"/>
        </w:rPr>
        <w:t xml:space="preserve"> Andy Clark. Before examining his argument, however, we need to get clear on what the EM thesis, as formulated by Clark, amounts to.</w:t>
      </w:r>
    </w:p>
    <w:p w14:paraId="413CA58C" w14:textId="77777777"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Clark has recently started referring to EM as a form of ‘extended functionalism’.</w:t>
      </w:r>
      <w:r w:rsidRPr="00351567">
        <w:rPr>
          <w:rStyle w:val="FootnoteReference"/>
          <w:rFonts w:ascii="Century Schoolbook" w:hAnsi="Century Schoolbook"/>
          <w:szCs w:val="24"/>
        </w:rPr>
        <w:footnoteReference w:id="1"/>
      </w:r>
      <w:r w:rsidRPr="00351567">
        <w:rPr>
          <w:rFonts w:ascii="Century Schoolbook" w:hAnsi="Century Schoolbook"/>
          <w:szCs w:val="24"/>
        </w:rPr>
        <w:t xml:space="preserve"> Clark is not alone in thinking about EM in this way; a growing number of theorists endorse the idea that EM is a functionalist thesis.</w:t>
      </w:r>
      <w:r w:rsidRPr="00351567">
        <w:rPr>
          <w:rStyle w:val="FootnoteReference"/>
          <w:rFonts w:ascii="Century Schoolbook" w:hAnsi="Century Schoolbook"/>
          <w:szCs w:val="24"/>
        </w:rPr>
        <w:footnoteReference w:id="2"/>
      </w:r>
      <w:r w:rsidRPr="00351567">
        <w:rPr>
          <w:rFonts w:ascii="Century Schoolbook" w:hAnsi="Century Schoolbook"/>
          <w:szCs w:val="24"/>
        </w:rPr>
        <w:t xml:space="preserve"> I suggest that we capture this idea by defining EM as follows:</w:t>
      </w:r>
    </w:p>
    <w:p w14:paraId="4EA7B0DE" w14:textId="77777777" w:rsidR="00C13A7D" w:rsidRPr="00351567" w:rsidRDefault="00C13A7D" w:rsidP="004A11B2">
      <w:pPr>
        <w:spacing w:line="480" w:lineRule="auto"/>
        <w:jc w:val="both"/>
        <w:rPr>
          <w:rFonts w:ascii="Century Schoolbook" w:hAnsi="Century Schoolbook"/>
          <w:i/>
          <w:szCs w:val="24"/>
        </w:rPr>
      </w:pPr>
      <w:r w:rsidRPr="00351567">
        <w:rPr>
          <w:rFonts w:ascii="Century Schoolbook" w:hAnsi="Century Schoolbook"/>
          <w:i/>
          <w:szCs w:val="24"/>
        </w:rPr>
        <w:t>EM:</w:t>
      </w:r>
      <w:r w:rsidRPr="00351567">
        <w:rPr>
          <w:rFonts w:ascii="Century Schoolbook" w:hAnsi="Century Schoolbook"/>
          <w:szCs w:val="24"/>
        </w:rPr>
        <w:t xml:space="preserve"> </w:t>
      </w:r>
      <w:r w:rsidRPr="00351567">
        <w:rPr>
          <w:rFonts w:ascii="Century Schoolbook" w:hAnsi="Century Schoolbook"/>
          <w:i/>
          <w:szCs w:val="24"/>
        </w:rPr>
        <w:t>At least sometimes, in the actual world, the realisers of functional roles definitive of certain mental items include extra-neural components or processes.</w:t>
      </w:r>
      <w:r w:rsidRPr="00351567">
        <w:rPr>
          <w:rStyle w:val="FootnoteReference"/>
          <w:rFonts w:ascii="Century Schoolbook" w:hAnsi="Century Schoolbook"/>
          <w:i/>
          <w:szCs w:val="24"/>
        </w:rPr>
        <w:footnoteReference w:id="3"/>
      </w:r>
    </w:p>
    <w:p w14:paraId="081E737C" w14:textId="1B0B0184" w:rsidR="0053177C"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 xml:space="preserve">More needs to be said about this definition before we can proceed. </w:t>
      </w:r>
      <w:r w:rsidR="0053177C" w:rsidRPr="00351567">
        <w:rPr>
          <w:rFonts w:ascii="Century Schoolbook" w:hAnsi="Century Schoolbook"/>
          <w:szCs w:val="24"/>
        </w:rPr>
        <w:t>The definition is broad enough to capture most conceivable functionalist versions of EM, but is also tailorable to particular versions of EM. So I now need to take the measure of Clark’s view and then cut the cloth accordingly.</w:t>
      </w:r>
    </w:p>
    <w:p w14:paraId="1045E7B8" w14:textId="2DA312F0" w:rsidR="0053177C"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lastRenderedPageBreak/>
        <w:t xml:space="preserve">First, we need to deal with issues of scope. To what class of ‘mental items’ is EM supposed to apply? EM can apply to conscious states, intentional states, proto-intentional cognitive states, or some combination of these options. Clark’s version of EM applies to intentional states like beliefs and proto-intentional representational states (those which are inaccessible to consciousness), but it does not apply to conscious states (or </w:t>
      </w:r>
      <w:r w:rsidR="004B4C19" w:rsidRPr="00351567">
        <w:rPr>
          <w:rFonts w:ascii="Century Schoolbook" w:hAnsi="Century Schoolbook"/>
          <w:szCs w:val="24"/>
        </w:rPr>
        <w:t xml:space="preserve">to </w:t>
      </w:r>
      <w:r w:rsidRPr="00351567">
        <w:rPr>
          <w:rFonts w:ascii="Century Schoolbook" w:hAnsi="Century Schoolbook"/>
          <w:szCs w:val="24"/>
        </w:rPr>
        <w:t>the conscious aspects of intentional states, if such aspects exist).</w:t>
      </w:r>
      <w:r w:rsidRPr="00351567">
        <w:rPr>
          <w:rStyle w:val="FootnoteReference"/>
          <w:rFonts w:ascii="Century Schoolbook" w:hAnsi="Century Schoolbook"/>
          <w:szCs w:val="24"/>
        </w:rPr>
        <w:footnoteReference w:id="4"/>
      </w:r>
      <w:r w:rsidRPr="00351567">
        <w:rPr>
          <w:rFonts w:ascii="Century Schoolbook" w:hAnsi="Century Schoolbook"/>
          <w:szCs w:val="24"/>
        </w:rPr>
        <w:t xml:space="preserve"> I will focus on his argument for the claim that EM applies to intentional states (specifically, non-occurrent beliefs). </w:t>
      </w:r>
    </w:p>
    <w:p w14:paraId="3399EFD0" w14:textId="64D72B40"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 xml:space="preserve">I will also be understanding the ‘items’ part of ‘mental items’ such that it refers not only to mental states like beliefs but also to mental processes, like believing, remembering and so on. Clark takes EM to be true </w:t>
      </w:r>
      <w:r w:rsidR="00650471" w:rsidRPr="00351567">
        <w:rPr>
          <w:rFonts w:ascii="Century Schoolbook" w:hAnsi="Century Schoolbook"/>
          <w:szCs w:val="24"/>
        </w:rPr>
        <w:t xml:space="preserve">both </w:t>
      </w:r>
      <w:r w:rsidRPr="00351567">
        <w:rPr>
          <w:rFonts w:ascii="Century Schoolbook" w:hAnsi="Century Schoolbook"/>
          <w:szCs w:val="24"/>
        </w:rPr>
        <w:t>of mental states and mental processes.</w:t>
      </w:r>
      <w:r w:rsidRPr="00351567">
        <w:rPr>
          <w:rStyle w:val="FootnoteReference"/>
          <w:rFonts w:ascii="Century Schoolbook" w:hAnsi="Century Schoolbook"/>
          <w:szCs w:val="24"/>
        </w:rPr>
        <w:footnoteReference w:id="5"/>
      </w:r>
      <w:r w:rsidRPr="00351567">
        <w:rPr>
          <w:rFonts w:ascii="Century Schoolbook" w:hAnsi="Century Schoolbook"/>
          <w:szCs w:val="24"/>
        </w:rPr>
        <w:t xml:space="preserve"> Finally the reference to ‘extra-neural components or processes’ is ambiguous between that which is bodily but extra-neural and that which is extra-neural </w:t>
      </w:r>
      <w:r w:rsidRPr="00351567">
        <w:rPr>
          <w:rFonts w:ascii="Century Schoolbook" w:hAnsi="Century Schoolbook"/>
          <w:i/>
          <w:szCs w:val="24"/>
        </w:rPr>
        <w:t xml:space="preserve">and </w:t>
      </w:r>
      <w:r w:rsidRPr="00351567">
        <w:rPr>
          <w:rFonts w:ascii="Century Schoolbook" w:hAnsi="Century Schoolbook"/>
          <w:szCs w:val="24"/>
        </w:rPr>
        <w:t>extra-bodily. In other words, EM, as defined above, could be understood as the ‘embodied’ claim that the mind extends past the brain into the body or as the ‘extended’ claim that the mind extends past the body and into the world. Clark claims that the mind is both embodied and extended.</w:t>
      </w:r>
      <w:r w:rsidRPr="00351567">
        <w:rPr>
          <w:rStyle w:val="FootnoteReference"/>
          <w:rFonts w:ascii="Century Schoolbook" w:hAnsi="Century Schoolbook"/>
          <w:szCs w:val="24"/>
        </w:rPr>
        <w:footnoteReference w:id="6"/>
      </w:r>
    </w:p>
    <w:p w14:paraId="3391D7BA" w14:textId="3D6A716F"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lastRenderedPageBreak/>
        <w:tab/>
        <w:t>The next major task is to clarify the notion of ‘functional role’ in play in the above definition. Clark stat</w:t>
      </w:r>
      <w:r w:rsidR="00650471" w:rsidRPr="00351567">
        <w:rPr>
          <w:rFonts w:ascii="Century Schoolbook" w:hAnsi="Century Schoolbook"/>
          <w:szCs w:val="24"/>
        </w:rPr>
        <w:t>es explicitly that his argument</w:t>
      </w:r>
      <w:r w:rsidRPr="00351567">
        <w:rPr>
          <w:rFonts w:ascii="Century Schoolbook" w:hAnsi="Century Schoolbook"/>
          <w:szCs w:val="24"/>
        </w:rPr>
        <w:t xml:space="preserve"> for EM rel</w:t>
      </w:r>
      <w:r w:rsidR="00650471" w:rsidRPr="00351567">
        <w:rPr>
          <w:rFonts w:ascii="Century Schoolbook" w:hAnsi="Century Schoolbook"/>
          <w:szCs w:val="24"/>
        </w:rPr>
        <w:t>ies</w:t>
      </w:r>
      <w:r w:rsidRPr="00351567">
        <w:rPr>
          <w:rFonts w:ascii="Century Schoolbook" w:hAnsi="Century Schoolbook"/>
          <w:szCs w:val="24"/>
        </w:rPr>
        <w:t xml:space="preserve"> on common-sense functionalism</w:t>
      </w:r>
      <w:r w:rsidR="00650471" w:rsidRPr="00351567">
        <w:rPr>
          <w:rFonts w:ascii="Century Schoolbook" w:hAnsi="Century Schoolbook"/>
          <w:szCs w:val="24"/>
        </w:rPr>
        <w:t>,</w:t>
      </w:r>
      <w:r w:rsidRPr="00351567">
        <w:rPr>
          <w:rFonts w:ascii="Century Schoolbook" w:hAnsi="Century Schoolbook"/>
          <w:szCs w:val="24"/>
        </w:rPr>
        <w:t xml:space="preserve"> as formulated by Jackson and Br</w:t>
      </w:r>
      <w:r w:rsidR="00820EF1" w:rsidRPr="00351567">
        <w:rPr>
          <w:rFonts w:ascii="Century Schoolbook" w:hAnsi="Century Schoolbook"/>
          <w:szCs w:val="24"/>
        </w:rPr>
        <w:t xml:space="preserve">addon-Mitchell </w:t>
      </w:r>
      <w:r w:rsidR="005B24D2" w:rsidRPr="00351567">
        <w:rPr>
          <w:rFonts w:ascii="Century Schoolbook" w:hAnsi="Century Schoolbook"/>
          <w:szCs w:val="24"/>
        </w:rPr>
        <w:t>(</w:t>
      </w:r>
      <w:r w:rsidR="00820EF1" w:rsidRPr="00351567">
        <w:rPr>
          <w:rFonts w:ascii="Century Schoolbook" w:hAnsi="Century Schoolbook"/>
          <w:szCs w:val="24"/>
        </w:rPr>
        <w:t>see Clark 2008a</w:t>
      </w:r>
      <w:r w:rsidR="00020C2F" w:rsidRPr="00351567">
        <w:rPr>
          <w:rFonts w:ascii="Century Schoolbook" w:hAnsi="Century Schoolbook"/>
          <w:szCs w:val="24"/>
        </w:rPr>
        <w:t>: 88-9</w:t>
      </w:r>
      <w:r w:rsidR="00FB0212" w:rsidRPr="00351567">
        <w:rPr>
          <w:rFonts w:ascii="Century Schoolbook" w:hAnsi="Century Schoolbook"/>
          <w:szCs w:val="24"/>
        </w:rPr>
        <w:t>)</w:t>
      </w:r>
      <w:r w:rsidRPr="00351567">
        <w:rPr>
          <w:rFonts w:ascii="Century Schoolbook" w:hAnsi="Century Schoolbook"/>
          <w:szCs w:val="24"/>
        </w:rPr>
        <w:t xml:space="preserve">. So I will cash out his version of EM in terms of this view. On this brand of functionalism (as on most brands), to be a mental item is just to be that which plays (or is disposed to play) a certain </w:t>
      </w:r>
      <w:r w:rsidR="00C402FA" w:rsidRPr="00351567">
        <w:rPr>
          <w:rFonts w:ascii="Century Schoolbook" w:hAnsi="Century Schoolbook"/>
          <w:szCs w:val="24"/>
        </w:rPr>
        <w:t>functional role</w:t>
      </w:r>
      <w:r w:rsidRPr="00351567">
        <w:rPr>
          <w:rFonts w:ascii="Century Schoolbook" w:hAnsi="Century Schoolbook"/>
          <w:szCs w:val="24"/>
        </w:rPr>
        <w:t>.  So</w:t>
      </w:r>
      <w:r w:rsidR="00C402FA" w:rsidRPr="00351567">
        <w:rPr>
          <w:rFonts w:ascii="Century Schoolbook" w:hAnsi="Century Schoolbook"/>
          <w:szCs w:val="24"/>
        </w:rPr>
        <w:t>, for example,</w:t>
      </w:r>
      <w:r w:rsidRPr="00351567">
        <w:rPr>
          <w:rFonts w:ascii="Century Schoolbook" w:hAnsi="Century Schoolbook"/>
          <w:szCs w:val="24"/>
        </w:rPr>
        <w:t xml:space="preserve"> to be a belief is just</w:t>
      </w:r>
      <w:r w:rsidR="00286BC2" w:rsidRPr="00351567">
        <w:rPr>
          <w:rFonts w:ascii="Century Schoolbook" w:hAnsi="Century Schoolbook"/>
          <w:szCs w:val="24"/>
        </w:rPr>
        <w:t xml:space="preserve"> to</w:t>
      </w:r>
      <w:r w:rsidRPr="00351567">
        <w:rPr>
          <w:rFonts w:ascii="Century Schoolbook" w:hAnsi="Century Schoolbook"/>
          <w:szCs w:val="24"/>
        </w:rPr>
        <w:t xml:space="preserve"> </w:t>
      </w:r>
      <w:r w:rsidR="00BA0803" w:rsidRPr="00351567">
        <w:rPr>
          <w:rFonts w:ascii="Century Schoolbook" w:hAnsi="Century Schoolbook"/>
          <w:szCs w:val="24"/>
        </w:rPr>
        <w:t xml:space="preserve">be </w:t>
      </w:r>
      <w:r w:rsidR="00650471" w:rsidRPr="00351567">
        <w:rPr>
          <w:rFonts w:ascii="Century Schoolbook" w:hAnsi="Century Schoolbook"/>
          <w:szCs w:val="24"/>
        </w:rPr>
        <w:t>a</w:t>
      </w:r>
      <w:r w:rsidR="00BA0803" w:rsidRPr="00351567">
        <w:rPr>
          <w:rFonts w:ascii="Century Schoolbook" w:hAnsi="Century Schoolbook"/>
          <w:szCs w:val="24"/>
        </w:rPr>
        <w:t xml:space="preserve"> state disposed</w:t>
      </w:r>
      <w:r w:rsidRPr="00351567">
        <w:rPr>
          <w:rFonts w:ascii="Century Schoolbook" w:hAnsi="Century Schoolbook"/>
          <w:szCs w:val="24"/>
        </w:rPr>
        <w:t xml:space="preserve"> to be caused (typically) by perceptions of the appropriate kind, to interact with other beliefs in the appropriate way, to interact with desires in a way that typically generates actions of the appropriate kind, and so on. So the mental kind ‘belief’ is identified with a certain functional role. With this identification in place, Jackson and Braddon-Mitchell claim, we can say that the realiser of the kind ‘belief’ is just that which stands in the causal relations definitive of that kind.</w:t>
      </w:r>
      <w:r w:rsidR="00877A4C" w:rsidRPr="00351567">
        <w:rPr>
          <w:rStyle w:val="FootnoteReference"/>
          <w:rFonts w:ascii="Century Schoolbook" w:hAnsi="Century Schoolbook"/>
          <w:szCs w:val="24"/>
        </w:rPr>
        <w:t xml:space="preserve"> </w:t>
      </w:r>
      <w:r w:rsidR="00877A4C" w:rsidRPr="00351567">
        <w:rPr>
          <w:rStyle w:val="FootnoteReference"/>
          <w:rFonts w:ascii="Century Schoolbook" w:hAnsi="Century Schoolbook"/>
          <w:szCs w:val="24"/>
        </w:rPr>
        <w:footnoteReference w:id="7"/>
      </w:r>
      <w:r w:rsidRPr="00351567">
        <w:rPr>
          <w:rFonts w:ascii="Century Schoolbook" w:hAnsi="Century Schoolbook"/>
          <w:szCs w:val="24"/>
        </w:rPr>
        <w:t xml:space="preserve"> Normally, it is assumed that the realiser in question is just some</w:t>
      </w:r>
      <w:r w:rsidR="00877A4C" w:rsidRPr="00351567">
        <w:rPr>
          <w:rFonts w:ascii="Century Schoolbook" w:hAnsi="Century Schoolbook"/>
          <w:szCs w:val="24"/>
        </w:rPr>
        <w:t xml:space="preserve"> physical process occurring in some</w:t>
      </w:r>
      <w:r w:rsidRPr="00351567">
        <w:rPr>
          <w:rFonts w:ascii="Century Schoolbook" w:hAnsi="Century Schoolbook"/>
          <w:szCs w:val="24"/>
        </w:rPr>
        <w:t xml:space="preserve"> region of the brain, but this is precisely the assumption that EM denies.</w:t>
      </w:r>
    </w:p>
    <w:p w14:paraId="7D0DDA40" w14:textId="4E69DB73" w:rsidR="00BA0803"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ab/>
        <w:t xml:space="preserve">The claim distinctive to </w:t>
      </w:r>
      <w:r w:rsidRPr="00351567">
        <w:rPr>
          <w:rFonts w:ascii="Century Schoolbook" w:hAnsi="Century Schoolbook"/>
          <w:i/>
          <w:szCs w:val="24"/>
        </w:rPr>
        <w:t>common-sense</w:t>
      </w:r>
      <w:r w:rsidRPr="00351567">
        <w:rPr>
          <w:rFonts w:ascii="Century Schoolbook" w:hAnsi="Century Schoolbook"/>
          <w:szCs w:val="24"/>
        </w:rPr>
        <w:t xml:space="preserve"> functionalism</w:t>
      </w:r>
      <w:r w:rsidR="004B4C19" w:rsidRPr="00351567">
        <w:rPr>
          <w:rFonts w:ascii="Century Schoolbook" w:hAnsi="Century Schoolbook"/>
          <w:szCs w:val="24"/>
        </w:rPr>
        <w:t>,</w:t>
      </w:r>
      <w:r w:rsidRPr="00351567">
        <w:rPr>
          <w:rFonts w:ascii="Century Schoolbook" w:hAnsi="Century Schoolbook"/>
          <w:szCs w:val="24"/>
        </w:rPr>
        <w:t xml:space="preserve"> of the sort advocated by Jackson and Braddon-Mitchell </w:t>
      </w:r>
      <w:r w:rsidR="005B24D2" w:rsidRPr="00351567">
        <w:rPr>
          <w:rFonts w:ascii="Century Schoolbook" w:hAnsi="Century Schoolbook"/>
          <w:szCs w:val="24"/>
        </w:rPr>
        <w:t>(</w:t>
      </w:r>
      <w:r w:rsidR="00A82573" w:rsidRPr="00351567">
        <w:rPr>
          <w:rFonts w:ascii="Century Schoolbook" w:hAnsi="Century Schoolbook"/>
          <w:szCs w:val="24"/>
        </w:rPr>
        <w:t>2007</w:t>
      </w:r>
      <w:r w:rsidR="00FB0212" w:rsidRPr="00351567">
        <w:rPr>
          <w:rFonts w:ascii="Century Schoolbook" w:hAnsi="Century Schoolbook"/>
          <w:szCs w:val="24"/>
        </w:rPr>
        <w:t>)</w:t>
      </w:r>
      <w:r w:rsidR="004B4C19" w:rsidRPr="00351567">
        <w:rPr>
          <w:rFonts w:ascii="Century Schoolbook" w:hAnsi="Century Schoolbook"/>
          <w:szCs w:val="24"/>
        </w:rPr>
        <w:t>,</w:t>
      </w:r>
      <w:r w:rsidR="00650471" w:rsidRPr="00351567">
        <w:rPr>
          <w:rFonts w:ascii="Century Schoolbook" w:hAnsi="Century Schoolbook"/>
          <w:szCs w:val="24"/>
        </w:rPr>
        <w:t xml:space="preserve"> </w:t>
      </w:r>
      <w:r w:rsidRPr="00351567">
        <w:rPr>
          <w:rFonts w:ascii="Century Schoolbook" w:hAnsi="Century Schoolbook"/>
          <w:szCs w:val="24"/>
        </w:rPr>
        <w:t xml:space="preserve">is that we should look to common-sense folk psychology in order to determine which functional roles are definitive of which mental states. This view stands in contrast with </w:t>
      </w:r>
      <w:r w:rsidRPr="00351567">
        <w:rPr>
          <w:rFonts w:ascii="Century Schoolbook" w:hAnsi="Century Schoolbook"/>
          <w:i/>
          <w:szCs w:val="24"/>
        </w:rPr>
        <w:t xml:space="preserve">empirical </w:t>
      </w:r>
      <w:r w:rsidRPr="00351567">
        <w:rPr>
          <w:rFonts w:ascii="Century Schoolbook" w:hAnsi="Century Schoolbook"/>
          <w:szCs w:val="24"/>
        </w:rPr>
        <w:t xml:space="preserve">functionalism (sometimes called psychofunctionalism), according to which we should look to our best scientific theories in order to determine which functional roles are definitive </w:t>
      </w:r>
      <w:r w:rsidRPr="00351567">
        <w:rPr>
          <w:rFonts w:ascii="Century Schoolbook" w:hAnsi="Century Schoolbook"/>
          <w:szCs w:val="24"/>
        </w:rPr>
        <w:lastRenderedPageBreak/>
        <w:t>of which mental states.</w:t>
      </w:r>
      <w:r w:rsidRPr="00351567">
        <w:rPr>
          <w:rStyle w:val="FootnoteReference"/>
          <w:rFonts w:ascii="Century Schoolbook" w:hAnsi="Century Schoolbook"/>
          <w:szCs w:val="24"/>
        </w:rPr>
        <w:t xml:space="preserve"> </w:t>
      </w:r>
      <w:r w:rsidRPr="00351567">
        <w:rPr>
          <w:rStyle w:val="FootnoteReference"/>
          <w:rFonts w:ascii="Century Schoolbook" w:hAnsi="Century Schoolbook"/>
          <w:szCs w:val="24"/>
        </w:rPr>
        <w:footnoteReference w:id="8"/>
      </w:r>
      <w:r w:rsidRPr="00351567">
        <w:rPr>
          <w:rFonts w:ascii="Century Schoolbook" w:hAnsi="Century Schoolbook"/>
          <w:szCs w:val="24"/>
        </w:rPr>
        <w:t xml:space="preserve"> The idea, roughly, is that ordinary folk rely on a tacit theory about the minds of others</w:t>
      </w:r>
      <w:r w:rsidR="006D054F" w:rsidRPr="00351567">
        <w:rPr>
          <w:rFonts w:ascii="Century Schoolbook" w:hAnsi="Century Schoolbook"/>
          <w:szCs w:val="24"/>
        </w:rPr>
        <w:t>,</w:t>
      </w:r>
      <w:r w:rsidRPr="00351567">
        <w:rPr>
          <w:rFonts w:ascii="Century Schoolbook" w:hAnsi="Century Schoolbook"/>
          <w:szCs w:val="24"/>
        </w:rPr>
        <w:t xml:space="preserve"> in order to make sense of </w:t>
      </w:r>
      <w:r w:rsidR="006D054F" w:rsidRPr="00351567">
        <w:rPr>
          <w:rFonts w:ascii="Century Schoolbook" w:hAnsi="Century Schoolbook"/>
          <w:szCs w:val="24"/>
        </w:rPr>
        <w:t>the others’ everyday</w:t>
      </w:r>
      <w:r w:rsidRPr="00351567">
        <w:rPr>
          <w:rFonts w:ascii="Century Schoolbook" w:hAnsi="Century Schoolbook"/>
          <w:szCs w:val="24"/>
        </w:rPr>
        <w:t xml:space="preserve"> behaviour. The job of the theoretician is to make explicit the most central theoretical commitments of this folk psychological theory – the folk platitudes – and to build out of these an explication of the folk roles definitive of mental states. </w:t>
      </w:r>
    </w:p>
    <w:p w14:paraId="177AC7BB" w14:textId="66AFB6C0"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But how are these platitudes to be identified? And, perhaps more importantly, why are they to be trusted? Jackson and Braddon-Mitchell</w:t>
      </w:r>
      <w:r w:rsidR="004B4C19" w:rsidRPr="00351567">
        <w:rPr>
          <w:rFonts w:ascii="Century Schoolbook" w:hAnsi="Century Schoolbook"/>
          <w:szCs w:val="24"/>
        </w:rPr>
        <w:t xml:space="preserve"> clai</w:t>
      </w:r>
      <w:r w:rsidR="00A668EB" w:rsidRPr="00351567">
        <w:rPr>
          <w:rFonts w:ascii="Century Schoolbook" w:hAnsi="Century Schoolbook"/>
          <w:szCs w:val="24"/>
        </w:rPr>
        <w:t>m</w:t>
      </w:r>
      <w:r w:rsidRPr="00351567">
        <w:rPr>
          <w:rFonts w:ascii="Century Schoolbook" w:hAnsi="Century Schoolbook"/>
          <w:szCs w:val="24"/>
        </w:rPr>
        <w:t xml:space="preserve"> that the folk platitudes are </w:t>
      </w:r>
      <w:r w:rsidR="00A668EB" w:rsidRPr="00351567">
        <w:rPr>
          <w:rFonts w:ascii="Century Schoolbook" w:hAnsi="Century Schoolbook"/>
          <w:szCs w:val="24"/>
        </w:rPr>
        <w:t xml:space="preserve">to be trusted because they are </w:t>
      </w:r>
      <w:r w:rsidRPr="00351567">
        <w:rPr>
          <w:rFonts w:ascii="Century Schoolbook" w:hAnsi="Century Schoolbook"/>
          <w:szCs w:val="24"/>
        </w:rPr>
        <w:t xml:space="preserve">predictively and explanatorily </w:t>
      </w:r>
      <w:r w:rsidRPr="00351567">
        <w:rPr>
          <w:rFonts w:ascii="Century Schoolbook" w:hAnsi="Century Schoolbook"/>
          <w:i/>
          <w:szCs w:val="24"/>
        </w:rPr>
        <w:t>potent</w:t>
      </w:r>
      <w:r w:rsidRPr="00351567">
        <w:rPr>
          <w:rFonts w:ascii="Century Schoolbook" w:hAnsi="Century Schoolbook"/>
          <w:szCs w:val="24"/>
        </w:rPr>
        <w:t xml:space="preserve">, </w:t>
      </w:r>
      <w:r w:rsidR="00A668EB" w:rsidRPr="00351567">
        <w:rPr>
          <w:rFonts w:ascii="Century Schoolbook" w:hAnsi="Century Schoolbook"/>
          <w:szCs w:val="24"/>
        </w:rPr>
        <w:t>but at the same time</w:t>
      </w:r>
      <w:r w:rsidRPr="00351567">
        <w:rPr>
          <w:rFonts w:ascii="Century Schoolbook" w:hAnsi="Century Schoolbook"/>
          <w:szCs w:val="24"/>
        </w:rPr>
        <w:t xml:space="preserve"> theoretically </w:t>
      </w:r>
      <w:r w:rsidRPr="00351567">
        <w:rPr>
          <w:rFonts w:ascii="Century Schoolbook" w:hAnsi="Century Schoolbook"/>
          <w:i/>
          <w:szCs w:val="24"/>
        </w:rPr>
        <w:t>modest</w:t>
      </w:r>
      <w:r w:rsidR="00A82573" w:rsidRPr="00351567">
        <w:rPr>
          <w:rFonts w:ascii="Century Schoolbook" w:hAnsi="Century Schoolbook"/>
          <w:szCs w:val="24"/>
        </w:rPr>
        <w:t xml:space="preserve"> </w:t>
      </w:r>
      <w:r w:rsidR="005B24D2" w:rsidRPr="00351567">
        <w:rPr>
          <w:rFonts w:ascii="Century Schoolbook" w:hAnsi="Century Schoolbook"/>
          <w:szCs w:val="24"/>
        </w:rPr>
        <w:t>(</w:t>
      </w:r>
      <w:r w:rsidR="00A82573" w:rsidRPr="00351567">
        <w:rPr>
          <w:rFonts w:ascii="Century Schoolbook" w:hAnsi="Century Schoolbook"/>
          <w:szCs w:val="24"/>
        </w:rPr>
        <w:t>2007: 268-272</w:t>
      </w:r>
      <w:r w:rsidR="00FB0212" w:rsidRPr="00351567">
        <w:rPr>
          <w:rFonts w:ascii="Century Schoolbook" w:hAnsi="Century Schoolbook"/>
          <w:szCs w:val="24"/>
        </w:rPr>
        <w:t>)</w:t>
      </w:r>
      <w:r w:rsidRPr="00351567">
        <w:rPr>
          <w:rFonts w:ascii="Century Schoolbook" w:hAnsi="Century Schoolbook"/>
          <w:szCs w:val="24"/>
        </w:rPr>
        <w:t>.</w:t>
      </w:r>
      <w:r w:rsidRPr="00351567">
        <w:rPr>
          <w:rStyle w:val="FootnoteReference"/>
          <w:rFonts w:ascii="Century Schoolbook" w:hAnsi="Century Schoolbook"/>
          <w:szCs w:val="24"/>
        </w:rPr>
        <w:footnoteReference w:id="9"/>
      </w:r>
      <w:r w:rsidR="00BA0803" w:rsidRPr="00351567">
        <w:rPr>
          <w:rFonts w:ascii="Century Schoolbook" w:hAnsi="Century Schoolbook"/>
          <w:szCs w:val="24"/>
        </w:rPr>
        <w:t xml:space="preserve"> They are potent because they allow us to explain the behaviour of others</w:t>
      </w:r>
      <w:r w:rsidR="00A668EB" w:rsidRPr="00351567">
        <w:rPr>
          <w:rFonts w:ascii="Century Schoolbook" w:hAnsi="Century Schoolbook"/>
          <w:szCs w:val="24"/>
        </w:rPr>
        <w:t>.</w:t>
      </w:r>
      <w:r w:rsidR="00BA0803" w:rsidRPr="00351567">
        <w:rPr>
          <w:rFonts w:ascii="Century Schoolbook" w:hAnsi="Century Schoolbook"/>
          <w:szCs w:val="24"/>
        </w:rPr>
        <w:t xml:space="preserve"> I can explain the fact that Jones is crouched in a river, passing mud through a sieve by attributing to Jones</w:t>
      </w:r>
      <w:r w:rsidR="004B4C19" w:rsidRPr="00351567">
        <w:rPr>
          <w:rFonts w:ascii="Century Schoolbook" w:hAnsi="Century Schoolbook"/>
          <w:szCs w:val="24"/>
        </w:rPr>
        <w:t xml:space="preserve"> a)</w:t>
      </w:r>
      <w:r w:rsidR="00BA0803" w:rsidRPr="00351567">
        <w:rPr>
          <w:rFonts w:ascii="Century Schoolbook" w:hAnsi="Century Schoolbook"/>
          <w:szCs w:val="24"/>
        </w:rPr>
        <w:t xml:space="preserve"> the belief that there is gold in the river</w:t>
      </w:r>
      <w:r w:rsidR="00A668EB" w:rsidRPr="00351567">
        <w:rPr>
          <w:rFonts w:ascii="Century Schoolbook" w:hAnsi="Century Schoolbook"/>
          <w:szCs w:val="24"/>
        </w:rPr>
        <w:t xml:space="preserve"> and</w:t>
      </w:r>
      <w:r w:rsidR="004B4C19" w:rsidRPr="00351567">
        <w:rPr>
          <w:rFonts w:ascii="Century Schoolbook" w:hAnsi="Century Schoolbook"/>
          <w:szCs w:val="24"/>
        </w:rPr>
        <w:t xml:space="preserve"> b) the desire to find gold</w:t>
      </w:r>
      <w:r w:rsidR="00BA0803" w:rsidRPr="00351567">
        <w:rPr>
          <w:rFonts w:ascii="Century Schoolbook" w:hAnsi="Century Schoolbook"/>
          <w:szCs w:val="24"/>
        </w:rPr>
        <w:t xml:space="preserve">. </w:t>
      </w:r>
      <w:r w:rsidR="004B4C19" w:rsidRPr="00351567">
        <w:rPr>
          <w:rFonts w:ascii="Century Schoolbook" w:hAnsi="Century Schoolbook"/>
          <w:szCs w:val="24"/>
        </w:rPr>
        <w:t>The platitudes are</w:t>
      </w:r>
      <w:r w:rsidR="00BA0803" w:rsidRPr="00351567">
        <w:rPr>
          <w:rFonts w:ascii="Century Schoolbook" w:hAnsi="Century Schoolbook"/>
          <w:szCs w:val="24"/>
        </w:rPr>
        <w:t xml:space="preserve"> modest because they make no claims about realisers. My attribution of a belief to Jones does not commit me to any theory about</w:t>
      </w:r>
      <w:r w:rsidR="00A668EB" w:rsidRPr="00351567">
        <w:rPr>
          <w:rFonts w:ascii="Century Schoolbook" w:hAnsi="Century Schoolbook"/>
          <w:szCs w:val="24"/>
        </w:rPr>
        <w:t xml:space="preserve"> what it is,</w:t>
      </w:r>
      <w:r w:rsidR="00BA0803" w:rsidRPr="00351567">
        <w:rPr>
          <w:rFonts w:ascii="Century Schoolbook" w:hAnsi="Century Schoolbook"/>
          <w:szCs w:val="24"/>
        </w:rPr>
        <w:t xml:space="preserve"> in Jones’ head or elsewhere, that is </w:t>
      </w:r>
      <w:r w:rsidR="00A668EB" w:rsidRPr="00351567">
        <w:rPr>
          <w:rFonts w:ascii="Century Schoolbook" w:hAnsi="Century Schoolbook"/>
          <w:szCs w:val="24"/>
        </w:rPr>
        <w:t>realising</w:t>
      </w:r>
      <w:r w:rsidR="00BA0803" w:rsidRPr="00351567">
        <w:rPr>
          <w:rFonts w:ascii="Century Schoolbook" w:hAnsi="Century Schoolbook"/>
          <w:szCs w:val="24"/>
        </w:rPr>
        <w:t xml:space="preserve"> the relevant belief-role.</w:t>
      </w:r>
      <w:r w:rsidRPr="00351567">
        <w:rPr>
          <w:rFonts w:ascii="Century Schoolbook" w:hAnsi="Century Schoolbook"/>
          <w:szCs w:val="24"/>
        </w:rPr>
        <w:t xml:space="preserve"> This modesty makes it the case that folk psychology is </w:t>
      </w:r>
      <w:r w:rsidR="00BA0803" w:rsidRPr="00351567">
        <w:rPr>
          <w:rFonts w:ascii="Century Schoolbook" w:hAnsi="Century Schoolbook"/>
          <w:szCs w:val="24"/>
        </w:rPr>
        <w:t>‘</w:t>
      </w:r>
      <w:r w:rsidRPr="00351567">
        <w:rPr>
          <w:rFonts w:ascii="Century Schoolbook" w:hAnsi="Century Schoolbook"/>
          <w:szCs w:val="24"/>
        </w:rPr>
        <w:t>peculiarly</w:t>
      </w:r>
      <w:r w:rsidR="00BA0803" w:rsidRPr="00351567">
        <w:rPr>
          <w:rFonts w:ascii="Century Schoolbook" w:hAnsi="Century Schoolbook"/>
          <w:szCs w:val="24"/>
        </w:rPr>
        <w:t>’</w:t>
      </w:r>
      <w:r w:rsidRPr="00351567">
        <w:rPr>
          <w:rFonts w:ascii="Century Schoolbook" w:hAnsi="Century Schoolbook"/>
          <w:szCs w:val="24"/>
        </w:rPr>
        <w:t xml:space="preserve"> unlikely to be proved wrong by future scientific research</w:t>
      </w:r>
      <w:r w:rsidR="00D43CBF" w:rsidRPr="00351567">
        <w:rPr>
          <w:rFonts w:ascii="Century Schoolbook" w:hAnsi="Century Schoolbook"/>
          <w:szCs w:val="24"/>
        </w:rPr>
        <w:t>, or so the claim goes</w:t>
      </w:r>
      <w:r w:rsidR="00A82573" w:rsidRPr="00351567">
        <w:rPr>
          <w:rFonts w:ascii="Century Schoolbook" w:hAnsi="Century Schoolbook"/>
          <w:szCs w:val="24"/>
        </w:rPr>
        <w:t xml:space="preserve"> </w:t>
      </w:r>
      <w:r w:rsidR="005B24D2" w:rsidRPr="00351567">
        <w:rPr>
          <w:rFonts w:ascii="Century Schoolbook" w:hAnsi="Century Schoolbook"/>
          <w:szCs w:val="24"/>
        </w:rPr>
        <w:t>(</w:t>
      </w:r>
      <w:r w:rsidRPr="00351567">
        <w:rPr>
          <w:rFonts w:ascii="Century Schoolbook" w:hAnsi="Century Schoolbook"/>
          <w:szCs w:val="24"/>
        </w:rPr>
        <w:t>2007</w:t>
      </w:r>
      <w:r w:rsidR="00A82573" w:rsidRPr="00351567">
        <w:rPr>
          <w:rFonts w:ascii="Century Schoolbook" w:hAnsi="Century Schoolbook"/>
          <w:szCs w:val="24"/>
        </w:rPr>
        <w:t>: 269-70</w:t>
      </w:r>
      <w:r w:rsidR="00FB0212" w:rsidRPr="00351567">
        <w:rPr>
          <w:rFonts w:ascii="Century Schoolbook" w:hAnsi="Century Schoolbook"/>
          <w:szCs w:val="24"/>
        </w:rPr>
        <w:t>)</w:t>
      </w:r>
      <w:r w:rsidRPr="00351567">
        <w:rPr>
          <w:rFonts w:ascii="Century Schoolbook" w:hAnsi="Century Schoolbook"/>
          <w:szCs w:val="24"/>
        </w:rPr>
        <w:t>.</w:t>
      </w:r>
      <w:r w:rsidR="00A668EB" w:rsidRPr="00351567">
        <w:rPr>
          <w:rFonts w:ascii="Century Schoolbook" w:hAnsi="Century Schoolbook"/>
          <w:szCs w:val="24"/>
        </w:rPr>
        <w:t xml:space="preserve"> </w:t>
      </w:r>
    </w:p>
    <w:p w14:paraId="5C4D1BC9" w14:textId="3797FF3C" w:rsidR="00D85863" w:rsidRPr="00351567" w:rsidRDefault="00EA0042" w:rsidP="004A11B2">
      <w:pPr>
        <w:spacing w:line="480" w:lineRule="auto"/>
        <w:ind w:firstLine="720"/>
        <w:jc w:val="both"/>
        <w:rPr>
          <w:rFonts w:ascii="Century Schoolbook" w:hAnsi="Century Schoolbook"/>
          <w:szCs w:val="24"/>
        </w:rPr>
      </w:pPr>
      <w:r w:rsidRPr="00351567">
        <w:rPr>
          <w:rFonts w:ascii="Century Schoolbook" w:hAnsi="Century Schoolbook"/>
          <w:szCs w:val="24"/>
        </w:rPr>
        <w:t xml:space="preserve">With the ‘functional role’ part of </w:t>
      </w:r>
      <w:r w:rsidR="00C85F32" w:rsidRPr="00351567">
        <w:rPr>
          <w:rFonts w:ascii="Century Schoolbook" w:hAnsi="Century Schoolbook"/>
          <w:szCs w:val="24"/>
        </w:rPr>
        <w:t>Clark’s EM explained</w:t>
      </w:r>
      <w:r w:rsidRPr="00351567">
        <w:rPr>
          <w:rFonts w:ascii="Century Schoolbook" w:hAnsi="Century Schoolbook"/>
          <w:szCs w:val="24"/>
        </w:rPr>
        <w:t xml:space="preserve">, </w:t>
      </w:r>
      <w:r w:rsidR="00C85F32" w:rsidRPr="00351567">
        <w:rPr>
          <w:rFonts w:ascii="Century Schoolbook" w:hAnsi="Century Schoolbook"/>
          <w:szCs w:val="24"/>
        </w:rPr>
        <w:t>my tailoring is complete. W</w:t>
      </w:r>
      <w:r w:rsidRPr="00351567">
        <w:rPr>
          <w:rFonts w:ascii="Century Schoolbook" w:hAnsi="Century Schoolbook"/>
          <w:szCs w:val="24"/>
        </w:rPr>
        <w:t xml:space="preserve">e now need to see how </w:t>
      </w:r>
      <w:r w:rsidR="00C85F32" w:rsidRPr="00351567">
        <w:rPr>
          <w:rFonts w:ascii="Century Schoolbook" w:hAnsi="Century Schoolbook"/>
          <w:szCs w:val="24"/>
        </w:rPr>
        <w:t xml:space="preserve">my </w:t>
      </w:r>
      <w:r w:rsidRPr="00351567">
        <w:rPr>
          <w:rFonts w:ascii="Century Schoolbook" w:hAnsi="Century Schoolbook"/>
          <w:szCs w:val="24"/>
        </w:rPr>
        <w:t xml:space="preserve">definition handles the distinction between </w:t>
      </w:r>
      <w:r w:rsidR="00C13A7D" w:rsidRPr="00351567">
        <w:rPr>
          <w:rFonts w:ascii="Century Schoolbook" w:hAnsi="Century Schoolbook"/>
          <w:szCs w:val="24"/>
        </w:rPr>
        <w:lastRenderedPageBreak/>
        <w:t>EM and content externalism. The traditional definition of the extended mind thesis as ‘vehicle externalism’ was supposed to mark out this distinction clearly.</w:t>
      </w:r>
      <w:r w:rsidR="00C13A7D" w:rsidRPr="00351567">
        <w:rPr>
          <w:rStyle w:val="FootnoteReference"/>
          <w:rFonts w:ascii="Century Schoolbook" w:hAnsi="Century Schoolbook"/>
          <w:szCs w:val="24"/>
        </w:rPr>
        <w:footnoteReference w:id="10"/>
      </w:r>
      <w:r w:rsidR="00C13A7D" w:rsidRPr="00351567">
        <w:rPr>
          <w:rFonts w:ascii="Century Schoolbook" w:hAnsi="Century Schoolbook"/>
          <w:szCs w:val="24"/>
        </w:rPr>
        <w:t xml:space="preserve"> Content externalism, famously motivated by Hillary Putnam’s </w:t>
      </w:r>
      <w:r w:rsidR="005B24D2" w:rsidRPr="00351567">
        <w:rPr>
          <w:rFonts w:ascii="Century Schoolbook" w:hAnsi="Century Schoolbook"/>
          <w:szCs w:val="24"/>
        </w:rPr>
        <w:t>(</w:t>
      </w:r>
      <w:r w:rsidR="00A82573" w:rsidRPr="00351567">
        <w:rPr>
          <w:rFonts w:ascii="Century Schoolbook" w:hAnsi="Century Schoolbook"/>
          <w:szCs w:val="24"/>
        </w:rPr>
        <w:t>1975</w:t>
      </w:r>
      <w:r w:rsidR="00237894" w:rsidRPr="00351567">
        <w:rPr>
          <w:rFonts w:ascii="Century Schoolbook" w:hAnsi="Century Schoolbook"/>
          <w:szCs w:val="24"/>
        </w:rPr>
        <w:t>/1985</w:t>
      </w:r>
      <w:r w:rsidR="00FB0212" w:rsidRPr="00351567">
        <w:rPr>
          <w:rFonts w:ascii="Century Schoolbook" w:hAnsi="Century Schoolbook"/>
          <w:szCs w:val="24"/>
        </w:rPr>
        <w:t>)</w:t>
      </w:r>
      <w:r w:rsidR="00C13A7D" w:rsidRPr="00351567">
        <w:rPr>
          <w:rFonts w:ascii="Century Schoolbook" w:hAnsi="Century Schoolbook"/>
          <w:szCs w:val="24"/>
        </w:rPr>
        <w:t xml:space="preserve"> twin earth thought experiment, is the view that the contents of at least some mental states are individuated (or, in some stronger versions of content externalism, constituted) by external, worldly features. By contrast, the standard line goes, </w:t>
      </w:r>
      <w:r w:rsidR="00132843" w:rsidRPr="00351567">
        <w:rPr>
          <w:rFonts w:ascii="Century Schoolbook" w:hAnsi="Century Schoolbook"/>
          <w:szCs w:val="24"/>
        </w:rPr>
        <w:t>EM</w:t>
      </w:r>
      <w:r w:rsidR="00C13A7D" w:rsidRPr="00351567">
        <w:rPr>
          <w:rFonts w:ascii="Century Schoolbook" w:hAnsi="Century Schoolbook"/>
          <w:szCs w:val="24"/>
        </w:rPr>
        <w:t xml:space="preserve"> is about the vehicles of mental states – the carriers of mental content.</w:t>
      </w:r>
      <w:r w:rsidR="00C13A7D" w:rsidRPr="00351567">
        <w:rPr>
          <w:rStyle w:val="FootnoteReference"/>
          <w:rFonts w:ascii="Century Schoolbook" w:hAnsi="Century Schoolbook"/>
          <w:szCs w:val="24"/>
        </w:rPr>
        <w:footnoteReference w:id="11"/>
      </w:r>
      <w:r w:rsidR="00C13A7D" w:rsidRPr="00351567">
        <w:rPr>
          <w:rFonts w:ascii="Century Schoolbook" w:hAnsi="Century Schoolbook"/>
          <w:szCs w:val="24"/>
        </w:rPr>
        <w:t xml:space="preserve"> </w:t>
      </w:r>
    </w:p>
    <w:p w14:paraId="152FD978" w14:textId="4B247089"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My functionalist definition</w:t>
      </w:r>
      <w:r w:rsidR="00132843" w:rsidRPr="00351567">
        <w:rPr>
          <w:rFonts w:ascii="Century Schoolbook" w:hAnsi="Century Schoolbook"/>
          <w:szCs w:val="24"/>
        </w:rPr>
        <w:t xml:space="preserve"> of EM</w:t>
      </w:r>
      <w:r w:rsidRPr="00351567">
        <w:rPr>
          <w:rFonts w:ascii="Century Schoolbook" w:hAnsi="Century Schoolbook"/>
          <w:szCs w:val="24"/>
        </w:rPr>
        <w:t xml:space="preserve"> gives a way of preserving what is </w:t>
      </w:r>
      <w:r w:rsidR="004B4C19" w:rsidRPr="00351567">
        <w:rPr>
          <w:rFonts w:ascii="Century Schoolbook" w:hAnsi="Century Schoolbook"/>
          <w:szCs w:val="24"/>
        </w:rPr>
        <w:t>important</w:t>
      </w:r>
      <w:r w:rsidRPr="00351567">
        <w:rPr>
          <w:rFonts w:ascii="Century Schoolbook" w:hAnsi="Century Schoolbook"/>
          <w:szCs w:val="24"/>
        </w:rPr>
        <w:t xml:space="preserve"> about this distinction while bringing it into the functionalist fold. To see how</w:t>
      </w:r>
      <w:r w:rsidR="00EA0042" w:rsidRPr="00351567">
        <w:rPr>
          <w:rFonts w:ascii="Century Schoolbook" w:hAnsi="Century Schoolbook"/>
          <w:szCs w:val="24"/>
        </w:rPr>
        <w:t xml:space="preserve"> it does so</w:t>
      </w:r>
      <w:r w:rsidRPr="00351567">
        <w:rPr>
          <w:rFonts w:ascii="Century Schoolbook" w:hAnsi="Century Schoolbook"/>
          <w:szCs w:val="24"/>
        </w:rPr>
        <w:t>, let’s consider the contrast between EM and the long-armed functionalism designed to accommodate content externalism.</w:t>
      </w:r>
      <w:r w:rsidRPr="00351567">
        <w:rPr>
          <w:rStyle w:val="FootnoteReference"/>
          <w:rFonts w:ascii="Century Schoolbook" w:hAnsi="Century Schoolbook"/>
          <w:szCs w:val="24"/>
        </w:rPr>
        <w:footnoteReference w:id="12"/>
      </w:r>
      <w:r w:rsidRPr="00351567">
        <w:rPr>
          <w:rFonts w:ascii="Century Schoolbook" w:hAnsi="Century Schoolbook"/>
          <w:szCs w:val="24"/>
        </w:rPr>
        <w:t xml:space="preserve"> According to long-armed functionalism we must, when specifying the functional role definitive of some mental item, include</w:t>
      </w:r>
      <w:r w:rsidR="00EA0042" w:rsidRPr="00351567">
        <w:rPr>
          <w:rFonts w:ascii="Century Schoolbook" w:hAnsi="Century Schoolbook"/>
          <w:szCs w:val="24"/>
        </w:rPr>
        <w:t xml:space="preserve"> functional role</w:t>
      </w:r>
      <w:r w:rsidRPr="00351567">
        <w:rPr>
          <w:rFonts w:ascii="Century Schoolbook" w:hAnsi="Century Schoolbook"/>
          <w:szCs w:val="24"/>
        </w:rPr>
        <w:t xml:space="preserve"> clauses that specify causal interactions with distal (environmental) objects. So, for example, we might specify perceptual states in terms of the worldly objects that are disposed to cause them, rather than specifying them in terms of the </w:t>
      </w:r>
      <w:r w:rsidR="00D85863" w:rsidRPr="00351567">
        <w:rPr>
          <w:rFonts w:ascii="Century Schoolbook" w:hAnsi="Century Schoolbook"/>
          <w:szCs w:val="24"/>
        </w:rPr>
        <w:t xml:space="preserve">(proximal) </w:t>
      </w:r>
      <w:r w:rsidRPr="00351567">
        <w:rPr>
          <w:rFonts w:ascii="Century Schoolbook" w:hAnsi="Century Schoolbook"/>
          <w:szCs w:val="24"/>
        </w:rPr>
        <w:t xml:space="preserve">retinal or neural inputs that are disposed to cause them. So according to long-armed functionalism, the specification of the </w:t>
      </w:r>
      <w:r w:rsidRPr="00351567">
        <w:rPr>
          <w:rFonts w:ascii="Century Schoolbook" w:hAnsi="Century Schoolbook"/>
          <w:i/>
          <w:szCs w:val="24"/>
        </w:rPr>
        <w:t>roles</w:t>
      </w:r>
      <w:r w:rsidRPr="00351567">
        <w:rPr>
          <w:rFonts w:ascii="Century Schoolbook" w:hAnsi="Century Schoolbook"/>
          <w:szCs w:val="24"/>
        </w:rPr>
        <w:t xml:space="preserve"> definitive of mental items must contain essential reference to beyond-the-skin factors. By contrast, </w:t>
      </w:r>
      <w:r w:rsidR="00BD0299" w:rsidRPr="00351567">
        <w:rPr>
          <w:rFonts w:ascii="Century Schoolbook" w:hAnsi="Century Schoolbook"/>
          <w:szCs w:val="24"/>
        </w:rPr>
        <w:t xml:space="preserve">on my definition, </w:t>
      </w:r>
      <w:r w:rsidRPr="00351567">
        <w:rPr>
          <w:rFonts w:ascii="Century Schoolbook" w:hAnsi="Century Schoolbook"/>
          <w:szCs w:val="24"/>
        </w:rPr>
        <w:t xml:space="preserve">EM is a thesis about the </w:t>
      </w:r>
      <w:r w:rsidRPr="00351567">
        <w:rPr>
          <w:rFonts w:ascii="Century Schoolbook" w:hAnsi="Century Schoolbook"/>
          <w:i/>
          <w:szCs w:val="24"/>
        </w:rPr>
        <w:t>realisers</w:t>
      </w:r>
      <w:r w:rsidRPr="00351567">
        <w:rPr>
          <w:rFonts w:ascii="Century Schoolbook" w:hAnsi="Century Schoolbook"/>
          <w:szCs w:val="24"/>
        </w:rPr>
        <w:t xml:space="preserve"> of mental items; it is the claim that the functional roles </w:t>
      </w:r>
      <w:r w:rsidRPr="00351567">
        <w:rPr>
          <w:rFonts w:ascii="Century Schoolbook" w:hAnsi="Century Schoolbook"/>
          <w:szCs w:val="24"/>
        </w:rPr>
        <w:lastRenderedPageBreak/>
        <w:t xml:space="preserve">definitive of mental items are </w:t>
      </w:r>
      <w:r w:rsidRPr="00351567">
        <w:rPr>
          <w:rFonts w:ascii="Century Schoolbook" w:hAnsi="Century Schoolbook"/>
          <w:i/>
          <w:szCs w:val="24"/>
        </w:rPr>
        <w:t xml:space="preserve">realised </w:t>
      </w:r>
      <w:r w:rsidRPr="00351567">
        <w:rPr>
          <w:rFonts w:ascii="Century Schoolbook" w:hAnsi="Century Schoolbook"/>
          <w:szCs w:val="24"/>
        </w:rPr>
        <w:t xml:space="preserve">in part by extra-neural goings on. One might at this point ask how Clark moves from common-sense functionalist claims about folk functional </w:t>
      </w:r>
      <w:r w:rsidRPr="00351567">
        <w:rPr>
          <w:rFonts w:ascii="Century Schoolbook" w:hAnsi="Century Schoolbook"/>
          <w:i/>
          <w:szCs w:val="24"/>
        </w:rPr>
        <w:t>roles</w:t>
      </w:r>
      <w:r w:rsidRPr="00351567">
        <w:rPr>
          <w:rFonts w:ascii="Century Schoolbook" w:hAnsi="Century Schoolbook"/>
          <w:szCs w:val="24"/>
        </w:rPr>
        <w:t xml:space="preserve"> to the EM claim, which is a claim about the </w:t>
      </w:r>
      <w:r w:rsidRPr="00351567">
        <w:rPr>
          <w:rFonts w:ascii="Century Schoolbook" w:hAnsi="Century Schoolbook"/>
          <w:i/>
          <w:szCs w:val="24"/>
        </w:rPr>
        <w:t>realisers</w:t>
      </w:r>
      <w:r w:rsidRPr="00351567">
        <w:rPr>
          <w:rFonts w:ascii="Century Schoolbook" w:hAnsi="Century Schoolbook"/>
          <w:szCs w:val="24"/>
        </w:rPr>
        <w:t xml:space="preserve"> of these roles. To answer this question, we have to look at Clark’s argument for EM. </w:t>
      </w:r>
    </w:p>
    <w:p w14:paraId="67B69633" w14:textId="70ABE990" w:rsidR="00C13A7D" w:rsidRPr="00351567" w:rsidRDefault="00514618" w:rsidP="00351567">
      <w:pPr>
        <w:pStyle w:val="Heading1"/>
        <w:rPr>
          <w:rFonts w:ascii="Century Schoolbook" w:hAnsi="Century Schoolbook"/>
          <w:i/>
        </w:rPr>
      </w:pPr>
      <w:r w:rsidRPr="00351567">
        <w:rPr>
          <w:rFonts w:ascii="Century Schoolbook" w:hAnsi="Century Schoolbook"/>
        </w:rPr>
        <w:t>3</w:t>
      </w:r>
      <w:r w:rsidR="00C81E53" w:rsidRPr="00351567">
        <w:rPr>
          <w:rFonts w:ascii="Century Schoolbook" w:hAnsi="Century Schoolbook"/>
        </w:rPr>
        <w:t xml:space="preserve">. EM: CLARK’S ARGUMENT, SPREVAK’S </w:t>
      </w:r>
      <w:r w:rsidR="00C81E53" w:rsidRPr="00351567">
        <w:rPr>
          <w:rFonts w:ascii="Century Schoolbook" w:hAnsi="Century Schoolbook"/>
          <w:i/>
        </w:rPr>
        <w:t>REDUCTIO</w:t>
      </w:r>
    </w:p>
    <w:p w14:paraId="62AD18EA" w14:textId="074F79B9"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 xml:space="preserve">Clark’s best-known argument for EM is the Otto and Inga argument, originally developed in a paper co-authored with Chalmers </w:t>
      </w:r>
      <w:r w:rsidR="005B24D2" w:rsidRPr="00351567">
        <w:rPr>
          <w:rFonts w:ascii="Century Schoolbook" w:hAnsi="Century Schoolbook"/>
          <w:szCs w:val="24"/>
        </w:rPr>
        <w:t>(</w:t>
      </w:r>
      <w:r w:rsidR="00A82573" w:rsidRPr="00351567">
        <w:rPr>
          <w:rFonts w:ascii="Century Schoolbook" w:hAnsi="Century Schoolbook"/>
          <w:szCs w:val="24"/>
        </w:rPr>
        <w:t>1998</w:t>
      </w:r>
      <w:r w:rsidR="00FB0212" w:rsidRPr="00351567">
        <w:rPr>
          <w:rFonts w:ascii="Century Schoolbook" w:hAnsi="Century Schoolbook"/>
          <w:szCs w:val="24"/>
        </w:rPr>
        <w:t>)</w:t>
      </w:r>
      <w:r w:rsidRPr="00351567">
        <w:rPr>
          <w:rFonts w:ascii="Century Schoolbook" w:hAnsi="Century Schoolbook"/>
          <w:szCs w:val="24"/>
        </w:rPr>
        <w:t>, but repeated and refined in Clark’s later work. It is on this argument that I will focus initially. The aim of Clark’s argument is to show that there are situations in which some mental item</w:t>
      </w:r>
      <w:r w:rsidR="00BD0299" w:rsidRPr="00351567">
        <w:rPr>
          <w:rFonts w:ascii="Century Schoolbook" w:hAnsi="Century Schoolbook"/>
          <w:szCs w:val="24"/>
        </w:rPr>
        <w:t>s</w:t>
      </w:r>
      <w:r w:rsidRPr="00351567">
        <w:rPr>
          <w:rFonts w:ascii="Century Schoolbook" w:hAnsi="Century Schoolbook"/>
          <w:szCs w:val="24"/>
        </w:rPr>
        <w:t xml:space="preserve"> (non-occurrent belief</w:t>
      </w:r>
      <w:r w:rsidR="00BD0299" w:rsidRPr="00351567">
        <w:rPr>
          <w:rFonts w:ascii="Century Schoolbook" w:hAnsi="Century Schoolbook"/>
          <w:szCs w:val="24"/>
        </w:rPr>
        <w:t>s</w:t>
      </w:r>
      <w:r w:rsidRPr="00351567">
        <w:rPr>
          <w:rFonts w:ascii="Century Schoolbook" w:hAnsi="Century Schoolbook"/>
          <w:szCs w:val="24"/>
        </w:rPr>
        <w:t xml:space="preserve"> in the case I consider) </w:t>
      </w:r>
      <w:r w:rsidR="00BD0299" w:rsidRPr="00351567">
        <w:rPr>
          <w:rFonts w:ascii="Century Schoolbook" w:hAnsi="Century Schoolbook"/>
          <w:szCs w:val="24"/>
        </w:rPr>
        <w:t>are</w:t>
      </w:r>
      <w:r w:rsidRPr="00351567">
        <w:rPr>
          <w:rFonts w:ascii="Century Schoolbook" w:hAnsi="Century Schoolbook"/>
          <w:szCs w:val="24"/>
        </w:rPr>
        <w:t xml:space="preserve"> realised</w:t>
      </w:r>
      <w:r w:rsidR="00BD0299" w:rsidRPr="00351567">
        <w:rPr>
          <w:rFonts w:ascii="Century Schoolbook" w:hAnsi="Century Schoolbook"/>
          <w:szCs w:val="24"/>
        </w:rPr>
        <w:t xml:space="preserve"> by</w:t>
      </w:r>
      <w:r w:rsidRPr="00351567">
        <w:rPr>
          <w:rFonts w:ascii="Century Schoolbook" w:hAnsi="Century Schoolbook"/>
          <w:szCs w:val="24"/>
        </w:rPr>
        <w:t xml:space="preserve"> partly extra-neural resources. The argument starts with Inga, who </w:t>
      </w:r>
      <w:r w:rsidR="00BD0299" w:rsidRPr="00351567">
        <w:rPr>
          <w:rFonts w:ascii="Century Schoolbook" w:hAnsi="Century Schoolbook"/>
          <w:szCs w:val="24"/>
        </w:rPr>
        <w:t>is</w:t>
      </w:r>
      <w:r w:rsidRPr="00351567">
        <w:rPr>
          <w:rFonts w:ascii="Century Schoolbook" w:hAnsi="Century Schoolbook"/>
          <w:szCs w:val="24"/>
        </w:rPr>
        <w:t xml:space="preserve"> a benchmark case – a case in which non-occurrent beliefs are uncontroversially realised. Inga believes that the Museum of Modern Art (MoMA) is on 53</w:t>
      </w:r>
      <w:r w:rsidRPr="00351567">
        <w:rPr>
          <w:rFonts w:ascii="Century Schoolbook" w:hAnsi="Century Schoolbook"/>
          <w:szCs w:val="24"/>
          <w:vertAlign w:val="superscript"/>
        </w:rPr>
        <w:t>rd</w:t>
      </w:r>
      <w:r w:rsidRPr="00351567">
        <w:rPr>
          <w:rFonts w:ascii="Century Schoolbook" w:hAnsi="Century Schoolbook"/>
          <w:szCs w:val="24"/>
        </w:rPr>
        <w:t xml:space="preserve"> street. When she wants to go to MoMA, she consults her memory, retrieves her belief about its location, and goes on her way.</w:t>
      </w:r>
      <w:r w:rsidR="00D85863" w:rsidRPr="00351567">
        <w:rPr>
          <w:rFonts w:ascii="Century Schoolbook" w:hAnsi="Century Schoolbook"/>
          <w:szCs w:val="24"/>
        </w:rPr>
        <w:t xml:space="preserve"> Compare Inga to Otto, who</w:t>
      </w:r>
      <w:r w:rsidRPr="00351567">
        <w:rPr>
          <w:rFonts w:ascii="Century Schoolbook" w:hAnsi="Century Schoolbook"/>
          <w:szCs w:val="24"/>
        </w:rPr>
        <w:t xml:space="preserve"> has Alzheimer’s disease,</w:t>
      </w:r>
      <w:r w:rsidR="00C81E53" w:rsidRPr="00351567">
        <w:rPr>
          <w:rFonts w:ascii="Century Schoolbook" w:hAnsi="Century Schoolbook"/>
          <w:szCs w:val="24"/>
        </w:rPr>
        <w:t xml:space="preserve"> and</w:t>
      </w:r>
      <w:r w:rsidRPr="00351567">
        <w:rPr>
          <w:rFonts w:ascii="Century Schoolbook" w:hAnsi="Century Schoolbook"/>
          <w:szCs w:val="24"/>
        </w:rPr>
        <w:t xml:space="preserve"> so cannot form and retrieve non-occurrent beliefs in the normal way. </w:t>
      </w:r>
      <w:r w:rsidR="00D85863" w:rsidRPr="00351567">
        <w:rPr>
          <w:rFonts w:ascii="Century Schoolbook" w:hAnsi="Century Schoolbook"/>
          <w:szCs w:val="24"/>
        </w:rPr>
        <w:t>Otto</w:t>
      </w:r>
      <w:r w:rsidRPr="00351567">
        <w:rPr>
          <w:rFonts w:ascii="Century Schoolbook" w:hAnsi="Century Schoolbook"/>
          <w:szCs w:val="24"/>
        </w:rPr>
        <w:t xml:space="preserve"> has a way around this problem. Instead of storing information in his brain, he stores it in his notebook. When he is told that ‘MoMA is on 53</w:t>
      </w:r>
      <w:r w:rsidRPr="00351567">
        <w:rPr>
          <w:rFonts w:ascii="Century Schoolbook" w:hAnsi="Century Schoolbook"/>
          <w:szCs w:val="24"/>
          <w:vertAlign w:val="superscript"/>
        </w:rPr>
        <w:t>rd</w:t>
      </w:r>
      <w:r w:rsidRPr="00351567">
        <w:rPr>
          <w:rFonts w:ascii="Century Schoolbook" w:hAnsi="Century Schoolbook"/>
          <w:szCs w:val="24"/>
        </w:rPr>
        <w:t xml:space="preserve"> street’ he writes this sentence down in his book. When he wants to go to MoMA, he consults his notebook, discovers its location, and goes on his way. The aim of </w:t>
      </w:r>
      <w:r w:rsidR="00243FA9" w:rsidRPr="00351567">
        <w:rPr>
          <w:rFonts w:ascii="Century Schoolbook" w:hAnsi="Century Schoolbook"/>
          <w:szCs w:val="24"/>
        </w:rPr>
        <w:t>Clark’s</w:t>
      </w:r>
      <w:r w:rsidRPr="00351567">
        <w:rPr>
          <w:rFonts w:ascii="Century Schoolbook" w:hAnsi="Century Schoolbook"/>
          <w:szCs w:val="24"/>
        </w:rPr>
        <w:t xml:space="preserve"> argument is to show that Otto, like Inga, is capable of forming and retrieving non-occurrent beliefs (even though he does so in an unorthodox way). </w:t>
      </w:r>
    </w:p>
    <w:p w14:paraId="25A1A28D" w14:textId="7E9B8E4D"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lastRenderedPageBreak/>
        <w:t>The argument rests on the claim that, at the appropriate level of abstraction, the procedure performed by Otto is functionally analogous to the procedure performed by Inga. This is where common-sense functionalism comes in. The idea is to appeal to folk psychological intuitions in order to establish the claim that there is no intuitively significant functional difference between the procedure performed by Otto and that performed by Inga. And if there is no significant functional difference between Inga and Otto, then the common-sense functionalist has no justification for claiming that Inga has non-occurrent beliefs while Otto lacks such beliefs. For the common-sense functionalist, forming/retrieving beliefs is just a matter of rea</w:t>
      </w:r>
      <w:r w:rsidR="00C81E53" w:rsidRPr="00351567">
        <w:rPr>
          <w:rFonts w:ascii="Century Schoolbook" w:hAnsi="Century Schoolbook"/>
          <w:szCs w:val="24"/>
        </w:rPr>
        <w:t>lising certain functional roles.</w:t>
      </w:r>
      <w:r w:rsidRPr="00351567">
        <w:rPr>
          <w:rFonts w:ascii="Century Schoolbook" w:hAnsi="Century Schoolbook"/>
          <w:szCs w:val="24"/>
        </w:rPr>
        <w:t xml:space="preserve"> </w:t>
      </w:r>
      <w:r w:rsidR="00C81E53" w:rsidRPr="00351567">
        <w:rPr>
          <w:rFonts w:ascii="Century Schoolbook" w:hAnsi="Century Schoolbook"/>
          <w:szCs w:val="24"/>
        </w:rPr>
        <w:t>S</w:t>
      </w:r>
      <w:r w:rsidRPr="00351567">
        <w:rPr>
          <w:rFonts w:ascii="Century Schoolbook" w:hAnsi="Century Schoolbook"/>
          <w:szCs w:val="24"/>
        </w:rPr>
        <w:t xml:space="preserve">o if Otto and Inga are functionally analogous in the relevant respects, then they are both forming/retrieving beliefs. </w:t>
      </w:r>
    </w:p>
    <w:p w14:paraId="44E5B105" w14:textId="77777777"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And once it is established that Otto is capable of forming/retrieving beliefs when he uses his notebook in certain ways, it is a relatively short extra step to the claim that these beliefs are partly realised by the relevant parts of his notebook (or processes that constitutively involve these notebook-parts). Some object to this extra step, but it seems to me an easy one to make.</w:t>
      </w:r>
      <w:r w:rsidRPr="00351567">
        <w:rPr>
          <w:rStyle w:val="FootnoteReference"/>
          <w:rFonts w:ascii="Century Schoolbook" w:hAnsi="Century Schoolbook"/>
          <w:szCs w:val="24"/>
        </w:rPr>
        <w:footnoteReference w:id="13"/>
      </w:r>
      <w:r w:rsidRPr="00351567">
        <w:rPr>
          <w:rFonts w:ascii="Century Schoolbook" w:hAnsi="Century Schoolbook"/>
          <w:szCs w:val="24"/>
        </w:rPr>
        <w:t xml:space="preserve"> If Otto really does believe that MoMA is on 53</w:t>
      </w:r>
      <w:r w:rsidRPr="00351567">
        <w:rPr>
          <w:rFonts w:ascii="Century Schoolbook" w:hAnsi="Century Schoolbook"/>
          <w:szCs w:val="24"/>
          <w:vertAlign w:val="superscript"/>
        </w:rPr>
        <w:t>rd</w:t>
      </w:r>
      <w:r w:rsidRPr="00351567">
        <w:rPr>
          <w:rFonts w:ascii="Century Schoolbook" w:hAnsi="Century Schoolbook"/>
          <w:szCs w:val="24"/>
        </w:rPr>
        <w:t xml:space="preserve"> street once he has written this sentence in his book, it would </w:t>
      </w:r>
      <w:r w:rsidR="00D85863" w:rsidRPr="00351567">
        <w:rPr>
          <w:rFonts w:ascii="Century Schoolbook" w:hAnsi="Century Schoolbook"/>
          <w:szCs w:val="24"/>
        </w:rPr>
        <w:t>be very odd</w:t>
      </w:r>
      <w:r w:rsidRPr="00351567">
        <w:rPr>
          <w:rFonts w:ascii="Century Schoolbook" w:hAnsi="Century Schoolbook"/>
          <w:szCs w:val="24"/>
        </w:rPr>
        <w:t xml:space="preserve"> to claim that the sentence written in his book forms no part of the realisation base for this belief</w:t>
      </w:r>
      <w:r w:rsidR="00D85863" w:rsidRPr="00351567">
        <w:rPr>
          <w:rFonts w:ascii="Century Schoolbook" w:hAnsi="Century Schoolbook"/>
          <w:szCs w:val="24"/>
        </w:rPr>
        <w:t>, or so it seems to me</w:t>
      </w:r>
      <w:r w:rsidRPr="00351567">
        <w:rPr>
          <w:rFonts w:ascii="Century Schoolbook" w:hAnsi="Century Schoolbook"/>
          <w:szCs w:val="24"/>
        </w:rPr>
        <w:t xml:space="preserve">. But my argument does not rest on this </w:t>
      </w:r>
      <w:r w:rsidR="00D85863" w:rsidRPr="00351567">
        <w:rPr>
          <w:rFonts w:ascii="Century Schoolbook" w:hAnsi="Century Schoolbook"/>
          <w:szCs w:val="24"/>
        </w:rPr>
        <w:t>point</w:t>
      </w:r>
      <w:r w:rsidRPr="00351567">
        <w:rPr>
          <w:rFonts w:ascii="Century Schoolbook" w:hAnsi="Century Schoolbook"/>
          <w:szCs w:val="24"/>
        </w:rPr>
        <w:t>, so I</w:t>
      </w:r>
      <w:r w:rsidR="00FD0BE9" w:rsidRPr="00351567">
        <w:rPr>
          <w:rFonts w:ascii="Century Schoolbook" w:hAnsi="Century Schoolbook"/>
          <w:szCs w:val="24"/>
        </w:rPr>
        <w:t xml:space="preserve"> won’t</w:t>
      </w:r>
      <w:r w:rsidRPr="00351567">
        <w:rPr>
          <w:rFonts w:ascii="Century Schoolbook" w:hAnsi="Century Schoolbook"/>
          <w:szCs w:val="24"/>
        </w:rPr>
        <w:t xml:space="preserve"> argue for it. </w:t>
      </w:r>
      <w:r w:rsidR="00FD0BE9" w:rsidRPr="00351567">
        <w:rPr>
          <w:rFonts w:ascii="Century Schoolbook" w:hAnsi="Century Schoolbook"/>
          <w:szCs w:val="24"/>
        </w:rPr>
        <w:t>My focus is</w:t>
      </w:r>
      <w:r w:rsidRPr="00351567">
        <w:rPr>
          <w:rFonts w:ascii="Century Schoolbook" w:hAnsi="Century Schoolbook"/>
          <w:szCs w:val="24"/>
        </w:rPr>
        <w:t xml:space="preserve"> on the argument to the claim that Inga and Otto are functionally analogous in all relevant respects.</w:t>
      </w:r>
    </w:p>
    <w:p w14:paraId="3AC4F6B1" w14:textId="77777777"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lastRenderedPageBreak/>
        <w:t xml:space="preserve">The argument for this claim </w:t>
      </w:r>
      <w:r w:rsidR="00FD0BE9" w:rsidRPr="00351567">
        <w:rPr>
          <w:rFonts w:ascii="Century Schoolbook" w:hAnsi="Century Schoolbook"/>
          <w:szCs w:val="24"/>
        </w:rPr>
        <w:t>essentially relies on the thought</w:t>
      </w:r>
      <w:r w:rsidRPr="00351567">
        <w:rPr>
          <w:rFonts w:ascii="Century Schoolbook" w:hAnsi="Century Schoolbook"/>
          <w:szCs w:val="24"/>
        </w:rPr>
        <w:t xml:space="preserve"> that we can get from Inga’s case to Otto’s without subtraction of any functional role properties that are essential to the mental item in question (</w:t>
      </w:r>
      <w:r w:rsidR="00FD0BE9" w:rsidRPr="00351567">
        <w:rPr>
          <w:rFonts w:ascii="Century Schoolbook" w:hAnsi="Century Schoolbook"/>
          <w:szCs w:val="24"/>
        </w:rPr>
        <w:t>i.e. non-occurrent belief</w:t>
      </w:r>
      <w:r w:rsidRPr="00351567">
        <w:rPr>
          <w:rFonts w:ascii="Century Schoolbook" w:hAnsi="Century Schoolbook"/>
          <w:szCs w:val="24"/>
        </w:rPr>
        <w:t>). Clark claims that there are no relevant functional differences between Otto and Inga just in case the following conditions are satisfied by Otto’s notebook-involving procedure:</w:t>
      </w:r>
    </w:p>
    <w:p w14:paraId="3138B107" w14:textId="77777777" w:rsidR="00C13A7D" w:rsidRPr="00351567" w:rsidRDefault="00C13A7D" w:rsidP="004A11B2">
      <w:pPr>
        <w:spacing w:line="480" w:lineRule="auto"/>
        <w:ind w:left="720"/>
        <w:jc w:val="both"/>
        <w:rPr>
          <w:rFonts w:ascii="Century Schoolbook" w:hAnsi="Century Schoolbook"/>
          <w:szCs w:val="24"/>
        </w:rPr>
      </w:pPr>
      <w:r w:rsidRPr="00351567">
        <w:rPr>
          <w:rFonts w:ascii="Century Schoolbook" w:hAnsi="Century Schoolbook"/>
          <w:szCs w:val="24"/>
        </w:rPr>
        <w:t xml:space="preserve">1) That the resource </w:t>
      </w:r>
      <w:r w:rsidR="00243FA9" w:rsidRPr="00351567">
        <w:rPr>
          <w:rFonts w:ascii="Century Schoolbook" w:hAnsi="Century Schoolbook"/>
          <w:szCs w:val="24"/>
        </w:rPr>
        <w:t>be</w:t>
      </w:r>
      <w:r w:rsidRPr="00351567">
        <w:rPr>
          <w:rFonts w:ascii="Century Schoolbook" w:hAnsi="Century Schoolbook"/>
          <w:szCs w:val="24"/>
        </w:rPr>
        <w:t xml:space="preserve"> reliably available and typically invoked (Otto always carries the notebook and won’t answer that he “doesn’t know” until after he has consulted it). </w:t>
      </w:r>
    </w:p>
    <w:p w14:paraId="66EC3361" w14:textId="77777777" w:rsidR="00C13A7D" w:rsidRPr="00351567" w:rsidRDefault="00C13A7D" w:rsidP="004A11B2">
      <w:pPr>
        <w:spacing w:line="480" w:lineRule="auto"/>
        <w:ind w:left="720"/>
        <w:jc w:val="both"/>
        <w:rPr>
          <w:rFonts w:ascii="Century Schoolbook" w:hAnsi="Century Schoolbook"/>
          <w:szCs w:val="24"/>
        </w:rPr>
      </w:pPr>
      <w:r w:rsidRPr="00351567">
        <w:rPr>
          <w:rFonts w:ascii="Century Schoolbook" w:hAnsi="Century Schoolbook"/>
          <w:szCs w:val="24"/>
        </w:rPr>
        <w:t xml:space="preserve">2) That any information thus retrieved </w:t>
      </w:r>
      <w:r w:rsidR="00243FA9" w:rsidRPr="00351567">
        <w:rPr>
          <w:rFonts w:ascii="Century Schoolbook" w:hAnsi="Century Schoolbook"/>
          <w:szCs w:val="24"/>
        </w:rPr>
        <w:t>be</w:t>
      </w:r>
      <w:r w:rsidRPr="00351567">
        <w:rPr>
          <w:rFonts w:ascii="Century Schoolbook" w:hAnsi="Century Schoolbook"/>
          <w:szCs w:val="24"/>
        </w:rPr>
        <w:t xml:space="preserve"> more or less automatically endorsed. It should not usually be subject to critical scrutiny (unlike the opinions of other people, for example). It should be deemed about as trustworthy as something retrieved clearly from biological memory.</w:t>
      </w:r>
    </w:p>
    <w:p w14:paraId="47563ED2" w14:textId="2AABB9F6" w:rsidR="00A82573" w:rsidRPr="00351567" w:rsidRDefault="00C13A7D" w:rsidP="003F7508">
      <w:pPr>
        <w:spacing w:line="480" w:lineRule="auto"/>
        <w:ind w:left="720"/>
        <w:jc w:val="both"/>
        <w:rPr>
          <w:rFonts w:ascii="Century Schoolbook" w:hAnsi="Century Schoolbook"/>
          <w:szCs w:val="24"/>
        </w:rPr>
      </w:pPr>
      <w:r w:rsidRPr="00351567">
        <w:rPr>
          <w:rFonts w:ascii="Century Schoolbook" w:hAnsi="Century Schoolbook"/>
          <w:szCs w:val="24"/>
        </w:rPr>
        <w:t xml:space="preserve">3) That information contained in the resource should be easily accessible as and when required. </w:t>
      </w:r>
      <w:r w:rsidR="005B24D2" w:rsidRPr="00351567">
        <w:rPr>
          <w:rFonts w:ascii="Century Schoolbook" w:hAnsi="Century Schoolbook"/>
          <w:szCs w:val="24"/>
        </w:rPr>
        <w:t>(</w:t>
      </w:r>
      <w:r w:rsidR="00A82573" w:rsidRPr="00351567">
        <w:rPr>
          <w:rFonts w:ascii="Century Schoolbook" w:hAnsi="Century Schoolbook"/>
          <w:szCs w:val="24"/>
        </w:rPr>
        <w:t>Clark</w:t>
      </w:r>
      <w:r w:rsidRPr="00351567">
        <w:rPr>
          <w:rFonts w:ascii="Century Schoolbook" w:hAnsi="Century Schoolbook"/>
          <w:szCs w:val="24"/>
        </w:rPr>
        <w:t xml:space="preserve"> 2010b</w:t>
      </w:r>
      <w:r w:rsidR="00A82573" w:rsidRPr="00351567">
        <w:rPr>
          <w:rFonts w:ascii="Century Schoolbook" w:hAnsi="Century Schoolbook"/>
          <w:szCs w:val="24"/>
        </w:rPr>
        <w:t>: 46</w:t>
      </w:r>
      <w:r w:rsidR="00FB0212" w:rsidRPr="00351567">
        <w:rPr>
          <w:rFonts w:ascii="Century Schoolbook" w:hAnsi="Century Schoolbook"/>
          <w:szCs w:val="24"/>
        </w:rPr>
        <w:t>)</w:t>
      </w:r>
    </w:p>
    <w:p w14:paraId="52B4CC83" w14:textId="4B7DC71B"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 xml:space="preserve">Clark stipulates that Otto’s notebook-use satisfies these </w:t>
      </w:r>
      <w:r w:rsidR="00E973F4" w:rsidRPr="00351567">
        <w:rPr>
          <w:rFonts w:ascii="Century Schoolbook" w:hAnsi="Century Schoolbook"/>
          <w:szCs w:val="24"/>
        </w:rPr>
        <w:t>‘extension-</w:t>
      </w:r>
      <w:r w:rsidRPr="00351567">
        <w:rPr>
          <w:rFonts w:ascii="Century Schoolbook" w:hAnsi="Century Schoolbook"/>
          <w:szCs w:val="24"/>
        </w:rPr>
        <w:t>conditions</w:t>
      </w:r>
      <w:r w:rsidR="00E973F4" w:rsidRPr="00351567">
        <w:rPr>
          <w:rFonts w:ascii="Century Schoolbook" w:hAnsi="Century Schoolbook"/>
          <w:szCs w:val="24"/>
        </w:rPr>
        <w:t>’</w:t>
      </w:r>
      <w:r w:rsidRPr="00351567">
        <w:rPr>
          <w:rFonts w:ascii="Century Schoolbook" w:hAnsi="Century Schoolbook"/>
          <w:szCs w:val="24"/>
        </w:rPr>
        <w:t xml:space="preserve">. And, he argues, when these </w:t>
      </w:r>
      <w:r w:rsidR="00E973F4" w:rsidRPr="00351567">
        <w:rPr>
          <w:rFonts w:ascii="Century Schoolbook" w:hAnsi="Century Schoolbook"/>
          <w:szCs w:val="24"/>
        </w:rPr>
        <w:t>extension-c</w:t>
      </w:r>
      <w:r w:rsidRPr="00351567">
        <w:rPr>
          <w:rFonts w:ascii="Century Schoolbook" w:hAnsi="Century Schoolbook"/>
          <w:szCs w:val="24"/>
        </w:rPr>
        <w:t xml:space="preserve">onditions are satisfied, Otto’s procedure is sufficiently similar to Inga’s to justify the claim that Otto is, like Inga, capable of belief storage/retrieval. </w:t>
      </w:r>
    </w:p>
    <w:p w14:paraId="7D16AFB4" w14:textId="3433B99A"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ab/>
        <w:t xml:space="preserve">To </w:t>
      </w:r>
      <w:r w:rsidR="00524EA6" w:rsidRPr="00351567">
        <w:rPr>
          <w:rFonts w:ascii="Century Schoolbook" w:hAnsi="Century Schoolbook"/>
          <w:szCs w:val="24"/>
        </w:rPr>
        <w:t>establish this claim</w:t>
      </w:r>
      <w:r w:rsidRPr="00351567">
        <w:rPr>
          <w:rFonts w:ascii="Century Schoolbook" w:hAnsi="Century Schoolbook"/>
          <w:szCs w:val="24"/>
        </w:rPr>
        <w:t xml:space="preserve">, he essentially lays down a challenge to his opponents. The challenge is to find some intuitively significant difference between the functional roles instantiated by Inga and those instantiated by Otto. Let’s call </w:t>
      </w:r>
      <w:r w:rsidRPr="00351567">
        <w:rPr>
          <w:rFonts w:ascii="Century Schoolbook" w:hAnsi="Century Schoolbook"/>
          <w:szCs w:val="24"/>
        </w:rPr>
        <w:lastRenderedPageBreak/>
        <w:t xml:space="preserve">such a difference a </w:t>
      </w:r>
      <w:r w:rsidRPr="00351567">
        <w:rPr>
          <w:rFonts w:ascii="Century Schoolbook" w:hAnsi="Century Schoolbook"/>
          <w:i/>
          <w:szCs w:val="24"/>
        </w:rPr>
        <w:t>Deep Difference</w:t>
      </w:r>
      <w:r w:rsidRPr="00351567">
        <w:rPr>
          <w:rFonts w:ascii="Century Schoolbook" w:hAnsi="Century Schoolbook"/>
          <w:szCs w:val="24"/>
        </w:rPr>
        <w:t xml:space="preserve">. If, after a suitably long period of time and effort, nobody can point to a genuinely </w:t>
      </w:r>
      <w:r w:rsidRPr="00351567">
        <w:rPr>
          <w:rFonts w:ascii="Century Schoolbook" w:hAnsi="Century Schoolbook"/>
          <w:i/>
          <w:szCs w:val="24"/>
        </w:rPr>
        <w:t xml:space="preserve">Deep Difference </w:t>
      </w:r>
      <w:r w:rsidRPr="00351567">
        <w:rPr>
          <w:rFonts w:ascii="Century Schoolbook" w:hAnsi="Century Schoolbook"/>
          <w:szCs w:val="24"/>
        </w:rPr>
        <w:t xml:space="preserve">between Inga and Otto, we can (defeasibly) conclude that there are no such </w:t>
      </w:r>
      <w:r w:rsidRPr="00351567">
        <w:rPr>
          <w:rFonts w:ascii="Century Schoolbook" w:hAnsi="Century Schoolbook"/>
          <w:i/>
          <w:szCs w:val="24"/>
        </w:rPr>
        <w:t xml:space="preserve">Deep Differences </w:t>
      </w:r>
      <w:r w:rsidRPr="00351567">
        <w:rPr>
          <w:rFonts w:ascii="Century Schoolbook" w:hAnsi="Century Schoolbook"/>
          <w:szCs w:val="24"/>
        </w:rPr>
        <w:t>to point to. But how do we test such a difference in order to determine</w:t>
      </w:r>
      <w:r w:rsidR="00D85863" w:rsidRPr="00351567">
        <w:rPr>
          <w:rFonts w:ascii="Century Schoolbook" w:hAnsi="Century Schoolbook"/>
          <w:szCs w:val="24"/>
        </w:rPr>
        <w:t xml:space="preserve"> whether</w:t>
      </w:r>
      <w:r w:rsidRPr="00351567">
        <w:rPr>
          <w:rFonts w:ascii="Century Schoolbook" w:hAnsi="Century Schoolbook"/>
          <w:szCs w:val="24"/>
        </w:rPr>
        <w:t xml:space="preserve"> it is genuinely deep? Clark’s procedure for </w:t>
      </w:r>
      <w:r w:rsidR="00D85863" w:rsidRPr="00351567">
        <w:rPr>
          <w:rFonts w:ascii="Century Schoolbook" w:hAnsi="Century Schoolbook"/>
          <w:szCs w:val="24"/>
        </w:rPr>
        <w:t xml:space="preserve">deciding on this matter is to </w:t>
      </w:r>
      <w:r w:rsidRPr="00351567">
        <w:rPr>
          <w:rFonts w:ascii="Century Schoolbook" w:hAnsi="Century Schoolbook"/>
          <w:szCs w:val="24"/>
        </w:rPr>
        <w:t xml:space="preserve">create a thought experiment designed to test the putative </w:t>
      </w:r>
      <w:r w:rsidRPr="00351567">
        <w:rPr>
          <w:rFonts w:ascii="Century Schoolbook" w:hAnsi="Century Schoolbook"/>
          <w:i/>
          <w:szCs w:val="24"/>
        </w:rPr>
        <w:t xml:space="preserve">Deep Difference </w:t>
      </w:r>
      <w:r w:rsidRPr="00351567">
        <w:rPr>
          <w:rFonts w:ascii="Century Schoolbook" w:hAnsi="Century Schoolbook"/>
          <w:szCs w:val="24"/>
        </w:rPr>
        <w:t xml:space="preserve">against our folk intuitions. Clark justifies such appeal to folk intuitions by invoking Jackson and Braddon-Mitchell’s common-sense functionalist claim that ‘normal agents command a rich (albeit largely implicit) theory of the coarse functional roles distinctive of various familiar mental states’ </w:t>
      </w:r>
      <w:r w:rsidR="005B24D2" w:rsidRPr="00351567">
        <w:rPr>
          <w:rFonts w:ascii="Century Schoolbook" w:hAnsi="Century Schoolbook"/>
          <w:szCs w:val="24"/>
        </w:rPr>
        <w:t>(</w:t>
      </w:r>
      <w:r w:rsidRPr="00351567">
        <w:rPr>
          <w:rFonts w:ascii="Century Schoolbook" w:hAnsi="Century Schoolbook"/>
          <w:szCs w:val="24"/>
        </w:rPr>
        <w:t>Clark 2008a</w:t>
      </w:r>
      <w:r w:rsidR="00A82573" w:rsidRPr="00351567">
        <w:rPr>
          <w:rFonts w:ascii="Century Schoolbook" w:hAnsi="Century Schoolbook"/>
          <w:szCs w:val="24"/>
        </w:rPr>
        <w:t>:</w:t>
      </w:r>
      <w:r w:rsidRPr="00351567">
        <w:rPr>
          <w:rFonts w:ascii="Century Schoolbook" w:hAnsi="Century Schoolbook"/>
          <w:szCs w:val="24"/>
        </w:rPr>
        <w:t xml:space="preserve"> </w:t>
      </w:r>
      <w:r w:rsidR="00A82573" w:rsidRPr="00351567">
        <w:rPr>
          <w:rFonts w:ascii="Century Schoolbook" w:hAnsi="Century Schoolbook"/>
          <w:szCs w:val="24"/>
        </w:rPr>
        <w:t>88</w:t>
      </w:r>
      <w:r w:rsidR="00FB0212" w:rsidRPr="00351567">
        <w:rPr>
          <w:rFonts w:ascii="Century Schoolbook" w:hAnsi="Century Schoolbook"/>
          <w:szCs w:val="24"/>
        </w:rPr>
        <w:t>)</w:t>
      </w:r>
      <w:r w:rsidRPr="00351567">
        <w:rPr>
          <w:rFonts w:ascii="Century Schoolbook" w:hAnsi="Century Schoolbook"/>
          <w:szCs w:val="24"/>
        </w:rPr>
        <w:t xml:space="preserve">. He writes that it is this ‘coarse or common-sense functional role that </w:t>
      </w:r>
      <w:r w:rsidR="005B24D2" w:rsidRPr="00351567">
        <w:rPr>
          <w:rFonts w:ascii="Century Schoolbook" w:hAnsi="Century Schoolbook"/>
          <w:szCs w:val="24"/>
        </w:rPr>
        <w:t>(</w:t>
      </w:r>
      <w:r w:rsidRPr="00351567">
        <w:rPr>
          <w:rFonts w:ascii="Century Schoolbook" w:hAnsi="Century Schoolbook"/>
          <w:szCs w:val="24"/>
        </w:rPr>
        <w:t>…</w:t>
      </w:r>
      <w:r w:rsidR="00FB0212" w:rsidRPr="00351567">
        <w:rPr>
          <w:rFonts w:ascii="Century Schoolbook" w:hAnsi="Century Schoolbook"/>
          <w:szCs w:val="24"/>
        </w:rPr>
        <w:t>)</w:t>
      </w:r>
      <w:r w:rsidRPr="00351567">
        <w:rPr>
          <w:rFonts w:ascii="Century Schoolbook" w:hAnsi="Century Schoolbook"/>
          <w:szCs w:val="24"/>
        </w:rPr>
        <w:t xml:space="preserve"> displays what is essential to a given mental state’ </w:t>
      </w:r>
      <w:r w:rsidR="005B24D2" w:rsidRPr="00351567">
        <w:rPr>
          <w:rFonts w:ascii="Century Schoolbook" w:hAnsi="Century Schoolbook"/>
          <w:szCs w:val="24"/>
        </w:rPr>
        <w:t>(</w:t>
      </w:r>
      <w:r w:rsidR="00A82573" w:rsidRPr="00351567">
        <w:rPr>
          <w:rFonts w:ascii="Century Schoolbook" w:hAnsi="Century Schoolbook"/>
          <w:szCs w:val="24"/>
        </w:rPr>
        <w:t>2008a: 89</w:t>
      </w:r>
      <w:r w:rsidR="00FB0212" w:rsidRPr="00351567">
        <w:rPr>
          <w:rFonts w:ascii="Century Schoolbook" w:hAnsi="Century Schoolbook"/>
          <w:szCs w:val="24"/>
        </w:rPr>
        <w:t>)</w:t>
      </w:r>
      <w:r w:rsidRPr="00351567">
        <w:rPr>
          <w:rFonts w:ascii="Century Schoolbook" w:hAnsi="Century Schoolbook"/>
          <w:szCs w:val="24"/>
        </w:rPr>
        <w:t xml:space="preserve">. </w:t>
      </w:r>
    </w:p>
    <w:p w14:paraId="6A5F7EBB" w14:textId="7DF95D50"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Let’s look at an example of this procedure in action, putting to the test the recency/priming/generation difference</w:t>
      </w:r>
      <w:r w:rsidR="00524EA6" w:rsidRPr="00351567">
        <w:rPr>
          <w:rFonts w:ascii="Century Schoolbook" w:hAnsi="Century Schoolbook"/>
          <w:szCs w:val="24"/>
        </w:rPr>
        <w:t>,</w:t>
      </w:r>
      <w:r w:rsidRPr="00351567">
        <w:rPr>
          <w:rFonts w:ascii="Century Schoolbook" w:hAnsi="Century Schoolbook"/>
          <w:szCs w:val="24"/>
        </w:rPr>
        <w:t xml:space="preserve"> raised by Adams and Aizawa </w:t>
      </w:r>
      <w:r w:rsidR="005B24D2" w:rsidRPr="00351567">
        <w:rPr>
          <w:rFonts w:ascii="Century Schoolbook" w:hAnsi="Century Schoolbook"/>
          <w:szCs w:val="24"/>
        </w:rPr>
        <w:t>(</w:t>
      </w:r>
      <w:r w:rsidR="00A82573" w:rsidRPr="00351567">
        <w:rPr>
          <w:rFonts w:ascii="Century Schoolbook" w:hAnsi="Century Schoolbook"/>
          <w:szCs w:val="24"/>
        </w:rPr>
        <w:t>2001</w:t>
      </w:r>
      <w:r w:rsidR="00FB0212" w:rsidRPr="00351567">
        <w:rPr>
          <w:rFonts w:ascii="Century Schoolbook" w:hAnsi="Century Schoolbook"/>
          <w:szCs w:val="24"/>
        </w:rPr>
        <w:t>)</w:t>
      </w:r>
      <w:r w:rsidR="00524EA6" w:rsidRPr="00351567">
        <w:rPr>
          <w:rFonts w:ascii="Century Schoolbook" w:hAnsi="Century Schoolbook"/>
          <w:szCs w:val="24"/>
        </w:rPr>
        <w:t xml:space="preserve"> in their attempt to establish the falsity of EM</w:t>
      </w:r>
      <w:r w:rsidRPr="00351567">
        <w:rPr>
          <w:rFonts w:ascii="Century Schoolbook" w:hAnsi="Century Schoolbook"/>
          <w:szCs w:val="24"/>
        </w:rPr>
        <w:t>.</w:t>
      </w:r>
      <w:r w:rsidRPr="00351567">
        <w:rPr>
          <w:rStyle w:val="FootnoteReference"/>
          <w:rFonts w:ascii="Century Schoolbook" w:hAnsi="Century Schoolbook"/>
          <w:szCs w:val="24"/>
        </w:rPr>
        <w:footnoteReference w:id="14"/>
      </w:r>
      <w:r w:rsidRPr="00351567">
        <w:rPr>
          <w:rFonts w:ascii="Century Schoolbook" w:hAnsi="Century Schoolbook"/>
          <w:szCs w:val="24"/>
        </w:rPr>
        <w:t xml:space="preserve"> Let’s focus on recency: if I am asked to remember items on a list read out to me by someone, I am more likely to remember those </w:t>
      </w:r>
      <w:r w:rsidR="00524EA6" w:rsidRPr="00351567">
        <w:rPr>
          <w:rFonts w:ascii="Century Schoolbook" w:hAnsi="Century Schoolbook"/>
          <w:szCs w:val="24"/>
        </w:rPr>
        <w:t>listed items</w:t>
      </w:r>
      <w:r w:rsidRPr="00351567">
        <w:rPr>
          <w:rFonts w:ascii="Century Schoolbook" w:hAnsi="Century Schoolbook"/>
          <w:szCs w:val="24"/>
        </w:rPr>
        <w:t xml:space="preserve"> that were read out last (</w:t>
      </w:r>
      <w:r w:rsidRPr="00351567">
        <w:rPr>
          <w:rFonts w:ascii="Century Schoolbook" w:hAnsi="Century Schoolbook"/>
          <w:i/>
          <w:szCs w:val="24"/>
        </w:rPr>
        <w:t>ceteris paribus</w:t>
      </w:r>
      <w:r w:rsidRPr="00351567">
        <w:rPr>
          <w:rFonts w:ascii="Century Schoolbook" w:hAnsi="Century Schoolbook"/>
          <w:szCs w:val="24"/>
        </w:rPr>
        <w:t>). Not so with Otto</w:t>
      </w:r>
      <w:r w:rsidR="00D85863" w:rsidRPr="00351567">
        <w:rPr>
          <w:rFonts w:ascii="Century Schoolbook" w:hAnsi="Century Schoolbook"/>
          <w:szCs w:val="24"/>
        </w:rPr>
        <w:t>.</w:t>
      </w:r>
      <w:r w:rsidR="00D85863" w:rsidRPr="00351567">
        <w:rPr>
          <w:rStyle w:val="FootnoteReference"/>
          <w:rFonts w:ascii="Century Schoolbook" w:hAnsi="Century Schoolbook"/>
          <w:szCs w:val="24"/>
        </w:rPr>
        <w:footnoteReference w:id="15"/>
      </w:r>
      <w:r w:rsidRPr="00351567">
        <w:rPr>
          <w:rFonts w:ascii="Century Schoolbook" w:hAnsi="Century Schoolbook"/>
          <w:szCs w:val="24"/>
        </w:rPr>
        <w:t xml:space="preserve"> This is a difference between the functional profile of Otto’s putative memory system and what we take to be paradigm cases of memory systems. Otto’s notebook system also fails to exhibit other quirky features characteristic of human </w:t>
      </w:r>
      <w:r w:rsidRPr="00351567">
        <w:rPr>
          <w:rFonts w:ascii="Century Schoolbook" w:hAnsi="Century Schoolbook"/>
          <w:szCs w:val="24"/>
        </w:rPr>
        <w:lastRenderedPageBreak/>
        <w:t xml:space="preserve">memory (priming and generation, for example). Assuming that Inga exhibits these quirks of memory, we have here a functional difference between Otto and Inga. </w:t>
      </w:r>
    </w:p>
    <w:p w14:paraId="6C8DACF7" w14:textId="78FA8C72"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 xml:space="preserve">To show that this difference is shallow, Clark imagines a Martian, or just an unusual human, who doesn’t exhibit the recency effect, or memory effects of this type, but who is just like normal humans in all other psychological respects </w:t>
      </w:r>
      <w:r w:rsidR="005B24D2" w:rsidRPr="00351567">
        <w:rPr>
          <w:rFonts w:ascii="Century Schoolbook" w:hAnsi="Century Schoolbook"/>
          <w:szCs w:val="24"/>
        </w:rPr>
        <w:t>(</w:t>
      </w:r>
      <w:r w:rsidRPr="00351567">
        <w:rPr>
          <w:rFonts w:ascii="Century Schoolbook" w:hAnsi="Century Schoolbook"/>
          <w:szCs w:val="24"/>
        </w:rPr>
        <w:t>2008a</w:t>
      </w:r>
      <w:r w:rsidR="00A82573" w:rsidRPr="00351567">
        <w:rPr>
          <w:rFonts w:ascii="Century Schoolbook" w:hAnsi="Century Schoolbook"/>
          <w:szCs w:val="24"/>
        </w:rPr>
        <w:t>: 93</w:t>
      </w:r>
      <w:r w:rsidR="00FB0212" w:rsidRPr="00351567">
        <w:rPr>
          <w:rFonts w:ascii="Century Schoolbook" w:hAnsi="Century Schoolbook"/>
          <w:szCs w:val="24"/>
        </w:rPr>
        <w:t>)</w:t>
      </w:r>
      <w:r w:rsidRPr="00351567">
        <w:rPr>
          <w:rFonts w:ascii="Century Schoolbook" w:hAnsi="Century Schoolbook"/>
          <w:szCs w:val="24"/>
        </w:rPr>
        <w:t xml:space="preserve">. Would we claim that such people/aliens don’t remember? Plausibly not. As Clark puts it ‘to insist that some alien mode of storage and retrieval was not cognitive </w:t>
      </w:r>
      <w:r w:rsidRPr="00351567">
        <w:rPr>
          <w:rFonts w:ascii="Century Schoolbook" w:hAnsi="Century Schoolbook"/>
          <w:i/>
          <w:szCs w:val="24"/>
        </w:rPr>
        <w:t>just because</w:t>
      </w:r>
      <w:r w:rsidRPr="00351567">
        <w:rPr>
          <w:rFonts w:ascii="Century Schoolbook" w:hAnsi="Century Schoolbook"/>
          <w:szCs w:val="24"/>
        </w:rPr>
        <w:t xml:space="preserve"> it failed to exhibit features such as recency, priming and crosstalk would be simultaneously to scale new heights of anthr</w:t>
      </w:r>
      <w:r w:rsidR="00A82573" w:rsidRPr="00351567">
        <w:rPr>
          <w:rFonts w:ascii="Century Schoolbook" w:hAnsi="Century Schoolbook"/>
          <w:szCs w:val="24"/>
        </w:rPr>
        <w:t xml:space="preserve">opocentrism and neurocentrism’ </w:t>
      </w:r>
      <w:r w:rsidR="005B24D2" w:rsidRPr="00351567">
        <w:rPr>
          <w:rFonts w:ascii="Century Schoolbook" w:hAnsi="Century Schoolbook"/>
          <w:szCs w:val="24"/>
        </w:rPr>
        <w:t>(</w:t>
      </w:r>
      <w:r w:rsidRPr="00351567">
        <w:rPr>
          <w:rFonts w:ascii="Century Schoolbook" w:hAnsi="Century Schoolbook"/>
          <w:szCs w:val="24"/>
        </w:rPr>
        <w:t>2008a</w:t>
      </w:r>
      <w:r w:rsidR="00020C2F" w:rsidRPr="00351567">
        <w:rPr>
          <w:rFonts w:ascii="Century Schoolbook" w:hAnsi="Century Schoolbook"/>
          <w:szCs w:val="24"/>
        </w:rPr>
        <w:t>: 93 emphasis added</w:t>
      </w:r>
      <w:r w:rsidR="00FB0212" w:rsidRPr="00351567">
        <w:rPr>
          <w:rFonts w:ascii="Century Schoolbook" w:hAnsi="Century Schoolbook"/>
          <w:szCs w:val="24"/>
        </w:rPr>
        <w:t>)</w:t>
      </w:r>
      <w:r w:rsidRPr="00351567">
        <w:rPr>
          <w:rFonts w:ascii="Century Schoolbook" w:hAnsi="Century Schoolbook"/>
          <w:szCs w:val="24"/>
        </w:rPr>
        <w:t xml:space="preserve">. According to Clark, if we met such a creature, the appropriate thing to think would be that </w:t>
      </w:r>
      <w:r w:rsidR="00553602" w:rsidRPr="00351567">
        <w:rPr>
          <w:rFonts w:ascii="Century Schoolbook" w:hAnsi="Century Schoolbook"/>
          <w:szCs w:val="24"/>
        </w:rPr>
        <w:t>its memory system</w:t>
      </w:r>
      <w:r w:rsidRPr="00351567">
        <w:rPr>
          <w:rFonts w:ascii="Century Schoolbook" w:hAnsi="Century Schoolbook"/>
          <w:szCs w:val="24"/>
        </w:rPr>
        <w:t xml:space="preserve"> </w:t>
      </w:r>
      <w:r w:rsidR="00553602" w:rsidRPr="00351567">
        <w:rPr>
          <w:rFonts w:ascii="Century Schoolbook" w:hAnsi="Century Schoolbook"/>
          <w:szCs w:val="24"/>
        </w:rPr>
        <w:t>is</w:t>
      </w:r>
      <w:r w:rsidRPr="00351567">
        <w:rPr>
          <w:rFonts w:ascii="Century Schoolbook" w:hAnsi="Century Schoolbook"/>
          <w:szCs w:val="24"/>
        </w:rPr>
        <w:t xml:space="preserve"> slightly </w:t>
      </w:r>
      <w:r w:rsidR="00553602" w:rsidRPr="00351567">
        <w:rPr>
          <w:rFonts w:ascii="Century Schoolbook" w:hAnsi="Century Schoolbook"/>
          <w:szCs w:val="24"/>
        </w:rPr>
        <w:t>different from our own, but is a memory system nonetheless.</w:t>
      </w:r>
      <w:r w:rsidRPr="00351567">
        <w:rPr>
          <w:rFonts w:ascii="Century Schoolbook" w:hAnsi="Century Schoolbook"/>
          <w:szCs w:val="24"/>
        </w:rPr>
        <w:t xml:space="preserve"> And if this is the right thing to say about the alien case, what motivation, other than neural chauvinism, do we have for applying a different standard to Otto? </w:t>
      </w:r>
    </w:p>
    <w:p w14:paraId="12316230" w14:textId="77777777"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Notice how this thought experiment works</w:t>
      </w:r>
      <w:r w:rsidR="00553602" w:rsidRPr="00351567">
        <w:rPr>
          <w:rFonts w:ascii="Century Schoolbook" w:hAnsi="Century Schoolbook"/>
          <w:szCs w:val="24"/>
        </w:rPr>
        <w:t>. Clark claims that</w:t>
      </w:r>
      <w:r w:rsidRPr="00351567">
        <w:rPr>
          <w:rFonts w:ascii="Century Schoolbook" w:hAnsi="Century Schoolbook"/>
          <w:szCs w:val="24"/>
        </w:rPr>
        <w:t xml:space="preserve"> we would not deny that </w:t>
      </w:r>
      <w:r w:rsidR="00553602" w:rsidRPr="00351567">
        <w:rPr>
          <w:rFonts w:ascii="Century Schoolbook" w:hAnsi="Century Schoolbook"/>
          <w:szCs w:val="24"/>
        </w:rPr>
        <w:t xml:space="preserve">his imagined creature </w:t>
      </w:r>
      <w:r w:rsidRPr="00351567">
        <w:rPr>
          <w:rFonts w:ascii="Century Schoolbook" w:hAnsi="Century Schoolbook"/>
          <w:szCs w:val="24"/>
        </w:rPr>
        <w:t xml:space="preserve">is capable of belief storage/retrieval </w:t>
      </w:r>
      <w:r w:rsidRPr="00351567">
        <w:rPr>
          <w:rFonts w:ascii="Century Schoolbook" w:hAnsi="Century Schoolbook"/>
          <w:i/>
          <w:szCs w:val="24"/>
        </w:rPr>
        <w:t>just because</w:t>
      </w:r>
      <w:r w:rsidRPr="00351567">
        <w:rPr>
          <w:rFonts w:ascii="Century Schoolbook" w:hAnsi="Century Schoolbook"/>
          <w:szCs w:val="24"/>
        </w:rPr>
        <w:t xml:space="preserve"> it lacks the functional features in question. This is just to say that </w:t>
      </w:r>
      <w:r w:rsidR="00524EA6" w:rsidRPr="00351567">
        <w:rPr>
          <w:rFonts w:ascii="Century Schoolbook" w:hAnsi="Century Schoolbook"/>
          <w:szCs w:val="24"/>
        </w:rPr>
        <w:t>exhibiting this collection of features is not</w:t>
      </w:r>
      <w:r w:rsidRPr="00351567">
        <w:rPr>
          <w:rFonts w:ascii="Century Schoolbook" w:hAnsi="Century Schoolbook"/>
          <w:szCs w:val="24"/>
        </w:rPr>
        <w:t xml:space="preserve"> individually necessary for belief storage/retrieval.</w:t>
      </w:r>
      <w:r w:rsidR="00553602" w:rsidRPr="00351567">
        <w:rPr>
          <w:rFonts w:ascii="Century Schoolbook" w:hAnsi="Century Schoolbook"/>
          <w:szCs w:val="24"/>
        </w:rPr>
        <w:t xml:space="preserve">  The idea then seems to be that</w:t>
      </w:r>
      <w:r w:rsidRPr="00351567">
        <w:rPr>
          <w:rFonts w:ascii="Century Schoolbook" w:hAnsi="Century Schoolbook"/>
          <w:szCs w:val="24"/>
        </w:rPr>
        <w:t xml:space="preserve"> if we can get from Inga to Otto</w:t>
      </w:r>
      <w:r w:rsidR="00553602" w:rsidRPr="00351567">
        <w:rPr>
          <w:rFonts w:ascii="Century Schoolbook" w:hAnsi="Century Schoolbook"/>
          <w:szCs w:val="24"/>
        </w:rPr>
        <w:t>,</w:t>
      </w:r>
      <w:r w:rsidRPr="00351567">
        <w:rPr>
          <w:rFonts w:ascii="Century Schoolbook" w:hAnsi="Century Schoolbook"/>
          <w:szCs w:val="24"/>
        </w:rPr>
        <w:t xml:space="preserve"> without the subtraction of any functional feature</w:t>
      </w:r>
      <w:r w:rsidR="00452122" w:rsidRPr="00351567">
        <w:rPr>
          <w:rFonts w:ascii="Century Schoolbook" w:hAnsi="Century Schoolbook"/>
          <w:szCs w:val="24"/>
        </w:rPr>
        <w:t xml:space="preserve"> (or collection of features)</w:t>
      </w:r>
      <w:r w:rsidRPr="00351567">
        <w:rPr>
          <w:rFonts w:ascii="Century Schoolbook" w:hAnsi="Century Schoolbook"/>
          <w:szCs w:val="24"/>
        </w:rPr>
        <w:t xml:space="preserve"> that is individually necessary for realising belief storage/retrieval, then we are justified in claiming that Otto</w:t>
      </w:r>
      <w:r w:rsidR="00553602" w:rsidRPr="00351567">
        <w:rPr>
          <w:rFonts w:ascii="Century Schoolbook" w:hAnsi="Century Schoolbook"/>
          <w:szCs w:val="24"/>
        </w:rPr>
        <w:t>, like Inga,</w:t>
      </w:r>
      <w:r w:rsidRPr="00351567">
        <w:rPr>
          <w:rFonts w:ascii="Century Schoolbook" w:hAnsi="Century Schoolbook"/>
          <w:szCs w:val="24"/>
        </w:rPr>
        <w:t xml:space="preserve"> </w:t>
      </w:r>
      <w:r w:rsidR="00553602" w:rsidRPr="00351567">
        <w:rPr>
          <w:rFonts w:ascii="Century Schoolbook" w:hAnsi="Century Schoolbook"/>
          <w:szCs w:val="24"/>
        </w:rPr>
        <w:t>is capable of belief</w:t>
      </w:r>
      <w:r w:rsidRPr="00351567">
        <w:rPr>
          <w:rFonts w:ascii="Century Schoolbook" w:hAnsi="Century Schoolbook"/>
          <w:szCs w:val="24"/>
        </w:rPr>
        <w:t xml:space="preserve"> storage/retrieval</w:t>
      </w:r>
      <w:r w:rsidR="00553602" w:rsidRPr="00351567">
        <w:rPr>
          <w:rFonts w:ascii="Century Schoolbook" w:hAnsi="Century Schoolbook"/>
          <w:szCs w:val="24"/>
        </w:rPr>
        <w:t>.</w:t>
      </w:r>
      <w:r w:rsidRPr="00351567">
        <w:rPr>
          <w:rFonts w:ascii="Century Schoolbook" w:hAnsi="Century Schoolbook"/>
          <w:szCs w:val="24"/>
        </w:rPr>
        <w:t xml:space="preserve"> So Clark’s challenge to his </w:t>
      </w:r>
      <w:r w:rsidRPr="00351567">
        <w:rPr>
          <w:rFonts w:ascii="Century Schoolbook" w:hAnsi="Century Schoolbook"/>
          <w:szCs w:val="24"/>
        </w:rPr>
        <w:lastRenderedPageBreak/>
        <w:t xml:space="preserve">opponents can be put as follows: show me some </w:t>
      </w:r>
      <w:r w:rsidRPr="00351567">
        <w:rPr>
          <w:rFonts w:ascii="Century Schoolbook" w:hAnsi="Century Schoolbook"/>
          <w:i/>
          <w:szCs w:val="24"/>
        </w:rPr>
        <w:t xml:space="preserve">Deep Difference </w:t>
      </w:r>
      <w:r w:rsidRPr="00351567">
        <w:rPr>
          <w:rFonts w:ascii="Century Schoolbook" w:hAnsi="Century Schoolbook"/>
          <w:szCs w:val="24"/>
        </w:rPr>
        <w:t xml:space="preserve">between Otto and Inga, where a </w:t>
      </w:r>
      <w:r w:rsidRPr="00351567">
        <w:rPr>
          <w:rFonts w:ascii="Century Schoolbook" w:hAnsi="Century Schoolbook"/>
          <w:i/>
          <w:szCs w:val="24"/>
        </w:rPr>
        <w:t>Deep Difference</w:t>
      </w:r>
      <w:r w:rsidRPr="00351567">
        <w:rPr>
          <w:rFonts w:ascii="Century Schoolbook" w:hAnsi="Century Schoolbook"/>
          <w:szCs w:val="24"/>
        </w:rPr>
        <w:t xml:space="preserve"> is defined as follows:</w:t>
      </w:r>
    </w:p>
    <w:p w14:paraId="0B9098FE" w14:textId="77777777" w:rsidR="00C13A7D" w:rsidRPr="00351567" w:rsidRDefault="00C13A7D" w:rsidP="004A11B2">
      <w:pPr>
        <w:pStyle w:val="ListParagraph"/>
        <w:numPr>
          <w:ilvl w:val="0"/>
          <w:numId w:val="1"/>
        </w:numPr>
        <w:spacing w:line="480" w:lineRule="auto"/>
        <w:jc w:val="both"/>
        <w:rPr>
          <w:rFonts w:ascii="Century Schoolbook" w:hAnsi="Century Schoolbook"/>
          <w:szCs w:val="24"/>
        </w:rPr>
      </w:pPr>
      <w:r w:rsidRPr="00351567">
        <w:rPr>
          <w:rFonts w:ascii="Century Schoolbook" w:hAnsi="Century Schoolbook"/>
          <w:szCs w:val="24"/>
        </w:rPr>
        <w:t xml:space="preserve">Inga exhibits functional feature </w:t>
      </w:r>
      <w:r w:rsidRPr="00351567">
        <w:rPr>
          <w:rFonts w:ascii="Century Schoolbook" w:hAnsi="Century Schoolbook"/>
          <w:i/>
          <w:szCs w:val="24"/>
        </w:rPr>
        <w:t>F</w:t>
      </w:r>
      <w:r w:rsidRPr="00351567">
        <w:rPr>
          <w:rFonts w:ascii="Century Schoolbook" w:hAnsi="Century Schoolbook"/>
          <w:i/>
          <w:szCs w:val="24"/>
          <w:vertAlign w:val="subscript"/>
        </w:rPr>
        <w:t>i</w:t>
      </w:r>
      <w:r w:rsidRPr="00351567">
        <w:rPr>
          <w:rFonts w:ascii="Century Schoolbook" w:hAnsi="Century Schoolbook"/>
          <w:i/>
          <w:szCs w:val="24"/>
        </w:rPr>
        <w:t xml:space="preserve"> </w:t>
      </w:r>
      <w:r w:rsidRPr="00351567">
        <w:rPr>
          <w:rFonts w:ascii="Century Schoolbook" w:hAnsi="Century Schoolbook"/>
          <w:szCs w:val="24"/>
        </w:rPr>
        <w:t>but Otto doesn’t.</w:t>
      </w:r>
    </w:p>
    <w:p w14:paraId="4549FBAD" w14:textId="77777777" w:rsidR="00C13A7D" w:rsidRPr="00351567" w:rsidRDefault="00C13A7D" w:rsidP="004A11B2">
      <w:pPr>
        <w:pStyle w:val="ListParagraph"/>
        <w:numPr>
          <w:ilvl w:val="0"/>
          <w:numId w:val="1"/>
        </w:numPr>
        <w:spacing w:line="480" w:lineRule="auto"/>
        <w:jc w:val="both"/>
        <w:rPr>
          <w:rFonts w:ascii="Century Schoolbook" w:hAnsi="Century Schoolbook"/>
          <w:szCs w:val="24"/>
        </w:rPr>
      </w:pPr>
      <w:r w:rsidRPr="00351567">
        <w:rPr>
          <w:rFonts w:ascii="Century Schoolbook" w:hAnsi="Century Schoolbook"/>
          <w:szCs w:val="24"/>
        </w:rPr>
        <w:t>Exhibiting</w:t>
      </w:r>
      <w:r w:rsidRPr="00351567">
        <w:rPr>
          <w:rFonts w:ascii="Century Schoolbook" w:hAnsi="Century Schoolbook"/>
          <w:i/>
          <w:szCs w:val="24"/>
        </w:rPr>
        <w:t xml:space="preserve"> F</w:t>
      </w:r>
      <w:r w:rsidRPr="00351567">
        <w:rPr>
          <w:rFonts w:ascii="Century Schoolbook" w:hAnsi="Century Schoolbook"/>
          <w:i/>
          <w:szCs w:val="24"/>
          <w:vertAlign w:val="subscript"/>
        </w:rPr>
        <w:t>i</w:t>
      </w:r>
      <w:r w:rsidRPr="00351567">
        <w:rPr>
          <w:rFonts w:ascii="Century Schoolbook" w:hAnsi="Century Schoolbook"/>
          <w:i/>
          <w:szCs w:val="24"/>
        </w:rPr>
        <w:t xml:space="preserve"> </w:t>
      </w:r>
      <w:r w:rsidRPr="00351567">
        <w:rPr>
          <w:rFonts w:ascii="Century Schoolbook" w:hAnsi="Century Schoolbook"/>
          <w:szCs w:val="24"/>
        </w:rPr>
        <w:t xml:space="preserve">is individually necessary for realising </w:t>
      </w:r>
      <w:r w:rsidR="001E32F7" w:rsidRPr="00351567">
        <w:rPr>
          <w:rFonts w:ascii="Century Schoolbook" w:hAnsi="Century Schoolbook"/>
          <w:szCs w:val="24"/>
        </w:rPr>
        <w:t xml:space="preserve">some </w:t>
      </w:r>
      <w:r w:rsidRPr="00351567">
        <w:rPr>
          <w:rFonts w:ascii="Century Schoolbook" w:hAnsi="Century Schoolbook"/>
          <w:szCs w:val="24"/>
        </w:rPr>
        <w:t xml:space="preserve">mental item </w:t>
      </w:r>
      <w:r w:rsidRPr="00351567">
        <w:rPr>
          <w:rFonts w:ascii="Century Schoolbook" w:hAnsi="Century Schoolbook"/>
          <w:i/>
          <w:szCs w:val="24"/>
        </w:rPr>
        <w:t>M</w:t>
      </w:r>
      <w:r w:rsidRPr="00351567">
        <w:rPr>
          <w:rFonts w:ascii="Century Schoolbook" w:hAnsi="Century Schoolbook"/>
          <w:szCs w:val="24"/>
        </w:rPr>
        <w:t>.</w:t>
      </w:r>
    </w:p>
    <w:p w14:paraId="4248E68D" w14:textId="77777777" w:rsidR="00C13A7D" w:rsidRPr="00351567" w:rsidRDefault="001E32F7" w:rsidP="004A11B2">
      <w:pPr>
        <w:spacing w:line="480" w:lineRule="auto"/>
        <w:jc w:val="both"/>
        <w:rPr>
          <w:rFonts w:ascii="Century Schoolbook" w:hAnsi="Century Schoolbook"/>
          <w:szCs w:val="24"/>
        </w:rPr>
      </w:pPr>
      <w:r w:rsidRPr="00351567">
        <w:rPr>
          <w:rFonts w:ascii="Century Schoolbook" w:hAnsi="Century Schoolbook"/>
          <w:szCs w:val="24"/>
        </w:rPr>
        <w:t xml:space="preserve">In our case, </w:t>
      </w:r>
      <w:r w:rsidRPr="00351567">
        <w:rPr>
          <w:rFonts w:ascii="Century Schoolbook" w:hAnsi="Century Schoolbook"/>
          <w:i/>
          <w:szCs w:val="24"/>
        </w:rPr>
        <w:t>M</w:t>
      </w:r>
      <w:r w:rsidRPr="00351567">
        <w:rPr>
          <w:rFonts w:ascii="Century Schoolbook" w:hAnsi="Century Schoolbook"/>
          <w:szCs w:val="24"/>
        </w:rPr>
        <w:t xml:space="preserve"> is the belief that MoMA is on 53</w:t>
      </w:r>
      <w:r w:rsidRPr="00351567">
        <w:rPr>
          <w:rFonts w:ascii="Century Schoolbook" w:hAnsi="Century Schoolbook"/>
          <w:szCs w:val="24"/>
          <w:vertAlign w:val="superscript"/>
        </w:rPr>
        <w:t>rd</w:t>
      </w:r>
      <w:r w:rsidRPr="00351567">
        <w:rPr>
          <w:rFonts w:ascii="Century Schoolbook" w:hAnsi="Century Schoolbook"/>
          <w:szCs w:val="24"/>
        </w:rPr>
        <w:t xml:space="preserve"> street. </w:t>
      </w:r>
      <w:r w:rsidR="00C13A7D" w:rsidRPr="00351567">
        <w:rPr>
          <w:rFonts w:ascii="Century Schoolbook" w:hAnsi="Century Schoolbook"/>
          <w:szCs w:val="24"/>
        </w:rPr>
        <w:t>Each time an opponent raises a putatively significant functional difference between Otto and Inga, Clark constructs a bespoke Martian thought experiment to show that this difference is merely shallow. Some illustrative examples are as follows:</w:t>
      </w:r>
    </w:p>
    <w:p w14:paraId="01C18CBD" w14:textId="5732A17C"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i/>
          <w:szCs w:val="24"/>
        </w:rPr>
        <w:t>F</w:t>
      </w:r>
      <w:r w:rsidRPr="00351567">
        <w:rPr>
          <w:rFonts w:ascii="Century Schoolbook" w:hAnsi="Century Schoolbook"/>
          <w:i/>
          <w:szCs w:val="24"/>
          <w:vertAlign w:val="subscript"/>
        </w:rPr>
        <w:t xml:space="preserve">i </w:t>
      </w:r>
      <w:r w:rsidRPr="00351567">
        <w:rPr>
          <w:rFonts w:ascii="Century Schoolbook" w:hAnsi="Century Schoolbook"/>
          <w:szCs w:val="24"/>
        </w:rPr>
        <w:t xml:space="preserve">= the property of not inspecting one’s memories by perceptual means. Counterexample to (individual) necessity: Terminator </w:t>
      </w:r>
      <w:r w:rsidR="005B24D2" w:rsidRPr="00351567">
        <w:rPr>
          <w:rFonts w:ascii="Century Schoolbook" w:hAnsi="Century Schoolbook"/>
          <w:szCs w:val="24"/>
        </w:rPr>
        <w:t>(</w:t>
      </w:r>
      <w:r w:rsidRPr="00351567">
        <w:rPr>
          <w:rFonts w:ascii="Century Schoolbook" w:hAnsi="Century Schoolbook"/>
          <w:szCs w:val="24"/>
        </w:rPr>
        <w:t>Clark and Chalmers 1998</w:t>
      </w:r>
      <w:r w:rsidR="00020C2F" w:rsidRPr="00351567">
        <w:rPr>
          <w:rFonts w:ascii="Century Schoolbook" w:hAnsi="Century Schoolbook"/>
          <w:szCs w:val="24"/>
        </w:rPr>
        <w:t>:16</w:t>
      </w:r>
      <w:r w:rsidR="00FB0212" w:rsidRPr="00351567">
        <w:rPr>
          <w:rFonts w:ascii="Century Schoolbook" w:hAnsi="Century Schoolbook"/>
          <w:szCs w:val="24"/>
        </w:rPr>
        <w:t>)</w:t>
      </w:r>
    </w:p>
    <w:p w14:paraId="7940D625" w14:textId="190C384D"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i/>
          <w:szCs w:val="24"/>
        </w:rPr>
        <w:t>F</w:t>
      </w:r>
      <w:r w:rsidRPr="00351567">
        <w:rPr>
          <w:rFonts w:ascii="Century Schoolbook" w:hAnsi="Century Schoolbook"/>
          <w:i/>
          <w:szCs w:val="24"/>
          <w:vertAlign w:val="subscript"/>
        </w:rPr>
        <w:t xml:space="preserve">i </w:t>
      </w:r>
      <w:r w:rsidRPr="00351567">
        <w:rPr>
          <w:rFonts w:ascii="Century Schoolbook" w:hAnsi="Century Schoolbook"/>
          <w:szCs w:val="24"/>
        </w:rPr>
        <w:t>= the property of involving non-derived as opposed to derived content.</w:t>
      </w:r>
      <w:r w:rsidRPr="00351567">
        <w:rPr>
          <w:rStyle w:val="FootnoteReference"/>
          <w:rFonts w:ascii="Century Schoolbook" w:hAnsi="Century Schoolbook"/>
          <w:szCs w:val="24"/>
        </w:rPr>
        <w:footnoteReference w:id="16"/>
      </w:r>
      <w:r w:rsidRPr="00351567">
        <w:rPr>
          <w:rFonts w:ascii="Century Schoolbook" w:hAnsi="Century Schoolbook"/>
          <w:szCs w:val="24"/>
        </w:rPr>
        <w:t xml:space="preserve"> Counterexample to </w:t>
      </w:r>
      <w:r w:rsidR="001E32F7" w:rsidRPr="00351567">
        <w:rPr>
          <w:rFonts w:ascii="Century Schoolbook" w:hAnsi="Century Schoolbook"/>
          <w:szCs w:val="24"/>
        </w:rPr>
        <w:t>(</w:t>
      </w:r>
      <w:r w:rsidRPr="00351567">
        <w:rPr>
          <w:rFonts w:ascii="Century Schoolbook" w:hAnsi="Century Schoolbook"/>
          <w:szCs w:val="24"/>
        </w:rPr>
        <w:t>individual</w:t>
      </w:r>
      <w:r w:rsidR="001E32F7" w:rsidRPr="00351567">
        <w:rPr>
          <w:rFonts w:ascii="Century Schoolbook" w:hAnsi="Century Schoolbook"/>
          <w:szCs w:val="24"/>
        </w:rPr>
        <w:t>)</w:t>
      </w:r>
      <w:r w:rsidRPr="00351567">
        <w:rPr>
          <w:rFonts w:ascii="Century Schoolbook" w:hAnsi="Century Schoolbook"/>
          <w:szCs w:val="24"/>
        </w:rPr>
        <w:t xml:space="preserve"> necessity: Martian ‘endowed with an extra biological routine that allowed them to store </w:t>
      </w:r>
      <w:r w:rsidRPr="00351567">
        <w:rPr>
          <w:rFonts w:ascii="Century Schoolbook" w:hAnsi="Century Schoolbook"/>
          <w:i/>
          <w:szCs w:val="24"/>
        </w:rPr>
        <w:t xml:space="preserve">bit-mapped images </w:t>
      </w:r>
      <w:r w:rsidRPr="00351567">
        <w:rPr>
          <w:rFonts w:ascii="Century Schoolbook" w:hAnsi="Century Schoolbook"/>
          <w:szCs w:val="24"/>
        </w:rPr>
        <w:t xml:space="preserve">of important chunks </w:t>
      </w:r>
      <w:r w:rsidR="00020C2F" w:rsidRPr="00351567">
        <w:rPr>
          <w:rFonts w:ascii="Century Schoolbook" w:hAnsi="Century Schoolbook"/>
          <w:szCs w:val="24"/>
        </w:rPr>
        <w:t xml:space="preserve">of visually encountered text.’ </w:t>
      </w:r>
      <w:r w:rsidR="005B24D2" w:rsidRPr="00351567">
        <w:rPr>
          <w:rFonts w:ascii="Century Schoolbook" w:hAnsi="Century Schoolbook"/>
          <w:szCs w:val="24"/>
        </w:rPr>
        <w:t>(</w:t>
      </w:r>
      <w:r w:rsidRPr="00351567">
        <w:rPr>
          <w:rFonts w:ascii="Century Schoolbook" w:hAnsi="Century Schoolbook"/>
          <w:szCs w:val="24"/>
        </w:rPr>
        <w:t>2010c</w:t>
      </w:r>
      <w:r w:rsidR="00020C2F" w:rsidRPr="00351567">
        <w:rPr>
          <w:rFonts w:ascii="Century Schoolbook" w:hAnsi="Century Schoolbook"/>
          <w:szCs w:val="24"/>
        </w:rPr>
        <w:t xml:space="preserve">: </w:t>
      </w:r>
      <w:r w:rsidRPr="00351567">
        <w:rPr>
          <w:rFonts w:ascii="Century Schoolbook" w:hAnsi="Century Schoolbook"/>
          <w:szCs w:val="24"/>
        </w:rPr>
        <w:t>88</w:t>
      </w:r>
      <w:r w:rsidR="00553602" w:rsidRPr="00351567">
        <w:rPr>
          <w:rFonts w:ascii="Century Schoolbook" w:hAnsi="Century Schoolbook"/>
          <w:szCs w:val="24"/>
        </w:rPr>
        <w:t>-9</w:t>
      </w:r>
      <w:r w:rsidR="00FB0212" w:rsidRPr="00351567">
        <w:rPr>
          <w:rFonts w:ascii="Century Schoolbook" w:hAnsi="Century Schoolbook"/>
          <w:szCs w:val="24"/>
        </w:rPr>
        <w:t>)</w:t>
      </w:r>
      <w:r w:rsidRPr="00351567">
        <w:rPr>
          <w:rFonts w:ascii="Century Schoolbook" w:hAnsi="Century Schoolbook"/>
          <w:szCs w:val="24"/>
        </w:rPr>
        <w:t>.</w:t>
      </w:r>
      <w:r w:rsidRPr="00351567">
        <w:rPr>
          <w:rStyle w:val="FootnoteReference"/>
          <w:rFonts w:ascii="Century Schoolbook" w:hAnsi="Century Schoolbook"/>
          <w:szCs w:val="24"/>
        </w:rPr>
        <w:footnoteReference w:id="17"/>
      </w:r>
    </w:p>
    <w:p w14:paraId="47643F15" w14:textId="38C8BC46"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i/>
          <w:szCs w:val="24"/>
        </w:rPr>
        <w:t>F</w:t>
      </w:r>
      <w:r w:rsidRPr="00351567">
        <w:rPr>
          <w:rFonts w:ascii="Century Schoolbook" w:hAnsi="Century Schoolbook"/>
          <w:i/>
          <w:szCs w:val="24"/>
          <w:vertAlign w:val="subscript"/>
        </w:rPr>
        <w:t xml:space="preserve">i </w:t>
      </w:r>
      <w:r w:rsidRPr="00351567">
        <w:rPr>
          <w:rFonts w:ascii="Century Schoolbook" w:hAnsi="Century Schoolbook"/>
          <w:szCs w:val="24"/>
        </w:rPr>
        <w:t>= the property of being a persisting and integrated part of the relevant cognitive system.</w:t>
      </w:r>
      <w:r w:rsidRPr="00351567">
        <w:rPr>
          <w:rStyle w:val="FootnoteReference"/>
          <w:rFonts w:ascii="Century Schoolbook" w:hAnsi="Century Schoolbook"/>
          <w:szCs w:val="24"/>
        </w:rPr>
        <w:footnoteReference w:id="18"/>
      </w:r>
      <w:r w:rsidR="00553602" w:rsidRPr="00351567">
        <w:rPr>
          <w:rFonts w:ascii="Century Schoolbook" w:hAnsi="Century Schoolbook"/>
          <w:szCs w:val="24"/>
        </w:rPr>
        <w:t xml:space="preserve"> Counterexample to </w:t>
      </w:r>
      <w:r w:rsidR="001E32F7" w:rsidRPr="00351567">
        <w:rPr>
          <w:rFonts w:ascii="Century Schoolbook" w:hAnsi="Century Schoolbook"/>
          <w:szCs w:val="24"/>
        </w:rPr>
        <w:t>(</w:t>
      </w:r>
      <w:r w:rsidR="00553602" w:rsidRPr="00351567">
        <w:rPr>
          <w:rFonts w:ascii="Century Schoolbook" w:hAnsi="Century Schoolbook"/>
          <w:szCs w:val="24"/>
        </w:rPr>
        <w:t>individual</w:t>
      </w:r>
      <w:r w:rsidR="001E32F7" w:rsidRPr="00351567">
        <w:rPr>
          <w:rFonts w:ascii="Century Schoolbook" w:hAnsi="Century Schoolbook"/>
          <w:szCs w:val="24"/>
        </w:rPr>
        <w:t>)</w:t>
      </w:r>
      <w:r w:rsidR="00553602" w:rsidRPr="00351567">
        <w:rPr>
          <w:rFonts w:ascii="Century Schoolbook" w:hAnsi="Century Schoolbook"/>
          <w:szCs w:val="24"/>
        </w:rPr>
        <w:t xml:space="preserve"> necessity</w:t>
      </w:r>
      <w:r w:rsidRPr="00351567">
        <w:rPr>
          <w:rFonts w:ascii="Century Schoolbook" w:hAnsi="Century Schoolbook"/>
          <w:szCs w:val="24"/>
        </w:rPr>
        <w:t>: Metamorpho/Metamento</w:t>
      </w:r>
      <w:r w:rsidR="005A01FC" w:rsidRPr="00351567">
        <w:rPr>
          <w:rFonts w:ascii="Century Schoolbook" w:hAnsi="Century Schoolbook"/>
          <w:szCs w:val="24"/>
        </w:rPr>
        <w:t>, whose brain include</w:t>
      </w:r>
      <w:r w:rsidR="00E973F4" w:rsidRPr="00351567">
        <w:rPr>
          <w:rFonts w:ascii="Century Schoolbook" w:hAnsi="Century Schoolbook"/>
          <w:szCs w:val="24"/>
        </w:rPr>
        <w:t>s</w:t>
      </w:r>
      <w:r w:rsidR="005A01FC" w:rsidRPr="00351567">
        <w:rPr>
          <w:rFonts w:ascii="Century Schoolbook" w:hAnsi="Century Schoolbook"/>
          <w:szCs w:val="24"/>
        </w:rPr>
        <w:t xml:space="preserve"> detachable/re-attachable components.</w:t>
      </w:r>
      <w:r w:rsidRPr="00351567">
        <w:rPr>
          <w:rFonts w:ascii="Century Schoolbook" w:hAnsi="Century Schoolbook"/>
          <w:szCs w:val="24"/>
        </w:rPr>
        <w:t xml:space="preserve"> </w:t>
      </w:r>
      <w:r w:rsidR="005B24D2" w:rsidRPr="00351567">
        <w:rPr>
          <w:rFonts w:ascii="Century Schoolbook" w:hAnsi="Century Schoolbook"/>
          <w:szCs w:val="24"/>
        </w:rPr>
        <w:t>(</w:t>
      </w:r>
      <w:r w:rsidRPr="00351567">
        <w:rPr>
          <w:rFonts w:ascii="Century Schoolbook" w:hAnsi="Century Schoolbook"/>
          <w:szCs w:val="24"/>
        </w:rPr>
        <w:t>Clark 2010a</w:t>
      </w:r>
      <w:r w:rsidR="00020C2F" w:rsidRPr="00351567">
        <w:rPr>
          <w:rFonts w:ascii="Century Schoolbook" w:hAnsi="Century Schoolbook"/>
          <w:szCs w:val="24"/>
        </w:rPr>
        <w:t>: 457</w:t>
      </w:r>
      <w:r w:rsidR="00FB0212" w:rsidRPr="00351567">
        <w:rPr>
          <w:rFonts w:ascii="Century Schoolbook" w:hAnsi="Century Schoolbook"/>
          <w:szCs w:val="24"/>
        </w:rPr>
        <w:t>)</w:t>
      </w:r>
      <w:r w:rsidRPr="00351567">
        <w:rPr>
          <w:rFonts w:ascii="Century Schoolbook" w:hAnsi="Century Schoolbook"/>
          <w:szCs w:val="24"/>
        </w:rPr>
        <w:t>.</w:t>
      </w:r>
    </w:p>
    <w:p w14:paraId="6BD4D9EC" w14:textId="6D04524A"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lastRenderedPageBreak/>
        <w:t xml:space="preserve">This list is far from exhaustive, but it gives a sense of Clark’s argumentative methodology. Until someone finds some </w:t>
      </w:r>
      <w:r w:rsidRPr="00351567">
        <w:rPr>
          <w:rFonts w:ascii="Century Schoolbook" w:hAnsi="Century Schoolbook"/>
          <w:i/>
          <w:szCs w:val="24"/>
        </w:rPr>
        <w:t xml:space="preserve">Deep Difference </w:t>
      </w:r>
      <w:r w:rsidRPr="00351567">
        <w:rPr>
          <w:rFonts w:ascii="Century Schoolbook" w:hAnsi="Century Schoolbook"/>
          <w:szCs w:val="24"/>
        </w:rPr>
        <w:t xml:space="preserve">that is immune to counterexamples of this kind, there is a presumption in favour of the claim that Otto and Inga are functionally alike in the relevant respects. I do not go into the details of Clark’s particular counterexamples because such details are not relevant to my argument. I will be taking issue with the overall argumentative strategy employed by Clark, not the particular thought experiments he deploys. But first let’s look at Sprevak’s </w:t>
      </w:r>
      <w:r w:rsidR="005B24D2" w:rsidRPr="00351567">
        <w:rPr>
          <w:rFonts w:ascii="Century Schoolbook" w:hAnsi="Century Schoolbook"/>
          <w:szCs w:val="24"/>
        </w:rPr>
        <w:t>(</w:t>
      </w:r>
      <w:r w:rsidR="00020C2F" w:rsidRPr="00351567">
        <w:rPr>
          <w:rFonts w:ascii="Century Schoolbook" w:hAnsi="Century Schoolbook"/>
          <w:szCs w:val="24"/>
        </w:rPr>
        <w:t>2009</w:t>
      </w:r>
      <w:r w:rsidR="00FB0212" w:rsidRPr="00351567">
        <w:rPr>
          <w:rFonts w:ascii="Century Schoolbook" w:hAnsi="Century Schoolbook"/>
          <w:szCs w:val="24"/>
        </w:rPr>
        <w:t>)</w:t>
      </w:r>
      <w:r w:rsidRPr="00351567">
        <w:rPr>
          <w:rFonts w:ascii="Century Schoolbook" w:hAnsi="Century Schoolbook"/>
          <w:szCs w:val="24"/>
        </w:rPr>
        <w:t xml:space="preserve"> </w:t>
      </w:r>
      <w:r w:rsidRPr="00351567">
        <w:rPr>
          <w:rFonts w:ascii="Century Schoolbook" w:hAnsi="Century Schoolbook"/>
          <w:i/>
          <w:szCs w:val="24"/>
        </w:rPr>
        <w:t>reductio</w:t>
      </w:r>
      <w:r w:rsidRPr="00351567">
        <w:rPr>
          <w:rFonts w:ascii="Century Schoolbook" w:hAnsi="Century Schoolbook"/>
          <w:szCs w:val="24"/>
        </w:rPr>
        <w:t xml:space="preserve"> of Clark’s argument.</w:t>
      </w:r>
    </w:p>
    <w:p w14:paraId="5FB93602" w14:textId="508AD62E"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ab/>
        <w:t>Sprevak’s</w:t>
      </w:r>
      <w:r w:rsidRPr="00351567">
        <w:rPr>
          <w:rFonts w:ascii="Century Schoolbook" w:hAnsi="Century Schoolbook"/>
          <w:i/>
          <w:szCs w:val="24"/>
        </w:rPr>
        <w:t xml:space="preserve"> reductio </w:t>
      </w:r>
      <w:r w:rsidRPr="00351567">
        <w:rPr>
          <w:rFonts w:ascii="Century Schoolbook" w:hAnsi="Century Schoolbook"/>
          <w:szCs w:val="24"/>
        </w:rPr>
        <w:t xml:space="preserve">works by applying Clark’s own argumentative strategy to </w:t>
      </w:r>
      <w:r w:rsidR="00E973F4" w:rsidRPr="00351567">
        <w:rPr>
          <w:rFonts w:ascii="Century Schoolbook" w:hAnsi="Century Schoolbook"/>
          <w:szCs w:val="24"/>
        </w:rPr>
        <w:t>Clark’s three extension-</w:t>
      </w:r>
      <w:r w:rsidRPr="00351567">
        <w:rPr>
          <w:rFonts w:ascii="Century Schoolbook" w:hAnsi="Century Schoolbook"/>
          <w:szCs w:val="24"/>
        </w:rPr>
        <w:t>conditions</w:t>
      </w:r>
      <w:r w:rsidR="007554E7" w:rsidRPr="00351567">
        <w:rPr>
          <w:rFonts w:ascii="Century Schoolbook" w:hAnsi="Century Schoolbook"/>
          <w:szCs w:val="24"/>
        </w:rPr>
        <w:t xml:space="preserve">. </w:t>
      </w:r>
      <w:r w:rsidR="00E973F4" w:rsidRPr="00351567">
        <w:rPr>
          <w:rFonts w:ascii="Century Schoolbook" w:hAnsi="Century Schoolbook"/>
          <w:szCs w:val="24"/>
        </w:rPr>
        <w:t>Sprevak tacitly assumes, as I</w:t>
      </w:r>
      <w:r w:rsidR="007554E7" w:rsidRPr="00351567">
        <w:rPr>
          <w:rFonts w:ascii="Century Schoolbook" w:hAnsi="Century Schoolbook"/>
          <w:szCs w:val="24"/>
        </w:rPr>
        <w:t xml:space="preserve"> will for now, that</w:t>
      </w:r>
      <w:r w:rsidRPr="00351567">
        <w:rPr>
          <w:rFonts w:ascii="Century Schoolbook" w:hAnsi="Century Schoolbook"/>
          <w:szCs w:val="24"/>
        </w:rPr>
        <w:t xml:space="preserve"> Clark’s </w:t>
      </w:r>
      <w:r w:rsidR="00E973F4" w:rsidRPr="00351567">
        <w:rPr>
          <w:rFonts w:ascii="Century Schoolbook" w:hAnsi="Century Schoolbook"/>
          <w:szCs w:val="24"/>
        </w:rPr>
        <w:t>extension-</w:t>
      </w:r>
      <w:r w:rsidR="00DE7001" w:rsidRPr="00351567">
        <w:rPr>
          <w:rFonts w:ascii="Century Schoolbook" w:hAnsi="Century Schoolbook"/>
          <w:szCs w:val="24"/>
        </w:rPr>
        <w:t xml:space="preserve">conditions </w:t>
      </w:r>
      <w:r w:rsidR="007554E7" w:rsidRPr="00351567">
        <w:rPr>
          <w:rFonts w:ascii="Century Schoolbook" w:hAnsi="Century Schoolbook"/>
          <w:szCs w:val="24"/>
        </w:rPr>
        <w:t>must be individually necessary for belief storage/r</w:t>
      </w:r>
      <w:r w:rsidR="00DF4A0A" w:rsidRPr="00351567">
        <w:rPr>
          <w:rFonts w:ascii="Century Schoolbook" w:hAnsi="Century Schoolbook"/>
          <w:szCs w:val="24"/>
        </w:rPr>
        <w:t>etrieval, if they are to block the</w:t>
      </w:r>
      <w:r w:rsidR="007554E7" w:rsidRPr="00351567">
        <w:rPr>
          <w:rFonts w:ascii="Century Schoolbook" w:hAnsi="Century Schoolbook"/>
          <w:szCs w:val="24"/>
        </w:rPr>
        <w:t xml:space="preserve"> powerful </w:t>
      </w:r>
      <w:r w:rsidR="007554E7" w:rsidRPr="00351567">
        <w:rPr>
          <w:rFonts w:ascii="Century Schoolbook" w:hAnsi="Century Schoolbook"/>
          <w:i/>
          <w:szCs w:val="24"/>
        </w:rPr>
        <w:t>reductio</w:t>
      </w:r>
      <w:r w:rsidR="00DE7001" w:rsidRPr="00351567">
        <w:rPr>
          <w:rFonts w:ascii="Century Schoolbook" w:hAnsi="Century Schoolbook"/>
          <w:i/>
          <w:szCs w:val="24"/>
        </w:rPr>
        <w:t xml:space="preserve"> </w:t>
      </w:r>
      <w:r w:rsidR="00DE7001" w:rsidRPr="00351567">
        <w:rPr>
          <w:rFonts w:ascii="Century Schoolbook" w:hAnsi="Century Schoolbook"/>
          <w:szCs w:val="24"/>
        </w:rPr>
        <w:t>to be examined shortly</w:t>
      </w:r>
      <w:r w:rsidR="007554E7" w:rsidRPr="00351567">
        <w:rPr>
          <w:rFonts w:ascii="Century Schoolbook" w:hAnsi="Century Schoolbook"/>
          <w:szCs w:val="24"/>
        </w:rPr>
        <w:t>.</w:t>
      </w:r>
      <w:r w:rsidR="00DE7001" w:rsidRPr="00351567">
        <w:rPr>
          <w:rStyle w:val="FootnoteReference"/>
          <w:rFonts w:ascii="Century Schoolbook" w:hAnsi="Century Schoolbook"/>
          <w:szCs w:val="24"/>
        </w:rPr>
        <w:footnoteReference w:id="19"/>
      </w:r>
      <w:r w:rsidR="007554E7" w:rsidRPr="00351567">
        <w:rPr>
          <w:rFonts w:ascii="Century Schoolbook" w:hAnsi="Century Schoolbook"/>
          <w:szCs w:val="24"/>
        </w:rPr>
        <w:t xml:space="preserve"> </w:t>
      </w:r>
      <w:r w:rsidR="00DF4A0A" w:rsidRPr="00351567">
        <w:rPr>
          <w:rFonts w:ascii="Century Schoolbook" w:hAnsi="Century Schoolbook"/>
          <w:szCs w:val="24"/>
        </w:rPr>
        <w:t>He then</w:t>
      </w:r>
      <w:r w:rsidR="00DE7001" w:rsidRPr="00351567">
        <w:rPr>
          <w:rFonts w:ascii="Century Schoolbook" w:hAnsi="Century Schoolbook"/>
          <w:szCs w:val="24"/>
        </w:rPr>
        <w:t xml:space="preserve"> </w:t>
      </w:r>
      <w:r w:rsidR="007554E7" w:rsidRPr="00351567">
        <w:rPr>
          <w:rFonts w:ascii="Century Schoolbook" w:hAnsi="Century Schoolbook"/>
          <w:szCs w:val="24"/>
        </w:rPr>
        <w:t>builds counterexamples to the necessity of each condition</w:t>
      </w:r>
      <w:r w:rsidRPr="00351567">
        <w:rPr>
          <w:rFonts w:ascii="Century Schoolbook" w:hAnsi="Century Schoolbook"/>
          <w:szCs w:val="24"/>
        </w:rPr>
        <w:t>:</w:t>
      </w:r>
    </w:p>
    <w:p w14:paraId="5F59CD8E" w14:textId="55A78681" w:rsidR="00C13A7D" w:rsidRPr="00351567" w:rsidRDefault="00C13A7D" w:rsidP="004A11B2">
      <w:pPr>
        <w:pStyle w:val="ListParagraph"/>
        <w:numPr>
          <w:ilvl w:val="0"/>
          <w:numId w:val="2"/>
        </w:numPr>
        <w:spacing w:line="480" w:lineRule="auto"/>
        <w:jc w:val="both"/>
        <w:rPr>
          <w:rFonts w:ascii="Century Schoolbook" w:hAnsi="Century Schoolbook"/>
          <w:szCs w:val="24"/>
        </w:rPr>
      </w:pPr>
      <w:r w:rsidRPr="00351567">
        <w:rPr>
          <w:rFonts w:ascii="Century Schoolbook" w:hAnsi="Century Schoolbook"/>
          <w:b/>
          <w:szCs w:val="24"/>
        </w:rPr>
        <w:t>Condition</w:t>
      </w:r>
      <w:r w:rsidRPr="00351567">
        <w:rPr>
          <w:rFonts w:ascii="Century Schoolbook" w:hAnsi="Century Schoolbook"/>
          <w:szCs w:val="24"/>
        </w:rPr>
        <w:t xml:space="preserve">: the notebook must be ‘reliably available and typically invoked’. </w:t>
      </w:r>
      <w:r w:rsidRPr="00351567">
        <w:rPr>
          <w:rFonts w:ascii="Century Schoolbook" w:hAnsi="Century Schoolbook"/>
          <w:b/>
          <w:szCs w:val="24"/>
        </w:rPr>
        <w:t>Counterexample</w:t>
      </w:r>
      <w:r w:rsidRPr="00351567">
        <w:rPr>
          <w:rFonts w:ascii="Century Schoolbook" w:hAnsi="Century Schoolbook"/>
          <w:szCs w:val="24"/>
        </w:rPr>
        <w:t xml:space="preserve">: Imagine a Martian </w:t>
      </w:r>
      <w:r w:rsidR="00DE7001" w:rsidRPr="00351567">
        <w:rPr>
          <w:rFonts w:ascii="Century Schoolbook" w:hAnsi="Century Schoolbook"/>
          <w:szCs w:val="24"/>
        </w:rPr>
        <w:t>who’s</w:t>
      </w:r>
      <w:r w:rsidRPr="00351567">
        <w:rPr>
          <w:rFonts w:ascii="Century Schoolbook" w:hAnsi="Century Schoolbook"/>
          <w:szCs w:val="24"/>
        </w:rPr>
        <w:t xml:space="preserve"> putative ‘non-occurrent beliefs’ are neither reliably available nor typically invoked</w:t>
      </w:r>
      <w:r w:rsidR="00426981" w:rsidRPr="00351567">
        <w:rPr>
          <w:rFonts w:ascii="Century Schoolbook" w:hAnsi="Century Schoolbook"/>
          <w:szCs w:val="24"/>
        </w:rPr>
        <w:t>.</w:t>
      </w:r>
      <w:r w:rsidRPr="00351567">
        <w:rPr>
          <w:rFonts w:ascii="Century Schoolbook" w:hAnsi="Century Schoolbook"/>
          <w:szCs w:val="24"/>
        </w:rPr>
        <w:t xml:space="preserve"> Does this Martian lack the capacity to remember? Is the Martian entirely lacking in non-occurrent beliefs?</w:t>
      </w:r>
      <w:r w:rsidRPr="00351567">
        <w:rPr>
          <w:rStyle w:val="FootnoteReference"/>
          <w:rFonts w:ascii="Century Schoolbook" w:hAnsi="Century Schoolbook"/>
          <w:szCs w:val="24"/>
        </w:rPr>
        <w:footnoteReference w:id="20"/>
      </w:r>
    </w:p>
    <w:p w14:paraId="132FB0D5" w14:textId="44ECB121"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This procedure is then repeated on the other two conditions. To undermine the second condition (the automatic endorsement condition)</w:t>
      </w:r>
      <w:r w:rsidR="00452122" w:rsidRPr="00351567">
        <w:rPr>
          <w:rFonts w:ascii="Century Schoolbook" w:hAnsi="Century Schoolbook"/>
          <w:szCs w:val="24"/>
        </w:rPr>
        <w:t>,</w:t>
      </w:r>
      <w:r w:rsidRPr="00351567">
        <w:rPr>
          <w:rFonts w:ascii="Century Schoolbook" w:hAnsi="Century Schoolbook"/>
          <w:szCs w:val="24"/>
        </w:rPr>
        <w:t xml:space="preserve"> Sprevak invites us to imagine a creature who ‘redundantly</w:t>
      </w:r>
      <w:r w:rsidR="00DF4A0A" w:rsidRPr="00351567">
        <w:rPr>
          <w:rFonts w:ascii="Century Schoolbook" w:hAnsi="Century Schoolbook"/>
          <w:szCs w:val="24"/>
        </w:rPr>
        <w:t>’ performs a quick plausibility-</w:t>
      </w:r>
      <w:r w:rsidRPr="00351567">
        <w:rPr>
          <w:rFonts w:ascii="Century Schoolbook" w:hAnsi="Century Schoolbook"/>
          <w:szCs w:val="24"/>
        </w:rPr>
        <w:t xml:space="preserve">check on any </w:t>
      </w:r>
      <w:r w:rsidRPr="00351567">
        <w:rPr>
          <w:rFonts w:ascii="Century Schoolbook" w:hAnsi="Century Schoolbook"/>
          <w:szCs w:val="24"/>
        </w:rPr>
        <w:lastRenderedPageBreak/>
        <w:t xml:space="preserve">putative belief they retrieve, and </w:t>
      </w:r>
      <w:r w:rsidR="00452122" w:rsidRPr="00351567">
        <w:rPr>
          <w:rFonts w:ascii="Century Schoolbook" w:hAnsi="Century Schoolbook"/>
          <w:szCs w:val="24"/>
        </w:rPr>
        <w:t>thus falls short of</w:t>
      </w:r>
      <w:r w:rsidRPr="00351567">
        <w:rPr>
          <w:rFonts w:ascii="Century Schoolbook" w:hAnsi="Century Schoolbook"/>
          <w:szCs w:val="24"/>
        </w:rPr>
        <w:t xml:space="preserve"> the automatic endorsement condition </w:t>
      </w:r>
      <w:r w:rsidR="005B24D2" w:rsidRPr="00351567">
        <w:rPr>
          <w:rFonts w:ascii="Century Schoolbook" w:hAnsi="Century Schoolbook"/>
          <w:szCs w:val="24"/>
        </w:rPr>
        <w:t>(</w:t>
      </w:r>
      <w:r w:rsidRPr="00351567">
        <w:rPr>
          <w:rFonts w:ascii="Century Schoolbook" w:hAnsi="Century Schoolbook"/>
          <w:szCs w:val="24"/>
        </w:rPr>
        <w:t>2009</w:t>
      </w:r>
      <w:r w:rsidR="00020C2F" w:rsidRPr="00351567">
        <w:rPr>
          <w:rFonts w:ascii="Century Schoolbook" w:hAnsi="Century Schoolbook"/>
          <w:szCs w:val="24"/>
        </w:rPr>
        <w:t>: 514-5</w:t>
      </w:r>
      <w:r w:rsidR="00FB0212" w:rsidRPr="00351567">
        <w:rPr>
          <w:rFonts w:ascii="Century Schoolbook" w:hAnsi="Century Schoolbook"/>
          <w:szCs w:val="24"/>
        </w:rPr>
        <w:t>)</w:t>
      </w:r>
      <w:r w:rsidRPr="00351567">
        <w:rPr>
          <w:rFonts w:ascii="Century Schoolbook" w:hAnsi="Century Schoolbook"/>
          <w:szCs w:val="24"/>
        </w:rPr>
        <w:t>. Such a creature, he argues, would still count as a believer. And to undermine condition three, he claims we would not deny that someone has beliefs just because s/he finds those beliefs ‘difficult to access’</w:t>
      </w:r>
      <w:r w:rsidR="00452122" w:rsidRPr="00351567">
        <w:rPr>
          <w:rFonts w:ascii="Century Schoolbook" w:hAnsi="Century Schoolbook"/>
          <w:szCs w:val="24"/>
        </w:rPr>
        <w:t>, developing another Martian case to support this claim</w:t>
      </w:r>
      <w:r w:rsidRPr="00351567">
        <w:rPr>
          <w:rFonts w:ascii="Century Schoolbook" w:hAnsi="Century Schoolbook"/>
          <w:szCs w:val="24"/>
        </w:rPr>
        <w:t xml:space="preserve"> </w:t>
      </w:r>
      <w:r w:rsidR="005B24D2" w:rsidRPr="00351567">
        <w:rPr>
          <w:rFonts w:ascii="Century Schoolbook" w:hAnsi="Century Schoolbook"/>
          <w:szCs w:val="24"/>
        </w:rPr>
        <w:t>(</w:t>
      </w:r>
      <w:r w:rsidR="00020C2F" w:rsidRPr="00351567">
        <w:rPr>
          <w:rFonts w:ascii="Century Schoolbook" w:hAnsi="Century Schoolbook"/>
          <w:szCs w:val="24"/>
        </w:rPr>
        <w:t>2009: 515</w:t>
      </w:r>
      <w:r w:rsidR="00FB0212" w:rsidRPr="00351567">
        <w:rPr>
          <w:rFonts w:ascii="Century Schoolbook" w:hAnsi="Century Schoolbook"/>
          <w:szCs w:val="24"/>
        </w:rPr>
        <w:t>)</w:t>
      </w:r>
      <w:r w:rsidRPr="00351567">
        <w:rPr>
          <w:rFonts w:ascii="Century Schoolbook" w:hAnsi="Century Schoolbook"/>
          <w:szCs w:val="24"/>
        </w:rPr>
        <w:t xml:space="preserve">. </w:t>
      </w:r>
    </w:p>
    <w:p w14:paraId="279F929A" w14:textId="475E6EB8"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Let’s suppose (as seems plausible) that Sprevak’s counterexamples are successful</w:t>
      </w:r>
      <w:r w:rsidR="00F76F8C" w:rsidRPr="00351567">
        <w:rPr>
          <w:rFonts w:ascii="Century Schoolbook" w:hAnsi="Century Schoolbook"/>
          <w:szCs w:val="24"/>
        </w:rPr>
        <w:t xml:space="preserve"> in </w:t>
      </w:r>
      <w:r w:rsidR="00DE7001" w:rsidRPr="00351567">
        <w:rPr>
          <w:rFonts w:ascii="Century Schoolbook" w:hAnsi="Century Schoolbook"/>
          <w:szCs w:val="24"/>
        </w:rPr>
        <w:t xml:space="preserve">undermining the individual necessity of each of </w:t>
      </w:r>
      <w:r w:rsidR="00F76F8C" w:rsidRPr="00351567">
        <w:rPr>
          <w:rFonts w:ascii="Century Schoolbook" w:hAnsi="Century Schoolbook"/>
          <w:szCs w:val="24"/>
        </w:rPr>
        <w:t>Clark’s three conditions</w:t>
      </w:r>
      <w:r w:rsidRPr="00351567">
        <w:rPr>
          <w:rFonts w:ascii="Century Schoolbook" w:hAnsi="Century Schoolbook"/>
          <w:szCs w:val="24"/>
        </w:rPr>
        <w:t>. Let’s also suppose, for the sake of argument, that we agree with Clark that Otto realises belief storage/retrieval. One could justifiably ask at this point how far we should generalise from the Otto case. Does anyone who reads anything in a notebook (or any artefact bearing written symbols for that matter) also</w:t>
      </w:r>
      <w:r w:rsidR="00DE7001" w:rsidRPr="00351567">
        <w:rPr>
          <w:rFonts w:ascii="Century Schoolbook" w:hAnsi="Century Schoolbook"/>
          <w:szCs w:val="24"/>
        </w:rPr>
        <w:t xml:space="preserve"> thereby</w:t>
      </w:r>
      <w:r w:rsidRPr="00351567">
        <w:rPr>
          <w:rFonts w:ascii="Century Schoolbook" w:hAnsi="Century Schoolbook"/>
          <w:szCs w:val="24"/>
        </w:rPr>
        <w:t xml:space="preserve"> count as retrieving non-occurrent beliefs? Clark’s three conditions were supposed to </w:t>
      </w:r>
      <w:r w:rsidR="00900C2D" w:rsidRPr="00351567">
        <w:rPr>
          <w:rFonts w:ascii="Century Schoolbook" w:hAnsi="Century Schoolbook"/>
          <w:szCs w:val="24"/>
        </w:rPr>
        <w:t>provide</w:t>
      </w:r>
      <w:r w:rsidR="00F76F8C" w:rsidRPr="00351567">
        <w:rPr>
          <w:rFonts w:ascii="Century Schoolbook" w:hAnsi="Century Schoolbook"/>
          <w:szCs w:val="24"/>
        </w:rPr>
        <w:t xml:space="preserve"> principle</w:t>
      </w:r>
      <w:r w:rsidR="00900C2D" w:rsidRPr="00351567">
        <w:rPr>
          <w:rFonts w:ascii="Century Schoolbook" w:hAnsi="Century Schoolbook"/>
          <w:szCs w:val="24"/>
        </w:rPr>
        <w:t>d</w:t>
      </w:r>
      <w:r w:rsidR="00F76F8C" w:rsidRPr="00351567">
        <w:rPr>
          <w:rFonts w:ascii="Century Schoolbook" w:hAnsi="Century Schoolbook"/>
          <w:szCs w:val="24"/>
        </w:rPr>
        <w:t xml:space="preserve"> grounds for giving non-absurd answers to questions of this kind.</w:t>
      </w:r>
      <w:r w:rsidRPr="00351567">
        <w:rPr>
          <w:rFonts w:ascii="Century Schoolbook" w:hAnsi="Century Schoolbook"/>
          <w:szCs w:val="24"/>
        </w:rPr>
        <w:t xml:space="preserve"> </w:t>
      </w:r>
      <w:r w:rsidR="00F76F8C" w:rsidRPr="00351567">
        <w:rPr>
          <w:rFonts w:ascii="Century Schoolbook" w:hAnsi="Century Schoolbook"/>
          <w:szCs w:val="24"/>
        </w:rPr>
        <w:t>The idea was supposed to be</w:t>
      </w:r>
      <w:r w:rsidRPr="00351567">
        <w:rPr>
          <w:rFonts w:ascii="Century Schoolbook" w:hAnsi="Century Schoolbook"/>
          <w:szCs w:val="24"/>
        </w:rPr>
        <w:t xml:space="preserve"> that most symbol-bearing artefacts we use are not reliably available</w:t>
      </w:r>
      <w:r w:rsidR="00F76F8C" w:rsidRPr="00351567">
        <w:rPr>
          <w:rFonts w:ascii="Century Schoolbook" w:hAnsi="Century Schoolbook"/>
          <w:szCs w:val="24"/>
        </w:rPr>
        <w:t>,</w:t>
      </w:r>
      <w:r w:rsidRPr="00351567">
        <w:rPr>
          <w:rFonts w:ascii="Century Schoolbook" w:hAnsi="Century Schoolbook"/>
          <w:szCs w:val="24"/>
        </w:rPr>
        <w:t xml:space="preserve"> typically invoked</w:t>
      </w:r>
      <w:r w:rsidR="00F76F8C" w:rsidRPr="00351567">
        <w:rPr>
          <w:rFonts w:ascii="Century Schoolbook" w:hAnsi="Century Schoolbook"/>
          <w:szCs w:val="24"/>
        </w:rPr>
        <w:t xml:space="preserve"> and easy to access</w:t>
      </w:r>
      <w:r w:rsidR="00900C2D" w:rsidRPr="00351567">
        <w:rPr>
          <w:rFonts w:ascii="Century Schoolbook" w:hAnsi="Century Schoolbook"/>
          <w:szCs w:val="24"/>
        </w:rPr>
        <w:t>.</w:t>
      </w:r>
      <w:r w:rsidRPr="00351567">
        <w:rPr>
          <w:rFonts w:ascii="Century Schoolbook" w:hAnsi="Century Schoolbook"/>
          <w:szCs w:val="24"/>
        </w:rPr>
        <w:t xml:space="preserve"> </w:t>
      </w:r>
      <w:r w:rsidR="00900C2D" w:rsidRPr="00351567">
        <w:rPr>
          <w:rFonts w:ascii="Century Schoolbook" w:hAnsi="Century Schoolbook"/>
          <w:szCs w:val="24"/>
        </w:rPr>
        <w:t>S</w:t>
      </w:r>
      <w:r w:rsidRPr="00351567">
        <w:rPr>
          <w:rFonts w:ascii="Century Schoolbook" w:hAnsi="Century Schoolbook"/>
          <w:szCs w:val="24"/>
        </w:rPr>
        <w:t xml:space="preserve">o most </w:t>
      </w:r>
      <w:r w:rsidR="00F76F8C" w:rsidRPr="00351567">
        <w:rPr>
          <w:rFonts w:ascii="Century Schoolbook" w:hAnsi="Century Schoolbook"/>
          <w:szCs w:val="24"/>
        </w:rPr>
        <w:t>ordinary cases of reading fall</w:t>
      </w:r>
      <w:r w:rsidRPr="00351567">
        <w:rPr>
          <w:rFonts w:ascii="Century Schoolbook" w:hAnsi="Century Schoolbook"/>
          <w:szCs w:val="24"/>
        </w:rPr>
        <w:t xml:space="preserve"> short of </w:t>
      </w:r>
      <w:r w:rsidR="00900C2D" w:rsidRPr="00351567">
        <w:rPr>
          <w:rFonts w:ascii="Century Schoolbook" w:hAnsi="Century Schoolbook"/>
          <w:szCs w:val="24"/>
        </w:rPr>
        <w:t xml:space="preserve">non-occurrent </w:t>
      </w:r>
      <w:r w:rsidRPr="00351567">
        <w:rPr>
          <w:rFonts w:ascii="Century Schoolbook" w:hAnsi="Century Schoolbook"/>
          <w:szCs w:val="24"/>
        </w:rPr>
        <w:t>belief</w:t>
      </w:r>
      <w:r w:rsidR="00900C2D" w:rsidRPr="00351567">
        <w:rPr>
          <w:rFonts w:ascii="Century Schoolbook" w:hAnsi="Century Schoolbook"/>
          <w:szCs w:val="24"/>
        </w:rPr>
        <w:t>-</w:t>
      </w:r>
      <w:r w:rsidRPr="00351567">
        <w:rPr>
          <w:rFonts w:ascii="Century Schoolbook" w:hAnsi="Century Schoolbook"/>
          <w:szCs w:val="24"/>
        </w:rPr>
        <w:t>retrieval</w:t>
      </w:r>
      <w:r w:rsidR="00900C2D" w:rsidRPr="00351567">
        <w:rPr>
          <w:rFonts w:ascii="Century Schoolbook" w:hAnsi="Century Schoolbook"/>
          <w:szCs w:val="24"/>
        </w:rPr>
        <w:t>,</w:t>
      </w:r>
      <w:r w:rsidRPr="00351567">
        <w:rPr>
          <w:rFonts w:ascii="Century Schoolbook" w:hAnsi="Century Schoolbook"/>
          <w:szCs w:val="24"/>
        </w:rPr>
        <w:t xml:space="preserve"> by the lights of Clark’s conditions. </w:t>
      </w:r>
    </w:p>
    <w:p w14:paraId="2FC7F2C4" w14:textId="07A861CF"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 xml:space="preserve">But if Sprevak’s counterexamples are successful (and they seem every bit as compelling as Clark’s own Martian cases), then Clark is not entitled to rely on his three conditions when attempting to exclude obviously absurd cases of putative cognitive extension. This is because the conditions fail to pick out genuinely </w:t>
      </w:r>
      <w:r w:rsidRPr="00351567">
        <w:rPr>
          <w:rFonts w:ascii="Century Schoolbook" w:hAnsi="Century Schoolbook"/>
          <w:i/>
          <w:szCs w:val="24"/>
        </w:rPr>
        <w:t xml:space="preserve">Deep Differences </w:t>
      </w:r>
      <w:r w:rsidRPr="00351567">
        <w:rPr>
          <w:rFonts w:ascii="Century Schoolbook" w:hAnsi="Century Schoolbook"/>
          <w:szCs w:val="24"/>
        </w:rPr>
        <w:t xml:space="preserve">between Otto and a given absurd case of cognitive extension. So Sprevak can then confront Clark with the following challenge: show me some </w:t>
      </w:r>
      <w:r w:rsidRPr="00351567">
        <w:rPr>
          <w:rFonts w:ascii="Century Schoolbook" w:hAnsi="Century Schoolbook"/>
          <w:i/>
          <w:szCs w:val="24"/>
        </w:rPr>
        <w:t xml:space="preserve">Deep </w:t>
      </w:r>
      <w:r w:rsidRPr="00351567">
        <w:rPr>
          <w:rFonts w:ascii="Century Schoolbook" w:hAnsi="Century Schoolbook"/>
          <w:i/>
          <w:szCs w:val="24"/>
        </w:rPr>
        <w:lastRenderedPageBreak/>
        <w:t xml:space="preserve">Difference </w:t>
      </w:r>
      <w:r w:rsidRPr="00351567">
        <w:rPr>
          <w:rFonts w:ascii="Century Schoolbook" w:hAnsi="Century Schoolbook"/>
          <w:szCs w:val="24"/>
        </w:rPr>
        <w:t xml:space="preserve">between Otto and Blotto (where ‘Blotto’ is just some obviously absurd case of mental extension). If Sprevak’s counterexamples are successful, none of Clark’s three conditions can succeed at this job. </w:t>
      </w:r>
      <w:r w:rsidR="00DE7001" w:rsidRPr="00351567">
        <w:rPr>
          <w:rFonts w:ascii="Century Schoolbook" w:hAnsi="Century Schoolbook"/>
          <w:szCs w:val="24"/>
        </w:rPr>
        <w:t>It therefore seems that</w:t>
      </w:r>
      <w:r w:rsidRPr="00351567">
        <w:rPr>
          <w:rFonts w:ascii="Century Schoolbook" w:hAnsi="Century Schoolbook"/>
          <w:szCs w:val="24"/>
        </w:rPr>
        <w:t xml:space="preserve"> until some more successful conditions a</w:t>
      </w:r>
      <w:r w:rsidR="00F76F8C" w:rsidRPr="00351567">
        <w:rPr>
          <w:rFonts w:ascii="Century Schoolbook" w:hAnsi="Century Schoolbook"/>
          <w:szCs w:val="24"/>
        </w:rPr>
        <w:t>re formulated</w:t>
      </w:r>
      <w:r w:rsidR="00DE7001" w:rsidRPr="00351567">
        <w:rPr>
          <w:rFonts w:ascii="Century Schoolbook" w:hAnsi="Century Schoolbook"/>
          <w:szCs w:val="24"/>
        </w:rPr>
        <w:t>,</w:t>
      </w:r>
      <w:r w:rsidRPr="00351567">
        <w:rPr>
          <w:rFonts w:ascii="Century Schoolbook" w:hAnsi="Century Schoolbook"/>
          <w:szCs w:val="24"/>
        </w:rPr>
        <w:t xml:space="preserve"> we can defeasibly conclude that Clark’s argument generalises to create absurd results. </w:t>
      </w:r>
    </w:p>
    <w:p w14:paraId="24B9145C" w14:textId="049A503F" w:rsidR="00C13A7D" w:rsidRPr="00351567" w:rsidRDefault="00514618" w:rsidP="00351567">
      <w:pPr>
        <w:pStyle w:val="Heading1"/>
        <w:rPr>
          <w:rFonts w:ascii="Century Schoolbook" w:hAnsi="Century Schoolbook"/>
        </w:rPr>
      </w:pPr>
      <w:r w:rsidRPr="00351567">
        <w:rPr>
          <w:rFonts w:ascii="Century Schoolbook" w:hAnsi="Century Schoolbook"/>
        </w:rPr>
        <w:t>4</w:t>
      </w:r>
      <w:r w:rsidR="00CD4587" w:rsidRPr="00351567">
        <w:rPr>
          <w:rFonts w:ascii="Century Schoolbook" w:hAnsi="Century Schoolbook"/>
        </w:rPr>
        <w:t>.</w:t>
      </w:r>
      <w:r w:rsidR="00C13A7D" w:rsidRPr="00351567">
        <w:rPr>
          <w:rFonts w:ascii="Century Schoolbook" w:hAnsi="Century Schoolbook"/>
        </w:rPr>
        <w:t xml:space="preserve"> </w:t>
      </w:r>
      <w:r w:rsidR="00900C2D" w:rsidRPr="00351567">
        <w:rPr>
          <w:rFonts w:ascii="Century Schoolbook" w:hAnsi="Century Schoolbook"/>
        </w:rPr>
        <w:t>DIAGNOSING THE PROBLEM</w:t>
      </w:r>
    </w:p>
    <w:p w14:paraId="6B4EC803" w14:textId="77777777" w:rsidR="00C13A7D" w:rsidRPr="00351567" w:rsidRDefault="00C13A7D" w:rsidP="004A11B2">
      <w:pPr>
        <w:spacing w:before="240" w:after="0" w:line="480" w:lineRule="auto"/>
        <w:jc w:val="both"/>
        <w:rPr>
          <w:rFonts w:ascii="Century Schoolbook" w:hAnsi="Century Schoolbook"/>
          <w:szCs w:val="24"/>
        </w:rPr>
      </w:pPr>
      <w:r w:rsidRPr="00351567">
        <w:rPr>
          <w:rFonts w:ascii="Century Schoolbook" w:hAnsi="Century Schoolbook"/>
          <w:szCs w:val="24"/>
        </w:rPr>
        <w:t>Something has clearly gone badly wrong here. Sprevak’s suggestion is that the problem lies with common-sense functionalism, and its attempt to systematise our intuitions:</w:t>
      </w:r>
    </w:p>
    <w:p w14:paraId="485C1CF1" w14:textId="7FF1FDB0" w:rsidR="00C13A7D" w:rsidRPr="00351567" w:rsidRDefault="00C13A7D" w:rsidP="004A11B2">
      <w:pPr>
        <w:spacing w:before="240" w:line="480" w:lineRule="auto"/>
        <w:ind w:left="720"/>
        <w:jc w:val="both"/>
        <w:rPr>
          <w:rFonts w:ascii="Century Schoolbook" w:hAnsi="Century Schoolbook"/>
          <w:szCs w:val="24"/>
        </w:rPr>
      </w:pPr>
      <w:r w:rsidRPr="00351567">
        <w:rPr>
          <w:rFonts w:ascii="Century Schoolbook" w:hAnsi="Century Schoolbook"/>
          <w:szCs w:val="24"/>
        </w:rPr>
        <w:t xml:space="preserve">The correct lesson might be that our intuitions about mental systems cannot be systematised without doing serious damage to our concept of mentality. Functionalism aims to provide an answer to what makes certain systems mental. Perhaps such an answer cannot be given.  </w:t>
      </w:r>
      <w:r w:rsidR="005B24D2" w:rsidRPr="00351567">
        <w:rPr>
          <w:rFonts w:ascii="Century Schoolbook" w:hAnsi="Century Schoolbook"/>
          <w:szCs w:val="24"/>
        </w:rPr>
        <w:t>(</w:t>
      </w:r>
      <w:r w:rsidRPr="00351567">
        <w:rPr>
          <w:rFonts w:ascii="Century Schoolbook" w:hAnsi="Century Schoolbook"/>
          <w:szCs w:val="24"/>
        </w:rPr>
        <w:t>2009</w:t>
      </w:r>
      <w:r w:rsidR="00020C2F" w:rsidRPr="00351567">
        <w:rPr>
          <w:rFonts w:ascii="Century Schoolbook" w:hAnsi="Century Schoolbook"/>
          <w:szCs w:val="24"/>
        </w:rPr>
        <w:t>: 522</w:t>
      </w:r>
      <w:r w:rsidR="00FB0212" w:rsidRPr="00351567">
        <w:rPr>
          <w:rFonts w:ascii="Century Schoolbook" w:hAnsi="Century Schoolbook"/>
          <w:szCs w:val="24"/>
        </w:rPr>
        <w:t>)</w:t>
      </w:r>
    </w:p>
    <w:p w14:paraId="10CF1B27" w14:textId="47541E12"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 xml:space="preserve">I argue that an alternative diagnosis is available. To see this, let’s review Clark’s basic strategy. There are many functional differences between the procedure performed by Inga and that performed by Otto. Let’s use </w:t>
      </w:r>
      <w:r w:rsidRPr="00351567">
        <w:rPr>
          <w:rFonts w:ascii="Century Schoolbook" w:hAnsi="Century Schoolbook"/>
          <w:i/>
          <w:szCs w:val="24"/>
        </w:rPr>
        <w:t>F</w:t>
      </w:r>
      <w:r w:rsidRPr="00351567">
        <w:rPr>
          <w:rFonts w:ascii="Century Schoolbook" w:hAnsi="Century Schoolbook"/>
          <w:i/>
          <w:szCs w:val="24"/>
          <w:vertAlign w:val="subscript"/>
        </w:rPr>
        <w:t>1,…,n</w:t>
      </w:r>
      <w:r w:rsidRPr="00351567">
        <w:rPr>
          <w:rFonts w:ascii="Century Schoolbook" w:hAnsi="Century Schoolbook"/>
          <w:i/>
          <w:szCs w:val="24"/>
        </w:rPr>
        <w:t xml:space="preserve"> </w:t>
      </w:r>
      <w:r w:rsidRPr="00351567">
        <w:rPr>
          <w:rFonts w:ascii="Century Schoolbook" w:hAnsi="Century Schoolbook"/>
          <w:szCs w:val="24"/>
        </w:rPr>
        <w:t>to denote the full set of these differences. Each time Clark’s opponent claim</w:t>
      </w:r>
      <w:r w:rsidR="001E32F7" w:rsidRPr="00351567">
        <w:rPr>
          <w:rFonts w:ascii="Century Schoolbook" w:hAnsi="Century Schoolbook"/>
          <w:szCs w:val="24"/>
        </w:rPr>
        <w:t>s</w:t>
      </w:r>
      <w:r w:rsidRPr="00351567">
        <w:rPr>
          <w:rFonts w:ascii="Century Schoolbook" w:hAnsi="Century Schoolbook"/>
          <w:szCs w:val="24"/>
        </w:rPr>
        <w:t xml:space="preserve"> that some difference on this list is a </w:t>
      </w:r>
      <w:r w:rsidRPr="00351567">
        <w:rPr>
          <w:rFonts w:ascii="Century Schoolbook" w:hAnsi="Century Schoolbook"/>
          <w:i/>
          <w:szCs w:val="24"/>
        </w:rPr>
        <w:t>Deep Difference</w:t>
      </w:r>
      <w:r w:rsidRPr="00351567">
        <w:rPr>
          <w:rFonts w:ascii="Century Schoolbook" w:hAnsi="Century Schoolbook"/>
          <w:szCs w:val="24"/>
        </w:rPr>
        <w:t>, Clark creates a Martian-style thought experiment</w:t>
      </w:r>
      <w:r w:rsidR="00426981" w:rsidRPr="00351567">
        <w:rPr>
          <w:rFonts w:ascii="Century Schoolbook" w:hAnsi="Century Schoolbook"/>
          <w:szCs w:val="24"/>
        </w:rPr>
        <w:t xml:space="preserve"> to undermine</w:t>
      </w:r>
      <w:r w:rsidRPr="00351567">
        <w:rPr>
          <w:rFonts w:ascii="Century Schoolbook" w:hAnsi="Century Schoolbook"/>
          <w:szCs w:val="24"/>
        </w:rPr>
        <w:t xml:space="preserve"> </w:t>
      </w:r>
      <w:r w:rsidR="00CB3F22" w:rsidRPr="00351567">
        <w:rPr>
          <w:rFonts w:ascii="Century Schoolbook" w:hAnsi="Century Schoolbook"/>
          <w:szCs w:val="24"/>
        </w:rPr>
        <w:t>that</w:t>
      </w:r>
      <w:r w:rsidR="001E32F7" w:rsidRPr="00351567">
        <w:rPr>
          <w:rFonts w:ascii="Century Schoolbook" w:hAnsi="Century Schoolbook"/>
          <w:szCs w:val="24"/>
        </w:rPr>
        <w:t xml:space="preserve"> claim</w:t>
      </w:r>
      <w:r w:rsidR="00CB3F22" w:rsidRPr="00351567">
        <w:rPr>
          <w:rFonts w:ascii="Century Schoolbook" w:hAnsi="Century Schoolbook"/>
          <w:szCs w:val="24"/>
        </w:rPr>
        <w:t>: t</w:t>
      </w:r>
      <w:r w:rsidRPr="00351567">
        <w:rPr>
          <w:rFonts w:ascii="Century Schoolbook" w:hAnsi="Century Schoolbook"/>
          <w:szCs w:val="24"/>
        </w:rPr>
        <w:t xml:space="preserve">he functional property lacked by Otto, </w:t>
      </w:r>
      <w:r w:rsidRPr="00351567">
        <w:rPr>
          <w:rFonts w:ascii="Century Schoolbook" w:hAnsi="Century Schoolbook"/>
          <w:i/>
          <w:szCs w:val="24"/>
        </w:rPr>
        <w:t>F</w:t>
      </w:r>
      <w:r w:rsidRPr="00351567">
        <w:rPr>
          <w:rFonts w:ascii="Century Schoolbook" w:hAnsi="Century Schoolbook"/>
          <w:i/>
          <w:szCs w:val="24"/>
          <w:vertAlign w:val="subscript"/>
        </w:rPr>
        <w:t>1</w:t>
      </w:r>
      <w:r w:rsidRPr="00351567">
        <w:rPr>
          <w:rFonts w:ascii="Century Schoolbook" w:hAnsi="Century Schoolbook"/>
          <w:i/>
          <w:szCs w:val="24"/>
        </w:rPr>
        <w:t xml:space="preserve"> </w:t>
      </w:r>
      <w:r w:rsidRPr="00351567">
        <w:rPr>
          <w:rFonts w:ascii="Century Schoolbook" w:hAnsi="Century Schoolbook"/>
          <w:i/>
          <w:szCs w:val="24"/>
          <w:vertAlign w:val="subscript"/>
        </w:rPr>
        <w:softHyphen/>
      </w:r>
      <w:r w:rsidRPr="00351567">
        <w:rPr>
          <w:rFonts w:ascii="Century Schoolbook" w:hAnsi="Century Schoolbook"/>
          <w:i/>
          <w:szCs w:val="24"/>
          <w:vertAlign w:val="subscript"/>
        </w:rPr>
        <w:softHyphen/>
      </w:r>
      <w:r w:rsidRPr="00351567">
        <w:rPr>
          <w:rFonts w:ascii="Century Schoolbook" w:hAnsi="Century Schoolbook"/>
          <w:szCs w:val="24"/>
        </w:rPr>
        <w:t xml:space="preserve">say, is </w:t>
      </w:r>
      <w:r w:rsidR="00CB3F22" w:rsidRPr="00351567">
        <w:rPr>
          <w:rFonts w:ascii="Century Schoolbook" w:hAnsi="Century Schoolbook"/>
          <w:szCs w:val="24"/>
        </w:rPr>
        <w:t xml:space="preserve">not </w:t>
      </w:r>
      <w:r w:rsidRPr="00351567">
        <w:rPr>
          <w:rFonts w:ascii="Century Schoolbook" w:hAnsi="Century Schoolbook"/>
          <w:szCs w:val="24"/>
        </w:rPr>
        <w:t>individually necessary for realising the mental item in question</w:t>
      </w:r>
      <w:r w:rsidR="00CB3F22" w:rsidRPr="00351567">
        <w:rPr>
          <w:rFonts w:ascii="Century Schoolbook" w:hAnsi="Century Schoolbook"/>
          <w:szCs w:val="24"/>
        </w:rPr>
        <w:t>, so Clark’s opponent fails</w:t>
      </w:r>
      <w:r w:rsidRPr="00351567">
        <w:rPr>
          <w:rFonts w:ascii="Century Schoolbook" w:hAnsi="Century Schoolbook"/>
          <w:szCs w:val="24"/>
        </w:rPr>
        <w:t xml:space="preserve">. Sprevak repeats this procedure, but instead of using it to move from Inga to Otto, he uses it to move from Otto to </w:t>
      </w:r>
      <w:r w:rsidR="00DF4A0A" w:rsidRPr="00351567">
        <w:rPr>
          <w:rFonts w:ascii="Century Schoolbook" w:hAnsi="Century Schoolbook"/>
          <w:szCs w:val="24"/>
        </w:rPr>
        <w:t xml:space="preserve">cases like </w:t>
      </w:r>
      <w:r w:rsidRPr="00351567">
        <w:rPr>
          <w:rFonts w:ascii="Century Schoolbook" w:hAnsi="Century Schoolbook"/>
          <w:szCs w:val="24"/>
        </w:rPr>
        <w:t xml:space="preserve">Blotto. </w:t>
      </w:r>
      <w:r w:rsidR="00193C7D" w:rsidRPr="00351567">
        <w:rPr>
          <w:rFonts w:ascii="Century Schoolbook" w:hAnsi="Century Schoolbook"/>
          <w:szCs w:val="24"/>
        </w:rPr>
        <w:t>T</w:t>
      </w:r>
      <w:r w:rsidRPr="00351567">
        <w:rPr>
          <w:rFonts w:ascii="Century Schoolbook" w:hAnsi="Century Schoolbook"/>
          <w:szCs w:val="24"/>
        </w:rPr>
        <w:t xml:space="preserve">his argumentative strategy relies on a critical </w:t>
      </w:r>
      <w:r w:rsidR="00426981" w:rsidRPr="00351567">
        <w:rPr>
          <w:rFonts w:ascii="Century Schoolbook" w:hAnsi="Century Schoolbook"/>
          <w:szCs w:val="24"/>
        </w:rPr>
        <w:t xml:space="preserve">(and </w:t>
      </w:r>
      <w:r w:rsidR="00426981" w:rsidRPr="00351567">
        <w:rPr>
          <w:rFonts w:ascii="Century Schoolbook" w:hAnsi="Century Schoolbook"/>
          <w:i/>
          <w:szCs w:val="24"/>
        </w:rPr>
        <w:t>optional</w:t>
      </w:r>
      <w:r w:rsidR="00426981" w:rsidRPr="00351567">
        <w:rPr>
          <w:rFonts w:ascii="Century Schoolbook" w:hAnsi="Century Schoolbook"/>
          <w:szCs w:val="24"/>
        </w:rPr>
        <w:t>) assumption</w:t>
      </w:r>
      <w:r w:rsidRPr="00351567">
        <w:rPr>
          <w:rFonts w:ascii="Century Schoolbook" w:hAnsi="Century Schoolbook"/>
          <w:szCs w:val="24"/>
        </w:rPr>
        <w:t>.</w:t>
      </w:r>
    </w:p>
    <w:p w14:paraId="74515339" w14:textId="1590FDD2"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lastRenderedPageBreak/>
        <w:tab/>
        <w:t xml:space="preserve">To see what the assumption is, suppose Clark successfully undermines the individual necessity of </w:t>
      </w:r>
      <w:r w:rsidRPr="00351567">
        <w:rPr>
          <w:rFonts w:ascii="Century Schoolbook" w:hAnsi="Century Schoolbook"/>
          <w:i/>
          <w:szCs w:val="24"/>
        </w:rPr>
        <w:t>F</w:t>
      </w:r>
      <w:r w:rsidRPr="00351567">
        <w:rPr>
          <w:rFonts w:ascii="Century Schoolbook" w:hAnsi="Century Schoolbook"/>
          <w:i/>
          <w:szCs w:val="24"/>
          <w:vertAlign w:val="subscript"/>
        </w:rPr>
        <w:t>1</w:t>
      </w:r>
      <w:r w:rsidRPr="00351567">
        <w:rPr>
          <w:rFonts w:ascii="Century Schoolbook" w:hAnsi="Century Schoolbook"/>
          <w:i/>
          <w:szCs w:val="24"/>
        </w:rPr>
        <w:t xml:space="preserve"> </w:t>
      </w:r>
      <w:r w:rsidRPr="00351567">
        <w:rPr>
          <w:rFonts w:ascii="Century Schoolbook" w:hAnsi="Century Schoolbook"/>
          <w:i/>
          <w:szCs w:val="24"/>
        </w:rPr>
        <w:softHyphen/>
      </w:r>
      <w:r w:rsidRPr="00351567">
        <w:rPr>
          <w:rFonts w:ascii="Century Schoolbook" w:hAnsi="Century Schoolbook"/>
          <w:szCs w:val="24"/>
        </w:rPr>
        <w:t xml:space="preserve">for realising mental item </w:t>
      </w:r>
      <w:r w:rsidRPr="00351567">
        <w:rPr>
          <w:rFonts w:ascii="Century Schoolbook" w:hAnsi="Century Schoolbook"/>
          <w:i/>
          <w:szCs w:val="24"/>
        </w:rPr>
        <w:t>M</w:t>
      </w:r>
      <w:r w:rsidR="00AA725F" w:rsidRPr="00351567">
        <w:rPr>
          <w:rFonts w:ascii="Century Schoolbook" w:hAnsi="Century Schoolbook"/>
          <w:szCs w:val="24"/>
        </w:rPr>
        <w:t xml:space="preserve">. He </w:t>
      </w:r>
      <w:r w:rsidRPr="00351567">
        <w:rPr>
          <w:rFonts w:ascii="Century Schoolbook" w:hAnsi="Century Schoolbook"/>
          <w:szCs w:val="24"/>
        </w:rPr>
        <w:t xml:space="preserve">does the same for </w:t>
      </w:r>
      <w:r w:rsidRPr="00351567">
        <w:rPr>
          <w:rFonts w:ascii="Century Schoolbook" w:hAnsi="Century Schoolbook"/>
          <w:i/>
          <w:szCs w:val="24"/>
        </w:rPr>
        <w:t>F</w:t>
      </w:r>
      <w:r w:rsidRPr="00351567">
        <w:rPr>
          <w:rFonts w:ascii="Century Schoolbook" w:hAnsi="Century Schoolbook"/>
          <w:i/>
          <w:szCs w:val="24"/>
          <w:vertAlign w:val="subscript"/>
        </w:rPr>
        <w:t>2</w:t>
      </w:r>
      <w:r w:rsidRPr="00351567">
        <w:rPr>
          <w:rFonts w:ascii="Century Schoolbook" w:hAnsi="Century Schoolbook"/>
          <w:szCs w:val="24"/>
        </w:rPr>
        <w:t xml:space="preserve"> and</w:t>
      </w:r>
      <w:r w:rsidR="00AA725F" w:rsidRPr="00351567">
        <w:rPr>
          <w:rFonts w:ascii="Century Schoolbook" w:hAnsi="Century Schoolbook"/>
          <w:szCs w:val="24"/>
        </w:rPr>
        <w:t xml:space="preserve"> then for</w:t>
      </w:r>
      <w:r w:rsidRPr="00351567">
        <w:rPr>
          <w:rFonts w:ascii="Century Schoolbook" w:hAnsi="Century Schoolbook"/>
          <w:szCs w:val="24"/>
        </w:rPr>
        <w:t xml:space="preserve"> </w:t>
      </w:r>
      <w:r w:rsidRPr="00351567">
        <w:rPr>
          <w:rFonts w:ascii="Century Schoolbook" w:hAnsi="Century Schoolbook"/>
          <w:i/>
          <w:szCs w:val="24"/>
        </w:rPr>
        <w:t>F</w:t>
      </w:r>
      <w:r w:rsidRPr="00351567">
        <w:rPr>
          <w:rFonts w:ascii="Century Schoolbook" w:hAnsi="Century Schoolbook"/>
          <w:i/>
          <w:szCs w:val="24"/>
          <w:vertAlign w:val="subscript"/>
        </w:rPr>
        <w:t>3</w:t>
      </w:r>
      <w:r w:rsidRPr="00351567">
        <w:rPr>
          <w:rFonts w:ascii="Century Schoolbook" w:hAnsi="Century Schoolbook"/>
          <w:szCs w:val="24"/>
        </w:rPr>
        <w:t xml:space="preserve">. Even if he does this successfully, he has not ruled out the possibility that </w:t>
      </w:r>
      <w:r w:rsidR="001E32F7" w:rsidRPr="00351567">
        <w:rPr>
          <w:rFonts w:ascii="Century Schoolbook" w:hAnsi="Century Schoolbook"/>
          <w:szCs w:val="24"/>
        </w:rPr>
        <w:t>satisfying</w:t>
      </w:r>
      <w:r w:rsidRPr="00351567">
        <w:rPr>
          <w:rFonts w:ascii="Century Schoolbook" w:hAnsi="Century Schoolbook"/>
          <w:szCs w:val="24"/>
        </w:rPr>
        <w:t xml:space="preserve"> some combination of these three conditions </w:t>
      </w:r>
      <w:r w:rsidRPr="00351567">
        <w:rPr>
          <w:rFonts w:ascii="Century Schoolbook" w:hAnsi="Century Schoolbook"/>
          <w:i/>
          <w:szCs w:val="24"/>
        </w:rPr>
        <w:t xml:space="preserve">is </w:t>
      </w:r>
      <w:r w:rsidRPr="00351567">
        <w:rPr>
          <w:rFonts w:ascii="Century Schoolbook" w:hAnsi="Century Schoolbook"/>
          <w:szCs w:val="24"/>
        </w:rPr>
        <w:t xml:space="preserve">necessary for realising </w:t>
      </w:r>
      <w:r w:rsidRPr="00351567">
        <w:rPr>
          <w:rFonts w:ascii="Century Schoolbook" w:hAnsi="Century Schoolbook"/>
          <w:i/>
          <w:szCs w:val="24"/>
        </w:rPr>
        <w:t>M</w:t>
      </w:r>
      <w:r w:rsidRPr="00351567">
        <w:rPr>
          <w:rFonts w:ascii="Century Schoolbook" w:hAnsi="Century Schoolbook"/>
          <w:szCs w:val="24"/>
        </w:rPr>
        <w:t xml:space="preserve">. To see why this possibility might undermine Clark’s argument for EM, let’s look again at the list of functional features </w:t>
      </w:r>
      <w:r w:rsidR="003C0FCE" w:rsidRPr="00351567">
        <w:rPr>
          <w:rFonts w:ascii="Century Schoolbook" w:hAnsi="Century Schoolbook"/>
          <w:szCs w:val="24"/>
        </w:rPr>
        <w:t>(</w:t>
      </w:r>
      <w:r w:rsidRPr="00351567">
        <w:rPr>
          <w:rFonts w:ascii="Century Schoolbook" w:hAnsi="Century Schoolbook"/>
          <w:i/>
          <w:szCs w:val="24"/>
        </w:rPr>
        <w:t>F</w:t>
      </w:r>
      <w:r w:rsidRPr="00351567">
        <w:rPr>
          <w:rFonts w:ascii="Century Schoolbook" w:hAnsi="Century Schoolbook"/>
          <w:i/>
          <w:szCs w:val="24"/>
          <w:vertAlign w:val="subscript"/>
        </w:rPr>
        <w:t>1,…,n</w:t>
      </w:r>
      <w:r w:rsidR="003C0FCE" w:rsidRPr="00351567">
        <w:rPr>
          <w:rFonts w:ascii="Century Schoolbook" w:hAnsi="Century Schoolbook"/>
          <w:szCs w:val="24"/>
        </w:rPr>
        <w:t>)</w:t>
      </w:r>
      <w:r w:rsidRPr="00351567">
        <w:rPr>
          <w:rFonts w:ascii="Century Schoolbook" w:hAnsi="Century Schoolbook"/>
          <w:i/>
          <w:szCs w:val="24"/>
          <w:vertAlign w:val="subscript"/>
        </w:rPr>
        <w:t xml:space="preserve"> </w:t>
      </w:r>
      <w:r w:rsidRPr="00351567">
        <w:rPr>
          <w:rFonts w:ascii="Century Schoolbook" w:hAnsi="Century Schoolbook"/>
          <w:szCs w:val="24"/>
        </w:rPr>
        <w:t xml:space="preserve">which are realised by Inga but not by Otto. Clark might show that no feature on this list is individually necessary for realising </w:t>
      </w:r>
      <w:r w:rsidRPr="00351567">
        <w:rPr>
          <w:rFonts w:ascii="Century Schoolbook" w:hAnsi="Century Schoolbook"/>
          <w:i/>
          <w:szCs w:val="24"/>
        </w:rPr>
        <w:t>M</w:t>
      </w:r>
      <w:r w:rsidRPr="00351567">
        <w:rPr>
          <w:rFonts w:ascii="Century Schoolbook" w:hAnsi="Century Schoolbook"/>
          <w:szCs w:val="24"/>
        </w:rPr>
        <w:t xml:space="preserve">, while failing to show that there is no combination of features on the list whose </w:t>
      </w:r>
      <w:r w:rsidR="00277CBA" w:rsidRPr="00351567">
        <w:rPr>
          <w:rFonts w:ascii="Century Schoolbook" w:hAnsi="Century Schoolbook"/>
          <w:szCs w:val="24"/>
        </w:rPr>
        <w:t>satisfaction</w:t>
      </w:r>
      <w:r w:rsidRPr="00351567">
        <w:rPr>
          <w:rFonts w:ascii="Century Schoolbook" w:hAnsi="Century Schoolbook"/>
          <w:szCs w:val="24"/>
        </w:rPr>
        <w:t xml:space="preserve"> is necessary for realising </w:t>
      </w:r>
      <w:r w:rsidRPr="00351567">
        <w:rPr>
          <w:rFonts w:ascii="Century Schoolbook" w:hAnsi="Century Schoolbook"/>
          <w:i/>
          <w:szCs w:val="24"/>
        </w:rPr>
        <w:t>M</w:t>
      </w:r>
      <w:r w:rsidRPr="00351567">
        <w:rPr>
          <w:rFonts w:ascii="Century Schoolbook" w:hAnsi="Century Schoolbook"/>
          <w:szCs w:val="24"/>
        </w:rPr>
        <w:t xml:space="preserve">. </w:t>
      </w:r>
    </w:p>
    <w:p w14:paraId="6EF2AA6A" w14:textId="504465F5"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Suppose I put it to you that the drum stick I am holding in my hand is a pen, and defy you to convince me otherwise. I challenge you to point out a single feature</w:t>
      </w:r>
      <w:r w:rsidR="00426981" w:rsidRPr="00351567">
        <w:rPr>
          <w:rFonts w:ascii="Century Schoolbook" w:hAnsi="Century Schoolbook"/>
          <w:szCs w:val="24"/>
        </w:rPr>
        <w:t>,</w:t>
      </w:r>
      <w:r w:rsidRPr="00351567">
        <w:rPr>
          <w:rFonts w:ascii="Century Schoolbook" w:hAnsi="Century Schoolbook"/>
          <w:szCs w:val="24"/>
        </w:rPr>
        <w:t xml:space="preserve"> lacked by my drumstick, which is essential to penhood. You point out that I can’t write with my drumstick. But then I reply that something can be a pen even if it’s not possible to write with it. A pen that’s broken, out of ink, or locked in a secure safe to which nobody has the key is still a pen, despite the fact that we can’t write with it. You then object that it doesn’t even look like a pen, and I respond again that this feature is also inessential, concocting a range of clever thought experiments to prove my point. This goes on for some time and eventually, whether out of exhaustion or boredom, you give up trying to convince me. Suppose I lay down this challenge to lots of clever people, and each time wear them down in a similar fashion. Does the fact that I can do so give me a strong (though defeasible) justifica</w:t>
      </w:r>
      <w:r w:rsidR="004958FA" w:rsidRPr="00351567">
        <w:rPr>
          <w:rFonts w:ascii="Century Schoolbook" w:hAnsi="Century Schoolbook"/>
          <w:szCs w:val="24"/>
        </w:rPr>
        <w:t>tion for the claim that my drum</w:t>
      </w:r>
      <w:r w:rsidRPr="00351567">
        <w:rPr>
          <w:rFonts w:ascii="Century Schoolbook" w:hAnsi="Century Schoolbook"/>
          <w:szCs w:val="24"/>
        </w:rPr>
        <w:t xml:space="preserve">stick is a pen? </w:t>
      </w:r>
      <w:r w:rsidR="004958FA" w:rsidRPr="00351567">
        <w:rPr>
          <w:rFonts w:ascii="Century Schoolbook" w:hAnsi="Century Schoolbook"/>
          <w:szCs w:val="24"/>
        </w:rPr>
        <w:t>Clearly not</w:t>
      </w:r>
      <w:r w:rsidRPr="00351567">
        <w:rPr>
          <w:rFonts w:ascii="Century Schoolbook" w:hAnsi="Century Schoolbook"/>
          <w:szCs w:val="24"/>
        </w:rPr>
        <w:t xml:space="preserve">. And </w:t>
      </w:r>
      <w:r w:rsidR="004958FA" w:rsidRPr="00351567">
        <w:rPr>
          <w:rFonts w:ascii="Century Schoolbook" w:hAnsi="Century Schoolbook"/>
          <w:szCs w:val="24"/>
        </w:rPr>
        <w:t xml:space="preserve">it is possible that, in the </w:t>
      </w:r>
      <w:r w:rsidRPr="00351567">
        <w:rPr>
          <w:rFonts w:ascii="Century Schoolbook" w:hAnsi="Century Schoolbook"/>
          <w:szCs w:val="24"/>
        </w:rPr>
        <w:t>relevant respect</w:t>
      </w:r>
      <w:r w:rsidR="004958FA" w:rsidRPr="00351567">
        <w:rPr>
          <w:rFonts w:ascii="Century Schoolbook" w:hAnsi="Century Schoolbook"/>
          <w:szCs w:val="24"/>
        </w:rPr>
        <w:t>s</w:t>
      </w:r>
      <w:r w:rsidRPr="00351567">
        <w:rPr>
          <w:rFonts w:ascii="Century Schoolbook" w:hAnsi="Century Schoolbook"/>
          <w:szCs w:val="24"/>
        </w:rPr>
        <w:t>, Otto is to Inga as my drumstick is to some paradigm example of a pen.</w:t>
      </w:r>
    </w:p>
    <w:p w14:paraId="6E809652" w14:textId="77777777"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lastRenderedPageBreak/>
        <w:tab/>
        <w:t>And Jackson and Braddon-Mitchell, on whose common-sense functionalism Clark explicitly relies, use exactly this analogy to describe mental states:</w:t>
      </w:r>
    </w:p>
    <w:p w14:paraId="5613C4B2" w14:textId="109265D2" w:rsidR="00C13A7D" w:rsidRPr="00351567" w:rsidRDefault="00C13A7D" w:rsidP="004A11B2">
      <w:pPr>
        <w:spacing w:line="480" w:lineRule="auto"/>
        <w:ind w:left="720"/>
        <w:jc w:val="both"/>
        <w:rPr>
          <w:rFonts w:ascii="Century Schoolbook" w:hAnsi="Century Schoolbook"/>
          <w:szCs w:val="24"/>
        </w:rPr>
      </w:pPr>
      <w:r w:rsidRPr="00351567">
        <w:rPr>
          <w:rFonts w:ascii="Century Schoolbook" w:hAnsi="Century Schoolbook"/>
          <w:szCs w:val="24"/>
        </w:rPr>
        <w:t xml:space="preserve">There is a list of features that we regard as paradigmatic of pens. Something that satisfies every single one is by definition a pen. If it uses ink, is small enough to fit in </w:t>
      </w:r>
      <w:r w:rsidR="00277CBA" w:rsidRPr="00351567">
        <w:rPr>
          <w:rFonts w:ascii="Century Schoolbook" w:hAnsi="Century Schoolbook"/>
          <w:szCs w:val="24"/>
        </w:rPr>
        <w:t>the hand, is used to write with</w:t>
      </w:r>
      <w:r w:rsidRPr="00351567">
        <w:rPr>
          <w:rFonts w:ascii="Century Schoolbook" w:hAnsi="Century Schoolbook"/>
          <w:szCs w:val="24"/>
        </w:rPr>
        <w:t xml:space="preserve">, is called a ‘pen’, is barrel shaped, and has a nib, then it is a pen. That follows from our concept of a pen. But nothing in that list is sacrosanct. Any single feature may be absent and yet the object still be a pen </w:t>
      </w:r>
      <w:r w:rsidR="005B24D2" w:rsidRPr="00351567">
        <w:rPr>
          <w:rFonts w:ascii="Century Schoolbook" w:hAnsi="Century Schoolbook"/>
          <w:szCs w:val="24"/>
        </w:rPr>
        <w:t>(</w:t>
      </w:r>
      <w:r w:rsidRPr="00351567">
        <w:rPr>
          <w:rFonts w:ascii="Century Schoolbook" w:hAnsi="Century Schoolbook"/>
          <w:szCs w:val="24"/>
        </w:rPr>
        <w:t>…</w:t>
      </w:r>
      <w:r w:rsidR="00FB0212" w:rsidRPr="00351567">
        <w:rPr>
          <w:rFonts w:ascii="Century Schoolbook" w:hAnsi="Century Schoolbook"/>
          <w:szCs w:val="24"/>
        </w:rPr>
        <w:t>)</w:t>
      </w:r>
      <w:r w:rsidRPr="00351567">
        <w:rPr>
          <w:rFonts w:ascii="Century Schoolbook" w:hAnsi="Century Schoolbook"/>
          <w:szCs w:val="24"/>
        </w:rPr>
        <w:t xml:space="preserve"> what matters is that enough of the list or near enough is satisfied, and what counts as enough may itself be a vague matter </w:t>
      </w:r>
      <w:r w:rsidR="005B24D2" w:rsidRPr="00351567">
        <w:rPr>
          <w:rFonts w:ascii="Century Schoolbook" w:hAnsi="Century Schoolbook"/>
          <w:szCs w:val="24"/>
        </w:rPr>
        <w:t>(</w:t>
      </w:r>
      <w:r w:rsidRPr="00351567">
        <w:rPr>
          <w:rFonts w:ascii="Century Schoolbook" w:hAnsi="Century Schoolbook"/>
          <w:szCs w:val="24"/>
        </w:rPr>
        <w:t>2007</w:t>
      </w:r>
      <w:r w:rsidR="00020C2F" w:rsidRPr="00351567">
        <w:rPr>
          <w:rFonts w:ascii="Century Schoolbook" w:hAnsi="Century Schoolbook"/>
          <w:szCs w:val="24"/>
        </w:rPr>
        <w:t>: 54</w:t>
      </w:r>
      <w:r w:rsidR="00FB0212" w:rsidRPr="00351567">
        <w:rPr>
          <w:rFonts w:ascii="Century Schoolbook" w:hAnsi="Century Schoolbook"/>
          <w:szCs w:val="24"/>
        </w:rPr>
        <w:t>)</w:t>
      </w:r>
    </w:p>
    <w:p w14:paraId="4F6DB2B6" w14:textId="77777777"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 xml:space="preserve">The key point is that a pen can lack any of the properties enumerated by Jackson and Braddon-Mitchell, while still counting as a genuine pen. But, the idea goes, if enough of the relevant properties are absent, we reach a point where the right thing to say is that the thing in question is not a pen. </w:t>
      </w:r>
    </w:p>
    <w:p w14:paraId="3E6DC5FC" w14:textId="5CE3F55D"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 xml:space="preserve">When applied to the mental, Jackson and Braddon-Mitchell’s idea is that each functional role property by which a given mental item is defined should be qualified with a </w:t>
      </w:r>
      <w:r w:rsidRPr="00351567">
        <w:rPr>
          <w:rFonts w:ascii="Century Schoolbook" w:hAnsi="Century Schoolbook"/>
          <w:i/>
          <w:szCs w:val="24"/>
        </w:rPr>
        <w:t xml:space="preserve">ceteris paribus </w:t>
      </w:r>
      <w:r w:rsidRPr="00351567">
        <w:rPr>
          <w:rFonts w:ascii="Century Schoolbook" w:hAnsi="Century Schoolbook"/>
          <w:szCs w:val="24"/>
        </w:rPr>
        <w:t xml:space="preserve">clause. Take beliefs, for example. Beliefs are typically action-guiding, but we could imagine lots of beliefs that are not. This point is illustrated by David Lewis’ resolute deceiver, who is ‘disposed come what may to behave as if his mental states were other than they really are’ </w:t>
      </w:r>
      <w:r w:rsidR="005B24D2" w:rsidRPr="00351567">
        <w:rPr>
          <w:rFonts w:ascii="Century Schoolbook" w:hAnsi="Century Schoolbook"/>
          <w:szCs w:val="24"/>
        </w:rPr>
        <w:t>(</w:t>
      </w:r>
      <w:r w:rsidRPr="00351567">
        <w:rPr>
          <w:rFonts w:ascii="Century Schoolbook" w:hAnsi="Century Schoolbook"/>
          <w:szCs w:val="24"/>
        </w:rPr>
        <w:t>1994</w:t>
      </w:r>
      <w:r w:rsidR="00020C2F" w:rsidRPr="00351567">
        <w:rPr>
          <w:rFonts w:ascii="Century Schoolbook" w:hAnsi="Century Schoolbook"/>
          <w:szCs w:val="24"/>
        </w:rPr>
        <w:t>: 418</w:t>
      </w:r>
      <w:r w:rsidR="00FB0212" w:rsidRPr="00351567">
        <w:rPr>
          <w:rFonts w:ascii="Century Schoolbook" w:hAnsi="Century Schoolbook"/>
          <w:szCs w:val="24"/>
        </w:rPr>
        <w:t>)</w:t>
      </w:r>
      <w:r w:rsidRPr="00351567">
        <w:rPr>
          <w:rFonts w:ascii="Century Schoolbook" w:hAnsi="Century Schoolbook"/>
          <w:szCs w:val="24"/>
        </w:rPr>
        <w:t xml:space="preserve">. Such a person may be a slightly atypical believer, but is a believer nonetheless. Lewis claims this is the case while denying that ‘anything goes’ when it comes to </w:t>
      </w:r>
      <w:r w:rsidRPr="00351567">
        <w:rPr>
          <w:rFonts w:ascii="Century Schoolbook" w:hAnsi="Century Schoolbook"/>
          <w:szCs w:val="24"/>
        </w:rPr>
        <w:lastRenderedPageBreak/>
        <w:t xml:space="preserve">mental state attribution </w:t>
      </w:r>
      <w:r w:rsidR="005B24D2" w:rsidRPr="00351567">
        <w:rPr>
          <w:rFonts w:ascii="Century Schoolbook" w:hAnsi="Century Schoolbook"/>
          <w:szCs w:val="24"/>
        </w:rPr>
        <w:t>(</w:t>
      </w:r>
      <w:r w:rsidRPr="00351567">
        <w:rPr>
          <w:rFonts w:ascii="Century Schoolbook" w:hAnsi="Century Schoolbook"/>
          <w:szCs w:val="24"/>
        </w:rPr>
        <w:t>1994</w:t>
      </w:r>
      <w:r w:rsidR="00020C2F" w:rsidRPr="00351567">
        <w:rPr>
          <w:rFonts w:ascii="Century Schoolbook" w:hAnsi="Century Schoolbook"/>
          <w:szCs w:val="24"/>
        </w:rPr>
        <w:t>: 418</w:t>
      </w:r>
      <w:r w:rsidR="00FB0212" w:rsidRPr="00351567">
        <w:rPr>
          <w:rFonts w:ascii="Century Schoolbook" w:hAnsi="Century Schoolbook"/>
          <w:szCs w:val="24"/>
        </w:rPr>
        <w:t>)</w:t>
      </w:r>
      <w:r w:rsidRPr="00351567">
        <w:rPr>
          <w:rFonts w:ascii="Century Schoolbook" w:hAnsi="Century Schoolbook"/>
          <w:szCs w:val="24"/>
        </w:rPr>
        <w:t>.</w:t>
      </w:r>
      <w:r w:rsidRPr="00351567">
        <w:rPr>
          <w:rStyle w:val="FootnoteReference"/>
          <w:rFonts w:ascii="Century Schoolbook" w:hAnsi="Century Schoolbook"/>
          <w:szCs w:val="24"/>
        </w:rPr>
        <w:footnoteReference w:id="21"/>
      </w:r>
      <w:r w:rsidRPr="00351567">
        <w:rPr>
          <w:rFonts w:ascii="Century Schoolbook" w:hAnsi="Century Schoolbook"/>
          <w:szCs w:val="24"/>
        </w:rPr>
        <w:t xml:space="preserve"> Jackson and Braddon-Mitchell, whose brand of common-sense functionalism is heavily indebted to Lewis, take a similar line.</w:t>
      </w:r>
    </w:p>
    <w:p w14:paraId="14513488" w14:textId="78607671"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ab/>
        <w:t xml:space="preserve">More, however, needs to be said about how this proposal is supposed to work and how it might be deployed to block Clark’s and Sprevak’s arguments. Jackson and Braddon-Mitchell give less guidance than would be desirable about how their proposal is supposed to work, so I suggest we turn to Lewis, whose remarks on this matter are instructive. In discussing cases similar in kind to those of Otto and Inga, Lewis suggests that we posit a kind of ambiguity about exactly which folk roles are definitive of which mental items. He claims that this ambiguity is not concocted </w:t>
      </w:r>
      <w:r w:rsidRPr="00351567">
        <w:rPr>
          <w:rFonts w:ascii="Century Schoolbook" w:hAnsi="Century Schoolbook"/>
          <w:i/>
          <w:szCs w:val="24"/>
        </w:rPr>
        <w:t xml:space="preserve">ad hoc </w:t>
      </w:r>
      <w:r w:rsidRPr="00351567">
        <w:rPr>
          <w:rFonts w:ascii="Century Schoolbook" w:hAnsi="Century Schoolbook"/>
          <w:szCs w:val="24"/>
        </w:rPr>
        <w:t xml:space="preserve">by the common-sense functionalist, but is rather ‘a commonplace kind of ambiguity – a kind that may arise whenever we have tacit relativity and criteria of selection that fail to choose a definite </w:t>
      </w:r>
      <w:r w:rsidRPr="00351567">
        <w:rPr>
          <w:rFonts w:ascii="Century Schoolbook" w:hAnsi="Century Schoolbook"/>
          <w:i/>
          <w:szCs w:val="24"/>
        </w:rPr>
        <w:t>relatum</w:t>
      </w:r>
      <w:r w:rsidRPr="00351567">
        <w:rPr>
          <w:rFonts w:ascii="Century Schoolbook" w:hAnsi="Century Schoolbook"/>
          <w:szCs w:val="24"/>
        </w:rPr>
        <w:t xml:space="preserve">’ </w:t>
      </w:r>
      <w:r w:rsidR="005B24D2" w:rsidRPr="00351567">
        <w:rPr>
          <w:rFonts w:ascii="Century Schoolbook" w:hAnsi="Century Schoolbook"/>
          <w:szCs w:val="24"/>
        </w:rPr>
        <w:t>(</w:t>
      </w:r>
      <w:r w:rsidRPr="00351567">
        <w:rPr>
          <w:rFonts w:ascii="Century Schoolbook" w:hAnsi="Century Schoolbook"/>
          <w:szCs w:val="24"/>
        </w:rPr>
        <w:t>1980</w:t>
      </w:r>
      <w:r w:rsidR="00020C2F" w:rsidRPr="00351567">
        <w:rPr>
          <w:rFonts w:ascii="Century Schoolbook" w:hAnsi="Century Schoolbook"/>
          <w:szCs w:val="24"/>
        </w:rPr>
        <w:t>: 221</w:t>
      </w:r>
      <w:r w:rsidR="00FB0212" w:rsidRPr="00351567">
        <w:rPr>
          <w:rFonts w:ascii="Century Schoolbook" w:hAnsi="Century Schoolbook"/>
          <w:szCs w:val="24"/>
        </w:rPr>
        <w:t>)</w:t>
      </w:r>
      <w:r w:rsidRPr="00351567">
        <w:rPr>
          <w:rFonts w:ascii="Century Schoolbook" w:hAnsi="Century Schoolbook"/>
          <w:szCs w:val="24"/>
        </w:rPr>
        <w:t>. I propose that ‘typicality’ is the relevant criterion of selection we should use when determining which folk roles are definitive of which mental item. There are many different respects in which a given mental item might be typical of its kind, so there are many different typicality criteria against which a given mental item might be judged.</w:t>
      </w:r>
    </w:p>
    <w:p w14:paraId="0A591309" w14:textId="77777777"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ab/>
        <w:t xml:space="preserve">To see how this proposal works, let’s take belief again. One axis of typicality along which a belief might be assessed is its action-guiding role. As the deceiver case shows, a state can count as a belief despite being atypical on this axis. But </w:t>
      </w:r>
      <w:r w:rsidRPr="00351567">
        <w:rPr>
          <w:rFonts w:ascii="Century Schoolbook" w:hAnsi="Century Schoolbook"/>
          <w:szCs w:val="24"/>
        </w:rPr>
        <w:lastRenderedPageBreak/>
        <w:t>there are many other axes of typicality against which a given putative belief might be assessed. Below is an illustrative but inexhaustive list:</w:t>
      </w:r>
    </w:p>
    <w:p w14:paraId="163BFAA4" w14:textId="0EE7B1CB" w:rsidR="00C13A7D" w:rsidRPr="00351567" w:rsidRDefault="00C13A7D" w:rsidP="004A11B2">
      <w:pPr>
        <w:pStyle w:val="ListParagraph"/>
        <w:numPr>
          <w:ilvl w:val="0"/>
          <w:numId w:val="3"/>
        </w:numPr>
        <w:spacing w:line="480" w:lineRule="auto"/>
        <w:jc w:val="both"/>
        <w:rPr>
          <w:rFonts w:ascii="Century Schoolbook" w:hAnsi="Century Schoolbook"/>
          <w:szCs w:val="24"/>
        </w:rPr>
      </w:pPr>
      <w:r w:rsidRPr="00351567">
        <w:rPr>
          <w:rFonts w:ascii="Century Schoolbook" w:hAnsi="Century Schoolbook"/>
          <w:szCs w:val="24"/>
        </w:rPr>
        <w:t>Evidence-sensitivity: typically, the credence we attach to a given belief is</w:t>
      </w:r>
      <w:r w:rsidR="009F3DE4" w:rsidRPr="00351567">
        <w:rPr>
          <w:rFonts w:ascii="Century Schoolbook" w:hAnsi="Century Schoolbook"/>
          <w:szCs w:val="24"/>
        </w:rPr>
        <w:t xml:space="preserve"> quite </w:t>
      </w:r>
      <w:r w:rsidRPr="00351567">
        <w:rPr>
          <w:rFonts w:ascii="Century Schoolbook" w:hAnsi="Century Schoolbook"/>
          <w:szCs w:val="24"/>
        </w:rPr>
        <w:t>sensitive to the</w:t>
      </w:r>
      <w:r w:rsidR="009F3DE4" w:rsidRPr="00351567">
        <w:rPr>
          <w:rFonts w:ascii="Century Schoolbook" w:hAnsi="Century Schoolbook"/>
          <w:szCs w:val="24"/>
        </w:rPr>
        <w:t xml:space="preserve"> level of</w:t>
      </w:r>
      <w:r w:rsidRPr="00351567">
        <w:rPr>
          <w:rFonts w:ascii="Century Schoolbook" w:hAnsi="Century Schoolbook"/>
          <w:szCs w:val="24"/>
        </w:rPr>
        <w:t xml:space="preserve"> evidence we</w:t>
      </w:r>
      <w:r w:rsidR="00240A02" w:rsidRPr="00351567">
        <w:rPr>
          <w:rFonts w:ascii="Century Schoolbook" w:hAnsi="Century Schoolbook"/>
          <w:szCs w:val="24"/>
        </w:rPr>
        <w:t xml:space="preserve"> have </w:t>
      </w:r>
      <w:r w:rsidR="009F3DE4" w:rsidRPr="00351567">
        <w:rPr>
          <w:rFonts w:ascii="Century Schoolbook" w:hAnsi="Century Schoolbook"/>
          <w:szCs w:val="24"/>
        </w:rPr>
        <w:t>in its support.</w:t>
      </w:r>
      <w:r w:rsidRPr="00351567">
        <w:rPr>
          <w:rStyle w:val="FootnoteReference"/>
          <w:rFonts w:ascii="Century Schoolbook" w:hAnsi="Century Schoolbook"/>
          <w:szCs w:val="24"/>
        </w:rPr>
        <w:footnoteReference w:id="22"/>
      </w:r>
    </w:p>
    <w:p w14:paraId="160B2C2A" w14:textId="6E08C1B7" w:rsidR="00C13A7D" w:rsidRPr="00351567" w:rsidRDefault="00C13A7D" w:rsidP="004A11B2">
      <w:pPr>
        <w:pStyle w:val="ListParagraph"/>
        <w:numPr>
          <w:ilvl w:val="0"/>
          <w:numId w:val="3"/>
        </w:numPr>
        <w:spacing w:line="480" w:lineRule="auto"/>
        <w:jc w:val="both"/>
        <w:rPr>
          <w:rFonts w:ascii="Century Schoolbook" w:hAnsi="Century Schoolbook"/>
          <w:szCs w:val="24"/>
        </w:rPr>
      </w:pPr>
      <w:r w:rsidRPr="00351567">
        <w:rPr>
          <w:rFonts w:ascii="Century Schoolbook" w:hAnsi="Century Schoolbook"/>
          <w:szCs w:val="24"/>
        </w:rPr>
        <w:t xml:space="preserve">Involuntariness: </w:t>
      </w:r>
      <w:r w:rsidR="00240A02" w:rsidRPr="00351567">
        <w:rPr>
          <w:rFonts w:ascii="Century Schoolbook" w:hAnsi="Century Schoolbook"/>
          <w:szCs w:val="24"/>
        </w:rPr>
        <w:t xml:space="preserve">for those unskilled in the art of self-deception, </w:t>
      </w:r>
      <w:r w:rsidRPr="00351567">
        <w:rPr>
          <w:rFonts w:ascii="Century Schoolbook" w:hAnsi="Century Schoolbook"/>
          <w:szCs w:val="24"/>
        </w:rPr>
        <w:t xml:space="preserve">beliefs are typically </w:t>
      </w:r>
      <w:r w:rsidR="005B3D76" w:rsidRPr="00351567">
        <w:rPr>
          <w:rFonts w:ascii="Century Schoolbook" w:hAnsi="Century Schoolbook"/>
          <w:szCs w:val="24"/>
        </w:rPr>
        <w:t>in</w:t>
      </w:r>
      <w:r w:rsidRPr="00351567">
        <w:rPr>
          <w:rFonts w:ascii="Century Schoolbook" w:hAnsi="Century Schoolbook"/>
          <w:szCs w:val="24"/>
        </w:rPr>
        <w:t>voluntary in a meaningful sense.</w:t>
      </w:r>
      <w:r w:rsidRPr="00351567">
        <w:rPr>
          <w:rStyle w:val="FootnoteReference"/>
          <w:rFonts w:ascii="Century Schoolbook" w:hAnsi="Century Schoolbook"/>
          <w:szCs w:val="24"/>
        </w:rPr>
        <w:footnoteReference w:id="23"/>
      </w:r>
    </w:p>
    <w:p w14:paraId="45A9FEC8" w14:textId="658E8226" w:rsidR="00C13A7D" w:rsidRPr="00351567" w:rsidRDefault="009F3DE4" w:rsidP="004A11B2">
      <w:pPr>
        <w:pStyle w:val="ListParagraph"/>
        <w:numPr>
          <w:ilvl w:val="0"/>
          <w:numId w:val="3"/>
        </w:numPr>
        <w:spacing w:line="480" w:lineRule="auto"/>
        <w:jc w:val="both"/>
        <w:rPr>
          <w:rFonts w:ascii="Century Schoolbook" w:hAnsi="Century Schoolbook"/>
          <w:szCs w:val="24"/>
        </w:rPr>
      </w:pPr>
      <w:r w:rsidRPr="00351567">
        <w:rPr>
          <w:rFonts w:ascii="Century Schoolbook" w:hAnsi="Century Schoolbook"/>
          <w:szCs w:val="24"/>
        </w:rPr>
        <w:t>Ca</w:t>
      </w:r>
      <w:r w:rsidR="00C13A7D" w:rsidRPr="00351567">
        <w:rPr>
          <w:rFonts w:ascii="Century Schoolbook" w:hAnsi="Century Schoolbook"/>
          <w:szCs w:val="24"/>
        </w:rPr>
        <w:t>u</w:t>
      </w:r>
      <w:r w:rsidRPr="00351567">
        <w:rPr>
          <w:rFonts w:ascii="Century Schoolbook" w:hAnsi="Century Schoolbook"/>
          <w:szCs w:val="24"/>
        </w:rPr>
        <w:t>s</w:t>
      </w:r>
      <w:r w:rsidR="00C13A7D" w:rsidRPr="00351567">
        <w:rPr>
          <w:rFonts w:ascii="Century Schoolbook" w:hAnsi="Century Schoolbook"/>
          <w:szCs w:val="24"/>
        </w:rPr>
        <w:t xml:space="preserve">al role: </w:t>
      </w:r>
      <w:r w:rsidR="00240A02" w:rsidRPr="00351567">
        <w:rPr>
          <w:rFonts w:ascii="Century Schoolbook" w:hAnsi="Century Schoolbook"/>
          <w:szCs w:val="24"/>
        </w:rPr>
        <w:t xml:space="preserve">typically, beliefs cause and are caused by, events of a distinctive kind. </w:t>
      </w:r>
      <w:r w:rsidR="00C13A7D" w:rsidRPr="00351567">
        <w:rPr>
          <w:rFonts w:ascii="Century Schoolbook" w:hAnsi="Century Schoolbook"/>
          <w:szCs w:val="24"/>
        </w:rPr>
        <w:t>Otto’s ‘beliefs’ are atypical with respect to causal role</w:t>
      </w:r>
      <w:r w:rsidR="00240A02" w:rsidRPr="00351567">
        <w:rPr>
          <w:rFonts w:ascii="Century Schoolbook" w:hAnsi="Century Schoolbook"/>
          <w:szCs w:val="24"/>
        </w:rPr>
        <w:t xml:space="preserve"> in that we can, for example,</w:t>
      </w:r>
      <w:r w:rsidR="00C13A7D" w:rsidRPr="00351567">
        <w:rPr>
          <w:rFonts w:ascii="Century Schoolbook" w:hAnsi="Century Schoolbook"/>
          <w:szCs w:val="24"/>
        </w:rPr>
        <w:t xml:space="preserve"> render him incapable of accessing them by poking out his eyes. </w:t>
      </w:r>
    </w:p>
    <w:p w14:paraId="25A008FD" w14:textId="5F8E6169" w:rsidR="00C13A7D"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 xml:space="preserve"> Beliefs can be atypical in certain respects, but typical in others. If a putative belief is atypical in one respect, but typical in all others, it might make sense to say that it is still a belief. But if it is atypical in just about every respect, we might justifiably wonder if it is a belief in any meaningful sense. Ambiguity arises when we try to determine what should be said about the cases in the middle. </w:t>
      </w:r>
      <w:r w:rsidR="009F3DE4" w:rsidRPr="00351567">
        <w:rPr>
          <w:rFonts w:ascii="Century Schoolbook" w:hAnsi="Century Schoolbook"/>
          <w:szCs w:val="24"/>
        </w:rPr>
        <w:t>Take</w:t>
      </w:r>
      <w:r w:rsidRPr="00351567">
        <w:rPr>
          <w:rFonts w:ascii="Century Schoolbook" w:hAnsi="Century Schoolbook"/>
          <w:szCs w:val="24"/>
        </w:rPr>
        <w:t xml:space="preserve"> some putative belief </w:t>
      </w:r>
      <w:r w:rsidR="009F3DE4" w:rsidRPr="00351567">
        <w:rPr>
          <w:rFonts w:ascii="Century Schoolbook" w:hAnsi="Century Schoolbook"/>
          <w:szCs w:val="24"/>
        </w:rPr>
        <w:t xml:space="preserve">that </w:t>
      </w:r>
      <w:r w:rsidRPr="00351567">
        <w:rPr>
          <w:rFonts w:ascii="Century Schoolbook" w:hAnsi="Century Schoolbook"/>
          <w:szCs w:val="24"/>
        </w:rPr>
        <w:t>is belief-typical on certain axes of typicality, but atypical along others</w:t>
      </w:r>
      <w:r w:rsidR="009F3DE4" w:rsidRPr="00351567">
        <w:rPr>
          <w:rFonts w:ascii="Century Schoolbook" w:hAnsi="Century Schoolbook"/>
          <w:szCs w:val="24"/>
        </w:rPr>
        <w:t>. I</w:t>
      </w:r>
      <w:r w:rsidRPr="00351567">
        <w:rPr>
          <w:rFonts w:ascii="Century Schoolbook" w:hAnsi="Century Schoolbook"/>
          <w:szCs w:val="24"/>
        </w:rPr>
        <w:t xml:space="preserve">t might be difficult to say one way or another whether it is suitably close to paradigm cases of belief to count as a mental state of the same kind. The typicality axes referred to here are derived directly from the folk platitudes – the folk platitudes dictate that mental item </w:t>
      </w:r>
      <w:r w:rsidRPr="00351567">
        <w:rPr>
          <w:rFonts w:ascii="Century Schoolbook" w:hAnsi="Century Schoolbook"/>
          <w:i/>
          <w:szCs w:val="24"/>
        </w:rPr>
        <w:t xml:space="preserve">M </w:t>
      </w:r>
      <w:r w:rsidRPr="00351567">
        <w:rPr>
          <w:rFonts w:ascii="Century Schoolbook" w:hAnsi="Century Schoolbook"/>
          <w:szCs w:val="24"/>
        </w:rPr>
        <w:t xml:space="preserve">typically exhibits a certain set of </w:t>
      </w:r>
      <w:r w:rsidRPr="00351567">
        <w:rPr>
          <w:rFonts w:ascii="Century Schoolbook" w:hAnsi="Century Schoolbook"/>
          <w:szCs w:val="24"/>
        </w:rPr>
        <w:lastRenderedPageBreak/>
        <w:t>functional features. But the folk platitudes do not tell us what we should make of putative mental items that are typical in some respects, but atypical in others.</w:t>
      </w:r>
    </w:p>
    <w:p w14:paraId="07858C95" w14:textId="09AC1903" w:rsidR="00F16BC9" w:rsidRPr="00351567" w:rsidRDefault="00C13A7D" w:rsidP="004A11B2">
      <w:pPr>
        <w:spacing w:line="480" w:lineRule="auto"/>
        <w:jc w:val="both"/>
        <w:rPr>
          <w:rFonts w:ascii="Century Schoolbook" w:hAnsi="Century Schoolbook"/>
          <w:szCs w:val="24"/>
        </w:rPr>
      </w:pPr>
      <w:r w:rsidRPr="00351567">
        <w:rPr>
          <w:rFonts w:ascii="Century Schoolbook" w:hAnsi="Century Schoolbook"/>
          <w:szCs w:val="24"/>
        </w:rPr>
        <w:tab/>
        <w:t xml:space="preserve">If something like this story is right, then there is something seriously wrong with Clark and Sprevak’s methodology. They challenge their opponents to identify some respect in which Otto or Blotto are atypical. Once the opponent identifies some relevant respect, Clark and Sprevak proceed to show that a person (or an alien) could be atypical </w:t>
      </w:r>
      <w:r w:rsidRPr="00351567">
        <w:rPr>
          <w:rFonts w:ascii="Century Schoolbook" w:hAnsi="Century Schoolbook"/>
          <w:i/>
          <w:szCs w:val="24"/>
        </w:rPr>
        <w:t>in the respect identified</w:t>
      </w:r>
      <w:r w:rsidRPr="00351567">
        <w:rPr>
          <w:rFonts w:ascii="Century Schoolbook" w:hAnsi="Century Schoolbook"/>
          <w:szCs w:val="24"/>
        </w:rPr>
        <w:t xml:space="preserve"> while still </w:t>
      </w:r>
      <w:r w:rsidR="000D516F" w:rsidRPr="00351567">
        <w:rPr>
          <w:rFonts w:ascii="Century Schoolbook" w:hAnsi="Century Schoolbook"/>
          <w:szCs w:val="24"/>
        </w:rPr>
        <w:t>realising</w:t>
      </w:r>
      <w:r w:rsidRPr="00351567">
        <w:rPr>
          <w:rFonts w:ascii="Century Schoolbook" w:hAnsi="Century Schoolbook"/>
          <w:szCs w:val="24"/>
        </w:rPr>
        <w:t xml:space="preserve"> the relevant mental item.</w:t>
      </w:r>
      <w:r w:rsidR="00F16BC9" w:rsidRPr="00351567">
        <w:rPr>
          <w:rFonts w:ascii="Century Schoolbook" w:hAnsi="Century Schoolbook"/>
          <w:szCs w:val="24"/>
        </w:rPr>
        <w:t xml:space="preserve"> They do so by imagining some creature whose mental states are typical in all respects except the respect </w:t>
      </w:r>
      <w:r w:rsidR="00682B95" w:rsidRPr="00351567">
        <w:rPr>
          <w:rFonts w:ascii="Century Schoolbook" w:hAnsi="Century Schoolbook"/>
          <w:i/>
          <w:szCs w:val="24"/>
        </w:rPr>
        <w:t>F</w:t>
      </w:r>
      <w:r w:rsidR="00700843" w:rsidRPr="00351567">
        <w:rPr>
          <w:rFonts w:ascii="Century Schoolbook" w:hAnsi="Century Schoolbook"/>
          <w:i/>
          <w:szCs w:val="24"/>
          <w:vertAlign w:val="subscript"/>
        </w:rPr>
        <w:t>i</w:t>
      </w:r>
      <w:r w:rsidR="00F16BC9" w:rsidRPr="00351567">
        <w:rPr>
          <w:rFonts w:ascii="Century Schoolbook" w:hAnsi="Century Schoolbook"/>
          <w:szCs w:val="24"/>
        </w:rPr>
        <w:t xml:space="preserve"> whose significance is under consideration. They then show</w:t>
      </w:r>
      <w:r w:rsidR="00D95E6A" w:rsidRPr="00351567">
        <w:rPr>
          <w:rFonts w:ascii="Century Schoolbook" w:hAnsi="Century Schoolbook"/>
          <w:szCs w:val="24"/>
        </w:rPr>
        <w:t>, by use of a Martian case,</w:t>
      </w:r>
      <w:r w:rsidR="00F16BC9" w:rsidRPr="00351567">
        <w:rPr>
          <w:rFonts w:ascii="Century Schoolbook" w:hAnsi="Century Schoolbook"/>
          <w:szCs w:val="24"/>
        </w:rPr>
        <w:t xml:space="preserve"> that one could be atypical with regards to </w:t>
      </w:r>
      <w:r w:rsidR="00682B95" w:rsidRPr="00351567">
        <w:rPr>
          <w:rFonts w:ascii="Century Schoolbook" w:hAnsi="Century Schoolbook"/>
          <w:i/>
          <w:szCs w:val="24"/>
        </w:rPr>
        <w:t>F</w:t>
      </w:r>
      <w:r w:rsidR="00700843" w:rsidRPr="00351567">
        <w:rPr>
          <w:rFonts w:ascii="Century Schoolbook" w:hAnsi="Century Schoolbook"/>
          <w:i/>
          <w:szCs w:val="24"/>
          <w:vertAlign w:val="subscript"/>
        </w:rPr>
        <w:t>i</w:t>
      </w:r>
      <w:r w:rsidR="00F16BC9" w:rsidRPr="00351567">
        <w:rPr>
          <w:rFonts w:ascii="Century Schoolbook" w:hAnsi="Century Schoolbook"/>
          <w:szCs w:val="24"/>
        </w:rPr>
        <w:t xml:space="preserve"> and yet still count as realising the </w:t>
      </w:r>
      <w:r w:rsidR="00682B95" w:rsidRPr="00351567">
        <w:rPr>
          <w:rFonts w:ascii="Century Schoolbook" w:hAnsi="Century Schoolbook"/>
          <w:szCs w:val="24"/>
        </w:rPr>
        <w:t xml:space="preserve">relevant </w:t>
      </w:r>
      <w:r w:rsidR="00F16BC9" w:rsidRPr="00351567">
        <w:rPr>
          <w:rFonts w:ascii="Century Schoolbook" w:hAnsi="Century Schoolbook"/>
          <w:szCs w:val="24"/>
        </w:rPr>
        <w:t>mental item</w:t>
      </w:r>
      <w:r w:rsidR="00682B95" w:rsidRPr="00351567">
        <w:rPr>
          <w:rFonts w:ascii="Century Schoolbook" w:hAnsi="Century Schoolbook"/>
          <w:szCs w:val="24"/>
        </w:rPr>
        <w:t>.</w:t>
      </w:r>
      <w:r w:rsidR="000D516F" w:rsidRPr="00351567">
        <w:rPr>
          <w:rStyle w:val="FootnoteReference"/>
          <w:rFonts w:ascii="Century Schoolbook" w:hAnsi="Century Schoolbook"/>
          <w:szCs w:val="24"/>
        </w:rPr>
        <w:footnoteReference w:id="24"/>
      </w:r>
      <w:r w:rsidR="000D516F" w:rsidRPr="00351567">
        <w:rPr>
          <w:rFonts w:ascii="Century Schoolbook" w:hAnsi="Century Schoolbook"/>
          <w:szCs w:val="24"/>
        </w:rPr>
        <w:t xml:space="preserve"> </w:t>
      </w:r>
      <w:r w:rsidRPr="00351567">
        <w:rPr>
          <w:rFonts w:ascii="Century Schoolbook" w:hAnsi="Century Schoolbook"/>
          <w:szCs w:val="24"/>
        </w:rPr>
        <w:t xml:space="preserve">They then repeat this procedure for each respect identified by some opponent. </w:t>
      </w:r>
    </w:p>
    <w:p w14:paraId="296EEC39" w14:textId="7976CB37" w:rsidR="00C13A7D" w:rsidRPr="00351567" w:rsidRDefault="00C13A7D" w:rsidP="004A11B2">
      <w:pPr>
        <w:spacing w:line="480" w:lineRule="auto"/>
        <w:ind w:firstLine="720"/>
        <w:jc w:val="both"/>
        <w:rPr>
          <w:rFonts w:ascii="Century Schoolbook" w:hAnsi="Century Schoolbook"/>
          <w:szCs w:val="24"/>
        </w:rPr>
      </w:pPr>
      <w:r w:rsidRPr="00351567">
        <w:rPr>
          <w:rFonts w:ascii="Century Schoolbook" w:hAnsi="Century Schoolbook"/>
          <w:szCs w:val="24"/>
        </w:rPr>
        <w:t xml:space="preserve">But this isn’t good enough. One has to show that the sum </w:t>
      </w:r>
      <w:r w:rsidR="000D516F" w:rsidRPr="00351567">
        <w:rPr>
          <w:rFonts w:ascii="Century Schoolbook" w:hAnsi="Century Schoolbook"/>
          <w:szCs w:val="24"/>
        </w:rPr>
        <w:t xml:space="preserve">total </w:t>
      </w:r>
      <w:r w:rsidRPr="00351567">
        <w:rPr>
          <w:rFonts w:ascii="Century Schoolbook" w:hAnsi="Century Schoolbook"/>
          <w:szCs w:val="24"/>
        </w:rPr>
        <w:t>of respects</w:t>
      </w:r>
      <w:r w:rsidR="00682B95" w:rsidRPr="00351567">
        <w:rPr>
          <w:rFonts w:ascii="Century Schoolbook" w:hAnsi="Century Schoolbook"/>
          <w:szCs w:val="24"/>
        </w:rPr>
        <w:t xml:space="preserve"> (</w:t>
      </w:r>
      <w:r w:rsidR="00682B95" w:rsidRPr="00351567">
        <w:rPr>
          <w:rFonts w:ascii="Century Schoolbook" w:hAnsi="Century Schoolbook"/>
          <w:i/>
          <w:szCs w:val="24"/>
        </w:rPr>
        <w:t>F</w:t>
      </w:r>
      <w:r w:rsidR="00682B95" w:rsidRPr="00351567">
        <w:rPr>
          <w:rFonts w:ascii="Century Schoolbook" w:hAnsi="Century Schoolbook"/>
          <w:i/>
          <w:szCs w:val="24"/>
          <w:vertAlign w:val="subscript"/>
        </w:rPr>
        <w:t>1,…, n</w:t>
      </w:r>
      <w:r w:rsidR="00682B95" w:rsidRPr="00351567">
        <w:rPr>
          <w:rFonts w:ascii="Century Schoolbook" w:hAnsi="Century Schoolbook"/>
          <w:szCs w:val="24"/>
        </w:rPr>
        <w:t>)</w:t>
      </w:r>
      <w:r w:rsidRPr="00351567">
        <w:rPr>
          <w:rFonts w:ascii="Century Schoolbook" w:hAnsi="Century Schoolbook"/>
          <w:szCs w:val="24"/>
        </w:rPr>
        <w:t xml:space="preserve"> in which Otto or Blotto are functionally atypical (</w:t>
      </w:r>
      <w:r w:rsidR="00682B95" w:rsidRPr="00351567">
        <w:rPr>
          <w:rFonts w:ascii="Century Schoolbook" w:hAnsi="Century Schoolbook"/>
          <w:szCs w:val="24"/>
        </w:rPr>
        <w:t xml:space="preserve">relative to </w:t>
      </w:r>
      <w:r w:rsidR="00B83842" w:rsidRPr="00351567">
        <w:rPr>
          <w:rFonts w:ascii="Century Schoolbook" w:hAnsi="Century Schoolbook"/>
          <w:szCs w:val="24"/>
        </w:rPr>
        <w:t>benchmarks</w:t>
      </w:r>
      <w:r w:rsidR="00682B95" w:rsidRPr="00351567">
        <w:rPr>
          <w:rFonts w:ascii="Century Schoolbook" w:hAnsi="Century Schoolbook"/>
          <w:szCs w:val="24"/>
        </w:rPr>
        <w:t xml:space="preserve"> like Inga</w:t>
      </w:r>
      <w:r w:rsidRPr="00351567">
        <w:rPr>
          <w:rFonts w:ascii="Century Schoolbook" w:hAnsi="Century Schoolbook"/>
          <w:szCs w:val="24"/>
        </w:rPr>
        <w:t xml:space="preserve">) </w:t>
      </w:r>
      <w:r w:rsidR="00682B95" w:rsidRPr="00351567">
        <w:rPr>
          <w:rFonts w:ascii="Century Schoolbook" w:hAnsi="Century Schoolbook"/>
          <w:szCs w:val="24"/>
        </w:rPr>
        <w:t xml:space="preserve">do not, </w:t>
      </w:r>
      <w:r w:rsidR="00682B95" w:rsidRPr="00351567">
        <w:rPr>
          <w:rFonts w:ascii="Century Schoolbook" w:hAnsi="Century Schoolbook"/>
          <w:i/>
          <w:szCs w:val="24"/>
        </w:rPr>
        <w:t>when taken together</w:t>
      </w:r>
      <w:r w:rsidR="00193C7D" w:rsidRPr="00351567">
        <w:rPr>
          <w:rFonts w:ascii="Century Schoolbook" w:hAnsi="Century Schoolbook"/>
          <w:i/>
          <w:szCs w:val="24"/>
        </w:rPr>
        <w:t>,</w:t>
      </w:r>
      <w:r w:rsidR="00682B95" w:rsidRPr="00351567">
        <w:rPr>
          <w:rFonts w:ascii="Century Schoolbook" w:hAnsi="Century Schoolbook"/>
          <w:i/>
          <w:szCs w:val="24"/>
        </w:rPr>
        <w:t xml:space="preserve"> or in any combination</w:t>
      </w:r>
      <w:r w:rsidR="00682B95" w:rsidRPr="00351567">
        <w:rPr>
          <w:rFonts w:ascii="Century Schoolbook" w:hAnsi="Century Schoolbook"/>
          <w:szCs w:val="24"/>
        </w:rPr>
        <w:t xml:space="preserve">, undermine the claim </w:t>
      </w:r>
      <w:r w:rsidR="00E521C5" w:rsidRPr="00351567">
        <w:rPr>
          <w:rFonts w:ascii="Century Schoolbook" w:hAnsi="Century Schoolbook"/>
          <w:szCs w:val="24"/>
        </w:rPr>
        <w:t xml:space="preserve">under discussion: </w:t>
      </w:r>
      <w:r w:rsidR="00682B95" w:rsidRPr="00351567">
        <w:rPr>
          <w:rFonts w:ascii="Century Schoolbook" w:hAnsi="Century Schoolbook"/>
          <w:szCs w:val="24"/>
        </w:rPr>
        <w:t xml:space="preserve">that Otto or Blotto </w:t>
      </w:r>
      <w:r w:rsidR="00E521C5" w:rsidRPr="00351567">
        <w:rPr>
          <w:rFonts w:ascii="Century Schoolbook" w:hAnsi="Century Schoolbook"/>
          <w:szCs w:val="24"/>
        </w:rPr>
        <w:t>also bear</w:t>
      </w:r>
      <w:r w:rsidR="000D516F" w:rsidRPr="00351567">
        <w:rPr>
          <w:rFonts w:ascii="Century Schoolbook" w:hAnsi="Century Schoolbook"/>
          <w:szCs w:val="24"/>
        </w:rPr>
        <w:t>s</w:t>
      </w:r>
      <w:r w:rsidR="00E521C5" w:rsidRPr="00351567">
        <w:rPr>
          <w:rFonts w:ascii="Century Schoolbook" w:hAnsi="Century Schoolbook"/>
          <w:szCs w:val="24"/>
        </w:rPr>
        <w:t xml:space="preserve"> some</w:t>
      </w:r>
      <w:r w:rsidR="000A63D3" w:rsidRPr="00351567">
        <w:rPr>
          <w:rFonts w:ascii="Century Schoolbook" w:hAnsi="Century Schoolbook"/>
          <w:szCs w:val="24"/>
        </w:rPr>
        <w:t xml:space="preserve"> </w:t>
      </w:r>
      <w:r w:rsidR="00682B95" w:rsidRPr="00351567">
        <w:rPr>
          <w:rFonts w:ascii="Century Schoolbook" w:hAnsi="Century Schoolbook"/>
          <w:szCs w:val="24"/>
        </w:rPr>
        <w:t>mental item</w:t>
      </w:r>
      <w:r w:rsidR="00E521C5" w:rsidRPr="00351567">
        <w:rPr>
          <w:rFonts w:ascii="Century Schoolbook" w:hAnsi="Century Schoolbook"/>
          <w:szCs w:val="24"/>
        </w:rPr>
        <w:t xml:space="preserve"> borne by</w:t>
      </w:r>
      <w:r w:rsidR="000A63D3" w:rsidRPr="00351567">
        <w:rPr>
          <w:rFonts w:ascii="Century Schoolbook" w:hAnsi="Century Schoolbook"/>
          <w:szCs w:val="24"/>
        </w:rPr>
        <w:t xml:space="preserve"> Inga</w:t>
      </w:r>
      <w:r w:rsidRPr="00351567">
        <w:rPr>
          <w:rFonts w:ascii="Century Schoolbook" w:hAnsi="Century Schoolbook"/>
          <w:szCs w:val="24"/>
        </w:rPr>
        <w:t xml:space="preserve">. Until this is done, the question of whether Otto or Blotto </w:t>
      </w:r>
      <w:r w:rsidR="00682B95" w:rsidRPr="00351567">
        <w:rPr>
          <w:rFonts w:ascii="Century Schoolbook" w:hAnsi="Century Schoolbook"/>
          <w:szCs w:val="24"/>
        </w:rPr>
        <w:t>bears</w:t>
      </w:r>
      <w:r w:rsidRPr="00351567">
        <w:rPr>
          <w:rFonts w:ascii="Century Schoolbook" w:hAnsi="Century Schoolbook"/>
          <w:szCs w:val="24"/>
        </w:rPr>
        <w:t xml:space="preserve"> the relevant mental item must remain open. A</w:t>
      </w:r>
      <w:bookmarkStart w:id="0" w:name="_GoBack"/>
      <w:bookmarkEnd w:id="0"/>
      <w:r w:rsidRPr="00351567">
        <w:rPr>
          <w:rFonts w:ascii="Century Schoolbook" w:hAnsi="Century Schoolbook"/>
          <w:szCs w:val="24"/>
        </w:rPr>
        <w:t xml:space="preserve">nd from this it follows that common-sense functionalism of the kind outlined here has not been shown to imply either EM or the absurd conclusions </w:t>
      </w:r>
      <w:r w:rsidR="00F946E4" w:rsidRPr="00351567">
        <w:rPr>
          <w:rFonts w:ascii="Century Schoolbook" w:hAnsi="Century Schoolbook"/>
          <w:szCs w:val="24"/>
        </w:rPr>
        <w:t>that Sprevak attempts to derive</w:t>
      </w:r>
      <w:r w:rsidRPr="00351567">
        <w:rPr>
          <w:rFonts w:ascii="Century Schoolbook" w:hAnsi="Century Schoolbook"/>
          <w:szCs w:val="24"/>
        </w:rPr>
        <w:t xml:space="preserve">.  </w:t>
      </w:r>
    </w:p>
    <w:p w14:paraId="1F69141C" w14:textId="77777777" w:rsidR="000F5071" w:rsidRPr="00351567" w:rsidRDefault="00C9043A" w:rsidP="004A11B2">
      <w:pPr>
        <w:spacing w:line="480" w:lineRule="auto"/>
        <w:jc w:val="both"/>
        <w:rPr>
          <w:rFonts w:ascii="Century Schoolbook" w:hAnsi="Century Schoolbook"/>
        </w:rPr>
      </w:pPr>
      <w:r w:rsidRPr="00351567">
        <w:rPr>
          <w:rFonts w:ascii="Century Schoolbook" w:hAnsi="Century Schoolbook"/>
          <w:szCs w:val="24"/>
        </w:rPr>
        <w:lastRenderedPageBreak/>
        <w:tab/>
      </w:r>
      <w:r w:rsidR="000F5071" w:rsidRPr="00351567">
        <w:rPr>
          <w:rFonts w:ascii="Century Schoolbook" w:hAnsi="Century Schoolbook"/>
          <w:szCs w:val="24"/>
        </w:rPr>
        <w:t xml:space="preserve">So Clark and Sprevak must either change their argumentative methodology or they must give principled reasons for rejecting the common-sense functionalist’s claims about </w:t>
      </w:r>
      <w:r w:rsidR="000F5071" w:rsidRPr="00351567">
        <w:rPr>
          <w:rFonts w:ascii="Century Schoolbook" w:hAnsi="Century Schoolbook"/>
          <w:i/>
          <w:szCs w:val="24"/>
        </w:rPr>
        <w:t>ceteris paribus</w:t>
      </w:r>
      <w:r w:rsidR="000F5071" w:rsidRPr="00351567">
        <w:rPr>
          <w:rFonts w:ascii="Century Schoolbook" w:hAnsi="Century Schoolbook"/>
          <w:i/>
        </w:rPr>
        <w:t xml:space="preserve"> </w:t>
      </w:r>
      <w:r w:rsidR="000F5071" w:rsidRPr="00351567">
        <w:rPr>
          <w:rFonts w:ascii="Century Schoolbook" w:hAnsi="Century Schoolbook"/>
        </w:rPr>
        <w:t xml:space="preserve">typicality conditions. Until they do so, they cannot claim to have established the claims for which they argue; Clark has not established the truth of EM and Sprevak has not provided a successful </w:t>
      </w:r>
      <w:r w:rsidR="000F5071" w:rsidRPr="00351567">
        <w:rPr>
          <w:rFonts w:ascii="Century Schoolbook" w:hAnsi="Century Schoolbook"/>
          <w:i/>
        </w:rPr>
        <w:t xml:space="preserve">reductio </w:t>
      </w:r>
      <w:r w:rsidR="000F5071" w:rsidRPr="00351567">
        <w:rPr>
          <w:rFonts w:ascii="Century Schoolbook" w:hAnsi="Century Schoolbook"/>
        </w:rPr>
        <w:t>of common-sense functionalism.</w:t>
      </w:r>
    </w:p>
    <w:p w14:paraId="1D354200" w14:textId="6A670899" w:rsidR="000F5071" w:rsidRPr="00351567" w:rsidRDefault="00F16BC9" w:rsidP="00351567">
      <w:pPr>
        <w:pStyle w:val="Heading1"/>
        <w:rPr>
          <w:rFonts w:ascii="Century Schoolbook" w:hAnsi="Century Schoolbook"/>
        </w:rPr>
      </w:pPr>
      <w:r w:rsidRPr="00351567">
        <w:rPr>
          <w:rFonts w:ascii="Century Schoolbook" w:hAnsi="Century Schoolbook"/>
        </w:rPr>
        <w:t xml:space="preserve">5. </w:t>
      </w:r>
      <w:r w:rsidR="00B83842" w:rsidRPr="00351567">
        <w:rPr>
          <w:rFonts w:ascii="Century Schoolbook" w:hAnsi="Century Schoolbook"/>
        </w:rPr>
        <w:t>OBJECTION AND REPLY</w:t>
      </w:r>
      <w:r w:rsidR="00B355D1" w:rsidRPr="00351567">
        <w:rPr>
          <w:rStyle w:val="FootnoteReference"/>
          <w:rFonts w:ascii="Century Schoolbook" w:hAnsi="Century Schoolbook"/>
          <w:sz w:val="22"/>
        </w:rPr>
        <w:footnoteReference w:id="25"/>
      </w:r>
    </w:p>
    <w:p w14:paraId="1F31CCF3" w14:textId="77777777" w:rsidR="00F16BC9" w:rsidRPr="00351567" w:rsidRDefault="00F16BC9" w:rsidP="004A11B2">
      <w:pPr>
        <w:pStyle w:val="NoSpacing"/>
        <w:ind w:left="360"/>
        <w:jc w:val="both"/>
        <w:rPr>
          <w:rFonts w:ascii="Century Schoolbook" w:hAnsi="Century Schoolbook"/>
        </w:rPr>
      </w:pPr>
    </w:p>
    <w:p w14:paraId="54903CAD" w14:textId="034D34D9" w:rsidR="00F902B7" w:rsidRPr="00351567" w:rsidRDefault="00F16BC9" w:rsidP="004A11B2">
      <w:pPr>
        <w:spacing w:line="480" w:lineRule="auto"/>
        <w:jc w:val="both"/>
        <w:rPr>
          <w:rFonts w:ascii="Century Schoolbook" w:hAnsi="Century Schoolbook"/>
        </w:rPr>
      </w:pPr>
      <w:r w:rsidRPr="00351567">
        <w:rPr>
          <w:rFonts w:ascii="Century Schoolbook" w:hAnsi="Century Schoolbook"/>
        </w:rPr>
        <w:t xml:space="preserve">Is there room for Clark to </w:t>
      </w:r>
      <w:r w:rsidR="00BF7E64" w:rsidRPr="00351567">
        <w:rPr>
          <w:rFonts w:ascii="Century Schoolbook" w:hAnsi="Century Schoolbook"/>
        </w:rPr>
        <w:t xml:space="preserve">accommodate this point about </w:t>
      </w:r>
      <w:r w:rsidR="00BF7E64" w:rsidRPr="00351567">
        <w:rPr>
          <w:rFonts w:ascii="Century Schoolbook" w:hAnsi="Century Schoolbook"/>
          <w:i/>
        </w:rPr>
        <w:t>ceteris paribus</w:t>
      </w:r>
      <w:r w:rsidR="00BF7E64" w:rsidRPr="00351567">
        <w:rPr>
          <w:rFonts w:ascii="Century Schoolbook" w:hAnsi="Century Schoolbook"/>
        </w:rPr>
        <w:t xml:space="preserve"> conditions while leaving his argument in tact? One option open to him is to claim that</w:t>
      </w:r>
      <w:r w:rsidR="00B83842" w:rsidRPr="00351567">
        <w:rPr>
          <w:rFonts w:ascii="Century Schoolbook" w:hAnsi="Century Schoolbook"/>
        </w:rPr>
        <w:t>,</w:t>
      </w:r>
      <w:r w:rsidR="00BF7E64" w:rsidRPr="00351567">
        <w:rPr>
          <w:rFonts w:ascii="Century Schoolbook" w:hAnsi="Century Schoolbook"/>
        </w:rPr>
        <w:t xml:space="preserve"> while his opponents assume that </w:t>
      </w:r>
      <w:r w:rsidR="00BF7E64" w:rsidRPr="00351567">
        <w:rPr>
          <w:rFonts w:ascii="Century Schoolbook" w:hAnsi="Century Schoolbook"/>
          <w:i/>
        </w:rPr>
        <w:t xml:space="preserve">their </w:t>
      </w:r>
      <w:r w:rsidR="00BF7E64" w:rsidRPr="00351567">
        <w:rPr>
          <w:rFonts w:ascii="Century Schoolbook" w:hAnsi="Century Schoolbook"/>
        </w:rPr>
        <w:t xml:space="preserve">anti-Otto </w:t>
      </w:r>
      <w:r w:rsidR="00F902B7" w:rsidRPr="00351567">
        <w:rPr>
          <w:rFonts w:ascii="Century Schoolbook" w:hAnsi="Century Schoolbook"/>
        </w:rPr>
        <w:t xml:space="preserve">conditions </w:t>
      </w:r>
      <w:r w:rsidR="00BF7E64" w:rsidRPr="00351567">
        <w:rPr>
          <w:rFonts w:ascii="Century Schoolbook" w:hAnsi="Century Schoolbook"/>
        </w:rPr>
        <w:t xml:space="preserve">are individually necessary for realising </w:t>
      </w:r>
      <w:r w:rsidR="00F902B7" w:rsidRPr="00351567">
        <w:rPr>
          <w:rFonts w:ascii="Century Schoolbook" w:hAnsi="Century Schoolbook"/>
        </w:rPr>
        <w:t>the relevant</w:t>
      </w:r>
      <w:r w:rsidR="00BF7E64" w:rsidRPr="00351567">
        <w:rPr>
          <w:rFonts w:ascii="Century Schoolbook" w:hAnsi="Century Schoolbook"/>
        </w:rPr>
        <w:t xml:space="preserve"> mental item</w:t>
      </w:r>
      <w:r w:rsidR="000A63D3" w:rsidRPr="00351567">
        <w:rPr>
          <w:rFonts w:ascii="Century Schoolbook" w:hAnsi="Century Schoolbook"/>
        </w:rPr>
        <w:t>s</w:t>
      </w:r>
      <w:r w:rsidR="00F902B7" w:rsidRPr="00351567">
        <w:rPr>
          <w:rFonts w:ascii="Century Schoolbook" w:hAnsi="Century Schoolbook"/>
        </w:rPr>
        <w:t xml:space="preserve">, </w:t>
      </w:r>
      <w:r w:rsidR="00F902B7" w:rsidRPr="00351567">
        <w:rPr>
          <w:rFonts w:ascii="Century Schoolbook" w:hAnsi="Century Schoolbook"/>
          <w:i/>
        </w:rPr>
        <w:t xml:space="preserve">his </w:t>
      </w:r>
      <w:r w:rsidR="00F902B7" w:rsidRPr="00351567">
        <w:rPr>
          <w:rFonts w:ascii="Century Schoolbook" w:hAnsi="Century Schoolbook"/>
        </w:rPr>
        <w:t>anti-</w:t>
      </w:r>
      <w:r w:rsidR="00DA356D" w:rsidRPr="00351567">
        <w:rPr>
          <w:rFonts w:ascii="Century Schoolbook" w:hAnsi="Century Schoolbook"/>
        </w:rPr>
        <w:t>Blotto</w:t>
      </w:r>
      <w:r w:rsidR="00F902B7" w:rsidRPr="00351567">
        <w:rPr>
          <w:rFonts w:ascii="Century Schoolbook" w:hAnsi="Century Schoolbook"/>
        </w:rPr>
        <w:t xml:space="preserve"> conditions </w:t>
      </w:r>
      <w:r w:rsidR="000A63D3" w:rsidRPr="00351567">
        <w:rPr>
          <w:rFonts w:ascii="Century Schoolbook" w:hAnsi="Century Schoolbook"/>
        </w:rPr>
        <w:t>need</w:t>
      </w:r>
      <w:r w:rsidR="00F902B7" w:rsidRPr="00351567">
        <w:rPr>
          <w:rFonts w:ascii="Century Schoolbook" w:hAnsi="Century Schoolbook"/>
        </w:rPr>
        <w:t xml:space="preserve"> not</w:t>
      </w:r>
      <w:r w:rsidR="00193C7D" w:rsidRPr="00351567">
        <w:rPr>
          <w:rFonts w:ascii="Century Schoolbook" w:hAnsi="Century Schoolbook"/>
        </w:rPr>
        <w:t xml:space="preserve"> </w:t>
      </w:r>
      <w:r w:rsidR="000D516F" w:rsidRPr="00351567">
        <w:rPr>
          <w:rFonts w:ascii="Century Schoolbook" w:hAnsi="Century Schoolbook"/>
        </w:rPr>
        <w:t>be</w:t>
      </w:r>
      <w:r w:rsidR="00193C7D" w:rsidRPr="00351567">
        <w:rPr>
          <w:rFonts w:ascii="Century Schoolbook" w:hAnsi="Century Schoolbook"/>
        </w:rPr>
        <w:t xml:space="preserve"> so</w:t>
      </w:r>
      <w:r w:rsidR="00BF7E64" w:rsidRPr="00351567">
        <w:rPr>
          <w:rFonts w:ascii="Century Schoolbook" w:hAnsi="Century Schoolbook"/>
        </w:rPr>
        <w:t>.</w:t>
      </w:r>
      <w:r w:rsidR="00F902B7" w:rsidRPr="00351567">
        <w:rPr>
          <w:rFonts w:ascii="Century Schoolbook" w:hAnsi="Century Schoolbook"/>
        </w:rPr>
        <w:t xml:space="preserve"> He could argue as follows: ‘my opponent thinks that involving non-derived content is necessary for counting as a non-occurrent </w:t>
      </w:r>
      <w:r w:rsidR="00D17F0C" w:rsidRPr="00351567">
        <w:rPr>
          <w:rFonts w:ascii="Century Schoolbook" w:hAnsi="Century Schoolbook"/>
        </w:rPr>
        <w:t>belief</w:t>
      </w:r>
      <w:r w:rsidR="00F902B7" w:rsidRPr="00351567">
        <w:rPr>
          <w:rFonts w:ascii="Century Schoolbook" w:hAnsi="Century Schoolbook"/>
        </w:rPr>
        <w:t xml:space="preserve">, but I have shown this to be false with a Martian counterexample. Another opponent thinks that such-and-such is individually necessary for counting as a </w:t>
      </w:r>
      <w:r w:rsidR="000A63D3" w:rsidRPr="00351567">
        <w:rPr>
          <w:rFonts w:ascii="Century Schoolbook" w:hAnsi="Century Schoolbook"/>
        </w:rPr>
        <w:t>non-occurrent belief</w:t>
      </w:r>
      <w:r w:rsidR="00F902B7" w:rsidRPr="00351567">
        <w:rPr>
          <w:rFonts w:ascii="Century Schoolbook" w:hAnsi="Century Schoolbook"/>
        </w:rPr>
        <w:t xml:space="preserve">, and I have shown </w:t>
      </w:r>
      <w:r w:rsidR="00F902B7" w:rsidRPr="00351567">
        <w:rPr>
          <w:rFonts w:ascii="Century Schoolbook" w:hAnsi="Century Schoolbook"/>
          <w:i/>
        </w:rPr>
        <w:t>that</w:t>
      </w:r>
      <w:r w:rsidR="00F902B7" w:rsidRPr="00351567">
        <w:rPr>
          <w:rFonts w:ascii="Century Schoolbook" w:hAnsi="Century Schoolbook"/>
        </w:rPr>
        <w:t xml:space="preserve"> to be false using a</w:t>
      </w:r>
      <w:r w:rsidR="000A63D3" w:rsidRPr="00351567">
        <w:rPr>
          <w:rFonts w:ascii="Century Schoolbook" w:hAnsi="Century Schoolbook"/>
        </w:rPr>
        <w:t>nother bespoke Martian counterexample.</w:t>
      </w:r>
      <w:r w:rsidR="00F902B7" w:rsidRPr="00351567">
        <w:rPr>
          <w:rFonts w:ascii="Century Schoolbook" w:hAnsi="Century Schoolbook"/>
        </w:rPr>
        <w:t xml:space="preserve"> It’s not me </w:t>
      </w:r>
      <w:r w:rsidR="00A0723E" w:rsidRPr="00351567">
        <w:rPr>
          <w:rFonts w:ascii="Century Schoolbook" w:hAnsi="Century Schoolbook"/>
        </w:rPr>
        <w:t xml:space="preserve">making </w:t>
      </w:r>
      <w:r w:rsidR="00F902B7" w:rsidRPr="00351567">
        <w:rPr>
          <w:rFonts w:ascii="Century Schoolbook" w:hAnsi="Century Schoolbook"/>
        </w:rPr>
        <w:t xml:space="preserve">such individual necessity assumptions, it’s </w:t>
      </w:r>
      <w:r w:rsidR="000A63D3" w:rsidRPr="00351567">
        <w:rPr>
          <w:rFonts w:ascii="Century Schoolbook" w:hAnsi="Century Schoolbook"/>
        </w:rPr>
        <w:t>my opponents</w:t>
      </w:r>
      <w:r w:rsidR="00F902B7" w:rsidRPr="00351567">
        <w:rPr>
          <w:rFonts w:ascii="Century Schoolbook" w:hAnsi="Century Schoolbook"/>
        </w:rPr>
        <w:t xml:space="preserve">. I merely show their assumptions </w:t>
      </w:r>
      <w:r w:rsidR="000D516F" w:rsidRPr="00351567">
        <w:rPr>
          <w:rFonts w:ascii="Century Schoolbook" w:hAnsi="Century Schoolbook"/>
        </w:rPr>
        <w:t>to be</w:t>
      </w:r>
      <w:r w:rsidR="00F902B7" w:rsidRPr="00351567">
        <w:rPr>
          <w:rFonts w:ascii="Century Schoolbook" w:hAnsi="Century Schoolbook"/>
        </w:rPr>
        <w:t xml:space="preserve"> false.’</w:t>
      </w:r>
    </w:p>
    <w:p w14:paraId="3C748DBE" w14:textId="568A0E49" w:rsidR="00BF7E64" w:rsidRPr="00351567" w:rsidRDefault="00F902B7" w:rsidP="004A11B2">
      <w:pPr>
        <w:spacing w:line="480" w:lineRule="auto"/>
        <w:jc w:val="both"/>
        <w:rPr>
          <w:rFonts w:ascii="Century Schoolbook" w:hAnsi="Century Schoolbook"/>
        </w:rPr>
      </w:pPr>
      <w:r w:rsidRPr="00351567">
        <w:rPr>
          <w:rFonts w:ascii="Century Schoolbook" w:hAnsi="Century Schoolbook"/>
        </w:rPr>
        <w:tab/>
      </w:r>
      <w:r w:rsidR="00D17F0C" w:rsidRPr="00351567">
        <w:rPr>
          <w:rFonts w:ascii="Century Schoolbook" w:hAnsi="Century Schoolbook"/>
        </w:rPr>
        <w:t>I</w:t>
      </w:r>
      <w:r w:rsidRPr="00351567">
        <w:rPr>
          <w:rFonts w:ascii="Century Schoolbook" w:hAnsi="Century Schoolbook"/>
        </w:rPr>
        <w:t>f Clark takes this line, it looks like</w:t>
      </w:r>
      <w:r w:rsidR="00973FA7" w:rsidRPr="00351567">
        <w:rPr>
          <w:rFonts w:ascii="Century Schoolbook" w:hAnsi="Century Schoolbook"/>
        </w:rPr>
        <w:t xml:space="preserve"> he can use</w:t>
      </w:r>
      <w:r w:rsidRPr="00351567">
        <w:rPr>
          <w:rFonts w:ascii="Century Schoolbook" w:hAnsi="Century Schoolbook"/>
        </w:rPr>
        <w:t xml:space="preserve"> h</w:t>
      </w:r>
      <w:r w:rsidR="00973FA7" w:rsidRPr="00351567">
        <w:rPr>
          <w:rFonts w:ascii="Century Schoolbook" w:hAnsi="Century Schoolbook"/>
        </w:rPr>
        <w:t>is Martian counterexamples</w:t>
      </w:r>
      <w:r w:rsidRPr="00351567">
        <w:rPr>
          <w:rFonts w:ascii="Century Schoolbook" w:hAnsi="Century Schoolbook"/>
        </w:rPr>
        <w:t xml:space="preserve"> </w:t>
      </w:r>
      <w:r w:rsidR="00973FA7" w:rsidRPr="00351567">
        <w:rPr>
          <w:rFonts w:ascii="Century Schoolbook" w:hAnsi="Century Schoolbook"/>
        </w:rPr>
        <w:t>to</w:t>
      </w:r>
      <w:r w:rsidRPr="00351567">
        <w:rPr>
          <w:rFonts w:ascii="Century Schoolbook" w:hAnsi="Century Schoolbook"/>
        </w:rPr>
        <w:t xml:space="preserve"> </w:t>
      </w:r>
      <w:r w:rsidR="00D17F0C" w:rsidRPr="00351567">
        <w:rPr>
          <w:rFonts w:ascii="Century Schoolbook" w:hAnsi="Century Schoolbook"/>
        </w:rPr>
        <w:t>silence the anti-Otto brigade without himself relying on</w:t>
      </w:r>
      <w:r w:rsidR="00193C7D" w:rsidRPr="00351567">
        <w:rPr>
          <w:rFonts w:ascii="Century Schoolbook" w:hAnsi="Century Schoolbook"/>
        </w:rPr>
        <w:t xml:space="preserve"> any</w:t>
      </w:r>
      <w:r w:rsidR="00D17F0C" w:rsidRPr="00351567">
        <w:rPr>
          <w:rFonts w:ascii="Century Schoolbook" w:hAnsi="Century Schoolbook"/>
        </w:rPr>
        <w:t xml:space="preserve"> individual necessity assumption. If he does this, there is no reason why he should build the </w:t>
      </w:r>
      <w:r w:rsidR="00D17F0C" w:rsidRPr="00351567">
        <w:rPr>
          <w:rFonts w:ascii="Century Schoolbook" w:hAnsi="Century Schoolbook"/>
        </w:rPr>
        <w:lastRenderedPageBreak/>
        <w:t xml:space="preserve">individual </w:t>
      </w:r>
      <w:r w:rsidR="00973FA7" w:rsidRPr="00351567">
        <w:rPr>
          <w:rFonts w:ascii="Century Schoolbook" w:hAnsi="Century Schoolbook"/>
        </w:rPr>
        <w:t xml:space="preserve">necessity </w:t>
      </w:r>
      <w:r w:rsidR="00D17F0C" w:rsidRPr="00351567">
        <w:rPr>
          <w:rFonts w:ascii="Century Schoolbook" w:hAnsi="Century Schoolbook"/>
        </w:rPr>
        <w:t>assumption into his anti-</w:t>
      </w:r>
      <w:r w:rsidR="00DA356D" w:rsidRPr="00351567">
        <w:rPr>
          <w:rFonts w:ascii="Century Schoolbook" w:hAnsi="Century Schoolbook"/>
        </w:rPr>
        <w:t>Blotto</w:t>
      </w:r>
      <w:r w:rsidR="00D17F0C" w:rsidRPr="00351567">
        <w:rPr>
          <w:rFonts w:ascii="Century Schoolbook" w:hAnsi="Century Schoolbook"/>
        </w:rPr>
        <w:t xml:space="preserve"> conditions.</w:t>
      </w:r>
      <w:r w:rsidR="0093737F" w:rsidRPr="00351567">
        <w:rPr>
          <w:rFonts w:ascii="Century Schoolbook" w:hAnsi="Century Schoolbook"/>
        </w:rPr>
        <w:t xml:space="preserve"> This means he can treat his conditions in the manner suggested in the previous section</w:t>
      </w:r>
      <w:r w:rsidR="00193C7D" w:rsidRPr="00351567">
        <w:rPr>
          <w:rFonts w:ascii="Century Schoolbook" w:hAnsi="Century Schoolbook"/>
        </w:rPr>
        <w:t xml:space="preserve">. He can claim </w:t>
      </w:r>
      <w:r w:rsidR="0093737F" w:rsidRPr="00351567">
        <w:rPr>
          <w:rFonts w:ascii="Century Schoolbook" w:hAnsi="Century Schoolbook"/>
        </w:rPr>
        <w:t>that while none of his three conditions are individually necessary for non-occurrent belief, some combination of them</w:t>
      </w:r>
      <w:r w:rsidR="00193C7D" w:rsidRPr="00351567">
        <w:rPr>
          <w:rFonts w:ascii="Century Schoolbook" w:hAnsi="Century Schoolbook"/>
        </w:rPr>
        <w:t xml:space="preserve"> (or some combination</w:t>
      </w:r>
      <w:r w:rsidR="00193C7D" w:rsidRPr="00351567">
        <w:rPr>
          <w:rFonts w:ascii="Century Schoolbook" w:hAnsi="Century Schoolbook"/>
          <w:i/>
        </w:rPr>
        <w:t xml:space="preserve"> involving </w:t>
      </w:r>
      <w:r w:rsidR="00193C7D" w:rsidRPr="00351567">
        <w:rPr>
          <w:rFonts w:ascii="Century Schoolbook" w:hAnsi="Century Schoolbook"/>
        </w:rPr>
        <w:t>them)</w:t>
      </w:r>
      <w:r w:rsidR="0093737F" w:rsidRPr="00351567">
        <w:rPr>
          <w:rFonts w:ascii="Century Schoolbook" w:hAnsi="Century Schoolbook"/>
        </w:rPr>
        <w:t xml:space="preserve"> is necessary.</w:t>
      </w:r>
      <w:r w:rsidR="000A63D3" w:rsidRPr="00351567">
        <w:rPr>
          <w:rStyle w:val="FootnoteReference"/>
          <w:rFonts w:ascii="Century Schoolbook" w:hAnsi="Century Schoolbook"/>
        </w:rPr>
        <w:footnoteReference w:id="26"/>
      </w:r>
      <w:r w:rsidR="00D17F0C" w:rsidRPr="00351567">
        <w:rPr>
          <w:rFonts w:ascii="Century Schoolbook" w:hAnsi="Century Schoolbook"/>
        </w:rPr>
        <w:t xml:space="preserve"> </w:t>
      </w:r>
      <w:r w:rsidRPr="00351567">
        <w:rPr>
          <w:rFonts w:ascii="Century Schoolbook" w:hAnsi="Century Schoolbook"/>
        </w:rPr>
        <w:t xml:space="preserve">If he does this, he can neutralise Sprevak’s </w:t>
      </w:r>
      <w:r w:rsidRPr="00351567">
        <w:rPr>
          <w:rFonts w:ascii="Century Schoolbook" w:hAnsi="Century Schoolbook"/>
          <w:i/>
        </w:rPr>
        <w:t>reductio</w:t>
      </w:r>
      <w:r w:rsidR="00D17F0C" w:rsidRPr="00351567">
        <w:rPr>
          <w:rFonts w:ascii="Century Schoolbook" w:hAnsi="Century Schoolbook"/>
        </w:rPr>
        <w:t>, which worked</w:t>
      </w:r>
      <w:r w:rsidR="00BC0E46" w:rsidRPr="00351567">
        <w:rPr>
          <w:rFonts w:ascii="Century Schoolbook" w:hAnsi="Century Schoolbook"/>
        </w:rPr>
        <w:t xml:space="preserve"> by taking each of Clark’s three conditions in turn and undermining </w:t>
      </w:r>
      <w:r w:rsidR="0093737F" w:rsidRPr="00351567">
        <w:rPr>
          <w:rFonts w:ascii="Century Schoolbook" w:hAnsi="Century Schoolbook"/>
        </w:rPr>
        <w:t>each’s</w:t>
      </w:r>
      <w:r w:rsidR="00BC0E46" w:rsidRPr="00351567">
        <w:rPr>
          <w:rFonts w:ascii="Century Schoolbook" w:hAnsi="Century Schoolbook"/>
        </w:rPr>
        <w:t xml:space="preserve"> claim to individual necessity. If the conditions were never meant to be individually necessary, then </w:t>
      </w:r>
      <w:r w:rsidR="00973FA7" w:rsidRPr="00351567">
        <w:rPr>
          <w:rFonts w:ascii="Century Schoolbook" w:hAnsi="Century Schoolbook"/>
        </w:rPr>
        <w:t>Sprevak’s</w:t>
      </w:r>
      <w:r w:rsidR="00BC0E46" w:rsidRPr="00351567">
        <w:rPr>
          <w:rFonts w:ascii="Century Schoolbook" w:hAnsi="Century Schoolbook"/>
        </w:rPr>
        <w:t xml:space="preserve"> </w:t>
      </w:r>
      <w:r w:rsidR="00973FA7" w:rsidRPr="00351567">
        <w:rPr>
          <w:rFonts w:ascii="Century Schoolbook" w:hAnsi="Century Schoolbook"/>
        </w:rPr>
        <w:t>counterexamples don’t</w:t>
      </w:r>
      <w:r w:rsidR="0093737F" w:rsidRPr="00351567">
        <w:rPr>
          <w:rFonts w:ascii="Century Schoolbook" w:hAnsi="Century Schoolbook"/>
        </w:rPr>
        <w:t xml:space="preserve"> automatically</w:t>
      </w:r>
      <w:r w:rsidR="00BC0E46" w:rsidRPr="00351567">
        <w:rPr>
          <w:rFonts w:ascii="Century Schoolbook" w:hAnsi="Century Schoolbook"/>
        </w:rPr>
        <w:t xml:space="preserve"> work. And there is some textual evidence </w:t>
      </w:r>
      <w:r w:rsidR="00A0723E" w:rsidRPr="00351567">
        <w:rPr>
          <w:rFonts w:ascii="Century Schoolbook" w:hAnsi="Century Schoolbook"/>
        </w:rPr>
        <w:t xml:space="preserve">suggesting that Clark does </w:t>
      </w:r>
      <w:r w:rsidR="00A0723E" w:rsidRPr="00351567">
        <w:rPr>
          <w:rFonts w:ascii="Century Schoolbook" w:hAnsi="Century Schoolbook"/>
          <w:i/>
        </w:rPr>
        <w:t>not</w:t>
      </w:r>
      <w:r w:rsidR="00BC0E46" w:rsidRPr="00351567">
        <w:rPr>
          <w:rFonts w:ascii="Century Schoolbook" w:hAnsi="Century Schoolbook"/>
        </w:rPr>
        <w:t xml:space="preserve"> treats his three anti-</w:t>
      </w:r>
      <w:r w:rsidR="00DA356D" w:rsidRPr="00351567">
        <w:rPr>
          <w:rFonts w:ascii="Century Schoolbook" w:hAnsi="Century Schoolbook"/>
        </w:rPr>
        <w:t>Blotto</w:t>
      </w:r>
      <w:r w:rsidR="00BC0E46" w:rsidRPr="00351567">
        <w:rPr>
          <w:rFonts w:ascii="Century Schoolbook" w:hAnsi="Century Schoolbook"/>
        </w:rPr>
        <w:t xml:space="preserve"> criteria as individual</w:t>
      </w:r>
      <w:r w:rsidR="00A0723E" w:rsidRPr="00351567">
        <w:rPr>
          <w:rFonts w:ascii="Century Schoolbook" w:hAnsi="Century Schoolbook"/>
        </w:rPr>
        <w:t>ly</w:t>
      </w:r>
      <w:r w:rsidR="00BC0E46" w:rsidRPr="00351567">
        <w:rPr>
          <w:rFonts w:ascii="Century Schoolbook" w:hAnsi="Century Schoolbook"/>
        </w:rPr>
        <w:t xml:space="preserve"> necessary in the above sense.</w:t>
      </w:r>
      <w:r w:rsidR="00BC0E46" w:rsidRPr="00351567">
        <w:rPr>
          <w:rStyle w:val="FootnoteReference"/>
          <w:rFonts w:ascii="Century Schoolbook" w:hAnsi="Century Schoolbook"/>
        </w:rPr>
        <w:footnoteReference w:id="27"/>
      </w:r>
      <w:r w:rsidR="00BC0E46" w:rsidRPr="00351567">
        <w:rPr>
          <w:rFonts w:ascii="Century Schoolbook" w:hAnsi="Century Schoolbook"/>
        </w:rPr>
        <w:t xml:space="preserve"> </w:t>
      </w:r>
      <w:r w:rsidR="0093737F" w:rsidRPr="00351567">
        <w:rPr>
          <w:rFonts w:ascii="Century Schoolbook" w:hAnsi="Century Schoolbook"/>
        </w:rPr>
        <w:t>So it looks like Clark might be safe after all.</w:t>
      </w:r>
    </w:p>
    <w:p w14:paraId="0A83BEC1" w14:textId="77777777" w:rsidR="00B83842" w:rsidRPr="00351567" w:rsidRDefault="0053180B" w:rsidP="004A11B2">
      <w:pPr>
        <w:spacing w:line="480" w:lineRule="auto"/>
        <w:jc w:val="both"/>
        <w:rPr>
          <w:rFonts w:ascii="Century Schoolbook" w:hAnsi="Century Schoolbook"/>
        </w:rPr>
      </w:pPr>
      <w:r w:rsidRPr="00351567">
        <w:rPr>
          <w:rFonts w:ascii="Century Schoolbook" w:hAnsi="Century Schoolbook"/>
        </w:rPr>
        <w:tab/>
        <w:t xml:space="preserve">This appearance is misleading. The problem </w:t>
      </w:r>
      <w:r w:rsidR="0093737F" w:rsidRPr="00351567">
        <w:rPr>
          <w:rFonts w:ascii="Century Schoolbook" w:hAnsi="Century Schoolbook"/>
        </w:rPr>
        <w:t>is that the strategy just described is</w:t>
      </w:r>
      <w:r w:rsidR="00973FA7" w:rsidRPr="00351567">
        <w:rPr>
          <w:rFonts w:ascii="Century Schoolbook" w:hAnsi="Century Schoolbook"/>
        </w:rPr>
        <w:t xml:space="preserve"> </w:t>
      </w:r>
      <w:r w:rsidR="00543FBA" w:rsidRPr="00351567">
        <w:rPr>
          <w:rFonts w:ascii="Century Schoolbook" w:hAnsi="Century Schoolbook"/>
        </w:rPr>
        <w:t>overly contingent</w:t>
      </w:r>
      <w:r w:rsidR="00BE1401" w:rsidRPr="00351567">
        <w:rPr>
          <w:rFonts w:ascii="Century Schoolbook" w:hAnsi="Century Schoolbook"/>
        </w:rPr>
        <w:t xml:space="preserve"> on the manner in which </w:t>
      </w:r>
      <w:r w:rsidR="0093737F" w:rsidRPr="00351567">
        <w:rPr>
          <w:rFonts w:ascii="Century Schoolbook" w:hAnsi="Century Schoolbook"/>
        </w:rPr>
        <w:t>Clark’s</w:t>
      </w:r>
      <w:r w:rsidR="00BE1401" w:rsidRPr="00351567">
        <w:rPr>
          <w:rFonts w:ascii="Century Schoolbook" w:hAnsi="Century Schoolbook"/>
        </w:rPr>
        <w:t xml:space="preserve"> opponents happen to argue</w:t>
      </w:r>
      <w:r w:rsidR="00543FBA" w:rsidRPr="00351567">
        <w:rPr>
          <w:rFonts w:ascii="Century Schoolbook" w:hAnsi="Century Schoolbook"/>
        </w:rPr>
        <w:t>. Let’s grant, for the sake of argument</w:t>
      </w:r>
      <w:r w:rsidR="00BE1401" w:rsidRPr="00351567">
        <w:rPr>
          <w:rFonts w:ascii="Century Schoolbook" w:hAnsi="Century Schoolbook"/>
        </w:rPr>
        <w:t>,</w:t>
      </w:r>
      <w:r w:rsidR="00543FBA" w:rsidRPr="00351567">
        <w:rPr>
          <w:rFonts w:ascii="Century Schoolbook" w:hAnsi="Century Schoolbook"/>
        </w:rPr>
        <w:t xml:space="preserve"> that</w:t>
      </w:r>
      <w:r w:rsidR="0092739C" w:rsidRPr="00351567">
        <w:rPr>
          <w:rFonts w:ascii="Century Schoolbook" w:hAnsi="Century Schoolbook"/>
        </w:rPr>
        <w:t xml:space="preserve"> as it happens, </w:t>
      </w:r>
      <w:r w:rsidR="00543FBA" w:rsidRPr="00351567">
        <w:rPr>
          <w:rFonts w:ascii="Century Schoolbook" w:hAnsi="Century Schoolbook"/>
        </w:rPr>
        <w:t xml:space="preserve">members of the anti-Otto brigade all argue against Clark by </w:t>
      </w:r>
      <w:r w:rsidR="0093737F" w:rsidRPr="00351567">
        <w:rPr>
          <w:rFonts w:ascii="Century Schoolbook" w:hAnsi="Century Schoolbook"/>
        </w:rPr>
        <w:t xml:space="preserve">a) </w:t>
      </w:r>
      <w:r w:rsidR="00543FBA" w:rsidRPr="00351567">
        <w:rPr>
          <w:rFonts w:ascii="Century Schoolbook" w:hAnsi="Century Schoolbook"/>
        </w:rPr>
        <w:t xml:space="preserve">picking some functional feature that differentiates Otto from Inga, </w:t>
      </w:r>
      <w:r w:rsidR="0093737F" w:rsidRPr="00351567">
        <w:rPr>
          <w:rFonts w:ascii="Century Schoolbook" w:hAnsi="Century Schoolbook"/>
        </w:rPr>
        <w:t xml:space="preserve">b) </w:t>
      </w:r>
      <w:r w:rsidR="00543FBA" w:rsidRPr="00351567">
        <w:rPr>
          <w:rFonts w:ascii="Century Schoolbook" w:hAnsi="Century Schoolbook"/>
        </w:rPr>
        <w:t>assuming that having this feature is individually necessary for having the relevant non-occurrent beliefs and</w:t>
      </w:r>
      <w:r w:rsidR="0093737F" w:rsidRPr="00351567">
        <w:rPr>
          <w:rFonts w:ascii="Century Schoolbook" w:hAnsi="Century Schoolbook"/>
        </w:rPr>
        <w:t xml:space="preserve"> c)</w:t>
      </w:r>
      <w:r w:rsidR="00543FBA" w:rsidRPr="00351567">
        <w:rPr>
          <w:rFonts w:ascii="Century Schoolbook" w:hAnsi="Century Schoolbook"/>
        </w:rPr>
        <w:t xml:space="preserve"> concluding that Inga has the relevant beliefs while Otto does not. This being the </w:t>
      </w:r>
      <w:r w:rsidR="00543FBA" w:rsidRPr="00351567">
        <w:rPr>
          <w:rFonts w:ascii="Century Schoolbook" w:hAnsi="Century Schoolbook"/>
        </w:rPr>
        <w:lastRenderedPageBreak/>
        <w:t xml:space="preserve">case, Clark’s </w:t>
      </w:r>
      <w:r w:rsidR="00973FA7" w:rsidRPr="00351567">
        <w:rPr>
          <w:rFonts w:ascii="Century Schoolbook" w:hAnsi="Century Schoolbook"/>
        </w:rPr>
        <w:t xml:space="preserve">bespoke Martian </w:t>
      </w:r>
      <w:r w:rsidR="00543FBA" w:rsidRPr="00351567">
        <w:rPr>
          <w:rFonts w:ascii="Century Schoolbook" w:hAnsi="Century Schoolbook"/>
        </w:rPr>
        <w:t xml:space="preserve">strategy </w:t>
      </w:r>
      <w:r w:rsidR="00973FA7" w:rsidRPr="00351567">
        <w:rPr>
          <w:rFonts w:ascii="Century Schoolbook" w:hAnsi="Century Schoolbook"/>
        </w:rPr>
        <w:t xml:space="preserve">looks successful </w:t>
      </w:r>
      <w:r w:rsidR="00543FBA" w:rsidRPr="00351567">
        <w:rPr>
          <w:rFonts w:ascii="Century Schoolbook" w:hAnsi="Century Schoolbook"/>
        </w:rPr>
        <w:t>agains</w:t>
      </w:r>
      <w:r w:rsidR="00BE1401" w:rsidRPr="00351567">
        <w:rPr>
          <w:rFonts w:ascii="Century Schoolbook" w:hAnsi="Century Schoolbook"/>
        </w:rPr>
        <w:t>t</w:t>
      </w:r>
      <w:r w:rsidR="00543FBA" w:rsidRPr="00351567">
        <w:rPr>
          <w:rFonts w:ascii="Century Schoolbook" w:hAnsi="Century Schoolbook"/>
        </w:rPr>
        <w:t xml:space="preserve"> the anti-Otto brigade</w:t>
      </w:r>
      <w:r w:rsidR="00973FA7" w:rsidRPr="00351567">
        <w:rPr>
          <w:rFonts w:ascii="Century Schoolbook" w:hAnsi="Century Schoolbook"/>
        </w:rPr>
        <w:t>.</w:t>
      </w:r>
      <w:r w:rsidR="00543FBA" w:rsidRPr="00351567">
        <w:rPr>
          <w:rFonts w:ascii="Century Schoolbook" w:hAnsi="Century Schoolbook"/>
        </w:rPr>
        <w:t xml:space="preserve"> </w:t>
      </w:r>
    </w:p>
    <w:p w14:paraId="7F0B35F6" w14:textId="412A9441" w:rsidR="00BE1401" w:rsidRPr="00351567" w:rsidRDefault="00543FBA" w:rsidP="004A11B2">
      <w:pPr>
        <w:spacing w:line="480" w:lineRule="auto"/>
        <w:ind w:firstLine="720"/>
        <w:jc w:val="both"/>
        <w:rPr>
          <w:rFonts w:ascii="Century Schoolbook" w:hAnsi="Century Schoolbook"/>
        </w:rPr>
      </w:pPr>
      <w:r w:rsidRPr="00351567">
        <w:rPr>
          <w:rFonts w:ascii="Century Schoolbook" w:hAnsi="Century Schoolbook"/>
        </w:rPr>
        <w:t xml:space="preserve">But suppose his opponents gang up together and claim that while the features they previously pointed to may not be </w:t>
      </w:r>
      <w:r w:rsidRPr="00351567">
        <w:rPr>
          <w:rFonts w:ascii="Century Schoolbook" w:hAnsi="Century Schoolbook"/>
          <w:i/>
        </w:rPr>
        <w:t>individually</w:t>
      </w:r>
      <w:r w:rsidRPr="00351567">
        <w:rPr>
          <w:rFonts w:ascii="Century Schoolbook" w:hAnsi="Century Schoolbook"/>
        </w:rPr>
        <w:t xml:space="preserve"> necessary for counting as a believer, having some combination of the features they point to </w:t>
      </w:r>
      <w:r w:rsidRPr="00351567">
        <w:rPr>
          <w:rFonts w:ascii="Century Schoolbook" w:hAnsi="Century Schoolbook"/>
          <w:i/>
        </w:rPr>
        <w:t>is</w:t>
      </w:r>
      <w:r w:rsidRPr="00351567">
        <w:rPr>
          <w:rFonts w:ascii="Century Schoolbook" w:hAnsi="Century Schoolbook"/>
        </w:rPr>
        <w:t xml:space="preserve"> necessary for so counting.</w:t>
      </w:r>
      <w:r w:rsidR="00BE1401" w:rsidRPr="00351567">
        <w:rPr>
          <w:rFonts w:ascii="Century Schoolbook" w:hAnsi="Century Schoolbook"/>
        </w:rPr>
        <w:t xml:space="preserve"> Suppose, in other words, that his opponents adopt the strategy suggested in the previous section. In fact, to make the supposition less hypothetical, I hereby declare myself an </w:t>
      </w:r>
      <w:r w:rsidR="00973FA7" w:rsidRPr="00351567">
        <w:rPr>
          <w:rFonts w:ascii="Century Schoolbook" w:hAnsi="Century Schoolbook"/>
        </w:rPr>
        <w:t>anti-Otto brigadier</w:t>
      </w:r>
      <w:r w:rsidR="00BE1401" w:rsidRPr="00351567">
        <w:rPr>
          <w:rFonts w:ascii="Century Schoolbook" w:hAnsi="Century Schoolbook"/>
        </w:rPr>
        <w:t xml:space="preserve">, and one who adopts the strategy just suggested. </w:t>
      </w:r>
      <w:r w:rsidR="0092739C" w:rsidRPr="00351567">
        <w:rPr>
          <w:rFonts w:ascii="Century Schoolbook" w:hAnsi="Century Schoolbook"/>
        </w:rPr>
        <w:t>If the argument in the last section is right, there is nothing</w:t>
      </w:r>
      <w:r w:rsidR="0082129B" w:rsidRPr="00351567">
        <w:rPr>
          <w:rFonts w:ascii="Century Schoolbook" w:hAnsi="Century Schoolbook"/>
        </w:rPr>
        <w:t xml:space="preserve"> obviously</w:t>
      </w:r>
      <w:r w:rsidR="0092739C" w:rsidRPr="00351567">
        <w:rPr>
          <w:rFonts w:ascii="Century Schoolbook" w:hAnsi="Century Schoolbook"/>
        </w:rPr>
        <w:t xml:space="preserve"> incoherent about the idea that conditions may be ‘combinatorially necessary’ </w:t>
      </w:r>
      <w:r w:rsidR="00DA356D" w:rsidRPr="00351567">
        <w:rPr>
          <w:rFonts w:ascii="Century Schoolbook" w:hAnsi="Century Schoolbook"/>
        </w:rPr>
        <w:t>even if they’re not individually necessary</w:t>
      </w:r>
      <w:r w:rsidR="003E6D98" w:rsidRPr="00351567">
        <w:rPr>
          <w:rFonts w:ascii="Century Schoolbook" w:hAnsi="Century Schoolbook"/>
        </w:rPr>
        <w:t>. And recall that Clark’s challenge was: show me some functionally significant feature exhibited by Inga, but not Otto, such that only Inga has non-occurrent beliefs. I now have a set (</w:t>
      </w:r>
      <w:r w:rsidR="003E6D98" w:rsidRPr="00351567">
        <w:rPr>
          <w:rFonts w:ascii="Century Schoolbook" w:hAnsi="Century Schoolbook"/>
          <w:i/>
        </w:rPr>
        <w:t>F</w:t>
      </w:r>
      <w:r w:rsidR="003E6D98" w:rsidRPr="00351567">
        <w:rPr>
          <w:rFonts w:ascii="Century Schoolbook" w:hAnsi="Century Schoolbook"/>
          <w:i/>
          <w:vertAlign w:val="subscript"/>
        </w:rPr>
        <w:t>1…, n</w:t>
      </w:r>
      <w:r w:rsidR="003E6D98" w:rsidRPr="00351567">
        <w:rPr>
          <w:rFonts w:ascii="Century Schoolbook" w:hAnsi="Century Schoolbook"/>
        </w:rPr>
        <w:t>)</w:t>
      </w:r>
      <w:r w:rsidR="003E6D98" w:rsidRPr="00351567">
        <w:rPr>
          <w:rFonts w:ascii="Century Schoolbook" w:hAnsi="Century Schoolbook"/>
          <w:i/>
        </w:rPr>
        <w:t xml:space="preserve"> </w:t>
      </w:r>
      <w:r w:rsidR="003E6D98" w:rsidRPr="00351567">
        <w:rPr>
          <w:rFonts w:ascii="Century Schoolbook" w:hAnsi="Century Schoolbook"/>
        </w:rPr>
        <w:t xml:space="preserve">of functional features which look </w:t>
      </w:r>
      <w:r w:rsidR="003E6D98" w:rsidRPr="00351567">
        <w:rPr>
          <w:rFonts w:ascii="Century Schoolbook" w:hAnsi="Century Schoolbook"/>
          <w:i/>
        </w:rPr>
        <w:t xml:space="preserve">prima facie </w:t>
      </w:r>
      <w:r w:rsidR="003E6D98" w:rsidRPr="00351567">
        <w:rPr>
          <w:rFonts w:ascii="Century Schoolbook" w:hAnsi="Century Schoolbook"/>
        </w:rPr>
        <w:t xml:space="preserve">to be significant, for all the standard reasons raised by </w:t>
      </w:r>
      <w:r w:rsidR="00663EBE" w:rsidRPr="00351567">
        <w:rPr>
          <w:rFonts w:ascii="Century Schoolbook" w:hAnsi="Century Schoolbook"/>
        </w:rPr>
        <w:t>the anti-Otto brigade</w:t>
      </w:r>
      <w:r w:rsidR="003E6D98" w:rsidRPr="00351567">
        <w:rPr>
          <w:rFonts w:ascii="Century Schoolbook" w:hAnsi="Century Schoolbook"/>
        </w:rPr>
        <w:t xml:space="preserve">. Clark has only </w:t>
      </w:r>
      <w:r w:rsidR="0082129B" w:rsidRPr="00351567">
        <w:rPr>
          <w:rFonts w:ascii="Century Schoolbook" w:hAnsi="Century Schoolbook"/>
        </w:rPr>
        <w:t>argued</w:t>
      </w:r>
      <w:r w:rsidR="003E6D98" w:rsidRPr="00351567">
        <w:rPr>
          <w:rFonts w:ascii="Century Schoolbook" w:hAnsi="Century Schoolbook"/>
        </w:rPr>
        <w:t xml:space="preserve"> that the</w:t>
      </w:r>
      <w:r w:rsidR="0082129B" w:rsidRPr="00351567">
        <w:rPr>
          <w:rFonts w:ascii="Century Schoolbook" w:hAnsi="Century Schoolbook"/>
        </w:rPr>
        <w:t>se</w:t>
      </w:r>
      <w:r w:rsidR="003E6D98" w:rsidRPr="00351567">
        <w:rPr>
          <w:rFonts w:ascii="Century Schoolbook" w:hAnsi="Century Schoolbook"/>
        </w:rPr>
        <w:t xml:space="preserve"> are not individually necessary. He has not considered</w:t>
      </w:r>
      <w:r w:rsidR="00663EBE" w:rsidRPr="00351567">
        <w:rPr>
          <w:rFonts w:ascii="Century Schoolbook" w:hAnsi="Century Schoolbook"/>
        </w:rPr>
        <w:t xml:space="preserve"> (let alone </w:t>
      </w:r>
      <w:r w:rsidR="00D25F86" w:rsidRPr="00351567">
        <w:rPr>
          <w:rFonts w:ascii="Century Schoolbook" w:hAnsi="Century Schoolbook"/>
          <w:i/>
        </w:rPr>
        <w:t>undermined</w:t>
      </w:r>
      <w:r w:rsidR="00663EBE" w:rsidRPr="00351567">
        <w:rPr>
          <w:rFonts w:ascii="Century Schoolbook" w:hAnsi="Century Schoolbook"/>
        </w:rPr>
        <w:t>)</w:t>
      </w:r>
      <w:r w:rsidR="003E6D98" w:rsidRPr="00351567">
        <w:rPr>
          <w:rFonts w:ascii="Century Schoolbook" w:hAnsi="Century Schoolbook"/>
        </w:rPr>
        <w:t xml:space="preserve"> the possibility that they might be significant in </w:t>
      </w:r>
      <w:r w:rsidR="00DA356D" w:rsidRPr="00351567">
        <w:rPr>
          <w:rFonts w:ascii="Century Schoolbook" w:hAnsi="Century Schoolbook"/>
        </w:rPr>
        <w:t xml:space="preserve">the ‘combinatorially necessary’ way. To </w:t>
      </w:r>
      <w:r w:rsidR="00D25F86" w:rsidRPr="00351567">
        <w:rPr>
          <w:rFonts w:ascii="Century Schoolbook" w:hAnsi="Century Schoolbook"/>
        </w:rPr>
        <w:t>undermine</w:t>
      </w:r>
      <w:r w:rsidR="00DA356D" w:rsidRPr="00351567">
        <w:rPr>
          <w:rFonts w:ascii="Century Schoolbook" w:hAnsi="Century Schoolbook"/>
        </w:rPr>
        <w:t xml:space="preserve"> this possibility,</w:t>
      </w:r>
      <w:r w:rsidR="00BE1401" w:rsidRPr="00351567">
        <w:rPr>
          <w:rFonts w:ascii="Century Schoolbook" w:hAnsi="Century Schoolbook"/>
        </w:rPr>
        <w:t xml:space="preserve"> </w:t>
      </w:r>
      <w:r w:rsidR="00DA356D" w:rsidRPr="00351567">
        <w:rPr>
          <w:rFonts w:ascii="Century Schoolbook" w:hAnsi="Century Schoolbook"/>
        </w:rPr>
        <w:t xml:space="preserve">he </w:t>
      </w:r>
      <w:r w:rsidR="00BE1401" w:rsidRPr="00351567">
        <w:rPr>
          <w:rFonts w:ascii="Century Schoolbook" w:hAnsi="Century Schoolbook"/>
        </w:rPr>
        <w:t xml:space="preserve">cannot </w:t>
      </w:r>
      <w:r w:rsidR="00DA356D" w:rsidRPr="00351567">
        <w:rPr>
          <w:rFonts w:ascii="Century Schoolbook" w:hAnsi="Century Schoolbook"/>
        </w:rPr>
        <w:t xml:space="preserve">simply </w:t>
      </w:r>
      <w:r w:rsidR="0093737F" w:rsidRPr="00351567">
        <w:rPr>
          <w:rFonts w:ascii="Century Schoolbook" w:hAnsi="Century Schoolbook"/>
        </w:rPr>
        <w:t>generate</w:t>
      </w:r>
      <w:r w:rsidR="00025A52" w:rsidRPr="00351567">
        <w:rPr>
          <w:rFonts w:ascii="Century Schoolbook" w:hAnsi="Century Schoolbook"/>
        </w:rPr>
        <w:t xml:space="preserve"> bespoke </w:t>
      </w:r>
      <w:r w:rsidR="00973FA7" w:rsidRPr="00351567">
        <w:rPr>
          <w:rFonts w:ascii="Century Schoolbook" w:hAnsi="Century Schoolbook"/>
        </w:rPr>
        <w:t xml:space="preserve">Martian </w:t>
      </w:r>
      <w:r w:rsidR="00025A52" w:rsidRPr="00351567">
        <w:rPr>
          <w:rFonts w:ascii="Century Schoolbook" w:hAnsi="Century Schoolbook"/>
        </w:rPr>
        <w:t xml:space="preserve">counterexamples to </w:t>
      </w:r>
      <w:r w:rsidR="00BE1401" w:rsidRPr="00351567">
        <w:rPr>
          <w:rFonts w:ascii="Century Schoolbook" w:hAnsi="Century Schoolbook"/>
        </w:rPr>
        <w:t>pick of</w:t>
      </w:r>
      <w:r w:rsidR="00025A52" w:rsidRPr="00351567">
        <w:rPr>
          <w:rFonts w:ascii="Century Schoolbook" w:hAnsi="Century Schoolbook"/>
        </w:rPr>
        <w:t>f</w:t>
      </w:r>
      <w:r w:rsidR="00BE1401" w:rsidRPr="00351567">
        <w:rPr>
          <w:rFonts w:ascii="Century Schoolbook" w:hAnsi="Century Schoolbook"/>
        </w:rPr>
        <w:t xml:space="preserve"> my conditions one by one, as he </w:t>
      </w:r>
      <w:r w:rsidR="00DA356D" w:rsidRPr="00351567">
        <w:rPr>
          <w:rFonts w:ascii="Century Schoolbook" w:hAnsi="Century Schoolbook"/>
        </w:rPr>
        <w:t>has done to date</w:t>
      </w:r>
      <w:r w:rsidR="00025A52" w:rsidRPr="00351567">
        <w:rPr>
          <w:rFonts w:ascii="Century Schoolbook" w:hAnsi="Century Schoolbook"/>
        </w:rPr>
        <w:t xml:space="preserve">. </w:t>
      </w:r>
    </w:p>
    <w:p w14:paraId="5E6E8425" w14:textId="2643DB28" w:rsidR="0053180B" w:rsidRPr="00351567" w:rsidRDefault="00025A52" w:rsidP="004A11B2">
      <w:pPr>
        <w:spacing w:line="480" w:lineRule="auto"/>
        <w:ind w:firstLine="720"/>
        <w:jc w:val="both"/>
        <w:rPr>
          <w:rFonts w:ascii="Century Schoolbook" w:hAnsi="Century Schoolbook"/>
          <w:szCs w:val="24"/>
        </w:rPr>
      </w:pPr>
      <w:r w:rsidRPr="00351567">
        <w:rPr>
          <w:rFonts w:ascii="Century Schoolbook" w:hAnsi="Century Schoolbook"/>
        </w:rPr>
        <w:t>It seems that</w:t>
      </w:r>
      <w:r w:rsidR="00BE1401" w:rsidRPr="00351567">
        <w:rPr>
          <w:rFonts w:ascii="Century Schoolbook" w:hAnsi="Century Schoolbook"/>
        </w:rPr>
        <w:t xml:space="preserve"> unless Clark </w:t>
      </w:r>
      <w:r w:rsidR="00663EBE" w:rsidRPr="00351567">
        <w:rPr>
          <w:rFonts w:ascii="Century Schoolbook" w:hAnsi="Century Schoolbook"/>
        </w:rPr>
        <w:t xml:space="preserve">comes </w:t>
      </w:r>
      <w:r w:rsidR="00BE1401" w:rsidRPr="00351567">
        <w:rPr>
          <w:rFonts w:ascii="Century Schoolbook" w:hAnsi="Century Schoolbook"/>
        </w:rPr>
        <w:t xml:space="preserve">up with some new argumentative strategy, he must show why his opponents are </w:t>
      </w:r>
      <w:r w:rsidR="00BE1401" w:rsidRPr="00351567">
        <w:rPr>
          <w:rFonts w:ascii="Century Schoolbook" w:hAnsi="Century Schoolbook"/>
          <w:i/>
        </w:rPr>
        <w:t xml:space="preserve">forced </w:t>
      </w:r>
      <w:r w:rsidR="00BE1401" w:rsidRPr="00351567">
        <w:rPr>
          <w:rFonts w:ascii="Century Schoolbook" w:hAnsi="Century Schoolbook"/>
        </w:rPr>
        <w:t xml:space="preserve">to adopt the individual necessity assumption, while he is </w:t>
      </w:r>
      <w:r w:rsidR="00BE1401" w:rsidRPr="00351567">
        <w:rPr>
          <w:rFonts w:ascii="Century Schoolbook" w:hAnsi="Century Schoolbook"/>
          <w:i/>
        </w:rPr>
        <w:t>free</w:t>
      </w:r>
      <w:r w:rsidR="00BE1401" w:rsidRPr="00351567">
        <w:rPr>
          <w:rFonts w:ascii="Century Schoolbook" w:hAnsi="Century Schoolbook"/>
        </w:rPr>
        <w:t xml:space="preserve"> to drop</w:t>
      </w:r>
      <w:r w:rsidRPr="00351567">
        <w:rPr>
          <w:rFonts w:ascii="Century Schoolbook" w:hAnsi="Century Schoolbook"/>
        </w:rPr>
        <w:t xml:space="preserve"> it</w:t>
      </w:r>
      <w:r w:rsidR="00BE1401" w:rsidRPr="00351567">
        <w:rPr>
          <w:rFonts w:ascii="Century Schoolbook" w:hAnsi="Century Schoolbook"/>
        </w:rPr>
        <w:t xml:space="preserve"> (when developing his anti-</w:t>
      </w:r>
      <w:r w:rsidR="00DA356D" w:rsidRPr="00351567">
        <w:rPr>
          <w:rFonts w:ascii="Century Schoolbook" w:hAnsi="Century Schoolbook"/>
        </w:rPr>
        <w:t>Blotto</w:t>
      </w:r>
      <w:r w:rsidR="00BE1401" w:rsidRPr="00351567">
        <w:rPr>
          <w:rFonts w:ascii="Century Schoolbook" w:hAnsi="Century Schoolbook"/>
        </w:rPr>
        <w:t xml:space="preserve"> </w:t>
      </w:r>
      <w:r w:rsidR="00BE1401" w:rsidRPr="00351567">
        <w:rPr>
          <w:rFonts w:ascii="Century Schoolbook" w:hAnsi="Century Schoolbook"/>
        </w:rPr>
        <w:lastRenderedPageBreak/>
        <w:t xml:space="preserve">conditions). If he fails to do this on principled grounds, it looks like he is adopting a double standard: </w:t>
      </w:r>
      <w:r w:rsidRPr="00351567">
        <w:rPr>
          <w:rFonts w:ascii="Century Schoolbook" w:hAnsi="Century Schoolbook"/>
        </w:rPr>
        <w:t>a tough</w:t>
      </w:r>
      <w:r w:rsidR="00BE1401" w:rsidRPr="00351567">
        <w:rPr>
          <w:rFonts w:ascii="Century Schoolbook" w:hAnsi="Century Schoolbook"/>
        </w:rPr>
        <w:t xml:space="preserve"> rule for the anti-Otto brigade, </w:t>
      </w:r>
      <w:r w:rsidRPr="00351567">
        <w:rPr>
          <w:rFonts w:ascii="Century Schoolbook" w:hAnsi="Century Schoolbook"/>
        </w:rPr>
        <w:t>and a lax</w:t>
      </w:r>
      <w:r w:rsidR="00BE1401" w:rsidRPr="00351567">
        <w:rPr>
          <w:rFonts w:ascii="Century Schoolbook" w:hAnsi="Century Schoolbook"/>
        </w:rPr>
        <w:t xml:space="preserve"> rule for the anti-Blotto brigade.</w:t>
      </w:r>
      <w:r w:rsidRPr="00351567">
        <w:rPr>
          <w:rFonts w:ascii="Century Schoolbook" w:hAnsi="Century Schoolbook"/>
        </w:rPr>
        <w:t xml:space="preserve"> It’s not enough to show that the anti-Otto brigade happen to impose the tough rule on themselves, unless it can be shown that they are </w:t>
      </w:r>
      <w:r w:rsidRPr="00351567">
        <w:rPr>
          <w:rFonts w:ascii="Century Schoolbook" w:hAnsi="Century Schoolbook"/>
          <w:i/>
        </w:rPr>
        <w:t>obliged</w:t>
      </w:r>
      <w:r w:rsidRPr="00351567">
        <w:rPr>
          <w:rFonts w:ascii="Century Schoolbook" w:hAnsi="Century Schoolbook"/>
        </w:rPr>
        <w:t xml:space="preserve"> to do so for some reason. Otherwise, I can simply </w:t>
      </w:r>
      <w:r w:rsidR="00973FA7" w:rsidRPr="00351567">
        <w:rPr>
          <w:rFonts w:ascii="Century Schoolbook" w:hAnsi="Century Schoolbook"/>
        </w:rPr>
        <w:t xml:space="preserve">pronounce myself a </w:t>
      </w:r>
      <w:r w:rsidRPr="00351567">
        <w:rPr>
          <w:rFonts w:ascii="Century Schoolbook" w:hAnsi="Century Schoolbook"/>
        </w:rPr>
        <w:t>new-and-improved anti-Otto brigad</w:t>
      </w:r>
      <w:r w:rsidR="00973FA7" w:rsidRPr="00351567">
        <w:rPr>
          <w:rFonts w:ascii="Century Schoolbook" w:hAnsi="Century Schoolbook"/>
        </w:rPr>
        <w:t>ier</w:t>
      </w:r>
      <w:r w:rsidRPr="00351567">
        <w:rPr>
          <w:rFonts w:ascii="Century Schoolbook" w:hAnsi="Century Schoolbook"/>
        </w:rPr>
        <w:t>, impose the lax rule on my list of anti-Otto features (</w:t>
      </w:r>
      <w:r w:rsidRPr="00351567">
        <w:rPr>
          <w:rFonts w:ascii="Century Schoolbook" w:hAnsi="Century Schoolbook"/>
          <w:i/>
          <w:szCs w:val="24"/>
        </w:rPr>
        <w:t>F</w:t>
      </w:r>
      <w:r w:rsidRPr="00351567">
        <w:rPr>
          <w:rFonts w:ascii="Century Schoolbook" w:hAnsi="Century Schoolbook"/>
          <w:i/>
          <w:szCs w:val="24"/>
          <w:vertAlign w:val="subscript"/>
        </w:rPr>
        <w:t>1,…,n</w:t>
      </w:r>
      <w:r w:rsidRPr="00351567">
        <w:rPr>
          <w:rFonts w:ascii="Century Schoolbook" w:hAnsi="Century Schoolbook"/>
          <w:i/>
          <w:szCs w:val="24"/>
        </w:rPr>
        <w:t>)</w:t>
      </w:r>
      <w:r w:rsidRPr="00351567">
        <w:rPr>
          <w:rFonts w:ascii="Century Schoolbook" w:hAnsi="Century Schoolbook"/>
          <w:szCs w:val="24"/>
        </w:rPr>
        <w:t>, and use these to block Clark’s argument for EM.</w:t>
      </w:r>
    </w:p>
    <w:p w14:paraId="57BFDD76" w14:textId="5556F46A" w:rsidR="00025A52" w:rsidRDefault="00025A52" w:rsidP="004A11B2">
      <w:pPr>
        <w:spacing w:line="480" w:lineRule="auto"/>
        <w:ind w:firstLine="720"/>
        <w:jc w:val="both"/>
        <w:rPr>
          <w:rFonts w:ascii="Century Schoolbook" w:hAnsi="Century Schoolbook"/>
          <w:szCs w:val="24"/>
        </w:rPr>
      </w:pPr>
      <w:r w:rsidRPr="00351567">
        <w:rPr>
          <w:rFonts w:ascii="Century Schoolbook" w:hAnsi="Century Schoolbook"/>
          <w:szCs w:val="24"/>
        </w:rPr>
        <w:t xml:space="preserve">We end, again, with Clark between a rock and a hard place. Either adopt the individual necessity assumption, in which case </w:t>
      </w:r>
      <w:r w:rsidR="00DA356D" w:rsidRPr="00351567">
        <w:rPr>
          <w:rFonts w:ascii="Century Schoolbook" w:hAnsi="Century Schoolbook"/>
          <w:szCs w:val="24"/>
        </w:rPr>
        <w:t>Blotto</w:t>
      </w:r>
      <w:r w:rsidRPr="00351567">
        <w:rPr>
          <w:rFonts w:ascii="Century Schoolbook" w:hAnsi="Century Schoolbook"/>
          <w:szCs w:val="24"/>
        </w:rPr>
        <w:t xml:space="preserve"> becomes a problem</w:t>
      </w:r>
      <w:r w:rsidR="0082129B" w:rsidRPr="00351567">
        <w:rPr>
          <w:rFonts w:ascii="Century Schoolbook" w:hAnsi="Century Schoolbook"/>
          <w:szCs w:val="24"/>
        </w:rPr>
        <w:t>. O</w:t>
      </w:r>
      <w:r w:rsidRPr="00351567">
        <w:rPr>
          <w:rFonts w:ascii="Century Schoolbook" w:hAnsi="Century Schoolbook"/>
          <w:szCs w:val="24"/>
        </w:rPr>
        <w:t xml:space="preserve">r drop the assumption, </w:t>
      </w:r>
      <w:r w:rsidR="0082129B" w:rsidRPr="00351567">
        <w:rPr>
          <w:rFonts w:ascii="Century Schoolbook" w:hAnsi="Century Schoolbook"/>
          <w:szCs w:val="24"/>
        </w:rPr>
        <w:t>and thereby defang</w:t>
      </w:r>
      <w:r w:rsidRPr="00351567">
        <w:rPr>
          <w:rFonts w:ascii="Century Schoolbook" w:hAnsi="Century Schoolbook"/>
          <w:szCs w:val="24"/>
        </w:rPr>
        <w:t xml:space="preserve"> </w:t>
      </w:r>
      <w:r w:rsidR="00663EBE" w:rsidRPr="00351567">
        <w:rPr>
          <w:rFonts w:ascii="Century Schoolbook" w:hAnsi="Century Schoolbook"/>
          <w:szCs w:val="24"/>
        </w:rPr>
        <w:t xml:space="preserve">the Martian counterexamples on which Clark usually relies </w:t>
      </w:r>
      <w:r w:rsidR="0082129B" w:rsidRPr="00351567">
        <w:rPr>
          <w:rFonts w:ascii="Century Schoolbook" w:hAnsi="Century Schoolbook"/>
          <w:szCs w:val="24"/>
        </w:rPr>
        <w:t>to motivate EM</w:t>
      </w:r>
      <w:r w:rsidR="00973FA7" w:rsidRPr="00351567">
        <w:rPr>
          <w:rFonts w:ascii="Century Schoolbook" w:hAnsi="Century Schoolbook"/>
          <w:szCs w:val="24"/>
        </w:rPr>
        <w:t>.</w:t>
      </w:r>
      <w:r w:rsidR="00D17F0C" w:rsidRPr="00351567">
        <w:rPr>
          <w:rFonts w:ascii="Century Schoolbook" w:hAnsi="Century Schoolbook"/>
          <w:szCs w:val="24"/>
        </w:rPr>
        <w:t xml:space="preserve"> To avoid this dilemma, Clark must either give principled grounds for adopting what would otherwise look like a double standard, or he must develop a whole new argumentative strategy. Either way, the ball is now in his court.</w:t>
      </w:r>
      <w:r w:rsidR="000D3BA7" w:rsidRPr="00351567">
        <w:rPr>
          <w:rStyle w:val="FootnoteReference"/>
          <w:rFonts w:ascii="Century Schoolbook" w:hAnsi="Century Schoolbook"/>
          <w:szCs w:val="24"/>
        </w:rPr>
        <w:footnoteReference w:id="28"/>
      </w:r>
    </w:p>
    <w:p w14:paraId="47C3AC1D" w14:textId="77777777" w:rsidR="00351567" w:rsidRDefault="00351567" w:rsidP="004A11B2">
      <w:pPr>
        <w:spacing w:line="480" w:lineRule="auto"/>
        <w:ind w:firstLine="720"/>
        <w:jc w:val="both"/>
        <w:rPr>
          <w:rFonts w:ascii="Century Schoolbook" w:hAnsi="Century Schoolbook"/>
          <w:szCs w:val="24"/>
        </w:rPr>
      </w:pPr>
    </w:p>
    <w:p w14:paraId="38AEB1E6" w14:textId="77777777" w:rsidR="00351567" w:rsidRDefault="00351567" w:rsidP="004A11B2">
      <w:pPr>
        <w:spacing w:line="480" w:lineRule="auto"/>
        <w:ind w:firstLine="720"/>
        <w:jc w:val="both"/>
        <w:rPr>
          <w:rFonts w:ascii="Century Schoolbook" w:hAnsi="Century Schoolbook"/>
          <w:szCs w:val="24"/>
        </w:rPr>
      </w:pPr>
    </w:p>
    <w:p w14:paraId="20EB8479" w14:textId="77777777" w:rsidR="00351567" w:rsidRDefault="00351567" w:rsidP="004A11B2">
      <w:pPr>
        <w:spacing w:line="480" w:lineRule="auto"/>
        <w:ind w:firstLine="720"/>
        <w:jc w:val="both"/>
        <w:rPr>
          <w:rFonts w:ascii="Century Schoolbook" w:hAnsi="Century Schoolbook"/>
          <w:szCs w:val="24"/>
        </w:rPr>
      </w:pPr>
    </w:p>
    <w:p w14:paraId="0645C71D" w14:textId="77777777" w:rsidR="00351567" w:rsidRPr="00351567" w:rsidRDefault="00351567" w:rsidP="004A11B2">
      <w:pPr>
        <w:spacing w:line="480" w:lineRule="auto"/>
        <w:ind w:firstLine="720"/>
        <w:jc w:val="both"/>
        <w:rPr>
          <w:rFonts w:ascii="Century Schoolbook" w:hAnsi="Century Schoolbook"/>
          <w:szCs w:val="24"/>
        </w:rPr>
      </w:pPr>
    </w:p>
    <w:p w14:paraId="50D05C47" w14:textId="77777777" w:rsidR="0053180B" w:rsidRPr="00351567" w:rsidRDefault="0053180B" w:rsidP="004A11B2">
      <w:pPr>
        <w:spacing w:line="480" w:lineRule="auto"/>
        <w:jc w:val="both"/>
        <w:rPr>
          <w:rFonts w:ascii="Century Schoolbook" w:hAnsi="Century Schoolbook"/>
        </w:rPr>
      </w:pPr>
      <w:r w:rsidRPr="00351567">
        <w:rPr>
          <w:rFonts w:ascii="Century Schoolbook" w:hAnsi="Century Schoolbook"/>
        </w:rPr>
        <w:tab/>
      </w:r>
    </w:p>
    <w:p w14:paraId="359309BD" w14:textId="48D3FCAA" w:rsidR="005030EC" w:rsidRPr="00351567" w:rsidRDefault="00514618" w:rsidP="00351567">
      <w:pPr>
        <w:pStyle w:val="Heading1"/>
        <w:rPr>
          <w:rFonts w:ascii="Century Schoolbook" w:hAnsi="Century Schoolbook"/>
        </w:rPr>
      </w:pPr>
      <w:r w:rsidRPr="00351567">
        <w:rPr>
          <w:rFonts w:ascii="Century Schoolbook" w:hAnsi="Century Schoolbook"/>
        </w:rPr>
        <w:lastRenderedPageBreak/>
        <w:t>REFERENCES:</w:t>
      </w:r>
    </w:p>
    <w:p w14:paraId="35581C86" w14:textId="77777777" w:rsidR="003A4827" w:rsidRPr="00351567" w:rsidRDefault="003A4827" w:rsidP="004A11B2">
      <w:pPr>
        <w:jc w:val="both"/>
        <w:rPr>
          <w:rFonts w:ascii="Century Schoolbook" w:eastAsiaTheme="minorEastAsia" w:hAnsi="Century Schoolbook"/>
        </w:rPr>
      </w:pPr>
    </w:p>
    <w:p w14:paraId="6BF31ED0" w14:textId="6EDD915C" w:rsidR="005030EC" w:rsidRPr="00351567" w:rsidRDefault="00FB0212" w:rsidP="004A11B2">
      <w:pPr>
        <w:jc w:val="both"/>
        <w:rPr>
          <w:rFonts w:ascii="Century Schoolbook" w:eastAsiaTheme="minorEastAsia" w:hAnsi="Century Schoolbook"/>
        </w:rPr>
      </w:pPr>
      <w:r w:rsidRPr="00351567">
        <w:rPr>
          <w:rFonts w:ascii="Century Schoolbook" w:eastAsiaTheme="minorEastAsia" w:hAnsi="Century Schoolbook"/>
        </w:rPr>
        <w:t>Adams, F and K, Aizawa</w:t>
      </w:r>
      <w:r w:rsidR="003026F0" w:rsidRPr="00351567">
        <w:rPr>
          <w:rFonts w:ascii="Century Schoolbook" w:eastAsiaTheme="minorEastAsia" w:hAnsi="Century Schoolbook"/>
        </w:rPr>
        <w:t xml:space="preserve"> </w:t>
      </w:r>
      <w:r w:rsidRPr="00351567">
        <w:rPr>
          <w:rFonts w:ascii="Century Schoolbook" w:eastAsiaTheme="minorEastAsia" w:hAnsi="Century Schoolbook"/>
        </w:rPr>
        <w:t>(</w:t>
      </w:r>
      <w:r w:rsidR="003026F0" w:rsidRPr="00351567">
        <w:rPr>
          <w:rFonts w:ascii="Century Schoolbook" w:eastAsiaTheme="minorEastAsia" w:hAnsi="Century Schoolbook"/>
        </w:rPr>
        <w:t>2001</w:t>
      </w:r>
      <w:r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Pr="00351567">
        <w:rPr>
          <w:rFonts w:ascii="Century Schoolbook" w:eastAsiaTheme="minorEastAsia" w:hAnsi="Century Schoolbook"/>
        </w:rPr>
        <w:t>‘</w:t>
      </w:r>
      <w:r w:rsidR="005030EC" w:rsidRPr="00351567">
        <w:rPr>
          <w:rFonts w:ascii="Century Schoolbook" w:eastAsiaTheme="minorEastAsia" w:hAnsi="Century Schoolbook"/>
        </w:rPr>
        <w:t>The Bounds of Cognition</w:t>
      </w:r>
      <w:r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5030EC" w:rsidRPr="00351567">
        <w:rPr>
          <w:rFonts w:ascii="Century Schoolbook" w:eastAsiaTheme="minorEastAsia" w:hAnsi="Century Schoolbook"/>
          <w:i/>
        </w:rPr>
        <w:t>Philosophical Psychology</w:t>
      </w:r>
      <w:r w:rsidR="006733FA" w:rsidRPr="00351567">
        <w:rPr>
          <w:rFonts w:ascii="Century Schoolbook" w:eastAsiaTheme="minorEastAsia" w:hAnsi="Century Schoolbook"/>
        </w:rPr>
        <w:t>,</w:t>
      </w:r>
      <w:r w:rsidR="005030EC" w:rsidRPr="00351567">
        <w:rPr>
          <w:rFonts w:ascii="Century Schoolbook" w:eastAsiaTheme="minorEastAsia" w:hAnsi="Century Schoolbook"/>
          <w:i/>
        </w:rPr>
        <w:t xml:space="preserve"> </w:t>
      </w:r>
      <w:r w:rsidR="005030EC" w:rsidRPr="00351567">
        <w:rPr>
          <w:rFonts w:ascii="Century Schoolbook" w:eastAsiaTheme="minorEastAsia" w:hAnsi="Century Schoolbook"/>
        </w:rPr>
        <w:t>14: 43-64.</w:t>
      </w:r>
    </w:p>
    <w:p w14:paraId="68F2143C" w14:textId="2CA59CAD" w:rsidR="005030EC" w:rsidRPr="00351567" w:rsidRDefault="00FB0212" w:rsidP="004A11B2">
      <w:pPr>
        <w:jc w:val="both"/>
        <w:rPr>
          <w:rFonts w:ascii="Century Schoolbook" w:eastAsiaTheme="minorEastAsia" w:hAnsi="Century Schoolbook"/>
        </w:rPr>
      </w:pPr>
      <w:r w:rsidRPr="00351567">
        <w:rPr>
          <w:rFonts w:ascii="Century Schoolbook" w:eastAsiaTheme="minorEastAsia" w:hAnsi="Century Schoolbook"/>
        </w:rPr>
        <w:t>Adams, F. and K. Aizawa</w:t>
      </w:r>
      <w:r w:rsidR="00244181" w:rsidRPr="00351567">
        <w:rPr>
          <w:rFonts w:ascii="Century Schoolbook" w:eastAsiaTheme="minorEastAsia" w:hAnsi="Century Schoolbook"/>
        </w:rPr>
        <w:t xml:space="preserve"> </w:t>
      </w:r>
      <w:r w:rsidRPr="00351567">
        <w:rPr>
          <w:rFonts w:ascii="Century Schoolbook" w:eastAsiaTheme="minorEastAsia" w:hAnsi="Century Schoolbook"/>
        </w:rPr>
        <w:t>(</w:t>
      </w:r>
      <w:r w:rsidR="00244181" w:rsidRPr="00351567">
        <w:rPr>
          <w:rFonts w:ascii="Century Schoolbook" w:eastAsiaTheme="minorEastAsia" w:hAnsi="Century Schoolbook"/>
        </w:rPr>
        <w:t>2010</w:t>
      </w:r>
      <w:r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Pr="00351567">
        <w:rPr>
          <w:rFonts w:ascii="Century Schoolbook" w:eastAsiaTheme="minorEastAsia" w:hAnsi="Century Schoolbook"/>
        </w:rPr>
        <w:t>‘</w:t>
      </w:r>
      <w:r w:rsidR="005030EC" w:rsidRPr="00351567">
        <w:rPr>
          <w:rFonts w:ascii="Century Schoolbook" w:eastAsiaTheme="minorEastAsia" w:hAnsi="Century Schoolbook"/>
        </w:rPr>
        <w:t>Defending the Bounds of Cognition</w:t>
      </w:r>
      <w:r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Pr="00351567">
        <w:rPr>
          <w:rFonts w:ascii="Century Schoolbook" w:eastAsiaTheme="minorEastAsia" w:hAnsi="Century Schoolbook"/>
        </w:rPr>
        <w:t>in R. Menary (ed)</w:t>
      </w:r>
      <w:r w:rsidR="005030EC" w:rsidRPr="00351567">
        <w:rPr>
          <w:rFonts w:ascii="Century Schoolbook" w:eastAsiaTheme="minorEastAsia" w:hAnsi="Century Schoolbook"/>
        </w:rPr>
        <w:t xml:space="preserve"> </w:t>
      </w:r>
      <w:r w:rsidRPr="00351567">
        <w:rPr>
          <w:rFonts w:ascii="Century Schoolbook" w:eastAsiaTheme="minorEastAsia" w:hAnsi="Century Schoolbook"/>
          <w:i/>
        </w:rPr>
        <w:t>The Extended Mind</w:t>
      </w:r>
      <w:r w:rsidRPr="00351567">
        <w:rPr>
          <w:rFonts w:ascii="Century Schoolbook" w:eastAsiaTheme="minorEastAsia" w:hAnsi="Century Schoolbook"/>
        </w:rPr>
        <w:t>, 67-80.</w:t>
      </w:r>
      <w:r w:rsidR="005030EC" w:rsidRPr="00351567">
        <w:rPr>
          <w:rFonts w:ascii="Century Schoolbook" w:eastAsiaTheme="minorEastAsia" w:hAnsi="Century Schoolbook"/>
        </w:rPr>
        <w:t xml:space="preserve"> Cambridge, Mass.: MIT Press.</w:t>
      </w:r>
    </w:p>
    <w:p w14:paraId="29FF399C" w14:textId="7DB6B9DF" w:rsidR="005030EC" w:rsidRPr="00351567" w:rsidRDefault="003026F0" w:rsidP="004A11B2">
      <w:pPr>
        <w:jc w:val="both"/>
        <w:rPr>
          <w:rFonts w:ascii="Century Schoolbook" w:hAnsi="Century Schoolbook"/>
          <w:szCs w:val="24"/>
        </w:rPr>
      </w:pPr>
      <w:r w:rsidRPr="00351567">
        <w:rPr>
          <w:rFonts w:ascii="Century Schoolbook" w:hAnsi="Century Schoolbook"/>
          <w:szCs w:val="24"/>
        </w:rPr>
        <w:t xml:space="preserve">Block, N. </w:t>
      </w:r>
      <w:r w:rsidR="00FB0212" w:rsidRPr="00351567">
        <w:rPr>
          <w:rFonts w:ascii="Century Schoolbook" w:hAnsi="Century Schoolbook"/>
          <w:szCs w:val="24"/>
        </w:rPr>
        <w:t>(</w:t>
      </w:r>
      <w:r w:rsidRPr="00351567">
        <w:rPr>
          <w:rFonts w:ascii="Century Schoolbook" w:hAnsi="Century Schoolbook"/>
          <w:szCs w:val="24"/>
        </w:rPr>
        <w:t>1990</w:t>
      </w:r>
      <w:r w:rsidR="00FB0212" w:rsidRPr="00351567">
        <w:rPr>
          <w:rFonts w:ascii="Century Schoolbook" w:hAnsi="Century Schoolbook"/>
          <w:szCs w:val="24"/>
        </w:rPr>
        <w:t>)</w:t>
      </w:r>
      <w:r w:rsidR="005030EC" w:rsidRPr="00351567">
        <w:rPr>
          <w:rFonts w:ascii="Century Schoolbook" w:hAnsi="Century Schoolbook"/>
          <w:szCs w:val="24"/>
        </w:rPr>
        <w:t xml:space="preserve"> </w:t>
      </w:r>
      <w:r w:rsidR="00FB0212" w:rsidRPr="00351567">
        <w:rPr>
          <w:rFonts w:ascii="Century Schoolbook" w:hAnsi="Century Schoolbook"/>
          <w:szCs w:val="24"/>
        </w:rPr>
        <w:t>‘</w:t>
      </w:r>
      <w:r w:rsidR="005030EC" w:rsidRPr="00351567">
        <w:rPr>
          <w:rFonts w:ascii="Century Schoolbook" w:hAnsi="Century Schoolbook"/>
          <w:szCs w:val="24"/>
        </w:rPr>
        <w:t>Inverted Earth</w:t>
      </w:r>
      <w:r w:rsidR="00FB0212" w:rsidRPr="00351567">
        <w:rPr>
          <w:rFonts w:ascii="Century Schoolbook" w:hAnsi="Century Schoolbook"/>
          <w:szCs w:val="24"/>
        </w:rPr>
        <w:t>’,</w:t>
      </w:r>
      <w:r w:rsidR="005030EC" w:rsidRPr="00351567">
        <w:rPr>
          <w:rFonts w:ascii="Century Schoolbook" w:hAnsi="Century Schoolbook"/>
          <w:szCs w:val="24"/>
        </w:rPr>
        <w:t xml:space="preserve"> </w:t>
      </w:r>
      <w:r w:rsidR="006733FA" w:rsidRPr="00351567">
        <w:rPr>
          <w:rFonts w:ascii="Century Schoolbook" w:hAnsi="Century Schoolbook"/>
          <w:i/>
          <w:szCs w:val="24"/>
        </w:rPr>
        <w:t>Philosophical Perspectives</w:t>
      </w:r>
      <w:r w:rsidR="006733FA" w:rsidRPr="00351567">
        <w:rPr>
          <w:rFonts w:ascii="Century Schoolbook" w:hAnsi="Century Schoolbook"/>
          <w:szCs w:val="24"/>
        </w:rPr>
        <w:t>,</w:t>
      </w:r>
      <w:r w:rsidR="005030EC" w:rsidRPr="00351567">
        <w:rPr>
          <w:rFonts w:ascii="Century Schoolbook" w:hAnsi="Century Schoolbook"/>
          <w:szCs w:val="24"/>
        </w:rPr>
        <w:t xml:space="preserve"> 4</w:t>
      </w:r>
      <w:r w:rsidR="006733FA" w:rsidRPr="00351567">
        <w:rPr>
          <w:rFonts w:ascii="Century Schoolbook" w:hAnsi="Century Schoolbook"/>
          <w:szCs w:val="24"/>
        </w:rPr>
        <w:t>:</w:t>
      </w:r>
      <w:r w:rsidR="005030EC" w:rsidRPr="00351567">
        <w:rPr>
          <w:rFonts w:ascii="Century Schoolbook" w:hAnsi="Century Schoolbook"/>
          <w:szCs w:val="24"/>
        </w:rPr>
        <w:t xml:space="preserve"> 53-79</w:t>
      </w:r>
    </w:p>
    <w:p w14:paraId="3F51DA28" w14:textId="553620CB" w:rsidR="005030EC" w:rsidRPr="00351567" w:rsidRDefault="003026F0" w:rsidP="004A11B2">
      <w:pPr>
        <w:jc w:val="both"/>
        <w:rPr>
          <w:rFonts w:ascii="Century Schoolbook" w:eastAsiaTheme="minorEastAsia" w:hAnsi="Century Schoolbook"/>
        </w:rPr>
      </w:pPr>
      <w:r w:rsidRPr="00351567">
        <w:rPr>
          <w:rFonts w:ascii="Century Schoolbook" w:eastAsiaTheme="minorEastAsia" w:hAnsi="Century Schoolbook"/>
        </w:rPr>
        <w:t xml:space="preserve">Bortolotti, L. </w:t>
      </w:r>
      <w:r w:rsidR="006733FA" w:rsidRPr="00351567">
        <w:rPr>
          <w:rFonts w:ascii="Century Schoolbook" w:eastAsiaTheme="minorEastAsia" w:hAnsi="Century Schoolbook"/>
        </w:rPr>
        <w:t>(</w:t>
      </w:r>
      <w:r w:rsidRPr="00351567">
        <w:rPr>
          <w:rFonts w:ascii="Century Schoolbook" w:eastAsiaTheme="minorEastAsia" w:hAnsi="Century Schoolbook"/>
        </w:rPr>
        <w:t>2009</w:t>
      </w:r>
      <w:r w:rsidR="006733FA"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5030EC" w:rsidRPr="00351567">
        <w:rPr>
          <w:rFonts w:ascii="Century Schoolbook" w:eastAsiaTheme="minorEastAsia" w:hAnsi="Century Schoolbook"/>
          <w:i/>
        </w:rPr>
        <w:t>Delusions and Other Irrational Beliefs</w:t>
      </w:r>
      <w:r w:rsidR="005030EC" w:rsidRPr="00351567">
        <w:rPr>
          <w:rFonts w:ascii="Century Schoolbook" w:eastAsiaTheme="minorEastAsia" w:hAnsi="Century Schoolbook"/>
        </w:rPr>
        <w:t>, Oxford: Oxford University Press.</w:t>
      </w:r>
    </w:p>
    <w:p w14:paraId="08566EE5" w14:textId="563742BB" w:rsidR="005030EC" w:rsidRPr="00351567" w:rsidRDefault="005030EC" w:rsidP="004A11B2">
      <w:pPr>
        <w:spacing w:before="240"/>
        <w:jc w:val="both"/>
        <w:rPr>
          <w:rFonts w:ascii="Century Schoolbook" w:eastAsiaTheme="minorEastAsia" w:hAnsi="Century Schoolbook"/>
        </w:rPr>
      </w:pPr>
      <w:r w:rsidRPr="00351567">
        <w:rPr>
          <w:rFonts w:ascii="Century Schoolbook" w:eastAsiaTheme="minorEastAsia" w:hAnsi="Century Schoolbook"/>
        </w:rPr>
        <w:t>Clark, A</w:t>
      </w:r>
      <w:r w:rsidRPr="00351567">
        <w:rPr>
          <w:rFonts w:ascii="Century Schoolbook" w:eastAsiaTheme="minorEastAsia" w:hAnsi="Century Schoolbook"/>
          <w:i/>
        </w:rPr>
        <w:t>.</w:t>
      </w:r>
      <w:r w:rsidR="003026F0" w:rsidRPr="00351567">
        <w:rPr>
          <w:rFonts w:ascii="Century Schoolbook" w:eastAsiaTheme="minorEastAsia" w:hAnsi="Century Schoolbook"/>
        </w:rPr>
        <w:t xml:space="preserve"> </w:t>
      </w:r>
      <w:r w:rsidR="006733FA" w:rsidRPr="00351567">
        <w:rPr>
          <w:rFonts w:ascii="Century Schoolbook" w:eastAsiaTheme="minorEastAsia" w:hAnsi="Century Schoolbook"/>
        </w:rPr>
        <w:t>(</w:t>
      </w:r>
      <w:r w:rsidR="003026F0" w:rsidRPr="00351567">
        <w:rPr>
          <w:rFonts w:ascii="Century Schoolbook" w:eastAsiaTheme="minorEastAsia" w:hAnsi="Century Schoolbook"/>
        </w:rPr>
        <w:t>2003</w:t>
      </w:r>
      <w:r w:rsidR="006733FA" w:rsidRPr="00351567">
        <w:rPr>
          <w:rFonts w:ascii="Century Schoolbook" w:eastAsiaTheme="minorEastAsia" w:hAnsi="Century Schoolbook"/>
        </w:rPr>
        <w:t>)</w:t>
      </w:r>
      <w:r w:rsidRPr="00351567">
        <w:rPr>
          <w:rFonts w:ascii="Century Schoolbook" w:eastAsiaTheme="minorEastAsia" w:hAnsi="Century Schoolbook"/>
        </w:rPr>
        <w:t xml:space="preserve"> </w:t>
      </w:r>
      <w:r w:rsidRPr="00351567">
        <w:rPr>
          <w:rFonts w:ascii="Century Schoolbook" w:eastAsiaTheme="minorEastAsia" w:hAnsi="Century Schoolbook"/>
          <w:i/>
        </w:rPr>
        <w:t>Natural-Born Cyborgs: Minds, Technologies and t</w:t>
      </w:r>
      <w:r w:rsidR="004974BB" w:rsidRPr="00351567">
        <w:rPr>
          <w:rFonts w:ascii="Century Schoolbook" w:eastAsiaTheme="minorEastAsia" w:hAnsi="Century Schoolbook"/>
          <w:i/>
        </w:rPr>
        <w:t>he Future of Human Intelligence</w:t>
      </w:r>
      <w:r w:rsidR="004974BB" w:rsidRPr="00351567">
        <w:rPr>
          <w:rFonts w:ascii="Century Schoolbook" w:eastAsiaTheme="minorEastAsia" w:hAnsi="Century Schoolbook"/>
        </w:rPr>
        <w:t>,</w:t>
      </w:r>
      <w:r w:rsidRPr="00351567">
        <w:rPr>
          <w:rFonts w:ascii="Century Schoolbook" w:eastAsiaTheme="minorEastAsia" w:hAnsi="Century Schoolbook"/>
          <w:i/>
        </w:rPr>
        <w:t xml:space="preserve"> </w:t>
      </w:r>
      <w:r w:rsidRPr="00351567">
        <w:rPr>
          <w:rFonts w:ascii="Century Schoolbook" w:eastAsiaTheme="minorEastAsia" w:hAnsi="Century Schoolbook"/>
        </w:rPr>
        <w:t>New York: Oxford University Press.</w:t>
      </w:r>
    </w:p>
    <w:p w14:paraId="76E8F75E" w14:textId="59E6F126" w:rsidR="005030EC" w:rsidRPr="00351567" w:rsidRDefault="005030EC" w:rsidP="004A11B2">
      <w:pPr>
        <w:jc w:val="both"/>
        <w:rPr>
          <w:rFonts w:ascii="Century Schoolbook" w:eastAsiaTheme="minorEastAsia" w:hAnsi="Century Schoolbook"/>
        </w:rPr>
      </w:pPr>
      <w:r w:rsidRPr="00351567">
        <w:rPr>
          <w:rFonts w:ascii="Century Schoolbook" w:eastAsiaTheme="minorEastAsia" w:hAnsi="Century Schoolbook"/>
        </w:rPr>
        <w:t>C</w:t>
      </w:r>
      <w:r w:rsidR="003026F0" w:rsidRPr="00351567">
        <w:rPr>
          <w:rFonts w:ascii="Century Schoolbook" w:eastAsiaTheme="minorEastAsia" w:hAnsi="Century Schoolbook"/>
        </w:rPr>
        <w:t xml:space="preserve">lark, A. </w:t>
      </w:r>
      <w:r w:rsidR="004974BB" w:rsidRPr="00351567">
        <w:rPr>
          <w:rFonts w:ascii="Century Schoolbook" w:eastAsiaTheme="minorEastAsia" w:hAnsi="Century Schoolbook"/>
        </w:rPr>
        <w:t>(</w:t>
      </w:r>
      <w:r w:rsidR="003026F0" w:rsidRPr="00351567">
        <w:rPr>
          <w:rFonts w:ascii="Century Schoolbook" w:eastAsiaTheme="minorEastAsia" w:hAnsi="Century Schoolbook"/>
        </w:rPr>
        <w:t>2005</w:t>
      </w:r>
      <w:r w:rsidR="004974BB" w:rsidRPr="00351567">
        <w:rPr>
          <w:rFonts w:ascii="Century Schoolbook" w:eastAsiaTheme="minorEastAsia" w:hAnsi="Century Schoolbook"/>
        </w:rPr>
        <w:t>)</w:t>
      </w:r>
      <w:r w:rsidRPr="00351567">
        <w:rPr>
          <w:rFonts w:ascii="Century Schoolbook" w:eastAsiaTheme="minorEastAsia" w:hAnsi="Century Schoolbook"/>
        </w:rPr>
        <w:t xml:space="preserve"> </w:t>
      </w:r>
      <w:r w:rsidR="004974BB" w:rsidRPr="00351567">
        <w:rPr>
          <w:rFonts w:ascii="Century Schoolbook" w:eastAsiaTheme="minorEastAsia" w:hAnsi="Century Schoolbook"/>
        </w:rPr>
        <w:t>‘</w:t>
      </w:r>
      <w:r w:rsidRPr="00351567">
        <w:rPr>
          <w:rFonts w:ascii="Century Schoolbook" w:eastAsiaTheme="minorEastAsia" w:hAnsi="Century Schoolbook"/>
        </w:rPr>
        <w:t>Intrinsic content, active memory, and the extended mind</w:t>
      </w:r>
      <w:r w:rsidR="004974BB" w:rsidRPr="00351567">
        <w:rPr>
          <w:rFonts w:ascii="Century Schoolbook" w:eastAsiaTheme="minorEastAsia" w:hAnsi="Century Schoolbook"/>
        </w:rPr>
        <w:t>’,</w:t>
      </w:r>
      <w:r w:rsidRPr="00351567">
        <w:rPr>
          <w:rFonts w:ascii="Century Schoolbook" w:eastAsiaTheme="minorEastAsia" w:hAnsi="Century Schoolbook"/>
        </w:rPr>
        <w:t xml:space="preserve"> </w:t>
      </w:r>
      <w:r w:rsidRPr="00351567">
        <w:rPr>
          <w:rFonts w:ascii="Century Schoolbook" w:eastAsiaTheme="minorEastAsia" w:hAnsi="Century Schoolbook"/>
          <w:i/>
        </w:rPr>
        <w:t>Analysis</w:t>
      </w:r>
      <w:r w:rsidRPr="00351567">
        <w:rPr>
          <w:rFonts w:ascii="Century Schoolbook" w:eastAsiaTheme="minorEastAsia" w:hAnsi="Century Schoolbook"/>
        </w:rPr>
        <w:t>, 65</w:t>
      </w:r>
      <w:r w:rsidR="004974BB" w:rsidRPr="00351567">
        <w:rPr>
          <w:rFonts w:ascii="Century Schoolbook" w:eastAsiaTheme="minorEastAsia" w:hAnsi="Century Schoolbook"/>
        </w:rPr>
        <w:t>/285:</w:t>
      </w:r>
      <w:r w:rsidRPr="00351567">
        <w:rPr>
          <w:rFonts w:ascii="Century Schoolbook" w:eastAsiaTheme="minorEastAsia" w:hAnsi="Century Schoolbook"/>
        </w:rPr>
        <w:t xml:space="preserve"> 1-11.</w:t>
      </w:r>
    </w:p>
    <w:p w14:paraId="6266C97B" w14:textId="3F18707A" w:rsidR="005030EC" w:rsidRPr="00351567" w:rsidRDefault="003026F0" w:rsidP="004A11B2">
      <w:pPr>
        <w:jc w:val="both"/>
        <w:rPr>
          <w:rFonts w:ascii="Century Schoolbook" w:hAnsi="Century Schoolbook"/>
          <w:szCs w:val="24"/>
        </w:rPr>
      </w:pPr>
      <w:r w:rsidRPr="00351567">
        <w:rPr>
          <w:rFonts w:ascii="Century Schoolbook" w:hAnsi="Century Schoolbook"/>
          <w:szCs w:val="24"/>
        </w:rPr>
        <w:t>Clark, A</w:t>
      </w:r>
      <w:r w:rsidR="004974BB" w:rsidRPr="00351567">
        <w:rPr>
          <w:rFonts w:ascii="Century Schoolbook" w:hAnsi="Century Schoolbook"/>
          <w:szCs w:val="24"/>
        </w:rPr>
        <w:t>. (</w:t>
      </w:r>
      <w:r w:rsidR="005030EC" w:rsidRPr="00351567">
        <w:rPr>
          <w:rFonts w:ascii="Century Schoolbook" w:hAnsi="Century Schoolbook"/>
          <w:szCs w:val="24"/>
        </w:rPr>
        <w:t>2008a</w:t>
      </w:r>
      <w:r w:rsidR="004974BB" w:rsidRPr="00351567">
        <w:rPr>
          <w:rFonts w:ascii="Century Schoolbook" w:hAnsi="Century Schoolbook"/>
          <w:szCs w:val="24"/>
        </w:rPr>
        <w:t>)</w:t>
      </w:r>
      <w:r w:rsidR="005030EC" w:rsidRPr="00351567">
        <w:rPr>
          <w:rFonts w:ascii="Century Schoolbook" w:hAnsi="Century Schoolbook"/>
          <w:szCs w:val="24"/>
        </w:rPr>
        <w:t xml:space="preserve"> </w:t>
      </w:r>
      <w:r w:rsidR="005030EC" w:rsidRPr="00351567">
        <w:rPr>
          <w:rFonts w:ascii="Century Schoolbook" w:hAnsi="Century Schoolbook"/>
          <w:i/>
          <w:szCs w:val="24"/>
        </w:rPr>
        <w:t xml:space="preserve">Supersizing the Mind: Embodiment, </w:t>
      </w:r>
      <w:r w:rsidR="004974BB" w:rsidRPr="00351567">
        <w:rPr>
          <w:rFonts w:ascii="Century Schoolbook" w:hAnsi="Century Schoolbook"/>
          <w:i/>
          <w:szCs w:val="24"/>
        </w:rPr>
        <w:t>Action, and Cognitive Extension</w:t>
      </w:r>
      <w:r w:rsidR="004974BB" w:rsidRPr="00351567">
        <w:rPr>
          <w:rFonts w:ascii="Century Schoolbook" w:hAnsi="Century Schoolbook"/>
          <w:szCs w:val="24"/>
        </w:rPr>
        <w:t>,</w:t>
      </w:r>
      <w:r w:rsidR="005030EC" w:rsidRPr="00351567">
        <w:rPr>
          <w:rFonts w:ascii="Century Schoolbook" w:hAnsi="Century Schoolbook"/>
          <w:i/>
          <w:szCs w:val="24"/>
        </w:rPr>
        <w:t xml:space="preserve"> </w:t>
      </w:r>
      <w:r w:rsidR="005030EC" w:rsidRPr="00351567">
        <w:rPr>
          <w:rFonts w:ascii="Century Schoolbook" w:hAnsi="Century Schoolbook"/>
          <w:szCs w:val="24"/>
        </w:rPr>
        <w:t>Oxford: Oxford University Press.</w:t>
      </w:r>
    </w:p>
    <w:p w14:paraId="1C4C6919" w14:textId="1F3893FA" w:rsidR="005030EC" w:rsidRPr="00351567" w:rsidRDefault="003026F0" w:rsidP="004A11B2">
      <w:pPr>
        <w:jc w:val="both"/>
        <w:rPr>
          <w:rFonts w:ascii="Century Schoolbook" w:hAnsi="Century Schoolbook"/>
          <w:b/>
          <w:szCs w:val="24"/>
        </w:rPr>
      </w:pPr>
      <w:r w:rsidRPr="00351567">
        <w:rPr>
          <w:rFonts w:ascii="Century Schoolbook" w:eastAsiaTheme="minorEastAsia" w:hAnsi="Century Schoolbook"/>
          <w:szCs w:val="24"/>
        </w:rPr>
        <w:t xml:space="preserve">Clark, A. </w:t>
      </w:r>
      <w:r w:rsidR="004974BB" w:rsidRPr="00351567">
        <w:rPr>
          <w:rFonts w:ascii="Century Schoolbook" w:eastAsiaTheme="minorEastAsia" w:hAnsi="Century Schoolbook"/>
          <w:szCs w:val="24"/>
        </w:rPr>
        <w:t>(</w:t>
      </w:r>
      <w:r w:rsidRPr="00351567">
        <w:rPr>
          <w:rFonts w:ascii="Century Schoolbook" w:eastAsiaTheme="minorEastAsia" w:hAnsi="Century Schoolbook"/>
          <w:szCs w:val="24"/>
        </w:rPr>
        <w:t>2008b</w:t>
      </w:r>
      <w:r w:rsidR="004974BB" w:rsidRPr="00351567">
        <w:rPr>
          <w:rFonts w:ascii="Century Schoolbook" w:eastAsiaTheme="minorEastAsia" w:hAnsi="Century Schoolbook"/>
          <w:szCs w:val="24"/>
        </w:rPr>
        <w:t>)</w:t>
      </w:r>
      <w:r w:rsidR="005030EC" w:rsidRPr="00351567">
        <w:rPr>
          <w:rFonts w:ascii="Century Schoolbook" w:eastAsiaTheme="minorEastAsia" w:hAnsi="Century Schoolbook"/>
          <w:szCs w:val="24"/>
        </w:rPr>
        <w:t xml:space="preserve"> </w:t>
      </w:r>
      <w:r w:rsidR="004974BB" w:rsidRPr="00351567">
        <w:rPr>
          <w:rFonts w:ascii="Century Schoolbook" w:eastAsiaTheme="minorEastAsia" w:hAnsi="Century Schoolbook"/>
          <w:szCs w:val="24"/>
        </w:rPr>
        <w:t>‘</w:t>
      </w:r>
      <w:r w:rsidR="005030EC" w:rsidRPr="00351567">
        <w:rPr>
          <w:rFonts w:ascii="Century Schoolbook" w:eastAsiaTheme="minorEastAsia" w:hAnsi="Century Schoolbook"/>
          <w:szCs w:val="24"/>
        </w:rPr>
        <w:t>Pressing the flesh: A tension in the study of embodied, embedded mind?</w:t>
      </w:r>
      <w:r w:rsidR="004974BB" w:rsidRPr="00351567">
        <w:rPr>
          <w:rFonts w:ascii="Century Schoolbook" w:eastAsiaTheme="minorEastAsia" w:hAnsi="Century Schoolbook"/>
          <w:szCs w:val="24"/>
        </w:rPr>
        <w:t>’</w:t>
      </w:r>
      <w:r w:rsidR="005030EC" w:rsidRPr="00351567">
        <w:rPr>
          <w:rFonts w:ascii="Century Schoolbook" w:eastAsiaTheme="minorEastAsia" w:hAnsi="Century Schoolbook"/>
          <w:szCs w:val="24"/>
        </w:rPr>
        <w:t xml:space="preserve"> </w:t>
      </w:r>
      <w:r w:rsidR="005030EC" w:rsidRPr="00351567">
        <w:rPr>
          <w:rFonts w:ascii="Century Schoolbook" w:eastAsiaTheme="minorEastAsia" w:hAnsi="Century Schoolbook"/>
          <w:i/>
          <w:szCs w:val="24"/>
        </w:rPr>
        <w:t>Philosophy and Phenomenological Research</w:t>
      </w:r>
      <w:r w:rsidR="004974BB" w:rsidRPr="00351567">
        <w:rPr>
          <w:rFonts w:ascii="Century Schoolbook" w:eastAsiaTheme="minorEastAsia" w:hAnsi="Century Schoolbook"/>
          <w:szCs w:val="24"/>
        </w:rPr>
        <w:t>,</w:t>
      </w:r>
      <w:r w:rsidR="005030EC" w:rsidRPr="00351567">
        <w:rPr>
          <w:rFonts w:ascii="Century Schoolbook" w:eastAsiaTheme="minorEastAsia" w:hAnsi="Century Schoolbook"/>
          <w:szCs w:val="24"/>
        </w:rPr>
        <w:t xml:space="preserve"> 76</w:t>
      </w:r>
      <w:r w:rsidR="004974BB" w:rsidRPr="00351567">
        <w:rPr>
          <w:rFonts w:ascii="Century Schoolbook" w:eastAsiaTheme="minorEastAsia" w:hAnsi="Century Schoolbook"/>
          <w:szCs w:val="24"/>
        </w:rPr>
        <w:t>/</w:t>
      </w:r>
      <w:r w:rsidR="005030EC" w:rsidRPr="00351567">
        <w:rPr>
          <w:rFonts w:ascii="Century Schoolbook" w:eastAsiaTheme="minorEastAsia" w:hAnsi="Century Schoolbook"/>
          <w:szCs w:val="24"/>
        </w:rPr>
        <w:t>1: 37-59</w:t>
      </w:r>
    </w:p>
    <w:p w14:paraId="3A68AFC3" w14:textId="43E0C9A8" w:rsidR="005030EC" w:rsidRPr="00351567" w:rsidRDefault="003026F0" w:rsidP="004A11B2">
      <w:pPr>
        <w:jc w:val="both"/>
        <w:rPr>
          <w:rFonts w:ascii="Century Schoolbook" w:hAnsi="Century Schoolbook"/>
        </w:rPr>
      </w:pPr>
      <w:r w:rsidRPr="00351567">
        <w:rPr>
          <w:rFonts w:ascii="Century Schoolbook" w:hAnsi="Century Schoolbook"/>
        </w:rPr>
        <w:t xml:space="preserve">Clark, A. </w:t>
      </w:r>
      <w:r w:rsidR="004974BB" w:rsidRPr="00351567">
        <w:rPr>
          <w:rFonts w:ascii="Century Schoolbook" w:hAnsi="Century Schoolbook"/>
        </w:rPr>
        <w:t>(</w:t>
      </w:r>
      <w:r w:rsidRPr="00351567">
        <w:rPr>
          <w:rFonts w:ascii="Century Schoolbook" w:hAnsi="Century Schoolbook"/>
        </w:rPr>
        <w:t>2009</w:t>
      </w:r>
      <w:r w:rsidR="004974BB" w:rsidRPr="00351567">
        <w:rPr>
          <w:rFonts w:ascii="Century Schoolbook" w:hAnsi="Century Schoolbook"/>
        </w:rPr>
        <w:t>)</w:t>
      </w:r>
      <w:r w:rsidR="005030EC" w:rsidRPr="00351567">
        <w:rPr>
          <w:rFonts w:ascii="Century Schoolbook" w:hAnsi="Century Schoolbook"/>
        </w:rPr>
        <w:t xml:space="preserve"> </w:t>
      </w:r>
      <w:r w:rsidR="004974BB" w:rsidRPr="00351567">
        <w:rPr>
          <w:rFonts w:ascii="Century Schoolbook" w:hAnsi="Century Schoolbook"/>
        </w:rPr>
        <w:t>‘</w:t>
      </w:r>
      <w:r w:rsidR="005030EC" w:rsidRPr="00351567">
        <w:rPr>
          <w:rFonts w:ascii="Century Schoolbook" w:hAnsi="Century Schoolbook"/>
        </w:rPr>
        <w:t>Spreading the joy? Why the machinery of consciousness is (probably) still in the head</w:t>
      </w:r>
      <w:r w:rsidR="004974BB" w:rsidRPr="00351567">
        <w:rPr>
          <w:rFonts w:ascii="Century Schoolbook" w:hAnsi="Century Schoolbook"/>
        </w:rPr>
        <w:t>’,</w:t>
      </w:r>
      <w:r w:rsidR="005030EC" w:rsidRPr="00351567">
        <w:rPr>
          <w:rFonts w:ascii="Century Schoolbook" w:hAnsi="Century Schoolbook"/>
        </w:rPr>
        <w:t xml:space="preserve"> </w:t>
      </w:r>
      <w:r w:rsidR="005030EC" w:rsidRPr="00351567">
        <w:rPr>
          <w:rFonts w:ascii="Century Schoolbook" w:hAnsi="Century Schoolbook"/>
          <w:i/>
        </w:rPr>
        <w:t>Mind</w:t>
      </w:r>
      <w:r w:rsidR="004974BB" w:rsidRPr="00351567">
        <w:rPr>
          <w:rFonts w:ascii="Century Schoolbook" w:hAnsi="Century Schoolbook"/>
        </w:rPr>
        <w:t>,</w:t>
      </w:r>
      <w:r w:rsidR="005030EC" w:rsidRPr="00351567">
        <w:rPr>
          <w:rFonts w:ascii="Century Schoolbook" w:hAnsi="Century Schoolbook"/>
        </w:rPr>
        <w:t xml:space="preserve"> 118</w:t>
      </w:r>
      <w:r w:rsidR="004974BB" w:rsidRPr="00351567">
        <w:rPr>
          <w:rFonts w:ascii="Century Schoolbook" w:hAnsi="Century Schoolbook"/>
        </w:rPr>
        <w:t>/</w:t>
      </w:r>
      <w:r w:rsidR="005030EC" w:rsidRPr="00351567">
        <w:rPr>
          <w:rFonts w:ascii="Century Schoolbook" w:hAnsi="Century Schoolbook"/>
        </w:rPr>
        <w:t>472</w:t>
      </w:r>
      <w:r w:rsidR="004974BB" w:rsidRPr="00351567">
        <w:rPr>
          <w:rFonts w:ascii="Century Schoolbook" w:hAnsi="Century Schoolbook"/>
        </w:rPr>
        <w:t>:</w:t>
      </w:r>
      <w:r w:rsidR="005030EC" w:rsidRPr="00351567">
        <w:rPr>
          <w:rFonts w:ascii="Century Schoolbook" w:hAnsi="Century Schoolbook"/>
        </w:rPr>
        <w:t xml:space="preserve"> 963-993</w:t>
      </w:r>
    </w:p>
    <w:p w14:paraId="5D2B90D9" w14:textId="3D652F12" w:rsidR="005030EC" w:rsidRPr="00351567" w:rsidRDefault="003026F0" w:rsidP="004A11B2">
      <w:pPr>
        <w:widowControl w:val="0"/>
        <w:autoSpaceDE w:val="0"/>
        <w:autoSpaceDN w:val="0"/>
        <w:adjustRightInd w:val="0"/>
        <w:spacing w:after="120"/>
        <w:jc w:val="both"/>
        <w:rPr>
          <w:rFonts w:ascii="Century Schoolbook" w:eastAsia="Times New Roman" w:hAnsi="Century Schoolbook"/>
        </w:rPr>
      </w:pPr>
      <w:r w:rsidRPr="00351567">
        <w:rPr>
          <w:rFonts w:ascii="Century Schoolbook" w:eastAsia="Times New Roman" w:hAnsi="Century Schoolbook"/>
        </w:rPr>
        <w:t xml:space="preserve">Clark </w:t>
      </w:r>
      <w:r w:rsidR="004974BB" w:rsidRPr="00351567">
        <w:rPr>
          <w:rFonts w:ascii="Century Schoolbook" w:eastAsia="Times New Roman" w:hAnsi="Century Schoolbook"/>
        </w:rPr>
        <w:t>(</w:t>
      </w:r>
      <w:r w:rsidRPr="00351567">
        <w:rPr>
          <w:rFonts w:ascii="Century Schoolbook" w:eastAsia="Times New Roman" w:hAnsi="Century Schoolbook"/>
        </w:rPr>
        <w:t>2010a</w:t>
      </w:r>
      <w:r w:rsidR="004974BB" w:rsidRPr="00351567">
        <w:rPr>
          <w:rFonts w:ascii="Century Schoolbook" w:eastAsia="Times New Roman" w:hAnsi="Century Schoolbook"/>
        </w:rPr>
        <w:t>)</w:t>
      </w:r>
      <w:r w:rsidR="005030EC" w:rsidRPr="00351567">
        <w:rPr>
          <w:rFonts w:ascii="Century Schoolbook" w:eastAsia="Times New Roman" w:hAnsi="Century Schoolbook"/>
        </w:rPr>
        <w:t xml:space="preserve"> </w:t>
      </w:r>
      <w:r w:rsidR="004974BB" w:rsidRPr="00351567">
        <w:rPr>
          <w:rFonts w:ascii="Century Schoolbook" w:eastAsia="Times New Roman" w:hAnsi="Century Schoolbook"/>
        </w:rPr>
        <w:t>‘</w:t>
      </w:r>
      <w:r w:rsidR="005030EC" w:rsidRPr="00351567">
        <w:rPr>
          <w:rFonts w:ascii="Century Schoolbook" w:eastAsia="Times New Roman" w:hAnsi="Century Schoolbook"/>
        </w:rPr>
        <w:t>Finding the Mind</w:t>
      </w:r>
      <w:r w:rsidR="004974BB" w:rsidRPr="00351567">
        <w:rPr>
          <w:rFonts w:ascii="Century Schoolbook" w:eastAsia="Times New Roman" w:hAnsi="Century Schoolbook"/>
        </w:rPr>
        <w:t>’,</w:t>
      </w:r>
      <w:r w:rsidR="005030EC" w:rsidRPr="00351567">
        <w:rPr>
          <w:rFonts w:ascii="Century Schoolbook" w:eastAsia="Times New Roman" w:hAnsi="Century Schoolbook"/>
        </w:rPr>
        <w:t xml:space="preserve"> </w:t>
      </w:r>
      <w:r w:rsidR="005030EC" w:rsidRPr="00351567">
        <w:rPr>
          <w:rFonts w:ascii="Century Schoolbook" w:eastAsia="Times New Roman" w:hAnsi="Century Schoolbook"/>
          <w:i/>
        </w:rPr>
        <w:t xml:space="preserve">Philosophical Studies, </w:t>
      </w:r>
      <w:r w:rsidR="004974BB" w:rsidRPr="00351567">
        <w:rPr>
          <w:rFonts w:ascii="Century Schoolbook" w:eastAsia="Times New Roman" w:hAnsi="Century Schoolbook"/>
        </w:rPr>
        <w:t>152/</w:t>
      </w:r>
      <w:r w:rsidR="005030EC" w:rsidRPr="00351567">
        <w:rPr>
          <w:rFonts w:ascii="Century Schoolbook" w:eastAsia="Times New Roman" w:hAnsi="Century Schoolbook"/>
        </w:rPr>
        <w:t>3</w:t>
      </w:r>
      <w:r w:rsidR="004974BB" w:rsidRPr="00351567">
        <w:rPr>
          <w:rFonts w:ascii="Century Schoolbook" w:eastAsia="Times New Roman" w:hAnsi="Century Schoolbook"/>
        </w:rPr>
        <w:t xml:space="preserve">: </w:t>
      </w:r>
      <w:r w:rsidR="005030EC" w:rsidRPr="00351567">
        <w:rPr>
          <w:rFonts w:ascii="Century Schoolbook" w:eastAsia="Times New Roman" w:hAnsi="Century Schoolbook"/>
        </w:rPr>
        <w:t>447-61</w:t>
      </w:r>
    </w:p>
    <w:p w14:paraId="6B60B9D5" w14:textId="5E068912" w:rsidR="005030EC" w:rsidRPr="00351567" w:rsidRDefault="003026F0" w:rsidP="004A11B2">
      <w:pPr>
        <w:widowControl w:val="0"/>
        <w:autoSpaceDE w:val="0"/>
        <w:autoSpaceDN w:val="0"/>
        <w:adjustRightInd w:val="0"/>
        <w:spacing w:after="120"/>
        <w:jc w:val="both"/>
        <w:rPr>
          <w:rFonts w:ascii="Century Schoolbook" w:eastAsia="Times New Roman" w:hAnsi="Century Schoolbook"/>
        </w:rPr>
      </w:pPr>
      <w:r w:rsidRPr="00351567">
        <w:rPr>
          <w:rFonts w:ascii="Century Schoolbook" w:eastAsia="Times New Roman" w:hAnsi="Century Schoolbook"/>
        </w:rPr>
        <w:t xml:space="preserve">Clark </w:t>
      </w:r>
      <w:r w:rsidR="004974BB" w:rsidRPr="00351567">
        <w:rPr>
          <w:rFonts w:ascii="Century Schoolbook" w:eastAsia="Times New Roman" w:hAnsi="Century Schoolbook"/>
        </w:rPr>
        <w:t>(</w:t>
      </w:r>
      <w:r w:rsidRPr="00351567">
        <w:rPr>
          <w:rFonts w:ascii="Century Schoolbook" w:eastAsia="Times New Roman" w:hAnsi="Century Schoolbook"/>
        </w:rPr>
        <w:t>2010b</w:t>
      </w:r>
      <w:r w:rsidR="004974BB" w:rsidRPr="00351567">
        <w:rPr>
          <w:rFonts w:ascii="Century Schoolbook" w:eastAsia="Times New Roman" w:hAnsi="Century Schoolbook"/>
        </w:rPr>
        <w:t>) ‘</w:t>
      </w:r>
      <w:r w:rsidR="005030EC" w:rsidRPr="00351567">
        <w:rPr>
          <w:rFonts w:ascii="Century Schoolbook" w:eastAsia="Times New Roman" w:hAnsi="Century Schoolbook"/>
          <w:i/>
        </w:rPr>
        <w:t>Memento’s</w:t>
      </w:r>
      <w:r w:rsidR="005030EC" w:rsidRPr="00351567">
        <w:rPr>
          <w:rFonts w:ascii="Century Schoolbook" w:eastAsia="Times New Roman" w:hAnsi="Century Schoolbook"/>
        </w:rPr>
        <w:t xml:space="preserve"> Revenge: The Extended Mind, Extended</w:t>
      </w:r>
      <w:r w:rsidR="004974BB" w:rsidRPr="00351567">
        <w:rPr>
          <w:rFonts w:ascii="Century Schoolbook" w:eastAsia="Times New Roman" w:hAnsi="Century Schoolbook"/>
        </w:rPr>
        <w:t>’,</w:t>
      </w:r>
      <w:r w:rsidR="005030EC" w:rsidRPr="00351567">
        <w:rPr>
          <w:rFonts w:ascii="Century Schoolbook" w:eastAsia="Times New Roman" w:hAnsi="Century Schoolbook"/>
        </w:rPr>
        <w:t xml:space="preserve"> </w:t>
      </w:r>
      <w:r w:rsidR="004974BB" w:rsidRPr="00351567">
        <w:rPr>
          <w:rFonts w:ascii="Century Schoolbook" w:eastAsia="Times New Roman" w:hAnsi="Century Schoolbook"/>
        </w:rPr>
        <w:t>i</w:t>
      </w:r>
      <w:r w:rsidR="005030EC" w:rsidRPr="00351567">
        <w:rPr>
          <w:rFonts w:ascii="Century Schoolbook" w:eastAsia="Times New Roman" w:hAnsi="Century Schoolbook"/>
        </w:rPr>
        <w:t xml:space="preserve">n R. Menary (ed.) </w:t>
      </w:r>
      <w:r w:rsidR="005030EC" w:rsidRPr="00351567">
        <w:rPr>
          <w:rFonts w:ascii="Century Schoolbook" w:eastAsia="Times New Roman" w:hAnsi="Century Schoolbook"/>
          <w:i/>
        </w:rPr>
        <w:t>The Extended Mind</w:t>
      </w:r>
      <w:r w:rsidR="004974BB" w:rsidRPr="00351567">
        <w:rPr>
          <w:rFonts w:ascii="Century Schoolbook" w:eastAsia="Times New Roman" w:hAnsi="Century Schoolbook"/>
        </w:rPr>
        <w:t>, 43-66. Cambridge, MA.: MIT Press</w:t>
      </w:r>
    </w:p>
    <w:p w14:paraId="78C61AE2" w14:textId="3BC54FE2" w:rsidR="005030EC" w:rsidRPr="00351567" w:rsidRDefault="005030EC" w:rsidP="004A11B2">
      <w:pPr>
        <w:widowControl w:val="0"/>
        <w:autoSpaceDE w:val="0"/>
        <w:autoSpaceDN w:val="0"/>
        <w:adjustRightInd w:val="0"/>
        <w:spacing w:after="120"/>
        <w:jc w:val="both"/>
        <w:rPr>
          <w:rFonts w:ascii="Century Schoolbook" w:eastAsia="Times New Roman" w:hAnsi="Century Schoolbook"/>
        </w:rPr>
      </w:pPr>
      <w:r w:rsidRPr="00351567">
        <w:rPr>
          <w:rFonts w:ascii="Century Schoolbook" w:eastAsiaTheme="minorEastAsia" w:hAnsi="Century Schoolbook"/>
        </w:rPr>
        <w:t xml:space="preserve">Clark, A. </w:t>
      </w:r>
      <w:r w:rsidR="004974BB" w:rsidRPr="00351567">
        <w:rPr>
          <w:rFonts w:ascii="Century Schoolbook" w:eastAsiaTheme="minorEastAsia" w:hAnsi="Century Schoolbook"/>
        </w:rPr>
        <w:t>(</w:t>
      </w:r>
      <w:r w:rsidRPr="00351567">
        <w:rPr>
          <w:rFonts w:ascii="Century Schoolbook" w:eastAsiaTheme="minorEastAsia" w:hAnsi="Century Schoolbook"/>
        </w:rPr>
        <w:t>2010c</w:t>
      </w:r>
      <w:r w:rsidR="004974BB" w:rsidRPr="00351567">
        <w:rPr>
          <w:rFonts w:ascii="Century Schoolbook" w:eastAsiaTheme="minorEastAsia" w:hAnsi="Century Schoolbook"/>
        </w:rPr>
        <w:t>)</w:t>
      </w:r>
      <w:r w:rsidRPr="00351567">
        <w:rPr>
          <w:rFonts w:ascii="Century Schoolbook" w:eastAsiaTheme="minorEastAsia" w:hAnsi="Century Schoolbook"/>
        </w:rPr>
        <w:t xml:space="preserve"> </w:t>
      </w:r>
      <w:r w:rsidR="004974BB" w:rsidRPr="00351567">
        <w:rPr>
          <w:rFonts w:ascii="Century Schoolbook" w:eastAsiaTheme="minorEastAsia" w:hAnsi="Century Schoolbook"/>
        </w:rPr>
        <w:t>‘</w:t>
      </w:r>
      <w:r w:rsidRPr="00351567">
        <w:rPr>
          <w:rFonts w:ascii="Century Schoolbook" w:eastAsiaTheme="minorEastAsia" w:hAnsi="Century Schoolbook"/>
        </w:rPr>
        <w:t>Coupling, Constitution and the Cognitive Kind</w:t>
      </w:r>
      <w:r w:rsidR="004974BB" w:rsidRPr="00351567">
        <w:rPr>
          <w:rFonts w:ascii="Century Schoolbook" w:eastAsiaTheme="minorEastAsia" w:hAnsi="Century Schoolbook"/>
        </w:rPr>
        <w:t>’, in</w:t>
      </w:r>
      <w:r w:rsidRPr="00351567">
        <w:rPr>
          <w:rFonts w:ascii="Century Schoolbook" w:eastAsia="Times New Roman" w:hAnsi="Century Schoolbook"/>
        </w:rPr>
        <w:t xml:space="preserve"> R. Menary (ed.) </w:t>
      </w:r>
      <w:r w:rsidRPr="00351567">
        <w:rPr>
          <w:rFonts w:ascii="Century Schoolbook" w:eastAsia="Times New Roman" w:hAnsi="Century Schoolbook"/>
          <w:i/>
        </w:rPr>
        <w:t>The Extended Mind</w:t>
      </w:r>
      <w:r w:rsidR="004974BB" w:rsidRPr="00351567">
        <w:rPr>
          <w:rFonts w:ascii="Century Schoolbook" w:eastAsia="Times New Roman" w:hAnsi="Century Schoolbook"/>
        </w:rPr>
        <w:t>, 81-100. Cambridge, MA.: MIT Press</w:t>
      </w:r>
    </w:p>
    <w:p w14:paraId="63024FB4" w14:textId="098E37F0" w:rsidR="005030EC" w:rsidRPr="00351567" w:rsidRDefault="005030EC" w:rsidP="004A11B2">
      <w:pPr>
        <w:jc w:val="both"/>
        <w:rPr>
          <w:rFonts w:ascii="Century Schoolbook" w:hAnsi="Century Schoolbook"/>
        </w:rPr>
      </w:pPr>
      <w:r w:rsidRPr="00351567">
        <w:rPr>
          <w:rFonts w:ascii="Century Schoolbook" w:hAnsi="Century Schoolbook"/>
        </w:rPr>
        <w:t>C</w:t>
      </w:r>
      <w:r w:rsidR="004974BB" w:rsidRPr="00351567">
        <w:rPr>
          <w:rFonts w:ascii="Century Schoolbook" w:hAnsi="Century Schoolbook"/>
        </w:rPr>
        <w:t>lark, A., and Chalmers, D</w:t>
      </w:r>
      <w:r w:rsidR="003026F0" w:rsidRPr="00351567">
        <w:rPr>
          <w:rFonts w:ascii="Century Schoolbook" w:hAnsi="Century Schoolbook"/>
        </w:rPr>
        <w:t xml:space="preserve"> </w:t>
      </w:r>
      <w:r w:rsidR="004974BB" w:rsidRPr="00351567">
        <w:rPr>
          <w:rFonts w:ascii="Century Schoolbook" w:hAnsi="Century Schoolbook"/>
        </w:rPr>
        <w:t>(</w:t>
      </w:r>
      <w:r w:rsidR="003026F0" w:rsidRPr="00351567">
        <w:rPr>
          <w:rFonts w:ascii="Century Schoolbook" w:hAnsi="Century Schoolbook"/>
        </w:rPr>
        <w:t>1998</w:t>
      </w:r>
      <w:r w:rsidR="004974BB" w:rsidRPr="00351567">
        <w:rPr>
          <w:rFonts w:ascii="Century Schoolbook" w:hAnsi="Century Schoolbook"/>
        </w:rPr>
        <w:t>)</w:t>
      </w:r>
      <w:r w:rsidRPr="00351567">
        <w:rPr>
          <w:rFonts w:ascii="Century Schoolbook" w:hAnsi="Century Schoolbook"/>
        </w:rPr>
        <w:t xml:space="preserve"> </w:t>
      </w:r>
      <w:r w:rsidR="004974BB" w:rsidRPr="00351567">
        <w:rPr>
          <w:rFonts w:ascii="Century Schoolbook" w:hAnsi="Century Schoolbook"/>
        </w:rPr>
        <w:t>‘</w:t>
      </w:r>
      <w:r w:rsidRPr="00351567">
        <w:rPr>
          <w:rFonts w:ascii="Century Schoolbook" w:hAnsi="Century Schoolbook"/>
        </w:rPr>
        <w:t>The Extended Mind</w:t>
      </w:r>
      <w:r w:rsidR="004974BB" w:rsidRPr="00351567">
        <w:rPr>
          <w:rFonts w:ascii="Century Schoolbook" w:hAnsi="Century Schoolbook"/>
        </w:rPr>
        <w:t>’,</w:t>
      </w:r>
      <w:r w:rsidRPr="00351567">
        <w:rPr>
          <w:rFonts w:ascii="Century Schoolbook" w:hAnsi="Century Schoolbook"/>
        </w:rPr>
        <w:t xml:space="preserve"> </w:t>
      </w:r>
      <w:r w:rsidRPr="00351567">
        <w:rPr>
          <w:rFonts w:ascii="Century Schoolbook" w:hAnsi="Century Schoolbook"/>
          <w:i/>
        </w:rPr>
        <w:t>Analysis</w:t>
      </w:r>
      <w:r w:rsidR="004974BB" w:rsidRPr="00351567">
        <w:rPr>
          <w:rFonts w:ascii="Century Schoolbook" w:hAnsi="Century Schoolbook"/>
        </w:rPr>
        <w:t>,</w:t>
      </w:r>
      <w:r w:rsidRPr="00351567">
        <w:rPr>
          <w:rFonts w:ascii="Century Schoolbook" w:hAnsi="Century Schoolbook"/>
        </w:rPr>
        <w:t xml:space="preserve"> 58</w:t>
      </w:r>
      <w:r w:rsidR="004974BB" w:rsidRPr="00351567">
        <w:rPr>
          <w:rFonts w:ascii="Century Schoolbook" w:hAnsi="Century Schoolbook"/>
        </w:rPr>
        <w:t xml:space="preserve">: </w:t>
      </w:r>
      <w:r w:rsidRPr="00351567">
        <w:rPr>
          <w:rFonts w:ascii="Century Schoolbook" w:hAnsi="Century Schoolbook"/>
        </w:rPr>
        <w:t>7-19</w:t>
      </w:r>
    </w:p>
    <w:p w14:paraId="6AB8931D" w14:textId="15A1034E" w:rsidR="005030EC" w:rsidRPr="00351567" w:rsidRDefault="005030EC" w:rsidP="004A11B2">
      <w:pPr>
        <w:jc w:val="both"/>
        <w:rPr>
          <w:rFonts w:ascii="Century Schoolbook" w:eastAsiaTheme="minorEastAsia" w:hAnsi="Century Schoolbook"/>
        </w:rPr>
      </w:pPr>
      <w:r w:rsidRPr="00351567">
        <w:rPr>
          <w:rFonts w:ascii="Century Schoolbook" w:eastAsiaTheme="minorEastAsia" w:hAnsi="Century Schoolbook"/>
        </w:rPr>
        <w:lastRenderedPageBreak/>
        <w:t>Denn</w:t>
      </w:r>
      <w:r w:rsidR="003026F0" w:rsidRPr="00351567">
        <w:rPr>
          <w:rFonts w:ascii="Century Schoolbook" w:eastAsiaTheme="minorEastAsia" w:hAnsi="Century Schoolbook"/>
        </w:rPr>
        <w:t xml:space="preserve">ett, D.C. &amp; Kinsbourne, M. </w:t>
      </w:r>
      <w:r w:rsidR="004974BB" w:rsidRPr="00351567">
        <w:rPr>
          <w:rFonts w:ascii="Century Schoolbook" w:eastAsiaTheme="minorEastAsia" w:hAnsi="Century Schoolbook"/>
        </w:rPr>
        <w:t>(</w:t>
      </w:r>
      <w:r w:rsidR="003026F0" w:rsidRPr="00351567">
        <w:rPr>
          <w:rFonts w:ascii="Century Schoolbook" w:eastAsiaTheme="minorEastAsia" w:hAnsi="Century Schoolbook"/>
        </w:rPr>
        <w:t>1992</w:t>
      </w:r>
      <w:r w:rsidR="004974BB" w:rsidRPr="00351567">
        <w:rPr>
          <w:rFonts w:ascii="Century Schoolbook" w:eastAsiaTheme="minorEastAsia" w:hAnsi="Century Schoolbook"/>
        </w:rPr>
        <w:t>)</w:t>
      </w:r>
      <w:r w:rsidRPr="00351567">
        <w:rPr>
          <w:rFonts w:ascii="Century Schoolbook" w:eastAsiaTheme="minorEastAsia" w:hAnsi="Century Schoolbook"/>
        </w:rPr>
        <w:t xml:space="preserve"> </w:t>
      </w:r>
      <w:r w:rsidR="004974BB" w:rsidRPr="00351567">
        <w:rPr>
          <w:rFonts w:ascii="Century Schoolbook" w:eastAsiaTheme="minorEastAsia" w:hAnsi="Century Schoolbook"/>
        </w:rPr>
        <w:t>‘</w:t>
      </w:r>
      <w:r w:rsidRPr="00351567">
        <w:rPr>
          <w:rFonts w:ascii="Century Schoolbook" w:eastAsiaTheme="minorEastAsia" w:hAnsi="Century Schoolbook"/>
        </w:rPr>
        <w:t>Time and the observer: The where and when of consciousness in the brain</w:t>
      </w:r>
      <w:r w:rsidR="004974BB" w:rsidRPr="00351567">
        <w:rPr>
          <w:rFonts w:ascii="Century Schoolbook" w:eastAsiaTheme="minorEastAsia" w:hAnsi="Century Schoolbook"/>
        </w:rPr>
        <w:t>’,</w:t>
      </w:r>
      <w:r w:rsidRPr="00351567">
        <w:rPr>
          <w:rFonts w:ascii="Century Schoolbook" w:eastAsiaTheme="minorEastAsia" w:hAnsi="Century Schoolbook"/>
        </w:rPr>
        <w:t xml:space="preserve"> </w:t>
      </w:r>
      <w:r w:rsidRPr="00351567">
        <w:rPr>
          <w:rFonts w:ascii="Century Schoolbook" w:eastAsiaTheme="minorEastAsia" w:hAnsi="Century Schoolbook"/>
          <w:i/>
        </w:rPr>
        <w:t>Behavioural Brain Sciences</w:t>
      </w:r>
      <w:r w:rsidR="004974BB" w:rsidRPr="00351567">
        <w:rPr>
          <w:rFonts w:ascii="Century Schoolbook" w:eastAsiaTheme="minorEastAsia" w:hAnsi="Century Schoolbook"/>
        </w:rPr>
        <w:t>,</w:t>
      </w:r>
      <w:r w:rsidRPr="00351567">
        <w:rPr>
          <w:rFonts w:ascii="Century Schoolbook" w:eastAsiaTheme="minorEastAsia" w:hAnsi="Century Schoolbook"/>
        </w:rPr>
        <w:t xml:space="preserve"> 19</w:t>
      </w:r>
      <w:r w:rsidR="004974BB" w:rsidRPr="00351567">
        <w:rPr>
          <w:rFonts w:ascii="Century Schoolbook" w:eastAsiaTheme="minorEastAsia" w:hAnsi="Century Schoolbook"/>
        </w:rPr>
        <w:t xml:space="preserve">: </w:t>
      </w:r>
      <w:r w:rsidRPr="00351567">
        <w:rPr>
          <w:rFonts w:ascii="Century Schoolbook" w:eastAsiaTheme="minorEastAsia" w:hAnsi="Century Schoolbook"/>
        </w:rPr>
        <w:t>183-247</w:t>
      </w:r>
    </w:p>
    <w:p w14:paraId="45F0C0DD" w14:textId="04F24A4F" w:rsidR="005030EC" w:rsidRPr="00351567" w:rsidRDefault="003026F0" w:rsidP="004A11B2">
      <w:pPr>
        <w:jc w:val="both"/>
        <w:rPr>
          <w:rFonts w:ascii="Century Schoolbook" w:eastAsiaTheme="minorEastAsia" w:hAnsi="Century Schoolbook"/>
        </w:rPr>
      </w:pPr>
      <w:r w:rsidRPr="00351567">
        <w:rPr>
          <w:rFonts w:ascii="Century Schoolbook" w:eastAsiaTheme="minorEastAsia" w:hAnsi="Century Schoolbook"/>
        </w:rPr>
        <w:t xml:space="preserve">Di Paolo, E. </w:t>
      </w:r>
      <w:r w:rsidR="004974BB" w:rsidRPr="00351567">
        <w:rPr>
          <w:rFonts w:ascii="Century Schoolbook" w:eastAsiaTheme="minorEastAsia" w:hAnsi="Century Schoolbook"/>
        </w:rPr>
        <w:t>(</w:t>
      </w:r>
      <w:r w:rsidRPr="00351567">
        <w:rPr>
          <w:rFonts w:ascii="Century Schoolbook" w:eastAsiaTheme="minorEastAsia" w:hAnsi="Century Schoolbook"/>
        </w:rPr>
        <w:t>2009</w:t>
      </w:r>
      <w:r w:rsidR="004974BB"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4974BB" w:rsidRPr="00351567">
        <w:rPr>
          <w:rFonts w:ascii="Century Schoolbook" w:eastAsiaTheme="minorEastAsia" w:hAnsi="Century Schoolbook"/>
        </w:rPr>
        <w:t>‘</w:t>
      </w:r>
      <w:r w:rsidR="005030EC" w:rsidRPr="00351567">
        <w:rPr>
          <w:rFonts w:ascii="Century Schoolbook" w:eastAsiaTheme="minorEastAsia" w:hAnsi="Century Schoolbook"/>
        </w:rPr>
        <w:t>Extended Life</w:t>
      </w:r>
      <w:r w:rsidR="004974BB"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5030EC" w:rsidRPr="00351567">
        <w:rPr>
          <w:rFonts w:ascii="Century Schoolbook" w:eastAsiaTheme="minorEastAsia" w:hAnsi="Century Schoolbook"/>
          <w:i/>
        </w:rPr>
        <w:t>Topoi</w:t>
      </w:r>
      <w:r w:rsidR="004974BB" w:rsidRPr="00351567">
        <w:rPr>
          <w:rFonts w:ascii="Century Schoolbook" w:eastAsiaTheme="minorEastAsia" w:hAnsi="Century Schoolbook"/>
        </w:rPr>
        <w:t>,</w:t>
      </w:r>
      <w:r w:rsidR="005030EC" w:rsidRPr="00351567">
        <w:rPr>
          <w:rFonts w:ascii="Century Schoolbook" w:eastAsiaTheme="minorEastAsia" w:hAnsi="Century Schoolbook"/>
        </w:rPr>
        <w:t xml:space="preserve"> 28: 9-21.</w:t>
      </w:r>
    </w:p>
    <w:p w14:paraId="4023A564" w14:textId="6FD303EF" w:rsidR="005030EC" w:rsidRPr="00351567" w:rsidRDefault="003026F0" w:rsidP="004A11B2">
      <w:pPr>
        <w:jc w:val="both"/>
        <w:rPr>
          <w:rFonts w:ascii="Century Schoolbook" w:hAnsi="Century Schoolbook"/>
        </w:rPr>
      </w:pPr>
      <w:r w:rsidRPr="00351567">
        <w:rPr>
          <w:rFonts w:ascii="Century Schoolbook" w:hAnsi="Century Schoolbook"/>
        </w:rPr>
        <w:t xml:space="preserve">Hohwy, J. and Rajan, V. </w:t>
      </w:r>
      <w:r w:rsidR="00974C79" w:rsidRPr="00351567">
        <w:rPr>
          <w:rFonts w:ascii="Century Schoolbook" w:hAnsi="Century Schoolbook"/>
        </w:rPr>
        <w:t>(</w:t>
      </w:r>
      <w:r w:rsidRPr="00351567">
        <w:rPr>
          <w:rFonts w:ascii="Century Schoolbook" w:hAnsi="Century Schoolbook"/>
        </w:rPr>
        <w:t>2012</w:t>
      </w:r>
      <w:r w:rsidR="00974C79" w:rsidRPr="00351567">
        <w:rPr>
          <w:rFonts w:ascii="Century Schoolbook" w:hAnsi="Century Schoolbook"/>
        </w:rPr>
        <w:t>)</w:t>
      </w:r>
      <w:r w:rsidR="005030EC" w:rsidRPr="00351567">
        <w:rPr>
          <w:rFonts w:ascii="Century Schoolbook" w:hAnsi="Century Schoolbook"/>
        </w:rPr>
        <w:t xml:space="preserve"> </w:t>
      </w:r>
      <w:r w:rsidR="00974C79" w:rsidRPr="00351567">
        <w:rPr>
          <w:rFonts w:ascii="Century Schoolbook" w:hAnsi="Century Schoolbook"/>
        </w:rPr>
        <w:t>‘</w:t>
      </w:r>
      <w:r w:rsidR="005030EC" w:rsidRPr="00351567">
        <w:rPr>
          <w:rFonts w:ascii="Century Schoolbook" w:hAnsi="Century Schoolbook"/>
        </w:rPr>
        <w:t>Delusions are forensically disturbing perceptual inferences</w:t>
      </w:r>
      <w:r w:rsidR="00974C79" w:rsidRPr="00351567">
        <w:rPr>
          <w:rFonts w:ascii="Century Schoolbook" w:hAnsi="Century Schoolbook"/>
        </w:rPr>
        <w:t>’,</w:t>
      </w:r>
      <w:r w:rsidR="005030EC" w:rsidRPr="00351567">
        <w:rPr>
          <w:rFonts w:ascii="Century Schoolbook" w:hAnsi="Century Schoolbook"/>
        </w:rPr>
        <w:t xml:space="preserve"> </w:t>
      </w:r>
      <w:r w:rsidR="005030EC" w:rsidRPr="00351567">
        <w:rPr>
          <w:rFonts w:ascii="Century Schoolbook" w:hAnsi="Century Schoolbook"/>
          <w:i/>
        </w:rPr>
        <w:t>Neuroethics</w:t>
      </w:r>
      <w:r w:rsidR="00974C79" w:rsidRPr="00351567">
        <w:rPr>
          <w:rFonts w:ascii="Century Schoolbook" w:hAnsi="Century Schoolbook"/>
        </w:rPr>
        <w:t>, 5/1:</w:t>
      </w:r>
      <w:r w:rsidR="005030EC" w:rsidRPr="00351567">
        <w:rPr>
          <w:rFonts w:ascii="Century Schoolbook" w:hAnsi="Century Schoolbook"/>
        </w:rPr>
        <w:t xml:space="preserve"> 5-11</w:t>
      </w:r>
    </w:p>
    <w:p w14:paraId="328CD5A1" w14:textId="18756484" w:rsidR="005030EC" w:rsidRPr="00351567" w:rsidRDefault="003026F0" w:rsidP="004A11B2">
      <w:pPr>
        <w:jc w:val="both"/>
        <w:rPr>
          <w:rFonts w:ascii="Century Schoolbook" w:hAnsi="Century Schoolbook"/>
        </w:rPr>
      </w:pPr>
      <w:r w:rsidRPr="00351567">
        <w:rPr>
          <w:rFonts w:ascii="Century Schoolbook" w:hAnsi="Century Schoolbook"/>
        </w:rPr>
        <w:t xml:space="preserve">Hurley, S. </w:t>
      </w:r>
      <w:r w:rsidR="00974C79" w:rsidRPr="00351567">
        <w:rPr>
          <w:rFonts w:ascii="Century Schoolbook" w:hAnsi="Century Schoolbook"/>
        </w:rPr>
        <w:t>(</w:t>
      </w:r>
      <w:r w:rsidRPr="00351567">
        <w:rPr>
          <w:rFonts w:ascii="Century Schoolbook" w:hAnsi="Century Schoolbook"/>
        </w:rPr>
        <w:t>1998</w:t>
      </w:r>
      <w:r w:rsidR="00974C79" w:rsidRPr="00351567">
        <w:rPr>
          <w:rFonts w:ascii="Century Schoolbook" w:hAnsi="Century Schoolbook"/>
        </w:rPr>
        <w:t>)</w:t>
      </w:r>
      <w:r w:rsidR="005030EC" w:rsidRPr="00351567">
        <w:rPr>
          <w:rFonts w:ascii="Century Schoolbook" w:hAnsi="Century Schoolbook"/>
        </w:rPr>
        <w:t xml:space="preserve"> </w:t>
      </w:r>
      <w:r w:rsidR="00974C79" w:rsidRPr="00351567">
        <w:rPr>
          <w:rFonts w:ascii="Century Schoolbook" w:hAnsi="Century Schoolbook"/>
          <w:i/>
        </w:rPr>
        <w:t>Consciousness in Action</w:t>
      </w:r>
      <w:r w:rsidR="008737A4" w:rsidRPr="00351567">
        <w:rPr>
          <w:rFonts w:ascii="Century Schoolbook" w:hAnsi="Century Schoolbook"/>
        </w:rPr>
        <w:t>,</w:t>
      </w:r>
      <w:r w:rsidR="005030EC" w:rsidRPr="00351567">
        <w:rPr>
          <w:rFonts w:ascii="Century Schoolbook" w:hAnsi="Century Schoolbook"/>
          <w:i/>
        </w:rPr>
        <w:t xml:space="preserve"> </w:t>
      </w:r>
      <w:r w:rsidR="005030EC" w:rsidRPr="00351567">
        <w:rPr>
          <w:rFonts w:ascii="Century Schoolbook" w:hAnsi="Century Schoolbook"/>
        </w:rPr>
        <w:t>Cambridge, MA.: Harvard.</w:t>
      </w:r>
    </w:p>
    <w:p w14:paraId="5FEC5555" w14:textId="5904C4D7" w:rsidR="005030EC" w:rsidRPr="00351567" w:rsidRDefault="003026F0" w:rsidP="004A11B2">
      <w:pPr>
        <w:jc w:val="both"/>
        <w:rPr>
          <w:rFonts w:ascii="Century Schoolbook" w:hAnsi="Century Schoolbook"/>
        </w:rPr>
      </w:pPr>
      <w:r w:rsidRPr="00351567">
        <w:rPr>
          <w:rFonts w:ascii="Century Schoolbook" w:hAnsi="Century Schoolbook"/>
        </w:rPr>
        <w:t xml:space="preserve">Hurley, S. and Noë, A. </w:t>
      </w:r>
      <w:r w:rsidR="00974C79" w:rsidRPr="00351567">
        <w:rPr>
          <w:rFonts w:ascii="Century Schoolbook" w:hAnsi="Century Schoolbook"/>
        </w:rPr>
        <w:t>(</w:t>
      </w:r>
      <w:r w:rsidRPr="00351567">
        <w:rPr>
          <w:rFonts w:ascii="Century Schoolbook" w:hAnsi="Century Schoolbook"/>
        </w:rPr>
        <w:t>2003</w:t>
      </w:r>
      <w:r w:rsidR="00974C79" w:rsidRPr="00351567">
        <w:rPr>
          <w:rFonts w:ascii="Century Schoolbook" w:hAnsi="Century Schoolbook"/>
        </w:rPr>
        <w:t>)</w:t>
      </w:r>
      <w:r w:rsidR="005030EC" w:rsidRPr="00351567">
        <w:rPr>
          <w:rFonts w:ascii="Century Schoolbook" w:hAnsi="Century Schoolbook"/>
        </w:rPr>
        <w:t xml:space="preserve"> </w:t>
      </w:r>
      <w:r w:rsidR="00974C79" w:rsidRPr="00351567">
        <w:rPr>
          <w:rFonts w:ascii="Century Schoolbook" w:hAnsi="Century Schoolbook"/>
        </w:rPr>
        <w:t>‘</w:t>
      </w:r>
      <w:r w:rsidR="005030EC" w:rsidRPr="00351567">
        <w:rPr>
          <w:rFonts w:ascii="Century Schoolbook" w:hAnsi="Century Schoolbook"/>
        </w:rPr>
        <w:t>Neural Plasticity and Consciousness</w:t>
      </w:r>
      <w:r w:rsidR="00974C79" w:rsidRPr="00351567">
        <w:rPr>
          <w:rFonts w:ascii="Century Schoolbook" w:hAnsi="Century Schoolbook"/>
        </w:rPr>
        <w:t>’,</w:t>
      </w:r>
      <w:r w:rsidR="005030EC" w:rsidRPr="00351567">
        <w:rPr>
          <w:rFonts w:ascii="Century Schoolbook" w:hAnsi="Century Schoolbook"/>
        </w:rPr>
        <w:t xml:space="preserve"> </w:t>
      </w:r>
      <w:r w:rsidR="005030EC" w:rsidRPr="00351567">
        <w:rPr>
          <w:rFonts w:ascii="Century Schoolbook" w:hAnsi="Century Schoolbook"/>
          <w:i/>
        </w:rPr>
        <w:t>Biology and Philosophy</w:t>
      </w:r>
      <w:r w:rsidR="005030EC" w:rsidRPr="00351567">
        <w:rPr>
          <w:rFonts w:ascii="Century Schoolbook" w:hAnsi="Century Schoolbook"/>
        </w:rPr>
        <w:t>, 18</w:t>
      </w:r>
      <w:r w:rsidR="00974C79" w:rsidRPr="00351567">
        <w:rPr>
          <w:rFonts w:ascii="Century Schoolbook" w:hAnsi="Century Schoolbook"/>
        </w:rPr>
        <w:t>:</w:t>
      </w:r>
      <w:r w:rsidR="005030EC" w:rsidRPr="00351567">
        <w:rPr>
          <w:rFonts w:ascii="Century Schoolbook" w:hAnsi="Century Schoolbook"/>
        </w:rPr>
        <w:t xml:space="preserve"> 131-68</w:t>
      </w:r>
    </w:p>
    <w:p w14:paraId="0892818A" w14:textId="0E8795CC" w:rsidR="005030EC" w:rsidRPr="00351567" w:rsidRDefault="005030EC" w:rsidP="004A11B2">
      <w:pPr>
        <w:jc w:val="both"/>
        <w:rPr>
          <w:rFonts w:ascii="Century Schoolbook" w:hAnsi="Century Schoolbook"/>
          <w:i/>
        </w:rPr>
      </w:pPr>
      <w:r w:rsidRPr="00351567">
        <w:rPr>
          <w:rFonts w:ascii="Century Schoolbook" w:hAnsi="Century Schoolbook"/>
        </w:rPr>
        <w:t>Jackson</w:t>
      </w:r>
      <w:r w:rsidR="003026F0" w:rsidRPr="00351567">
        <w:rPr>
          <w:rFonts w:ascii="Century Schoolbook" w:hAnsi="Century Schoolbook"/>
        </w:rPr>
        <w:t xml:space="preserve">, F., Braddon-Mitchell, D. </w:t>
      </w:r>
      <w:r w:rsidR="00974C79" w:rsidRPr="00351567">
        <w:rPr>
          <w:rFonts w:ascii="Century Schoolbook" w:hAnsi="Century Schoolbook"/>
        </w:rPr>
        <w:t>(</w:t>
      </w:r>
      <w:r w:rsidR="003026F0" w:rsidRPr="00351567">
        <w:rPr>
          <w:rFonts w:ascii="Century Schoolbook" w:hAnsi="Century Schoolbook"/>
        </w:rPr>
        <w:t>2007</w:t>
      </w:r>
      <w:r w:rsidR="00974C79" w:rsidRPr="00351567">
        <w:rPr>
          <w:rFonts w:ascii="Century Schoolbook" w:hAnsi="Century Schoolbook"/>
        </w:rPr>
        <w:t>)</w:t>
      </w:r>
      <w:r w:rsidRPr="00351567">
        <w:rPr>
          <w:rFonts w:ascii="Century Schoolbook" w:hAnsi="Century Schoolbook"/>
        </w:rPr>
        <w:t xml:space="preserve"> </w:t>
      </w:r>
      <w:r w:rsidRPr="00351567">
        <w:rPr>
          <w:rFonts w:ascii="Century Schoolbook" w:hAnsi="Century Schoolbook"/>
          <w:i/>
        </w:rPr>
        <w:t>Philosophy of Mind and Cognition: An Introduction</w:t>
      </w:r>
      <w:r w:rsidR="00974C79" w:rsidRPr="00351567">
        <w:rPr>
          <w:rFonts w:ascii="Century Schoolbook" w:hAnsi="Century Schoolbook"/>
        </w:rPr>
        <w:t>,</w:t>
      </w:r>
      <w:r w:rsidRPr="00351567">
        <w:rPr>
          <w:rFonts w:ascii="Century Schoolbook" w:hAnsi="Century Schoolbook"/>
        </w:rPr>
        <w:t xml:space="preserve"> 2</w:t>
      </w:r>
      <w:r w:rsidRPr="00351567">
        <w:rPr>
          <w:rFonts w:ascii="Century Schoolbook" w:hAnsi="Century Schoolbook"/>
          <w:vertAlign w:val="superscript"/>
        </w:rPr>
        <w:t>nd</w:t>
      </w:r>
      <w:r w:rsidRPr="00351567">
        <w:rPr>
          <w:rFonts w:ascii="Century Schoolbook" w:hAnsi="Century Schoolbook"/>
        </w:rPr>
        <w:t xml:space="preserve"> ed</w:t>
      </w:r>
      <w:r w:rsidR="00974C79" w:rsidRPr="00351567">
        <w:rPr>
          <w:rFonts w:ascii="Century Schoolbook" w:hAnsi="Century Schoolbook"/>
        </w:rPr>
        <w:t>n.</w:t>
      </w:r>
      <w:r w:rsidRPr="00351567">
        <w:rPr>
          <w:rFonts w:ascii="Century Schoolbook" w:hAnsi="Century Schoolbook"/>
        </w:rPr>
        <w:t xml:space="preserve"> Oxford: Blackwell Publishing</w:t>
      </w:r>
      <w:r w:rsidRPr="00351567">
        <w:rPr>
          <w:rFonts w:ascii="Century Schoolbook" w:hAnsi="Century Schoolbook"/>
          <w:i/>
          <w:vertAlign w:val="superscript"/>
        </w:rPr>
        <w:t xml:space="preserve"> </w:t>
      </w:r>
    </w:p>
    <w:p w14:paraId="77802E92" w14:textId="12570423" w:rsidR="005030EC" w:rsidRPr="00351567" w:rsidRDefault="003026F0" w:rsidP="004A11B2">
      <w:pPr>
        <w:jc w:val="both"/>
        <w:rPr>
          <w:rFonts w:ascii="Century Schoolbook" w:hAnsi="Century Schoolbook"/>
        </w:rPr>
      </w:pPr>
      <w:r w:rsidRPr="00351567">
        <w:rPr>
          <w:rFonts w:ascii="Century Schoolbook" w:hAnsi="Century Schoolbook"/>
        </w:rPr>
        <w:t xml:space="preserve">Lakoff, G. and Johnson, M. </w:t>
      </w:r>
      <w:r w:rsidR="00974C79" w:rsidRPr="00351567">
        <w:rPr>
          <w:rFonts w:ascii="Century Schoolbook" w:hAnsi="Century Schoolbook"/>
        </w:rPr>
        <w:t>(</w:t>
      </w:r>
      <w:r w:rsidRPr="00351567">
        <w:rPr>
          <w:rFonts w:ascii="Century Schoolbook" w:hAnsi="Century Schoolbook"/>
        </w:rPr>
        <w:t>1999</w:t>
      </w:r>
      <w:r w:rsidR="00974C79" w:rsidRPr="00351567">
        <w:rPr>
          <w:rFonts w:ascii="Century Schoolbook" w:hAnsi="Century Schoolbook"/>
        </w:rPr>
        <w:t>)</w:t>
      </w:r>
      <w:r w:rsidR="005030EC" w:rsidRPr="00351567">
        <w:rPr>
          <w:rFonts w:ascii="Century Schoolbook" w:hAnsi="Century Schoolbook"/>
        </w:rPr>
        <w:t xml:space="preserve"> </w:t>
      </w:r>
      <w:r w:rsidR="005030EC" w:rsidRPr="00351567">
        <w:rPr>
          <w:rFonts w:ascii="Century Schoolbook" w:hAnsi="Century Schoolbook"/>
          <w:i/>
        </w:rPr>
        <w:t>Philosophy in the Flesh: The Embodied Mind and its Challenge to Western Thought</w:t>
      </w:r>
      <w:r w:rsidR="00974C79" w:rsidRPr="00351567">
        <w:rPr>
          <w:rFonts w:ascii="Century Schoolbook" w:hAnsi="Century Schoolbook"/>
        </w:rPr>
        <w:t>, New York:</w:t>
      </w:r>
      <w:r w:rsidR="005030EC" w:rsidRPr="00351567">
        <w:rPr>
          <w:rFonts w:ascii="Century Schoolbook" w:hAnsi="Century Schoolbook"/>
        </w:rPr>
        <w:t xml:space="preserve"> Basic Books.</w:t>
      </w:r>
    </w:p>
    <w:p w14:paraId="0B879406" w14:textId="03CA3C1C" w:rsidR="005030EC" w:rsidRPr="00351567" w:rsidRDefault="005030EC" w:rsidP="004A11B2">
      <w:pPr>
        <w:jc w:val="both"/>
        <w:rPr>
          <w:rFonts w:ascii="Century Schoolbook" w:hAnsi="Century Schoolbook"/>
          <w:i/>
        </w:rPr>
      </w:pPr>
      <w:r w:rsidRPr="00351567">
        <w:rPr>
          <w:rFonts w:ascii="Century Schoolbook" w:hAnsi="Century Schoolbook"/>
        </w:rPr>
        <w:t xml:space="preserve">Lewis, D. </w:t>
      </w:r>
      <w:r w:rsidR="00974C79" w:rsidRPr="00351567">
        <w:rPr>
          <w:rFonts w:ascii="Century Schoolbook" w:hAnsi="Century Schoolbook"/>
        </w:rPr>
        <w:t>(</w:t>
      </w:r>
      <w:r w:rsidRPr="00351567">
        <w:rPr>
          <w:rFonts w:ascii="Century Schoolbook" w:hAnsi="Century Schoolbook"/>
        </w:rPr>
        <w:t>1980</w:t>
      </w:r>
      <w:r w:rsidR="00974C79" w:rsidRPr="00351567">
        <w:rPr>
          <w:rFonts w:ascii="Century Schoolbook" w:hAnsi="Century Schoolbook"/>
        </w:rPr>
        <w:t>)</w:t>
      </w:r>
      <w:r w:rsidRPr="00351567">
        <w:rPr>
          <w:rFonts w:ascii="Century Schoolbook" w:hAnsi="Century Schoolbook"/>
        </w:rPr>
        <w:t xml:space="preserve"> </w:t>
      </w:r>
      <w:r w:rsidR="00974C79" w:rsidRPr="00351567">
        <w:rPr>
          <w:rFonts w:ascii="Century Schoolbook" w:hAnsi="Century Schoolbook"/>
        </w:rPr>
        <w:t>‘</w:t>
      </w:r>
      <w:r w:rsidRPr="00351567">
        <w:rPr>
          <w:rFonts w:ascii="Century Schoolbook" w:hAnsi="Century Schoolbook"/>
        </w:rPr>
        <w:t>Mad Pain and Martian Pain</w:t>
      </w:r>
      <w:r w:rsidR="00974C79" w:rsidRPr="00351567">
        <w:rPr>
          <w:rFonts w:ascii="Century Schoolbook" w:hAnsi="Century Schoolbook"/>
        </w:rPr>
        <w:t>’</w:t>
      </w:r>
      <w:r w:rsidRPr="00351567">
        <w:rPr>
          <w:rFonts w:ascii="Century Schoolbook" w:hAnsi="Century Schoolbook"/>
        </w:rPr>
        <w:t xml:space="preserve"> </w:t>
      </w:r>
      <w:r w:rsidR="00974C79" w:rsidRPr="00351567">
        <w:rPr>
          <w:rFonts w:ascii="Century Schoolbook" w:hAnsi="Century Schoolbook"/>
        </w:rPr>
        <w:t>i</w:t>
      </w:r>
      <w:r w:rsidRPr="00351567">
        <w:rPr>
          <w:rFonts w:ascii="Century Schoolbook" w:hAnsi="Century Schoolbook"/>
        </w:rPr>
        <w:t xml:space="preserve">n N. Block (ed.) </w:t>
      </w:r>
      <w:r w:rsidRPr="00351567">
        <w:rPr>
          <w:rFonts w:ascii="Century Schoolbook" w:hAnsi="Century Schoolbook"/>
          <w:i/>
        </w:rPr>
        <w:t>Readings in Philosophy of Psychology</w:t>
      </w:r>
      <w:r w:rsidRPr="00351567">
        <w:rPr>
          <w:rFonts w:ascii="Century Schoolbook" w:hAnsi="Century Schoolbook"/>
        </w:rPr>
        <w:t xml:space="preserve">, </w:t>
      </w:r>
      <w:r w:rsidRPr="00351567">
        <w:rPr>
          <w:rFonts w:ascii="Century Schoolbook" w:hAnsi="Century Schoolbook"/>
          <w:i/>
        </w:rPr>
        <w:t>Vol. 1.</w:t>
      </w:r>
      <w:r w:rsidR="00974C79" w:rsidRPr="00351567">
        <w:rPr>
          <w:rFonts w:ascii="Century Schoolbook" w:hAnsi="Century Schoolbook"/>
          <w:i/>
        </w:rPr>
        <w:t xml:space="preserve"> </w:t>
      </w:r>
      <w:r w:rsidR="00974C79" w:rsidRPr="00351567">
        <w:rPr>
          <w:rFonts w:ascii="Century Schoolbook" w:hAnsi="Century Schoolbook"/>
        </w:rPr>
        <w:t>216-222.</w:t>
      </w:r>
      <w:r w:rsidRPr="00351567">
        <w:rPr>
          <w:rFonts w:ascii="Century Schoolbook" w:hAnsi="Century Schoolbook"/>
          <w:i/>
        </w:rPr>
        <w:t xml:space="preserve"> </w:t>
      </w:r>
      <w:r w:rsidRPr="00351567">
        <w:rPr>
          <w:rFonts w:ascii="Century Schoolbook" w:hAnsi="Century Schoolbook"/>
        </w:rPr>
        <w:t>Cambridg</w:t>
      </w:r>
      <w:r w:rsidR="00974C79" w:rsidRPr="00351567">
        <w:rPr>
          <w:rFonts w:ascii="Century Schoolbook" w:hAnsi="Century Schoolbook"/>
        </w:rPr>
        <w:t>e, MA: Harvard University Press</w:t>
      </w:r>
      <w:r w:rsidRPr="00351567">
        <w:rPr>
          <w:rFonts w:ascii="Century Schoolbook" w:hAnsi="Century Schoolbook"/>
        </w:rPr>
        <w:t xml:space="preserve"> </w:t>
      </w:r>
    </w:p>
    <w:p w14:paraId="6B465CC1" w14:textId="1C2C1D10" w:rsidR="005030EC" w:rsidRPr="00351567" w:rsidRDefault="003026F0" w:rsidP="004A11B2">
      <w:pPr>
        <w:jc w:val="both"/>
        <w:rPr>
          <w:rFonts w:ascii="Century Schoolbook" w:hAnsi="Century Schoolbook"/>
        </w:rPr>
      </w:pPr>
      <w:r w:rsidRPr="00351567">
        <w:rPr>
          <w:rFonts w:ascii="Century Schoolbook" w:hAnsi="Century Schoolbook"/>
        </w:rPr>
        <w:t xml:space="preserve">Lewis, D. </w:t>
      </w:r>
      <w:r w:rsidR="00974C79" w:rsidRPr="00351567">
        <w:rPr>
          <w:rFonts w:ascii="Century Schoolbook" w:hAnsi="Century Schoolbook"/>
        </w:rPr>
        <w:t>(</w:t>
      </w:r>
      <w:r w:rsidRPr="00351567">
        <w:rPr>
          <w:rFonts w:ascii="Century Schoolbook" w:hAnsi="Century Schoolbook"/>
        </w:rPr>
        <w:t>1994</w:t>
      </w:r>
      <w:r w:rsidR="00974C79" w:rsidRPr="00351567">
        <w:rPr>
          <w:rFonts w:ascii="Century Schoolbook" w:hAnsi="Century Schoolbook"/>
        </w:rPr>
        <w:t>)</w:t>
      </w:r>
      <w:r w:rsidR="005030EC" w:rsidRPr="00351567">
        <w:rPr>
          <w:rFonts w:ascii="Century Schoolbook" w:hAnsi="Century Schoolbook"/>
        </w:rPr>
        <w:t xml:space="preserve"> </w:t>
      </w:r>
      <w:r w:rsidR="00974C79" w:rsidRPr="00351567">
        <w:rPr>
          <w:rFonts w:ascii="Century Schoolbook" w:hAnsi="Century Schoolbook"/>
        </w:rPr>
        <w:t>‘</w:t>
      </w:r>
      <w:r w:rsidR="005030EC" w:rsidRPr="00351567">
        <w:rPr>
          <w:rFonts w:ascii="Century Schoolbook" w:hAnsi="Century Schoolbook"/>
        </w:rPr>
        <w:t>Reduction of Mind</w:t>
      </w:r>
      <w:r w:rsidR="00974C79" w:rsidRPr="00351567">
        <w:rPr>
          <w:rFonts w:ascii="Century Schoolbook" w:hAnsi="Century Schoolbook"/>
        </w:rPr>
        <w:t>’ i</w:t>
      </w:r>
      <w:r w:rsidR="005030EC" w:rsidRPr="00351567">
        <w:rPr>
          <w:rFonts w:ascii="Century Schoolbook" w:hAnsi="Century Schoolbook"/>
        </w:rPr>
        <w:t xml:space="preserve">n S. Guttenplan (ed.) </w:t>
      </w:r>
      <w:r w:rsidR="005030EC" w:rsidRPr="00351567">
        <w:rPr>
          <w:rFonts w:ascii="Century Schoolbook" w:hAnsi="Century Schoolbook"/>
          <w:i/>
        </w:rPr>
        <w:t>A Comp</w:t>
      </w:r>
      <w:r w:rsidR="00974C79" w:rsidRPr="00351567">
        <w:rPr>
          <w:rFonts w:ascii="Century Schoolbook" w:hAnsi="Century Schoolbook"/>
          <w:i/>
        </w:rPr>
        <w:t>anion to the Philosophy of Mind</w:t>
      </w:r>
      <w:r w:rsidR="00974C79" w:rsidRPr="00351567">
        <w:rPr>
          <w:rFonts w:ascii="Century Schoolbook" w:hAnsi="Century Schoolbook"/>
        </w:rPr>
        <w:t>,</w:t>
      </w:r>
      <w:r w:rsidR="00974C79" w:rsidRPr="00351567">
        <w:rPr>
          <w:rFonts w:ascii="Century Schoolbook" w:hAnsi="Century Schoolbook"/>
          <w:i/>
        </w:rPr>
        <w:t xml:space="preserve"> </w:t>
      </w:r>
      <w:r w:rsidR="00974C79" w:rsidRPr="00351567">
        <w:rPr>
          <w:rFonts w:ascii="Century Schoolbook" w:hAnsi="Century Schoolbook"/>
        </w:rPr>
        <w:t>412-31.</w:t>
      </w:r>
      <w:r w:rsidR="005030EC" w:rsidRPr="00351567">
        <w:rPr>
          <w:rFonts w:ascii="Century Schoolbook" w:hAnsi="Century Schoolbook"/>
          <w:i/>
        </w:rPr>
        <w:t xml:space="preserve"> </w:t>
      </w:r>
      <w:r w:rsidR="00974C79" w:rsidRPr="00351567">
        <w:rPr>
          <w:rFonts w:ascii="Century Schoolbook" w:hAnsi="Century Schoolbook"/>
        </w:rPr>
        <w:t>Oxford: Blackwell</w:t>
      </w:r>
      <w:r w:rsidR="005030EC" w:rsidRPr="00351567">
        <w:rPr>
          <w:rFonts w:ascii="Century Schoolbook" w:hAnsi="Century Schoolbook"/>
        </w:rPr>
        <w:t>.</w:t>
      </w:r>
    </w:p>
    <w:p w14:paraId="05614942" w14:textId="354E5E5E" w:rsidR="00244181" w:rsidRPr="00351567" w:rsidRDefault="003026F0" w:rsidP="004A11B2">
      <w:pPr>
        <w:jc w:val="both"/>
        <w:rPr>
          <w:rFonts w:ascii="Century Schoolbook" w:hAnsi="Century Schoolbook"/>
          <w:szCs w:val="24"/>
        </w:rPr>
      </w:pPr>
      <w:r w:rsidRPr="00351567">
        <w:rPr>
          <w:rFonts w:ascii="Century Schoolbook" w:hAnsi="Century Schoolbook"/>
          <w:szCs w:val="24"/>
        </w:rPr>
        <w:t xml:space="preserve">Noë, A. </w:t>
      </w:r>
      <w:r w:rsidR="00974C79" w:rsidRPr="00351567">
        <w:rPr>
          <w:rFonts w:ascii="Century Schoolbook" w:hAnsi="Century Schoolbook"/>
          <w:szCs w:val="24"/>
        </w:rPr>
        <w:t>(</w:t>
      </w:r>
      <w:r w:rsidRPr="00351567">
        <w:rPr>
          <w:rFonts w:ascii="Century Schoolbook" w:hAnsi="Century Schoolbook"/>
          <w:szCs w:val="24"/>
        </w:rPr>
        <w:t>2004</w:t>
      </w:r>
      <w:r w:rsidR="00974C79" w:rsidRPr="00351567">
        <w:rPr>
          <w:rFonts w:ascii="Century Schoolbook" w:hAnsi="Century Schoolbook"/>
          <w:szCs w:val="24"/>
        </w:rPr>
        <w:t>)</w:t>
      </w:r>
      <w:r w:rsidR="00244181" w:rsidRPr="00351567">
        <w:rPr>
          <w:rFonts w:ascii="Century Schoolbook" w:hAnsi="Century Schoolbook"/>
          <w:szCs w:val="24"/>
        </w:rPr>
        <w:t xml:space="preserve"> </w:t>
      </w:r>
      <w:r w:rsidR="00244181" w:rsidRPr="00351567">
        <w:rPr>
          <w:rFonts w:ascii="Century Schoolbook" w:hAnsi="Century Schoolbook"/>
          <w:i/>
          <w:szCs w:val="24"/>
        </w:rPr>
        <w:t>Action in Perception</w:t>
      </w:r>
      <w:r w:rsidR="00244181" w:rsidRPr="00351567">
        <w:rPr>
          <w:rFonts w:ascii="Century Schoolbook" w:hAnsi="Century Schoolbook"/>
          <w:szCs w:val="24"/>
        </w:rPr>
        <w:t>. Cambridge MA: MIT Press.</w:t>
      </w:r>
    </w:p>
    <w:p w14:paraId="0044273F" w14:textId="44C9D5BA" w:rsidR="005030EC" w:rsidRPr="00351567" w:rsidRDefault="003026F0" w:rsidP="004A11B2">
      <w:pPr>
        <w:jc w:val="both"/>
        <w:rPr>
          <w:rFonts w:ascii="Century Schoolbook" w:hAnsi="Century Schoolbook"/>
        </w:rPr>
      </w:pPr>
      <w:r w:rsidRPr="00351567">
        <w:rPr>
          <w:rFonts w:ascii="Century Schoolbook" w:hAnsi="Century Schoolbook"/>
        </w:rPr>
        <w:t xml:space="preserve">Noë, A. and Thompson, E. </w:t>
      </w:r>
      <w:r w:rsidR="00974C79" w:rsidRPr="00351567">
        <w:rPr>
          <w:rFonts w:ascii="Century Schoolbook" w:hAnsi="Century Schoolbook"/>
        </w:rPr>
        <w:t>(</w:t>
      </w:r>
      <w:r w:rsidRPr="00351567">
        <w:rPr>
          <w:rFonts w:ascii="Century Schoolbook" w:hAnsi="Century Schoolbook"/>
        </w:rPr>
        <w:t>2004a</w:t>
      </w:r>
      <w:r w:rsidR="00974C79" w:rsidRPr="00351567">
        <w:rPr>
          <w:rFonts w:ascii="Century Schoolbook" w:hAnsi="Century Schoolbook"/>
        </w:rPr>
        <w:t>)</w:t>
      </w:r>
      <w:r w:rsidR="005030EC" w:rsidRPr="00351567">
        <w:rPr>
          <w:rFonts w:ascii="Century Schoolbook" w:hAnsi="Century Schoolbook"/>
        </w:rPr>
        <w:t xml:space="preserve"> </w:t>
      </w:r>
      <w:r w:rsidR="00974C79" w:rsidRPr="00351567">
        <w:rPr>
          <w:rFonts w:ascii="Century Schoolbook" w:hAnsi="Century Schoolbook"/>
        </w:rPr>
        <w:t>‘</w:t>
      </w:r>
      <w:r w:rsidR="005030EC" w:rsidRPr="00351567">
        <w:rPr>
          <w:rFonts w:ascii="Century Schoolbook" w:hAnsi="Century Schoolbook"/>
        </w:rPr>
        <w:t>Are There Neural Correlates of Consciousness?</w:t>
      </w:r>
      <w:r w:rsidR="00974C79" w:rsidRPr="00351567">
        <w:rPr>
          <w:rFonts w:ascii="Century Schoolbook" w:hAnsi="Century Schoolbook"/>
        </w:rPr>
        <w:t>’,</w:t>
      </w:r>
      <w:r w:rsidR="005030EC" w:rsidRPr="00351567">
        <w:rPr>
          <w:rFonts w:ascii="Century Schoolbook" w:hAnsi="Century Schoolbook"/>
        </w:rPr>
        <w:t xml:space="preserve"> </w:t>
      </w:r>
      <w:r w:rsidR="005030EC" w:rsidRPr="00351567">
        <w:rPr>
          <w:rFonts w:ascii="Century Schoolbook" w:hAnsi="Century Schoolbook"/>
          <w:i/>
        </w:rPr>
        <w:t xml:space="preserve">Journal of Consciousness Studies, </w:t>
      </w:r>
      <w:r w:rsidR="005030EC" w:rsidRPr="00351567">
        <w:rPr>
          <w:rFonts w:ascii="Century Schoolbook" w:hAnsi="Century Schoolbook"/>
        </w:rPr>
        <w:t>11</w:t>
      </w:r>
      <w:r w:rsidR="00974C79" w:rsidRPr="00351567">
        <w:rPr>
          <w:rFonts w:ascii="Century Schoolbook" w:hAnsi="Century Schoolbook"/>
        </w:rPr>
        <w:t xml:space="preserve">: </w:t>
      </w:r>
      <w:r w:rsidR="005030EC" w:rsidRPr="00351567">
        <w:rPr>
          <w:rFonts w:ascii="Century Schoolbook" w:hAnsi="Century Schoolbook"/>
        </w:rPr>
        <w:t>3-28.</w:t>
      </w:r>
    </w:p>
    <w:p w14:paraId="51A24D30" w14:textId="1F4CDFB5" w:rsidR="005030EC" w:rsidRPr="00351567" w:rsidRDefault="003026F0" w:rsidP="004A11B2">
      <w:pPr>
        <w:jc w:val="both"/>
        <w:rPr>
          <w:rFonts w:ascii="Century Schoolbook" w:hAnsi="Century Schoolbook"/>
        </w:rPr>
      </w:pPr>
      <w:r w:rsidRPr="00351567">
        <w:rPr>
          <w:rFonts w:ascii="Century Schoolbook" w:hAnsi="Century Schoolbook"/>
        </w:rPr>
        <w:t xml:space="preserve">Noë, A. and Thompson, E. </w:t>
      </w:r>
      <w:r w:rsidR="00974C79" w:rsidRPr="00351567">
        <w:rPr>
          <w:rFonts w:ascii="Century Schoolbook" w:hAnsi="Century Schoolbook"/>
        </w:rPr>
        <w:t>(</w:t>
      </w:r>
      <w:r w:rsidRPr="00351567">
        <w:rPr>
          <w:rFonts w:ascii="Century Schoolbook" w:hAnsi="Century Schoolbook"/>
        </w:rPr>
        <w:t>2004b</w:t>
      </w:r>
      <w:r w:rsidR="00974C79" w:rsidRPr="00351567">
        <w:rPr>
          <w:rFonts w:ascii="Century Schoolbook" w:hAnsi="Century Schoolbook"/>
        </w:rPr>
        <w:t>)</w:t>
      </w:r>
      <w:r w:rsidR="005030EC" w:rsidRPr="00351567">
        <w:rPr>
          <w:rFonts w:ascii="Century Schoolbook" w:hAnsi="Century Schoolbook"/>
        </w:rPr>
        <w:t xml:space="preserve"> </w:t>
      </w:r>
      <w:r w:rsidR="00974C79" w:rsidRPr="00351567">
        <w:rPr>
          <w:rFonts w:ascii="Century Schoolbook" w:hAnsi="Century Schoolbook"/>
        </w:rPr>
        <w:t>‘</w:t>
      </w:r>
      <w:r w:rsidR="005030EC" w:rsidRPr="00351567">
        <w:rPr>
          <w:rFonts w:ascii="Century Schoolbook" w:hAnsi="Century Schoolbook"/>
        </w:rPr>
        <w:t>Sorting Out the Neural Basis of Consciousness: Authors’ Reply to Commentators</w:t>
      </w:r>
      <w:r w:rsidR="00974C79" w:rsidRPr="00351567">
        <w:rPr>
          <w:rFonts w:ascii="Century Schoolbook" w:hAnsi="Century Schoolbook"/>
        </w:rPr>
        <w:t>’,</w:t>
      </w:r>
      <w:r w:rsidR="005030EC" w:rsidRPr="00351567">
        <w:rPr>
          <w:rFonts w:ascii="Century Schoolbook" w:hAnsi="Century Schoolbook"/>
        </w:rPr>
        <w:t xml:space="preserve"> </w:t>
      </w:r>
      <w:r w:rsidR="005030EC" w:rsidRPr="00351567">
        <w:rPr>
          <w:rFonts w:ascii="Century Schoolbook" w:hAnsi="Century Schoolbook"/>
          <w:i/>
        </w:rPr>
        <w:t>Journal of Consciousness Studies</w:t>
      </w:r>
      <w:r w:rsidR="005030EC" w:rsidRPr="00351567">
        <w:rPr>
          <w:rFonts w:ascii="Century Schoolbook" w:hAnsi="Century Schoolbook"/>
        </w:rPr>
        <w:t>, 11</w:t>
      </w:r>
      <w:r w:rsidR="00974C79" w:rsidRPr="00351567">
        <w:rPr>
          <w:rFonts w:ascii="Century Schoolbook" w:hAnsi="Century Schoolbook"/>
        </w:rPr>
        <w:t>:</w:t>
      </w:r>
      <w:r w:rsidR="005030EC" w:rsidRPr="00351567">
        <w:rPr>
          <w:rFonts w:ascii="Century Schoolbook" w:hAnsi="Century Schoolbook"/>
        </w:rPr>
        <w:t xml:space="preserve"> 87-98</w:t>
      </w:r>
    </w:p>
    <w:p w14:paraId="5A781835" w14:textId="24C7B389" w:rsidR="005030EC" w:rsidRPr="00351567" w:rsidRDefault="005030EC" w:rsidP="004A11B2">
      <w:pPr>
        <w:jc w:val="both"/>
        <w:rPr>
          <w:rFonts w:ascii="Century Schoolbook" w:eastAsiaTheme="minorEastAsia" w:hAnsi="Century Schoolbook"/>
        </w:rPr>
      </w:pPr>
      <w:r w:rsidRPr="00351567">
        <w:rPr>
          <w:rFonts w:ascii="Century Schoolbook" w:hAnsi="Century Schoolbook"/>
        </w:rPr>
        <w:t xml:space="preserve">Putnam, H. </w:t>
      </w:r>
      <w:r w:rsidR="00237894" w:rsidRPr="00351567">
        <w:rPr>
          <w:rFonts w:ascii="Century Schoolbook" w:hAnsi="Century Schoolbook"/>
        </w:rPr>
        <w:t>(</w:t>
      </w:r>
      <w:r w:rsidRPr="00351567">
        <w:rPr>
          <w:rFonts w:ascii="Century Schoolbook" w:hAnsi="Century Schoolbook"/>
        </w:rPr>
        <w:t>1975</w:t>
      </w:r>
      <w:r w:rsidR="00237894" w:rsidRPr="00351567">
        <w:rPr>
          <w:rFonts w:ascii="Century Schoolbook" w:hAnsi="Century Schoolbook"/>
        </w:rPr>
        <w:t>/1985)</w:t>
      </w:r>
      <w:r w:rsidRPr="00351567">
        <w:rPr>
          <w:rFonts w:ascii="Century Schoolbook" w:hAnsi="Century Schoolbook"/>
        </w:rPr>
        <w:t xml:space="preserve"> </w:t>
      </w:r>
      <w:r w:rsidR="00237894" w:rsidRPr="00351567">
        <w:rPr>
          <w:rFonts w:ascii="Century Schoolbook" w:hAnsi="Century Schoolbook"/>
        </w:rPr>
        <w:t>‘</w:t>
      </w:r>
      <w:r w:rsidRPr="00351567">
        <w:rPr>
          <w:rFonts w:ascii="Century Schoolbook" w:hAnsi="Century Schoolbook"/>
        </w:rPr>
        <w:t xml:space="preserve">The meaning of </w:t>
      </w:r>
      <w:r w:rsidR="00237894" w:rsidRPr="00351567">
        <w:rPr>
          <w:rFonts w:ascii="Century Schoolbook" w:hAnsi="Century Schoolbook"/>
        </w:rPr>
        <w:t>“meaning”’</w:t>
      </w:r>
      <w:r w:rsidRPr="00351567">
        <w:rPr>
          <w:rFonts w:ascii="Century Schoolbook" w:hAnsi="Century Schoolbook"/>
        </w:rPr>
        <w:t xml:space="preserve"> </w:t>
      </w:r>
      <w:r w:rsidR="00237894" w:rsidRPr="00351567">
        <w:rPr>
          <w:rFonts w:ascii="Century Schoolbook" w:hAnsi="Century Schoolbook"/>
        </w:rPr>
        <w:t>in</w:t>
      </w:r>
      <w:r w:rsidRPr="00351567">
        <w:rPr>
          <w:rFonts w:ascii="Century Schoolbook" w:hAnsi="Century Schoolbook"/>
          <w:i/>
          <w:iCs/>
        </w:rPr>
        <w:t xml:space="preserve"> Philosophical Papers, Vol. 2: Mind, Language and Reality</w:t>
      </w:r>
      <w:r w:rsidR="00237894" w:rsidRPr="00351567">
        <w:rPr>
          <w:rFonts w:ascii="Century Schoolbook" w:hAnsi="Century Schoolbook"/>
        </w:rPr>
        <w:t>, 215-272.</w:t>
      </w:r>
      <w:r w:rsidRPr="00351567">
        <w:rPr>
          <w:rFonts w:ascii="Century Schoolbook" w:hAnsi="Century Schoolbook"/>
        </w:rPr>
        <w:t xml:space="preserve"> Cambridge University Press.</w:t>
      </w:r>
    </w:p>
    <w:p w14:paraId="4C459573" w14:textId="22244C54" w:rsidR="005030EC" w:rsidRPr="00351567" w:rsidRDefault="003026F0" w:rsidP="004A11B2">
      <w:pPr>
        <w:jc w:val="both"/>
        <w:rPr>
          <w:rFonts w:ascii="Century Schoolbook" w:eastAsiaTheme="minorEastAsia" w:hAnsi="Century Schoolbook"/>
        </w:rPr>
      </w:pPr>
      <w:r w:rsidRPr="00351567">
        <w:rPr>
          <w:rFonts w:ascii="Century Schoolbook" w:eastAsiaTheme="minorEastAsia" w:hAnsi="Century Schoolbook"/>
        </w:rPr>
        <w:t xml:space="preserve">Rowlands, M. </w:t>
      </w:r>
      <w:r w:rsidR="00237894" w:rsidRPr="00351567">
        <w:rPr>
          <w:rFonts w:ascii="Century Schoolbook" w:eastAsiaTheme="minorEastAsia" w:hAnsi="Century Schoolbook"/>
        </w:rPr>
        <w:t>(</w:t>
      </w:r>
      <w:r w:rsidRPr="00351567">
        <w:rPr>
          <w:rFonts w:ascii="Century Schoolbook" w:eastAsiaTheme="minorEastAsia" w:hAnsi="Century Schoolbook"/>
        </w:rPr>
        <w:t>2006</w:t>
      </w:r>
      <w:r w:rsidR="00237894"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5030EC" w:rsidRPr="00351567">
        <w:rPr>
          <w:rFonts w:ascii="Century Schoolbook" w:eastAsiaTheme="minorEastAsia" w:hAnsi="Century Schoolbook"/>
          <w:i/>
        </w:rPr>
        <w:t xml:space="preserve">Body Language: Representations in Action. </w:t>
      </w:r>
      <w:r w:rsidR="005030EC" w:rsidRPr="00351567">
        <w:rPr>
          <w:rFonts w:ascii="Century Schoolbook" w:eastAsiaTheme="minorEastAsia" w:hAnsi="Century Schoolbook"/>
        </w:rPr>
        <w:t>Cambridge, Mass.: MIT Press.</w:t>
      </w:r>
    </w:p>
    <w:p w14:paraId="248341B5" w14:textId="25EDA732" w:rsidR="005030EC" w:rsidRPr="00351567" w:rsidRDefault="005030EC" w:rsidP="004A11B2">
      <w:pPr>
        <w:jc w:val="both"/>
        <w:rPr>
          <w:rFonts w:ascii="Century Schoolbook" w:eastAsiaTheme="minorEastAsia" w:hAnsi="Century Schoolbook"/>
        </w:rPr>
      </w:pPr>
      <w:r w:rsidRPr="00351567">
        <w:rPr>
          <w:rFonts w:ascii="Century Schoolbook" w:eastAsiaTheme="minorEastAsia" w:hAnsi="Century Schoolbook"/>
        </w:rPr>
        <w:lastRenderedPageBreak/>
        <w:t xml:space="preserve">Rowlands, M. </w:t>
      </w:r>
      <w:r w:rsidR="00237894" w:rsidRPr="00351567">
        <w:rPr>
          <w:rFonts w:ascii="Century Schoolbook" w:eastAsiaTheme="minorEastAsia" w:hAnsi="Century Schoolbook"/>
        </w:rPr>
        <w:t>(</w:t>
      </w:r>
      <w:r w:rsidRPr="00351567">
        <w:rPr>
          <w:rFonts w:ascii="Century Schoolbook" w:eastAsiaTheme="minorEastAsia" w:hAnsi="Century Schoolbook"/>
        </w:rPr>
        <w:t>2010a</w:t>
      </w:r>
      <w:r w:rsidR="00237894" w:rsidRPr="00351567">
        <w:rPr>
          <w:rFonts w:ascii="Century Schoolbook" w:eastAsiaTheme="minorEastAsia" w:hAnsi="Century Schoolbook"/>
        </w:rPr>
        <w:t>)</w:t>
      </w:r>
      <w:r w:rsidRPr="00351567">
        <w:rPr>
          <w:rFonts w:ascii="Century Schoolbook" w:eastAsiaTheme="minorEastAsia" w:hAnsi="Century Schoolbook"/>
        </w:rPr>
        <w:t xml:space="preserve"> </w:t>
      </w:r>
      <w:r w:rsidRPr="00351567">
        <w:rPr>
          <w:rFonts w:ascii="Century Schoolbook" w:eastAsiaTheme="minorEastAsia" w:hAnsi="Century Schoolbook"/>
          <w:i/>
        </w:rPr>
        <w:t>The New Science of the Mind: From Extended Mind to Embodied Phenomenology</w:t>
      </w:r>
      <w:r w:rsidRPr="00351567">
        <w:rPr>
          <w:rFonts w:ascii="Century Schoolbook" w:eastAsiaTheme="minorEastAsia" w:hAnsi="Century Schoolbook"/>
        </w:rPr>
        <w:t>. London: MIT Press</w:t>
      </w:r>
    </w:p>
    <w:p w14:paraId="5A7C89EE" w14:textId="44BEB700" w:rsidR="005030EC" w:rsidRPr="00351567" w:rsidRDefault="003026F0" w:rsidP="004A11B2">
      <w:pPr>
        <w:widowControl w:val="0"/>
        <w:autoSpaceDE w:val="0"/>
        <w:autoSpaceDN w:val="0"/>
        <w:adjustRightInd w:val="0"/>
        <w:spacing w:after="120"/>
        <w:jc w:val="both"/>
        <w:rPr>
          <w:rFonts w:ascii="Century Schoolbook" w:eastAsia="Times New Roman" w:hAnsi="Century Schoolbook"/>
        </w:rPr>
      </w:pPr>
      <w:r w:rsidRPr="00351567">
        <w:rPr>
          <w:rFonts w:ascii="Century Schoolbook" w:hAnsi="Century Schoolbook"/>
        </w:rPr>
        <w:t xml:space="preserve">Rowlands </w:t>
      </w:r>
      <w:r w:rsidR="00237894" w:rsidRPr="00351567">
        <w:rPr>
          <w:rFonts w:ascii="Century Schoolbook" w:hAnsi="Century Schoolbook"/>
        </w:rPr>
        <w:t>(</w:t>
      </w:r>
      <w:r w:rsidRPr="00351567">
        <w:rPr>
          <w:rFonts w:ascii="Century Schoolbook" w:hAnsi="Century Schoolbook"/>
        </w:rPr>
        <w:t>2010b</w:t>
      </w:r>
      <w:r w:rsidR="00237894" w:rsidRPr="00351567">
        <w:rPr>
          <w:rFonts w:ascii="Century Schoolbook" w:hAnsi="Century Schoolbook"/>
        </w:rPr>
        <w:t>)</w:t>
      </w:r>
      <w:r w:rsidR="005030EC" w:rsidRPr="00351567">
        <w:rPr>
          <w:rFonts w:ascii="Century Schoolbook" w:hAnsi="Century Schoolbook"/>
        </w:rPr>
        <w:t xml:space="preserve"> </w:t>
      </w:r>
      <w:r w:rsidR="00237894" w:rsidRPr="00351567">
        <w:rPr>
          <w:rFonts w:ascii="Century Schoolbook" w:hAnsi="Century Schoolbook"/>
        </w:rPr>
        <w:t>‘</w:t>
      </w:r>
      <w:r w:rsidR="005030EC" w:rsidRPr="00351567">
        <w:rPr>
          <w:rFonts w:ascii="Century Schoolbook" w:hAnsi="Century Schoolbook"/>
        </w:rPr>
        <w:t>Consciousness, Broadly Construed</w:t>
      </w:r>
      <w:r w:rsidR="00237894" w:rsidRPr="00351567">
        <w:rPr>
          <w:rFonts w:ascii="Century Schoolbook" w:hAnsi="Century Schoolbook"/>
        </w:rPr>
        <w:t>’</w:t>
      </w:r>
      <w:r w:rsidR="005030EC" w:rsidRPr="00351567">
        <w:rPr>
          <w:rFonts w:ascii="Century Schoolbook" w:hAnsi="Century Schoolbook"/>
        </w:rPr>
        <w:t xml:space="preserve"> </w:t>
      </w:r>
      <w:r w:rsidR="00237894" w:rsidRPr="00351567">
        <w:rPr>
          <w:rFonts w:ascii="Century Schoolbook" w:hAnsi="Century Schoolbook"/>
        </w:rPr>
        <w:t>i</w:t>
      </w:r>
      <w:r w:rsidR="005030EC" w:rsidRPr="00351567">
        <w:rPr>
          <w:rFonts w:ascii="Century Schoolbook" w:eastAsia="Times New Roman" w:hAnsi="Century Schoolbook"/>
        </w:rPr>
        <w:t xml:space="preserve">n R. Menary (ed.) </w:t>
      </w:r>
      <w:r w:rsidR="005030EC" w:rsidRPr="00351567">
        <w:rPr>
          <w:rFonts w:ascii="Century Schoolbook" w:eastAsia="Times New Roman" w:hAnsi="Century Schoolbook"/>
          <w:i/>
        </w:rPr>
        <w:t>The Extended Mind</w:t>
      </w:r>
      <w:r w:rsidR="00237894" w:rsidRPr="00351567">
        <w:rPr>
          <w:rFonts w:ascii="Century Schoolbook" w:eastAsia="Times New Roman" w:hAnsi="Century Schoolbook"/>
        </w:rPr>
        <w:t>,</w:t>
      </w:r>
      <w:r w:rsidR="005030EC" w:rsidRPr="00351567">
        <w:rPr>
          <w:rFonts w:ascii="Century Schoolbook" w:eastAsia="Times New Roman" w:hAnsi="Century Schoolbook"/>
        </w:rPr>
        <w:t xml:space="preserve"> </w:t>
      </w:r>
      <w:r w:rsidR="00237894" w:rsidRPr="00351567">
        <w:rPr>
          <w:rFonts w:ascii="Century Schoolbook" w:eastAsia="Times New Roman" w:hAnsi="Century Schoolbook"/>
        </w:rPr>
        <w:t xml:space="preserve">271-294. </w:t>
      </w:r>
      <w:r w:rsidR="005030EC" w:rsidRPr="00351567">
        <w:rPr>
          <w:rFonts w:ascii="Century Schoolbook" w:eastAsia="Times New Roman" w:hAnsi="Century Schoolbook"/>
        </w:rPr>
        <w:t>Cambridge, MA.: MIT Press</w:t>
      </w:r>
    </w:p>
    <w:p w14:paraId="76C44CBE" w14:textId="45C300FC" w:rsidR="005030EC" w:rsidRPr="00351567" w:rsidRDefault="003026F0" w:rsidP="004A11B2">
      <w:pPr>
        <w:jc w:val="both"/>
        <w:rPr>
          <w:rFonts w:ascii="Century Schoolbook" w:eastAsiaTheme="minorEastAsia" w:hAnsi="Century Schoolbook"/>
        </w:rPr>
      </w:pPr>
      <w:r w:rsidRPr="00351567">
        <w:rPr>
          <w:rFonts w:ascii="Century Schoolbook" w:eastAsiaTheme="minorEastAsia" w:hAnsi="Century Schoolbook"/>
        </w:rPr>
        <w:t xml:space="preserve">Rupert, R. </w:t>
      </w:r>
      <w:r w:rsidR="00237894" w:rsidRPr="00351567">
        <w:rPr>
          <w:rFonts w:ascii="Century Schoolbook" w:eastAsiaTheme="minorEastAsia" w:hAnsi="Century Schoolbook"/>
        </w:rPr>
        <w:t>(</w:t>
      </w:r>
      <w:r w:rsidRPr="00351567">
        <w:rPr>
          <w:rFonts w:ascii="Century Schoolbook" w:eastAsiaTheme="minorEastAsia" w:hAnsi="Century Schoolbook"/>
        </w:rPr>
        <w:t>2004</w:t>
      </w:r>
      <w:r w:rsidR="00237894"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237894" w:rsidRPr="00351567">
        <w:rPr>
          <w:rFonts w:ascii="Century Schoolbook" w:eastAsiaTheme="minorEastAsia" w:hAnsi="Century Schoolbook"/>
        </w:rPr>
        <w:t>‘</w:t>
      </w:r>
      <w:r w:rsidR="005030EC" w:rsidRPr="00351567">
        <w:rPr>
          <w:rFonts w:ascii="Century Schoolbook" w:eastAsiaTheme="minorEastAsia" w:hAnsi="Century Schoolbook"/>
        </w:rPr>
        <w:t>Challenges to the hypothesis of extended cognition</w:t>
      </w:r>
      <w:r w:rsidR="00237894"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5030EC" w:rsidRPr="00351567">
        <w:rPr>
          <w:rFonts w:ascii="Century Schoolbook" w:eastAsiaTheme="minorEastAsia" w:hAnsi="Century Schoolbook"/>
          <w:i/>
        </w:rPr>
        <w:t>Journal of</w:t>
      </w:r>
      <w:r w:rsidR="005030EC" w:rsidRPr="00351567">
        <w:rPr>
          <w:rFonts w:ascii="Century Schoolbook" w:eastAsiaTheme="minorEastAsia" w:hAnsi="Century Schoolbook"/>
        </w:rPr>
        <w:t xml:space="preserve"> </w:t>
      </w:r>
      <w:r w:rsidR="005030EC" w:rsidRPr="00351567">
        <w:rPr>
          <w:rFonts w:ascii="Century Schoolbook" w:eastAsiaTheme="minorEastAsia" w:hAnsi="Century Schoolbook"/>
          <w:i/>
        </w:rPr>
        <w:t>Philosophy</w:t>
      </w:r>
      <w:r w:rsidR="00237894" w:rsidRPr="00351567">
        <w:rPr>
          <w:rFonts w:ascii="Century Schoolbook" w:eastAsiaTheme="minorEastAsia" w:hAnsi="Century Schoolbook"/>
        </w:rPr>
        <w:t>,</w:t>
      </w:r>
      <w:r w:rsidR="005030EC" w:rsidRPr="00351567">
        <w:rPr>
          <w:rFonts w:ascii="Century Schoolbook" w:eastAsiaTheme="minorEastAsia" w:hAnsi="Century Schoolbook"/>
        </w:rPr>
        <w:t xml:space="preserve"> 101: 389-428. </w:t>
      </w:r>
    </w:p>
    <w:p w14:paraId="63C11AB2" w14:textId="5724FE55" w:rsidR="005030EC" w:rsidRPr="00351567" w:rsidRDefault="003026F0" w:rsidP="004A11B2">
      <w:pPr>
        <w:jc w:val="both"/>
        <w:rPr>
          <w:rFonts w:ascii="Century Schoolbook" w:eastAsiaTheme="minorEastAsia" w:hAnsi="Century Schoolbook"/>
        </w:rPr>
      </w:pPr>
      <w:r w:rsidRPr="00351567">
        <w:rPr>
          <w:rFonts w:ascii="Century Schoolbook" w:eastAsiaTheme="minorEastAsia" w:hAnsi="Century Schoolbook"/>
        </w:rPr>
        <w:t xml:space="preserve">Rupert, R. </w:t>
      </w:r>
      <w:r w:rsidR="00237894" w:rsidRPr="00351567">
        <w:rPr>
          <w:rFonts w:ascii="Century Schoolbook" w:eastAsiaTheme="minorEastAsia" w:hAnsi="Century Schoolbook"/>
        </w:rPr>
        <w:t>(</w:t>
      </w:r>
      <w:r w:rsidRPr="00351567">
        <w:rPr>
          <w:rFonts w:ascii="Century Schoolbook" w:eastAsiaTheme="minorEastAsia" w:hAnsi="Century Schoolbook"/>
        </w:rPr>
        <w:t>2009</w:t>
      </w:r>
      <w:r w:rsidR="00237894"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5030EC" w:rsidRPr="00351567">
        <w:rPr>
          <w:rFonts w:ascii="Century Schoolbook" w:eastAsiaTheme="minorEastAsia" w:hAnsi="Century Schoolbook"/>
          <w:i/>
        </w:rPr>
        <w:t>Cognitive Systems and the Extended Mind</w:t>
      </w:r>
      <w:r w:rsidR="00237894" w:rsidRPr="00351567">
        <w:rPr>
          <w:rFonts w:ascii="Century Schoolbook" w:eastAsiaTheme="minorEastAsia" w:hAnsi="Century Schoolbook"/>
        </w:rPr>
        <w:t>,</w:t>
      </w:r>
      <w:r w:rsidR="005030EC" w:rsidRPr="00351567">
        <w:rPr>
          <w:rFonts w:ascii="Century Schoolbook" w:eastAsiaTheme="minorEastAsia" w:hAnsi="Century Schoolbook"/>
        </w:rPr>
        <w:t xml:space="preserve"> Oxford: Oxford University Press.</w:t>
      </w:r>
    </w:p>
    <w:p w14:paraId="0229FA4E" w14:textId="39C91C49" w:rsidR="005030EC" w:rsidRPr="00351567" w:rsidRDefault="003026F0" w:rsidP="004A11B2">
      <w:pPr>
        <w:jc w:val="both"/>
        <w:rPr>
          <w:rFonts w:ascii="Century Schoolbook" w:hAnsi="Century Schoolbook"/>
        </w:rPr>
      </w:pPr>
      <w:r w:rsidRPr="00351567">
        <w:rPr>
          <w:rFonts w:ascii="Century Schoolbook" w:hAnsi="Century Schoolbook"/>
        </w:rPr>
        <w:t xml:space="preserve">Rupert, R. </w:t>
      </w:r>
      <w:r w:rsidR="00237894" w:rsidRPr="00351567">
        <w:rPr>
          <w:rFonts w:ascii="Century Schoolbook" w:hAnsi="Century Schoolbook"/>
        </w:rPr>
        <w:t>(</w:t>
      </w:r>
      <w:r w:rsidRPr="00351567">
        <w:rPr>
          <w:rFonts w:ascii="Century Schoolbook" w:hAnsi="Century Schoolbook"/>
        </w:rPr>
        <w:t>2010</w:t>
      </w:r>
      <w:r w:rsidR="00237894" w:rsidRPr="00351567">
        <w:rPr>
          <w:rFonts w:ascii="Century Schoolbook" w:hAnsi="Century Schoolbook"/>
        </w:rPr>
        <w:t>)</w:t>
      </w:r>
      <w:r w:rsidR="005030EC" w:rsidRPr="00351567">
        <w:rPr>
          <w:rFonts w:ascii="Century Schoolbook" w:hAnsi="Century Schoolbook"/>
        </w:rPr>
        <w:t xml:space="preserve"> </w:t>
      </w:r>
      <w:r w:rsidR="00237894" w:rsidRPr="00351567">
        <w:rPr>
          <w:rFonts w:ascii="Century Schoolbook" w:hAnsi="Century Schoolbook"/>
        </w:rPr>
        <w:t>‘</w:t>
      </w:r>
      <w:r w:rsidR="005030EC" w:rsidRPr="00351567">
        <w:rPr>
          <w:rFonts w:ascii="Century Schoolbook" w:hAnsi="Century Schoolbook"/>
        </w:rPr>
        <w:t>Extended Cognition and the Priority of Cognitive Systems</w:t>
      </w:r>
      <w:r w:rsidR="00237894" w:rsidRPr="00351567">
        <w:rPr>
          <w:rFonts w:ascii="Century Schoolbook" w:hAnsi="Century Schoolbook"/>
        </w:rPr>
        <w:t>’,</w:t>
      </w:r>
      <w:r w:rsidR="005030EC" w:rsidRPr="00351567">
        <w:rPr>
          <w:rFonts w:ascii="Century Schoolbook" w:hAnsi="Century Schoolbook"/>
        </w:rPr>
        <w:t xml:space="preserve"> </w:t>
      </w:r>
      <w:r w:rsidR="005030EC" w:rsidRPr="00351567">
        <w:rPr>
          <w:rFonts w:ascii="Century Schoolbook" w:hAnsi="Century Schoolbook"/>
          <w:i/>
        </w:rPr>
        <w:t>Cognitive Systems Research</w:t>
      </w:r>
      <w:r w:rsidR="005030EC" w:rsidRPr="00351567">
        <w:rPr>
          <w:rFonts w:ascii="Century Schoolbook" w:hAnsi="Century Schoolbook"/>
        </w:rPr>
        <w:t>, 11</w:t>
      </w:r>
      <w:r w:rsidR="00237894" w:rsidRPr="00351567">
        <w:rPr>
          <w:rFonts w:ascii="Century Schoolbook" w:hAnsi="Century Schoolbook"/>
        </w:rPr>
        <w:t xml:space="preserve">: </w:t>
      </w:r>
      <w:r w:rsidR="005030EC" w:rsidRPr="00351567">
        <w:rPr>
          <w:rFonts w:ascii="Century Schoolbook" w:hAnsi="Century Schoolbook"/>
        </w:rPr>
        <w:t>343-356</w:t>
      </w:r>
    </w:p>
    <w:p w14:paraId="1F743B6F" w14:textId="3D5393AD" w:rsidR="005030EC" w:rsidRPr="00351567" w:rsidRDefault="005030EC" w:rsidP="004A11B2">
      <w:pPr>
        <w:jc w:val="both"/>
        <w:rPr>
          <w:rFonts w:ascii="Century Schoolbook" w:hAnsi="Century Schoolbook"/>
        </w:rPr>
      </w:pPr>
      <w:r w:rsidRPr="00351567">
        <w:rPr>
          <w:rFonts w:ascii="Century Schoolbook" w:hAnsi="Century Schoolbook"/>
        </w:rPr>
        <w:t xml:space="preserve">Shapiro, L. </w:t>
      </w:r>
      <w:r w:rsidR="00237894" w:rsidRPr="00351567">
        <w:rPr>
          <w:rFonts w:ascii="Century Schoolbook" w:hAnsi="Century Schoolbook"/>
        </w:rPr>
        <w:t>(</w:t>
      </w:r>
      <w:r w:rsidRPr="00351567">
        <w:rPr>
          <w:rFonts w:ascii="Century Schoolbook" w:hAnsi="Century Schoolbook"/>
        </w:rPr>
        <w:t>2004</w:t>
      </w:r>
      <w:r w:rsidR="00237894" w:rsidRPr="00351567">
        <w:rPr>
          <w:rFonts w:ascii="Century Schoolbook" w:hAnsi="Century Schoolbook"/>
        </w:rPr>
        <w:t>)</w:t>
      </w:r>
      <w:r w:rsidRPr="00351567">
        <w:rPr>
          <w:rFonts w:ascii="Century Schoolbook" w:hAnsi="Century Schoolbook"/>
        </w:rPr>
        <w:t xml:space="preserve"> </w:t>
      </w:r>
      <w:r w:rsidRPr="00351567">
        <w:rPr>
          <w:rFonts w:ascii="Century Schoolbook" w:hAnsi="Century Schoolbook"/>
          <w:i/>
        </w:rPr>
        <w:t>The Mind Incarnate</w:t>
      </w:r>
      <w:r w:rsidR="00237894" w:rsidRPr="00351567">
        <w:rPr>
          <w:rFonts w:ascii="Century Schoolbook" w:hAnsi="Century Schoolbook"/>
        </w:rPr>
        <w:t>,</w:t>
      </w:r>
      <w:r w:rsidRPr="00351567">
        <w:rPr>
          <w:rFonts w:ascii="Century Schoolbook" w:hAnsi="Century Schoolbook"/>
        </w:rPr>
        <w:t xml:space="preserve"> Cambridge: Cambridge University Press.</w:t>
      </w:r>
    </w:p>
    <w:p w14:paraId="4918D489" w14:textId="03789674" w:rsidR="005030EC" w:rsidRPr="00351567" w:rsidRDefault="003026F0" w:rsidP="004A11B2">
      <w:pPr>
        <w:jc w:val="both"/>
        <w:rPr>
          <w:rFonts w:ascii="Century Schoolbook" w:hAnsi="Century Schoolbook"/>
        </w:rPr>
      </w:pPr>
      <w:r w:rsidRPr="00351567">
        <w:rPr>
          <w:rFonts w:ascii="Century Schoolbook" w:hAnsi="Century Schoolbook"/>
        </w:rPr>
        <w:t xml:space="preserve">Shapiro, L. </w:t>
      </w:r>
      <w:r w:rsidR="00237894" w:rsidRPr="00351567">
        <w:rPr>
          <w:rFonts w:ascii="Century Schoolbook" w:hAnsi="Century Schoolbook"/>
        </w:rPr>
        <w:t>(</w:t>
      </w:r>
      <w:r w:rsidRPr="00351567">
        <w:rPr>
          <w:rFonts w:ascii="Century Schoolbook" w:hAnsi="Century Schoolbook"/>
        </w:rPr>
        <w:t>2008</w:t>
      </w:r>
      <w:r w:rsidR="00237894" w:rsidRPr="00351567">
        <w:rPr>
          <w:rFonts w:ascii="Century Schoolbook" w:hAnsi="Century Schoolbook"/>
        </w:rPr>
        <w:t>)</w:t>
      </w:r>
      <w:r w:rsidR="005030EC" w:rsidRPr="00351567">
        <w:rPr>
          <w:rFonts w:ascii="Century Schoolbook" w:hAnsi="Century Schoolbook"/>
        </w:rPr>
        <w:t xml:space="preserve"> </w:t>
      </w:r>
      <w:r w:rsidR="00237894" w:rsidRPr="00351567">
        <w:rPr>
          <w:rFonts w:ascii="Century Schoolbook" w:hAnsi="Century Schoolbook"/>
        </w:rPr>
        <w:t>‘</w:t>
      </w:r>
      <w:r w:rsidR="005030EC" w:rsidRPr="00351567">
        <w:rPr>
          <w:rFonts w:ascii="Century Schoolbook" w:hAnsi="Century Schoolbook"/>
        </w:rPr>
        <w:t>Functionalism and Mental Boundaries</w:t>
      </w:r>
      <w:r w:rsidR="00237894" w:rsidRPr="00351567">
        <w:rPr>
          <w:rFonts w:ascii="Century Schoolbook" w:hAnsi="Century Schoolbook"/>
        </w:rPr>
        <w:t>’,</w:t>
      </w:r>
      <w:r w:rsidR="005030EC" w:rsidRPr="00351567">
        <w:rPr>
          <w:rFonts w:ascii="Century Schoolbook" w:hAnsi="Century Schoolbook"/>
        </w:rPr>
        <w:t xml:space="preserve"> </w:t>
      </w:r>
      <w:r w:rsidR="005030EC" w:rsidRPr="00351567">
        <w:rPr>
          <w:rFonts w:ascii="Century Schoolbook" w:hAnsi="Century Schoolbook"/>
          <w:i/>
        </w:rPr>
        <w:t>Cognitive Systems Research</w:t>
      </w:r>
      <w:r w:rsidR="005030EC" w:rsidRPr="00351567">
        <w:rPr>
          <w:rFonts w:ascii="Century Schoolbook" w:hAnsi="Century Schoolbook"/>
        </w:rPr>
        <w:t>, 106</w:t>
      </w:r>
      <w:r w:rsidR="007B3DEF" w:rsidRPr="00351567">
        <w:rPr>
          <w:rFonts w:ascii="Century Schoolbook" w:hAnsi="Century Schoolbook"/>
        </w:rPr>
        <w:t>:</w:t>
      </w:r>
      <w:r w:rsidR="005030EC" w:rsidRPr="00351567">
        <w:rPr>
          <w:rFonts w:ascii="Century Schoolbook" w:hAnsi="Century Schoolbook"/>
        </w:rPr>
        <w:t xml:space="preserve"> 503-527</w:t>
      </w:r>
    </w:p>
    <w:p w14:paraId="589E79FD" w14:textId="03FCF7CA" w:rsidR="005030EC" w:rsidRPr="00351567" w:rsidRDefault="005030EC" w:rsidP="004A11B2">
      <w:pPr>
        <w:jc w:val="both"/>
        <w:rPr>
          <w:rFonts w:ascii="Century Schoolbook" w:hAnsi="Century Schoolbook"/>
        </w:rPr>
      </w:pPr>
      <w:r w:rsidRPr="00351567">
        <w:rPr>
          <w:rFonts w:ascii="Century Schoolbook" w:hAnsi="Century Schoolbook"/>
        </w:rPr>
        <w:t xml:space="preserve">Sprevak, M. </w:t>
      </w:r>
      <w:r w:rsidR="007B3DEF" w:rsidRPr="00351567">
        <w:rPr>
          <w:rFonts w:ascii="Century Schoolbook" w:hAnsi="Century Schoolbook"/>
        </w:rPr>
        <w:t>(</w:t>
      </w:r>
      <w:r w:rsidRPr="00351567">
        <w:rPr>
          <w:rFonts w:ascii="Century Schoolbook" w:hAnsi="Century Schoolbook"/>
        </w:rPr>
        <w:t>2009</w:t>
      </w:r>
      <w:r w:rsidR="007B3DEF" w:rsidRPr="00351567">
        <w:rPr>
          <w:rFonts w:ascii="Century Schoolbook" w:hAnsi="Century Schoolbook"/>
        </w:rPr>
        <w:t>) ‘</w:t>
      </w:r>
      <w:r w:rsidRPr="00351567">
        <w:rPr>
          <w:rFonts w:ascii="Century Schoolbook" w:hAnsi="Century Schoolbook"/>
        </w:rPr>
        <w:t>Extended Cognition and Functionalism</w:t>
      </w:r>
      <w:r w:rsidR="007B3DEF" w:rsidRPr="00351567">
        <w:rPr>
          <w:rFonts w:ascii="Century Schoolbook" w:hAnsi="Century Schoolbook"/>
        </w:rPr>
        <w:t>’</w:t>
      </w:r>
      <w:r w:rsidRPr="00351567">
        <w:rPr>
          <w:rFonts w:ascii="Century Schoolbook" w:hAnsi="Century Schoolbook"/>
        </w:rPr>
        <w:t xml:space="preserve"> </w:t>
      </w:r>
      <w:r w:rsidRPr="00351567">
        <w:rPr>
          <w:rFonts w:ascii="Century Schoolbook" w:hAnsi="Century Schoolbook"/>
          <w:i/>
        </w:rPr>
        <w:t>Journal of Philosophy</w:t>
      </w:r>
      <w:r w:rsidR="007B3DEF" w:rsidRPr="00351567">
        <w:rPr>
          <w:rFonts w:ascii="Century Schoolbook" w:hAnsi="Century Schoolbook"/>
        </w:rPr>
        <w:t>,</w:t>
      </w:r>
      <w:r w:rsidRPr="00351567">
        <w:rPr>
          <w:rFonts w:ascii="Century Schoolbook" w:hAnsi="Century Schoolbook"/>
        </w:rPr>
        <w:t xml:space="preserve"> 106</w:t>
      </w:r>
      <w:r w:rsidR="007B3DEF" w:rsidRPr="00351567">
        <w:rPr>
          <w:rFonts w:ascii="Century Schoolbook" w:hAnsi="Century Schoolbook"/>
        </w:rPr>
        <w:t>/</w:t>
      </w:r>
      <w:r w:rsidRPr="00351567">
        <w:rPr>
          <w:rFonts w:ascii="Century Schoolbook" w:hAnsi="Century Schoolbook"/>
        </w:rPr>
        <w:t>9</w:t>
      </w:r>
      <w:r w:rsidR="007B3DEF" w:rsidRPr="00351567">
        <w:rPr>
          <w:rFonts w:ascii="Century Schoolbook" w:hAnsi="Century Schoolbook"/>
        </w:rPr>
        <w:t>:</w:t>
      </w:r>
      <w:r w:rsidRPr="00351567">
        <w:rPr>
          <w:rFonts w:ascii="Century Schoolbook" w:hAnsi="Century Schoolbook"/>
        </w:rPr>
        <w:t xml:space="preserve"> 503-527</w:t>
      </w:r>
    </w:p>
    <w:p w14:paraId="52BAC02B" w14:textId="1B878EF9" w:rsidR="005030EC" w:rsidRPr="00351567" w:rsidRDefault="003026F0" w:rsidP="004A11B2">
      <w:pPr>
        <w:jc w:val="both"/>
        <w:rPr>
          <w:rFonts w:ascii="Century Schoolbook" w:hAnsi="Century Schoolbook"/>
        </w:rPr>
      </w:pPr>
      <w:r w:rsidRPr="00351567">
        <w:rPr>
          <w:rFonts w:ascii="Century Schoolbook" w:hAnsi="Century Schoolbook"/>
        </w:rPr>
        <w:t xml:space="preserve">Sterelny, K. </w:t>
      </w:r>
      <w:r w:rsidR="007B3DEF" w:rsidRPr="00351567">
        <w:rPr>
          <w:rFonts w:ascii="Century Schoolbook" w:hAnsi="Century Schoolbook"/>
        </w:rPr>
        <w:t>(</w:t>
      </w:r>
      <w:r w:rsidRPr="00351567">
        <w:rPr>
          <w:rFonts w:ascii="Century Schoolbook" w:hAnsi="Century Schoolbook"/>
        </w:rPr>
        <w:t>2004</w:t>
      </w:r>
      <w:r w:rsidR="007B3DEF" w:rsidRPr="00351567">
        <w:rPr>
          <w:rFonts w:ascii="Century Schoolbook" w:hAnsi="Century Schoolbook"/>
        </w:rPr>
        <w:t>)</w:t>
      </w:r>
      <w:r w:rsidR="005030EC" w:rsidRPr="00351567">
        <w:rPr>
          <w:rFonts w:ascii="Century Schoolbook" w:hAnsi="Century Schoolbook"/>
        </w:rPr>
        <w:t xml:space="preserve"> </w:t>
      </w:r>
      <w:r w:rsidR="007B3DEF" w:rsidRPr="00351567">
        <w:rPr>
          <w:rFonts w:ascii="Century Schoolbook" w:hAnsi="Century Schoolbook"/>
        </w:rPr>
        <w:t>‘</w:t>
      </w:r>
      <w:r w:rsidR="005030EC" w:rsidRPr="00351567">
        <w:rPr>
          <w:rFonts w:ascii="Century Schoolbook" w:hAnsi="Century Schoolbook"/>
        </w:rPr>
        <w:t>Externalism, epistemic artefacts, and the extended mind</w:t>
      </w:r>
      <w:r w:rsidR="007B3DEF" w:rsidRPr="00351567">
        <w:rPr>
          <w:rFonts w:ascii="Century Schoolbook" w:hAnsi="Century Schoolbook"/>
        </w:rPr>
        <w:t>’ i</w:t>
      </w:r>
      <w:r w:rsidR="005030EC" w:rsidRPr="00351567">
        <w:rPr>
          <w:rFonts w:ascii="Century Schoolbook" w:hAnsi="Century Schoolbook"/>
        </w:rPr>
        <w:t xml:space="preserve">n </w:t>
      </w:r>
      <w:r w:rsidR="007B3DEF" w:rsidRPr="00351567">
        <w:rPr>
          <w:rFonts w:ascii="Century Schoolbook" w:hAnsi="Century Schoolbook"/>
        </w:rPr>
        <w:t>Richard Schantz</w:t>
      </w:r>
      <w:r w:rsidR="007B3DEF" w:rsidRPr="00351567">
        <w:rPr>
          <w:rFonts w:ascii="Century Schoolbook" w:hAnsi="Century Schoolbook"/>
          <w:i/>
        </w:rPr>
        <w:t xml:space="preserve"> </w:t>
      </w:r>
      <w:r w:rsidR="007B3DEF" w:rsidRPr="00351567">
        <w:rPr>
          <w:rFonts w:ascii="Century Schoolbook" w:hAnsi="Century Schoolbook"/>
        </w:rPr>
        <w:t xml:space="preserve">(ed.) </w:t>
      </w:r>
      <w:r w:rsidR="005030EC" w:rsidRPr="00351567">
        <w:rPr>
          <w:rFonts w:ascii="Century Schoolbook" w:hAnsi="Century Schoolbook"/>
          <w:i/>
        </w:rPr>
        <w:t>The externalist challenge</w:t>
      </w:r>
      <w:r w:rsidR="007B3DEF" w:rsidRPr="00351567">
        <w:rPr>
          <w:rFonts w:ascii="Century Schoolbook" w:hAnsi="Century Schoolbook"/>
          <w:i/>
        </w:rPr>
        <w:t>:</w:t>
      </w:r>
      <w:r w:rsidR="005030EC" w:rsidRPr="00351567">
        <w:rPr>
          <w:rFonts w:ascii="Century Schoolbook" w:hAnsi="Century Schoolbook"/>
          <w:i/>
        </w:rPr>
        <w:t xml:space="preserve"> New Studies on Cognition and Intentionality</w:t>
      </w:r>
      <w:r w:rsidR="005030EC" w:rsidRPr="00351567">
        <w:rPr>
          <w:rFonts w:ascii="Century Schoolbook" w:hAnsi="Century Schoolbook"/>
        </w:rPr>
        <w:t>. New York: de Guryter.</w:t>
      </w:r>
    </w:p>
    <w:p w14:paraId="77410A9F" w14:textId="2EAFA4DE" w:rsidR="00C44EFB" w:rsidRPr="00351567" w:rsidRDefault="00C44EFB" w:rsidP="004A11B2">
      <w:pPr>
        <w:jc w:val="both"/>
        <w:rPr>
          <w:rFonts w:ascii="Century Schoolbook" w:eastAsiaTheme="minorEastAsia" w:hAnsi="Century Schoolbook"/>
        </w:rPr>
      </w:pPr>
      <w:r w:rsidRPr="00351567">
        <w:rPr>
          <w:rFonts w:ascii="Century Schoolbook" w:eastAsiaTheme="minorEastAsia" w:hAnsi="Century Schoolbook"/>
        </w:rPr>
        <w:t xml:space="preserve">Switzgebel, E. (2001) ‘In-between Believing’, </w:t>
      </w:r>
      <w:r w:rsidRPr="00351567">
        <w:rPr>
          <w:rFonts w:ascii="Century Schoolbook" w:eastAsiaTheme="minorEastAsia" w:hAnsi="Century Schoolbook"/>
          <w:i/>
        </w:rPr>
        <w:t>Philosophical Quarterly</w:t>
      </w:r>
      <w:r w:rsidRPr="00351567">
        <w:rPr>
          <w:rFonts w:ascii="Century Schoolbook" w:eastAsiaTheme="minorEastAsia" w:hAnsi="Century Schoolbook"/>
        </w:rPr>
        <w:t>, 51/202: 76-82</w:t>
      </w:r>
    </w:p>
    <w:p w14:paraId="616B029E" w14:textId="5078FB02" w:rsidR="005030EC" w:rsidRPr="00351567" w:rsidRDefault="003026F0" w:rsidP="004A11B2">
      <w:pPr>
        <w:jc w:val="both"/>
        <w:rPr>
          <w:rFonts w:ascii="Century Schoolbook" w:eastAsiaTheme="minorEastAsia" w:hAnsi="Century Schoolbook"/>
        </w:rPr>
      </w:pPr>
      <w:r w:rsidRPr="00351567">
        <w:rPr>
          <w:rFonts w:ascii="Century Schoolbook" w:eastAsiaTheme="minorEastAsia" w:hAnsi="Century Schoolbook"/>
        </w:rPr>
        <w:t xml:space="preserve">Wheeler, M. </w:t>
      </w:r>
      <w:r w:rsidR="007B3DEF" w:rsidRPr="00351567">
        <w:rPr>
          <w:rFonts w:ascii="Century Schoolbook" w:eastAsiaTheme="minorEastAsia" w:hAnsi="Century Schoolbook"/>
        </w:rPr>
        <w:t>(</w:t>
      </w:r>
      <w:r w:rsidRPr="00351567">
        <w:rPr>
          <w:rFonts w:ascii="Century Schoolbook" w:eastAsiaTheme="minorEastAsia" w:hAnsi="Century Schoolbook"/>
        </w:rPr>
        <w:t>2010a</w:t>
      </w:r>
      <w:r w:rsidR="007B3DEF"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7B3DEF" w:rsidRPr="00351567">
        <w:rPr>
          <w:rFonts w:ascii="Century Schoolbook" w:eastAsiaTheme="minorEastAsia" w:hAnsi="Century Schoolbook"/>
        </w:rPr>
        <w:t>‘</w:t>
      </w:r>
      <w:r w:rsidR="005030EC" w:rsidRPr="00351567">
        <w:rPr>
          <w:rFonts w:ascii="Century Schoolbook" w:eastAsiaTheme="minorEastAsia" w:hAnsi="Century Schoolbook"/>
        </w:rPr>
        <w:t>Minds, things, and materiality</w:t>
      </w:r>
      <w:r w:rsidR="007B3DEF"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7B3DEF" w:rsidRPr="00351567">
        <w:rPr>
          <w:rFonts w:ascii="Century Schoolbook" w:eastAsiaTheme="minorEastAsia" w:hAnsi="Century Schoolbook"/>
        </w:rPr>
        <w:t>i</w:t>
      </w:r>
      <w:r w:rsidR="005030EC" w:rsidRPr="00351567">
        <w:rPr>
          <w:rFonts w:ascii="Century Schoolbook" w:eastAsiaTheme="minorEastAsia" w:hAnsi="Century Schoolbook"/>
        </w:rPr>
        <w:t xml:space="preserve">n </w:t>
      </w:r>
      <w:r w:rsidR="007B3DEF" w:rsidRPr="00351567">
        <w:rPr>
          <w:rFonts w:ascii="Century Schoolbook" w:eastAsiaTheme="minorEastAsia" w:hAnsi="Century Schoolbook"/>
        </w:rPr>
        <w:t>C. Renfrew and L. Malafouris</w:t>
      </w:r>
      <w:r w:rsidR="007B3DEF" w:rsidRPr="00351567">
        <w:rPr>
          <w:rFonts w:ascii="Century Schoolbook" w:eastAsiaTheme="minorEastAsia" w:hAnsi="Century Schoolbook"/>
          <w:i/>
        </w:rPr>
        <w:t xml:space="preserve"> </w:t>
      </w:r>
      <w:r w:rsidR="007B3DEF" w:rsidRPr="00351567">
        <w:rPr>
          <w:rFonts w:ascii="Century Schoolbook" w:eastAsiaTheme="minorEastAsia" w:hAnsi="Century Schoolbook"/>
        </w:rPr>
        <w:t xml:space="preserve">(eds) </w:t>
      </w:r>
      <w:r w:rsidR="007B3DEF" w:rsidRPr="00351567">
        <w:rPr>
          <w:rFonts w:ascii="Century Schoolbook" w:eastAsiaTheme="minorEastAsia" w:hAnsi="Century Schoolbook"/>
          <w:i/>
        </w:rPr>
        <w:t xml:space="preserve">The Cognitive Life of Things. </w:t>
      </w:r>
      <w:r w:rsidR="007B3DEF" w:rsidRPr="00351567">
        <w:rPr>
          <w:rFonts w:ascii="Century Schoolbook" w:eastAsiaTheme="minorEastAsia" w:hAnsi="Century Schoolbook"/>
        </w:rPr>
        <w:t>29-37,</w:t>
      </w:r>
      <w:r w:rsidR="005030EC" w:rsidRPr="00351567">
        <w:rPr>
          <w:rFonts w:ascii="Century Schoolbook" w:eastAsiaTheme="minorEastAsia" w:hAnsi="Century Schoolbook"/>
          <w:i/>
        </w:rPr>
        <w:t xml:space="preserve"> </w:t>
      </w:r>
      <w:r w:rsidR="007B3DEF" w:rsidRPr="00351567">
        <w:rPr>
          <w:rFonts w:ascii="Century Schoolbook" w:eastAsiaTheme="minorEastAsia" w:hAnsi="Century Schoolbook"/>
        </w:rPr>
        <w:t>Cambridge: Cambridge University Press</w:t>
      </w:r>
      <w:r w:rsidR="005030EC" w:rsidRPr="00351567">
        <w:rPr>
          <w:rFonts w:ascii="Century Schoolbook" w:eastAsiaTheme="minorEastAsia" w:hAnsi="Century Schoolbook"/>
        </w:rPr>
        <w:t xml:space="preserve"> </w:t>
      </w:r>
    </w:p>
    <w:p w14:paraId="61504ECC" w14:textId="40A9DE4A" w:rsidR="005030EC" w:rsidRPr="00351567" w:rsidRDefault="003026F0" w:rsidP="004A11B2">
      <w:pPr>
        <w:jc w:val="both"/>
        <w:rPr>
          <w:rFonts w:ascii="Century Schoolbook" w:eastAsiaTheme="minorEastAsia" w:hAnsi="Century Schoolbook"/>
        </w:rPr>
      </w:pPr>
      <w:r w:rsidRPr="00351567">
        <w:rPr>
          <w:rFonts w:ascii="Century Schoolbook" w:eastAsiaTheme="minorEastAsia" w:hAnsi="Century Schoolbook"/>
        </w:rPr>
        <w:t xml:space="preserve">Wheeler, M. </w:t>
      </w:r>
      <w:r w:rsidR="007B3DEF" w:rsidRPr="00351567">
        <w:rPr>
          <w:rFonts w:ascii="Century Schoolbook" w:eastAsiaTheme="minorEastAsia" w:hAnsi="Century Schoolbook"/>
        </w:rPr>
        <w:t>(</w:t>
      </w:r>
      <w:r w:rsidRPr="00351567">
        <w:rPr>
          <w:rFonts w:ascii="Century Schoolbook" w:eastAsiaTheme="minorEastAsia" w:hAnsi="Century Schoolbook"/>
        </w:rPr>
        <w:t>2010b</w:t>
      </w:r>
      <w:r w:rsidR="007B3DEF" w:rsidRPr="00351567">
        <w:rPr>
          <w:rFonts w:ascii="Century Schoolbook" w:eastAsiaTheme="minorEastAsia" w:hAnsi="Century Schoolbook"/>
        </w:rPr>
        <w:t>)</w:t>
      </w:r>
      <w:r w:rsidR="005030EC" w:rsidRPr="00351567">
        <w:rPr>
          <w:rFonts w:ascii="Century Schoolbook" w:eastAsiaTheme="minorEastAsia" w:hAnsi="Century Schoolbook"/>
        </w:rPr>
        <w:t xml:space="preserve"> In def</w:t>
      </w:r>
      <w:r w:rsidR="00365079" w:rsidRPr="00351567">
        <w:rPr>
          <w:rFonts w:ascii="Century Schoolbook" w:eastAsiaTheme="minorEastAsia" w:hAnsi="Century Schoolbook"/>
        </w:rPr>
        <w:t>ense of extended functionalism’</w:t>
      </w:r>
      <w:r w:rsidR="007B3DEF" w:rsidRPr="00351567">
        <w:rPr>
          <w:rFonts w:ascii="Century Schoolbook" w:eastAsiaTheme="minorEastAsia" w:hAnsi="Century Schoolbook"/>
        </w:rPr>
        <w:t xml:space="preserve"> in R. Menary (ed) </w:t>
      </w:r>
      <w:r w:rsidR="007B3DEF" w:rsidRPr="00351567">
        <w:rPr>
          <w:rFonts w:ascii="Century Schoolbook" w:eastAsiaTheme="minorEastAsia" w:hAnsi="Century Schoolbook"/>
          <w:i/>
        </w:rPr>
        <w:t>The Extended Mind</w:t>
      </w:r>
      <w:r w:rsidR="007B3DEF" w:rsidRPr="00351567">
        <w:rPr>
          <w:rFonts w:ascii="Century Schoolbook" w:eastAsiaTheme="minorEastAsia" w:hAnsi="Century Schoolbook"/>
        </w:rPr>
        <w:t>, 245-270. Cambridge, Mass.: MIT Press.</w:t>
      </w:r>
    </w:p>
    <w:p w14:paraId="60EBDB6C" w14:textId="17823A3B" w:rsidR="005030EC" w:rsidRPr="00351567" w:rsidRDefault="003026F0" w:rsidP="004A11B2">
      <w:pPr>
        <w:jc w:val="both"/>
        <w:rPr>
          <w:rFonts w:ascii="Century Schoolbook" w:eastAsiaTheme="minorEastAsia" w:hAnsi="Century Schoolbook"/>
        </w:rPr>
      </w:pPr>
      <w:r w:rsidRPr="00351567">
        <w:rPr>
          <w:rFonts w:ascii="Century Schoolbook" w:eastAsiaTheme="minorEastAsia" w:hAnsi="Century Schoolbook"/>
        </w:rPr>
        <w:t xml:space="preserve">Wilson, R. </w:t>
      </w:r>
      <w:r w:rsidR="007B3DEF" w:rsidRPr="00351567">
        <w:rPr>
          <w:rFonts w:ascii="Century Schoolbook" w:eastAsiaTheme="minorEastAsia" w:hAnsi="Century Schoolbook"/>
        </w:rPr>
        <w:t>(</w:t>
      </w:r>
      <w:r w:rsidRPr="00351567">
        <w:rPr>
          <w:rFonts w:ascii="Century Schoolbook" w:eastAsiaTheme="minorEastAsia" w:hAnsi="Century Schoolbook"/>
        </w:rPr>
        <w:t>2010</w:t>
      </w:r>
      <w:r w:rsidR="007B3DEF"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7B3DEF" w:rsidRPr="00351567">
        <w:rPr>
          <w:rFonts w:ascii="Century Schoolbook" w:eastAsiaTheme="minorEastAsia" w:hAnsi="Century Schoolbook"/>
        </w:rPr>
        <w:t>‘</w:t>
      </w:r>
      <w:r w:rsidR="005030EC" w:rsidRPr="00351567">
        <w:rPr>
          <w:rFonts w:ascii="Century Schoolbook" w:eastAsiaTheme="minorEastAsia" w:hAnsi="Century Schoolbook"/>
        </w:rPr>
        <w:t>Meaning Making and the Mind of the Externalist</w:t>
      </w:r>
      <w:r w:rsidR="007B3DEF" w:rsidRPr="00351567">
        <w:rPr>
          <w:rFonts w:ascii="Century Schoolbook" w:eastAsiaTheme="minorEastAsia" w:hAnsi="Century Schoolbook"/>
        </w:rPr>
        <w:t>’</w:t>
      </w:r>
      <w:r w:rsidR="005030EC" w:rsidRPr="00351567">
        <w:rPr>
          <w:rFonts w:ascii="Century Schoolbook" w:eastAsiaTheme="minorEastAsia" w:hAnsi="Century Schoolbook"/>
        </w:rPr>
        <w:t xml:space="preserve"> </w:t>
      </w:r>
      <w:r w:rsidR="007B3DEF" w:rsidRPr="00351567">
        <w:rPr>
          <w:rFonts w:ascii="Century Schoolbook" w:eastAsiaTheme="minorEastAsia" w:hAnsi="Century Schoolbook"/>
        </w:rPr>
        <w:t xml:space="preserve">in R. Menary (ed) </w:t>
      </w:r>
      <w:r w:rsidR="007B3DEF" w:rsidRPr="00351567">
        <w:rPr>
          <w:rFonts w:ascii="Century Schoolbook" w:eastAsiaTheme="minorEastAsia" w:hAnsi="Century Schoolbook"/>
          <w:i/>
        </w:rPr>
        <w:t>The Extended Mind</w:t>
      </w:r>
      <w:r w:rsidR="007B3DEF" w:rsidRPr="00351567">
        <w:rPr>
          <w:rFonts w:ascii="Century Schoolbook" w:eastAsiaTheme="minorEastAsia" w:hAnsi="Century Schoolbook"/>
        </w:rPr>
        <w:t>, 167-188. Cambridge, Mass.: MIT Press.</w:t>
      </w:r>
    </w:p>
    <w:p w14:paraId="22501695" w14:textId="77777777" w:rsidR="003A4827" w:rsidRPr="00351567" w:rsidRDefault="003A4827" w:rsidP="004A11B2">
      <w:pPr>
        <w:spacing w:line="480" w:lineRule="auto"/>
        <w:ind w:firstLine="720"/>
        <w:jc w:val="both"/>
        <w:rPr>
          <w:rFonts w:ascii="Century Schoolbook" w:hAnsi="Century Schoolbook"/>
          <w:i/>
          <w:szCs w:val="24"/>
        </w:rPr>
      </w:pPr>
    </w:p>
    <w:p w14:paraId="757F05FA" w14:textId="03B7983D" w:rsidR="003A4827" w:rsidRPr="00351567" w:rsidRDefault="003A4827" w:rsidP="004A11B2">
      <w:pPr>
        <w:spacing w:line="480" w:lineRule="auto"/>
        <w:jc w:val="both"/>
        <w:rPr>
          <w:rFonts w:ascii="Century Schoolbook" w:hAnsi="Century Schoolbook"/>
          <w:i/>
          <w:szCs w:val="24"/>
        </w:rPr>
      </w:pPr>
      <w:r w:rsidRPr="00351567">
        <w:rPr>
          <w:rFonts w:ascii="Century Schoolbook" w:hAnsi="Century Schoolbook"/>
          <w:i/>
          <w:szCs w:val="24"/>
        </w:rPr>
        <w:t>University of Sheffield, UK</w:t>
      </w:r>
    </w:p>
    <w:p w14:paraId="58605057" w14:textId="77777777" w:rsidR="003F7508" w:rsidRPr="00351567" w:rsidRDefault="003F7508" w:rsidP="004A11B2">
      <w:pPr>
        <w:spacing w:line="480" w:lineRule="auto"/>
        <w:jc w:val="both"/>
        <w:rPr>
          <w:rFonts w:ascii="Century Schoolbook" w:hAnsi="Century Schoolbook"/>
          <w:i/>
          <w:szCs w:val="24"/>
        </w:rPr>
      </w:pPr>
    </w:p>
    <w:p w14:paraId="01F6F9D1" w14:textId="77777777" w:rsidR="003F7508" w:rsidRPr="00351567" w:rsidRDefault="003F7508" w:rsidP="004A11B2">
      <w:pPr>
        <w:spacing w:line="480" w:lineRule="auto"/>
        <w:jc w:val="both"/>
        <w:rPr>
          <w:rFonts w:ascii="Century Schoolbook" w:hAnsi="Century Schoolbook"/>
          <w:i/>
          <w:szCs w:val="24"/>
        </w:rPr>
      </w:pPr>
    </w:p>
    <w:p w14:paraId="7ADA8317" w14:textId="77777777" w:rsidR="003F7508" w:rsidRPr="00351567" w:rsidRDefault="003F7508" w:rsidP="003F7508">
      <w:pPr>
        <w:pStyle w:val="Heading2"/>
        <w:rPr>
          <w:rFonts w:ascii="Century Schoolbook" w:hAnsi="Century Schoolbook"/>
        </w:rPr>
      </w:pPr>
    </w:p>
    <w:p w14:paraId="534DACFA" w14:textId="77777777" w:rsidR="005030EC" w:rsidRPr="00351567" w:rsidRDefault="005030EC" w:rsidP="004A11B2">
      <w:pPr>
        <w:jc w:val="both"/>
        <w:rPr>
          <w:rFonts w:ascii="Century Schoolbook" w:eastAsiaTheme="minorEastAsia" w:hAnsi="Century Schoolbook"/>
        </w:rPr>
      </w:pPr>
    </w:p>
    <w:p w14:paraId="65F1DE7E" w14:textId="77777777" w:rsidR="00184F7F" w:rsidRPr="00351567" w:rsidRDefault="00184F7F" w:rsidP="004A11B2">
      <w:pPr>
        <w:jc w:val="both"/>
        <w:rPr>
          <w:rFonts w:ascii="Century Schoolbook" w:hAnsi="Century Schoolbook"/>
        </w:rPr>
      </w:pPr>
    </w:p>
    <w:sectPr w:rsidR="00184F7F" w:rsidRPr="0035156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04543" w14:textId="77777777" w:rsidR="008C74F9" w:rsidRDefault="008C74F9" w:rsidP="00C13A7D">
      <w:pPr>
        <w:spacing w:after="0" w:line="240" w:lineRule="auto"/>
      </w:pPr>
      <w:r>
        <w:separator/>
      </w:r>
    </w:p>
  </w:endnote>
  <w:endnote w:type="continuationSeparator" w:id="0">
    <w:p w14:paraId="560ABC80" w14:textId="77777777" w:rsidR="008C74F9" w:rsidRDefault="008C74F9" w:rsidP="00C1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797172"/>
      <w:docPartObj>
        <w:docPartGallery w:val="Page Numbers (Bottom of Page)"/>
        <w:docPartUnique/>
      </w:docPartObj>
    </w:sdtPr>
    <w:sdtEndPr>
      <w:rPr>
        <w:noProof/>
      </w:rPr>
    </w:sdtEndPr>
    <w:sdtContent>
      <w:p w14:paraId="19F438DD" w14:textId="77777777" w:rsidR="001555C2" w:rsidRDefault="001555C2">
        <w:pPr>
          <w:pStyle w:val="Footer"/>
          <w:jc w:val="right"/>
        </w:pPr>
        <w:r>
          <w:fldChar w:fldCharType="begin"/>
        </w:r>
        <w:r>
          <w:instrText xml:space="preserve"> PAGE   \* MERGEFORMAT </w:instrText>
        </w:r>
        <w:r>
          <w:fldChar w:fldCharType="separate"/>
        </w:r>
        <w:r w:rsidR="00A01DF7">
          <w:rPr>
            <w:noProof/>
          </w:rPr>
          <w:t>21</w:t>
        </w:r>
        <w:r>
          <w:rPr>
            <w:noProof/>
          </w:rPr>
          <w:fldChar w:fldCharType="end"/>
        </w:r>
      </w:p>
    </w:sdtContent>
  </w:sdt>
  <w:p w14:paraId="493642F0" w14:textId="77777777" w:rsidR="001555C2" w:rsidRDefault="001555C2" w:rsidP="001555C2">
    <w:pPr>
      <w:pStyle w:val="Footer"/>
      <w:tabs>
        <w:tab w:val="clear" w:pos="4513"/>
        <w:tab w:val="clear" w:pos="9026"/>
        <w:tab w:val="left" w:pos="391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BF781" w14:textId="77777777" w:rsidR="008C74F9" w:rsidRDefault="008C74F9" w:rsidP="00C13A7D">
      <w:pPr>
        <w:spacing w:after="0" w:line="240" w:lineRule="auto"/>
      </w:pPr>
      <w:r>
        <w:separator/>
      </w:r>
    </w:p>
  </w:footnote>
  <w:footnote w:type="continuationSeparator" w:id="0">
    <w:p w14:paraId="721488E4" w14:textId="77777777" w:rsidR="008C74F9" w:rsidRDefault="008C74F9" w:rsidP="00C13A7D">
      <w:pPr>
        <w:spacing w:after="0" w:line="240" w:lineRule="auto"/>
      </w:pPr>
      <w:r>
        <w:continuationSeparator/>
      </w:r>
    </w:p>
  </w:footnote>
  <w:footnote w:id="1">
    <w:p w14:paraId="78BEA889" w14:textId="578B50FA" w:rsidR="001555C2" w:rsidRPr="00FB2698" w:rsidRDefault="001555C2" w:rsidP="00C13A7D">
      <w:pPr>
        <w:pStyle w:val="FootnoteText"/>
      </w:pPr>
      <w:r w:rsidRPr="00FB2698">
        <w:rPr>
          <w:rStyle w:val="FootnoteReference"/>
        </w:rPr>
        <w:footnoteRef/>
      </w:r>
      <w:r w:rsidR="00A82573">
        <w:t xml:space="preserve"> See </w:t>
      </w:r>
      <w:r w:rsidRPr="00FB2698">
        <w:t xml:space="preserve">Clark </w:t>
      </w:r>
      <w:r w:rsidR="005B24D2">
        <w:t>(</w:t>
      </w:r>
      <w:r w:rsidRPr="00FB2698">
        <w:t>2008b</w:t>
      </w:r>
      <w:r w:rsidR="00A82573">
        <w:t>:</w:t>
      </w:r>
      <w:r>
        <w:t xml:space="preserve"> </w:t>
      </w:r>
      <w:r w:rsidR="00A82573">
        <w:t>37</w:t>
      </w:r>
      <w:r w:rsidR="00FB0212">
        <w:t>)</w:t>
      </w:r>
      <w:r w:rsidR="00A82573">
        <w:t xml:space="preserve"> and </w:t>
      </w:r>
      <w:r w:rsidRPr="00FB2698">
        <w:t xml:space="preserve">Clark </w:t>
      </w:r>
      <w:r w:rsidR="005B24D2">
        <w:t>(</w:t>
      </w:r>
      <w:r w:rsidR="00A82573">
        <w:t>2010a: 449</w:t>
      </w:r>
      <w:r w:rsidR="00FB0212">
        <w:t>)</w:t>
      </w:r>
      <w:r w:rsidRPr="00FB2698">
        <w:t xml:space="preserve">. </w:t>
      </w:r>
    </w:p>
  </w:footnote>
  <w:footnote w:id="2">
    <w:p w14:paraId="455487E2" w14:textId="0CB53112" w:rsidR="001555C2" w:rsidRPr="00FB2698" w:rsidRDefault="001555C2" w:rsidP="00C13A7D">
      <w:pPr>
        <w:pStyle w:val="FootnoteText"/>
      </w:pPr>
      <w:r w:rsidRPr="00FB2698">
        <w:rPr>
          <w:rStyle w:val="FootnoteReference"/>
        </w:rPr>
        <w:footnoteRef/>
      </w:r>
      <w:r w:rsidRPr="00FB2698">
        <w:t xml:space="preserve"> Se</w:t>
      </w:r>
      <w:r w:rsidR="00A82573">
        <w:t xml:space="preserve">e, for example Michael Wheeler </w:t>
      </w:r>
      <w:r w:rsidR="005B24D2">
        <w:t>(</w:t>
      </w:r>
      <w:r w:rsidR="004B4C19">
        <w:t>2010a;</w:t>
      </w:r>
      <w:r w:rsidR="00A82573">
        <w:t xml:space="preserve"> 2010b</w:t>
      </w:r>
      <w:r w:rsidR="00FB0212">
        <w:t>)</w:t>
      </w:r>
      <w:r w:rsidRPr="00FB2698">
        <w:t>. For a commentary on the link between EM and fu</w:t>
      </w:r>
      <w:r w:rsidR="00A82573">
        <w:t xml:space="preserve">nctionalism, see Wheeler </w:t>
      </w:r>
      <w:r w:rsidR="005B24D2">
        <w:t>(</w:t>
      </w:r>
      <w:r w:rsidR="00A82573">
        <w:t>2010b</w:t>
      </w:r>
      <w:r w:rsidR="00FB0212">
        <w:t>)</w:t>
      </w:r>
      <w:r w:rsidRPr="00FB2698">
        <w:t xml:space="preserve">. See also Di Paolo </w:t>
      </w:r>
      <w:r w:rsidR="005B24D2">
        <w:t>(</w:t>
      </w:r>
      <w:r w:rsidR="00A82573">
        <w:t>2009</w:t>
      </w:r>
      <w:r w:rsidR="00FB0212">
        <w:t>)</w:t>
      </w:r>
      <w:r w:rsidRPr="00FB2698">
        <w:t xml:space="preserve"> for an attempt to develop an anti-functionalist, ‘autopoetic’ version of the extended cognition thesis.</w:t>
      </w:r>
    </w:p>
  </w:footnote>
  <w:footnote w:id="3">
    <w:p w14:paraId="56EDBA19" w14:textId="337301A8" w:rsidR="001555C2" w:rsidRPr="00FB2698" w:rsidRDefault="001555C2" w:rsidP="00C13A7D">
      <w:pPr>
        <w:pStyle w:val="FootnoteText"/>
      </w:pPr>
      <w:r w:rsidRPr="00FB2698">
        <w:rPr>
          <w:rStyle w:val="FootnoteReference"/>
        </w:rPr>
        <w:footnoteRef/>
      </w:r>
      <w:r w:rsidRPr="00FB2698">
        <w:t xml:space="preserve">There are good exegetical reasons for thinking that Clark has something like this definition in mind when he talks of EM. Due to limitations of space, I cannot go into these reasons here. But see </w:t>
      </w:r>
      <w:r w:rsidR="005B24D2">
        <w:t>(</w:t>
      </w:r>
      <w:r w:rsidR="00A82573">
        <w:t>2008a: xviii</w:t>
      </w:r>
      <w:r w:rsidR="00FB0212">
        <w:t>)</w:t>
      </w:r>
      <w:r w:rsidRPr="00FB2698">
        <w:t xml:space="preserve"> for what I take to be a more evocative (but less precise) functionalist definition of EM.</w:t>
      </w:r>
    </w:p>
  </w:footnote>
  <w:footnote w:id="4">
    <w:p w14:paraId="7909387B" w14:textId="4DBB6E25" w:rsidR="001555C2" w:rsidRPr="00FB2698" w:rsidRDefault="001555C2" w:rsidP="00C13A7D">
      <w:pPr>
        <w:pStyle w:val="FootnoteText"/>
      </w:pPr>
      <w:r w:rsidRPr="00FB2698">
        <w:rPr>
          <w:rStyle w:val="FootnoteReference"/>
        </w:rPr>
        <w:footnoteRef/>
      </w:r>
      <w:r w:rsidRPr="00FB2698">
        <w:t xml:space="preserve"> See Clark and Chalmers </w:t>
      </w:r>
      <w:r w:rsidR="005B24D2">
        <w:t>(</w:t>
      </w:r>
      <w:r w:rsidR="00A82573">
        <w:t>1998</w:t>
      </w:r>
      <w:r w:rsidR="00FB0212">
        <w:t>)</w:t>
      </w:r>
      <w:r w:rsidRPr="00FB2698">
        <w:t xml:space="preserve"> for original statement of the view and its scope. See Clark </w:t>
      </w:r>
      <w:r w:rsidR="005B24D2">
        <w:t>(</w:t>
      </w:r>
      <w:r w:rsidR="00A82573">
        <w:t>2009</w:t>
      </w:r>
      <w:r w:rsidR="00FB0212">
        <w:t>)</w:t>
      </w:r>
      <w:r w:rsidRPr="00FB2698">
        <w:t xml:space="preserve"> for an argument against the view that EM is true of conscious states. For arguments in favour of EM about conscious states/processes, see Hurley and Noë </w:t>
      </w:r>
      <w:r w:rsidR="005B24D2">
        <w:t>(</w:t>
      </w:r>
      <w:r w:rsidR="00A82573">
        <w:t>2003</w:t>
      </w:r>
      <w:r w:rsidR="00FB0212">
        <w:t>)</w:t>
      </w:r>
      <w:r w:rsidRPr="00FB2698">
        <w:t xml:space="preserve">, Noë and Thompson </w:t>
      </w:r>
      <w:r w:rsidR="005B24D2">
        <w:t>(</w:t>
      </w:r>
      <w:r w:rsidR="004B4C19">
        <w:t>2004a;</w:t>
      </w:r>
      <w:r w:rsidR="00A82573">
        <w:t xml:space="preserve"> 2004b</w:t>
      </w:r>
      <w:r w:rsidR="00FB0212">
        <w:t>)</w:t>
      </w:r>
      <w:r w:rsidRPr="00FB2698">
        <w:t xml:space="preserve">, Rowlands </w:t>
      </w:r>
      <w:r w:rsidR="005B24D2">
        <w:t>(</w:t>
      </w:r>
      <w:r w:rsidR="004B4C19">
        <w:t>2010a;</w:t>
      </w:r>
      <w:r w:rsidR="00A82573">
        <w:t xml:space="preserve"> 2010b</w:t>
      </w:r>
      <w:r w:rsidR="00FB0212">
        <w:t>)</w:t>
      </w:r>
      <w:r w:rsidRPr="00FB2698">
        <w:t>.</w:t>
      </w:r>
    </w:p>
  </w:footnote>
  <w:footnote w:id="5">
    <w:p w14:paraId="71C8B9FF" w14:textId="6C777167" w:rsidR="001555C2" w:rsidRPr="00FB2698" w:rsidRDefault="001555C2" w:rsidP="00C13A7D">
      <w:pPr>
        <w:pStyle w:val="FootnoteText"/>
      </w:pPr>
      <w:r w:rsidRPr="00FB2698">
        <w:rPr>
          <w:rStyle w:val="FootnoteReference"/>
        </w:rPr>
        <w:footnoteRef/>
      </w:r>
      <w:r w:rsidRPr="00FB2698">
        <w:t xml:space="preserve"> There are some, like Wilson </w:t>
      </w:r>
      <w:r w:rsidR="005B24D2">
        <w:t>(</w:t>
      </w:r>
      <w:r w:rsidRPr="00FB2698">
        <w:t>2010</w:t>
      </w:r>
      <w:r w:rsidR="00A82573">
        <w:t>:</w:t>
      </w:r>
      <w:r w:rsidRPr="00FB2698">
        <w:t xml:space="preserve"> </w:t>
      </w:r>
      <w:r w:rsidR="00A82573">
        <w:t>183</w:t>
      </w:r>
      <w:r w:rsidR="00FB0212">
        <w:t>)</w:t>
      </w:r>
      <w:r w:rsidRPr="00FB2698">
        <w:t xml:space="preserve"> and Rowlands </w:t>
      </w:r>
      <w:r w:rsidR="005B24D2">
        <w:t>(</w:t>
      </w:r>
      <w:r w:rsidR="00A82573">
        <w:t>2010a:</w:t>
      </w:r>
      <w:r w:rsidRPr="00FB2698">
        <w:t xml:space="preserve"> </w:t>
      </w:r>
      <w:r w:rsidR="00A82573">
        <w:t>63-65</w:t>
      </w:r>
      <w:r w:rsidR="00FB0212">
        <w:t>)</w:t>
      </w:r>
      <w:r w:rsidRPr="00FB2698">
        <w:t xml:space="preserve">, who dissent from this analysis. They claim that EM applies only to mental processes. I will not go </w:t>
      </w:r>
      <w:r>
        <w:t>into their reasons for doing so.</w:t>
      </w:r>
      <w:r w:rsidRPr="00FB2698">
        <w:t xml:space="preserve"> </w:t>
      </w:r>
      <w:r>
        <w:t>T</w:t>
      </w:r>
      <w:r w:rsidRPr="00FB2698">
        <w:t xml:space="preserve">he issue has no direct bearing on the dialectic presented here. </w:t>
      </w:r>
    </w:p>
  </w:footnote>
  <w:footnote w:id="6">
    <w:p w14:paraId="3C945A75" w14:textId="5BFF16CD" w:rsidR="001555C2" w:rsidRPr="00FB2698" w:rsidRDefault="001555C2" w:rsidP="00C13A7D">
      <w:pPr>
        <w:pStyle w:val="FootnoteText"/>
      </w:pPr>
      <w:r w:rsidRPr="00FB2698">
        <w:rPr>
          <w:rStyle w:val="FootnoteReference"/>
        </w:rPr>
        <w:footnoteRef/>
      </w:r>
      <w:r w:rsidRPr="00FB2698">
        <w:t xml:space="preserve"> In the literature, there has been some tension between writers in the ‘embodied’ camp – e.g</w:t>
      </w:r>
      <w:r w:rsidR="00C93513">
        <w:t>. La</w:t>
      </w:r>
      <w:r w:rsidR="00A82573">
        <w:t xml:space="preserve">koff and Johnson </w:t>
      </w:r>
      <w:r w:rsidR="005B24D2">
        <w:t>(</w:t>
      </w:r>
      <w:r w:rsidRPr="00FB2698">
        <w:t>1999</w:t>
      </w:r>
      <w:r w:rsidR="00FB0212">
        <w:t>)</w:t>
      </w:r>
      <w:r w:rsidRPr="00FB2698">
        <w:t xml:space="preserve">, Shapiro </w:t>
      </w:r>
      <w:r w:rsidR="005B24D2">
        <w:t>(</w:t>
      </w:r>
      <w:r w:rsidRPr="00FB2698">
        <w:t>2004</w:t>
      </w:r>
      <w:r w:rsidR="00FB0212">
        <w:t>)</w:t>
      </w:r>
      <w:r w:rsidRPr="00FB2698">
        <w:t xml:space="preserve">, Noë </w:t>
      </w:r>
      <w:r w:rsidR="005B24D2">
        <w:t>(</w:t>
      </w:r>
      <w:r w:rsidRPr="00FB2698">
        <w:t>2004</w:t>
      </w:r>
      <w:r w:rsidR="00FB0212">
        <w:t>)</w:t>
      </w:r>
      <w:r w:rsidRPr="00FB2698">
        <w:t xml:space="preserve"> – and those in t</w:t>
      </w:r>
      <w:r w:rsidR="00A82573">
        <w:t xml:space="preserve">he ‘extended camp’, like Clark </w:t>
      </w:r>
      <w:r w:rsidR="005B24D2">
        <w:t>(</w:t>
      </w:r>
      <w:r w:rsidR="00A82573">
        <w:t>2008a</w:t>
      </w:r>
      <w:r w:rsidR="00FB0212">
        <w:t>)</w:t>
      </w:r>
      <w:r w:rsidRPr="00FB2698">
        <w:t>. For a discuss</w:t>
      </w:r>
      <w:r w:rsidR="00A82573">
        <w:t xml:space="preserve">ion of this tension, see Clark </w:t>
      </w:r>
      <w:r w:rsidR="005B24D2">
        <w:t>(</w:t>
      </w:r>
      <w:r w:rsidR="00A82573">
        <w:t>2008b</w:t>
      </w:r>
      <w:r w:rsidR="00FB0212">
        <w:t>)</w:t>
      </w:r>
      <w:r w:rsidR="00A82573">
        <w:t xml:space="preserve"> and Rowlands </w:t>
      </w:r>
      <w:r w:rsidR="005B24D2">
        <w:t>(</w:t>
      </w:r>
      <w:r w:rsidR="00A82573">
        <w:t>2010a:</w:t>
      </w:r>
      <w:r w:rsidRPr="00FB2698">
        <w:t xml:space="preserve"> </w:t>
      </w:r>
      <w:r w:rsidR="00A82573">
        <w:t>102-6</w:t>
      </w:r>
      <w:r w:rsidR="00FB0212">
        <w:t>)</w:t>
      </w:r>
      <w:r w:rsidRPr="00FB2698">
        <w:t xml:space="preserve">. The tension is normally traced back to difference between the ‘liberal’ functionalism presupposed by writers like Clark and the less liberal variety adopted by those in the ‘embodied’ tradition. I will </w:t>
      </w:r>
      <w:r w:rsidR="004B4C19">
        <w:t>be</w:t>
      </w:r>
      <w:r w:rsidRPr="00FB2698">
        <w:t xml:space="preserve"> focusing on Clark’s position, and its relation to the brand of functionalism on which it rests. </w:t>
      </w:r>
    </w:p>
  </w:footnote>
  <w:footnote w:id="7">
    <w:p w14:paraId="225F06DC" w14:textId="77777777" w:rsidR="001555C2" w:rsidRPr="00FB2698" w:rsidRDefault="001555C2" w:rsidP="00877A4C">
      <w:pPr>
        <w:pStyle w:val="FootnoteText"/>
      </w:pPr>
      <w:r w:rsidRPr="00FB2698">
        <w:rPr>
          <w:rStyle w:val="FootnoteReference"/>
        </w:rPr>
        <w:footnoteRef/>
      </w:r>
      <w:r w:rsidRPr="00FB2698">
        <w:t xml:space="preserve"> Jackson and Braddon-Mitchell in fact go further than this. They claim that a given token belief that </w:t>
      </w:r>
      <w:r w:rsidRPr="00FB2698">
        <w:rPr>
          <w:i/>
        </w:rPr>
        <w:t>p</w:t>
      </w:r>
      <w:r w:rsidRPr="00FB2698">
        <w:t xml:space="preserve"> is to be identified with a certain functional role. Put more generally, they think the content of a given mental state is determined by its functional role, and nothing besides. As far as I can see, Clark’s argument for EM does not rely on this additional claim.</w:t>
      </w:r>
    </w:p>
  </w:footnote>
  <w:footnote w:id="8">
    <w:p w14:paraId="3296DCEC" w14:textId="0101C9E0" w:rsidR="001555C2" w:rsidRPr="00FB2698" w:rsidRDefault="001555C2" w:rsidP="00C13A7D">
      <w:pPr>
        <w:pStyle w:val="FootnoteText"/>
      </w:pPr>
      <w:r w:rsidRPr="00FB2698">
        <w:rPr>
          <w:rStyle w:val="FootnoteReference"/>
        </w:rPr>
        <w:footnoteRef/>
      </w:r>
      <w:r w:rsidRPr="00FB2698">
        <w:t xml:space="preserve"> In this respect, his argument for EM differ</w:t>
      </w:r>
      <w:r>
        <w:t>s</w:t>
      </w:r>
      <w:r w:rsidRPr="00FB2698">
        <w:t xml:space="preserve"> from that put forward, for example, by Wheeler, which seems to rest on a (nuanced) version of empirical functionalism </w:t>
      </w:r>
      <w:r w:rsidR="005B24D2">
        <w:t>(</w:t>
      </w:r>
      <w:r w:rsidR="00A82573">
        <w:t>see Wheeler 2010b: §5</w:t>
      </w:r>
      <w:r w:rsidR="00FB0212">
        <w:t>)</w:t>
      </w:r>
      <w:r w:rsidRPr="00FB2698">
        <w:t>. Robert Rupert, a critic of EM, makes direct appeal to empirical functionalism, or psychof</w:t>
      </w:r>
      <w:r w:rsidR="00A82573">
        <w:t xml:space="preserve">unctionalism, in his critiques </w:t>
      </w:r>
      <w:r w:rsidR="005B24D2">
        <w:t>(</w:t>
      </w:r>
      <w:r w:rsidR="00A82573">
        <w:t>2004: 423; 2009:</w:t>
      </w:r>
      <w:r w:rsidRPr="00FB2698">
        <w:t xml:space="preserve"> 91-4; 2010</w:t>
      </w:r>
      <w:r w:rsidR="00A82573">
        <w:t>:</w:t>
      </w:r>
      <w:r w:rsidRPr="00FB2698">
        <w:t xml:space="preserve"> </w:t>
      </w:r>
      <w:r w:rsidR="00A82573">
        <w:t>345</w:t>
      </w:r>
      <w:r w:rsidR="00FB0212">
        <w:t>)</w:t>
      </w:r>
    </w:p>
  </w:footnote>
  <w:footnote w:id="9">
    <w:p w14:paraId="5CCCFCD2" w14:textId="26ABB83D" w:rsidR="001555C2" w:rsidRPr="00237894" w:rsidRDefault="001555C2" w:rsidP="004B4C19">
      <w:pPr>
        <w:spacing w:after="0" w:line="240" w:lineRule="auto"/>
        <w:rPr>
          <w:sz w:val="20"/>
          <w:szCs w:val="20"/>
        </w:rPr>
      </w:pPr>
      <w:r w:rsidRPr="00FB2698">
        <w:rPr>
          <w:rStyle w:val="FootnoteReference"/>
          <w:sz w:val="20"/>
          <w:szCs w:val="20"/>
        </w:rPr>
        <w:footnoteRef/>
      </w:r>
      <w:r w:rsidRPr="00FB2698">
        <w:rPr>
          <w:sz w:val="20"/>
          <w:szCs w:val="20"/>
        </w:rPr>
        <w:t xml:space="preserve"> What follows is a brief sketch of the motivations for common-sense functionalism, and should not be taken as an attempt to give a full-scale defence of the position – for one of these, see Jackson and Braddon-Mitchell </w:t>
      </w:r>
      <w:r w:rsidR="005B24D2">
        <w:rPr>
          <w:sz w:val="20"/>
          <w:szCs w:val="20"/>
        </w:rPr>
        <w:t>(</w:t>
      </w:r>
      <w:r w:rsidR="00A82573">
        <w:rPr>
          <w:sz w:val="20"/>
          <w:szCs w:val="20"/>
        </w:rPr>
        <w:t>2007</w:t>
      </w:r>
      <w:r w:rsidR="00FB0212">
        <w:rPr>
          <w:sz w:val="20"/>
          <w:szCs w:val="20"/>
        </w:rPr>
        <w:t>)</w:t>
      </w:r>
      <w:r w:rsidRPr="00FB2698">
        <w:rPr>
          <w:sz w:val="20"/>
          <w:szCs w:val="20"/>
        </w:rPr>
        <w:t>.  I will return briefly to the debate between empirical and common-sense functionalism in §4.</w:t>
      </w:r>
    </w:p>
  </w:footnote>
  <w:footnote w:id="10">
    <w:p w14:paraId="3F0BE41F" w14:textId="77B16CA2" w:rsidR="001555C2" w:rsidRPr="00FB2698" w:rsidRDefault="001555C2" w:rsidP="00C13A7D">
      <w:pPr>
        <w:pStyle w:val="FootnoteText"/>
      </w:pPr>
      <w:r w:rsidRPr="00FB2698">
        <w:rPr>
          <w:rStyle w:val="FootnoteReference"/>
        </w:rPr>
        <w:footnoteRef/>
      </w:r>
      <w:r w:rsidRPr="00FB2698">
        <w:t xml:space="preserve"> See Hurley </w:t>
      </w:r>
      <w:r w:rsidR="005B24D2">
        <w:t>(</w:t>
      </w:r>
      <w:r w:rsidRPr="00FB2698">
        <w:t>1998</w:t>
      </w:r>
      <w:r w:rsidR="00FB0212">
        <w:t>)</w:t>
      </w:r>
      <w:r w:rsidRPr="00FB2698">
        <w:t xml:space="preserve"> and Rowlands </w:t>
      </w:r>
      <w:r w:rsidR="005B24D2">
        <w:t>(</w:t>
      </w:r>
      <w:r w:rsidRPr="00FB2698">
        <w:t>2006</w:t>
      </w:r>
      <w:r w:rsidR="00FB0212">
        <w:t>)</w:t>
      </w:r>
      <w:r w:rsidRPr="00FB2698">
        <w:t xml:space="preserve"> for seminal characterisations of the EM thesis as vehicle externalism.</w:t>
      </w:r>
    </w:p>
  </w:footnote>
  <w:footnote w:id="11">
    <w:p w14:paraId="463B5F50" w14:textId="0B1962AB" w:rsidR="001555C2" w:rsidRPr="00FB2698" w:rsidRDefault="001555C2" w:rsidP="00C13A7D">
      <w:pPr>
        <w:pStyle w:val="FootnoteText"/>
      </w:pPr>
      <w:r w:rsidRPr="00FB2698">
        <w:rPr>
          <w:rStyle w:val="FootnoteReference"/>
        </w:rPr>
        <w:footnoteRef/>
      </w:r>
      <w:r w:rsidR="00020C2F">
        <w:t xml:space="preserve">See Dennett and Kinsbourne </w:t>
      </w:r>
      <w:r w:rsidR="005B24D2">
        <w:t>(</w:t>
      </w:r>
      <w:r w:rsidR="00020C2F">
        <w:t>1992</w:t>
      </w:r>
      <w:r w:rsidR="00FB0212">
        <w:t>)</w:t>
      </w:r>
      <w:r w:rsidRPr="00FB2698">
        <w:t xml:space="preserve"> for a seminal and entertaining treatment of the vehicle/content distinction.</w:t>
      </w:r>
    </w:p>
  </w:footnote>
  <w:footnote w:id="12">
    <w:p w14:paraId="6EC46909" w14:textId="6570E7A0" w:rsidR="001555C2" w:rsidRPr="00FB2698" w:rsidRDefault="001555C2" w:rsidP="00C13A7D">
      <w:pPr>
        <w:pStyle w:val="FootnoteText"/>
      </w:pPr>
      <w:r w:rsidRPr="00FB2698">
        <w:rPr>
          <w:rStyle w:val="FootnoteReference"/>
        </w:rPr>
        <w:footnoteRef/>
      </w:r>
      <w:r w:rsidRPr="00FB2698">
        <w:t xml:space="preserve"> See Jackson and Braddon-Mitchell </w:t>
      </w:r>
      <w:r w:rsidR="005B24D2">
        <w:t>(</w:t>
      </w:r>
      <w:r w:rsidRPr="00FB2698">
        <w:t>2007</w:t>
      </w:r>
      <w:r w:rsidR="00020C2F">
        <w:t>: 1</w:t>
      </w:r>
      <w:r w:rsidRPr="00FB2698">
        <w:t>19) for a defence of this kind of func</w:t>
      </w:r>
      <w:r w:rsidR="00020C2F">
        <w:t>tionalism</w:t>
      </w:r>
      <w:r w:rsidR="00C81E53">
        <w:t>.</w:t>
      </w:r>
      <w:r w:rsidR="00020C2F">
        <w:t xml:space="preserve"> See Block </w:t>
      </w:r>
      <w:r w:rsidR="005B24D2">
        <w:t>(</w:t>
      </w:r>
      <w:r w:rsidR="00020C2F">
        <w:t>1990: 58</w:t>
      </w:r>
      <w:r w:rsidR="00FB0212">
        <w:t>)</w:t>
      </w:r>
      <w:r w:rsidRPr="00FB2698">
        <w:t xml:space="preserve"> for</w:t>
      </w:r>
      <w:r w:rsidR="00C81E53">
        <w:t xml:space="preserve"> a more detailed treatment of</w:t>
      </w:r>
      <w:r w:rsidRPr="00FB2698">
        <w:t xml:space="preserve"> ‘long-armed functionalism’.</w:t>
      </w:r>
    </w:p>
  </w:footnote>
  <w:footnote w:id="13">
    <w:p w14:paraId="7FFE6A76" w14:textId="35250CD3" w:rsidR="001555C2" w:rsidRPr="00FB2698" w:rsidRDefault="001555C2" w:rsidP="00C13A7D">
      <w:pPr>
        <w:pStyle w:val="FootnoteText"/>
      </w:pPr>
      <w:r w:rsidRPr="00FB2698">
        <w:rPr>
          <w:rStyle w:val="FootnoteReference"/>
        </w:rPr>
        <w:footnoteRef/>
      </w:r>
      <w:r w:rsidRPr="00FB2698">
        <w:t xml:space="preserve"> Shapiro </w:t>
      </w:r>
      <w:r w:rsidR="005B24D2">
        <w:t>(</w:t>
      </w:r>
      <w:r w:rsidR="00020C2F">
        <w:t>2008</w:t>
      </w:r>
      <w:r w:rsidR="00FB0212">
        <w:t>)</w:t>
      </w:r>
      <w:r w:rsidRPr="00FB2698">
        <w:t xml:space="preserve">, for instance, raises the problem of distinguishing between a realiser of some functional role and something that merely contributes causally to the realisation of said role. </w:t>
      </w:r>
    </w:p>
  </w:footnote>
  <w:footnote w:id="14">
    <w:p w14:paraId="5E473C28" w14:textId="1A99C800" w:rsidR="001555C2" w:rsidRPr="00FB2698" w:rsidRDefault="001555C2" w:rsidP="00C13A7D">
      <w:pPr>
        <w:pStyle w:val="FootnoteText"/>
      </w:pPr>
      <w:r w:rsidRPr="00FB2698">
        <w:rPr>
          <w:rStyle w:val="FootnoteReference"/>
        </w:rPr>
        <w:footnoteRef/>
      </w:r>
      <w:r w:rsidRPr="00FB2698">
        <w:t xml:space="preserve"> See Rupert </w:t>
      </w:r>
      <w:r w:rsidR="005B24D2">
        <w:t>(</w:t>
      </w:r>
      <w:r w:rsidR="00020C2F">
        <w:t>2004</w:t>
      </w:r>
      <w:r w:rsidR="00FB0212">
        <w:t>)</w:t>
      </w:r>
      <w:r>
        <w:t xml:space="preserve"> for a similar argument against EM</w:t>
      </w:r>
      <w:r w:rsidRPr="00FB2698">
        <w:t>.</w:t>
      </w:r>
    </w:p>
  </w:footnote>
  <w:footnote w:id="15">
    <w:p w14:paraId="6DDBBE25" w14:textId="77777777" w:rsidR="00D85863" w:rsidRDefault="00D85863">
      <w:pPr>
        <w:pStyle w:val="FootnoteText"/>
      </w:pPr>
      <w:r>
        <w:rPr>
          <w:rStyle w:val="FootnoteReference"/>
        </w:rPr>
        <w:footnoteRef/>
      </w:r>
      <w:r>
        <w:t xml:space="preserve"> Assuming, that is, that Otto </w:t>
      </w:r>
      <w:r w:rsidR="00553602">
        <w:t>has a neat filing system in his notebook that prevents old entries from becoming swamped under by new ones.</w:t>
      </w:r>
    </w:p>
  </w:footnote>
  <w:footnote w:id="16">
    <w:p w14:paraId="221A75B3" w14:textId="78F2B81B" w:rsidR="001555C2" w:rsidRPr="00FB2698" w:rsidRDefault="001555C2" w:rsidP="00C13A7D">
      <w:pPr>
        <w:pStyle w:val="FootnoteText"/>
      </w:pPr>
      <w:r w:rsidRPr="00FB2698">
        <w:rPr>
          <w:rStyle w:val="FootnoteReference"/>
        </w:rPr>
        <w:footnoteRef/>
      </w:r>
      <w:r w:rsidRPr="00FB2698">
        <w:t xml:space="preserve"> S</w:t>
      </w:r>
      <w:r>
        <w:t xml:space="preserve">ee Adams and Aizawa </w:t>
      </w:r>
      <w:r w:rsidR="005B24D2">
        <w:t>(</w:t>
      </w:r>
      <w:r>
        <w:t>2001; 2010</w:t>
      </w:r>
      <w:r w:rsidR="00FB0212">
        <w:t>)</w:t>
      </w:r>
      <w:r w:rsidRPr="00FB2698">
        <w:t xml:space="preserve"> for more on this distinction. The rough idea is that linguistic representations derive their meaning from convention, or from individual stipulations. By contrast, the representational status of mental states like beliefs and desires is not supposed to be derivative in this sense </w:t>
      </w:r>
    </w:p>
  </w:footnote>
  <w:footnote w:id="17">
    <w:p w14:paraId="6C220900" w14:textId="7BA17179" w:rsidR="001555C2" w:rsidRPr="00FB2698" w:rsidRDefault="001555C2" w:rsidP="00C13A7D">
      <w:pPr>
        <w:pStyle w:val="FootnoteText"/>
      </w:pPr>
      <w:r w:rsidRPr="00FB2698">
        <w:rPr>
          <w:rStyle w:val="FootnoteReference"/>
        </w:rPr>
        <w:footnoteRef/>
      </w:r>
      <w:r w:rsidR="00020C2F">
        <w:t xml:space="preserve"> See Clark </w:t>
      </w:r>
      <w:r w:rsidR="005B24D2">
        <w:t>(</w:t>
      </w:r>
      <w:r w:rsidR="00020C2F">
        <w:t>2003</w:t>
      </w:r>
      <w:r w:rsidR="00FB0212">
        <w:t>)</w:t>
      </w:r>
      <w:r w:rsidR="00020C2F">
        <w:t xml:space="preserve">, Clark </w:t>
      </w:r>
      <w:r w:rsidR="005B24D2">
        <w:t>(</w:t>
      </w:r>
      <w:r w:rsidR="00020C2F">
        <w:t>2005</w:t>
      </w:r>
      <w:r w:rsidR="00FB0212">
        <w:t>)</w:t>
      </w:r>
      <w:r w:rsidRPr="00FB2698">
        <w:t xml:space="preserve"> for more details.</w:t>
      </w:r>
    </w:p>
  </w:footnote>
  <w:footnote w:id="18">
    <w:p w14:paraId="70C02EF2" w14:textId="239A80B8" w:rsidR="001555C2" w:rsidRPr="00FB2698" w:rsidRDefault="001555C2" w:rsidP="00C13A7D">
      <w:pPr>
        <w:pStyle w:val="FootnoteText"/>
      </w:pPr>
      <w:r w:rsidRPr="00FB2698">
        <w:rPr>
          <w:rStyle w:val="FootnoteReference"/>
        </w:rPr>
        <w:footnoteRef/>
      </w:r>
      <w:r w:rsidRPr="00FB2698">
        <w:t xml:space="preserve"> See Rupert </w:t>
      </w:r>
      <w:r w:rsidR="005B24D2">
        <w:t>(</w:t>
      </w:r>
      <w:r w:rsidR="00020C2F">
        <w:t>2004; 2009</w:t>
      </w:r>
      <w:r w:rsidR="00FB0212">
        <w:t>)</w:t>
      </w:r>
      <w:r w:rsidRPr="00FB2698">
        <w:t>.</w:t>
      </w:r>
    </w:p>
  </w:footnote>
  <w:footnote w:id="19">
    <w:p w14:paraId="373A3E6F" w14:textId="0AF29A58" w:rsidR="00DE7001" w:rsidRDefault="00DE7001">
      <w:pPr>
        <w:pStyle w:val="FootnoteText"/>
      </w:pPr>
      <w:r>
        <w:rPr>
          <w:rStyle w:val="FootnoteReference"/>
        </w:rPr>
        <w:footnoteRef/>
      </w:r>
      <w:r>
        <w:t xml:space="preserve"> See the final section for a discussion of this assumption.</w:t>
      </w:r>
    </w:p>
  </w:footnote>
  <w:footnote w:id="20">
    <w:p w14:paraId="17D5F420" w14:textId="0B8F52DE" w:rsidR="001555C2" w:rsidRPr="00FB2698" w:rsidRDefault="001555C2" w:rsidP="00C13A7D">
      <w:pPr>
        <w:pStyle w:val="FootnoteText"/>
      </w:pPr>
      <w:r w:rsidRPr="00FB2698">
        <w:rPr>
          <w:rStyle w:val="FootnoteReference"/>
        </w:rPr>
        <w:footnoteRef/>
      </w:r>
      <w:r w:rsidRPr="00FB2698">
        <w:t xml:space="preserve"> I construct my own version of the counterexample, rather than quoting laboriously from Sprevak. For </w:t>
      </w:r>
      <w:r w:rsidR="00E973F4">
        <w:t xml:space="preserve">the </w:t>
      </w:r>
      <w:r w:rsidRPr="00FB2698">
        <w:t xml:space="preserve">original version, see </w:t>
      </w:r>
      <w:r w:rsidR="005B24D2">
        <w:t>(</w:t>
      </w:r>
      <w:r w:rsidRPr="00FB2698">
        <w:t>2009</w:t>
      </w:r>
      <w:r w:rsidR="00020C2F">
        <w:t>: 514</w:t>
      </w:r>
      <w:r w:rsidR="00FB0212">
        <w:t>)</w:t>
      </w:r>
      <w:r w:rsidRPr="00FB2698">
        <w:t>. Nothing I say rests on the exact details of the counterexample.</w:t>
      </w:r>
    </w:p>
  </w:footnote>
  <w:footnote w:id="21">
    <w:p w14:paraId="06032CFF" w14:textId="4E8801BA" w:rsidR="001555C2" w:rsidRPr="00FB2698" w:rsidRDefault="001555C2" w:rsidP="00C13A7D">
      <w:pPr>
        <w:pStyle w:val="FootnoteText"/>
      </w:pPr>
      <w:r w:rsidRPr="00FB2698">
        <w:rPr>
          <w:rStyle w:val="FootnoteReference"/>
        </w:rPr>
        <w:footnoteRef/>
      </w:r>
      <w:r>
        <w:t xml:space="preserve"> See also Lewis </w:t>
      </w:r>
      <w:r w:rsidR="005B24D2">
        <w:t>(</w:t>
      </w:r>
      <w:r>
        <w:t>1980</w:t>
      </w:r>
      <w:r w:rsidR="00FB0212">
        <w:t>)</w:t>
      </w:r>
      <w:r w:rsidRPr="00FB2698">
        <w:t xml:space="preserve"> for a seminal statement of this view.</w:t>
      </w:r>
    </w:p>
  </w:footnote>
  <w:footnote w:id="22">
    <w:p w14:paraId="42E1DD0C" w14:textId="62B4470C" w:rsidR="001555C2" w:rsidRPr="00FB2698" w:rsidRDefault="001555C2" w:rsidP="00C13A7D">
      <w:pPr>
        <w:pStyle w:val="FootnoteText"/>
      </w:pPr>
      <w:r w:rsidRPr="00FB2698">
        <w:rPr>
          <w:rStyle w:val="FootnoteReference"/>
        </w:rPr>
        <w:footnoteRef/>
      </w:r>
      <w:r w:rsidRPr="00FB2698">
        <w:t xml:space="preserve"> Some people, like Hohwy and Rajan </w:t>
      </w:r>
      <w:r w:rsidR="005B24D2">
        <w:t>(</w:t>
      </w:r>
      <w:r w:rsidR="00020C2F">
        <w:t>2012</w:t>
      </w:r>
      <w:r w:rsidR="00FB0212">
        <w:t>)</w:t>
      </w:r>
      <w:r w:rsidRPr="00FB2698">
        <w:t xml:space="preserve">, question the doxastic status of extremely irrational beliefs (delusions). But this fact should call us to question the claim here made. First, there are many who think it is wrong to deny the doxastic status of </w:t>
      </w:r>
      <w:r w:rsidR="009F3DE4">
        <w:t>delusions</w:t>
      </w:r>
      <w:r w:rsidR="00020C2F">
        <w:t xml:space="preserve"> </w:t>
      </w:r>
      <w:r w:rsidR="005B24D2">
        <w:t>(</w:t>
      </w:r>
      <w:r w:rsidR="00020C2F">
        <w:t>e.g. Bortolotti 2009</w:t>
      </w:r>
      <w:r w:rsidR="00FB0212">
        <w:t>)</w:t>
      </w:r>
      <w:r w:rsidRPr="00FB2698">
        <w:t>. Second, one could deny the doxastic status of delusions while still maintaining that states which are irrational in a less extreme sense can still count as beliefs. Third, many of the arguments against the claim that delusions are beliefs rest on the fact that delusions are not only epistemically atypical, but atypical in other respects too (for discussion, see Bortolotti 20</w:t>
      </w:r>
      <w:r w:rsidR="004974BB">
        <w:t>09</w:t>
      </w:r>
      <w:r w:rsidRPr="00FB2698">
        <w:t>). In the case I am imagining, the beliefs are epistemically atypical, but in all other respects typical.</w:t>
      </w:r>
      <w:r>
        <w:t xml:space="preserve"> See also Schwitzgebel </w:t>
      </w:r>
      <w:r w:rsidR="005B24D2">
        <w:t>(</w:t>
      </w:r>
      <w:r w:rsidR="00020C2F">
        <w:t>20</w:t>
      </w:r>
      <w:r w:rsidR="00FC019D">
        <w:t>0</w:t>
      </w:r>
      <w:r w:rsidR="00020C2F">
        <w:t>1</w:t>
      </w:r>
      <w:r w:rsidR="00FB0212">
        <w:t>)</w:t>
      </w:r>
      <w:r>
        <w:t xml:space="preserve"> for the view that delusions might be cases of ‘in-between’ believing. </w:t>
      </w:r>
    </w:p>
  </w:footnote>
  <w:footnote w:id="23">
    <w:p w14:paraId="6DE9E7DA" w14:textId="64ED3F94" w:rsidR="001555C2" w:rsidRPr="00FB2698" w:rsidRDefault="001555C2" w:rsidP="00C13A7D">
      <w:pPr>
        <w:pStyle w:val="FootnoteText"/>
      </w:pPr>
      <w:r w:rsidRPr="00FB2698">
        <w:rPr>
          <w:rStyle w:val="FootnoteReference"/>
        </w:rPr>
        <w:footnoteRef/>
      </w:r>
      <w:r w:rsidR="00020C2F">
        <w:t xml:space="preserve"> See Sterelny </w:t>
      </w:r>
      <w:r w:rsidR="005B24D2">
        <w:t>(</w:t>
      </w:r>
      <w:r w:rsidR="00020C2F">
        <w:t>2004</w:t>
      </w:r>
      <w:r w:rsidR="00FB0212">
        <w:t>)</w:t>
      </w:r>
      <w:r w:rsidRPr="00FB2698">
        <w:t xml:space="preserve"> for discussion of a similar point in the relation to Otto’s notebook.</w:t>
      </w:r>
    </w:p>
  </w:footnote>
  <w:footnote w:id="24">
    <w:p w14:paraId="08021406" w14:textId="6544C2F9" w:rsidR="000D516F" w:rsidRDefault="000D516F" w:rsidP="000D516F">
      <w:pPr>
        <w:pStyle w:val="FootnoteText"/>
      </w:pPr>
      <w:r w:rsidRPr="00700843">
        <w:rPr>
          <w:rStyle w:val="FootnoteReference"/>
        </w:rPr>
        <w:footnoteRef/>
      </w:r>
      <w:r w:rsidRPr="00700843">
        <w:t xml:space="preserve"> Note, importantly, that the relevant Martian cases are </w:t>
      </w:r>
      <w:r w:rsidRPr="00700843">
        <w:rPr>
          <w:i/>
        </w:rPr>
        <w:t>not</w:t>
      </w:r>
      <w:r w:rsidRPr="00700843">
        <w:t xml:space="preserve"> total functional isomorphs of Otto/Blotto. For example Metamento, whose brain includes detachable/reattachable components, is not a perfect functional isomorph of Otto. Like Otto, Metamento falls foul of the ‘persistence and integration’ condition. But unlike Otto, Metamento (for all we are told) does not fall foul of other conditions, like the non-derived content condition. Because Metamento is not functionally identical to Otto, the intuition that Metamento counts as a believer does not automatically generalise to Otto.</w:t>
      </w:r>
    </w:p>
  </w:footnote>
  <w:footnote w:id="25">
    <w:p w14:paraId="53DED9EA" w14:textId="5895F54E" w:rsidR="00B355D1" w:rsidRDefault="00B355D1">
      <w:pPr>
        <w:pStyle w:val="FootnoteText"/>
      </w:pPr>
      <w:r w:rsidRPr="00700843">
        <w:rPr>
          <w:rStyle w:val="FootnoteReference"/>
        </w:rPr>
        <w:footnoteRef/>
      </w:r>
      <w:r w:rsidRPr="00700843">
        <w:t xml:space="preserve"> My thanks to an anonymous reviewer for suggesting the line of response considered here.</w:t>
      </w:r>
    </w:p>
  </w:footnote>
  <w:footnote w:id="26">
    <w:p w14:paraId="067C6FA5" w14:textId="110FE9B7" w:rsidR="000A63D3" w:rsidRPr="000A63D3" w:rsidRDefault="000A63D3">
      <w:pPr>
        <w:pStyle w:val="FootnoteText"/>
      </w:pPr>
      <w:r w:rsidRPr="00700843">
        <w:rPr>
          <w:rStyle w:val="FootnoteReference"/>
        </w:rPr>
        <w:footnoteRef/>
      </w:r>
      <w:r w:rsidRPr="00700843">
        <w:t xml:space="preserve"> It might seem as if he also has another option: he could treat his three conditions as jointly sufficient for non-occurrent belief, rather than as individually necessary. But, as Sprevak points out </w:t>
      </w:r>
      <w:r w:rsidR="005B24D2">
        <w:t>(</w:t>
      </w:r>
      <w:r w:rsidRPr="00700843">
        <w:t>2009, p.17</w:t>
      </w:r>
      <w:r w:rsidR="00FB0212">
        <w:t>)</w:t>
      </w:r>
      <w:r w:rsidRPr="00700843">
        <w:t xml:space="preserve">, this strategy fails to achieve Clark’s aim, which is to prevent </w:t>
      </w:r>
      <w:r w:rsidR="00DA356D" w:rsidRPr="00700843">
        <w:t>‘Blotto’ cases</w:t>
      </w:r>
      <w:r w:rsidRPr="00700843">
        <w:t>. To</w:t>
      </w:r>
      <w:r w:rsidR="00E521C5" w:rsidRPr="00700843">
        <w:t xml:space="preserve"> actively</w:t>
      </w:r>
      <w:r w:rsidRPr="00700843">
        <w:t xml:space="preserve"> </w:t>
      </w:r>
      <w:r w:rsidR="00E521C5" w:rsidRPr="00700843">
        <w:t xml:space="preserve">block the iteration-to-absurdity of Clark’s argument with respect to some mental item </w:t>
      </w:r>
      <w:r w:rsidR="00E521C5" w:rsidRPr="00700843">
        <w:rPr>
          <w:i/>
        </w:rPr>
        <w:t>M</w:t>
      </w:r>
      <w:r w:rsidRPr="00700843">
        <w:t xml:space="preserve">, you need to say: </w:t>
      </w:r>
      <w:r w:rsidR="00E521C5" w:rsidRPr="00700843">
        <w:t>‘</w:t>
      </w:r>
      <w:r w:rsidRPr="00700843">
        <w:t xml:space="preserve">such-and-such is </w:t>
      </w:r>
      <w:r w:rsidRPr="00700843">
        <w:rPr>
          <w:i/>
        </w:rPr>
        <w:t xml:space="preserve">needed </w:t>
      </w:r>
      <w:r w:rsidRPr="00700843">
        <w:t xml:space="preserve">for counting as </w:t>
      </w:r>
      <w:r w:rsidR="00E521C5" w:rsidRPr="00700843">
        <w:rPr>
          <w:i/>
        </w:rPr>
        <w:t>M</w:t>
      </w:r>
      <w:r w:rsidRPr="00700843">
        <w:rPr>
          <w:i/>
        </w:rPr>
        <w:t xml:space="preserve"> </w:t>
      </w:r>
      <w:r w:rsidRPr="00700843">
        <w:t xml:space="preserve">and bloat cases lack </w:t>
      </w:r>
      <w:r w:rsidR="00E521C5" w:rsidRPr="00700843">
        <w:t>such-and-such’</w:t>
      </w:r>
      <w:r w:rsidRPr="00700843">
        <w:t>. For this you need necessary, rather than sufficient conditions.</w:t>
      </w:r>
    </w:p>
  </w:footnote>
  <w:footnote w:id="27">
    <w:p w14:paraId="417095E0" w14:textId="6E8FEAB0" w:rsidR="00BC0E46" w:rsidRDefault="00BC0E46">
      <w:pPr>
        <w:pStyle w:val="FootnoteText"/>
      </w:pPr>
      <w:r w:rsidRPr="00700843">
        <w:rPr>
          <w:rStyle w:val="FootnoteReference"/>
        </w:rPr>
        <w:footnoteRef/>
      </w:r>
      <w:r w:rsidRPr="00700843">
        <w:t xml:space="preserve"> </w:t>
      </w:r>
      <w:r w:rsidR="00193C7D" w:rsidRPr="00700843">
        <w:t xml:space="preserve">For example, he has described </w:t>
      </w:r>
      <w:r w:rsidRPr="00700843">
        <w:t>h</w:t>
      </w:r>
      <w:r w:rsidR="00D17F0C" w:rsidRPr="00700843">
        <w:t>i</w:t>
      </w:r>
      <w:r w:rsidRPr="00700843">
        <w:t xml:space="preserve">s conditions as a ‘rough-and-ready set of additional criteria to be met by nonbiological candidates for inclusion into an individual’s cognitive system’ </w:t>
      </w:r>
      <w:r w:rsidR="005B24D2">
        <w:t>(</w:t>
      </w:r>
      <w:r w:rsidR="00892251" w:rsidRPr="00700843">
        <w:t>2008a, p.79</w:t>
      </w:r>
      <w:r w:rsidR="00FB0212">
        <w:t>)</w:t>
      </w:r>
      <w:r w:rsidRPr="00700843">
        <w:t xml:space="preserve">. See also Clark and Chalmers </w:t>
      </w:r>
      <w:r w:rsidR="005B24D2">
        <w:t>(</w:t>
      </w:r>
      <w:r w:rsidRPr="00700843">
        <w:t>1998, p.17</w:t>
      </w:r>
      <w:r w:rsidR="00FB0212">
        <w:t>)</w:t>
      </w:r>
      <w:r w:rsidR="007554E7" w:rsidRPr="00700843">
        <w:t xml:space="preserve">. I do not analyse these quotes in detail because I am less interested in what Clark actually says on this score than in what he </w:t>
      </w:r>
      <w:r w:rsidR="007554E7" w:rsidRPr="00700843">
        <w:rPr>
          <w:i/>
        </w:rPr>
        <w:t>needs</w:t>
      </w:r>
      <w:r w:rsidR="007554E7" w:rsidRPr="00700843">
        <w:t xml:space="preserve"> to say in order to keep his argument plausible.</w:t>
      </w:r>
    </w:p>
  </w:footnote>
  <w:footnote w:id="28">
    <w:p w14:paraId="03EB6539" w14:textId="509D97C3" w:rsidR="000D3BA7" w:rsidRDefault="000D3BA7">
      <w:pPr>
        <w:pStyle w:val="FootnoteText"/>
      </w:pPr>
      <w:r>
        <w:rPr>
          <w:rStyle w:val="FootnoteReference"/>
        </w:rPr>
        <w:footnoteRef/>
      </w:r>
      <w:r>
        <w:t xml:space="preserve"> I would like to thank Rob Hopkins, Dominic Gregory, </w:t>
      </w:r>
      <w:r w:rsidR="00B94772">
        <w:t>Michael Wheeler,</w:t>
      </w:r>
      <w:r>
        <w:t xml:space="preserve"> Ste</w:t>
      </w:r>
      <w:r w:rsidR="00AE5ABA">
        <w:t>phen Laurence</w:t>
      </w:r>
      <w:r w:rsidR="00040EC4">
        <w:t xml:space="preserve"> and</w:t>
      </w:r>
      <w:r w:rsidR="00AE5ABA">
        <w:t xml:space="preserve"> Rosanna Keefe,</w:t>
      </w:r>
      <w:r>
        <w:t xml:space="preserve"> who all gave extremely useful comments on earlier drafts of this paper</w:t>
      </w:r>
      <w:r w:rsidR="00AE5ABA">
        <w:t xml:space="preserve"> (and invaluable advice on the publication process)</w:t>
      </w:r>
      <w:r>
        <w:t>.</w:t>
      </w:r>
      <w:r w:rsidR="00040EC4">
        <w:t xml:space="preserve"> Thanks also to the two anonymous reviewers, whose comments were very useful.</w:t>
      </w:r>
      <w:r>
        <w:t xml:space="preserve"> </w:t>
      </w:r>
      <w:r w:rsidR="00632357">
        <w:t xml:space="preserve">And thanks to </w:t>
      </w:r>
      <w:r w:rsidR="00AE5ABA">
        <w:t xml:space="preserve">Steve Wright his proof-reading help, and </w:t>
      </w:r>
      <w:r w:rsidR="00632357">
        <w:t xml:space="preserve">to </w:t>
      </w:r>
      <w:r w:rsidR="00AE5ABA">
        <w:t xml:space="preserve">the audience at the Sheffield graduate seminar, whose comments were </w:t>
      </w:r>
      <w:r w:rsidR="00632357">
        <w:t>very</w:t>
      </w:r>
      <w:r w:rsidR="00AE5ABA">
        <w:t xml:space="preserve"> helpful.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B0D7D"/>
    <w:multiLevelType w:val="hybridMultilevel"/>
    <w:tmpl w:val="55366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0D1B18"/>
    <w:multiLevelType w:val="hybridMultilevel"/>
    <w:tmpl w:val="53AEAC54"/>
    <w:lvl w:ilvl="0" w:tplc="BF12B6C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982766"/>
    <w:multiLevelType w:val="hybridMultilevel"/>
    <w:tmpl w:val="D27202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3D5458"/>
    <w:multiLevelType w:val="hybridMultilevel"/>
    <w:tmpl w:val="F3300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CE3FA4"/>
    <w:multiLevelType w:val="hybridMultilevel"/>
    <w:tmpl w:val="E548826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F215700"/>
    <w:multiLevelType w:val="hybridMultilevel"/>
    <w:tmpl w:val="C44E5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7D"/>
    <w:rsid w:val="00001984"/>
    <w:rsid w:val="00002277"/>
    <w:rsid w:val="00020C2F"/>
    <w:rsid w:val="00025544"/>
    <w:rsid w:val="00025A52"/>
    <w:rsid w:val="00030141"/>
    <w:rsid w:val="00040EC4"/>
    <w:rsid w:val="000603BF"/>
    <w:rsid w:val="00080FE9"/>
    <w:rsid w:val="000A3011"/>
    <w:rsid w:val="000A63D3"/>
    <w:rsid w:val="000C2F8A"/>
    <w:rsid w:val="000D3BA7"/>
    <w:rsid w:val="000D516F"/>
    <w:rsid w:val="000F5071"/>
    <w:rsid w:val="0010321A"/>
    <w:rsid w:val="00116BAB"/>
    <w:rsid w:val="00132843"/>
    <w:rsid w:val="001555C2"/>
    <w:rsid w:val="00162358"/>
    <w:rsid w:val="00181D5E"/>
    <w:rsid w:val="00184F7F"/>
    <w:rsid w:val="001866CF"/>
    <w:rsid w:val="00193C7D"/>
    <w:rsid w:val="001A111A"/>
    <w:rsid w:val="001A15A3"/>
    <w:rsid w:val="001A736C"/>
    <w:rsid w:val="001E1E42"/>
    <w:rsid w:val="001E32F7"/>
    <w:rsid w:val="001F2B26"/>
    <w:rsid w:val="00212C25"/>
    <w:rsid w:val="00215051"/>
    <w:rsid w:val="00237894"/>
    <w:rsid w:val="00240A02"/>
    <w:rsid w:val="00241446"/>
    <w:rsid w:val="00243FA9"/>
    <w:rsid w:val="00244181"/>
    <w:rsid w:val="00277CBA"/>
    <w:rsid w:val="00286BC2"/>
    <w:rsid w:val="002B77CB"/>
    <w:rsid w:val="002D7584"/>
    <w:rsid w:val="003026F0"/>
    <w:rsid w:val="00302E2F"/>
    <w:rsid w:val="00303DE5"/>
    <w:rsid w:val="003079D6"/>
    <w:rsid w:val="00335385"/>
    <w:rsid w:val="00351567"/>
    <w:rsid w:val="00365079"/>
    <w:rsid w:val="003A4827"/>
    <w:rsid w:val="003C0FCE"/>
    <w:rsid w:val="003E46A7"/>
    <w:rsid w:val="003E6D98"/>
    <w:rsid w:val="003F7508"/>
    <w:rsid w:val="00426981"/>
    <w:rsid w:val="004403C3"/>
    <w:rsid w:val="00452122"/>
    <w:rsid w:val="00476E02"/>
    <w:rsid w:val="004919A6"/>
    <w:rsid w:val="004958FA"/>
    <w:rsid w:val="004974BB"/>
    <w:rsid w:val="004A11B2"/>
    <w:rsid w:val="004B3DE0"/>
    <w:rsid w:val="004B4C19"/>
    <w:rsid w:val="004E01EE"/>
    <w:rsid w:val="005030EC"/>
    <w:rsid w:val="00514618"/>
    <w:rsid w:val="00524EA6"/>
    <w:rsid w:val="0053177C"/>
    <w:rsid w:val="0053180B"/>
    <w:rsid w:val="00535AC6"/>
    <w:rsid w:val="00543FBA"/>
    <w:rsid w:val="00550883"/>
    <w:rsid w:val="00553602"/>
    <w:rsid w:val="005A01FC"/>
    <w:rsid w:val="005A48EF"/>
    <w:rsid w:val="005B24D2"/>
    <w:rsid w:val="005B3D76"/>
    <w:rsid w:val="005D33FF"/>
    <w:rsid w:val="00632357"/>
    <w:rsid w:val="00643DB2"/>
    <w:rsid w:val="00650471"/>
    <w:rsid w:val="0065669D"/>
    <w:rsid w:val="00663EBE"/>
    <w:rsid w:val="006733FA"/>
    <w:rsid w:val="00677EC4"/>
    <w:rsid w:val="00682B95"/>
    <w:rsid w:val="006A567F"/>
    <w:rsid w:val="006A73A9"/>
    <w:rsid w:val="006D054F"/>
    <w:rsid w:val="006D658D"/>
    <w:rsid w:val="00700843"/>
    <w:rsid w:val="00724073"/>
    <w:rsid w:val="007554E7"/>
    <w:rsid w:val="007605A8"/>
    <w:rsid w:val="007B3DEF"/>
    <w:rsid w:val="007F4DFE"/>
    <w:rsid w:val="00820EF1"/>
    <w:rsid w:val="0082129B"/>
    <w:rsid w:val="008555C6"/>
    <w:rsid w:val="008737A4"/>
    <w:rsid w:val="00877A4C"/>
    <w:rsid w:val="00881F5E"/>
    <w:rsid w:val="00892251"/>
    <w:rsid w:val="008947B2"/>
    <w:rsid w:val="008C74F9"/>
    <w:rsid w:val="008E4728"/>
    <w:rsid w:val="008F475F"/>
    <w:rsid w:val="008F5890"/>
    <w:rsid w:val="00900C2D"/>
    <w:rsid w:val="00917F04"/>
    <w:rsid w:val="0092739C"/>
    <w:rsid w:val="0093737F"/>
    <w:rsid w:val="00950409"/>
    <w:rsid w:val="00951930"/>
    <w:rsid w:val="00952C96"/>
    <w:rsid w:val="00963B6D"/>
    <w:rsid w:val="00964601"/>
    <w:rsid w:val="00973FA7"/>
    <w:rsid w:val="00974C79"/>
    <w:rsid w:val="00991E6F"/>
    <w:rsid w:val="009A483F"/>
    <w:rsid w:val="009D2BDD"/>
    <w:rsid w:val="009E7634"/>
    <w:rsid w:val="009F3DE4"/>
    <w:rsid w:val="00A01DF7"/>
    <w:rsid w:val="00A0723E"/>
    <w:rsid w:val="00A232EB"/>
    <w:rsid w:val="00A5194B"/>
    <w:rsid w:val="00A668EB"/>
    <w:rsid w:val="00A82573"/>
    <w:rsid w:val="00A927B5"/>
    <w:rsid w:val="00AA725F"/>
    <w:rsid w:val="00AC4EA4"/>
    <w:rsid w:val="00AE5ABA"/>
    <w:rsid w:val="00B355D1"/>
    <w:rsid w:val="00B83842"/>
    <w:rsid w:val="00B94772"/>
    <w:rsid w:val="00BA0803"/>
    <w:rsid w:val="00BC0E46"/>
    <w:rsid w:val="00BC2F5E"/>
    <w:rsid w:val="00BD0299"/>
    <w:rsid w:val="00BE1401"/>
    <w:rsid w:val="00BF7E64"/>
    <w:rsid w:val="00C13A7D"/>
    <w:rsid w:val="00C402FA"/>
    <w:rsid w:val="00C44EFB"/>
    <w:rsid w:val="00C7307C"/>
    <w:rsid w:val="00C81E53"/>
    <w:rsid w:val="00C85F32"/>
    <w:rsid w:val="00C9043A"/>
    <w:rsid w:val="00C93513"/>
    <w:rsid w:val="00CB3F22"/>
    <w:rsid w:val="00CD4587"/>
    <w:rsid w:val="00CF0962"/>
    <w:rsid w:val="00D023C5"/>
    <w:rsid w:val="00D17F0C"/>
    <w:rsid w:val="00D25F86"/>
    <w:rsid w:val="00D43CBF"/>
    <w:rsid w:val="00D47AC6"/>
    <w:rsid w:val="00D543A1"/>
    <w:rsid w:val="00D85863"/>
    <w:rsid w:val="00D95E6A"/>
    <w:rsid w:val="00DA2636"/>
    <w:rsid w:val="00DA356D"/>
    <w:rsid w:val="00DA5AC6"/>
    <w:rsid w:val="00DB1991"/>
    <w:rsid w:val="00DB666E"/>
    <w:rsid w:val="00DE154D"/>
    <w:rsid w:val="00DE7001"/>
    <w:rsid w:val="00DF4A0A"/>
    <w:rsid w:val="00E04AC9"/>
    <w:rsid w:val="00E04CC8"/>
    <w:rsid w:val="00E521C5"/>
    <w:rsid w:val="00E65C1F"/>
    <w:rsid w:val="00E973F4"/>
    <w:rsid w:val="00EA0042"/>
    <w:rsid w:val="00EA7AB3"/>
    <w:rsid w:val="00EB74A1"/>
    <w:rsid w:val="00F16BC9"/>
    <w:rsid w:val="00F76F8C"/>
    <w:rsid w:val="00F809C3"/>
    <w:rsid w:val="00F83956"/>
    <w:rsid w:val="00F902B7"/>
    <w:rsid w:val="00F946E4"/>
    <w:rsid w:val="00FB0212"/>
    <w:rsid w:val="00FC019D"/>
    <w:rsid w:val="00FD0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BAA2C"/>
  <w15:docId w15:val="{8918FF18-8E9A-4DEE-BA41-1B1B371B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A7D"/>
    <w:pPr>
      <w:spacing w:line="360" w:lineRule="auto"/>
    </w:pPr>
    <w:rPr>
      <w:rFonts w:ascii="Calisto MT" w:hAnsi="Calisto MT"/>
      <w:sz w:val="24"/>
    </w:rPr>
  </w:style>
  <w:style w:type="paragraph" w:styleId="Heading1">
    <w:name w:val="heading 1"/>
    <w:basedOn w:val="Normal"/>
    <w:next w:val="Normal"/>
    <w:link w:val="Heading1Char"/>
    <w:autoRedefine/>
    <w:uiPriority w:val="9"/>
    <w:qFormat/>
    <w:rsid w:val="00351567"/>
    <w:pPr>
      <w:jc w:val="center"/>
      <w:outlineLvl w:val="0"/>
    </w:pPr>
    <w:rPr>
      <w:b/>
    </w:rPr>
  </w:style>
  <w:style w:type="paragraph" w:styleId="Heading2">
    <w:name w:val="heading 2"/>
    <w:basedOn w:val="Normal"/>
    <w:next w:val="Normal"/>
    <w:link w:val="Heading2Char"/>
    <w:uiPriority w:val="9"/>
    <w:unhideWhenUsed/>
    <w:qFormat/>
    <w:rsid w:val="003F75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D5E"/>
    <w:pPr>
      <w:spacing w:after="0" w:line="240" w:lineRule="auto"/>
    </w:pPr>
    <w:rPr>
      <w:rFonts w:asciiTheme="majorHAnsi" w:hAnsiTheme="majorHAnsi"/>
      <w:b/>
      <w:sz w:val="28"/>
    </w:rPr>
  </w:style>
  <w:style w:type="character" w:customStyle="1" w:styleId="Heading1Char">
    <w:name w:val="Heading 1 Char"/>
    <w:basedOn w:val="DefaultParagraphFont"/>
    <w:link w:val="Heading1"/>
    <w:uiPriority w:val="9"/>
    <w:rsid w:val="00351567"/>
    <w:rPr>
      <w:rFonts w:ascii="Calisto MT" w:hAnsi="Calisto MT"/>
      <w:b/>
      <w:sz w:val="24"/>
    </w:rPr>
  </w:style>
  <w:style w:type="paragraph" w:styleId="FootnoteText">
    <w:name w:val="footnote text"/>
    <w:basedOn w:val="Normal"/>
    <w:link w:val="FootnoteTextChar"/>
    <w:uiPriority w:val="99"/>
    <w:unhideWhenUsed/>
    <w:rsid w:val="00C13A7D"/>
    <w:pPr>
      <w:spacing w:after="0" w:line="240" w:lineRule="auto"/>
    </w:pPr>
    <w:rPr>
      <w:sz w:val="20"/>
      <w:szCs w:val="20"/>
    </w:rPr>
  </w:style>
  <w:style w:type="character" w:customStyle="1" w:styleId="FootnoteTextChar">
    <w:name w:val="Footnote Text Char"/>
    <w:basedOn w:val="DefaultParagraphFont"/>
    <w:link w:val="FootnoteText"/>
    <w:uiPriority w:val="99"/>
    <w:rsid w:val="00C13A7D"/>
    <w:rPr>
      <w:rFonts w:ascii="Calisto MT" w:hAnsi="Calisto MT"/>
      <w:sz w:val="20"/>
      <w:szCs w:val="20"/>
    </w:rPr>
  </w:style>
  <w:style w:type="character" w:styleId="FootnoteReference">
    <w:name w:val="footnote reference"/>
    <w:basedOn w:val="DefaultParagraphFont"/>
    <w:uiPriority w:val="99"/>
    <w:semiHidden/>
    <w:unhideWhenUsed/>
    <w:rsid w:val="00C13A7D"/>
    <w:rPr>
      <w:vertAlign w:val="superscript"/>
    </w:rPr>
  </w:style>
  <w:style w:type="paragraph" w:styleId="ListParagraph">
    <w:name w:val="List Paragraph"/>
    <w:basedOn w:val="Normal"/>
    <w:uiPriority w:val="34"/>
    <w:qFormat/>
    <w:rsid w:val="00C13A7D"/>
    <w:pPr>
      <w:ind w:left="720"/>
      <w:contextualSpacing/>
    </w:pPr>
    <w:rPr>
      <w:rFonts w:asciiTheme="minorHAnsi" w:hAnsiTheme="minorHAnsi"/>
    </w:rPr>
  </w:style>
  <w:style w:type="paragraph" w:styleId="CommentText">
    <w:name w:val="annotation text"/>
    <w:basedOn w:val="Normal"/>
    <w:link w:val="CommentTextChar"/>
    <w:uiPriority w:val="99"/>
    <w:unhideWhenUsed/>
    <w:rsid w:val="00C13A7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C13A7D"/>
    <w:rPr>
      <w:sz w:val="20"/>
      <w:szCs w:val="20"/>
    </w:rPr>
  </w:style>
  <w:style w:type="character" w:styleId="CommentReference">
    <w:name w:val="annotation reference"/>
    <w:basedOn w:val="DefaultParagraphFont"/>
    <w:uiPriority w:val="99"/>
    <w:semiHidden/>
    <w:unhideWhenUsed/>
    <w:rsid w:val="00820EF1"/>
    <w:rPr>
      <w:sz w:val="16"/>
      <w:szCs w:val="16"/>
    </w:rPr>
  </w:style>
  <w:style w:type="paragraph" w:styleId="CommentSubject">
    <w:name w:val="annotation subject"/>
    <w:basedOn w:val="CommentText"/>
    <w:next w:val="CommentText"/>
    <w:link w:val="CommentSubjectChar"/>
    <w:uiPriority w:val="99"/>
    <w:semiHidden/>
    <w:unhideWhenUsed/>
    <w:rsid w:val="00820EF1"/>
    <w:rPr>
      <w:rFonts w:ascii="Calisto MT" w:hAnsi="Calisto MT"/>
      <w:b/>
      <w:bCs/>
    </w:rPr>
  </w:style>
  <w:style w:type="character" w:customStyle="1" w:styleId="CommentSubjectChar">
    <w:name w:val="Comment Subject Char"/>
    <w:basedOn w:val="CommentTextChar"/>
    <w:link w:val="CommentSubject"/>
    <w:uiPriority w:val="99"/>
    <w:semiHidden/>
    <w:rsid w:val="00820EF1"/>
    <w:rPr>
      <w:rFonts w:ascii="Calisto MT" w:hAnsi="Calisto MT"/>
      <w:b/>
      <w:bCs/>
      <w:sz w:val="20"/>
      <w:szCs w:val="20"/>
    </w:rPr>
  </w:style>
  <w:style w:type="paragraph" w:styleId="BalloonText">
    <w:name w:val="Balloon Text"/>
    <w:basedOn w:val="Normal"/>
    <w:link w:val="BalloonTextChar"/>
    <w:uiPriority w:val="99"/>
    <w:semiHidden/>
    <w:unhideWhenUsed/>
    <w:rsid w:val="0082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EF1"/>
    <w:rPr>
      <w:rFonts w:ascii="Tahoma" w:hAnsi="Tahoma" w:cs="Tahoma"/>
      <w:sz w:val="16"/>
      <w:szCs w:val="16"/>
    </w:rPr>
  </w:style>
  <w:style w:type="paragraph" w:styleId="Header">
    <w:name w:val="header"/>
    <w:basedOn w:val="Normal"/>
    <w:link w:val="HeaderChar"/>
    <w:uiPriority w:val="99"/>
    <w:unhideWhenUsed/>
    <w:rsid w:val="00524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EA6"/>
    <w:rPr>
      <w:rFonts w:ascii="Calisto MT" w:hAnsi="Calisto MT"/>
      <w:sz w:val="24"/>
    </w:rPr>
  </w:style>
  <w:style w:type="paragraph" w:styleId="Footer">
    <w:name w:val="footer"/>
    <w:basedOn w:val="Normal"/>
    <w:link w:val="FooterChar"/>
    <w:uiPriority w:val="99"/>
    <w:unhideWhenUsed/>
    <w:rsid w:val="00524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EA6"/>
    <w:rPr>
      <w:rFonts w:ascii="Calisto MT" w:hAnsi="Calisto MT"/>
      <w:sz w:val="24"/>
    </w:rPr>
  </w:style>
  <w:style w:type="character" w:customStyle="1" w:styleId="Heading2Char">
    <w:name w:val="Heading 2 Char"/>
    <w:basedOn w:val="DefaultParagraphFont"/>
    <w:link w:val="Heading2"/>
    <w:uiPriority w:val="9"/>
    <w:rsid w:val="003F750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64D7-A4A1-429D-9D5A-C2BB7EC4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6258</Words>
  <Characters>35673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Wadham</dc:creator>
  <cp:lastModifiedBy>Jack Wadham</cp:lastModifiedBy>
  <cp:revision>2</cp:revision>
  <dcterms:created xsi:type="dcterms:W3CDTF">2015-06-30T21:10:00Z</dcterms:created>
  <dcterms:modified xsi:type="dcterms:W3CDTF">2015-06-30T21:10:00Z</dcterms:modified>
</cp:coreProperties>
</file>