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F7454B" w14:textId="06BA8281" w:rsidR="00417B62" w:rsidRDefault="002C6BA9" w:rsidP="00417B62">
      <w:pPr>
        <w:jc w:val="center"/>
        <w:rPr>
          <w:b/>
          <w:bCs/>
          <w:sz w:val="24"/>
          <w:szCs w:val="24"/>
        </w:rPr>
      </w:pPr>
      <w:r>
        <w:rPr>
          <w:rFonts w:hint="cs"/>
          <w:b/>
          <w:bCs/>
          <w:sz w:val="24"/>
          <w:szCs w:val="24"/>
        </w:rPr>
        <w:t>T</w:t>
      </w:r>
      <w:r w:rsidR="00417B62" w:rsidRPr="004D707A">
        <w:rPr>
          <w:b/>
          <w:bCs/>
          <w:sz w:val="24"/>
          <w:szCs w:val="24"/>
        </w:rPr>
        <w:t>he transparency of experience</w:t>
      </w:r>
      <w:r>
        <w:rPr>
          <w:rFonts w:hint="cs"/>
          <w:b/>
          <w:bCs/>
          <w:sz w:val="24"/>
          <w:szCs w:val="24"/>
          <w:rtl/>
        </w:rPr>
        <w:t xml:space="preserve"> </w:t>
      </w:r>
      <w:r>
        <w:rPr>
          <w:b/>
          <w:bCs/>
          <w:sz w:val="24"/>
          <w:szCs w:val="24"/>
        </w:rPr>
        <w:t>and the neuroscience of attention</w:t>
      </w:r>
      <w:r w:rsidR="008222A8" w:rsidRPr="008222A8">
        <w:rPr>
          <w:rStyle w:val="FootnoteReference"/>
          <w:b/>
          <w:bCs/>
          <w:sz w:val="24"/>
          <w:szCs w:val="24"/>
        </w:rPr>
        <w:footnoteReference w:customMarkFollows="1" w:id="2"/>
        <w:sym w:font="Symbol" w:char="F02A"/>
      </w:r>
    </w:p>
    <w:p w14:paraId="06425B72" w14:textId="6A400264" w:rsidR="00B40320" w:rsidRDefault="00B40320" w:rsidP="00B40320">
      <w:pPr>
        <w:jc w:val="center"/>
      </w:pPr>
      <w:r>
        <w:t xml:space="preserve">(Forthcoming in </w:t>
      </w:r>
      <w:r w:rsidRPr="00B40320">
        <w:rPr>
          <w:i/>
          <w:iCs/>
        </w:rPr>
        <w:t>Synthese</w:t>
      </w:r>
      <w:r>
        <w:t xml:space="preserve">. </w:t>
      </w:r>
      <w:r>
        <w:t>https://doi.org/10.1007/s11229-019-02366-8</w:t>
      </w:r>
      <w:r>
        <w:t>)</w:t>
      </w:r>
    </w:p>
    <w:p w14:paraId="6BBE9EBC" w14:textId="2DEA0804" w:rsidR="00B40320" w:rsidRDefault="00B40320" w:rsidP="00B40320">
      <w:r>
        <w:t>Assaf Weksler (Department of Philosophy &amp; Psyphas Program in Psychology and Philosophy, University of Haifa, Haifa, Israel. Email: assaf.weksler@gmail.com)</w:t>
      </w:r>
    </w:p>
    <w:p w14:paraId="0ADC888A" w14:textId="6A4681AF" w:rsidR="00B40320" w:rsidRDefault="00B40320" w:rsidP="00B40320">
      <w:r>
        <w:t>Hilla Jacobson (Department of Philosophy &amp; Department of Cognitive Science</w:t>
      </w:r>
      <w:r>
        <w:t>s</w:t>
      </w:r>
      <w:r>
        <w:t xml:space="preserve">, The Hebrew University of Jerusalem, Jerusalem, Israel. Email: </w:t>
      </w:r>
      <w:r w:rsidRPr="004E47FF">
        <w:t>hilla.jacobson@mail.huji.ac.il</w:t>
      </w:r>
      <w:r>
        <w:t>)</w:t>
      </w:r>
    </w:p>
    <w:p w14:paraId="496EBB86" w14:textId="62622586" w:rsidR="00B40320" w:rsidRDefault="00B40320" w:rsidP="00B40320">
      <w:r>
        <w:t>Zohar Z. Bronfman (</w:t>
      </w:r>
      <w:r w:rsidRPr="00E61892">
        <w:t>The Cohn Institute for the History and Philosophy of Science and Ideas</w:t>
      </w:r>
      <w:r>
        <w:t xml:space="preserve"> &amp;</w:t>
      </w:r>
      <w:r w:rsidRPr="00E61892">
        <w:t xml:space="preserve"> </w:t>
      </w:r>
      <w:r w:rsidRPr="006D4677">
        <w:t>School of Psychology, Tel Aviv University, Tel Aviv, Israel</w:t>
      </w:r>
      <w:r>
        <w:t xml:space="preserve">. Email: </w:t>
      </w:r>
      <w:r w:rsidRPr="004E47FF">
        <w:t>zoharbronfman@gmail.com</w:t>
      </w:r>
      <w:r>
        <w:t>)</w:t>
      </w:r>
    </w:p>
    <w:p w14:paraId="78B3CBB0" w14:textId="77777777" w:rsidR="00B40320" w:rsidRDefault="00B40320" w:rsidP="00417B62">
      <w:pPr>
        <w:jc w:val="center"/>
        <w:rPr>
          <w:sz w:val="24"/>
          <w:szCs w:val="24"/>
          <w:rtl/>
        </w:rPr>
      </w:pPr>
      <w:bookmarkStart w:id="0" w:name="_GoBack"/>
      <w:bookmarkEnd w:id="0"/>
    </w:p>
    <w:p w14:paraId="6857B2DE" w14:textId="143C4F67" w:rsidR="008E372A" w:rsidRDefault="000E341E" w:rsidP="00B86A76">
      <w:pPr>
        <w:autoSpaceDE w:val="0"/>
        <w:autoSpaceDN w:val="0"/>
        <w:adjustRightInd w:val="0"/>
        <w:rPr>
          <w:rFonts w:ascii="Calibri" w:eastAsia="Times New Roman" w:hAnsi="Calibri" w:cs="Times New Roman"/>
        </w:rPr>
      </w:pPr>
      <w:r>
        <w:t>It seems that y</w:t>
      </w:r>
      <w:r w:rsidR="00D337F3">
        <w:t>ou can direct your attention to the representational content of your experience. For example, you can attend to the color that your experience represents an object as having. Can you turn your attention towards intrinsic properties of your experience</w:t>
      </w:r>
      <w:r w:rsidR="00404D98">
        <w:t xml:space="preserve"> that carry its representational content</w:t>
      </w:r>
      <w:r w:rsidR="00D337F3">
        <w:t xml:space="preserve">, i.e., to “mental paint?” According to the thesis of transparency, you cannot. </w:t>
      </w:r>
      <w:r w:rsidR="008E372A">
        <w:t xml:space="preserve">The </w:t>
      </w:r>
      <w:r w:rsidR="00B86A76">
        <w:t xml:space="preserve">controversy about </w:t>
      </w:r>
      <w:r w:rsidR="008E372A">
        <w:t xml:space="preserve">transparency is central to the debate between representationalists, who hold that phenomenal character is determined by representational content </w:t>
      </w:r>
      <w:r w:rsidR="008E372A" w:rsidRPr="004E1E1C">
        <w:rPr>
          <w:rFonts w:ascii="Calibri" w:eastAsia="Times New Roman" w:hAnsi="Calibri" w:cs="Times New Roman"/>
        </w:rPr>
        <w:t>(</w:t>
      </w:r>
      <w:r w:rsidR="00AA60F3">
        <w:rPr>
          <w:rFonts w:ascii="Calibri" w:eastAsia="Times New Roman" w:hAnsi="Calibri" w:cs="Times New Roman"/>
        </w:rPr>
        <w:t xml:space="preserve">Byrne 2001; Byrne &amp; Tye 2006; </w:t>
      </w:r>
      <w:r w:rsidR="008E372A" w:rsidRPr="004E1E1C">
        <w:rPr>
          <w:rFonts w:ascii="Calibri" w:eastAsia="Times New Roman" w:hAnsi="Calibri" w:cs="Times New Roman"/>
        </w:rPr>
        <w:t xml:space="preserve">Dretske 1995; </w:t>
      </w:r>
      <w:r w:rsidR="008E372A">
        <w:rPr>
          <w:rFonts w:ascii="Calibri" w:eastAsia="Times New Roman" w:hAnsi="Calibri" w:cs="Times New Roman"/>
        </w:rPr>
        <w:t xml:space="preserve">Harman 1990; </w:t>
      </w:r>
      <w:r w:rsidR="008E372A" w:rsidRPr="004E1E1C">
        <w:rPr>
          <w:rFonts w:ascii="Calibri" w:eastAsia="Times New Roman" w:hAnsi="Calibri" w:cs="Times New Roman"/>
        </w:rPr>
        <w:t>Mendelovici 2014</w:t>
      </w:r>
      <w:r w:rsidR="00AA60F3">
        <w:rPr>
          <w:rFonts w:ascii="Calibri" w:eastAsia="Times New Roman" w:hAnsi="Calibri" w:cs="Times New Roman"/>
        </w:rPr>
        <w:t xml:space="preserve">; </w:t>
      </w:r>
      <w:r w:rsidR="008E372A" w:rsidRPr="004E1E1C">
        <w:rPr>
          <w:rFonts w:ascii="Calibri" w:eastAsia="Times New Roman" w:hAnsi="Calibri" w:cs="Times New Roman"/>
        </w:rPr>
        <w:t>Tye 1995, 2002</w:t>
      </w:r>
      <w:r w:rsidR="00F95482">
        <w:rPr>
          <w:rFonts w:ascii="Calibri" w:eastAsia="Times New Roman" w:hAnsi="Calibri" w:cs="Times New Roman"/>
        </w:rPr>
        <w:t>, 2014</w:t>
      </w:r>
      <w:r w:rsidR="008E372A" w:rsidRPr="004E1E1C">
        <w:rPr>
          <w:rFonts w:ascii="Calibri" w:eastAsia="Times New Roman" w:hAnsi="Calibri" w:cs="Times New Roman"/>
        </w:rPr>
        <w:t>)</w:t>
      </w:r>
      <w:r w:rsidR="008E372A">
        <w:t>,</w:t>
      </w:r>
      <w:r w:rsidR="00B86A76">
        <w:t xml:space="preserve"> </w:t>
      </w:r>
      <w:r w:rsidR="008E372A">
        <w:t xml:space="preserve">and phenomenists, who hold that phenomenal character is </w:t>
      </w:r>
      <w:r w:rsidR="008E372A" w:rsidRPr="006812C9">
        <w:rPr>
          <w:rFonts w:ascii="Calibri" w:eastAsia="Times New Roman" w:hAnsi="Calibri" w:cs="Times New Roman"/>
        </w:rPr>
        <w:t>an intrinsic property of experience</w:t>
      </w:r>
      <w:r w:rsidR="00404D98">
        <w:rPr>
          <w:rFonts w:ascii="Calibri" w:eastAsia="Times New Roman" w:hAnsi="Calibri" w:cs="Times New Roman"/>
        </w:rPr>
        <w:t xml:space="preserve"> that can vary independently of </w:t>
      </w:r>
      <w:r w:rsidR="00C14F80">
        <w:rPr>
          <w:rFonts w:ascii="Calibri" w:eastAsia="Times New Roman" w:hAnsi="Calibri" w:cs="Times New Roman"/>
        </w:rPr>
        <w:t xml:space="preserve">representational content </w:t>
      </w:r>
      <w:r w:rsidR="008E372A" w:rsidRPr="004E1E1C">
        <w:rPr>
          <w:rFonts w:ascii="Calibri" w:eastAsia="Times New Roman" w:hAnsi="Calibri" w:cs="Times New Roman"/>
        </w:rPr>
        <w:t>(Block 2003; Burge 2003; Kind 2003, 2008; Loar 2003; Papineau 2014; Prinz 2012)</w:t>
      </w:r>
      <w:r w:rsidR="008E372A">
        <w:rPr>
          <w:rFonts w:ascii="Calibri" w:eastAsia="Times New Roman" w:hAnsi="Calibri" w:cs="Times New Roman"/>
        </w:rPr>
        <w:t xml:space="preserve">. </w:t>
      </w:r>
      <w:r w:rsidR="00020DE7">
        <w:t>So far, arguments for and against transparency were conducted from the armchair, relying mainly on introspective observations</w:t>
      </w:r>
      <w:r w:rsidR="00B86A76">
        <w:t xml:space="preserve"> (Block 2003; Burge 2003; Harman 1990; Kind 2003, 2008; Loar 2003; Tye 1995, </w:t>
      </w:r>
      <w:r w:rsidR="00F95482">
        <w:t xml:space="preserve">2002, </w:t>
      </w:r>
      <w:r w:rsidR="00B86A76">
        <w:t>2014)</w:t>
      </w:r>
      <w:r w:rsidR="00020DE7">
        <w:t xml:space="preserve">. </w:t>
      </w:r>
      <w:bookmarkStart w:id="1" w:name="_Hlk536003865"/>
      <w:r w:rsidR="008E372A" w:rsidRPr="00F671B0">
        <w:rPr>
          <w:rFonts w:ascii="Calibri" w:eastAsia="Times New Roman" w:hAnsi="Calibri" w:cs="Times New Roman"/>
        </w:rPr>
        <w:t xml:space="preserve">In this paper, by examining neuroscientific </w:t>
      </w:r>
      <w:r w:rsidR="003B35BE">
        <w:rPr>
          <w:rFonts w:ascii="Calibri" w:eastAsia="Times New Roman" w:hAnsi="Calibri" w:cs="Times New Roman"/>
        </w:rPr>
        <w:t>account</w:t>
      </w:r>
      <w:r w:rsidR="003B35BE" w:rsidRPr="00F671B0">
        <w:rPr>
          <w:rFonts w:ascii="Calibri" w:eastAsia="Times New Roman" w:hAnsi="Calibri" w:cs="Times New Roman"/>
        </w:rPr>
        <w:t xml:space="preserve">s </w:t>
      </w:r>
      <w:r w:rsidR="008E372A" w:rsidRPr="00F671B0">
        <w:rPr>
          <w:rFonts w:ascii="Calibri" w:eastAsia="Times New Roman" w:hAnsi="Calibri" w:cs="Times New Roman"/>
        </w:rPr>
        <w:t xml:space="preserve">of attention, we argue </w:t>
      </w:r>
      <w:r w:rsidR="00230716">
        <w:rPr>
          <w:rFonts w:ascii="Calibri" w:eastAsia="Times New Roman" w:hAnsi="Calibri" w:cs="Times New Roman"/>
        </w:rPr>
        <w:t xml:space="preserve">that it is not possible to attend to mental paint; in other words, we argue </w:t>
      </w:r>
      <w:r w:rsidR="001B4BDD">
        <w:rPr>
          <w:rFonts w:ascii="Calibri" w:eastAsia="Times New Roman" w:hAnsi="Calibri" w:cs="Times New Roman"/>
        </w:rPr>
        <w:t xml:space="preserve">in favor of </w:t>
      </w:r>
      <w:r w:rsidR="003732D7">
        <w:rPr>
          <w:rFonts w:ascii="Calibri" w:eastAsia="Times New Roman" w:hAnsi="Calibri" w:cs="Times New Roman"/>
        </w:rPr>
        <w:t>transparency</w:t>
      </w:r>
      <w:r w:rsidR="008E372A">
        <w:rPr>
          <w:rFonts w:ascii="Calibri" w:eastAsia="Times New Roman" w:hAnsi="Calibri" w:cs="Times New Roman"/>
        </w:rPr>
        <w:t xml:space="preserve">. </w:t>
      </w:r>
    </w:p>
    <w:p w14:paraId="59C9F108" w14:textId="7CC73C5C" w:rsidR="0083316E" w:rsidRDefault="0083316E" w:rsidP="00B86A76">
      <w:pPr>
        <w:autoSpaceDE w:val="0"/>
        <w:autoSpaceDN w:val="0"/>
        <w:adjustRightInd w:val="0"/>
        <w:rPr>
          <w:rFonts w:ascii="Calibri" w:eastAsia="Times New Roman" w:hAnsi="Calibri" w:cs="Times New Roman"/>
        </w:rPr>
      </w:pPr>
      <w:r>
        <w:t xml:space="preserve">In Section 1.1, we introduce the key notions of mental paint, vehicle properties and representational content by reviewing the debate between phenomenism and representationalism. This is a necessary background for the thesis of transparency that we spell out in Section 1.2. </w:t>
      </w:r>
      <w:r w:rsidRPr="00F11477">
        <w:t xml:space="preserve">In Section </w:t>
      </w:r>
      <w:r>
        <w:t xml:space="preserve">2 </w:t>
      </w:r>
      <w:r w:rsidRPr="00F11477">
        <w:t xml:space="preserve">we survey various neuroscientific </w:t>
      </w:r>
      <w:r w:rsidR="003B35BE">
        <w:t>account</w:t>
      </w:r>
      <w:r w:rsidR="003B35BE" w:rsidRPr="00F11477">
        <w:t xml:space="preserve">s </w:t>
      </w:r>
      <w:r w:rsidRPr="00F11477">
        <w:t xml:space="preserve">of </w:t>
      </w:r>
      <w:r>
        <w:t xml:space="preserve">first-order (FO) </w:t>
      </w:r>
      <w:r w:rsidRPr="00F11477">
        <w:t xml:space="preserve">sensory attention, </w:t>
      </w:r>
      <w:r>
        <w:t xml:space="preserve">on which </w:t>
      </w:r>
      <w:r w:rsidRPr="00F11477">
        <w:t>atten</w:t>
      </w:r>
      <w:r>
        <w:t>ding is a matter of modulating</w:t>
      </w:r>
      <w:r w:rsidRPr="00F11477">
        <w:t xml:space="preserve"> </w:t>
      </w:r>
      <w:r>
        <w:t xml:space="preserve">the neuronal basis of </w:t>
      </w:r>
      <w:r w:rsidRPr="00F11477">
        <w:t xml:space="preserve">sensory representations. For each </w:t>
      </w:r>
      <w:r w:rsidR="003B35BE">
        <w:t>account</w:t>
      </w:r>
      <w:r w:rsidR="003B35BE" w:rsidRPr="00F11477">
        <w:t xml:space="preserve"> </w:t>
      </w:r>
      <w:r w:rsidRPr="00F11477">
        <w:t xml:space="preserve">we argue that it </w:t>
      </w:r>
      <w:r>
        <w:t xml:space="preserve">not applicable to </w:t>
      </w:r>
      <w:r w:rsidRPr="00F11477">
        <w:t xml:space="preserve">mental paint. In Section </w:t>
      </w:r>
      <w:r>
        <w:t>3</w:t>
      </w:r>
      <w:r w:rsidRPr="00F11477">
        <w:t xml:space="preserve">, </w:t>
      </w:r>
      <w:r>
        <w:t xml:space="preserve">we discuss higher-order (HO) accounts of attention to mental paint. In Section 3.1, </w:t>
      </w:r>
      <w:r w:rsidRPr="00F11477">
        <w:t xml:space="preserve">we </w:t>
      </w:r>
      <w:r>
        <w:t xml:space="preserve">consider HO </w:t>
      </w:r>
      <w:r w:rsidRPr="00D045E9">
        <w:rPr>
          <w:i/>
          <w:iCs/>
        </w:rPr>
        <w:t>cognitive</w:t>
      </w:r>
      <w:r>
        <w:t xml:space="preserve"> attention to mental paint, which is a kind of thinking about mental paint, arguing </w:t>
      </w:r>
      <w:r w:rsidRPr="00F11477">
        <w:t xml:space="preserve">that </w:t>
      </w:r>
      <w:r>
        <w:t xml:space="preserve">it is irrelevant to transparency. In Section 3.2, we discuss HO </w:t>
      </w:r>
      <w:r w:rsidRPr="00F64DF4">
        <w:rPr>
          <w:i/>
          <w:iCs/>
        </w:rPr>
        <w:t>sensory</w:t>
      </w:r>
      <w:r>
        <w:t xml:space="preserve"> attention to mental paint. On this suggestion, there are HO perceptions (HOPs) of mental paint, which are attentionally modulated. We argue that this suggestion has apparently incoherent consequences. </w:t>
      </w:r>
      <w:r w:rsidRPr="005E5A50">
        <w:t xml:space="preserve">Sensory </w:t>
      </w:r>
      <w:r>
        <w:t xml:space="preserve">(both FO and HO) </w:t>
      </w:r>
      <w:r w:rsidRPr="005E5A50">
        <w:t xml:space="preserve">and </w:t>
      </w:r>
      <w:r>
        <w:t xml:space="preserve">(HO) </w:t>
      </w:r>
      <w:r w:rsidRPr="005E5A50">
        <w:t xml:space="preserve">cognitive forms of attention </w:t>
      </w:r>
      <w:r>
        <w:t xml:space="preserve">appear to </w:t>
      </w:r>
      <w:r w:rsidRPr="005E5A50">
        <w:t xml:space="preserve">exhaust </w:t>
      </w:r>
      <w:r>
        <w:t xml:space="preserve">the space of possible views of attention to mental paint. </w:t>
      </w:r>
      <w:r w:rsidRPr="005E5A50">
        <w:t xml:space="preserve">Thus, the overall argument can be presented in the form of a </w:t>
      </w:r>
      <w:r>
        <w:t>tri</w:t>
      </w:r>
      <w:r w:rsidRPr="005E5A50">
        <w:t xml:space="preserve">lemma: attention to mental paint is either </w:t>
      </w:r>
      <w:r>
        <w:t xml:space="preserve">FO </w:t>
      </w:r>
      <w:r w:rsidRPr="005E5A50">
        <w:t>sensory</w:t>
      </w:r>
      <w:r>
        <w:t xml:space="preserve">, HO </w:t>
      </w:r>
      <w:r w:rsidRPr="005E5A50">
        <w:t>cognitive</w:t>
      </w:r>
      <w:r>
        <w:t>, or HO sensory attention</w:t>
      </w:r>
      <w:r w:rsidRPr="005E5A50">
        <w:t xml:space="preserve">. </w:t>
      </w:r>
      <w:r>
        <w:t xml:space="preserve">Each of these options have serious problems. The result is an argument by elimination in favor of the </w:t>
      </w:r>
      <w:r>
        <w:lastRenderedPageBreak/>
        <w:t xml:space="preserve">transparency thesis. </w:t>
      </w:r>
      <w:r w:rsidRPr="00F11477">
        <w:t xml:space="preserve">In Section </w:t>
      </w:r>
      <w:r>
        <w:t>4</w:t>
      </w:r>
      <w:r w:rsidRPr="00F11477">
        <w:t xml:space="preserve">, we argue that extant philosophical </w:t>
      </w:r>
      <w:r>
        <w:t xml:space="preserve">theories </w:t>
      </w:r>
      <w:r w:rsidRPr="00F11477">
        <w:t>of attention do not provide a third conception of attention, over and above the sensory and cognitive varieties.</w:t>
      </w:r>
    </w:p>
    <w:bookmarkEnd w:id="1"/>
    <w:p w14:paraId="528230BC" w14:textId="4D161944" w:rsidR="002F4C91" w:rsidRPr="00FC0D90" w:rsidRDefault="002F4C91" w:rsidP="002F4C91">
      <w:pPr>
        <w:pStyle w:val="ListParagraph"/>
        <w:numPr>
          <w:ilvl w:val="0"/>
          <w:numId w:val="1"/>
        </w:numPr>
        <w:rPr>
          <w:b/>
          <w:bCs/>
        </w:rPr>
      </w:pPr>
      <w:r w:rsidRPr="00FC0D90">
        <w:rPr>
          <w:b/>
          <w:bCs/>
        </w:rPr>
        <w:t>Background</w:t>
      </w:r>
    </w:p>
    <w:p w14:paraId="67948259" w14:textId="566ACFAE" w:rsidR="002F4C91" w:rsidRPr="00FC0D90" w:rsidRDefault="009B58A6" w:rsidP="002F4C91">
      <w:pPr>
        <w:pStyle w:val="ListParagraph"/>
        <w:numPr>
          <w:ilvl w:val="1"/>
          <w:numId w:val="1"/>
        </w:numPr>
        <w:rPr>
          <w:b/>
          <w:bCs/>
        </w:rPr>
      </w:pPr>
      <w:r>
        <w:rPr>
          <w:b/>
          <w:bCs/>
        </w:rPr>
        <w:t xml:space="preserve"> </w:t>
      </w:r>
      <w:r w:rsidR="002F4C91" w:rsidRPr="00FC0D90">
        <w:rPr>
          <w:b/>
          <w:bCs/>
        </w:rPr>
        <w:t>Representational content, vehicle properties, and phenomenal character</w:t>
      </w:r>
    </w:p>
    <w:p w14:paraId="2C635E54" w14:textId="779A9A0E" w:rsidR="00AB04DC" w:rsidRDefault="00417B62" w:rsidP="00CF4A1D">
      <w:r>
        <w:t xml:space="preserve">Suppose you perceptually experience the flowers of an almond tree. Your experience </w:t>
      </w:r>
      <w:r w:rsidR="00194728">
        <w:t xml:space="preserve">represents the flowers' petals as white. In other words, your experience </w:t>
      </w:r>
      <w:r>
        <w:t>has the representational content, “ahead are white petals</w:t>
      </w:r>
      <w:r w:rsidR="00676063">
        <w:t>.</w:t>
      </w:r>
      <w:r>
        <w:t xml:space="preserve">” </w:t>
      </w:r>
      <w:r w:rsidR="00C82E5B">
        <w:t xml:space="preserve">Additionally, there </w:t>
      </w:r>
      <w:r>
        <w:t xml:space="preserve">is something it is like to have your experience, involving </w:t>
      </w:r>
      <w:r w:rsidR="00C82E5B">
        <w:t>white*</w:t>
      </w:r>
      <w:r w:rsidR="00C82E5B">
        <w:rPr>
          <w:rStyle w:val="FootnoteReference"/>
        </w:rPr>
        <w:footnoteReference w:id="3"/>
      </w:r>
      <w:r w:rsidR="00C82E5B">
        <w:t xml:space="preserve"> </w:t>
      </w:r>
      <w:r>
        <w:t xml:space="preserve">phenomenal character. </w:t>
      </w:r>
      <w:r w:rsidR="00466804">
        <w:t xml:space="preserve">According to phenomenism (Block 2003; Kind 2003, 2008; </w:t>
      </w:r>
      <w:r w:rsidR="00C46690">
        <w:t xml:space="preserve">Loar 2003; </w:t>
      </w:r>
      <w:r w:rsidR="00466804">
        <w:t>Papineau 2014</w:t>
      </w:r>
      <w:r w:rsidR="00C46690">
        <w:t>; Prinz 2012</w:t>
      </w:r>
      <w:r w:rsidR="00466804">
        <w:t>)</w:t>
      </w:r>
      <w:r w:rsidRPr="00F92CDF">
        <w:t>, these two aspects</w:t>
      </w:r>
      <w:r w:rsidR="00C82E5B">
        <w:t>, namely representational content and phenomenal character,</w:t>
      </w:r>
      <w:r w:rsidR="005A089D">
        <w:t xml:space="preserve"> </w:t>
      </w:r>
      <w:r w:rsidR="00466804">
        <w:t>can vary independently</w:t>
      </w:r>
      <w:r w:rsidRPr="00F92CDF">
        <w:t xml:space="preserve">. </w:t>
      </w:r>
      <w:r w:rsidR="00C82E5B">
        <w:t xml:space="preserve">On </w:t>
      </w:r>
      <w:r w:rsidR="009233D7">
        <w:t xml:space="preserve">this </w:t>
      </w:r>
      <w:r w:rsidR="00C82E5B">
        <w:t xml:space="preserve">view, </w:t>
      </w:r>
      <w:r>
        <w:t xml:space="preserve">representational </w:t>
      </w:r>
      <w:r w:rsidRPr="00F92CDF">
        <w:t xml:space="preserve">content is extrinsic </w:t>
      </w:r>
      <w:r w:rsidR="00344E45">
        <w:t xml:space="preserve">–   </w:t>
      </w:r>
      <w:r w:rsidR="009233D7">
        <w:t xml:space="preserve">i.e., </w:t>
      </w:r>
      <w:r w:rsidRPr="00F92CDF">
        <w:t>determined by causal relations with the environment</w:t>
      </w:r>
      <w:r w:rsidR="00344E45">
        <w:t xml:space="preserve"> (</w:t>
      </w:r>
      <w:r w:rsidR="0043527E">
        <w:t>see below</w:t>
      </w:r>
      <w:r w:rsidRPr="00F92CDF">
        <w:t>)</w:t>
      </w:r>
      <w:r w:rsidR="00344E45">
        <w:t xml:space="preserve"> – </w:t>
      </w:r>
      <w:r w:rsidRPr="00F92CDF">
        <w:t xml:space="preserve">whereas </w:t>
      </w:r>
      <w:r w:rsidR="0043527E">
        <w:t xml:space="preserve">phenomenal character </w:t>
      </w:r>
      <w:r w:rsidR="00313F97">
        <w:t xml:space="preserve">is </w:t>
      </w:r>
      <w:r w:rsidRPr="00F92CDF">
        <w:t>intrinsic.</w:t>
      </w:r>
      <w:r w:rsidR="001205D9">
        <w:t xml:space="preserve"> Block (2003) </w:t>
      </w:r>
      <w:r w:rsidR="008242C1">
        <w:t xml:space="preserve">defines </w:t>
      </w:r>
      <w:r w:rsidR="001205D9">
        <w:t xml:space="preserve">two </w:t>
      </w:r>
      <w:r w:rsidR="008242C1">
        <w:t xml:space="preserve">different </w:t>
      </w:r>
      <w:r w:rsidR="001205D9">
        <w:t>kinds of intrinsic phenomenal character</w:t>
      </w:r>
      <w:r w:rsidR="007E2D93">
        <w:t>, to which he refers as “mental paint” and “mental oil.”</w:t>
      </w:r>
      <w:bookmarkStart w:id="2" w:name="_Hlk15111093"/>
      <w:r w:rsidR="00CF4A1D">
        <w:t xml:space="preserve"> Mental paint is defined as </w:t>
      </w:r>
      <w:r w:rsidR="00B529EB">
        <w:t xml:space="preserve">carrying the </w:t>
      </w:r>
      <w:r w:rsidR="00CF4A1D">
        <w:t>representational content of experience. As Papineau (2014) puts it, mental paint properties “are the simple intrinsic properties whose instantiation in fact represents to subjects that things are thus and so […]” (p. 21)</w:t>
      </w:r>
      <w:r w:rsidR="00E44F8C">
        <w:t xml:space="preserve">, in virtue of said </w:t>
      </w:r>
      <w:r w:rsidR="00CF4A1D">
        <w:t>causal relations.</w:t>
      </w:r>
      <w:r w:rsidR="001205D9">
        <w:t xml:space="preserve"> </w:t>
      </w:r>
      <w:r w:rsidR="00A53587">
        <w:t>In contrast, m</w:t>
      </w:r>
      <w:r w:rsidR="001205D9">
        <w:t>ental oil does not represent anything</w:t>
      </w:r>
      <w:r w:rsidR="00CF4A1D">
        <w:t xml:space="preserve"> to subjects – it </w:t>
      </w:r>
      <w:r w:rsidR="00B529EB">
        <w:t xml:space="preserve">does not carry </w:t>
      </w:r>
      <w:r w:rsidR="00CF4A1D">
        <w:t>the representational content of experience</w:t>
      </w:r>
      <w:r w:rsidR="001205D9">
        <w:t>.</w:t>
      </w:r>
      <w:r w:rsidR="007B65F7">
        <w:t xml:space="preserve"> </w:t>
      </w:r>
      <w:r w:rsidR="00A80187">
        <w:t xml:space="preserve">The view we target in this paper (clarified in Section 1.2) </w:t>
      </w:r>
      <w:r w:rsidR="00E828D1">
        <w:t xml:space="preserve">is that it is possible to shift attention </w:t>
      </w:r>
      <w:r w:rsidR="00E828D1" w:rsidRPr="002067C7">
        <w:rPr>
          <w:i/>
          <w:iCs/>
        </w:rPr>
        <w:t xml:space="preserve">from </w:t>
      </w:r>
      <w:r w:rsidR="00CF4A1D">
        <w:rPr>
          <w:i/>
          <w:iCs/>
        </w:rPr>
        <w:t xml:space="preserve">the representational content of experience to the </w:t>
      </w:r>
      <w:r w:rsidR="00B529EB">
        <w:rPr>
          <w:i/>
          <w:iCs/>
        </w:rPr>
        <w:t>intrinsic phenomenal property that car</w:t>
      </w:r>
      <w:r w:rsidR="00220888">
        <w:rPr>
          <w:i/>
          <w:iCs/>
        </w:rPr>
        <w:t>r</w:t>
      </w:r>
      <w:r w:rsidR="00B529EB">
        <w:rPr>
          <w:i/>
          <w:iCs/>
        </w:rPr>
        <w:t>ies it</w:t>
      </w:r>
      <w:r w:rsidR="00CF4A1D">
        <w:rPr>
          <w:i/>
          <w:iCs/>
        </w:rPr>
        <w:t xml:space="preserve"> – i.e., to mental paint</w:t>
      </w:r>
      <w:r w:rsidR="00E828D1">
        <w:t xml:space="preserve">. Since mental oil </w:t>
      </w:r>
      <w:r w:rsidR="00B529EB">
        <w:t xml:space="preserve">does not carry </w:t>
      </w:r>
      <w:r w:rsidR="00CF4A1D">
        <w:t>the representational content of experience</w:t>
      </w:r>
      <w:r w:rsidR="00A80187">
        <w:t xml:space="preserve">, </w:t>
      </w:r>
      <w:r w:rsidR="00E828D1">
        <w:t>we set it aside</w:t>
      </w:r>
      <w:r w:rsidR="00A80187">
        <w:t xml:space="preserve">. </w:t>
      </w:r>
      <w:bookmarkEnd w:id="2"/>
    </w:p>
    <w:p w14:paraId="0AA64BA2" w14:textId="724AC760" w:rsidR="00417B62" w:rsidRDefault="005A089D" w:rsidP="00C92B0A">
      <w:r>
        <w:t>Let us</w:t>
      </w:r>
      <w:r w:rsidR="00417B62">
        <w:t xml:space="preserve"> introduce a </w:t>
      </w:r>
      <w:r w:rsidR="00FD7636">
        <w:t xml:space="preserve">simplified </w:t>
      </w:r>
      <w:r w:rsidR="00417B62">
        <w:t xml:space="preserve">neuroscientific take on </w:t>
      </w:r>
      <w:r w:rsidR="0039122A">
        <w:t>phenomenism</w:t>
      </w:r>
      <w:r w:rsidR="00B85806">
        <w:t>, which we will use throughout the paper</w:t>
      </w:r>
      <w:r w:rsidR="00417B62">
        <w:t xml:space="preserve">. </w:t>
      </w:r>
      <w:r w:rsidR="00C92B0A">
        <w:t>Aside from the simplifying assumptions we add</w:t>
      </w:r>
      <w:r w:rsidR="00B1087B">
        <w:t xml:space="preserve"> (we describe their divergence from reality below)</w:t>
      </w:r>
      <w:r w:rsidR="00C92B0A">
        <w:t xml:space="preserve">, the </w:t>
      </w:r>
      <w:r w:rsidR="00D95584">
        <w:t xml:space="preserve">phenomenistic </w:t>
      </w:r>
      <w:r w:rsidR="00C92B0A">
        <w:t xml:space="preserve">model </w:t>
      </w:r>
      <w:r w:rsidR="00D95584">
        <w:t xml:space="preserve">we present </w:t>
      </w:r>
      <w:r w:rsidR="00C92B0A">
        <w:t xml:space="preserve">is </w:t>
      </w:r>
      <w:r w:rsidR="00D95584">
        <w:t xml:space="preserve">not </w:t>
      </w:r>
      <w:r w:rsidR="00C92B0A">
        <w:t>novel</w:t>
      </w:r>
      <w:r w:rsidR="00D95584">
        <w:t>:</w:t>
      </w:r>
      <w:r w:rsidR="00985E55">
        <w:t xml:space="preserve"> </w:t>
      </w:r>
      <w:r w:rsidR="0079524D">
        <w:t xml:space="preserve">it </w:t>
      </w:r>
      <w:r w:rsidR="00985E55">
        <w:t>is explicitly endorsed by leading phe</w:t>
      </w:r>
      <w:r w:rsidR="00B1087B">
        <w:t>n</w:t>
      </w:r>
      <w:r w:rsidR="00985E55">
        <w:t>omenists such as Block (2003), Loar (2003), Papineau (2014) and Prinz (2012)</w:t>
      </w:r>
      <w:r w:rsidR="00C92B0A">
        <w:t xml:space="preserve">. </w:t>
      </w:r>
      <w:r>
        <w:t xml:space="preserve">Let us assume that in </w:t>
      </w:r>
      <w:r w:rsidR="00417B62">
        <w:t xml:space="preserve">area V4 </w:t>
      </w:r>
      <w:r w:rsidR="00313F97">
        <w:t xml:space="preserve">of </w:t>
      </w:r>
      <w:r w:rsidR="00417B62">
        <w:t xml:space="preserve">the visual cortex there </w:t>
      </w:r>
      <w:r>
        <w:t xml:space="preserve">is a single neuron </w:t>
      </w:r>
      <w:r w:rsidR="00313F97">
        <w:t xml:space="preserve">that </w:t>
      </w:r>
      <w:r w:rsidR="009233D7">
        <w:t xml:space="preserve">can </w:t>
      </w:r>
      <w:r w:rsidR="00417B62">
        <w:t>represent</w:t>
      </w:r>
      <w:r>
        <w:t xml:space="preserve"> </w:t>
      </w:r>
      <w:r w:rsidR="00417B62">
        <w:t xml:space="preserve">whiteness. </w:t>
      </w:r>
      <w:r w:rsidR="002F3D26">
        <w:t xml:space="preserve">Let's assume that this neuron underlies our conscious visual experience of whiteness. </w:t>
      </w:r>
      <w:r w:rsidR="00417B62">
        <w:t xml:space="preserve">It </w:t>
      </w:r>
      <w:r w:rsidR="00272C34">
        <w:t xml:space="preserve">can </w:t>
      </w:r>
      <w:r w:rsidR="00417B62">
        <w:t xml:space="preserve">represent whiteness </w:t>
      </w:r>
      <w:r w:rsidR="00272C34">
        <w:t>in virtue of</w:t>
      </w:r>
      <w:r w:rsidR="00417B62">
        <w:t xml:space="preserve"> </w:t>
      </w:r>
      <w:r w:rsidR="00272C34">
        <w:rPr>
          <w:i/>
          <w:iCs/>
        </w:rPr>
        <w:t>tracking</w:t>
      </w:r>
      <w:r w:rsidR="00272C34">
        <w:t xml:space="preserve"> </w:t>
      </w:r>
      <w:r w:rsidR="00417B62">
        <w:t>whiteness (see Mendelov</w:t>
      </w:r>
      <w:r w:rsidR="001466ED">
        <w:t>i</w:t>
      </w:r>
      <w:r w:rsidR="00417B62">
        <w:t>ci and Bourget 2014 for a review of tracking accounts of intentionality</w:t>
      </w:r>
      <w:r w:rsidR="00CE764E">
        <w:t xml:space="preserve">; such accounts are assumed by </w:t>
      </w:r>
      <w:r w:rsidR="00985E55">
        <w:t>the aforementioned phenomenists</w:t>
      </w:r>
      <w:r w:rsidR="00417B62">
        <w:t xml:space="preserve">). </w:t>
      </w:r>
      <w:r w:rsidR="004B689C">
        <w:t xml:space="preserve">Tracking is an "externalistic" relation, </w:t>
      </w:r>
      <w:r w:rsidR="009233D7">
        <w:t xml:space="preserve">since </w:t>
      </w:r>
      <w:r w:rsidR="004B689C">
        <w:t xml:space="preserve">it </w:t>
      </w:r>
      <w:r w:rsidR="00820A47">
        <w:t xml:space="preserve">holds </w:t>
      </w:r>
      <w:r w:rsidR="004B689C">
        <w:t xml:space="preserve">between the neuron and properties instantiated in the external world. </w:t>
      </w:r>
      <w:r w:rsidR="00A97F47">
        <w:t>W</w:t>
      </w:r>
      <w:r w:rsidR="00FD7636">
        <w:t>ithout loss of generality, we</w:t>
      </w:r>
      <w:r w:rsidR="003C01A7">
        <w:t xml:space="preserve"> wi</w:t>
      </w:r>
      <w:r w:rsidR="00FD7636">
        <w:t xml:space="preserve">ll </w:t>
      </w:r>
      <w:r w:rsidR="003C01A7">
        <w:t xml:space="preserve">assume that “tracking” means </w:t>
      </w:r>
      <w:r w:rsidR="00FD7636">
        <w:t>causal co-variation</w:t>
      </w:r>
      <w:r w:rsidR="003C01A7">
        <w:t xml:space="preserve"> in normal conditions</w:t>
      </w:r>
      <w:r w:rsidR="00FD7636">
        <w:t xml:space="preserve">. </w:t>
      </w:r>
      <w:r w:rsidR="003C01A7">
        <w:t xml:space="preserve">That is, the neuron tracks whiteness in the sense that, normally, </w:t>
      </w:r>
      <w:r w:rsidR="00417B62">
        <w:t xml:space="preserve">it fires at </w:t>
      </w:r>
      <w:r w:rsidR="00393DA6">
        <w:t xml:space="preserve">a </w:t>
      </w:r>
      <w:r w:rsidR="00417B62">
        <w:t>high frequency</w:t>
      </w:r>
      <w:r w:rsidR="00967C5C">
        <w:t xml:space="preserve"> </w:t>
      </w:r>
      <w:r w:rsidR="00417B62">
        <w:t>in response to whiteness but not to other colors</w:t>
      </w:r>
      <w:r w:rsidR="00313F97">
        <w:t>.</w:t>
      </w:r>
      <w:r w:rsidR="00417B62">
        <w:t xml:space="preserve"> </w:t>
      </w:r>
      <w:r w:rsidR="00A26CA8">
        <w:t xml:space="preserve">This implies that the representational property </w:t>
      </w:r>
      <w:r w:rsidR="00CE764E">
        <w:t xml:space="preserve">in question, that </w:t>
      </w:r>
      <w:r w:rsidR="00A26CA8">
        <w:t>of representing whiteness</w:t>
      </w:r>
      <w:r w:rsidR="00CE764E">
        <w:t>,</w:t>
      </w:r>
      <w:r w:rsidR="00A26CA8">
        <w:t xml:space="preserve"> is extrinsic.</w:t>
      </w:r>
      <w:r w:rsidR="004B689C">
        <w:t xml:space="preserve"> </w:t>
      </w:r>
      <w:r w:rsidR="00A26CA8">
        <w:t xml:space="preserve">Now, when </w:t>
      </w:r>
      <w:r w:rsidR="00487637">
        <w:t>looking at the almond tree</w:t>
      </w:r>
      <w:r w:rsidR="00417B62">
        <w:t xml:space="preserve">, </w:t>
      </w:r>
      <w:r w:rsidR="00A26CA8">
        <w:t xml:space="preserve">the neuron </w:t>
      </w:r>
      <w:r w:rsidR="00417B62">
        <w:t xml:space="preserve">fires at a high frequency, </w:t>
      </w:r>
      <w:r w:rsidR="00487637">
        <w:t xml:space="preserve">thereby </w:t>
      </w:r>
      <w:r w:rsidR="00417B62">
        <w:t>representing whiteness.</w:t>
      </w:r>
      <w:r w:rsidR="008F7A1B">
        <w:t xml:space="preserve"> </w:t>
      </w:r>
      <w:r w:rsidR="00B619FF">
        <w:t xml:space="preserve">In other words, its representational content includes whiteness. </w:t>
      </w:r>
      <w:r w:rsidR="00E13FAC">
        <w:t>Th</w:t>
      </w:r>
      <w:r w:rsidR="00A26CA8">
        <w:t>is</w:t>
      </w:r>
      <w:r w:rsidR="00E13FAC">
        <w:t xml:space="preserve"> representational content </w:t>
      </w:r>
      <w:r w:rsidR="00DD25F5">
        <w:t xml:space="preserve">of the neuron </w:t>
      </w:r>
      <w:r w:rsidR="00E13FAC">
        <w:t>determines the representational content of the experience</w:t>
      </w:r>
      <w:r w:rsidR="009233D7">
        <w:t>.</w:t>
      </w:r>
      <w:r w:rsidR="00B619FF">
        <w:t xml:space="preserve"> </w:t>
      </w:r>
    </w:p>
    <w:p w14:paraId="5D4C63FF" w14:textId="5B4A56B6" w:rsidR="008F7A1B" w:rsidRDefault="00967C5C" w:rsidP="00967C5C">
      <w:r>
        <w:t xml:space="preserve">The neuron’s firing frequency </w:t>
      </w:r>
      <w:r w:rsidR="00B32E3A">
        <w:t xml:space="preserve">is an </w:t>
      </w:r>
      <w:r>
        <w:t>intrinsic propert</w:t>
      </w:r>
      <w:r w:rsidR="00B32E3A">
        <w:t>y</w:t>
      </w:r>
      <w:r>
        <w:t xml:space="preserve"> of the neuron. W</w:t>
      </w:r>
      <w:r w:rsidR="00152479">
        <w:t>e</w:t>
      </w:r>
      <w:r>
        <w:t xml:space="preserve"> will</w:t>
      </w:r>
      <w:r w:rsidR="00152479">
        <w:t xml:space="preserve"> </w:t>
      </w:r>
      <w:r w:rsidR="00B32E3A">
        <w:t>call</w:t>
      </w:r>
      <w:r w:rsidR="00152479">
        <w:t xml:space="preserve"> </w:t>
      </w:r>
      <w:r w:rsidR="00B32E3A">
        <w:t>it</w:t>
      </w:r>
      <w:r w:rsidR="00E80CDD">
        <w:t xml:space="preserve"> </w:t>
      </w:r>
      <w:r w:rsidR="00152479">
        <w:t>"</w:t>
      </w:r>
      <w:r w:rsidR="00B32E3A">
        <w:t>a</w:t>
      </w:r>
      <w:r w:rsidR="00417B62">
        <w:t xml:space="preserve"> neuronal vehicle propert</w:t>
      </w:r>
      <w:r w:rsidR="00B32E3A">
        <w:t>y.</w:t>
      </w:r>
      <w:r w:rsidR="00152479">
        <w:t>"</w:t>
      </w:r>
      <w:r w:rsidR="00DB50E2">
        <w:t xml:space="preserve"> </w:t>
      </w:r>
      <w:r>
        <w:t xml:space="preserve">As described in the preceding paragraph, </w:t>
      </w:r>
      <w:r w:rsidR="00B32E3A">
        <w:t xml:space="preserve">neuronal </w:t>
      </w:r>
      <w:r>
        <w:t>vehicle properties, i</w:t>
      </w:r>
      <w:r w:rsidR="008F7A1B">
        <w:t xml:space="preserve">n combination with </w:t>
      </w:r>
      <w:r w:rsidR="00683AE5">
        <w:t xml:space="preserve">the aforementioned </w:t>
      </w:r>
      <w:r w:rsidR="008F7A1B">
        <w:t xml:space="preserve">externalistic </w:t>
      </w:r>
      <w:r w:rsidR="003C01A7">
        <w:t>tracking relation</w:t>
      </w:r>
      <w:r w:rsidR="008F7A1B">
        <w:t xml:space="preserve">, determine the representational content the neuron has </w:t>
      </w:r>
      <w:r w:rsidR="00A12DA0">
        <w:t>at</w:t>
      </w:r>
      <w:r w:rsidR="008F7A1B">
        <w:t xml:space="preserve"> a given moment</w:t>
      </w:r>
      <w:r w:rsidR="003C01A7">
        <w:t xml:space="preserve"> (equivalently, they determine the representational properties of the neuron)</w:t>
      </w:r>
      <w:r w:rsidR="00B4556A">
        <w:t xml:space="preserve">. We will sometimes say for short that the neuronal vehicle properties </w:t>
      </w:r>
      <w:r w:rsidR="007B65F7">
        <w:t>“</w:t>
      </w:r>
      <w:r w:rsidR="00B4556A" w:rsidRPr="007B65F7">
        <w:t>carry</w:t>
      </w:r>
      <w:r w:rsidR="007B65F7">
        <w:t>”</w:t>
      </w:r>
      <w:r w:rsidR="00B4556A">
        <w:t xml:space="preserve"> the representational content.</w:t>
      </w:r>
      <w:r w:rsidR="008B3B19">
        <w:t xml:space="preserve"> </w:t>
      </w:r>
    </w:p>
    <w:p w14:paraId="28B03A4E" w14:textId="58EFBF3E" w:rsidR="00417B62" w:rsidRDefault="00417B62">
      <w:pPr>
        <w:rPr>
          <w:rtl/>
        </w:rPr>
      </w:pPr>
      <w:r w:rsidRPr="00606352">
        <w:lastRenderedPageBreak/>
        <w:t>On the simpl</w:t>
      </w:r>
      <w:r w:rsidR="00E13FAC">
        <w:t>ified</w:t>
      </w:r>
      <w:r w:rsidRPr="00606352">
        <w:t xml:space="preserve"> neuroscientific take on phenomenism we </w:t>
      </w:r>
      <w:r>
        <w:t xml:space="preserve">now </w:t>
      </w:r>
      <w:r w:rsidRPr="00606352">
        <w:t xml:space="preserve">consider, some of these </w:t>
      </w:r>
      <w:r>
        <w:t xml:space="preserve">intrinsic, </w:t>
      </w:r>
      <w:r w:rsidR="00B619FF">
        <w:t xml:space="preserve">neuronal </w:t>
      </w:r>
      <w:r>
        <w:t xml:space="preserve">vehicle </w:t>
      </w:r>
      <w:r w:rsidRPr="00606352">
        <w:t>properties</w:t>
      </w:r>
      <w:r>
        <w:t xml:space="preserve">—but not the extrinsic, </w:t>
      </w:r>
      <w:r w:rsidR="008A34A1">
        <w:t xml:space="preserve">tracking </w:t>
      </w:r>
      <w:r>
        <w:t>properties—</w:t>
      </w:r>
      <w:r w:rsidRPr="00606352">
        <w:t xml:space="preserve">determine </w:t>
      </w:r>
      <w:r w:rsidR="00456CF9">
        <w:t xml:space="preserve">the phenomenal character of </w:t>
      </w:r>
      <w:r w:rsidRPr="00606352">
        <w:t>experience.</w:t>
      </w:r>
      <w:r w:rsidR="00683AE5">
        <w:t xml:space="preserve"> </w:t>
      </w:r>
      <w:r w:rsidRPr="00606352">
        <w:t xml:space="preserve">They determine, for example, that one </w:t>
      </w:r>
      <w:r w:rsidR="00E80CDD">
        <w:t>enjoys</w:t>
      </w:r>
      <w:r w:rsidR="00E80CDD" w:rsidRPr="00606352">
        <w:t xml:space="preserve"> </w:t>
      </w:r>
      <w:r w:rsidRPr="00606352">
        <w:t>white</w:t>
      </w:r>
      <w:r>
        <w:rPr>
          <w:rFonts w:hint="cs"/>
          <w:rtl/>
        </w:rPr>
        <w:t>*</w:t>
      </w:r>
      <w:r w:rsidRPr="00606352">
        <w:t xml:space="preserve"> phenomen</w:t>
      </w:r>
      <w:r w:rsidR="00E147B9">
        <w:t xml:space="preserve">al character </w:t>
      </w:r>
      <w:r w:rsidR="00D240CD">
        <w:t>rather than</w:t>
      </w:r>
      <w:r w:rsidRPr="00606352">
        <w:t xml:space="preserve"> black</w:t>
      </w:r>
      <w:r>
        <w:rPr>
          <w:rFonts w:hint="cs"/>
          <w:rtl/>
        </w:rPr>
        <w:t>*</w:t>
      </w:r>
      <w:r w:rsidRPr="00606352">
        <w:t xml:space="preserve">. </w:t>
      </w:r>
      <w:r w:rsidR="00683AE5">
        <w:t>This determin</w:t>
      </w:r>
      <w:r w:rsidR="00B57E75">
        <w:t>ation</w:t>
      </w:r>
      <w:r w:rsidR="00683AE5">
        <w:t xml:space="preserve"> is entirely </w:t>
      </w:r>
      <w:r w:rsidR="00E13FAC">
        <w:t>“</w:t>
      </w:r>
      <w:r w:rsidR="00683AE5">
        <w:t>local</w:t>
      </w:r>
      <w:r w:rsidR="00B85806">
        <w:t>.</w:t>
      </w:r>
      <w:r w:rsidR="00E13FAC">
        <w:t>”</w:t>
      </w:r>
      <w:r w:rsidR="00683AE5">
        <w:t xml:space="preserve"> </w:t>
      </w:r>
      <w:r w:rsidR="00B85806">
        <w:t>T</w:t>
      </w:r>
      <w:r w:rsidR="00683AE5">
        <w:t>hat is, externalistic</w:t>
      </w:r>
      <w:r w:rsidR="005D72F6">
        <w:t>, tracking</w:t>
      </w:r>
      <w:r w:rsidR="00456CF9">
        <w:t>, representational</w:t>
      </w:r>
      <w:r w:rsidR="00683AE5">
        <w:t xml:space="preserve"> factors do not contribute to it</w:t>
      </w:r>
      <w:r w:rsidR="009B66BB">
        <w:t xml:space="preserve"> (Block 2003</w:t>
      </w:r>
      <w:r w:rsidR="00DC7181">
        <w:t xml:space="preserve">; </w:t>
      </w:r>
      <w:r w:rsidR="009B66BB">
        <w:t>Papineau 2014</w:t>
      </w:r>
      <w:r w:rsidR="00DC7181">
        <w:t xml:space="preserve">; </w:t>
      </w:r>
      <w:r w:rsidR="009B66BB">
        <w:t>Prinz 2012)</w:t>
      </w:r>
      <w:r w:rsidR="00456CF9">
        <w:t>. Consequently, the phenomenal character in question counts as "mental paint</w:t>
      </w:r>
      <w:r w:rsidR="00683AE5">
        <w:t>.</w:t>
      </w:r>
      <w:r w:rsidR="00456CF9">
        <w:t>"</w:t>
      </w:r>
      <w:r w:rsidR="00683AE5">
        <w:t xml:space="preserve"> </w:t>
      </w:r>
    </w:p>
    <w:p w14:paraId="79BD63B7" w14:textId="616C2B7F" w:rsidR="001F470C" w:rsidRDefault="00417B62" w:rsidP="005216EC">
      <w:r>
        <w:t xml:space="preserve">It is crucial to observe that on this </w:t>
      </w:r>
      <w:r w:rsidR="00D95584">
        <w:t xml:space="preserve">phenomenist </w:t>
      </w:r>
      <w:r>
        <w:t>model, a single neuron</w:t>
      </w:r>
      <w:r w:rsidR="000A3264">
        <w:t>al vehicle property</w:t>
      </w:r>
      <w:r>
        <w:t xml:space="preserve"> serves a </w:t>
      </w:r>
      <w:r>
        <w:rPr>
          <w:i/>
          <w:iCs/>
        </w:rPr>
        <w:t>dual</w:t>
      </w:r>
      <w:r w:rsidRPr="007E4F65">
        <w:rPr>
          <w:i/>
          <w:iCs/>
        </w:rPr>
        <w:t xml:space="preserve"> role</w:t>
      </w:r>
      <w:r>
        <w:t xml:space="preserve">: </w:t>
      </w:r>
      <w:r w:rsidR="00E147B9">
        <w:t xml:space="preserve">first, </w:t>
      </w:r>
      <w:r>
        <w:t>it determines</w:t>
      </w:r>
      <w:r w:rsidR="00E147B9">
        <w:t xml:space="preserve"> </w:t>
      </w:r>
      <w:r w:rsidR="00456CF9">
        <w:t>phenomenal character (</w:t>
      </w:r>
      <w:r>
        <w:t>mental paint</w:t>
      </w:r>
      <w:r w:rsidR="00456CF9">
        <w:t>)</w:t>
      </w:r>
      <w:r w:rsidR="000A3264">
        <w:t xml:space="preserve"> by itself</w:t>
      </w:r>
      <w:r w:rsidR="005D72F6">
        <w:t xml:space="preserve"> (i.e., regardless of the tracking relation)</w:t>
      </w:r>
      <w:r>
        <w:t xml:space="preserve">. </w:t>
      </w:r>
      <w:r w:rsidR="00E147B9">
        <w:t xml:space="preserve">Second, </w:t>
      </w:r>
      <w:r w:rsidR="00487637">
        <w:t>i</w:t>
      </w:r>
      <w:r>
        <w:t xml:space="preserve">n </w:t>
      </w:r>
      <w:r w:rsidR="000A3264">
        <w:t xml:space="preserve">combination with </w:t>
      </w:r>
      <w:r w:rsidR="00E147B9">
        <w:t>the tracking relation</w:t>
      </w:r>
      <w:r w:rsidR="000A3264">
        <w:t xml:space="preserve">, </w:t>
      </w:r>
      <w:r w:rsidR="00E50221">
        <w:t xml:space="preserve">the </w:t>
      </w:r>
      <w:r w:rsidR="00456CF9">
        <w:t xml:space="preserve">vehicle property </w:t>
      </w:r>
      <w:r w:rsidR="000A3264">
        <w:t>determines</w:t>
      </w:r>
      <w:r>
        <w:t xml:space="preserve"> </w:t>
      </w:r>
      <w:r w:rsidR="00456CF9">
        <w:t xml:space="preserve">the </w:t>
      </w:r>
      <w:r>
        <w:t>representational content</w:t>
      </w:r>
      <w:r w:rsidR="000A3264">
        <w:t xml:space="preserve"> </w:t>
      </w:r>
      <w:r w:rsidR="00456CF9">
        <w:t xml:space="preserve">of the neuron, which determines the representational content of the experience </w:t>
      </w:r>
      <w:r w:rsidR="000A3264">
        <w:t>(equivalently, it determines the representational property of the experience)</w:t>
      </w:r>
      <w:r>
        <w:t xml:space="preserve">. </w:t>
      </w:r>
      <w:bookmarkStart w:id="3" w:name="_Hlk14689504"/>
      <w:bookmarkStart w:id="4" w:name="_Hlk14079701"/>
      <w:r w:rsidR="007E7A5F">
        <w:t xml:space="preserve">The reason why a single </w:t>
      </w:r>
      <w:r w:rsidR="00735E5F">
        <w:t xml:space="preserve">neuronal vehicle property </w:t>
      </w:r>
      <w:r w:rsidR="00B751B3">
        <w:t xml:space="preserve">– rather than two separate vehicle properties – </w:t>
      </w:r>
      <w:r w:rsidR="007E7A5F">
        <w:t>plays both roles</w:t>
      </w:r>
      <w:r w:rsidR="00735E5F">
        <w:t xml:space="preserve"> </w:t>
      </w:r>
      <w:r w:rsidR="00DE2B5F">
        <w:t xml:space="preserve">can be traced back to </w:t>
      </w:r>
      <w:r w:rsidR="007E7A5F">
        <w:t xml:space="preserve">the definition of mental paint. </w:t>
      </w:r>
      <w:r w:rsidR="00262184">
        <w:rPr>
          <w:rFonts w:hint="cs"/>
        </w:rPr>
        <w:t>O</w:t>
      </w:r>
      <w:r w:rsidR="00262184">
        <w:t xml:space="preserve">n that definition, </w:t>
      </w:r>
      <w:r w:rsidR="00A53587">
        <w:t>mental paint is a</w:t>
      </w:r>
      <w:r w:rsidR="000352E0">
        <w:t>n intrinsic</w:t>
      </w:r>
      <w:r w:rsidR="00A53587">
        <w:t xml:space="preserve"> phenomenal character that, </w:t>
      </w:r>
      <w:r w:rsidR="000D62FF">
        <w:t>via</w:t>
      </w:r>
      <w:r w:rsidR="00A53587">
        <w:t xml:space="preserve"> </w:t>
      </w:r>
      <w:r w:rsidR="0085798D">
        <w:t>tracking</w:t>
      </w:r>
      <w:r w:rsidR="00A53587">
        <w:t xml:space="preserve"> relations, </w:t>
      </w:r>
      <w:r w:rsidR="00DC7181">
        <w:t xml:space="preserve">represents </w:t>
      </w:r>
      <w:r w:rsidR="00E44F8C">
        <w:t xml:space="preserve">to subjects </w:t>
      </w:r>
      <w:r w:rsidR="00DC7181">
        <w:t>a worldly property</w:t>
      </w:r>
      <w:r w:rsidR="00A53587">
        <w:t>.</w:t>
      </w:r>
      <w:r w:rsidR="00E44F8C">
        <w:t xml:space="preserve"> In other words, mental paint </w:t>
      </w:r>
      <w:r w:rsidR="00B529EB">
        <w:t xml:space="preserve">carries </w:t>
      </w:r>
      <w:r w:rsidR="00E44F8C">
        <w:t xml:space="preserve">the representational content of experience. </w:t>
      </w:r>
      <w:bookmarkStart w:id="5" w:name="_Hlk15455838"/>
      <w:bookmarkStart w:id="6" w:name="_Hlk15456329"/>
      <w:r w:rsidR="00995DCB">
        <w:t>M</w:t>
      </w:r>
      <w:r w:rsidR="00144D70">
        <w:t xml:space="preserve">ental paint tracks a worldly property in virtue of the fact that its </w:t>
      </w:r>
      <w:r w:rsidR="004F4889">
        <w:t xml:space="preserve">(mental paint’s) </w:t>
      </w:r>
      <w:r w:rsidR="00144D70">
        <w:t xml:space="preserve">neuronal basis </w:t>
      </w:r>
      <w:r w:rsidR="004F4889">
        <w:t xml:space="preserve">– </w:t>
      </w:r>
      <w:r w:rsidR="00144D70">
        <w:t>the neuronal vehicle property that determines it</w:t>
      </w:r>
      <w:r w:rsidR="004F4889">
        <w:t xml:space="preserve"> – </w:t>
      </w:r>
      <w:r w:rsidR="00144D70">
        <w:t xml:space="preserve">tracks this </w:t>
      </w:r>
      <w:r w:rsidR="00F94782">
        <w:t xml:space="preserve">worldly </w:t>
      </w:r>
      <w:r w:rsidR="00144D70">
        <w:t xml:space="preserve">property. </w:t>
      </w:r>
      <w:bookmarkStart w:id="7" w:name="_Hlk14857011"/>
      <w:bookmarkEnd w:id="5"/>
      <w:r w:rsidR="000D62FF">
        <w:t>Thus</w:t>
      </w:r>
      <w:r w:rsidR="006B17CF">
        <w:t xml:space="preserve">, </w:t>
      </w:r>
      <w:r w:rsidR="00F44346">
        <w:t>th</w:t>
      </w:r>
      <w:r w:rsidR="00847823">
        <w:t>is</w:t>
      </w:r>
      <w:r w:rsidR="00F44346">
        <w:t xml:space="preserve"> neuronal vehicle property serves the dual role of determining mental paint and (via tracking relations) determining </w:t>
      </w:r>
      <w:r w:rsidR="00847823">
        <w:t xml:space="preserve">which property </w:t>
      </w:r>
      <w:r w:rsidR="003E6BEB">
        <w:t xml:space="preserve">this </w:t>
      </w:r>
      <w:r w:rsidR="00847823">
        <w:t>mental paint represents to the subject</w:t>
      </w:r>
      <w:r w:rsidR="00F44346">
        <w:t xml:space="preserve">. </w:t>
      </w:r>
      <w:r w:rsidR="00CA3160">
        <w:t>In other words, the representational content that this neuronal vehicle property carries determines the representational content that mental paint carries.</w:t>
      </w:r>
    </w:p>
    <w:bookmarkEnd w:id="3"/>
    <w:bookmarkEnd w:id="4"/>
    <w:bookmarkEnd w:id="6"/>
    <w:bookmarkEnd w:id="7"/>
    <w:p w14:paraId="6331EDE0" w14:textId="0786E215" w:rsidR="00F006EA" w:rsidRDefault="00CF1EBE" w:rsidP="00DB2621">
      <w:pPr>
        <w:rPr>
          <w:rtl/>
        </w:rPr>
      </w:pPr>
      <w:r>
        <w:t xml:space="preserve">Our model is simplified </w:t>
      </w:r>
      <w:r w:rsidR="00881F05">
        <w:t>since</w:t>
      </w:r>
      <w:r>
        <w:t xml:space="preserve"> it involves </w:t>
      </w:r>
      <w:r w:rsidR="00F006EA">
        <w:t xml:space="preserve">a </w:t>
      </w:r>
      <w:r w:rsidR="00F006EA" w:rsidRPr="00DB2621">
        <w:rPr>
          <w:i/>
          <w:iCs/>
        </w:rPr>
        <w:t>single</w:t>
      </w:r>
      <w:r w:rsidR="00F006EA">
        <w:t xml:space="preserve"> neuron</w:t>
      </w:r>
      <w:r w:rsidR="00985E55">
        <w:t xml:space="preserve"> in a </w:t>
      </w:r>
      <w:r w:rsidR="00985E55" w:rsidRPr="00DB2621">
        <w:rPr>
          <w:i/>
          <w:iCs/>
        </w:rPr>
        <w:t>specific</w:t>
      </w:r>
      <w:r w:rsidR="00985E55">
        <w:t xml:space="preserve"> brain area (V4) and its</w:t>
      </w:r>
      <w:r w:rsidR="00F006EA">
        <w:t xml:space="preserve"> firing </w:t>
      </w:r>
      <w:r w:rsidR="00F006EA" w:rsidRPr="00DB2621">
        <w:rPr>
          <w:i/>
          <w:iCs/>
        </w:rPr>
        <w:t>frequency</w:t>
      </w:r>
      <w:r w:rsidR="00F006EA">
        <w:t xml:space="preserve">. In reality, the </w:t>
      </w:r>
      <w:r w:rsidR="00EE3F54">
        <w:t xml:space="preserve">neuronal </w:t>
      </w:r>
      <w:r w:rsidR="00F006EA">
        <w:t xml:space="preserve">vehicle of an experience of whiteness is much more complex. For example, according to Prinz (2012), the vehicle </w:t>
      </w:r>
      <w:r w:rsidR="002D3870">
        <w:t xml:space="preserve">is </w:t>
      </w:r>
      <w:r w:rsidR="00F006EA">
        <w:t>a population of neurons</w:t>
      </w:r>
      <w:r w:rsidR="00F328A9">
        <w:t>, and it represents</w:t>
      </w:r>
      <w:r w:rsidR="00D95584">
        <w:t xml:space="preserve"> whiteness</w:t>
      </w:r>
      <w:r w:rsidR="00F328A9">
        <w:t xml:space="preserve"> via a combination of population coding and </w:t>
      </w:r>
      <w:r w:rsidR="00F006EA">
        <w:t xml:space="preserve">temporal coding. </w:t>
      </w:r>
      <w:r w:rsidR="005C3448">
        <w:t xml:space="preserve">While </w:t>
      </w:r>
      <w:r>
        <w:t>Prinz hold</w:t>
      </w:r>
      <w:r w:rsidR="0079524D">
        <w:t>s</w:t>
      </w:r>
      <w:r>
        <w:t xml:space="preserve"> that the relevant population </w:t>
      </w:r>
      <w:r w:rsidR="0079524D">
        <w:t>is in</w:t>
      </w:r>
      <w:r>
        <w:t xml:space="preserve"> V4, </w:t>
      </w:r>
      <w:r w:rsidR="005C3448">
        <w:t xml:space="preserve">others (e.g., </w:t>
      </w:r>
      <w:proofErr w:type="spellStart"/>
      <w:r w:rsidR="005C3448">
        <w:t>Dehaene</w:t>
      </w:r>
      <w:proofErr w:type="spellEnd"/>
      <w:r w:rsidR="005C3448">
        <w:t xml:space="preserve"> &amp; </w:t>
      </w:r>
      <w:proofErr w:type="spellStart"/>
      <w:r w:rsidR="005C3448">
        <w:t>Naccache</w:t>
      </w:r>
      <w:proofErr w:type="spellEnd"/>
      <w:r w:rsidR="005C3448">
        <w:t xml:space="preserve"> 2001) would claim that it is </w:t>
      </w:r>
      <w:r>
        <w:t>distributed across various brain</w:t>
      </w:r>
      <w:r w:rsidR="00DB2621">
        <w:t xml:space="preserve"> regions</w:t>
      </w:r>
      <w:r>
        <w:t xml:space="preserve">. </w:t>
      </w:r>
      <w:r w:rsidR="003F15DE">
        <w:t xml:space="preserve">We use </w:t>
      </w:r>
      <w:r w:rsidR="00FA64D9">
        <w:t xml:space="preserve">the </w:t>
      </w:r>
      <w:r w:rsidR="003F15DE">
        <w:t xml:space="preserve">simplified model in order </w:t>
      </w:r>
      <w:r>
        <w:t>to make the discussion below easy to follow</w:t>
      </w:r>
      <w:r w:rsidR="003F15DE">
        <w:t>;</w:t>
      </w:r>
      <w:r w:rsidR="0079524D">
        <w:t xml:space="preserve"> our arguments </w:t>
      </w:r>
      <w:r>
        <w:t xml:space="preserve">generalize straightforwardly to </w:t>
      </w:r>
      <w:r w:rsidR="00F20120">
        <w:t xml:space="preserve">the </w:t>
      </w:r>
      <w:r>
        <w:t xml:space="preserve">more complex models. </w:t>
      </w:r>
    </w:p>
    <w:p w14:paraId="29840CE1" w14:textId="4AA32F3D" w:rsidR="00417B62" w:rsidRDefault="00417B62" w:rsidP="005D72F6">
      <w:r>
        <w:t>So far, we h</w:t>
      </w:r>
      <w:r w:rsidRPr="005853F4">
        <w:t xml:space="preserve">ave described phenomenism. Let us turn to its competitor, </w:t>
      </w:r>
      <w:r>
        <w:t>representationalism</w:t>
      </w:r>
      <w:r w:rsidR="00C55ADE">
        <w:t xml:space="preserve"> (</w:t>
      </w:r>
      <w:r w:rsidR="00AA60F3">
        <w:t xml:space="preserve">Byrne 2001; Byrne &amp; Tye 2006; </w:t>
      </w:r>
      <w:r w:rsidR="00C55ADE">
        <w:t xml:space="preserve">Dretske 1995; Harman 1990; </w:t>
      </w:r>
      <w:r w:rsidR="00D8417C">
        <w:t xml:space="preserve">Mendelovici 2014; </w:t>
      </w:r>
      <w:r w:rsidR="00C55ADE">
        <w:t>Tye 1995, 200</w:t>
      </w:r>
      <w:r w:rsidR="00B62A21">
        <w:t>2</w:t>
      </w:r>
      <w:r w:rsidR="00F95482">
        <w:t>, 2014</w:t>
      </w:r>
      <w:r w:rsidR="00C55ADE">
        <w:t>)</w:t>
      </w:r>
      <w:r w:rsidRPr="005853F4">
        <w:t>.</w:t>
      </w:r>
      <w:r>
        <w:t xml:space="preserve"> </w:t>
      </w:r>
      <w:r w:rsidRPr="005853F4">
        <w:t xml:space="preserve">On this view, phenomenal character is determined by </w:t>
      </w:r>
      <w:r>
        <w:t>the representational content of experience</w:t>
      </w:r>
      <w:r w:rsidRPr="005853F4">
        <w:t xml:space="preserve">. Return to the almond tree </w:t>
      </w:r>
      <w:r w:rsidR="009C29AD">
        <w:t>example</w:t>
      </w:r>
      <w:r w:rsidRPr="005853F4">
        <w:t xml:space="preserve">. </w:t>
      </w:r>
      <w:r w:rsidR="002437EB">
        <w:t>R</w:t>
      </w:r>
      <w:r>
        <w:t xml:space="preserve">epresentationalist </w:t>
      </w:r>
      <w:r w:rsidRPr="005853F4">
        <w:t xml:space="preserve">grant that </w:t>
      </w:r>
      <w:r w:rsidR="002437EB">
        <w:t xml:space="preserve">you </w:t>
      </w:r>
      <w:r w:rsidR="003473EE">
        <w:t xml:space="preserve">enjoy </w:t>
      </w:r>
      <w:r w:rsidR="00052DE6">
        <w:t xml:space="preserve">white* </w:t>
      </w:r>
      <w:r w:rsidRPr="005853F4">
        <w:t>phenomen</w:t>
      </w:r>
      <w:r w:rsidR="00B67A5C">
        <w:t xml:space="preserve">al character </w:t>
      </w:r>
      <w:r w:rsidRPr="005853F4">
        <w:t xml:space="preserve">when </w:t>
      </w:r>
      <w:r w:rsidR="002437EB">
        <w:t xml:space="preserve">you </w:t>
      </w:r>
      <w:r w:rsidRPr="005853F4">
        <w:t xml:space="preserve">look at </w:t>
      </w:r>
      <w:r w:rsidR="00D95584">
        <w:t>the tree</w:t>
      </w:r>
      <w:r w:rsidRPr="005853F4">
        <w:t xml:space="preserve">. But </w:t>
      </w:r>
      <w:r w:rsidR="002437EB">
        <w:t xml:space="preserve">they </w:t>
      </w:r>
      <w:r w:rsidR="00A74E32">
        <w:t xml:space="preserve">hold </w:t>
      </w:r>
      <w:r w:rsidRPr="005853F4">
        <w:t>that this phenomen</w:t>
      </w:r>
      <w:r w:rsidR="00B67A5C">
        <w:t>al character</w:t>
      </w:r>
      <w:r w:rsidR="00D95584">
        <w:t xml:space="preserve"> </w:t>
      </w:r>
      <w:r w:rsidRPr="005853F4">
        <w:t xml:space="preserve">is determined by </w:t>
      </w:r>
      <w:r>
        <w:t xml:space="preserve">the fact that </w:t>
      </w:r>
      <w:r w:rsidR="002437EB">
        <w:t xml:space="preserve">your </w:t>
      </w:r>
      <w:r>
        <w:t xml:space="preserve">experience represents </w:t>
      </w:r>
      <w:r w:rsidR="009B66BB">
        <w:t>the petals as white</w:t>
      </w:r>
      <w:r w:rsidR="00264DCA">
        <w:t xml:space="preserve">: </w:t>
      </w:r>
      <w:r w:rsidR="00D95584">
        <w:t xml:space="preserve">that </w:t>
      </w:r>
      <w:r>
        <w:t>a neuron in V4 represents whiteness</w:t>
      </w:r>
      <w:r w:rsidR="003A61DC">
        <w:t xml:space="preserve"> (which </w:t>
      </w:r>
      <w:r w:rsidR="0080453B">
        <w:t xml:space="preserve">determines </w:t>
      </w:r>
      <w:r w:rsidR="003A61DC">
        <w:t>that the experience represents whiteness)</w:t>
      </w:r>
      <w:r>
        <w:t xml:space="preserve"> determines that the experience has white</w:t>
      </w:r>
      <w:r w:rsidR="00052DE6">
        <w:t>*</w:t>
      </w:r>
      <w:r>
        <w:t xml:space="preserve"> phenomen</w:t>
      </w:r>
      <w:r w:rsidR="00052DE6">
        <w:t>al character</w:t>
      </w:r>
      <w:r>
        <w:t>, rather than black</w:t>
      </w:r>
      <w:r w:rsidR="00052DE6">
        <w:t>*</w:t>
      </w:r>
      <w:r>
        <w:t xml:space="preserve">, say. </w:t>
      </w:r>
    </w:p>
    <w:p w14:paraId="23628E91" w14:textId="6DD04757" w:rsidR="0080453B" w:rsidRDefault="00417B62" w:rsidP="00417B62">
      <w:pPr>
        <w:rPr>
          <w:rtl/>
        </w:rPr>
      </w:pPr>
      <w:r>
        <w:t>In sum, both camps in the dispute grant that experience has both representational content and phenomenal character. The dispute concerns their relat</w:t>
      </w:r>
      <w:r w:rsidRPr="000307F4">
        <w:t xml:space="preserve">ionship. </w:t>
      </w:r>
      <w:r w:rsidR="00E91FE6">
        <w:t>P</w:t>
      </w:r>
      <w:r>
        <w:t>henomenis</w:t>
      </w:r>
      <w:r w:rsidR="00E91FE6">
        <w:t>ts</w:t>
      </w:r>
      <w:r>
        <w:t xml:space="preserve"> hold </w:t>
      </w:r>
      <w:r w:rsidRPr="000307F4">
        <w:t xml:space="preserve">that </w:t>
      </w:r>
      <w:r>
        <w:t xml:space="preserve">phenomenal character </w:t>
      </w:r>
      <w:r w:rsidRPr="000307F4">
        <w:t xml:space="preserve">is mental paint </w:t>
      </w:r>
      <w:r>
        <w:t xml:space="preserve">– </w:t>
      </w:r>
      <w:r w:rsidRPr="000307F4">
        <w:t xml:space="preserve">an intrinsic, conscious property distinct from </w:t>
      </w:r>
      <w:r w:rsidR="0080453B">
        <w:t xml:space="preserve">representational </w:t>
      </w:r>
      <w:r w:rsidRPr="000307F4">
        <w:t>content.</w:t>
      </w:r>
      <w:r w:rsidR="00720E89">
        <w:t xml:space="preserve"> Mental paint is </w:t>
      </w:r>
      <w:r w:rsidR="00E91FE6">
        <w:t xml:space="preserve">entirely </w:t>
      </w:r>
      <w:r w:rsidR="00720E89">
        <w:t>determined by intrinsic, vehicle properties of the neuron underlying it</w:t>
      </w:r>
      <w:r w:rsidR="00E91FE6">
        <w:t>, regardless of tracking relations</w:t>
      </w:r>
      <w:r w:rsidR="00720E89">
        <w:t>.</w:t>
      </w:r>
      <w:r w:rsidRPr="000307F4">
        <w:t xml:space="preserve"> </w:t>
      </w:r>
      <w:r w:rsidR="00E91FE6">
        <w:t>R</w:t>
      </w:r>
      <w:r>
        <w:t>epresentationalist</w:t>
      </w:r>
      <w:r w:rsidR="00E91FE6">
        <w:t>s</w:t>
      </w:r>
      <w:r>
        <w:t xml:space="preserve"> hold </w:t>
      </w:r>
      <w:r w:rsidRPr="000307F4">
        <w:t xml:space="preserve">that </w:t>
      </w:r>
      <w:r>
        <w:t xml:space="preserve">phenomenal character </w:t>
      </w:r>
      <w:r w:rsidRPr="000307F4">
        <w:t xml:space="preserve">is determined by </w:t>
      </w:r>
      <w:r>
        <w:t xml:space="preserve">the representational </w:t>
      </w:r>
      <w:r w:rsidRPr="005E5A50">
        <w:t>content of the experience</w:t>
      </w:r>
      <w:r w:rsidR="00720E89">
        <w:t xml:space="preserve">, </w:t>
      </w:r>
      <w:r w:rsidR="00E91FE6">
        <w:t xml:space="preserve">which is </w:t>
      </w:r>
      <w:r w:rsidR="00720E89">
        <w:t>itself determined by the representational content of the neuron underlying it</w:t>
      </w:r>
      <w:r w:rsidRPr="005E5A50">
        <w:t>.</w:t>
      </w:r>
      <w:r w:rsidR="00E91FE6">
        <w:t xml:space="preserve"> In turn, </w:t>
      </w:r>
      <w:r w:rsidR="00E92970">
        <w:t>this</w:t>
      </w:r>
      <w:r w:rsidR="00E91FE6">
        <w:t xml:space="preserve"> representational content is determined by a combination of neuronal vehicle properties and tracking relations. </w:t>
      </w:r>
      <w:r w:rsidRPr="005E5A50">
        <w:t xml:space="preserve"> </w:t>
      </w:r>
    </w:p>
    <w:p w14:paraId="4B1EEB3F" w14:textId="5AAE3B9F" w:rsidR="00861E31" w:rsidRPr="00FC0D90" w:rsidRDefault="009B58A6" w:rsidP="002F4C91">
      <w:pPr>
        <w:pStyle w:val="ListParagraph"/>
        <w:numPr>
          <w:ilvl w:val="1"/>
          <w:numId w:val="1"/>
        </w:numPr>
        <w:rPr>
          <w:b/>
          <w:bCs/>
        </w:rPr>
      </w:pPr>
      <w:r>
        <w:rPr>
          <w:b/>
          <w:bCs/>
        </w:rPr>
        <w:t xml:space="preserve"> </w:t>
      </w:r>
      <w:r w:rsidR="00417B62" w:rsidRPr="00FC0D90">
        <w:rPr>
          <w:b/>
          <w:bCs/>
        </w:rPr>
        <w:t>The thesis of transparency</w:t>
      </w:r>
    </w:p>
    <w:p w14:paraId="7FE19571" w14:textId="4FFF69B2" w:rsidR="00417B62" w:rsidRDefault="00417B62" w:rsidP="00417B62">
      <w:pPr>
        <w:rPr>
          <w:rtl/>
        </w:rPr>
      </w:pPr>
      <w:r>
        <w:lastRenderedPageBreak/>
        <w:t xml:space="preserve">The transparency thesis </w:t>
      </w:r>
      <w:r w:rsidR="0091349A">
        <w:t>concerns</w:t>
      </w:r>
      <w:r>
        <w:t xml:space="preserve"> attention in ordinary perceptual experiences (not, e.g., the experience of phosphenes or afterimages). Philosophers argue that it challenges phenomenism and support</w:t>
      </w:r>
      <w:r w:rsidR="002631A7">
        <w:t>s</w:t>
      </w:r>
      <w:r>
        <w:t xml:space="preserve"> representationalism (Harman 1990; Tye 1995,</w:t>
      </w:r>
      <w:r w:rsidR="00F95482">
        <w:t xml:space="preserve"> 2002,</w:t>
      </w:r>
      <w:r>
        <w:t xml:space="preserve"> 2014). There are two versions of the thesis in the literature, one phenomenological, the other ontological. The first is a thesis about what attention </w:t>
      </w:r>
      <w:r w:rsidRPr="0021487E">
        <w:rPr>
          <w:i/>
          <w:iCs/>
        </w:rPr>
        <w:t>seems</w:t>
      </w:r>
      <w:r>
        <w:rPr>
          <w:i/>
          <w:iCs/>
        </w:rPr>
        <w:t xml:space="preserve"> </w:t>
      </w:r>
      <w:r>
        <w:t xml:space="preserve">to be directed to, upon phenomenological reflection. The second is a thesis about what attention is </w:t>
      </w:r>
      <w:r w:rsidRPr="0021487E">
        <w:rPr>
          <w:i/>
          <w:iCs/>
        </w:rPr>
        <w:t>in fact</w:t>
      </w:r>
      <w:r>
        <w:t xml:space="preserve"> directed to. Typically, philosophers support the ontological version on the basis of the phenomenological version, combined with an additional premise, namely that introspection does not involve massive error (Tye 2002, p. 139). In contrast, we will tackle the ontological version </w:t>
      </w:r>
      <w:r w:rsidRPr="00AF3FF8">
        <w:rPr>
          <w:i/>
          <w:iCs/>
        </w:rPr>
        <w:t>directly</w:t>
      </w:r>
      <w:r>
        <w:t xml:space="preserve"> on grounds of theoretical </w:t>
      </w:r>
      <w:r w:rsidR="00625EC6">
        <w:t>considerations</w:t>
      </w:r>
      <w:r>
        <w:t>. For this reason, we set aside the phenomenological version</w:t>
      </w:r>
      <w:r w:rsidR="00604A38">
        <w:t xml:space="preserve">, and </w:t>
      </w:r>
      <w:r w:rsidR="00AF3FF8">
        <w:t xml:space="preserve">will henceforth </w:t>
      </w:r>
      <w:r w:rsidR="00604A38">
        <w:t>use “transparency” only in the ontological sense</w:t>
      </w:r>
      <w:r>
        <w:t>.</w:t>
      </w:r>
    </w:p>
    <w:p w14:paraId="068668CF" w14:textId="14896259" w:rsidR="00417B62" w:rsidRDefault="00417B62" w:rsidP="007B7810">
      <w:r>
        <w:t xml:space="preserve">According to the thesis of transparency, when you introspect your perceptual experience, your attention </w:t>
      </w:r>
      <w:r w:rsidR="009A288C">
        <w:t xml:space="preserve">always </w:t>
      </w:r>
      <w:r>
        <w:t xml:space="preserve">“goes through it” to objects in the world and their properties (objects and properties the experience represents). </w:t>
      </w:r>
      <w:r w:rsidR="009A288C">
        <w:rPr>
          <w:rFonts w:hint="cs"/>
        </w:rPr>
        <w:t>I</w:t>
      </w:r>
      <w:r w:rsidR="009A288C">
        <w:t xml:space="preserve">n other words, your attention can only be directed to the representational content of your experience. </w:t>
      </w:r>
      <w:r w:rsidR="00194728">
        <w:t xml:space="preserve">For example, </w:t>
      </w:r>
      <w:r>
        <w:t>look</w:t>
      </w:r>
      <w:r w:rsidR="007B7810">
        <w:t>ing</w:t>
      </w:r>
      <w:r>
        <w:t xml:space="preserve"> at the almond tree</w:t>
      </w:r>
      <w:r w:rsidR="007B7810">
        <w:t>,</w:t>
      </w:r>
      <w:r>
        <w:t xml:space="preserve"> </w:t>
      </w:r>
      <w:r w:rsidR="007B7810">
        <w:t>y</w:t>
      </w:r>
      <w:r>
        <w:t>ou focus your attention on the white color</w:t>
      </w:r>
      <w:r w:rsidR="007B7810">
        <w:t xml:space="preserve"> that the petals</w:t>
      </w:r>
      <w:r w:rsidR="00625EC6">
        <w:t xml:space="preserve"> </w:t>
      </w:r>
      <w:r w:rsidR="007B7810">
        <w:t xml:space="preserve">appear to have (i.e., the white color </w:t>
      </w:r>
      <w:r w:rsidR="00625EC6">
        <w:t>that your experience represents the petals as having</w:t>
      </w:r>
      <w:r w:rsidR="007B7810">
        <w:t>)</w:t>
      </w:r>
      <w:r>
        <w:t>. Next, you try to turn your attention “inwards,” to white* mental paint</w:t>
      </w:r>
      <w:r w:rsidR="00194728">
        <w:t>. According to the thesis of transparency</w:t>
      </w:r>
      <w:r>
        <w:t>, you can</w:t>
      </w:r>
      <w:r w:rsidR="002631A7">
        <w:t>no</w:t>
      </w:r>
      <w:r>
        <w:t xml:space="preserve">t do </w:t>
      </w:r>
      <w:r w:rsidR="002631A7">
        <w:t>so</w:t>
      </w:r>
      <w:r>
        <w:t xml:space="preserve">. </w:t>
      </w:r>
    </w:p>
    <w:p w14:paraId="4D38086A" w14:textId="51C0102C" w:rsidR="00417B62" w:rsidRDefault="00EE65BB" w:rsidP="00417B62">
      <w:r>
        <w:t>T</w:t>
      </w:r>
      <w:r w:rsidR="00417B62">
        <w:t xml:space="preserve">ransparency is </w:t>
      </w:r>
      <w:r>
        <w:t xml:space="preserve">supposed to </w:t>
      </w:r>
      <w:r w:rsidR="000D15A9">
        <w:t xml:space="preserve">be </w:t>
      </w:r>
      <w:r w:rsidR="00417B62">
        <w:t xml:space="preserve">evidence for representationalism. The basic thought is that if </w:t>
      </w:r>
      <w:r w:rsidR="007B7810">
        <w:t xml:space="preserve">you </w:t>
      </w:r>
      <w:r w:rsidR="00EB2A1E">
        <w:t xml:space="preserve">enjoy </w:t>
      </w:r>
      <w:r w:rsidR="00417B62">
        <w:t xml:space="preserve">mental paint, </w:t>
      </w:r>
      <w:r w:rsidR="007B7810">
        <w:t xml:space="preserve">you </w:t>
      </w:r>
      <w:r w:rsidR="00417B62">
        <w:t xml:space="preserve">should be able to </w:t>
      </w:r>
      <w:r w:rsidR="003F48C7">
        <w:t xml:space="preserve">attend to it. </w:t>
      </w:r>
      <w:r w:rsidR="00417B62">
        <w:t xml:space="preserve">But </w:t>
      </w:r>
      <w:r w:rsidR="007B7810">
        <w:t xml:space="preserve">you </w:t>
      </w:r>
      <w:r w:rsidR="00417B62">
        <w:t>can't (as per transparency), so there is no mental paint (</w:t>
      </w:r>
      <w:r w:rsidR="003F48C7">
        <w:t>see Kind 2003, 2008, 2010</w:t>
      </w:r>
      <w:r w:rsidR="004F3666">
        <w:t>;</w:t>
      </w:r>
      <w:r w:rsidR="003F48C7">
        <w:t xml:space="preserve"> Loar 2003</w:t>
      </w:r>
      <w:r w:rsidR="004F3666">
        <w:t>;</w:t>
      </w:r>
      <w:r w:rsidR="003F48C7">
        <w:t xml:space="preserve"> Tye 2014</w:t>
      </w:r>
      <w:r w:rsidR="00417B62">
        <w:t xml:space="preserve">).  </w:t>
      </w:r>
    </w:p>
    <w:p w14:paraId="2993968C" w14:textId="1D5ACC91" w:rsidR="00B63138" w:rsidRPr="00B63138" w:rsidRDefault="00194728" w:rsidP="001F1014">
      <w:pPr>
        <w:rPr>
          <w:rFonts w:cs="Times-Roman"/>
        </w:rPr>
      </w:pPr>
      <w:bookmarkStart w:id="8" w:name="_Hlk14688085"/>
      <w:r>
        <w:t xml:space="preserve">Ned Block (2003), </w:t>
      </w:r>
      <w:r w:rsidR="00417B62">
        <w:t>Amy Kind (2003, 2008) and Brian Loar (2003)</w:t>
      </w:r>
      <w:r w:rsidR="00A80187">
        <w:t>, who hold that mental paint exist</w:t>
      </w:r>
      <w:r w:rsidR="005F6F7E">
        <w:t>s</w:t>
      </w:r>
      <w:r w:rsidR="00A80187">
        <w:t>,</w:t>
      </w:r>
      <w:r w:rsidR="00417B62">
        <w:t xml:space="preserve"> </w:t>
      </w:r>
      <w:r w:rsidR="00612971">
        <w:t xml:space="preserve">deny </w:t>
      </w:r>
      <w:r w:rsidR="00417B62">
        <w:t>the transparency thesis</w:t>
      </w:r>
      <w:r>
        <w:t>. They</w:t>
      </w:r>
      <w:r w:rsidR="00417B62">
        <w:t xml:space="preserve"> grant that </w:t>
      </w:r>
      <w:r w:rsidR="00417B62">
        <w:rPr>
          <w:i/>
          <w:iCs/>
        </w:rPr>
        <w:t xml:space="preserve">usually </w:t>
      </w:r>
      <w:r w:rsidR="00417B62">
        <w:t>when you introspect your experience, your attention "goes through" to its representational content</w:t>
      </w:r>
      <w:r w:rsidR="00A80187">
        <w:t xml:space="preserve"> – i.e., </w:t>
      </w:r>
      <w:r w:rsidR="00976289">
        <w:t>it</w:t>
      </w:r>
      <w:r w:rsidR="00A80187">
        <w:t xml:space="preserve"> </w:t>
      </w:r>
      <w:r w:rsidR="00976289">
        <w:t>'</w:t>
      </w:r>
      <w:r w:rsidR="005F6F7E">
        <w:t>ignores</w:t>
      </w:r>
      <w:r w:rsidR="00976289">
        <w:t>'</w:t>
      </w:r>
      <w:r w:rsidR="005F6F7E">
        <w:t xml:space="preserve"> mental paint and </w:t>
      </w:r>
      <w:r w:rsidR="00976289">
        <w:t>'</w:t>
      </w:r>
      <w:r w:rsidR="005F6F7E">
        <w:t>focuses</w:t>
      </w:r>
      <w:r w:rsidR="00813317">
        <w:t>'</w:t>
      </w:r>
      <w:r w:rsidR="005F6F7E">
        <w:t xml:space="preserve"> on what it</w:t>
      </w:r>
      <w:r w:rsidR="00A80187">
        <w:t xml:space="preserve"> represents</w:t>
      </w:r>
      <w:r w:rsidR="00813317">
        <w:t xml:space="preserve">; </w:t>
      </w:r>
      <w:r w:rsidR="00417B62">
        <w:t xml:space="preserve">but they think it is nevertheless </w:t>
      </w:r>
      <w:r w:rsidR="00417B62" w:rsidRPr="00610D6B">
        <w:rPr>
          <w:i/>
          <w:iCs/>
        </w:rPr>
        <w:t>possible</w:t>
      </w:r>
      <w:r w:rsidR="00417B62">
        <w:t xml:space="preserve"> to turn attention "inwards" to mental paint</w:t>
      </w:r>
      <w:r w:rsidR="003F1305">
        <w:t xml:space="preserve"> (</w:t>
      </w:r>
      <w:r>
        <w:t xml:space="preserve">Block 2003, pp. 173, 178-9; </w:t>
      </w:r>
      <w:r w:rsidR="003F1305">
        <w:t>Kind 2003, p. 230, 2008, p. 287; Loar 2003, pp. 77, 94)</w:t>
      </w:r>
      <w:r w:rsidR="00417B62">
        <w:t>.</w:t>
      </w:r>
      <w:bookmarkEnd w:id="8"/>
      <w:r w:rsidR="00417B62">
        <w:t xml:space="preserve"> </w:t>
      </w:r>
      <w:r>
        <w:t xml:space="preserve">Kind and Loar emphasize </w:t>
      </w:r>
      <w:r w:rsidR="00417B62">
        <w:t xml:space="preserve">that attending to mental paint is </w:t>
      </w:r>
      <w:r w:rsidR="00417B62" w:rsidRPr="00286E6B">
        <w:rPr>
          <w:i/>
          <w:iCs/>
        </w:rPr>
        <w:t>difficult</w:t>
      </w:r>
      <w:r w:rsidR="00417B62">
        <w:t xml:space="preserve">. </w:t>
      </w:r>
    </w:p>
    <w:p w14:paraId="6B3BFB1F" w14:textId="0E31A98E" w:rsidR="00E86F97" w:rsidRDefault="003A4184" w:rsidP="00356D04">
      <w:r>
        <w:t>In the remainder of this paper w</w:t>
      </w:r>
      <w:r w:rsidR="00417B62">
        <w:t xml:space="preserve">e will assume, with Block, Kind and Loar, that our attention is </w:t>
      </w:r>
      <w:r w:rsidR="00FF1890">
        <w:t xml:space="preserve">typically </w:t>
      </w:r>
      <w:r w:rsidR="00417B62">
        <w:t xml:space="preserve">directed to the representational content of experience, and </w:t>
      </w:r>
      <w:r w:rsidR="00612971">
        <w:t>argue</w:t>
      </w:r>
      <w:r w:rsidR="0084161E">
        <w:t>,</w:t>
      </w:r>
      <w:r w:rsidR="00612971">
        <w:t xml:space="preserve"> </w:t>
      </w:r>
      <w:r w:rsidR="00417B62">
        <w:t xml:space="preserve">against </w:t>
      </w:r>
      <w:r w:rsidR="0084161E">
        <w:t>them,</w:t>
      </w:r>
      <w:r w:rsidR="00417B62">
        <w:t xml:space="preserve"> that it is not possible to direct attention to mental paint. </w:t>
      </w:r>
      <w:r w:rsidR="00A17328">
        <w:t xml:space="preserve">From this the thesis of transparency follows. </w:t>
      </w:r>
      <w:r w:rsidR="00417B62">
        <w:t>Note that we do not aim to refute phenomenism, vindicate representationalism</w:t>
      </w:r>
      <w:r w:rsidR="00DC484A">
        <w:t>,</w:t>
      </w:r>
      <w:r w:rsidR="00417B62">
        <w:t xml:space="preserve"> or even defend the argument from transparency. We only purport to </w:t>
      </w:r>
      <w:r w:rsidR="005312C1">
        <w:t xml:space="preserve">support the transparency thesis itself. </w:t>
      </w:r>
      <w:r w:rsidR="00396156">
        <w:t>Because</w:t>
      </w:r>
      <w:r w:rsidR="00E86F97">
        <w:t xml:space="preserve"> the opponents of transparency that we target (namely Block, Kind and Loar) assum</w:t>
      </w:r>
      <w:r w:rsidR="00045A93">
        <w:t>e</w:t>
      </w:r>
      <w:r w:rsidR="00813317">
        <w:t xml:space="preserve"> </w:t>
      </w:r>
      <w:r w:rsidR="0081433C">
        <w:t>that attention is typically directed to the representational content of experience, it is legitimate for us to assume it in our argument</w:t>
      </w:r>
      <w:r w:rsidR="00E575F3">
        <w:t xml:space="preserve"> as well</w:t>
      </w:r>
      <w:r w:rsidR="00E86F97">
        <w:t xml:space="preserve">. However, </w:t>
      </w:r>
      <w:r w:rsidR="008E764E">
        <w:t xml:space="preserve">we would like to emphasize </w:t>
      </w:r>
      <w:r w:rsidR="00E86F97">
        <w:t xml:space="preserve">that </w:t>
      </w:r>
      <w:r w:rsidR="00391BE2">
        <w:t xml:space="preserve">one can </w:t>
      </w:r>
      <w:r w:rsidR="00D00292">
        <w:t xml:space="preserve">resist </w:t>
      </w:r>
      <w:r w:rsidR="00EC6AF1">
        <w:t xml:space="preserve">the move from </w:t>
      </w:r>
      <w:r w:rsidR="00F1524F">
        <w:t xml:space="preserve">the impossibility of attentional shifts (between representational content and mental paint) to transparency </w:t>
      </w:r>
      <w:r w:rsidR="00E86F97">
        <w:t xml:space="preserve">by denying </w:t>
      </w:r>
      <w:r w:rsidR="006551A9">
        <w:t xml:space="preserve">this </w:t>
      </w:r>
      <w:r w:rsidR="00E86F97">
        <w:t>assumption</w:t>
      </w:r>
      <w:r w:rsidR="00502D13">
        <w:rPr>
          <w:rStyle w:val="FootnoteReference"/>
        </w:rPr>
        <w:footnoteReference w:id="4"/>
      </w:r>
      <w:r w:rsidR="00E86F97">
        <w:t xml:space="preserve">. </w:t>
      </w:r>
    </w:p>
    <w:p w14:paraId="0B6A8713" w14:textId="51CA125A" w:rsidR="00417B62" w:rsidRPr="00FC0D90" w:rsidRDefault="00DA12AD" w:rsidP="002F4C91">
      <w:pPr>
        <w:pStyle w:val="ListParagraph"/>
        <w:numPr>
          <w:ilvl w:val="0"/>
          <w:numId w:val="1"/>
        </w:numPr>
        <w:rPr>
          <w:b/>
          <w:bCs/>
        </w:rPr>
      </w:pPr>
      <w:r w:rsidRPr="00FC0D90">
        <w:rPr>
          <w:b/>
          <w:bCs/>
        </w:rPr>
        <w:lastRenderedPageBreak/>
        <w:t>A</w:t>
      </w:r>
      <w:r w:rsidR="00417B62" w:rsidRPr="00FC0D90">
        <w:rPr>
          <w:b/>
          <w:bCs/>
        </w:rPr>
        <w:t xml:space="preserve">ttention as modulation of </w:t>
      </w:r>
      <w:r w:rsidR="00F07419" w:rsidRPr="00FC0D90">
        <w:rPr>
          <w:b/>
          <w:bCs/>
        </w:rPr>
        <w:t xml:space="preserve">first-order </w:t>
      </w:r>
      <w:r w:rsidR="00417B62" w:rsidRPr="00FC0D90">
        <w:rPr>
          <w:b/>
          <w:bCs/>
        </w:rPr>
        <w:t>sensory representations</w:t>
      </w:r>
    </w:p>
    <w:p w14:paraId="06D5FB9D" w14:textId="4C6A4C6A" w:rsidR="00BA1E7F" w:rsidRDefault="00417B62" w:rsidP="00E837F3">
      <w:r w:rsidRPr="005E5A50">
        <w:t xml:space="preserve">In this section we examine </w:t>
      </w:r>
      <w:r w:rsidR="00772617">
        <w:t xml:space="preserve">accounts of </w:t>
      </w:r>
      <w:r w:rsidR="00D10C75">
        <w:t>first-order (</w:t>
      </w:r>
      <w:r w:rsidR="0088029B">
        <w:t>FO</w:t>
      </w:r>
      <w:r w:rsidR="00D10C75">
        <w:t>)</w:t>
      </w:r>
      <w:r w:rsidR="0088029B">
        <w:t xml:space="preserve"> </w:t>
      </w:r>
      <w:r w:rsidRPr="005E5A50">
        <w:t>sensory attention. Th</w:t>
      </w:r>
      <w:r w:rsidR="00772617">
        <w:t xml:space="preserve">ese are </w:t>
      </w:r>
      <w:r w:rsidRPr="005E5A50">
        <w:t xml:space="preserve">standard </w:t>
      </w:r>
      <w:r w:rsidR="0088029B">
        <w:t>neuro</w:t>
      </w:r>
      <w:r w:rsidRPr="005E5A50">
        <w:t xml:space="preserve">scientific </w:t>
      </w:r>
      <w:r w:rsidR="00772617">
        <w:t>accounts</w:t>
      </w:r>
      <w:r w:rsidR="00772617" w:rsidRPr="005E5A50">
        <w:t xml:space="preserve"> </w:t>
      </w:r>
      <w:r w:rsidRPr="005E5A50">
        <w:t xml:space="preserve">of attention, </w:t>
      </w:r>
      <w:r w:rsidR="00E837F3">
        <w:t>on which atten</w:t>
      </w:r>
      <w:r w:rsidR="00BC6BC4">
        <w:t>ding</w:t>
      </w:r>
      <w:r w:rsidR="00E837F3">
        <w:t xml:space="preserve"> is </w:t>
      </w:r>
      <w:r w:rsidR="00772617">
        <w:t xml:space="preserve">a matter of </w:t>
      </w:r>
      <w:r w:rsidRPr="005E5A50">
        <w:t>modulati</w:t>
      </w:r>
      <w:r w:rsidR="00772617">
        <w:t>ng</w:t>
      </w:r>
      <w:r w:rsidRPr="005E5A50">
        <w:t xml:space="preserve"> </w:t>
      </w:r>
      <w:r w:rsidR="00BC6BC4">
        <w:t xml:space="preserve">the neuronal basis of </w:t>
      </w:r>
      <w:r w:rsidR="0088029B">
        <w:t xml:space="preserve">FO </w:t>
      </w:r>
      <w:r w:rsidRPr="005E5A50">
        <w:t xml:space="preserve">sensory representations. </w:t>
      </w:r>
      <w:r w:rsidR="00CA5959">
        <w:t>It is important to note that m</w:t>
      </w:r>
      <w:r w:rsidR="00651774">
        <w:t xml:space="preserve">ost </w:t>
      </w:r>
      <w:r w:rsidR="00CB485F">
        <w:t>(</w:t>
      </w:r>
      <w:r w:rsidR="00CA5959">
        <w:t xml:space="preserve">if not </w:t>
      </w:r>
      <w:r w:rsidR="00CB485F">
        <w:t xml:space="preserve">all) </w:t>
      </w:r>
      <w:r w:rsidR="00651774">
        <w:t>of t</w:t>
      </w:r>
      <w:r w:rsidR="00C45149">
        <w:t>hese accounts</w:t>
      </w:r>
      <w:r w:rsidR="00B81138">
        <w:rPr>
          <w:rFonts w:hint="cs"/>
          <w:rtl/>
        </w:rPr>
        <w:t xml:space="preserve"> </w:t>
      </w:r>
      <w:r w:rsidR="00C45149">
        <w:t>are not in competition</w:t>
      </w:r>
      <w:r w:rsidR="00CA5959">
        <w:t>,</w:t>
      </w:r>
      <w:r w:rsidR="00CB485F">
        <w:t xml:space="preserve"> </w:t>
      </w:r>
      <w:r w:rsidR="00CA5959">
        <w:t xml:space="preserve">because </w:t>
      </w:r>
      <w:r w:rsidR="00CB485F">
        <w:t xml:space="preserve">they </w:t>
      </w:r>
      <w:r w:rsidR="00C45149">
        <w:t xml:space="preserve">concern </w:t>
      </w:r>
      <w:r w:rsidR="00CB485F">
        <w:t>different findings about how attention works.</w:t>
      </w:r>
      <w:r w:rsidR="00C45149">
        <w:t xml:space="preserve"> </w:t>
      </w:r>
      <w:r w:rsidR="00CA5959">
        <w:t xml:space="preserve">Hence, they can be taken to concern different aspects of attention. </w:t>
      </w:r>
      <w:r w:rsidRPr="005E5A50">
        <w:t xml:space="preserve">We </w:t>
      </w:r>
      <w:r w:rsidR="005E5919">
        <w:t xml:space="preserve">argue that </w:t>
      </w:r>
      <w:r w:rsidR="0088029B">
        <w:t xml:space="preserve">these </w:t>
      </w:r>
      <w:r w:rsidR="00E837F3">
        <w:t xml:space="preserve">accounts </w:t>
      </w:r>
      <w:r w:rsidR="0088029B">
        <w:t xml:space="preserve">of attention </w:t>
      </w:r>
      <w:r w:rsidR="005E5919">
        <w:t xml:space="preserve">are inapplicable to mental paint. Note that these </w:t>
      </w:r>
      <w:r w:rsidR="00BC6BC4">
        <w:t xml:space="preserve">accounts </w:t>
      </w:r>
      <w:r w:rsidR="005E5919">
        <w:t xml:space="preserve">are of attention </w:t>
      </w:r>
      <w:r w:rsidR="005E5919" w:rsidRPr="00BC6BC4">
        <w:rPr>
          <w:i/>
          <w:iCs/>
        </w:rPr>
        <w:t>itself</w:t>
      </w:r>
      <w:r w:rsidR="005E5919">
        <w:t xml:space="preserve">, not of </w:t>
      </w:r>
      <w:r w:rsidR="005E5919" w:rsidRPr="00823484">
        <w:rPr>
          <w:i/>
          <w:iCs/>
        </w:rPr>
        <w:t>orienting</w:t>
      </w:r>
      <w:r w:rsidR="005E5919">
        <w:t xml:space="preserve"> (controlling) attention</w:t>
      </w:r>
      <w:r w:rsidR="00823484">
        <w:t xml:space="preserve"> (for a philosophical discussion of this distinction see </w:t>
      </w:r>
      <w:proofErr w:type="spellStart"/>
      <w:r w:rsidR="00823484">
        <w:t>Watzl</w:t>
      </w:r>
      <w:proofErr w:type="spellEnd"/>
      <w:r w:rsidR="00823484">
        <w:t xml:space="preserve"> 2017, Ch. 6-7)</w:t>
      </w:r>
      <w:r w:rsidR="005E5919">
        <w:t xml:space="preserve">. </w:t>
      </w:r>
    </w:p>
    <w:p w14:paraId="6052B7B1" w14:textId="6EFAC495" w:rsidR="00D40220" w:rsidRDefault="00D40220" w:rsidP="00D40220">
      <w:r>
        <w:t xml:space="preserve">In the remainder of </w:t>
      </w:r>
      <w:r w:rsidRPr="005E5A50">
        <w:t xml:space="preserve">this section, </w:t>
      </w:r>
      <w:r w:rsidR="000B2695">
        <w:t xml:space="preserve">unless otherwise noted, </w:t>
      </w:r>
      <w:r>
        <w:t xml:space="preserve">talk of </w:t>
      </w:r>
      <w:r w:rsidRPr="005E5A50">
        <w:t xml:space="preserve">“attention” </w:t>
      </w:r>
      <w:r>
        <w:t xml:space="preserve">will refer to </w:t>
      </w:r>
      <w:r w:rsidR="001D61B6">
        <w:rPr>
          <w:i/>
          <w:iCs/>
        </w:rPr>
        <w:t xml:space="preserve">FO </w:t>
      </w:r>
      <w:r w:rsidRPr="00972D7F">
        <w:rPr>
          <w:i/>
          <w:iCs/>
        </w:rPr>
        <w:t xml:space="preserve">sensory </w:t>
      </w:r>
      <w:r w:rsidRPr="006933A3">
        <w:rPr>
          <w:i/>
          <w:iCs/>
        </w:rPr>
        <w:t>attention</w:t>
      </w:r>
      <w:r w:rsidRPr="005E5A50">
        <w:t xml:space="preserve">. </w:t>
      </w:r>
    </w:p>
    <w:p w14:paraId="3600767B" w14:textId="324F2023" w:rsidR="00417B62" w:rsidRPr="005E5A50" w:rsidRDefault="00417B62" w:rsidP="00084871">
      <w:r>
        <w:t xml:space="preserve">The arguments we develop </w:t>
      </w:r>
      <w:r w:rsidR="00756080">
        <w:t xml:space="preserve">in this section </w:t>
      </w:r>
      <w:r>
        <w:t xml:space="preserve">conform </w:t>
      </w:r>
      <w:r w:rsidR="00CB60C9">
        <w:t xml:space="preserve">roughly </w:t>
      </w:r>
      <w:r>
        <w:t>to the following schema</w:t>
      </w:r>
      <w:r w:rsidR="00084871">
        <w:t>, which we clarify below</w:t>
      </w:r>
      <w:r w:rsidRPr="005E5A50">
        <w:t xml:space="preserve">: </w:t>
      </w:r>
    </w:p>
    <w:p w14:paraId="4ACE1583" w14:textId="13C67403" w:rsidR="00417B62" w:rsidRPr="005E5A50" w:rsidRDefault="00417B62" w:rsidP="00417B62">
      <w:pPr>
        <w:pStyle w:val="ListParagraph"/>
        <w:numPr>
          <w:ilvl w:val="0"/>
          <w:numId w:val="6"/>
        </w:numPr>
      </w:pPr>
      <w:r w:rsidRPr="005E5A50">
        <w:t xml:space="preserve">A single </w:t>
      </w:r>
      <w:r w:rsidR="00C43CE8">
        <w:t xml:space="preserve">(active) </w:t>
      </w:r>
      <w:r w:rsidRPr="005E5A50">
        <w:t xml:space="preserve">neuron N underlies a given visual experience. This neuron has both representational content and a vehicle property. The vehicle property determines mental paint </w:t>
      </w:r>
      <w:r w:rsidR="007004D7">
        <w:t xml:space="preserve">by itself </w:t>
      </w:r>
      <w:r w:rsidRPr="005E5A50">
        <w:t>and</w:t>
      </w:r>
      <w:r w:rsidR="007004D7">
        <w:t>, in combination with externalistic</w:t>
      </w:r>
      <w:r w:rsidR="000A56FC">
        <w:t>, tracking</w:t>
      </w:r>
      <w:r w:rsidR="007004D7">
        <w:t xml:space="preserve"> factors, </w:t>
      </w:r>
      <w:r w:rsidR="00334DC6">
        <w:t xml:space="preserve">the vehicle property </w:t>
      </w:r>
      <w:r w:rsidR="007004D7">
        <w:t xml:space="preserve">determines the </w:t>
      </w:r>
      <w:r w:rsidRPr="005E5A50">
        <w:t>representational content</w:t>
      </w:r>
      <w:r w:rsidR="00685C5A">
        <w:rPr>
          <w:rFonts w:hint="cs"/>
          <w:rtl/>
        </w:rPr>
        <w:t xml:space="preserve"> </w:t>
      </w:r>
      <w:r w:rsidR="00685C5A">
        <w:t>of the neuron (which determines the representational content of experience)</w:t>
      </w:r>
      <w:r w:rsidRPr="005E5A50">
        <w:t>. (premise)</w:t>
      </w:r>
    </w:p>
    <w:p w14:paraId="5F1C31B5" w14:textId="185883C0" w:rsidR="00417B62" w:rsidRPr="005E5A50" w:rsidRDefault="00417B62" w:rsidP="00417B62">
      <w:pPr>
        <w:pStyle w:val="ListParagraph"/>
        <w:numPr>
          <w:ilvl w:val="0"/>
          <w:numId w:val="6"/>
        </w:numPr>
      </w:pPr>
      <w:r w:rsidRPr="005E5A50">
        <w:t xml:space="preserve">On a given scientific sense of attention S, to attend to the </w:t>
      </w:r>
      <w:r w:rsidRPr="005E5A50">
        <w:rPr>
          <w:i/>
          <w:iCs/>
        </w:rPr>
        <w:t>representational</w:t>
      </w:r>
      <w:r w:rsidRPr="005E5A50">
        <w:t xml:space="preserve"> </w:t>
      </w:r>
      <w:r w:rsidRPr="005E5A50">
        <w:rPr>
          <w:i/>
          <w:iCs/>
        </w:rPr>
        <w:t>content</w:t>
      </w:r>
      <w:r w:rsidRPr="005E5A50">
        <w:t xml:space="preserve"> of the experience is to modulate in way W a feature of type F of </w:t>
      </w:r>
      <w:r w:rsidR="00490195">
        <w:t xml:space="preserve">the </w:t>
      </w:r>
      <w:r w:rsidRPr="005E5A50">
        <w:t xml:space="preserve">neuron </w:t>
      </w:r>
      <w:r w:rsidR="00490195">
        <w:t xml:space="preserve">underlying </w:t>
      </w:r>
      <w:r w:rsidR="000A56FC">
        <w:t xml:space="preserve">this </w:t>
      </w:r>
      <w:r w:rsidR="00490195">
        <w:t xml:space="preserve">representational content, namely </w:t>
      </w:r>
      <w:r w:rsidRPr="005E5A50">
        <w:t>N. (premise)</w:t>
      </w:r>
    </w:p>
    <w:p w14:paraId="57ABD4E7" w14:textId="2756BF2E" w:rsidR="00417B62" w:rsidRDefault="00417B62" w:rsidP="00417B62">
      <w:pPr>
        <w:pStyle w:val="ListParagraph"/>
        <w:numPr>
          <w:ilvl w:val="0"/>
          <w:numId w:val="6"/>
        </w:numPr>
      </w:pPr>
      <w:r w:rsidRPr="005E5A50">
        <w:t xml:space="preserve">Suppose, </w:t>
      </w:r>
      <w:r w:rsidRPr="00B32DC0">
        <w:rPr>
          <w:i/>
          <w:iCs/>
        </w:rPr>
        <w:t>for</w:t>
      </w:r>
      <w:r w:rsidR="007234E2" w:rsidRPr="00B32DC0">
        <w:rPr>
          <w:i/>
          <w:iCs/>
        </w:rPr>
        <w:t xml:space="preserve"> </w:t>
      </w:r>
      <w:r w:rsidR="005922CD" w:rsidRPr="00B32DC0">
        <w:rPr>
          <w:i/>
          <w:iCs/>
        </w:rPr>
        <w:t>the sake of</w:t>
      </w:r>
      <w:r w:rsidRPr="005E5A50">
        <w:t xml:space="preserve"> </w:t>
      </w:r>
      <w:r w:rsidRPr="00490195">
        <w:rPr>
          <w:i/>
          <w:iCs/>
        </w:rPr>
        <w:t>reductio</w:t>
      </w:r>
      <w:r w:rsidRPr="005E5A50">
        <w:t xml:space="preserve">, that we can attend to the mental paint of </w:t>
      </w:r>
      <w:r w:rsidR="0084161E">
        <w:t>the</w:t>
      </w:r>
      <w:r w:rsidR="0084161E" w:rsidRPr="005E5A50">
        <w:t xml:space="preserve"> </w:t>
      </w:r>
      <w:r w:rsidRPr="005E5A50">
        <w:t xml:space="preserve">experience, in sense S, i.e., in the sense of modulating in way W </w:t>
      </w:r>
      <w:r w:rsidR="00153081">
        <w:t xml:space="preserve">a </w:t>
      </w:r>
      <w:r w:rsidRPr="005E5A50">
        <w:t xml:space="preserve">feature of type F of </w:t>
      </w:r>
      <w:r w:rsidR="00490195">
        <w:t xml:space="preserve">the </w:t>
      </w:r>
      <w:r w:rsidRPr="005E5A50">
        <w:t xml:space="preserve">neuron </w:t>
      </w:r>
      <w:r w:rsidR="00490195">
        <w:t xml:space="preserve">underlying </w:t>
      </w:r>
      <w:r w:rsidR="000A56FC">
        <w:t xml:space="preserve">this </w:t>
      </w:r>
      <w:r w:rsidR="00490195">
        <w:t>mental paint</w:t>
      </w:r>
      <w:r w:rsidRPr="005E5A50">
        <w:t xml:space="preserve">. </w:t>
      </w:r>
    </w:p>
    <w:p w14:paraId="409078D3" w14:textId="45F118C9" w:rsidR="00490195" w:rsidRPr="005E5A50" w:rsidRDefault="00490195" w:rsidP="006A7065">
      <w:pPr>
        <w:pStyle w:val="ListParagraph"/>
        <w:numPr>
          <w:ilvl w:val="0"/>
          <w:numId w:val="6"/>
        </w:numPr>
      </w:pPr>
      <w:r>
        <w:t xml:space="preserve">We can attend to the mental paint of </w:t>
      </w:r>
      <w:r w:rsidR="0084161E">
        <w:t xml:space="preserve">the </w:t>
      </w:r>
      <w:r>
        <w:t xml:space="preserve">experience in the sense of modulating in way W a feature of type F of </w:t>
      </w:r>
      <w:r w:rsidR="0084161E">
        <w:t xml:space="preserve">the neuron </w:t>
      </w:r>
      <w:r>
        <w:t>N</w:t>
      </w:r>
      <w:r w:rsidR="00B32DC0">
        <w:t>.</w:t>
      </w:r>
      <w:r>
        <w:t xml:space="preserve"> (from 1, 3)</w:t>
      </w:r>
    </w:p>
    <w:p w14:paraId="6742B355" w14:textId="576F63A1" w:rsidR="00417B62" w:rsidRPr="005E5A50" w:rsidRDefault="00417B62" w:rsidP="00490195">
      <w:pPr>
        <w:pStyle w:val="ListParagraph"/>
        <w:numPr>
          <w:ilvl w:val="0"/>
          <w:numId w:val="6"/>
        </w:numPr>
      </w:pPr>
      <w:r w:rsidRPr="005E5A50">
        <w:t>There are no two features of type F of neuron N</w:t>
      </w:r>
      <w:r w:rsidR="0084161E">
        <w:t>,</w:t>
      </w:r>
      <w:r w:rsidRPr="005E5A50">
        <w:t xml:space="preserve"> one associated with </w:t>
      </w:r>
      <w:r w:rsidR="00461A76">
        <w:t xml:space="preserve">the </w:t>
      </w:r>
      <w:r w:rsidRPr="005E5A50">
        <w:t xml:space="preserve">representational content </w:t>
      </w:r>
      <w:r w:rsidR="00461A76">
        <w:t xml:space="preserve">of experience </w:t>
      </w:r>
      <w:r w:rsidRPr="005E5A50">
        <w:t xml:space="preserve">and </w:t>
      </w:r>
      <w:r w:rsidR="0084161E">
        <w:t xml:space="preserve">another </w:t>
      </w:r>
      <w:r w:rsidRPr="005E5A50">
        <w:t xml:space="preserve">with </w:t>
      </w:r>
      <w:r w:rsidR="006A7065">
        <w:t>mental paint</w:t>
      </w:r>
      <w:r w:rsidR="00B32DC0">
        <w:t>.</w:t>
      </w:r>
      <w:r w:rsidRPr="005E5A50">
        <w:t xml:space="preserve"> (premise)</w:t>
      </w:r>
    </w:p>
    <w:p w14:paraId="04E6B34D" w14:textId="474E9305" w:rsidR="00417B62" w:rsidRPr="005E5A50" w:rsidRDefault="00417B62" w:rsidP="00417B62">
      <w:pPr>
        <w:pStyle w:val="ListParagraph"/>
        <w:numPr>
          <w:ilvl w:val="0"/>
          <w:numId w:val="6"/>
        </w:numPr>
      </w:pPr>
      <w:r w:rsidRPr="005E5A50">
        <w:t xml:space="preserve">Therefore, attending to </w:t>
      </w:r>
      <w:r w:rsidR="00B66B48">
        <w:t xml:space="preserve">the </w:t>
      </w:r>
      <w:r w:rsidRPr="005E5A50">
        <w:t xml:space="preserve">representational content </w:t>
      </w:r>
      <w:r w:rsidR="00B66B48">
        <w:t xml:space="preserve">of experience </w:t>
      </w:r>
      <w:r w:rsidRPr="005E5A50">
        <w:t xml:space="preserve">is </w:t>
      </w:r>
      <w:r w:rsidRPr="005E5A50">
        <w:rPr>
          <w:i/>
          <w:iCs/>
        </w:rPr>
        <w:t>ipso facto</w:t>
      </w:r>
      <w:r w:rsidRPr="005E5A50">
        <w:t xml:space="preserve"> attending to mental paint. (from 2, </w:t>
      </w:r>
      <w:r w:rsidR="006A7065">
        <w:t>4</w:t>
      </w:r>
      <w:r w:rsidRPr="005E5A50">
        <w:t xml:space="preserve">, </w:t>
      </w:r>
      <w:r w:rsidR="006A7065">
        <w:t>5</w:t>
      </w:r>
      <w:r w:rsidRPr="005E5A50">
        <w:t>)</w:t>
      </w:r>
    </w:p>
    <w:p w14:paraId="128E3E1C" w14:textId="47B0E322" w:rsidR="009A22FB" w:rsidRDefault="00417B62" w:rsidP="00417B62">
      <w:pPr>
        <w:pStyle w:val="ListParagraph"/>
        <w:numPr>
          <w:ilvl w:val="0"/>
          <w:numId w:val="6"/>
        </w:numPr>
      </w:pPr>
      <w:r w:rsidRPr="005E5A50">
        <w:t xml:space="preserve">But, according to </w:t>
      </w:r>
      <w:r w:rsidR="00C3161F">
        <w:t>phenomenism</w:t>
      </w:r>
      <w:r w:rsidRPr="005E5A50">
        <w:t xml:space="preserve">, attention is usually directed to </w:t>
      </w:r>
      <w:r w:rsidR="00B32DC0">
        <w:t xml:space="preserve">the </w:t>
      </w:r>
      <w:r w:rsidRPr="005E5A50">
        <w:t>representational content</w:t>
      </w:r>
      <w:r w:rsidR="0083049E">
        <w:t xml:space="preserve"> of experience</w:t>
      </w:r>
      <w:r w:rsidRPr="005E5A50">
        <w:t xml:space="preserve">, and </w:t>
      </w:r>
      <w:r w:rsidRPr="005E5A50">
        <w:rPr>
          <w:i/>
          <w:iCs/>
        </w:rPr>
        <w:t>not</w:t>
      </w:r>
      <w:r w:rsidRPr="005E5A50">
        <w:t xml:space="preserve"> to mental paint.</w:t>
      </w:r>
      <w:r w:rsidR="009A22FB">
        <w:t xml:space="preserve"> (premise)</w:t>
      </w:r>
    </w:p>
    <w:p w14:paraId="21794846" w14:textId="416EDC31" w:rsidR="00417B62" w:rsidRPr="005E5A50" w:rsidRDefault="009A22FB" w:rsidP="00417B62">
      <w:pPr>
        <w:pStyle w:val="ListParagraph"/>
        <w:numPr>
          <w:ilvl w:val="0"/>
          <w:numId w:val="6"/>
        </w:numPr>
      </w:pPr>
      <w:r>
        <w:t>There is a c</w:t>
      </w:r>
      <w:r w:rsidR="00417B62" w:rsidRPr="005E5A50">
        <w:t xml:space="preserve">ontradiction between </w:t>
      </w:r>
      <w:r w:rsidR="00C3161F">
        <w:t>6</w:t>
      </w:r>
      <w:r w:rsidR="00C3161F" w:rsidRPr="005E5A50">
        <w:t xml:space="preserve"> </w:t>
      </w:r>
      <w:r w:rsidR="00417B62" w:rsidRPr="005E5A50">
        <w:t xml:space="preserve">and </w:t>
      </w:r>
      <w:r w:rsidR="00C3161F">
        <w:t>7</w:t>
      </w:r>
      <w:r w:rsidR="00417B62" w:rsidRPr="005E5A50">
        <w:t>.</w:t>
      </w:r>
    </w:p>
    <w:p w14:paraId="44D65ADB" w14:textId="6CEA555C" w:rsidR="00417B62" w:rsidRPr="005E5A50" w:rsidRDefault="00417B62" w:rsidP="00417B62">
      <w:pPr>
        <w:pStyle w:val="ListParagraph"/>
        <w:numPr>
          <w:ilvl w:val="0"/>
          <w:numId w:val="6"/>
        </w:numPr>
      </w:pPr>
      <w:r w:rsidRPr="005E5A50">
        <w:t>Thus</w:t>
      </w:r>
      <w:r w:rsidR="009A22FB">
        <w:t>,</w:t>
      </w:r>
      <w:r w:rsidRPr="005E5A50">
        <w:t xml:space="preserve"> premise </w:t>
      </w:r>
      <w:r w:rsidR="007234E2">
        <w:t>3</w:t>
      </w:r>
      <w:r w:rsidR="007234E2" w:rsidRPr="005E5A50">
        <w:t xml:space="preserve"> </w:t>
      </w:r>
      <w:r w:rsidRPr="005E5A50">
        <w:t>is false (argument by reductio), that is, attention in sense S is not applicable to mental paint.</w:t>
      </w:r>
    </w:p>
    <w:p w14:paraId="0FCB0472" w14:textId="6D8C89CA" w:rsidR="00BA1E7F" w:rsidRDefault="00417B62" w:rsidP="009D05EB">
      <w:r>
        <w:t xml:space="preserve">Let us explain each </w:t>
      </w:r>
      <w:r w:rsidR="007649F2">
        <w:t xml:space="preserve">step </w:t>
      </w:r>
      <w:r>
        <w:t xml:space="preserve">of the argument. Premise 1 </w:t>
      </w:r>
      <w:r w:rsidR="006E09C4">
        <w:t xml:space="preserve">describes </w:t>
      </w:r>
      <w:r w:rsidR="007649F2">
        <w:t>the</w:t>
      </w:r>
      <w:r w:rsidR="00756080">
        <w:t xml:space="preserve"> simplified </w:t>
      </w:r>
      <w:r w:rsidR="006E09C4">
        <w:t xml:space="preserve">phenomenistic </w:t>
      </w:r>
      <w:r w:rsidR="00756080">
        <w:t xml:space="preserve">model </w:t>
      </w:r>
      <w:r w:rsidR="007649F2">
        <w:t xml:space="preserve">from </w:t>
      </w:r>
      <w:r>
        <w:t xml:space="preserve">Section </w:t>
      </w:r>
      <w:r w:rsidR="00DA1BBA">
        <w:t>1</w:t>
      </w:r>
      <w:r>
        <w:t>.1</w:t>
      </w:r>
      <w:r w:rsidR="007649F2">
        <w:t>. As we have explained,</w:t>
      </w:r>
      <w:r w:rsidR="00756080">
        <w:t xml:space="preserve"> apart from the simplifying assumptions</w:t>
      </w:r>
      <w:r w:rsidR="007649F2">
        <w:t xml:space="preserve"> (intended to make the discussion easier to follow)</w:t>
      </w:r>
      <w:r w:rsidR="006E09C4">
        <w:t>,</w:t>
      </w:r>
      <w:r w:rsidR="007649F2">
        <w:t xml:space="preserve"> </w:t>
      </w:r>
      <w:r w:rsidR="00756080">
        <w:t>this model is already accepted by leading phenomenists</w:t>
      </w:r>
      <w:r w:rsidR="006E09C4">
        <w:t>.</w:t>
      </w:r>
      <w:r w:rsidR="007649F2">
        <w:t xml:space="preserve"> </w:t>
      </w:r>
      <w:r>
        <w:t xml:space="preserve">Premise 2 is based on the neuroscience of attention. </w:t>
      </w:r>
      <w:bookmarkStart w:id="10" w:name="_Hlk14694210"/>
      <w:r w:rsidR="00D96400">
        <w:t xml:space="preserve">All the neuroscientific </w:t>
      </w:r>
      <w:r w:rsidR="00651774">
        <w:t xml:space="preserve">accounts </w:t>
      </w:r>
      <w:r w:rsidR="00D96400">
        <w:t>of attention</w:t>
      </w:r>
      <w:r w:rsidR="006E7B4B">
        <w:t xml:space="preserve"> </w:t>
      </w:r>
      <w:r w:rsidR="00D96400">
        <w:t xml:space="preserve">we survey are of </w:t>
      </w:r>
      <w:r w:rsidR="00D96400" w:rsidRPr="00B32DC0">
        <w:rPr>
          <w:i/>
          <w:iCs/>
        </w:rPr>
        <w:t>ordinary</w:t>
      </w:r>
      <w:r w:rsidR="00D96400">
        <w:t>, everyday attention, which all parties (in the transparency debate</w:t>
      </w:r>
      <w:r w:rsidR="009828B8">
        <w:t xml:space="preserve"> in question</w:t>
      </w:r>
      <w:r w:rsidR="00D96400">
        <w:t>) assume to be attention to</w:t>
      </w:r>
      <w:r w:rsidR="00B66B48">
        <w:t xml:space="preserve"> the</w:t>
      </w:r>
      <w:r w:rsidR="00D96400">
        <w:t xml:space="preserve"> </w:t>
      </w:r>
      <w:r w:rsidR="00D96400" w:rsidRPr="0049062D">
        <w:rPr>
          <w:i/>
          <w:iCs/>
        </w:rPr>
        <w:t>representational content</w:t>
      </w:r>
      <w:r w:rsidR="00B66B48" w:rsidRPr="0049062D">
        <w:rPr>
          <w:i/>
          <w:iCs/>
        </w:rPr>
        <w:t xml:space="preserve"> of experience</w:t>
      </w:r>
      <w:r w:rsidR="00D96400">
        <w:t xml:space="preserve">. </w:t>
      </w:r>
      <w:bookmarkEnd w:id="10"/>
      <w:r>
        <w:t xml:space="preserve">Each </w:t>
      </w:r>
      <w:r w:rsidR="00651774">
        <w:t xml:space="preserve">account </w:t>
      </w:r>
      <w:r>
        <w:t xml:space="preserve">of attention provides values for S, W and F. For example, in Section </w:t>
      </w:r>
      <w:r w:rsidR="00DA1BBA">
        <w:t>2</w:t>
      </w:r>
      <w:r>
        <w:t xml:space="preserve">.1, we discuss the </w:t>
      </w:r>
      <w:r w:rsidR="00651774">
        <w:t xml:space="preserve">account </w:t>
      </w:r>
      <w:r>
        <w:t>of attending as RF (receptive field) shrinking. When inserted into the argument schema, S becomes “attending as RF shrinking”, F becomes “RF” and W becomes “shrinking.”</w:t>
      </w:r>
      <w:r w:rsidR="00B66B48">
        <w:t xml:space="preserve"> </w:t>
      </w:r>
      <w:r>
        <w:t xml:space="preserve">Premise 3 </w:t>
      </w:r>
      <w:r w:rsidR="00334DC6">
        <w:t xml:space="preserve">simply applies a given neuroscientific </w:t>
      </w:r>
      <w:r w:rsidR="00651774">
        <w:t xml:space="preserve">account </w:t>
      </w:r>
      <w:r w:rsidR="00334DC6">
        <w:t xml:space="preserve">of attention to mental paint. </w:t>
      </w:r>
      <w:r w:rsidR="00B32DC0">
        <w:t>I</w:t>
      </w:r>
      <w:r w:rsidR="00932812">
        <w:t xml:space="preserve">nterim conclusion 4 might seem sufficient to derive </w:t>
      </w:r>
      <w:r w:rsidR="00B32DC0">
        <w:t xml:space="preserve">a </w:t>
      </w:r>
      <w:r w:rsidR="00932812">
        <w:t>contradiction</w:t>
      </w:r>
      <w:r w:rsidR="00B32DC0">
        <w:t>, but it is not</w:t>
      </w:r>
      <w:r w:rsidR="00932812">
        <w:t xml:space="preserve">. Consider again </w:t>
      </w:r>
      <w:r w:rsidR="00932812">
        <w:lastRenderedPageBreak/>
        <w:t xml:space="preserve">RF shrinkage. Interim conclusion 4 says that attention to mental paint is a matter of shrinking the RF of N. </w:t>
      </w:r>
      <w:r w:rsidR="0081598D">
        <w:t xml:space="preserve">This does not yet </w:t>
      </w:r>
      <w:r w:rsidR="00AC61AF">
        <w:t xml:space="preserve">generate a </w:t>
      </w:r>
      <w:r w:rsidR="0081598D">
        <w:t xml:space="preserve">contradiction because </w:t>
      </w:r>
      <w:r w:rsidR="00AC61AF">
        <w:t xml:space="preserve">there might be </w:t>
      </w:r>
      <w:r w:rsidR="0081598D">
        <w:t xml:space="preserve">two separate RFs for N, one associated with </w:t>
      </w:r>
      <w:r w:rsidR="00B66B48">
        <w:t xml:space="preserve">the </w:t>
      </w:r>
      <w:r w:rsidR="0081598D">
        <w:t xml:space="preserve">representational content </w:t>
      </w:r>
      <w:r w:rsidR="00B66B48">
        <w:t xml:space="preserve">of experience </w:t>
      </w:r>
      <w:r w:rsidR="0081598D">
        <w:t xml:space="preserve">and another associated with mental paint. </w:t>
      </w:r>
      <w:r w:rsidR="009F4AB0">
        <w:t xml:space="preserve">This possibility is rejected by </w:t>
      </w:r>
      <w:r w:rsidR="0081598D">
        <w:t>premise 5</w:t>
      </w:r>
      <w:r w:rsidR="009F4AB0">
        <w:t xml:space="preserve"> (when the value of F is RF)</w:t>
      </w:r>
      <w:r w:rsidR="00971B55">
        <w:t>, which is</w:t>
      </w:r>
      <w:r w:rsidR="0047548A">
        <w:t xml:space="preserve"> </w:t>
      </w:r>
      <w:r>
        <w:t xml:space="preserve">defended separately for each value of F we survey below. </w:t>
      </w:r>
      <w:r w:rsidR="0081598D">
        <w:t xml:space="preserve">Interim conclusion 6 is self-explanatory. </w:t>
      </w:r>
      <w:r>
        <w:t xml:space="preserve">Premise </w:t>
      </w:r>
      <w:r w:rsidR="005827AF">
        <w:t xml:space="preserve">7 </w:t>
      </w:r>
      <w:r>
        <w:t xml:space="preserve">was explained in Section </w:t>
      </w:r>
      <w:r w:rsidR="00DA1BBA">
        <w:t>1</w:t>
      </w:r>
      <w:r>
        <w:t>.2</w:t>
      </w:r>
      <w:r w:rsidR="00BA1E7F">
        <w:t>.</w:t>
      </w:r>
    </w:p>
    <w:p w14:paraId="28E54DD5" w14:textId="438EF1A2" w:rsidR="00695825" w:rsidRPr="00533605" w:rsidRDefault="00334DC6" w:rsidP="009D05EB">
      <w:r>
        <w:t xml:space="preserve">Considering premise 3, one might object that it is </w:t>
      </w:r>
      <w:r w:rsidRPr="00177DB7">
        <w:rPr>
          <w:i/>
          <w:iCs/>
        </w:rPr>
        <w:t>a priori</w:t>
      </w:r>
      <w:r>
        <w:t xml:space="preserve"> implausible that attending to mental paint is a matter of modulating its neuronal basis, i.e., modulating an </w:t>
      </w:r>
      <w:r>
        <w:rPr>
          <w:i/>
          <w:iCs/>
        </w:rPr>
        <w:t xml:space="preserve">FO </w:t>
      </w:r>
      <w:r>
        <w:t xml:space="preserve">state. For, attention to mental paint is </w:t>
      </w:r>
      <w:r w:rsidRPr="00BE7088">
        <w:rPr>
          <w:i/>
          <w:iCs/>
        </w:rPr>
        <w:t>introspective</w:t>
      </w:r>
      <w:r>
        <w:t xml:space="preserve">, and so it should be </w:t>
      </w:r>
      <w:proofErr w:type="gramStart"/>
      <w:r>
        <w:t>an</w:t>
      </w:r>
      <w:proofErr w:type="gramEnd"/>
      <w:r>
        <w:t xml:space="preserve"> </w:t>
      </w:r>
      <w:r>
        <w:rPr>
          <w:i/>
          <w:iCs/>
        </w:rPr>
        <w:t xml:space="preserve">HO </w:t>
      </w:r>
      <w:r>
        <w:t xml:space="preserve">attention directed at the FO state. The objector would conclude that we do not need a complex, empirically-based argument (the rest of Section </w:t>
      </w:r>
      <w:r w:rsidR="00DA1BBA">
        <w:t>2</w:t>
      </w:r>
      <w:r>
        <w:t xml:space="preserve">) to rule this FO approach out, and we can directly move to discussions of HO </w:t>
      </w:r>
      <w:r w:rsidR="00651774">
        <w:t xml:space="preserve">accounts </w:t>
      </w:r>
      <w:r>
        <w:t xml:space="preserve">of attention to mental paint (Section </w:t>
      </w:r>
      <w:r w:rsidR="00DA1BBA">
        <w:t>3</w:t>
      </w:r>
      <w:r>
        <w:t xml:space="preserve">). The objection is wrongheaded. Suppose you are looking at the ocean. You attend to the blueness and judge that it is instantiated by the ocean – an exteroceptive judgment. This is an instance of FO sensory attention. The blueness you are attending to is a component of the representational content of your experience. While continuing to attend to the blueness, in an FO sensory </w:t>
      </w:r>
      <w:r w:rsidR="0020567E">
        <w:t>manner</w:t>
      </w:r>
      <w:r>
        <w:t xml:space="preserve">, you can also judge that it </w:t>
      </w:r>
      <w:r w:rsidRPr="00177DB7">
        <w:rPr>
          <w:i/>
          <w:iCs/>
        </w:rPr>
        <w:t>appears</w:t>
      </w:r>
      <w:r>
        <w:t xml:space="preserve"> to be instantiated by the ocean, or equivalently, that </w:t>
      </w:r>
      <w:r w:rsidRPr="008E7564">
        <w:rPr>
          <w:i/>
          <w:iCs/>
        </w:rPr>
        <w:t>your experience</w:t>
      </w:r>
      <w:r>
        <w:t xml:space="preserve"> represents the ocean as blue, or that </w:t>
      </w:r>
      <w:r w:rsidRPr="008E7564">
        <w:rPr>
          <w:i/>
          <w:iCs/>
        </w:rPr>
        <w:t>the representational content</w:t>
      </w:r>
      <w:r>
        <w:t xml:space="preserve"> of your experience involves blueness. These are introspective judgments. Thus, the same FO sensory attention to blueness, the same "highlighting" of it, is a basis for both exteroceptive and introspective judgments</w:t>
      </w:r>
      <w:r w:rsidR="00CC31FE">
        <w:t xml:space="preserve"> (Tye 200</w:t>
      </w:r>
      <w:r w:rsidR="00362508">
        <w:t>2</w:t>
      </w:r>
      <w:r w:rsidR="00CC31FE">
        <w:t>, p, 139)</w:t>
      </w:r>
      <w:r>
        <w:t xml:space="preserve">. Thus, there is nothing </w:t>
      </w:r>
      <w:r w:rsidRPr="00B06187">
        <w:rPr>
          <w:i/>
          <w:iCs/>
        </w:rPr>
        <w:t>a priori</w:t>
      </w:r>
      <w:r>
        <w:t xml:space="preserve"> implausible in the suggestion that attention to mental paint, which is a basis for introspective judgments abou</w:t>
      </w:r>
      <w:r w:rsidR="00673867">
        <w:t xml:space="preserve">t it, is FO sensory attention. </w:t>
      </w:r>
    </w:p>
    <w:p w14:paraId="0C14035B" w14:textId="693234CD" w:rsidR="004C1321" w:rsidRPr="00FC0D90" w:rsidRDefault="009B58A6" w:rsidP="002F4C91">
      <w:pPr>
        <w:pStyle w:val="ListParagraph"/>
        <w:numPr>
          <w:ilvl w:val="1"/>
          <w:numId w:val="1"/>
        </w:numPr>
        <w:rPr>
          <w:b/>
          <w:bCs/>
        </w:rPr>
      </w:pPr>
      <w:r>
        <w:rPr>
          <w:b/>
          <w:bCs/>
        </w:rPr>
        <w:t xml:space="preserve"> </w:t>
      </w:r>
      <w:r w:rsidR="00417B62" w:rsidRPr="00FC0D90">
        <w:rPr>
          <w:b/>
          <w:bCs/>
        </w:rPr>
        <w:t>Shrinking RF</w:t>
      </w:r>
    </w:p>
    <w:p w14:paraId="56F10279" w14:textId="6A05EA85" w:rsidR="00417B62" w:rsidRDefault="00417B62" w:rsidP="00417B62">
      <w:r>
        <w:t>Neurons in the visual cortex have a receptive field (RF), which is the area in the retina they respond to</w:t>
      </w:r>
      <w:bookmarkStart w:id="11" w:name="_Hlk534739916"/>
      <w:r>
        <w:t>.</w:t>
      </w:r>
      <w:bookmarkEnd w:id="11"/>
      <w:r>
        <w:t xml:space="preserve"> Consider Figure </w:t>
      </w:r>
      <w:r w:rsidR="00254F0F">
        <w:t>1</w:t>
      </w:r>
      <w:r>
        <w:t xml:space="preserve">. Suppose a single neuron in the visual cortex receives input (via neuronal intermediaries) from the circled area. This neuron, let us suppose, is “tuned” </w:t>
      </w:r>
      <w:r w:rsidRPr="00BD08B7">
        <w:t>to vertical lines, so that it fires at 60</w:t>
      </w:r>
      <w:r w:rsidR="00CE081D">
        <w:t xml:space="preserve"> </w:t>
      </w:r>
      <w:r>
        <w:t>s/s</w:t>
      </w:r>
      <w:r w:rsidRPr="00BD08B7">
        <w:t xml:space="preserve"> </w:t>
      </w:r>
      <w:r w:rsidR="00CE081D">
        <w:t xml:space="preserve">(spikes per second) </w:t>
      </w:r>
      <w:r w:rsidRPr="00BD08B7">
        <w:t>when there is a vertical line in its RF and at 10</w:t>
      </w:r>
      <w:r w:rsidR="00CE081D">
        <w:t xml:space="preserve"> </w:t>
      </w:r>
      <w:r>
        <w:t>s/s</w:t>
      </w:r>
      <w:r w:rsidRPr="00BD08B7">
        <w:t xml:space="preserve"> when there is a horizontal line there. In Figure </w:t>
      </w:r>
      <w:r w:rsidR="00254F0F">
        <w:t>1</w:t>
      </w:r>
      <w:r w:rsidR="00254F0F" w:rsidRPr="00BD08B7">
        <w:t>A</w:t>
      </w:r>
      <w:r w:rsidRPr="00BD08B7">
        <w:t>, the neuron’s RF includes both a vertical and a horizontal line. The neuron responds by firing at 35</w:t>
      </w:r>
      <w:r w:rsidR="00CE081D">
        <w:t xml:space="preserve"> </w:t>
      </w:r>
      <w:r>
        <w:t>s/s</w:t>
      </w:r>
      <w:r w:rsidRPr="00BD08B7">
        <w:t>, which is the average of 60</w:t>
      </w:r>
      <w:r w:rsidR="00CE081D">
        <w:t xml:space="preserve"> s/s</w:t>
      </w:r>
      <w:r w:rsidRPr="00BD08B7">
        <w:t xml:space="preserve"> and 10</w:t>
      </w:r>
      <w:r w:rsidR="00CE081D">
        <w:t xml:space="preserve"> s/s</w:t>
      </w:r>
      <w:r w:rsidRPr="00BD08B7">
        <w:t xml:space="preserve"> (Reynolds, </w:t>
      </w:r>
      <w:proofErr w:type="spellStart"/>
      <w:r w:rsidRPr="00BD08B7">
        <w:t>Chelazzi</w:t>
      </w:r>
      <w:proofErr w:type="spellEnd"/>
      <w:r w:rsidRPr="00BD08B7">
        <w:t xml:space="preserve">, and Desimone 1999). </w:t>
      </w:r>
      <w:bookmarkStart w:id="12" w:name="_Hlk14694606"/>
      <w:r>
        <w:t xml:space="preserve">According to the </w:t>
      </w:r>
      <w:r w:rsidR="00EF0643">
        <w:t xml:space="preserve">RF shrinkage </w:t>
      </w:r>
      <w:r w:rsidR="003B35BE">
        <w:t xml:space="preserve">account </w:t>
      </w:r>
      <w:r>
        <w:t>of attention</w:t>
      </w:r>
      <w:bookmarkEnd w:id="12"/>
      <w:r>
        <w:t xml:space="preserve">, to attend to </w:t>
      </w:r>
      <w:r w:rsidR="00D168F2">
        <w:t xml:space="preserve">the representational content of </w:t>
      </w:r>
      <w:r w:rsidR="00EC50F3">
        <w:t xml:space="preserve">the experience that this neuron underlies </w:t>
      </w:r>
      <w:r>
        <w:t xml:space="preserve">is to </w:t>
      </w:r>
      <w:r w:rsidRPr="00BD08B7">
        <w:t xml:space="preserve">shrink the </w:t>
      </w:r>
      <w:r w:rsidR="00EC50F3">
        <w:t xml:space="preserve">neuron’s </w:t>
      </w:r>
      <w:r w:rsidRPr="00BD08B7">
        <w:t>RF (Moran &amp; Desimone 1985; Womelsdorf et al.</w:t>
      </w:r>
      <w:r>
        <w:t xml:space="preserve"> 2008; for a philosophical review see Wu 2014, Section 2.4.2). For example, </w:t>
      </w:r>
      <w:r w:rsidR="00D168F2">
        <w:t xml:space="preserve">attending </w:t>
      </w:r>
      <w:r>
        <w:t xml:space="preserve">to the location of the left line is a matter of shrinking the RF of the neuron, as shown in Figure </w:t>
      </w:r>
      <w:r w:rsidR="00254F0F">
        <w:t>1B</w:t>
      </w:r>
      <w:r>
        <w:t>. That is, the neuron now receives input only from the left line. Consequently, it fires at 60</w:t>
      </w:r>
      <w:r w:rsidR="00CE081D">
        <w:t xml:space="preserve"> </w:t>
      </w:r>
      <w:r>
        <w:t xml:space="preserve">s/s. This makes the neuronal activity more informative regarding the left line. Of course, the drawing in Figure </w:t>
      </w:r>
      <w:r w:rsidR="00254F0F">
        <w:t xml:space="preserve">1 </w:t>
      </w:r>
      <w:r>
        <w:t xml:space="preserve">is an oversimplification. </w:t>
      </w:r>
      <w:r w:rsidR="001A110F">
        <w:t xml:space="preserve">For an </w:t>
      </w:r>
      <w:r>
        <w:t xml:space="preserve">actual single neuron recording of RF shrinkage </w:t>
      </w:r>
      <w:r w:rsidR="00214959">
        <w:t>see Womelsdorf et al. (2008)</w:t>
      </w:r>
      <w:r>
        <w:t>.</w:t>
      </w:r>
    </w:p>
    <w:p w14:paraId="794E125D" w14:textId="2D247812" w:rsidR="002F4C91" w:rsidRDefault="002F4C91" w:rsidP="002F4C91">
      <w:r>
        <w:t xml:space="preserve">The </w:t>
      </w:r>
      <w:r w:rsidRPr="001325A4">
        <w:t xml:space="preserve">preceding account </w:t>
      </w:r>
      <w:r>
        <w:t xml:space="preserve">is of attention to the representational content of experience. Is this account applicable to mental paint? </w:t>
      </w:r>
    </w:p>
    <w:p w14:paraId="6B1F0608" w14:textId="77777777" w:rsidR="00283B79" w:rsidRPr="00340173" w:rsidRDefault="00283B79" w:rsidP="002F4C91"/>
    <w:p w14:paraId="18F13A16" w14:textId="77777777" w:rsidR="002F4C91" w:rsidRDefault="002F4C91" w:rsidP="00417B6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417B62" w14:paraId="3DAE0CEE" w14:textId="77777777" w:rsidTr="009F1A1F">
        <w:tc>
          <w:tcPr>
            <w:tcW w:w="9576" w:type="dxa"/>
          </w:tcPr>
          <w:p w14:paraId="76F8B113" w14:textId="77777777" w:rsidR="00417B62" w:rsidRDefault="009B1508" w:rsidP="00C9610A">
            <w:r>
              <w:rPr>
                <w:noProof/>
              </w:rPr>
              <w:object w:dxaOrig="7455" w:dyaOrig="7710" w14:anchorId="4BDE16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81.5pt;height:187pt;mso-width-percent:0;mso-height-percent:0;mso-width-percent:0;mso-height-percent:0" o:ole="">
                  <v:imagedata r:id="rId8" o:title=""/>
                </v:shape>
                <o:OLEObject Type="Embed" ProgID="PBrush" ShapeID="_x0000_i1025" DrawAspect="Content" ObjectID="_1627826948" r:id="rId9"/>
              </w:object>
            </w:r>
          </w:p>
        </w:tc>
      </w:tr>
      <w:tr w:rsidR="00417B62" w14:paraId="0E6F4BAF" w14:textId="77777777" w:rsidTr="009F1A1F">
        <w:tc>
          <w:tcPr>
            <w:tcW w:w="9576" w:type="dxa"/>
          </w:tcPr>
          <w:p w14:paraId="5932D702" w14:textId="11A6C3FC" w:rsidR="00417B62" w:rsidRDefault="00417B62" w:rsidP="00C9610A">
            <w:r w:rsidRPr="009F1A1F">
              <w:rPr>
                <w:b/>
                <w:bCs/>
                <w:sz w:val="20"/>
                <w:szCs w:val="20"/>
              </w:rPr>
              <w:t xml:space="preserve">Figure </w:t>
            </w:r>
            <w:r w:rsidR="00F006EA">
              <w:rPr>
                <w:b/>
                <w:bCs/>
                <w:sz w:val="20"/>
                <w:szCs w:val="20"/>
              </w:rPr>
              <w:t>1</w:t>
            </w:r>
            <w:r w:rsidR="00F006EA" w:rsidRPr="009F1A1F">
              <w:rPr>
                <w:sz w:val="20"/>
                <w:szCs w:val="20"/>
              </w:rPr>
              <w:t xml:space="preserve"> </w:t>
            </w:r>
            <w:r w:rsidR="00BD6585">
              <w:rPr>
                <w:sz w:val="20"/>
                <w:szCs w:val="20"/>
              </w:rPr>
              <w:t xml:space="preserve">An example of RF shrinkage. </w:t>
            </w:r>
            <w:r w:rsidRPr="009F1A1F">
              <w:rPr>
                <w:sz w:val="20"/>
                <w:szCs w:val="20"/>
              </w:rPr>
              <w:t>In state A, the RF of a certain neurons includes both lines. In state B, the RF shrinks and includes only the left line.</w:t>
            </w:r>
          </w:p>
        </w:tc>
      </w:tr>
    </w:tbl>
    <w:p w14:paraId="5EB737E3" w14:textId="77777777" w:rsidR="00417B62" w:rsidRDefault="00417B62" w:rsidP="00417B62"/>
    <w:p w14:paraId="3DEC594D" w14:textId="7D3D02D0" w:rsidR="00D0451B" w:rsidRDefault="00417B62" w:rsidP="008308C7">
      <w:r w:rsidRPr="00E7374E">
        <w:t>The vehicle property of the neuron determines mental paint, according to phenomenism. On the present model, attention to the representational</w:t>
      </w:r>
      <w:r>
        <w:t xml:space="preserve"> content of a given experience is a matter of shrinking the RF of the neuron whose vehicle property carries this </w:t>
      </w:r>
      <w:r w:rsidR="00EC50F3">
        <w:t xml:space="preserve">representational </w:t>
      </w:r>
      <w:r>
        <w:t xml:space="preserve">content, call this neuron N. We are trying to apply this model to mental paint. So, attention to mental paint should be a matter of </w:t>
      </w:r>
      <w:r w:rsidR="00E369AE">
        <w:t xml:space="preserve">shrinking the </w:t>
      </w:r>
      <w:r>
        <w:t xml:space="preserve">RF of the neuron whose vehicle property determines it, which is the very same neuron N. </w:t>
      </w:r>
      <w:r w:rsidR="00E369AE">
        <w:t xml:space="preserve">Now, </w:t>
      </w:r>
      <w:r w:rsidR="00FA5BFC">
        <w:t xml:space="preserve">even if there are two (or more) RFs for the neuron, it is not the case that </w:t>
      </w:r>
      <w:r w:rsidRPr="00835407">
        <w:rPr>
          <w:i/>
          <w:iCs/>
        </w:rPr>
        <w:t xml:space="preserve">one </w:t>
      </w:r>
      <w:r w:rsidR="00FA5BFC">
        <w:rPr>
          <w:i/>
          <w:iCs/>
        </w:rPr>
        <w:t xml:space="preserve">is </w:t>
      </w:r>
      <w:r w:rsidRPr="00835407">
        <w:rPr>
          <w:i/>
          <w:iCs/>
        </w:rPr>
        <w:t xml:space="preserve">for </w:t>
      </w:r>
      <w:r w:rsidR="00D33588">
        <w:rPr>
          <w:i/>
          <w:iCs/>
        </w:rPr>
        <w:t xml:space="preserve">its </w:t>
      </w:r>
      <w:r w:rsidRPr="00835407">
        <w:rPr>
          <w:i/>
          <w:iCs/>
        </w:rPr>
        <w:t xml:space="preserve">representational content </w:t>
      </w:r>
      <w:r w:rsidR="008308C7" w:rsidRPr="008308C7">
        <w:t>(which determines the representational content of exper</w:t>
      </w:r>
      <w:r w:rsidR="0047548A">
        <w:t>i</w:t>
      </w:r>
      <w:r w:rsidR="008308C7" w:rsidRPr="008308C7">
        <w:t>ence)</w:t>
      </w:r>
      <w:r w:rsidR="008308C7">
        <w:rPr>
          <w:i/>
          <w:iCs/>
        </w:rPr>
        <w:t xml:space="preserve"> </w:t>
      </w:r>
      <w:r w:rsidRPr="00835407">
        <w:rPr>
          <w:i/>
          <w:iCs/>
        </w:rPr>
        <w:t xml:space="preserve">and </w:t>
      </w:r>
      <w:r w:rsidR="00FA5BFC">
        <w:rPr>
          <w:i/>
          <w:iCs/>
        </w:rPr>
        <w:t xml:space="preserve">another is </w:t>
      </w:r>
      <w:r w:rsidRPr="00835407">
        <w:rPr>
          <w:i/>
          <w:iCs/>
        </w:rPr>
        <w:t xml:space="preserve">for </w:t>
      </w:r>
      <w:r w:rsidR="00D33588">
        <w:rPr>
          <w:i/>
          <w:iCs/>
        </w:rPr>
        <w:t>its</w:t>
      </w:r>
      <w:r w:rsidR="00D33588" w:rsidRPr="00835407">
        <w:rPr>
          <w:i/>
          <w:iCs/>
        </w:rPr>
        <w:t xml:space="preserve"> </w:t>
      </w:r>
      <w:r w:rsidR="00D33588">
        <w:rPr>
          <w:i/>
          <w:iCs/>
        </w:rPr>
        <w:t xml:space="preserve">intrinsic, </w:t>
      </w:r>
      <w:r w:rsidRPr="00835407">
        <w:rPr>
          <w:i/>
          <w:iCs/>
        </w:rPr>
        <w:t>vehicle</w:t>
      </w:r>
      <w:r w:rsidR="00D33588">
        <w:rPr>
          <w:i/>
          <w:iCs/>
        </w:rPr>
        <w:t xml:space="preserve"> property</w:t>
      </w:r>
      <w:r w:rsidR="008308C7">
        <w:rPr>
          <w:i/>
          <w:iCs/>
        </w:rPr>
        <w:t xml:space="preserve"> </w:t>
      </w:r>
      <w:r w:rsidR="008308C7" w:rsidRPr="008308C7">
        <w:t>(which determines mental paint)</w:t>
      </w:r>
      <w:r w:rsidRPr="00880F26">
        <w:t>.</w:t>
      </w:r>
      <w:r>
        <w:t xml:space="preserve"> </w:t>
      </w:r>
      <w:r w:rsidR="00D0451B">
        <w:t>Here is why. The RF of a neuron is the area in the retina the neuron responds to. What could it mean</w:t>
      </w:r>
      <w:r w:rsidR="00CD05BC">
        <w:t xml:space="preserve"> to say</w:t>
      </w:r>
      <w:r w:rsidR="00D0451B">
        <w:t xml:space="preserve"> that there is a second RF? It could only mean that the neuron responds to an additional area in the retina, beyond the first RF. But if that is the case, then this second RF is, like the first RF, </w:t>
      </w:r>
      <w:r w:rsidR="00D0451B" w:rsidRPr="00880F26">
        <w:rPr>
          <w:i/>
          <w:iCs/>
        </w:rPr>
        <w:t xml:space="preserve">of the neuron </w:t>
      </w:r>
      <w:r w:rsidR="00D0451B">
        <w:rPr>
          <w:i/>
          <w:iCs/>
        </w:rPr>
        <w:t>simpliciter</w:t>
      </w:r>
      <w:r w:rsidR="0020567E">
        <w:t xml:space="preserve">: it </w:t>
      </w:r>
      <w:r w:rsidR="00D0451B">
        <w:t xml:space="preserve">does not make sense to say that the second RF is </w:t>
      </w:r>
      <w:r w:rsidR="00D0451B">
        <w:rPr>
          <w:i/>
          <w:iCs/>
        </w:rPr>
        <w:t>of</w:t>
      </w:r>
      <w:r w:rsidR="00D0451B">
        <w:t xml:space="preserve"> the vehicle property, whereas the first is </w:t>
      </w:r>
      <w:r w:rsidR="00D0451B">
        <w:rPr>
          <w:i/>
          <w:iCs/>
        </w:rPr>
        <w:t>of</w:t>
      </w:r>
      <w:r w:rsidR="00D0451B">
        <w:t xml:space="preserve"> the representational content. </w:t>
      </w:r>
      <w:r w:rsidR="008308C7">
        <w:t xml:space="preserve"> </w:t>
      </w:r>
    </w:p>
    <w:p w14:paraId="7F34EFAB" w14:textId="401F82B8" w:rsidR="00417B62" w:rsidRDefault="00417B62" w:rsidP="00FA5BFC">
      <w:r w:rsidRPr="00880F26">
        <w:t xml:space="preserve">Thus, </w:t>
      </w:r>
      <w:r w:rsidR="00FA5BFC">
        <w:t xml:space="preserve">even if there are two (or more) RFs for the neuron, it </w:t>
      </w:r>
      <w:r w:rsidR="0047548A">
        <w:t xml:space="preserve">is not the case </w:t>
      </w:r>
      <w:r w:rsidR="00FA5BFC">
        <w:t xml:space="preserve">that attention to </w:t>
      </w:r>
      <w:r w:rsidR="003A66F4">
        <w:t xml:space="preserve">the </w:t>
      </w:r>
      <w:r w:rsidR="00FA5BFC">
        <w:t xml:space="preserve">representational content </w:t>
      </w:r>
      <w:r w:rsidR="003A66F4">
        <w:t xml:space="preserve">of experience </w:t>
      </w:r>
      <w:r w:rsidR="00FA5BFC">
        <w:t>shrinks one of them, whereas attention to mental paint shrinks the other. So</w:t>
      </w:r>
      <w:r w:rsidR="00640462">
        <w:t>,</w:t>
      </w:r>
      <w:r w:rsidR="00FA5BFC">
        <w:t xml:space="preserve"> </w:t>
      </w:r>
      <w:r w:rsidRPr="00880F26">
        <w:t xml:space="preserve">if attending to mental paint were a matter of </w:t>
      </w:r>
      <w:r>
        <w:t xml:space="preserve">shrinking </w:t>
      </w:r>
      <w:r w:rsidR="00FA5BFC">
        <w:t xml:space="preserve">a </w:t>
      </w:r>
      <w:r w:rsidRPr="00880F26">
        <w:t>neuron's RF</w:t>
      </w:r>
      <w:r w:rsidR="006C15C9">
        <w:t>(</w:t>
      </w:r>
      <w:r w:rsidR="00362508">
        <w:t>s</w:t>
      </w:r>
      <w:r w:rsidR="006C15C9">
        <w:t>)</w:t>
      </w:r>
      <w:r w:rsidRPr="00880F26">
        <w:t xml:space="preserve">, then </w:t>
      </w:r>
      <w:r w:rsidR="00FA5BFC">
        <w:t xml:space="preserve">it would shrink the same RF(s) that attention to </w:t>
      </w:r>
      <w:r w:rsidR="003A66F4">
        <w:t xml:space="preserve">the </w:t>
      </w:r>
      <w:r w:rsidR="00FA5BFC">
        <w:t xml:space="preserve">representational content </w:t>
      </w:r>
      <w:r w:rsidR="003A66F4">
        <w:t xml:space="preserve">of experience </w:t>
      </w:r>
      <w:r w:rsidR="00FA5BFC">
        <w:t xml:space="preserve">shrinks. But then </w:t>
      </w:r>
      <w:r w:rsidRPr="00880F26">
        <w:t>atten</w:t>
      </w:r>
      <w:r w:rsidR="00C034C0">
        <w:t>ding</w:t>
      </w:r>
      <w:r w:rsidRPr="00880F26">
        <w:t xml:space="preserve"> to </w:t>
      </w:r>
      <w:r w:rsidR="00D33588">
        <w:t xml:space="preserve">the </w:t>
      </w:r>
      <w:r>
        <w:t xml:space="preserve">representational </w:t>
      </w:r>
      <w:r w:rsidRPr="00880F26">
        <w:t xml:space="preserve">content </w:t>
      </w:r>
      <w:r w:rsidR="00D33588">
        <w:t xml:space="preserve">of experience </w:t>
      </w:r>
      <w:r w:rsidR="00FA5BFC">
        <w:t xml:space="preserve">would </w:t>
      </w:r>
      <w:r w:rsidRPr="00880F26">
        <w:rPr>
          <w:i/>
          <w:iCs/>
        </w:rPr>
        <w:t>ipso facto</w:t>
      </w:r>
      <w:r w:rsidRPr="00880F26">
        <w:t xml:space="preserve"> </w:t>
      </w:r>
      <w:r w:rsidR="00FA5BFC">
        <w:t xml:space="preserve">be </w:t>
      </w:r>
      <w:r w:rsidR="00C034C0" w:rsidRPr="00880F26">
        <w:t>atten</w:t>
      </w:r>
      <w:r w:rsidR="00C034C0">
        <w:t>ding</w:t>
      </w:r>
      <w:r w:rsidR="00C034C0" w:rsidRPr="00880F26">
        <w:t xml:space="preserve"> </w:t>
      </w:r>
      <w:r w:rsidRPr="00880F26">
        <w:t>to mental paint</w:t>
      </w:r>
      <w:r w:rsidR="004D5205">
        <w:t>.</w:t>
      </w:r>
      <w:r w:rsidRPr="00880F26">
        <w:t xml:space="preserve"> </w:t>
      </w:r>
      <w:r w:rsidR="003A66F4">
        <w:t>T</w:t>
      </w:r>
      <w:r w:rsidRPr="00880F26">
        <w:t xml:space="preserve">his </w:t>
      </w:r>
      <w:r w:rsidR="003A66F4">
        <w:t xml:space="preserve">result </w:t>
      </w:r>
      <w:r w:rsidRPr="00880F26">
        <w:t xml:space="preserve">is inconsistent with the claim that usually our attention is directed to </w:t>
      </w:r>
      <w:r w:rsidR="00D33588">
        <w:t xml:space="preserve">the </w:t>
      </w:r>
      <w:r>
        <w:t xml:space="preserve">representational </w:t>
      </w:r>
      <w:r w:rsidRPr="00880F26">
        <w:t>content</w:t>
      </w:r>
      <w:r w:rsidR="00E369AE">
        <w:t xml:space="preserve"> </w:t>
      </w:r>
      <w:r w:rsidR="00D33588">
        <w:t xml:space="preserve">of experience </w:t>
      </w:r>
      <w:r w:rsidR="00E369AE" w:rsidRPr="00E369AE">
        <w:rPr>
          <w:i/>
          <w:iCs/>
        </w:rPr>
        <w:t xml:space="preserve">and </w:t>
      </w:r>
      <w:r w:rsidRPr="00E369AE">
        <w:rPr>
          <w:i/>
          <w:iCs/>
        </w:rPr>
        <w:t>not</w:t>
      </w:r>
      <w:r w:rsidRPr="00880F26">
        <w:t xml:space="preserve"> to mental paint.</w:t>
      </w:r>
      <w:r>
        <w:t xml:space="preserve"> Thus, the </w:t>
      </w:r>
      <w:r w:rsidR="00BC71F5">
        <w:t>claim</w:t>
      </w:r>
      <w:r>
        <w:t xml:space="preserve"> that we can attend to mental paint is </w:t>
      </w:r>
      <w:r w:rsidRPr="006E09C4">
        <w:t>incompatible</w:t>
      </w:r>
      <w:r>
        <w:t xml:space="preserve"> with the neuroscientific understanding of </w:t>
      </w:r>
      <w:r w:rsidR="00772A45">
        <w:t xml:space="preserve">attention </w:t>
      </w:r>
      <w:r>
        <w:t>in terms of RF shrink</w:t>
      </w:r>
      <w:r w:rsidR="00C034C0">
        <w:t>age</w:t>
      </w:r>
      <w:r>
        <w:t xml:space="preserve">. </w:t>
      </w:r>
    </w:p>
    <w:p w14:paraId="2CDB6BAF" w14:textId="3A43CF0C" w:rsidR="00417B62" w:rsidRPr="00FC0D90" w:rsidRDefault="009B58A6" w:rsidP="002F4C91">
      <w:pPr>
        <w:pStyle w:val="ListParagraph"/>
        <w:numPr>
          <w:ilvl w:val="1"/>
          <w:numId w:val="1"/>
        </w:numPr>
        <w:rPr>
          <w:b/>
          <w:bCs/>
        </w:rPr>
      </w:pPr>
      <w:r>
        <w:rPr>
          <w:b/>
          <w:bCs/>
        </w:rPr>
        <w:t xml:space="preserve"> </w:t>
      </w:r>
      <w:r w:rsidR="00417B62" w:rsidRPr="00FC0D90">
        <w:rPr>
          <w:b/>
          <w:bCs/>
        </w:rPr>
        <w:t>Raising signal-to-noise ratio</w:t>
      </w:r>
    </w:p>
    <w:p w14:paraId="3206AD08" w14:textId="42416F50" w:rsidR="00D70059" w:rsidRDefault="005E3303" w:rsidP="00417B62">
      <w:r>
        <w:t xml:space="preserve">Recall that we apply </w:t>
      </w:r>
      <w:r w:rsidR="0020567E">
        <w:t xml:space="preserve">roughly </w:t>
      </w:r>
      <w:r>
        <w:t xml:space="preserve">the same argument schema for each neuroscientific </w:t>
      </w:r>
      <w:r w:rsidR="003B35BE">
        <w:t xml:space="preserve">account </w:t>
      </w:r>
      <w:r>
        <w:t xml:space="preserve">of attention. We have seen in Section </w:t>
      </w:r>
      <w:r w:rsidR="00DA1BBA">
        <w:t>2</w:t>
      </w:r>
      <w:r>
        <w:t xml:space="preserve">.1 how </w:t>
      </w:r>
      <w:r w:rsidR="0020567E">
        <w:t xml:space="preserve">the argument </w:t>
      </w:r>
      <w:r>
        <w:t xml:space="preserve">works for RF shrinkage. For the remaining </w:t>
      </w:r>
      <w:r w:rsidR="003B35BE">
        <w:t>accounts</w:t>
      </w:r>
      <w:r w:rsidR="00EF0643">
        <w:t>,</w:t>
      </w:r>
      <w:r w:rsidR="003B35BE">
        <w:t xml:space="preserve"> </w:t>
      </w:r>
      <w:r>
        <w:t>we will focus mainly on issues specific to each</w:t>
      </w:r>
      <w:r w:rsidR="00CD2688">
        <w:t xml:space="preserve"> and </w:t>
      </w:r>
      <w:r>
        <w:t xml:space="preserve">will not repeat </w:t>
      </w:r>
      <w:r w:rsidR="00CD2688">
        <w:t xml:space="preserve">familiar </w:t>
      </w:r>
      <w:r>
        <w:t>stages of the argument schema</w:t>
      </w:r>
      <w:r w:rsidR="00CD2688">
        <w:t>.</w:t>
      </w:r>
      <w:r>
        <w:t xml:space="preserve"> </w:t>
      </w:r>
    </w:p>
    <w:p w14:paraId="78BED616" w14:textId="45B94A5A" w:rsidR="00417B62" w:rsidRDefault="00417B62" w:rsidP="00417B62">
      <w:r>
        <w:t xml:space="preserve">Neurons often fire spontaneously. That spontaneous activity is referred to as “noise.” Aside from spontaneous firing, neurons also fire in response to their “preferred” input according to their tuning curve. That </w:t>
      </w:r>
      <w:r w:rsidR="00AF38A5">
        <w:t xml:space="preserve">response </w:t>
      </w:r>
      <w:r>
        <w:t xml:space="preserve">is called “signal.” Consider the grey line in Figure </w:t>
      </w:r>
      <w:r w:rsidR="00254F0F">
        <w:t>2</w:t>
      </w:r>
      <w:r>
        <w:t xml:space="preserve">. The amplitude, 40 s/s, is the </w:t>
      </w:r>
      <w:r>
        <w:lastRenderedPageBreak/>
        <w:t xml:space="preserve">firing rate </w:t>
      </w:r>
      <w:r w:rsidR="00A76E9C">
        <w:t xml:space="preserve">of a neuron responding to its </w:t>
      </w:r>
      <w:r>
        <w:t xml:space="preserve">preferred </w:t>
      </w:r>
      <w:r w:rsidR="00A76E9C">
        <w:t>stimulus</w:t>
      </w:r>
      <w:r>
        <w:t xml:space="preserve">, namely this - </w:t>
      </w:r>
      <w:r>
        <w:rPr>
          <w:noProof/>
        </w:rPr>
        <w:drawing>
          <wp:inline distT="0" distB="0" distL="0" distR="0" wp14:anchorId="57CF3421" wp14:editId="430FC5DB">
            <wp:extent cx="216519" cy="136526"/>
            <wp:effectExtent l="1905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217256" cy="136991"/>
                    </a:xfrm>
                    <a:prstGeom prst="rect">
                      <a:avLst/>
                    </a:prstGeom>
                    <a:noFill/>
                    <a:ln w="9525">
                      <a:noFill/>
                      <a:miter lim="800000"/>
                      <a:headEnd/>
                      <a:tailEnd/>
                    </a:ln>
                  </pic:spPr>
                </pic:pic>
              </a:graphicData>
            </a:graphic>
          </wp:inline>
        </w:drawing>
      </w:r>
      <w:r>
        <w:t xml:space="preserve">- orientation. The asymptote, 18 s/s, </w:t>
      </w:r>
      <w:r w:rsidR="00A76E9C">
        <w:t>is</w:t>
      </w:r>
      <w:r>
        <w:t xml:space="preserve"> the noise</w:t>
      </w:r>
      <w:r w:rsidR="00BF1911">
        <w:t xml:space="preserve"> (it is there regardless of the stimuli)</w:t>
      </w:r>
      <w:r>
        <w:t xml:space="preserve">. This noise is also present </w:t>
      </w:r>
      <w:r w:rsidR="00A76E9C">
        <w:t xml:space="preserve">in the </w:t>
      </w:r>
      <w:r>
        <w:t xml:space="preserve">preferred </w:t>
      </w:r>
      <w:r w:rsidR="00A76E9C">
        <w:t>stimulus condition</w:t>
      </w:r>
      <w:r>
        <w:t>, of course. The higher the signal-to-noise ratio, the more accurate the processing of the information is.</w:t>
      </w:r>
    </w:p>
    <w:p w14:paraId="37D6C96E" w14:textId="47C81A8A" w:rsidR="00417B62" w:rsidRDefault="00417B62" w:rsidP="00A76E9C">
      <w:r>
        <w:t xml:space="preserve">On the </w:t>
      </w:r>
      <w:r w:rsidR="003B35BE">
        <w:t xml:space="preserve">account </w:t>
      </w:r>
      <w:r>
        <w:t xml:space="preserve">of </w:t>
      </w:r>
      <w:r w:rsidR="00EF0643">
        <w:t xml:space="preserve">attending </w:t>
      </w:r>
      <w:r>
        <w:t xml:space="preserve">as increasing signal-to-noise ratio, to attend to </w:t>
      </w:r>
      <w:r w:rsidR="00D168F2">
        <w:t xml:space="preserve">the representational content of </w:t>
      </w:r>
      <w:r w:rsidR="00D33588">
        <w:t xml:space="preserve">the experience that this neuron underlies </w:t>
      </w:r>
      <w:r>
        <w:t xml:space="preserve">is to increase </w:t>
      </w:r>
      <w:r w:rsidR="00D168F2">
        <w:t xml:space="preserve">the neuron’s </w:t>
      </w:r>
      <w:r>
        <w:t xml:space="preserve">signal-to-noise ratio </w:t>
      </w:r>
      <w:r w:rsidRPr="004F7778">
        <w:t>(</w:t>
      </w:r>
      <w:proofErr w:type="spellStart"/>
      <w:r w:rsidRPr="004F7778">
        <w:t>Noudoost</w:t>
      </w:r>
      <w:proofErr w:type="spellEnd"/>
      <w:r w:rsidRPr="004F7778">
        <w:t xml:space="preserve"> et al. 2010; for a philosophical discussion see Wu 2014, Section 2.</w:t>
      </w:r>
      <w:r>
        <w:t xml:space="preserve">4.1). Consider the black line from Figure </w:t>
      </w:r>
      <w:r w:rsidR="00254F0F">
        <w:t>2</w:t>
      </w:r>
      <w:r>
        <w:t xml:space="preserve">. This is the same neuron now </w:t>
      </w:r>
      <w:r w:rsidR="00D168F2">
        <w:t xml:space="preserve">attentionally </w:t>
      </w:r>
      <w:r>
        <w:t xml:space="preserve">modulated. Its amplitude is 57 s/s, meaning the signal is better, while the asymptote (the noise) remains roughly 18 s/s.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417B62" w14:paraId="3082DBC2" w14:textId="77777777" w:rsidTr="009F1A1F">
        <w:tc>
          <w:tcPr>
            <w:tcW w:w="9576" w:type="dxa"/>
          </w:tcPr>
          <w:p w14:paraId="45FA5B06" w14:textId="77777777" w:rsidR="00417B62" w:rsidRDefault="00417B62" w:rsidP="00C9610A">
            <w:r>
              <w:rPr>
                <w:noProof/>
              </w:rPr>
              <w:t xml:space="preserve"> </w:t>
            </w:r>
            <w:r>
              <w:rPr>
                <w:noProof/>
              </w:rPr>
              <w:drawing>
                <wp:inline distT="0" distB="0" distL="0" distR="0" wp14:anchorId="4F2643AA" wp14:editId="09FEBA2F">
                  <wp:extent cx="2841439" cy="2043953"/>
                  <wp:effectExtent l="0" t="0" r="0" b="0"/>
                  <wp:docPr id="1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2861533" cy="2058408"/>
                          </a:xfrm>
                          <a:prstGeom prst="rect">
                            <a:avLst/>
                          </a:prstGeom>
                        </pic:spPr>
                      </pic:pic>
                    </a:graphicData>
                  </a:graphic>
                </wp:inline>
              </w:drawing>
            </w:r>
          </w:p>
        </w:tc>
      </w:tr>
      <w:tr w:rsidR="00417B62" w14:paraId="47DD1A36" w14:textId="77777777" w:rsidTr="00835407">
        <w:trPr>
          <w:trHeight w:val="57"/>
        </w:trPr>
        <w:tc>
          <w:tcPr>
            <w:tcW w:w="9576" w:type="dxa"/>
          </w:tcPr>
          <w:p w14:paraId="27356E81" w14:textId="1E52039A" w:rsidR="00417B62" w:rsidRDefault="00417B62" w:rsidP="00C9610A">
            <w:r w:rsidRPr="009F1A1F">
              <w:rPr>
                <w:b/>
                <w:bCs/>
                <w:sz w:val="20"/>
                <w:szCs w:val="20"/>
              </w:rPr>
              <w:t xml:space="preserve">Figure </w:t>
            </w:r>
            <w:r w:rsidR="00254F0F">
              <w:rPr>
                <w:b/>
                <w:bCs/>
                <w:sz w:val="20"/>
                <w:szCs w:val="20"/>
              </w:rPr>
              <w:t>2</w:t>
            </w:r>
            <w:r w:rsidR="00254F0F" w:rsidRPr="009F1A1F">
              <w:rPr>
                <w:sz w:val="20"/>
                <w:szCs w:val="20"/>
              </w:rPr>
              <w:t xml:space="preserve"> </w:t>
            </w:r>
            <w:r w:rsidRPr="009F1A1F">
              <w:rPr>
                <w:sz w:val="20"/>
                <w:szCs w:val="20"/>
              </w:rPr>
              <w:t xml:space="preserve">An illustration of attention </w:t>
            </w:r>
            <w:r w:rsidR="00BB6972" w:rsidRPr="009F1A1F">
              <w:rPr>
                <w:sz w:val="20"/>
                <w:szCs w:val="20"/>
              </w:rPr>
              <w:t xml:space="preserve">as increasing </w:t>
            </w:r>
            <w:r w:rsidRPr="009F1A1F">
              <w:rPr>
                <w:sz w:val="20"/>
                <w:szCs w:val="20"/>
              </w:rPr>
              <w:t>the signal</w:t>
            </w:r>
            <w:r w:rsidR="00A76E9C" w:rsidRPr="009F1A1F">
              <w:rPr>
                <w:sz w:val="20"/>
                <w:szCs w:val="20"/>
              </w:rPr>
              <w:t>-</w:t>
            </w:r>
            <w:r w:rsidRPr="009F1A1F">
              <w:rPr>
                <w:sz w:val="20"/>
                <w:szCs w:val="20"/>
              </w:rPr>
              <w:t>to</w:t>
            </w:r>
            <w:r w:rsidR="00A76E9C" w:rsidRPr="009F1A1F">
              <w:rPr>
                <w:sz w:val="20"/>
                <w:szCs w:val="20"/>
              </w:rPr>
              <w:t>-</w:t>
            </w:r>
            <w:r w:rsidRPr="009F1A1F">
              <w:rPr>
                <w:sz w:val="20"/>
                <w:szCs w:val="20"/>
              </w:rPr>
              <w:t xml:space="preserve">noise ratio of a neuron. The grey line depicts the firing frequency of the neuron </w:t>
            </w:r>
            <w:r w:rsidR="00A76E9C" w:rsidRPr="009F1A1F">
              <w:rPr>
                <w:sz w:val="20"/>
                <w:szCs w:val="20"/>
              </w:rPr>
              <w:t xml:space="preserve">as it responds </w:t>
            </w:r>
            <w:r w:rsidRPr="009F1A1F">
              <w:rPr>
                <w:sz w:val="20"/>
                <w:szCs w:val="20"/>
              </w:rPr>
              <w:t xml:space="preserve">to various unattended stimuli. The black line depicts the firing frequency of the same neuron </w:t>
            </w:r>
            <w:r w:rsidR="00A76E9C" w:rsidRPr="009F1A1F">
              <w:rPr>
                <w:sz w:val="20"/>
                <w:szCs w:val="20"/>
              </w:rPr>
              <w:t xml:space="preserve">as it </w:t>
            </w:r>
            <w:r w:rsidRPr="009F1A1F">
              <w:rPr>
                <w:sz w:val="20"/>
                <w:szCs w:val="20"/>
              </w:rPr>
              <w:t>respon</w:t>
            </w:r>
            <w:r w:rsidR="00A76E9C" w:rsidRPr="009F1A1F">
              <w:rPr>
                <w:sz w:val="20"/>
                <w:szCs w:val="20"/>
              </w:rPr>
              <w:t>ds</w:t>
            </w:r>
            <w:r w:rsidRPr="009F1A1F">
              <w:rPr>
                <w:sz w:val="20"/>
                <w:szCs w:val="20"/>
              </w:rPr>
              <w:t xml:space="preserve"> to various attended stimuli. </w:t>
            </w:r>
            <w:r w:rsidR="005D7C16">
              <w:rPr>
                <w:sz w:val="20"/>
                <w:szCs w:val="20"/>
              </w:rPr>
              <w:t>Reprinted with permission from</w:t>
            </w:r>
            <w:r w:rsidR="005D7C16" w:rsidRPr="009F1A1F">
              <w:rPr>
                <w:sz w:val="20"/>
                <w:szCs w:val="20"/>
              </w:rPr>
              <w:t xml:space="preserve"> McAdams &amp; </w:t>
            </w:r>
            <w:proofErr w:type="spellStart"/>
            <w:r w:rsidR="005D7C16" w:rsidRPr="009F1A1F">
              <w:rPr>
                <w:sz w:val="20"/>
                <w:szCs w:val="20"/>
              </w:rPr>
              <w:t>Maunsell</w:t>
            </w:r>
            <w:proofErr w:type="spellEnd"/>
            <w:r w:rsidR="005D7C16" w:rsidRPr="009F1A1F">
              <w:rPr>
                <w:sz w:val="20"/>
                <w:szCs w:val="20"/>
              </w:rPr>
              <w:t xml:space="preserve"> </w:t>
            </w:r>
            <w:r w:rsidR="005D7C16">
              <w:rPr>
                <w:sz w:val="20"/>
                <w:szCs w:val="20"/>
              </w:rPr>
              <w:t>(</w:t>
            </w:r>
            <w:r w:rsidR="005D7C16" w:rsidRPr="009F1A1F">
              <w:rPr>
                <w:sz w:val="20"/>
                <w:szCs w:val="20"/>
              </w:rPr>
              <w:t>1999</w:t>
            </w:r>
            <w:r w:rsidR="005D7C16">
              <w:rPr>
                <w:sz w:val="20"/>
                <w:szCs w:val="20"/>
              </w:rPr>
              <w:t>): Society for Neuroscience</w:t>
            </w:r>
            <w:r w:rsidR="00EC43B5">
              <w:rPr>
                <w:sz w:val="20"/>
                <w:szCs w:val="20"/>
              </w:rPr>
              <w:t>.</w:t>
            </w:r>
          </w:p>
        </w:tc>
      </w:tr>
    </w:tbl>
    <w:p w14:paraId="0843712C" w14:textId="77777777" w:rsidR="00417B62" w:rsidRDefault="00417B62" w:rsidP="00417B62">
      <w:r>
        <w:t xml:space="preserve"> </w:t>
      </w:r>
    </w:p>
    <w:p w14:paraId="1E595983" w14:textId="5A60EE54" w:rsidR="00417B62" w:rsidRPr="00340173" w:rsidRDefault="00835407" w:rsidP="00417B62">
      <w:r>
        <w:t>T</w:t>
      </w:r>
      <w:r w:rsidR="00D70059">
        <w:t xml:space="preserve">his </w:t>
      </w:r>
      <w:r w:rsidR="00417B62">
        <w:t xml:space="preserve">account of attention as increasing the signal-to-noise ratio of an (active) neuron is an account of attention to </w:t>
      </w:r>
      <w:r w:rsidR="0083049E">
        <w:t xml:space="preserve">the </w:t>
      </w:r>
      <w:r w:rsidR="00417B62">
        <w:t>representational content</w:t>
      </w:r>
      <w:r w:rsidR="0083049E">
        <w:t xml:space="preserve"> of experience</w:t>
      </w:r>
      <w:r w:rsidR="00417B62">
        <w:t xml:space="preserve">. </w:t>
      </w:r>
      <w:r w:rsidR="00417B62">
        <w:rPr>
          <w:rFonts w:hint="cs"/>
        </w:rPr>
        <w:t>I</w:t>
      </w:r>
      <w:r w:rsidR="00417B62">
        <w:t xml:space="preserve">s this </w:t>
      </w:r>
      <w:r w:rsidR="00646092">
        <w:t xml:space="preserve">account </w:t>
      </w:r>
      <w:r w:rsidR="00417B62">
        <w:t>applicable to mental paint?</w:t>
      </w:r>
    </w:p>
    <w:p w14:paraId="762DE9FD" w14:textId="38C42873" w:rsidR="00417B62" w:rsidRPr="00FC0A90" w:rsidRDefault="00417B62" w:rsidP="00CD2688">
      <w:r>
        <w:t xml:space="preserve">Recall that mental paint is determined by a neuronal vehicle property, i.e., a neuron’s firing </w:t>
      </w:r>
      <w:r w:rsidR="003C711F">
        <w:t>at a certain rate</w:t>
      </w:r>
      <w:r>
        <w:t xml:space="preserve">. As explained before, this neuronal vehicle </w:t>
      </w:r>
      <w:r w:rsidR="00D731FE">
        <w:t xml:space="preserve">property, in combination with externalistic </w:t>
      </w:r>
      <w:r w:rsidR="007541F9">
        <w:t xml:space="preserve">(tracking) </w:t>
      </w:r>
      <w:r w:rsidR="00D731FE">
        <w:t xml:space="preserve">factors, determines </w:t>
      </w:r>
      <w:r>
        <w:t xml:space="preserve">the representational content of experience. </w:t>
      </w:r>
      <w:r w:rsidR="00DA6B7E">
        <w:t>On the present account, a</w:t>
      </w:r>
      <w:r>
        <w:t xml:space="preserve">ttending to the representational content of experience is </w:t>
      </w:r>
      <w:r w:rsidR="00AD4EEA">
        <w:t xml:space="preserve">a </w:t>
      </w:r>
      <w:r>
        <w:t xml:space="preserve">matter of increasing the signal-to-noise ratio of this neuron. Thus, attending to mental paint, </w:t>
      </w:r>
      <w:r w:rsidR="00F36CC9">
        <w:t xml:space="preserve">on the present account, </w:t>
      </w:r>
      <w:r>
        <w:t xml:space="preserve">should be a matter of increasing the signal-to-noise ratio </w:t>
      </w:r>
      <w:r>
        <w:rPr>
          <w:i/>
          <w:iCs/>
        </w:rPr>
        <w:t>of the same neuron</w:t>
      </w:r>
      <w:r>
        <w:t>.</w:t>
      </w:r>
      <w:r w:rsidR="00E80E95">
        <w:t xml:space="preserve"> </w:t>
      </w:r>
      <w:r w:rsidR="00E66751">
        <w:t xml:space="preserve">For this to work, </w:t>
      </w:r>
      <w:r w:rsidR="00E80E95">
        <w:t xml:space="preserve">there should be </w:t>
      </w:r>
      <w:r w:rsidR="00E80E95" w:rsidRPr="00F36CC9">
        <w:rPr>
          <w:i/>
          <w:iCs/>
        </w:rPr>
        <w:t>two</w:t>
      </w:r>
      <w:r w:rsidR="00E80E95">
        <w:t xml:space="preserve"> signal-to-noise ratios for the same neuron, one associated with its representational </w:t>
      </w:r>
      <w:r w:rsidR="00E80E95" w:rsidRPr="00D8408D">
        <w:t xml:space="preserve">content </w:t>
      </w:r>
      <w:r w:rsidR="00700755">
        <w:t xml:space="preserve">(which determines the representational content of experience) </w:t>
      </w:r>
      <w:r w:rsidR="00E80E95" w:rsidRPr="00D8408D">
        <w:t xml:space="preserve">and one </w:t>
      </w:r>
      <w:r w:rsidR="00E80E95">
        <w:t>with its intrinsic</w:t>
      </w:r>
      <w:r w:rsidR="00F36CC9">
        <w:t xml:space="preserve">, vehicle </w:t>
      </w:r>
      <w:r w:rsidR="001674FC">
        <w:t xml:space="preserve">property </w:t>
      </w:r>
      <w:r w:rsidR="00700755">
        <w:t>(which determine</w:t>
      </w:r>
      <w:r w:rsidR="001674FC">
        <w:t>s</w:t>
      </w:r>
      <w:r w:rsidR="00700755">
        <w:t xml:space="preserve"> mental paint)</w:t>
      </w:r>
      <w:r w:rsidR="006862A8">
        <w:t xml:space="preserve">, regardless of </w:t>
      </w:r>
      <w:r w:rsidR="003C711F">
        <w:t xml:space="preserve">the neuron’s </w:t>
      </w:r>
      <w:r w:rsidR="006862A8">
        <w:t>representational content</w:t>
      </w:r>
      <w:r w:rsidR="00440B1E">
        <w:t>.</w:t>
      </w:r>
      <w:r w:rsidR="00E80E95">
        <w:t xml:space="preserve"> </w:t>
      </w:r>
      <w:r w:rsidR="00B264BE">
        <w:rPr>
          <w:rFonts w:hint="cs"/>
        </w:rPr>
        <w:t>T</w:t>
      </w:r>
      <w:r w:rsidR="00B264BE">
        <w:t xml:space="preserve">he former signal-to-noise ratio should be </w:t>
      </w:r>
      <w:r w:rsidR="00B80622">
        <w:t xml:space="preserve">(at least </w:t>
      </w:r>
      <w:r w:rsidR="00715DCC">
        <w:t>partly</w:t>
      </w:r>
      <w:r w:rsidR="00B80622">
        <w:t>)</w:t>
      </w:r>
      <w:r w:rsidR="00715DCC">
        <w:t xml:space="preserve"> </w:t>
      </w:r>
      <w:r w:rsidR="00B264BE">
        <w:t xml:space="preserve">associated with the stimuli </w:t>
      </w:r>
      <w:r w:rsidR="000407D6">
        <w:t xml:space="preserve">that </w:t>
      </w:r>
      <w:r w:rsidR="00B264BE">
        <w:t>the neuron track</w:t>
      </w:r>
      <w:r w:rsidR="001D112A">
        <w:t>s</w:t>
      </w:r>
      <w:r w:rsidR="00B264BE">
        <w:t xml:space="preserve">, whereas the latter signal-to-noise ratio should be associated with the neuron’s intrinsic, vehicle </w:t>
      </w:r>
      <w:r w:rsidR="001674FC">
        <w:t>property</w:t>
      </w:r>
      <w:r w:rsidR="00B264BE">
        <w:t xml:space="preserve">, </w:t>
      </w:r>
      <w:r w:rsidR="00B264BE" w:rsidRPr="007B0258">
        <w:rPr>
          <w:i/>
          <w:iCs/>
        </w:rPr>
        <w:t xml:space="preserve">regardless of the stimuli </w:t>
      </w:r>
      <w:r w:rsidR="000407D6">
        <w:rPr>
          <w:i/>
          <w:iCs/>
        </w:rPr>
        <w:t>that the neuron</w:t>
      </w:r>
      <w:r w:rsidR="00B264BE" w:rsidRPr="007B0258">
        <w:rPr>
          <w:i/>
          <w:iCs/>
        </w:rPr>
        <w:t xml:space="preserve"> tracks</w:t>
      </w:r>
      <w:r w:rsidR="00B264BE">
        <w:t xml:space="preserve">. </w:t>
      </w:r>
      <w:r w:rsidR="006862A8">
        <w:t xml:space="preserve">But the latter notion is incoherent: </w:t>
      </w:r>
      <w:r w:rsidR="00B264BE">
        <w:t xml:space="preserve">without </w:t>
      </w:r>
      <w:r w:rsidR="00DA6B7E">
        <w:t>the stimuli</w:t>
      </w:r>
      <w:r w:rsidR="00B264BE">
        <w:t xml:space="preserve"> it </w:t>
      </w:r>
      <w:r w:rsidR="00DA6B7E">
        <w:t xml:space="preserve">becomes impossible to distinguish between </w:t>
      </w:r>
      <w:r w:rsidR="00B264BE" w:rsidRPr="000407D6">
        <w:rPr>
          <w:i/>
          <w:iCs/>
        </w:rPr>
        <w:t>signal</w:t>
      </w:r>
      <w:r w:rsidR="00B264BE">
        <w:t xml:space="preserve">, namely </w:t>
      </w:r>
      <w:r w:rsidR="00DA6B7E">
        <w:t xml:space="preserve">firing rates that </w:t>
      </w:r>
      <w:r w:rsidR="003C711F">
        <w:t xml:space="preserve">are </w:t>
      </w:r>
      <w:r w:rsidR="00DA6B7E">
        <w:t>caused by preferred stimuli</w:t>
      </w:r>
      <w:r w:rsidR="00B264BE">
        <w:t xml:space="preserve">, and </w:t>
      </w:r>
      <w:r w:rsidR="00B264BE" w:rsidRPr="000407D6">
        <w:rPr>
          <w:i/>
          <w:iCs/>
        </w:rPr>
        <w:t>noise</w:t>
      </w:r>
      <w:r w:rsidR="00B264BE">
        <w:t xml:space="preserve">, namely </w:t>
      </w:r>
      <w:r w:rsidR="00DA6B7E">
        <w:t xml:space="preserve">firing rates that are caused by some other factor. </w:t>
      </w:r>
      <w:r w:rsidR="00F17EEB">
        <w:t>Thus, the</w:t>
      </w:r>
      <w:r w:rsidR="00D33588">
        <w:t xml:space="preserve"> neuron does not have </w:t>
      </w:r>
      <w:r w:rsidR="00F17EEB">
        <w:t xml:space="preserve">two signal-to-noise </w:t>
      </w:r>
      <w:r w:rsidR="000407D6">
        <w:t>ratio</w:t>
      </w:r>
      <w:r w:rsidR="00F17EEB">
        <w:t>s, one for</w:t>
      </w:r>
      <w:r w:rsidR="0029218C">
        <w:t xml:space="preserve"> its</w:t>
      </w:r>
      <w:r w:rsidR="00F17EEB">
        <w:t xml:space="preserve"> representational content, and another for </w:t>
      </w:r>
      <w:r w:rsidR="0029218C">
        <w:t xml:space="preserve">its </w:t>
      </w:r>
      <w:r w:rsidR="00F17EEB">
        <w:t xml:space="preserve">intrinsic vehicle </w:t>
      </w:r>
      <w:r w:rsidR="001674FC">
        <w:t>property</w:t>
      </w:r>
      <w:r w:rsidR="00F17EEB">
        <w:t xml:space="preserve">. </w:t>
      </w:r>
      <w:r w:rsidR="00D70059">
        <w:t xml:space="preserve">From this point the argument proceeds </w:t>
      </w:r>
      <w:r w:rsidR="00CD2688">
        <w:t>in accordance with the argument schema</w:t>
      </w:r>
      <w:r w:rsidR="009302CE">
        <w:t xml:space="preserve"> and reaches a contradiction</w:t>
      </w:r>
      <w:r w:rsidR="00CD2688">
        <w:t xml:space="preserve">. </w:t>
      </w:r>
      <w:r>
        <w:t xml:space="preserve">Thus, the </w:t>
      </w:r>
      <w:r w:rsidR="00BC71F5">
        <w:lastRenderedPageBreak/>
        <w:t>claim</w:t>
      </w:r>
      <w:r>
        <w:t xml:space="preserve"> that we can attend to mental paint is </w:t>
      </w:r>
      <w:r w:rsidRPr="006E09C4">
        <w:t>incompatible</w:t>
      </w:r>
      <w:r>
        <w:t xml:space="preserve"> with the neuroscientific understanding of </w:t>
      </w:r>
      <w:r w:rsidR="00AD4EEA">
        <w:t xml:space="preserve">attention </w:t>
      </w:r>
      <w:r>
        <w:t xml:space="preserve">in terms of </w:t>
      </w:r>
      <w:r w:rsidR="00B80622">
        <w:t xml:space="preserve">increasing </w:t>
      </w:r>
      <w:r>
        <w:t xml:space="preserve">signal-to-noise ratio. </w:t>
      </w:r>
    </w:p>
    <w:p w14:paraId="6F1EEA2C" w14:textId="0AE97BEC" w:rsidR="004C1321" w:rsidRPr="00FC0D90" w:rsidRDefault="009B58A6" w:rsidP="002F4C91">
      <w:pPr>
        <w:pStyle w:val="ListParagraph"/>
        <w:numPr>
          <w:ilvl w:val="1"/>
          <w:numId w:val="1"/>
        </w:numPr>
        <w:rPr>
          <w:b/>
          <w:bCs/>
        </w:rPr>
      </w:pPr>
      <w:r>
        <w:rPr>
          <w:b/>
          <w:bCs/>
        </w:rPr>
        <w:t xml:space="preserve"> </w:t>
      </w:r>
      <w:r w:rsidR="004C1321" w:rsidRPr="00FC0D90">
        <w:rPr>
          <w:b/>
          <w:bCs/>
        </w:rPr>
        <w:t>S</w:t>
      </w:r>
      <w:r w:rsidR="00417B62" w:rsidRPr="00FC0D90">
        <w:rPr>
          <w:b/>
          <w:bCs/>
        </w:rPr>
        <w:t>hielding from decay</w:t>
      </w:r>
    </w:p>
    <w:p w14:paraId="1EDAEAAE" w14:textId="6D511BC8" w:rsidR="00417B62" w:rsidRDefault="00417B62" w:rsidP="00417B62">
      <w:r>
        <w:t>Suppose a neuron, N, in V4 is tuned to the color green. You look at a green circle and consequently N fires at a high rate. Then the stimulus disappears. Consequently, the activity of N gradually decays</w:t>
      </w:r>
      <w:bookmarkStart w:id="13" w:name="_Hlk14695397"/>
      <w:r>
        <w:t xml:space="preserve">. </w:t>
      </w:r>
      <w:r w:rsidR="00EF0643">
        <w:rPr>
          <w:rFonts w:hint="cs"/>
        </w:rPr>
        <w:t>O</w:t>
      </w:r>
      <w:r w:rsidR="00EF0643">
        <w:t xml:space="preserve">n the account of attending as shielding from decay, </w:t>
      </w:r>
      <w:r w:rsidR="00CB6945">
        <w:t xml:space="preserve">to attend </w:t>
      </w:r>
      <w:r>
        <w:t xml:space="preserve">to the green circle </w:t>
      </w:r>
      <w:r w:rsidR="00CB6945">
        <w:t xml:space="preserve">is to </w:t>
      </w:r>
      <w:r>
        <w:t xml:space="preserve">slow down this decay. </w:t>
      </w:r>
      <w:bookmarkEnd w:id="13"/>
      <w:r>
        <w:t xml:space="preserve">To illustrate, consider the following experiment (Figure </w:t>
      </w:r>
      <w:r w:rsidR="00254F0F">
        <w:t>3</w:t>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417B62" w14:paraId="2C04EE6B" w14:textId="77777777" w:rsidTr="009F1A1F">
        <w:tc>
          <w:tcPr>
            <w:tcW w:w="9576" w:type="dxa"/>
          </w:tcPr>
          <w:p w14:paraId="4F69E1B6" w14:textId="758B7383" w:rsidR="00417B62" w:rsidRDefault="0000720E" w:rsidP="00C9610A">
            <w:r w:rsidRPr="0000720E">
              <w:rPr>
                <w:noProof/>
              </w:rPr>
              <w:drawing>
                <wp:inline distT="0" distB="0" distL="0" distR="0" wp14:anchorId="0A444DC3" wp14:editId="79FCE288">
                  <wp:extent cx="5937250" cy="176530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7250" cy="1765300"/>
                          </a:xfrm>
                          <a:prstGeom prst="rect">
                            <a:avLst/>
                          </a:prstGeom>
                          <a:noFill/>
                          <a:ln>
                            <a:noFill/>
                          </a:ln>
                        </pic:spPr>
                      </pic:pic>
                    </a:graphicData>
                  </a:graphic>
                </wp:inline>
              </w:drawing>
            </w:r>
          </w:p>
        </w:tc>
      </w:tr>
      <w:tr w:rsidR="00417B62" w14:paraId="7EA84AC2" w14:textId="77777777" w:rsidTr="009F1A1F">
        <w:tc>
          <w:tcPr>
            <w:tcW w:w="9576" w:type="dxa"/>
          </w:tcPr>
          <w:p w14:paraId="543B368B" w14:textId="2AE00BA4" w:rsidR="00417B62" w:rsidRDefault="00417B62" w:rsidP="00C9610A">
            <w:pPr>
              <w:rPr>
                <w:rtl/>
              </w:rPr>
            </w:pPr>
            <w:r w:rsidRPr="009F1A1F">
              <w:rPr>
                <w:b/>
                <w:bCs/>
                <w:sz w:val="20"/>
                <w:szCs w:val="20"/>
              </w:rPr>
              <w:t xml:space="preserve">Figure </w:t>
            </w:r>
            <w:r w:rsidR="00254F0F">
              <w:rPr>
                <w:b/>
                <w:bCs/>
                <w:sz w:val="20"/>
                <w:szCs w:val="20"/>
              </w:rPr>
              <w:t>3</w:t>
            </w:r>
            <w:r w:rsidR="00254F0F" w:rsidRPr="009F1A1F">
              <w:rPr>
                <w:sz w:val="20"/>
                <w:szCs w:val="20"/>
              </w:rPr>
              <w:t xml:space="preserve"> </w:t>
            </w:r>
            <w:r w:rsidRPr="009F1A1F">
              <w:rPr>
                <w:rFonts w:hint="cs"/>
                <w:sz w:val="20"/>
                <w:szCs w:val="20"/>
              </w:rPr>
              <w:t>A</w:t>
            </w:r>
            <w:r w:rsidRPr="009F1A1F">
              <w:rPr>
                <w:sz w:val="20"/>
                <w:szCs w:val="20"/>
              </w:rPr>
              <w:t xml:space="preserve"> retro cue experiment. Subjects first see a series of colored circles. After an interval, a cue is presented that either correctly predicts the location </w:t>
            </w:r>
            <w:r w:rsidR="00AD4EEA" w:rsidRPr="009F1A1F">
              <w:rPr>
                <w:sz w:val="20"/>
                <w:szCs w:val="20"/>
              </w:rPr>
              <w:t xml:space="preserve">of </w:t>
            </w:r>
            <w:r w:rsidRPr="009F1A1F">
              <w:rPr>
                <w:sz w:val="20"/>
                <w:szCs w:val="20"/>
              </w:rPr>
              <w:t xml:space="preserve">the subsequent probe (valid cue) or fails to predict it (invalid cue). When the probe appears, the subjects need to make a same/different judgment. </w:t>
            </w:r>
            <w:r w:rsidR="008E1B1E">
              <w:rPr>
                <w:sz w:val="20"/>
                <w:szCs w:val="20"/>
              </w:rPr>
              <w:t xml:space="preserve">Reprinted with permission from </w:t>
            </w:r>
            <w:r w:rsidR="008E1B1E" w:rsidRPr="009F1A1F">
              <w:rPr>
                <w:sz w:val="20"/>
                <w:szCs w:val="20"/>
              </w:rPr>
              <w:t xml:space="preserve">Shepherdson et al. </w:t>
            </w:r>
            <w:r w:rsidR="008E1B1E">
              <w:rPr>
                <w:sz w:val="20"/>
                <w:szCs w:val="20"/>
              </w:rPr>
              <w:t>(</w:t>
            </w:r>
            <w:r w:rsidR="008E1B1E" w:rsidRPr="009F1A1F">
              <w:rPr>
                <w:sz w:val="20"/>
                <w:szCs w:val="20"/>
              </w:rPr>
              <w:t>2018</w:t>
            </w:r>
            <w:r w:rsidR="008E1B1E">
              <w:rPr>
                <w:sz w:val="20"/>
                <w:szCs w:val="20"/>
              </w:rPr>
              <w:t>): American Psychological Association</w:t>
            </w:r>
            <w:r w:rsidR="00EC43B5">
              <w:rPr>
                <w:sz w:val="20"/>
                <w:szCs w:val="20"/>
              </w:rPr>
              <w:t>.</w:t>
            </w:r>
          </w:p>
        </w:tc>
      </w:tr>
    </w:tbl>
    <w:p w14:paraId="1948F3A2" w14:textId="77777777" w:rsidR="00417B62" w:rsidRDefault="00417B62" w:rsidP="00417B62"/>
    <w:p w14:paraId="1EB74AC5" w14:textId="62190798" w:rsidR="00417B62" w:rsidRDefault="00417B62" w:rsidP="00417B62">
      <w:r>
        <w:t>Subjects look at colored circles arranged in a circle. One second after stimulus offset, a cue ("retro cue", RC) is presented. After an additional second or two a probe color appears where the cue was (valid cue) or in some other location (invalid cue), and subjects are asked to make a same/different judgment, comparing the probe with the previously seen color at that location. The typical results in experiment</w:t>
      </w:r>
      <w:r w:rsidR="00AD4EEA">
        <w:t>s</w:t>
      </w:r>
      <w:r>
        <w:t xml:space="preserve"> of this </w:t>
      </w:r>
      <w:r w:rsidR="00AD4EEA">
        <w:t xml:space="preserve">sort </w:t>
      </w:r>
      <w:r>
        <w:t>are that performance after the cue</w:t>
      </w:r>
      <w:r w:rsidR="00AD4EEA">
        <w:t>-</w:t>
      </w:r>
      <w:r w:rsidR="008A00A7">
        <w:t>onset</w:t>
      </w:r>
      <w:r>
        <w:t xml:space="preserve"> remains constant for a couple of seconds if the cue is valid, but drops rapidly if the cue is invalid (Figure </w:t>
      </w:r>
      <w:r w:rsidR="00254F0F">
        <w:t>4</w:t>
      </w:r>
      <w:r>
        <w:t xml:space="preserve">). This means that the </w:t>
      </w:r>
      <w:r w:rsidR="004E4B58">
        <w:t>neuron</w:t>
      </w:r>
      <w:r w:rsidR="0020260A">
        <w:t xml:space="preserve"> underlying the</w:t>
      </w:r>
      <w:r w:rsidR="004E4B58">
        <w:t xml:space="preserve"> </w:t>
      </w:r>
      <w:r>
        <w:t xml:space="preserve">sensory representation of the color at the cued location – i.e., the </w:t>
      </w:r>
      <w:r w:rsidR="0020260A">
        <w:t xml:space="preserve">neuron underlying the </w:t>
      </w:r>
      <w:r>
        <w:t>attended representation</w:t>
      </w:r>
      <w:r w:rsidR="0020260A">
        <w:t>al content</w:t>
      </w:r>
      <w:r w:rsidR="00C37667">
        <w:t xml:space="preserve"> of experience</w:t>
      </w:r>
      <w:r>
        <w:t xml:space="preserve"> – is maintained in an active state, shielded from decay, whereas </w:t>
      </w:r>
      <w:r w:rsidR="004E4B58">
        <w:t>the neur</w:t>
      </w:r>
      <w:r w:rsidR="00D37620">
        <w:t>o</w:t>
      </w:r>
      <w:r w:rsidR="004E4B58">
        <w:t>n</w:t>
      </w:r>
      <w:r w:rsidR="0020260A">
        <w:t xml:space="preserve">s underlying </w:t>
      </w:r>
      <w:r w:rsidR="004E4B58">
        <w:t xml:space="preserve">the </w:t>
      </w:r>
      <w:r>
        <w:t xml:space="preserve">representations of colors at different locations decay rapidly (Gazzaley &amp; </w:t>
      </w:r>
      <w:proofErr w:type="spellStart"/>
      <w:r>
        <w:t>Nobre</w:t>
      </w:r>
      <w:proofErr w:type="spellEnd"/>
      <w:r>
        <w:t xml:space="preserve"> 2012</w:t>
      </w:r>
      <w:r w:rsidR="001674FC">
        <w:t xml:space="preserve">; </w:t>
      </w:r>
      <w:proofErr w:type="spellStart"/>
      <w:r>
        <w:t>Lepsien</w:t>
      </w:r>
      <w:proofErr w:type="spellEnd"/>
      <w:r>
        <w:t xml:space="preserve"> &amp; </w:t>
      </w:r>
      <w:proofErr w:type="spellStart"/>
      <w:r>
        <w:t>Nobre</w:t>
      </w:r>
      <w:proofErr w:type="spellEnd"/>
      <w:r>
        <w:t xml:space="preserve"> 2006).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417B62" w14:paraId="6745FA0C" w14:textId="77777777" w:rsidTr="009F1A1F">
        <w:tc>
          <w:tcPr>
            <w:tcW w:w="9576" w:type="dxa"/>
          </w:tcPr>
          <w:p w14:paraId="78BC34E4" w14:textId="766BCC2E" w:rsidR="00417B62" w:rsidRDefault="00524E4B" w:rsidP="00C9610A">
            <w:r>
              <w:rPr>
                <w:noProof/>
              </w:rPr>
              <w:lastRenderedPageBreak/>
              <w:drawing>
                <wp:inline distT="0" distB="0" distL="0" distR="0" wp14:anchorId="2084EFD5" wp14:editId="7EA8142C">
                  <wp:extent cx="3233643" cy="2687102"/>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47256" cy="2698414"/>
                          </a:xfrm>
                          <a:prstGeom prst="rect">
                            <a:avLst/>
                          </a:prstGeom>
                        </pic:spPr>
                      </pic:pic>
                    </a:graphicData>
                  </a:graphic>
                </wp:inline>
              </w:drawing>
            </w:r>
          </w:p>
        </w:tc>
      </w:tr>
      <w:tr w:rsidR="00417B62" w14:paraId="66E650A3" w14:textId="77777777" w:rsidTr="009F1A1F">
        <w:tc>
          <w:tcPr>
            <w:tcW w:w="9576" w:type="dxa"/>
          </w:tcPr>
          <w:p w14:paraId="5957F745" w14:textId="77777777" w:rsidR="009F1A1F" w:rsidRDefault="009F1A1F" w:rsidP="00C9610A">
            <w:pPr>
              <w:rPr>
                <w:b/>
                <w:bCs/>
                <w:sz w:val="20"/>
                <w:szCs w:val="20"/>
              </w:rPr>
            </w:pPr>
          </w:p>
          <w:p w14:paraId="02969BDE" w14:textId="36925B80" w:rsidR="00417B62" w:rsidRDefault="00417B62" w:rsidP="00C9610A">
            <w:r w:rsidRPr="009F1A1F">
              <w:rPr>
                <w:b/>
                <w:bCs/>
                <w:sz w:val="20"/>
                <w:szCs w:val="20"/>
              </w:rPr>
              <w:t xml:space="preserve">Figure </w:t>
            </w:r>
            <w:r w:rsidR="00254F0F">
              <w:rPr>
                <w:b/>
                <w:bCs/>
                <w:sz w:val="20"/>
                <w:szCs w:val="20"/>
              </w:rPr>
              <w:t>4</w:t>
            </w:r>
            <w:r w:rsidR="00254F0F" w:rsidRPr="009F1A1F">
              <w:rPr>
                <w:sz w:val="20"/>
                <w:szCs w:val="20"/>
              </w:rPr>
              <w:t xml:space="preserve"> </w:t>
            </w:r>
            <w:r w:rsidR="008A00A7" w:rsidRPr="009F1A1F">
              <w:rPr>
                <w:sz w:val="20"/>
                <w:szCs w:val="20"/>
              </w:rPr>
              <w:t>R</w:t>
            </w:r>
            <w:r w:rsidRPr="009F1A1F">
              <w:rPr>
                <w:sz w:val="20"/>
                <w:szCs w:val="20"/>
              </w:rPr>
              <w:t xml:space="preserve">esults of a </w:t>
            </w:r>
            <w:r w:rsidR="008A00A7" w:rsidRPr="009F1A1F">
              <w:rPr>
                <w:sz w:val="20"/>
                <w:szCs w:val="20"/>
              </w:rPr>
              <w:t xml:space="preserve">typical </w:t>
            </w:r>
            <w:r w:rsidRPr="009F1A1F">
              <w:rPr>
                <w:sz w:val="20"/>
                <w:szCs w:val="20"/>
              </w:rPr>
              <w:t xml:space="preserve">retro cue experiment. The arrow depicts the point in time </w:t>
            </w:r>
            <w:r w:rsidR="008A00A7" w:rsidRPr="009F1A1F">
              <w:rPr>
                <w:sz w:val="20"/>
                <w:szCs w:val="20"/>
              </w:rPr>
              <w:t xml:space="preserve">in which </w:t>
            </w:r>
            <w:r w:rsidRPr="009F1A1F">
              <w:rPr>
                <w:sz w:val="20"/>
                <w:szCs w:val="20"/>
              </w:rPr>
              <w:t xml:space="preserve">the retro cue appears. The lines signify performance as a function of the </w:t>
            </w:r>
            <w:r w:rsidR="008A00A7" w:rsidRPr="009F1A1F">
              <w:rPr>
                <w:sz w:val="20"/>
                <w:szCs w:val="20"/>
              </w:rPr>
              <w:t xml:space="preserve">interval </w:t>
            </w:r>
            <w:r w:rsidRPr="009F1A1F">
              <w:rPr>
                <w:sz w:val="20"/>
                <w:szCs w:val="20"/>
              </w:rPr>
              <w:t xml:space="preserve">between the </w:t>
            </w:r>
            <w:r w:rsidR="008A00A7" w:rsidRPr="009F1A1F">
              <w:rPr>
                <w:sz w:val="20"/>
                <w:szCs w:val="20"/>
              </w:rPr>
              <w:t xml:space="preserve">offset </w:t>
            </w:r>
            <w:r w:rsidRPr="009F1A1F">
              <w:rPr>
                <w:sz w:val="20"/>
                <w:szCs w:val="20"/>
              </w:rPr>
              <w:t xml:space="preserve">of the memory array and the </w:t>
            </w:r>
            <w:r w:rsidR="008A00A7" w:rsidRPr="009F1A1F">
              <w:rPr>
                <w:sz w:val="20"/>
                <w:szCs w:val="20"/>
              </w:rPr>
              <w:t xml:space="preserve">onset </w:t>
            </w:r>
            <w:r w:rsidRPr="009F1A1F">
              <w:rPr>
                <w:sz w:val="20"/>
                <w:szCs w:val="20"/>
              </w:rPr>
              <w:t xml:space="preserve">of the probe. If the cue is valid (green line), performance </w:t>
            </w:r>
            <w:r w:rsidR="008A00A7" w:rsidRPr="009F1A1F">
              <w:rPr>
                <w:sz w:val="20"/>
                <w:szCs w:val="20"/>
              </w:rPr>
              <w:t xml:space="preserve">(after the appearance of the cue) </w:t>
            </w:r>
            <w:r w:rsidRPr="009F1A1F">
              <w:rPr>
                <w:sz w:val="20"/>
                <w:szCs w:val="20"/>
              </w:rPr>
              <w:t xml:space="preserve">is constant – the representation does not decay. If the cue is invalid (red line), performance drops rapidly – the representation decays. </w:t>
            </w:r>
            <w:r w:rsidR="00DE1F1A">
              <w:rPr>
                <w:sz w:val="20"/>
                <w:szCs w:val="20"/>
              </w:rPr>
              <w:t xml:space="preserve">Reprinted with permission from </w:t>
            </w:r>
            <w:r w:rsidR="00DE1F1A" w:rsidRPr="009F1A1F">
              <w:rPr>
                <w:color w:val="222222"/>
                <w:sz w:val="20"/>
                <w:szCs w:val="20"/>
              </w:rPr>
              <w:t xml:space="preserve">Souza &amp; </w:t>
            </w:r>
            <w:proofErr w:type="spellStart"/>
            <w:r w:rsidR="00DE1F1A" w:rsidRPr="009F1A1F">
              <w:rPr>
                <w:color w:val="222222"/>
                <w:sz w:val="20"/>
                <w:szCs w:val="20"/>
              </w:rPr>
              <w:t>Oberauer</w:t>
            </w:r>
            <w:proofErr w:type="spellEnd"/>
            <w:r w:rsidR="00DE1F1A" w:rsidRPr="009F1A1F">
              <w:rPr>
                <w:color w:val="222222"/>
                <w:sz w:val="20"/>
                <w:szCs w:val="20"/>
              </w:rPr>
              <w:t xml:space="preserve"> (2016)</w:t>
            </w:r>
            <w:r w:rsidR="00DE1F1A">
              <w:rPr>
                <w:color w:val="222222"/>
                <w:sz w:val="20"/>
                <w:szCs w:val="20"/>
              </w:rPr>
              <w:t>: Springer Nature</w:t>
            </w:r>
            <w:r w:rsidR="00EC43B5">
              <w:rPr>
                <w:color w:val="222222"/>
                <w:sz w:val="20"/>
                <w:szCs w:val="20"/>
              </w:rPr>
              <w:t>.</w:t>
            </w:r>
          </w:p>
        </w:tc>
      </w:tr>
    </w:tbl>
    <w:p w14:paraId="2CB077E0" w14:textId="77777777" w:rsidR="00417B62" w:rsidRDefault="00417B62" w:rsidP="00417B62"/>
    <w:p w14:paraId="08F3A41F" w14:textId="0D9E5518" w:rsidR="00417B62" w:rsidRDefault="00107982" w:rsidP="00417B62">
      <w:pPr>
        <w:rPr>
          <w:rtl/>
        </w:rPr>
      </w:pPr>
      <w:r>
        <w:t>T</w:t>
      </w:r>
      <w:r w:rsidR="00417B62">
        <w:t xml:space="preserve">he present account is of attention to </w:t>
      </w:r>
      <w:r w:rsidR="009302CE">
        <w:t xml:space="preserve">the </w:t>
      </w:r>
      <w:r w:rsidR="00417B62">
        <w:t>representational content</w:t>
      </w:r>
      <w:r w:rsidR="009302CE">
        <w:t xml:space="preserve"> of experience</w:t>
      </w:r>
      <w:r w:rsidR="00417B62">
        <w:t xml:space="preserve">. </w:t>
      </w:r>
      <w:r w:rsidR="002547A0">
        <w:t xml:space="preserve">Does </w:t>
      </w:r>
      <w:r w:rsidR="00417B62">
        <w:t xml:space="preserve">this </w:t>
      </w:r>
      <w:r w:rsidR="008A00A7">
        <w:t xml:space="preserve">account </w:t>
      </w:r>
      <w:r w:rsidR="00417B62">
        <w:t>appl</w:t>
      </w:r>
      <w:r w:rsidR="002547A0">
        <w:t>y</w:t>
      </w:r>
      <w:r w:rsidR="00417B62">
        <w:t xml:space="preserve"> to mental paint?</w:t>
      </w:r>
    </w:p>
    <w:p w14:paraId="05A68F8A" w14:textId="7A653191" w:rsidR="00BC71F5" w:rsidRDefault="002547A0" w:rsidP="00BC71F5">
      <w:r>
        <w:t xml:space="preserve">Consider </w:t>
      </w:r>
      <w:r w:rsidR="0029218C">
        <w:t xml:space="preserve">an </w:t>
      </w:r>
      <w:r>
        <w:t>(active) neuron underlying an</w:t>
      </w:r>
      <w:r w:rsidR="00417B62" w:rsidRPr="00F52C8C">
        <w:t xml:space="preserve"> experience. The </w:t>
      </w:r>
      <w:r w:rsidR="00C37667">
        <w:t xml:space="preserve">intrinsic, </w:t>
      </w:r>
      <w:r w:rsidR="00417B62" w:rsidRPr="00F52C8C">
        <w:t>vehicle propert</w:t>
      </w:r>
      <w:r w:rsidR="00417B62">
        <w:t>y</w:t>
      </w:r>
      <w:r w:rsidR="00417B62" w:rsidRPr="00F52C8C">
        <w:t xml:space="preserve"> of the neuron </w:t>
      </w:r>
      <w:r>
        <w:t xml:space="preserve">(e.g., its firing rate) </w:t>
      </w:r>
      <w:r w:rsidR="00417B62" w:rsidRPr="00F52C8C">
        <w:t>determine</w:t>
      </w:r>
      <w:r w:rsidR="00417B62">
        <w:t>s</w:t>
      </w:r>
      <w:r w:rsidR="00417B62" w:rsidRPr="00F52C8C">
        <w:t xml:space="preserve"> mental paint, according to phenomenism, and </w:t>
      </w:r>
      <w:r w:rsidR="00417B62">
        <w:t xml:space="preserve">it </w:t>
      </w:r>
      <w:r w:rsidR="00417B62" w:rsidRPr="00F52C8C">
        <w:t>also carr</w:t>
      </w:r>
      <w:r w:rsidR="00417B62">
        <w:t>ies</w:t>
      </w:r>
      <w:r w:rsidR="00417B62" w:rsidRPr="00F52C8C">
        <w:t xml:space="preserve"> representational content. Thus, </w:t>
      </w:r>
      <w:r>
        <w:t xml:space="preserve">one shields the representational content </w:t>
      </w:r>
      <w:r w:rsidR="00C37667">
        <w:t>of the neuron</w:t>
      </w:r>
      <w:r w:rsidR="009D05EB">
        <w:t>—</w:t>
      </w:r>
      <w:r w:rsidR="00C37667">
        <w:t>a</w:t>
      </w:r>
      <w:r w:rsidR="009D05EB">
        <w:t>n</w:t>
      </w:r>
      <w:r w:rsidR="00C37667">
        <w:t>d hence of the experience</w:t>
      </w:r>
      <w:r w:rsidR="009D05EB">
        <w:t>—</w:t>
      </w:r>
      <w:r>
        <w:t xml:space="preserve">from decay </w:t>
      </w:r>
      <w:r w:rsidRPr="002547A0">
        <w:rPr>
          <w:i/>
          <w:iCs/>
        </w:rPr>
        <w:t>by</w:t>
      </w:r>
      <w:r>
        <w:t xml:space="preserve"> shielding </w:t>
      </w:r>
      <w:r w:rsidR="009D05EB">
        <w:t xml:space="preserve">this </w:t>
      </w:r>
      <w:r>
        <w:t>vehicle property</w:t>
      </w:r>
      <w:r w:rsidR="00F5205D">
        <w:t xml:space="preserve"> from decay</w:t>
      </w:r>
      <w:r>
        <w:t>.</w:t>
      </w:r>
      <w:r w:rsidR="00F5205D">
        <w:t xml:space="preserve"> So,</w:t>
      </w:r>
      <w:r w:rsidR="00417B62">
        <w:t xml:space="preserve"> attending to the representational content </w:t>
      </w:r>
      <w:r w:rsidR="0029218C">
        <w:t xml:space="preserve">(of experience) </w:t>
      </w:r>
      <w:r w:rsidR="00417B62">
        <w:t xml:space="preserve">is a matter of shielding it from decay, but it inevitably involves shielding </w:t>
      </w:r>
      <w:r w:rsidR="009D05EB">
        <w:t xml:space="preserve">said </w:t>
      </w:r>
      <w:r w:rsidR="00417B62">
        <w:t xml:space="preserve">vehicle property </w:t>
      </w:r>
      <w:r w:rsidR="009D05EB">
        <w:t xml:space="preserve">(of the neuron) </w:t>
      </w:r>
      <w:r w:rsidR="00417B62">
        <w:t xml:space="preserve">from decay as well. </w:t>
      </w:r>
      <w:r w:rsidR="00CD2688">
        <w:t xml:space="preserve">Now suppose for the sake of </w:t>
      </w:r>
      <w:r w:rsidR="00CD2688" w:rsidRPr="00776F77">
        <w:rPr>
          <w:i/>
          <w:iCs/>
        </w:rPr>
        <w:t>reductio</w:t>
      </w:r>
      <w:r w:rsidR="00CD2688">
        <w:t xml:space="preserve"> that </w:t>
      </w:r>
      <w:r w:rsidR="00CD2688" w:rsidRPr="002B10F4">
        <w:t xml:space="preserve">attending to </w:t>
      </w:r>
      <w:r w:rsidR="00CD2688">
        <w:t xml:space="preserve">mental paint </w:t>
      </w:r>
      <w:r w:rsidR="00CD2688" w:rsidRPr="002B10F4">
        <w:t xml:space="preserve">amounts to shielding </w:t>
      </w:r>
      <w:r w:rsidR="00CD2688">
        <w:t xml:space="preserve">the vehicle property that determines </w:t>
      </w:r>
      <w:r w:rsidR="00CD2688" w:rsidRPr="002B10F4">
        <w:t>it from decay</w:t>
      </w:r>
      <w:r w:rsidR="00CD2688">
        <w:t xml:space="preserve">. </w:t>
      </w:r>
      <w:r w:rsidR="006C15C9">
        <w:t xml:space="preserve">It follows that attending to the representational content </w:t>
      </w:r>
      <w:r w:rsidR="0029218C">
        <w:t xml:space="preserve">of experience </w:t>
      </w:r>
      <w:r w:rsidR="006C15C9">
        <w:t xml:space="preserve">is </w:t>
      </w:r>
      <w:r w:rsidR="006C15C9" w:rsidRPr="006C15C9">
        <w:rPr>
          <w:i/>
          <w:iCs/>
        </w:rPr>
        <w:t>ipso facto</w:t>
      </w:r>
      <w:r w:rsidR="006C15C9">
        <w:t xml:space="preserve"> attending to mental paint. </w:t>
      </w:r>
      <w:r w:rsidR="00CD2688">
        <w:t>Via steps familiar from the argument schema, we reach a contradiction.</w:t>
      </w:r>
      <w:r w:rsidR="00BC71F5">
        <w:t xml:space="preserve"> Thus, the claim that we can attend to mental paint is incompatible with the neuroscientific understanding of attention in terms of shielding a representation from decay. </w:t>
      </w:r>
    </w:p>
    <w:p w14:paraId="2A57F563" w14:textId="20F24FBB" w:rsidR="004C1321" w:rsidRPr="00FC0D90" w:rsidRDefault="009B58A6" w:rsidP="002F4C91">
      <w:pPr>
        <w:pStyle w:val="ListParagraph"/>
        <w:numPr>
          <w:ilvl w:val="1"/>
          <w:numId w:val="1"/>
        </w:numPr>
        <w:rPr>
          <w:b/>
          <w:bCs/>
        </w:rPr>
      </w:pPr>
      <w:r>
        <w:rPr>
          <w:b/>
          <w:bCs/>
        </w:rPr>
        <w:t xml:space="preserve"> </w:t>
      </w:r>
      <w:r w:rsidR="00417B62" w:rsidRPr="00FC0D90">
        <w:rPr>
          <w:b/>
          <w:bCs/>
        </w:rPr>
        <w:t>Suppressing distractors</w:t>
      </w:r>
    </w:p>
    <w:p w14:paraId="0765D02C" w14:textId="16E3D567" w:rsidR="00417B62" w:rsidRDefault="00417B62" w:rsidP="00417B62">
      <w:pPr>
        <w:rPr>
          <w:rtl/>
        </w:rPr>
      </w:pPr>
      <w:r>
        <w:t xml:space="preserve">Another central function of attention </w:t>
      </w:r>
      <w:proofErr w:type="gramStart"/>
      <w:r>
        <w:t>concerns</w:t>
      </w:r>
      <w:proofErr w:type="gramEnd"/>
      <w:r>
        <w:t xml:space="preserve"> ignoring, or suppressing, task-irrelevant distractors. Consider for example the </w:t>
      </w:r>
      <w:r w:rsidR="008B635C">
        <w:t xml:space="preserve">study by de </w:t>
      </w:r>
      <w:proofErr w:type="spellStart"/>
      <w:r w:rsidR="008B635C">
        <w:t>Fockert</w:t>
      </w:r>
      <w:proofErr w:type="spellEnd"/>
      <w:r w:rsidR="008B635C">
        <w:t xml:space="preserve"> et a</w:t>
      </w:r>
      <w:r w:rsidR="00AF0099">
        <w:t>l</w:t>
      </w:r>
      <w:r w:rsidR="008B635C">
        <w:t>. (2001)</w:t>
      </w:r>
      <w:r>
        <w:t xml:space="preserve">. Participants see written names superimposed on faces. They need to rapidly report whether the name is of a singer or a politician. The faces are distractors – some faces are incongruent with the names, and the subjects need to disregard them. It is difficult to do so: </w:t>
      </w:r>
      <w:r w:rsidR="00F36685">
        <w:t>t</w:t>
      </w:r>
      <w:r>
        <w:t>he faces are automatically processed and categorized, and hence the subjects need to suppress the representation of faces, in a top-down manner.</w:t>
      </w:r>
    </w:p>
    <w:p w14:paraId="142069A1" w14:textId="2BEB111C" w:rsidR="0091724F" w:rsidRDefault="0091724F" w:rsidP="0091724F">
      <w:pPr>
        <w:spacing w:before="240"/>
      </w:pPr>
      <w:r>
        <w:t xml:space="preserve">The phenomenon of suppressing distractors has been studied by neuroscience. Consider </w:t>
      </w:r>
      <w:r w:rsidR="00857C6C">
        <w:t xml:space="preserve">a study by </w:t>
      </w:r>
      <w:proofErr w:type="spellStart"/>
      <w:r>
        <w:t>Rissman</w:t>
      </w:r>
      <w:proofErr w:type="spellEnd"/>
      <w:r>
        <w:t xml:space="preserve"> et al. (2009). In Figure </w:t>
      </w:r>
      <w:r w:rsidR="00254F0F">
        <w:t>5</w:t>
      </w:r>
      <w:r>
        <w:t xml:space="preserve">, the blue line depicts the activity in a brain area representing scenes, </w:t>
      </w:r>
      <w:r>
        <w:lastRenderedPageBreak/>
        <w:t xml:space="preserve">during a task that requires remembering faces and </w:t>
      </w:r>
      <w:r w:rsidRPr="00E51D30">
        <w:rPr>
          <w:i/>
          <w:iCs/>
        </w:rPr>
        <w:t>ignoring</w:t>
      </w:r>
      <w:r>
        <w:t xml:space="preserve"> distractor scenes. </w:t>
      </w:r>
      <w:r w:rsidR="00857C6C">
        <w:t>On</w:t>
      </w:r>
      <w:r>
        <w:t xml:space="preserve"> the low load condition said activity is suppressed, relative to high load condition (high load hampers this suppression of distractors). On the present </w:t>
      </w:r>
      <w:r w:rsidR="003B35BE">
        <w:t xml:space="preserve">account </w:t>
      </w:r>
      <w:r>
        <w:t xml:space="preserve">of attention, suppressing the </w:t>
      </w:r>
      <w:r w:rsidR="00CA41F2">
        <w:t xml:space="preserve">distractor </w:t>
      </w:r>
      <w:r>
        <w:t xml:space="preserve">scenes </w:t>
      </w:r>
      <w:r w:rsidRPr="00F94AC6">
        <w:rPr>
          <w:i/>
          <w:iCs/>
        </w:rPr>
        <w:t>is</w:t>
      </w:r>
      <w:r>
        <w:t xml:space="preserve"> attending to the task-relevant stimuli, namely </w:t>
      </w:r>
      <w:bookmarkStart w:id="14" w:name="_Hlk14695900"/>
      <w:r>
        <w:t>faces.</w:t>
      </w:r>
    </w:p>
    <w:p w14:paraId="7D4E268C" w14:textId="7713D1EB" w:rsidR="00CB6945" w:rsidRDefault="00CB6945" w:rsidP="00A32814">
      <w:r>
        <w:t xml:space="preserve">The present account of attention—as suppressing the neural activity of distractors—is an account of attention to the representational content of experience. Is this account </w:t>
      </w:r>
      <w:bookmarkEnd w:id="14"/>
      <w:r>
        <w:t>applicable to mental paint?</w:t>
      </w:r>
    </w:p>
    <w:tbl>
      <w:tblPr>
        <w:tblStyle w:val="TableGrid"/>
        <w:tblW w:w="0" w:type="auto"/>
        <w:tblLook w:val="04A0" w:firstRow="1" w:lastRow="0" w:firstColumn="1" w:lastColumn="0" w:noHBand="0" w:noVBand="1"/>
      </w:tblPr>
      <w:tblGrid>
        <w:gridCol w:w="9360"/>
      </w:tblGrid>
      <w:tr w:rsidR="004B2710" w14:paraId="41755676" w14:textId="77777777" w:rsidTr="006C15C9">
        <w:tc>
          <w:tcPr>
            <w:tcW w:w="9360" w:type="dxa"/>
            <w:tcBorders>
              <w:top w:val="nil"/>
              <w:left w:val="nil"/>
              <w:bottom w:val="nil"/>
              <w:right w:val="nil"/>
            </w:tcBorders>
          </w:tcPr>
          <w:p w14:paraId="54FE7903" w14:textId="77777777" w:rsidR="004B2710" w:rsidRDefault="009B1508" w:rsidP="00F14B85">
            <w:r>
              <w:rPr>
                <w:noProof/>
              </w:rPr>
              <w:object w:dxaOrig="4320" w:dyaOrig="1352" w14:anchorId="5011C6A5">
                <v:shape id="_x0000_i1026" type="#_x0000_t75" alt="" style="width:470.5pt;height:148.5pt;mso-width-percent:0;mso-height-percent:0;mso-width-percent:0;mso-height-percent:0" o:ole="">
                  <v:imagedata r:id="rId14" o:title=""/>
                </v:shape>
                <o:OLEObject Type="Embed" ProgID="PBrush" ShapeID="_x0000_i1026" DrawAspect="Content" ObjectID="_1627826949" r:id="rId15"/>
              </w:object>
            </w:r>
          </w:p>
        </w:tc>
      </w:tr>
      <w:tr w:rsidR="004B2710" w14:paraId="3FD14CCF" w14:textId="77777777" w:rsidTr="006C15C9">
        <w:tc>
          <w:tcPr>
            <w:tcW w:w="9360" w:type="dxa"/>
            <w:tcBorders>
              <w:top w:val="nil"/>
              <w:left w:val="nil"/>
              <w:bottom w:val="nil"/>
              <w:right w:val="nil"/>
            </w:tcBorders>
          </w:tcPr>
          <w:p w14:paraId="4D82B5B2" w14:textId="77777777" w:rsidR="004B2710" w:rsidRDefault="004B2710" w:rsidP="00F14B85">
            <w:pPr>
              <w:rPr>
                <w:b/>
                <w:bCs/>
                <w:sz w:val="20"/>
                <w:szCs w:val="20"/>
              </w:rPr>
            </w:pPr>
          </w:p>
          <w:p w14:paraId="2A815CC9" w14:textId="1A7B6CB5" w:rsidR="004B2710" w:rsidRDefault="004B2710" w:rsidP="00F14B85">
            <w:r w:rsidRPr="009F1A1F">
              <w:rPr>
                <w:b/>
                <w:bCs/>
                <w:sz w:val="20"/>
                <w:szCs w:val="20"/>
              </w:rPr>
              <w:t xml:space="preserve">Figure </w:t>
            </w:r>
            <w:r w:rsidR="00254F0F">
              <w:rPr>
                <w:b/>
                <w:bCs/>
                <w:sz w:val="20"/>
                <w:szCs w:val="20"/>
              </w:rPr>
              <w:t>5</w:t>
            </w:r>
            <w:r w:rsidR="00254F0F" w:rsidRPr="009F1A1F">
              <w:rPr>
                <w:sz w:val="20"/>
                <w:szCs w:val="20"/>
              </w:rPr>
              <w:t xml:space="preserve"> </w:t>
            </w:r>
            <w:r w:rsidR="007C5DDC">
              <w:rPr>
                <w:sz w:val="20"/>
                <w:szCs w:val="20"/>
              </w:rPr>
              <w:t xml:space="preserve">Example of distractor suppression as studied by neuroscience. </w:t>
            </w:r>
            <w:r w:rsidRPr="009F1A1F">
              <w:rPr>
                <w:sz w:val="20"/>
                <w:szCs w:val="20"/>
              </w:rPr>
              <w:t xml:space="preserve">The lines depict activity of representations of scenes in the visual cortex, in different tasks: remembering faces and ignoring scenes (blue line), passively viewing scenes and faces (yellow line), and remembering scenes while ignoring faces (red lines). All tasks were done while either remembering ordered digits (low verbal load) or remembering random digits (high verbal load). The crucial finding is captured by the different blue lines in the low load vs. high load conditions. </w:t>
            </w:r>
            <w:r w:rsidR="00DE1F1A">
              <w:rPr>
                <w:sz w:val="20"/>
                <w:szCs w:val="20"/>
              </w:rPr>
              <w:t xml:space="preserve">Reprinted with permission from </w:t>
            </w:r>
            <w:proofErr w:type="spellStart"/>
            <w:r w:rsidR="00DE1F1A" w:rsidRPr="009F1A1F">
              <w:rPr>
                <w:sz w:val="20"/>
                <w:szCs w:val="20"/>
              </w:rPr>
              <w:t>Rissman</w:t>
            </w:r>
            <w:proofErr w:type="spellEnd"/>
            <w:r w:rsidR="00DE1F1A" w:rsidRPr="009F1A1F">
              <w:rPr>
                <w:sz w:val="20"/>
                <w:szCs w:val="20"/>
              </w:rPr>
              <w:t xml:space="preserve"> et al. </w:t>
            </w:r>
            <w:r w:rsidR="00DE1F1A">
              <w:rPr>
                <w:sz w:val="20"/>
                <w:szCs w:val="20"/>
              </w:rPr>
              <w:t>(</w:t>
            </w:r>
            <w:r w:rsidR="00DE1F1A" w:rsidRPr="009F1A1F">
              <w:rPr>
                <w:sz w:val="20"/>
                <w:szCs w:val="20"/>
              </w:rPr>
              <w:t>2009</w:t>
            </w:r>
            <w:r w:rsidR="00DE1F1A">
              <w:rPr>
                <w:sz w:val="20"/>
                <w:szCs w:val="20"/>
              </w:rPr>
              <w:t>): Elsevier</w:t>
            </w:r>
            <w:r w:rsidRPr="009F1A1F">
              <w:rPr>
                <w:sz w:val="20"/>
                <w:szCs w:val="20"/>
              </w:rPr>
              <w:t>.</w:t>
            </w:r>
          </w:p>
        </w:tc>
      </w:tr>
    </w:tbl>
    <w:p w14:paraId="60AFF741" w14:textId="77777777" w:rsidR="00D10C75" w:rsidRDefault="00D10C75" w:rsidP="00BC71F5"/>
    <w:p w14:paraId="70811010" w14:textId="2103DB77" w:rsidR="00417B62" w:rsidRDefault="00417B62" w:rsidP="00BC71F5">
      <w:r w:rsidRPr="00AC7494">
        <w:t xml:space="preserve">On the </w:t>
      </w:r>
      <w:r w:rsidR="00937C85">
        <w:t xml:space="preserve">distractor suppression </w:t>
      </w:r>
      <w:r w:rsidR="003B35BE">
        <w:t>account</w:t>
      </w:r>
      <w:r w:rsidR="003B35BE" w:rsidRPr="00AC7494">
        <w:t xml:space="preserve"> </w:t>
      </w:r>
      <w:r w:rsidRPr="00AC7494">
        <w:t xml:space="preserve">of attention, attending to mental paint amounts to suppressing the representational </w:t>
      </w:r>
      <w:r w:rsidRPr="005739A1">
        <w:t>content</w:t>
      </w:r>
      <w:r w:rsidRPr="00AC7494">
        <w:t xml:space="preserve"> of a certain (active) neuron</w:t>
      </w:r>
      <w:r w:rsidR="00C37667">
        <w:t xml:space="preserve"> (which determines the representational content of experience)</w:t>
      </w:r>
      <w:r w:rsidRPr="00AC7494">
        <w:t xml:space="preserve">, without suppressing its </w:t>
      </w:r>
      <w:r w:rsidR="00E76F79">
        <w:t xml:space="preserve">intrinsic, </w:t>
      </w:r>
      <w:r w:rsidRPr="00AC7494">
        <w:t>vehicle propert</w:t>
      </w:r>
      <w:r>
        <w:t>y</w:t>
      </w:r>
      <w:r w:rsidRPr="00AC7494">
        <w:t xml:space="preserve"> (which determine</w:t>
      </w:r>
      <w:r>
        <w:t>s</w:t>
      </w:r>
      <w:r w:rsidRPr="00AC7494">
        <w:t xml:space="preserve"> mental paint). But that </w:t>
      </w:r>
      <w:r w:rsidR="00BC48E3">
        <w:t xml:space="preserve">is </w:t>
      </w:r>
      <w:r w:rsidRPr="00AC7494">
        <w:t xml:space="preserve">impossible: </w:t>
      </w:r>
      <w:r w:rsidR="00D25D10">
        <w:t xml:space="preserve">one </w:t>
      </w:r>
      <w:r w:rsidRPr="00AC7494">
        <w:t>suppress</w:t>
      </w:r>
      <w:r w:rsidR="00D25D10">
        <w:t>es</w:t>
      </w:r>
      <w:r w:rsidRPr="00AC7494">
        <w:t xml:space="preserve"> the representational content </w:t>
      </w:r>
      <w:r w:rsidR="00D25D10">
        <w:t xml:space="preserve">of a neuron </w:t>
      </w:r>
      <w:r w:rsidR="00D25D10">
        <w:rPr>
          <w:i/>
          <w:iCs/>
        </w:rPr>
        <w:t xml:space="preserve">by </w:t>
      </w:r>
      <w:r w:rsidR="00BC48E3">
        <w:t xml:space="preserve">suppressing </w:t>
      </w:r>
      <w:r w:rsidRPr="00AC7494">
        <w:t xml:space="preserve">the activity of </w:t>
      </w:r>
      <w:r w:rsidR="00D25D10">
        <w:t xml:space="preserve">its vehicle property, which </w:t>
      </w:r>
      <w:r w:rsidRPr="00AC7494">
        <w:t>carr</w:t>
      </w:r>
      <w:r w:rsidR="00D25D10">
        <w:t>ies</w:t>
      </w:r>
      <w:r w:rsidRPr="00AC7494">
        <w:t xml:space="preserve"> that representational content. For example, prior to the suppression, the neuron fires at 40 s/s, and as a result of suppression, it fires at 20 s/s. Its representational content</w:t>
      </w:r>
      <w:r w:rsidRPr="00E246A1">
        <w:t xml:space="preserve"> is now "weaker</w:t>
      </w:r>
      <w:r w:rsidR="00094EA5">
        <w:t>.</w:t>
      </w:r>
      <w:r w:rsidRPr="00E246A1">
        <w:t xml:space="preserve">" But this is achieved </w:t>
      </w:r>
      <w:r w:rsidRPr="00E246A1">
        <w:rPr>
          <w:i/>
          <w:iCs/>
        </w:rPr>
        <w:t>by</w:t>
      </w:r>
      <w:r w:rsidRPr="00E246A1">
        <w:t xml:space="preserve"> downregulating the intrinsic property of the neuron, the vehicle property, namely the </w:t>
      </w:r>
      <w:r w:rsidRPr="00E246A1">
        <w:rPr>
          <w:i/>
          <w:iCs/>
        </w:rPr>
        <w:t>firing frequency</w:t>
      </w:r>
      <w:r w:rsidRPr="00E246A1">
        <w:t xml:space="preserve">. Thus, </w:t>
      </w:r>
      <w:r w:rsidR="00BC48E3">
        <w:t xml:space="preserve">it is not possible to </w:t>
      </w:r>
      <w:r w:rsidRPr="00E246A1">
        <w:t>suppress the representational content without suppressing the vehicle</w:t>
      </w:r>
      <w:r w:rsidR="00BC48E3">
        <w:t xml:space="preserve"> property that carries it</w:t>
      </w:r>
      <w:r w:rsidRPr="00E246A1">
        <w:t>.</w:t>
      </w:r>
      <w:r w:rsidR="00BC71F5">
        <w:t xml:space="preserve"> </w:t>
      </w:r>
      <w:r w:rsidR="00E76F79">
        <w:t>T</w:t>
      </w:r>
      <w:r>
        <w:t xml:space="preserve">he </w:t>
      </w:r>
      <w:r w:rsidR="00BC71F5">
        <w:t xml:space="preserve">claim </w:t>
      </w:r>
      <w:r>
        <w:t>that w</w:t>
      </w:r>
      <w:r w:rsidR="00BC71F5">
        <w:t xml:space="preserve">e can attend to mental paint is, therefore, </w:t>
      </w:r>
      <w:r>
        <w:t xml:space="preserve">incompatible with the neuroscientific understanding of </w:t>
      </w:r>
      <w:r w:rsidR="00BD091F">
        <w:t xml:space="preserve">attention </w:t>
      </w:r>
      <w:r>
        <w:t xml:space="preserve">in terms of suppression of neural activity of distractors. </w:t>
      </w:r>
    </w:p>
    <w:p w14:paraId="30682B3D" w14:textId="462087D8" w:rsidR="004C1321" w:rsidRPr="00FC0D90" w:rsidRDefault="009B58A6" w:rsidP="002F4C91">
      <w:pPr>
        <w:pStyle w:val="ListParagraph"/>
        <w:numPr>
          <w:ilvl w:val="1"/>
          <w:numId w:val="1"/>
        </w:numPr>
        <w:rPr>
          <w:b/>
          <w:bCs/>
        </w:rPr>
      </w:pPr>
      <w:r>
        <w:rPr>
          <w:b/>
          <w:bCs/>
        </w:rPr>
        <w:t xml:space="preserve"> </w:t>
      </w:r>
      <w:r w:rsidR="004C1321" w:rsidRPr="00FC0D90">
        <w:rPr>
          <w:b/>
          <w:bCs/>
        </w:rPr>
        <w:t>A</w:t>
      </w:r>
      <w:r w:rsidR="00417B62" w:rsidRPr="00FC0D90">
        <w:rPr>
          <w:b/>
          <w:bCs/>
        </w:rPr>
        <w:t>llocati</w:t>
      </w:r>
      <w:r w:rsidR="004C1321" w:rsidRPr="00FC0D90">
        <w:rPr>
          <w:b/>
          <w:bCs/>
        </w:rPr>
        <w:t>ng resources</w:t>
      </w:r>
    </w:p>
    <w:p w14:paraId="65DE2409" w14:textId="2C071F6D" w:rsidR="00417B62" w:rsidRPr="00A26E2F" w:rsidRDefault="00417B62" w:rsidP="00E76F79">
      <w:r>
        <w:t xml:space="preserve">Neural representations necessitate biological resources and are affected by the amount of resources available to them. A resource could be an ATP energy molecule, a neurotransmitter, a sodium ion, etc. According to the resource-allocation </w:t>
      </w:r>
      <w:r w:rsidR="003B35BE">
        <w:t xml:space="preserve">account </w:t>
      </w:r>
      <w:r>
        <w:t xml:space="preserve">of attention (Bays et al. 2009; Bays 2015), at least some of the resources are scarce and limited, and mental representations compete for them. The available resources must be optimally allocated between the competing representations to allow for efficient processing. Attending is therefore seen as a matter of allocating the resources to </w:t>
      </w:r>
      <w:r w:rsidR="00D52209">
        <w:t xml:space="preserve">certain </w:t>
      </w:r>
      <w:r>
        <w:t>representations</w:t>
      </w:r>
      <w:r w:rsidR="00D52209">
        <w:t xml:space="preserve"> over others</w:t>
      </w:r>
      <w:r>
        <w:t>, in order to meet task demands.</w:t>
      </w:r>
    </w:p>
    <w:p w14:paraId="16195B58" w14:textId="607F2379" w:rsidR="00417B62" w:rsidRDefault="00417B62" w:rsidP="00417B62">
      <w:r>
        <w:lastRenderedPageBreak/>
        <w:t xml:space="preserve">This </w:t>
      </w:r>
      <w:r w:rsidR="00937C85">
        <w:t xml:space="preserve">account is </w:t>
      </w:r>
      <w:r>
        <w:t xml:space="preserve">of attention to </w:t>
      </w:r>
      <w:r w:rsidR="0029218C">
        <w:t xml:space="preserve">the </w:t>
      </w:r>
      <w:r>
        <w:t>representational content</w:t>
      </w:r>
      <w:r w:rsidR="0029218C">
        <w:t xml:space="preserve"> of experience</w:t>
      </w:r>
      <w:r>
        <w:t xml:space="preserve">. </w:t>
      </w:r>
      <w:r w:rsidR="001C0612">
        <w:t xml:space="preserve">Is </w:t>
      </w:r>
      <w:r w:rsidR="00BF6FCA">
        <w:t xml:space="preserve">this </w:t>
      </w:r>
      <w:r w:rsidR="003B35BE">
        <w:t xml:space="preserve">account </w:t>
      </w:r>
      <w:r w:rsidR="00BF6FCA">
        <w:t>applica</w:t>
      </w:r>
      <w:r w:rsidR="001C0612">
        <w:t>ble to mental paint?</w:t>
      </w:r>
      <w:r>
        <w:t xml:space="preserve"> </w:t>
      </w:r>
    </w:p>
    <w:p w14:paraId="4154BC56" w14:textId="0880BEF0" w:rsidR="00417B62" w:rsidRDefault="00417B62" w:rsidP="00FE3444">
      <w:r>
        <w:t xml:space="preserve">Applying this </w:t>
      </w:r>
      <w:r w:rsidR="003B35BE">
        <w:t xml:space="preserve">account </w:t>
      </w:r>
      <w:r>
        <w:t>of attention to mental paint amounts to the idea of allocating resources to the neuron</w:t>
      </w:r>
      <w:r w:rsidR="00FF7E12">
        <w:t xml:space="preserve"> underlying it. B</w:t>
      </w:r>
      <w:r w:rsidR="00821AAA">
        <w:t>ut a</w:t>
      </w:r>
      <w:r w:rsidR="00551CC3">
        <w:t xml:space="preserve">ttending to </w:t>
      </w:r>
      <w:r w:rsidR="0029218C">
        <w:t xml:space="preserve">the </w:t>
      </w:r>
      <w:r w:rsidR="00551CC3">
        <w:t xml:space="preserve">representational content </w:t>
      </w:r>
      <w:r w:rsidR="0029218C">
        <w:t xml:space="preserve">of experience </w:t>
      </w:r>
      <w:r w:rsidR="00551CC3">
        <w:t xml:space="preserve">already involves allocating resources to the same neuron. Moreover, it is implausible to hold that some of the resources are “for” the representational content </w:t>
      </w:r>
      <w:r w:rsidR="00C37667">
        <w:t xml:space="preserve">of experience (or of the neuron) </w:t>
      </w:r>
      <w:r w:rsidR="00551CC3">
        <w:t>whereas others are “for” the mental paint</w:t>
      </w:r>
      <w:r w:rsidR="00C37667">
        <w:t xml:space="preserve"> (or the </w:t>
      </w:r>
      <w:r w:rsidR="009D05EB">
        <w:t xml:space="preserve">intrinsic, </w:t>
      </w:r>
      <w:r w:rsidR="00C37667">
        <w:t>neuronal vehicle property that determines it)</w:t>
      </w:r>
      <w:r w:rsidR="00551CC3">
        <w:t xml:space="preserve">. </w:t>
      </w:r>
      <w:r>
        <w:t xml:space="preserve">Resources are allocated to the neuron </w:t>
      </w:r>
      <w:r>
        <w:rPr>
          <w:i/>
          <w:iCs/>
        </w:rPr>
        <w:t>simpliciter</w:t>
      </w:r>
      <w:r>
        <w:t xml:space="preserve">. As a consequence, firing rates increase, for example, which is a change in </w:t>
      </w:r>
      <w:r w:rsidR="001C0612">
        <w:t xml:space="preserve">the </w:t>
      </w:r>
      <w:r>
        <w:t xml:space="preserve">vehicle property, and these firing rates carry information, or have representational content. Thus, </w:t>
      </w:r>
      <w:r w:rsidR="00551CC3">
        <w:t xml:space="preserve">attending to the </w:t>
      </w:r>
      <w:r w:rsidR="001C0612">
        <w:t xml:space="preserve">representational content </w:t>
      </w:r>
      <w:r w:rsidR="00551CC3">
        <w:t xml:space="preserve">of experience allocates the same resources to the same neuron as attending to mental paint. </w:t>
      </w:r>
      <w:r w:rsidR="00114751">
        <w:t xml:space="preserve">From this point we reach a contradiction in the familiar way. </w:t>
      </w:r>
      <w:r>
        <w:t xml:space="preserve">Thus, the </w:t>
      </w:r>
      <w:r w:rsidR="00BC71F5">
        <w:t xml:space="preserve">claim </w:t>
      </w:r>
      <w:r>
        <w:t xml:space="preserve">that we can attend to mental paint is incompatible with the neuroscientific understanding of </w:t>
      </w:r>
      <w:r w:rsidR="00D52209">
        <w:t xml:space="preserve">attention </w:t>
      </w:r>
      <w:r>
        <w:t xml:space="preserve">in terms of resource allocation. </w:t>
      </w:r>
    </w:p>
    <w:p w14:paraId="178AA126" w14:textId="69084E78" w:rsidR="00FE3444" w:rsidRPr="00FC0D90" w:rsidRDefault="009B58A6" w:rsidP="002F4C91">
      <w:pPr>
        <w:pStyle w:val="ListParagraph"/>
        <w:numPr>
          <w:ilvl w:val="1"/>
          <w:numId w:val="1"/>
        </w:numPr>
        <w:rPr>
          <w:b/>
          <w:bCs/>
        </w:rPr>
      </w:pPr>
      <w:r>
        <w:rPr>
          <w:b/>
          <w:bCs/>
        </w:rPr>
        <w:t xml:space="preserve"> </w:t>
      </w:r>
      <w:r w:rsidR="00FE3444" w:rsidRPr="00FC0D90">
        <w:rPr>
          <w:b/>
          <w:bCs/>
        </w:rPr>
        <w:t>Interim summary</w:t>
      </w:r>
    </w:p>
    <w:p w14:paraId="6F83438D" w14:textId="31A48D56" w:rsidR="000515AC" w:rsidRDefault="00417B62" w:rsidP="0020567E">
      <w:pPr>
        <w:rPr>
          <w:rtl/>
        </w:rPr>
      </w:pPr>
      <w:r>
        <w:t xml:space="preserve">When we </w:t>
      </w:r>
      <w:r w:rsidR="00CA70EB">
        <w:t xml:space="preserve">try to apply neuroscientific </w:t>
      </w:r>
      <w:r w:rsidR="003B35BE">
        <w:t xml:space="preserve">accounts </w:t>
      </w:r>
      <w:r w:rsidR="00CA70EB">
        <w:t xml:space="preserve">of </w:t>
      </w:r>
      <w:r w:rsidR="005B0175">
        <w:t xml:space="preserve">first-order </w:t>
      </w:r>
      <w:r w:rsidR="00923058">
        <w:t xml:space="preserve">(FO) </w:t>
      </w:r>
      <w:r w:rsidRPr="00925ECD">
        <w:t>sensory attention</w:t>
      </w:r>
      <w:r>
        <w:t xml:space="preserve"> to mental paint</w:t>
      </w:r>
      <w:r w:rsidRPr="00925ECD">
        <w:t xml:space="preserve">, we reach a contradiction (for each </w:t>
      </w:r>
      <w:r w:rsidR="005652AA">
        <w:t>account</w:t>
      </w:r>
      <w:r w:rsidRPr="00925ECD">
        <w:t>).</w:t>
      </w:r>
      <w:r w:rsidRPr="00500FEE">
        <w:t xml:space="preserve"> </w:t>
      </w:r>
      <w:r w:rsidR="002E3080">
        <w:t xml:space="preserve">This provides reason to hold that </w:t>
      </w:r>
      <w:r w:rsidRPr="009617BD">
        <w:t xml:space="preserve">we can't </w:t>
      </w:r>
      <w:r w:rsidRPr="00E246A1">
        <w:t>sensorily</w:t>
      </w:r>
      <w:r w:rsidRPr="009617BD">
        <w:t xml:space="preserve"> attend to mental paint</w:t>
      </w:r>
      <w:r w:rsidR="005B0175">
        <w:t>, in a first-order sense</w:t>
      </w:r>
      <w:r w:rsidRPr="009617BD">
        <w:t>.</w:t>
      </w:r>
      <w:r w:rsidR="0020567E">
        <w:t xml:space="preserve"> </w:t>
      </w:r>
      <w:r>
        <w:t>But perhaps there is a different</w:t>
      </w:r>
      <w:r w:rsidR="00F620CC">
        <w:t>, higher-order</w:t>
      </w:r>
      <w:r>
        <w:t xml:space="preserve"> </w:t>
      </w:r>
      <w:r w:rsidR="00923058">
        <w:t xml:space="preserve">(HO) </w:t>
      </w:r>
      <w:r>
        <w:t>conception of attention that is compatible with the idea of attention to mental paint (and with neuroscience)? We address this issue in the next section.</w:t>
      </w:r>
    </w:p>
    <w:p w14:paraId="6057588C" w14:textId="581CF527" w:rsidR="00DA12AD" w:rsidRPr="00FC0D90" w:rsidRDefault="00DA12AD" w:rsidP="002F4C91">
      <w:pPr>
        <w:pStyle w:val="ListParagraph"/>
        <w:numPr>
          <w:ilvl w:val="0"/>
          <w:numId w:val="1"/>
        </w:numPr>
        <w:rPr>
          <w:b/>
          <w:bCs/>
        </w:rPr>
      </w:pPr>
      <w:r w:rsidRPr="00FC0D90">
        <w:rPr>
          <w:b/>
          <w:bCs/>
        </w:rPr>
        <w:t xml:space="preserve">Higher-order </w:t>
      </w:r>
      <w:r w:rsidR="00E62865" w:rsidRPr="00FC0D90">
        <w:rPr>
          <w:b/>
          <w:bCs/>
        </w:rPr>
        <w:t xml:space="preserve">accounts of </w:t>
      </w:r>
      <w:r w:rsidRPr="00FC0D90">
        <w:rPr>
          <w:b/>
          <w:bCs/>
        </w:rPr>
        <w:t>attention to mental paint</w:t>
      </w:r>
    </w:p>
    <w:p w14:paraId="79F2CAB9" w14:textId="7EB74C19" w:rsidR="00332314" w:rsidRPr="00FC0D90" w:rsidRDefault="009B58A6" w:rsidP="002F4C91">
      <w:pPr>
        <w:pStyle w:val="ListParagraph"/>
        <w:numPr>
          <w:ilvl w:val="1"/>
          <w:numId w:val="1"/>
        </w:numPr>
        <w:rPr>
          <w:b/>
          <w:bCs/>
        </w:rPr>
      </w:pPr>
      <w:r>
        <w:rPr>
          <w:b/>
          <w:bCs/>
        </w:rPr>
        <w:t xml:space="preserve"> </w:t>
      </w:r>
      <w:r w:rsidR="00DA12AD" w:rsidRPr="00FC0D90">
        <w:rPr>
          <w:b/>
          <w:bCs/>
        </w:rPr>
        <w:t>H</w:t>
      </w:r>
      <w:r w:rsidR="00C479F4" w:rsidRPr="00FC0D90">
        <w:rPr>
          <w:b/>
          <w:bCs/>
        </w:rPr>
        <w:t>igh</w:t>
      </w:r>
      <w:r w:rsidR="00677A52" w:rsidRPr="00FC0D90">
        <w:rPr>
          <w:b/>
          <w:bCs/>
        </w:rPr>
        <w:t>er</w:t>
      </w:r>
      <w:r w:rsidR="00C479F4" w:rsidRPr="00FC0D90">
        <w:rPr>
          <w:b/>
          <w:bCs/>
        </w:rPr>
        <w:t xml:space="preserve">-order </w:t>
      </w:r>
      <w:r w:rsidR="00DA12AD" w:rsidRPr="00FC0D90">
        <w:rPr>
          <w:b/>
          <w:bCs/>
        </w:rPr>
        <w:t>c</w:t>
      </w:r>
      <w:r w:rsidR="00332314" w:rsidRPr="00FC0D90">
        <w:rPr>
          <w:b/>
          <w:bCs/>
        </w:rPr>
        <w:t>ognitive attention</w:t>
      </w:r>
    </w:p>
    <w:p w14:paraId="72580CF2" w14:textId="4402D5A0" w:rsidR="00332314" w:rsidRDefault="00332314" w:rsidP="00065E03">
      <w:r>
        <w:t xml:space="preserve">We have argued that one cannot </w:t>
      </w:r>
      <w:r w:rsidR="00B845ED">
        <w:t xml:space="preserve">FO </w:t>
      </w:r>
      <w:r w:rsidRPr="00181A2E">
        <w:t>sensorily</w:t>
      </w:r>
      <w:r>
        <w:t xml:space="preserve"> attend to mental paint</w:t>
      </w:r>
      <w:r w:rsidR="00B62321">
        <w:t xml:space="preserve">. </w:t>
      </w:r>
      <w:r w:rsidR="003A46D6">
        <w:t xml:space="preserve">In the next subsection we will argue that one cannot </w:t>
      </w:r>
      <w:r w:rsidR="00B845ED">
        <w:t>HO</w:t>
      </w:r>
      <w:r w:rsidR="003A46D6">
        <w:t xml:space="preserve"> sensorily attend to mental paint. </w:t>
      </w:r>
      <w:r w:rsidR="00B62321">
        <w:t xml:space="preserve">But perhaps one can </w:t>
      </w:r>
      <w:r w:rsidR="000D3B1C">
        <w:rPr>
          <w:rFonts w:hint="cs"/>
        </w:rPr>
        <w:t>HO</w:t>
      </w:r>
      <w:r w:rsidR="000D3B1C">
        <w:rPr>
          <w:rFonts w:hint="cs"/>
          <w:rtl/>
        </w:rPr>
        <w:t xml:space="preserve"> </w:t>
      </w:r>
      <w:r w:rsidR="00B62321" w:rsidRPr="00B62321">
        <w:rPr>
          <w:i/>
          <w:iCs/>
        </w:rPr>
        <w:t>cognitive</w:t>
      </w:r>
      <w:r w:rsidR="008475D5">
        <w:rPr>
          <w:i/>
          <w:iCs/>
        </w:rPr>
        <w:t>ly</w:t>
      </w:r>
      <w:r w:rsidR="00B62321">
        <w:t xml:space="preserve"> </w:t>
      </w:r>
      <w:proofErr w:type="gramStart"/>
      <w:r w:rsidR="00B62321">
        <w:t>attend</w:t>
      </w:r>
      <w:proofErr w:type="gramEnd"/>
      <w:r w:rsidR="00B62321">
        <w:t xml:space="preserve"> to i</w:t>
      </w:r>
      <w:r w:rsidR="008475D5">
        <w:t>t.</w:t>
      </w:r>
      <w:r w:rsidR="00B62321">
        <w:t xml:space="preserve"> </w:t>
      </w:r>
      <w:r>
        <w:t xml:space="preserve">What is cognitive attention? </w:t>
      </w:r>
      <w:r w:rsidR="00F475E2">
        <w:t>In general, cognitive</w:t>
      </w:r>
      <w:r w:rsidR="00BC64D6">
        <w:t>ly</w:t>
      </w:r>
      <w:r w:rsidR="00F475E2">
        <w:t xml:space="preserve"> atten</w:t>
      </w:r>
      <w:r w:rsidR="00BC64D6">
        <w:t>ding</w:t>
      </w:r>
      <w:r w:rsidR="00F475E2">
        <w:t xml:space="preserve"> </w:t>
      </w:r>
      <w:r w:rsidR="00BC64D6">
        <w:t xml:space="preserve">to </w:t>
      </w:r>
      <w:r w:rsidR="00F475E2">
        <w:t xml:space="preserve">X is some sort of </w:t>
      </w:r>
      <w:r w:rsidR="00F475E2">
        <w:rPr>
          <w:i/>
          <w:iCs/>
        </w:rPr>
        <w:t>thinking</w:t>
      </w:r>
      <w:r w:rsidR="00F475E2">
        <w:t xml:space="preserve"> about X. For example, in </w:t>
      </w:r>
      <w:r>
        <w:t xml:space="preserve">his discussion of transparency, Tye (2014) suggests that cognitive attention is </w:t>
      </w:r>
      <w:r w:rsidRPr="005256DD">
        <w:rPr>
          <w:i/>
          <w:iCs/>
        </w:rPr>
        <w:t>focused th</w:t>
      </w:r>
      <w:r w:rsidR="00A01286">
        <w:rPr>
          <w:i/>
          <w:iCs/>
        </w:rPr>
        <w:t>inking</w:t>
      </w:r>
      <w:r>
        <w:t xml:space="preserve"> as opposed to absent-minded </w:t>
      </w:r>
      <w:r w:rsidR="00A01286">
        <w:t>thinking</w:t>
      </w:r>
      <w:r w:rsidR="005D699E">
        <w:t>.</w:t>
      </w:r>
      <w:r>
        <w:t xml:space="preserve"> In a trivial sense, we can think </w:t>
      </w:r>
      <w:r w:rsidR="005B0175">
        <w:t xml:space="preserve">(a </w:t>
      </w:r>
      <w:r w:rsidR="000D3B1C">
        <w:rPr>
          <w:rFonts w:hint="cs"/>
        </w:rPr>
        <w:t>HO</w:t>
      </w:r>
      <w:r w:rsidR="005B0175">
        <w:t xml:space="preserve"> thought) </w:t>
      </w:r>
      <w:r>
        <w:t xml:space="preserve">about mental paint, since we debate about it. Phenomenists, for example, think that there is a phenomenal property that remains constant despite shifts in </w:t>
      </w:r>
      <w:r w:rsidR="003927DF">
        <w:t>representational</w:t>
      </w:r>
      <w:r>
        <w:t xml:space="preserve"> content, and </w:t>
      </w:r>
      <w:r w:rsidR="000E24E3">
        <w:t xml:space="preserve">representationalists </w:t>
      </w:r>
      <w:r>
        <w:t xml:space="preserve">deny that. Both are thinking about mental paint, either affirming or denying its existence. And they can do so in a focused way, i.e. without thinking about something else at the same time. It follows that we can cognitively attend </w:t>
      </w:r>
      <w:r w:rsidR="005B0175">
        <w:t xml:space="preserve">(in a </w:t>
      </w:r>
      <w:r w:rsidR="000D3B1C">
        <w:rPr>
          <w:rFonts w:hint="cs"/>
        </w:rPr>
        <w:t>HO</w:t>
      </w:r>
      <w:r w:rsidR="000D3B1C">
        <w:rPr>
          <w:rFonts w:hint="cs"/>
          <w:rtl/>
        </w:rPr>
        <w:t xml:space="preserve"> </w:t>
      </w:r>
      <w:r w:rsidR="005B0175">
        <w:t xml:space="preserve">way) </w:t>
      </w:r>
      <w:r>
        <w:t>to mental paint</w:t>
      </w:r>
      <w:r w:rsidR="006E16CB">
        <w:t xml:space="preserve"> (ibid.)</w:t>
      </w:r>
      <w:r>
        <w:t>!</w:t>
      </w:r>
      <w:r w:rsidR="00065E03">
        <w:t xml:space="preserve"> To emphasize, we can attend to mental paint in that sense, even if it is never instantiated, just like we can attend to the property of being a wizard (i.e., thinking about it in a focused way) even though it is never instantiated.</w:t>
      </w:r>
      <w:r w:rsidR="00C94396">
        <w:t xml:space="preserve"> This characterization of cognitive attention deliberately ignores the topic of recognitional phenomenal concepts</w:t>
      </w:r>
      <w:r w:rsidR="00154502">
        <w:t xml:space="preserve"> (Loar 2003</w:t>
      </w:r>
      <w:r w:rsidR="001F10F5">
        <w:t>)</w:t>
      </w:r>
      <w:r w:rsidR="00C94396">
        <w:t xml:space="preserve">. We postpone discussion of such concepts to </w:t>
      </w:r>
      <w:r w:rsidR="005E1CCE">
        <w:t xml:space="preserve">Section </w:t>
      </w:r>
      <w:r w:rsidR="00DA1BBA">
        <w:t>4</w:t>
      </w:r>
      <w:r w:rsidR="005E1CCE">
        <w:t>.</w:t>
      </w:r>
    </w:p>
    <w:p w14:paraId="4E7E9484" w14:textId="627E2FB4" w:rsidR="00B27CBB" w:rsidRPr="00F946BD" w:rsidRDefault="00411EE8" w:rsidP="00E62865">
      <w:pPr>
        <w:rPr>
          <w:rtl/>
        </w:rPr>
      </w:pPr>
      <w:r>
        <w:t xml:space="preserve">In the present section </w:t>
      </w:r>
      <w:r w:rsidR="006E16CB">
        <w:t xml:space="preserve">we </w:t>
      </w:r>
      <w:r>
        <w:t xml:space="preserve">will argue that </w:t>
      </w:r>
      <w:r w:rsidR="005B4657">
        <w:t>(</w:t>
      </w:r>
      <w:r w:rsidR="00B845ED">
        <w:t>HO</w:t>
      </w:r>
      <w:r w:rsidR="005B4657">
        <w:t xml:space="preserve">) </w:t>
      </w:r>
      <w:r w:rsidR="00836B72">
        <w:t xml:space="preserve">cognitive </w:t>
      </w:r>
      <w:r>
        <w:t xml:space="preserve">attention </w:t>
      </w:r>
      <w:r w:rsidR="00616C39">
        <w:t xml:space="preserve">is </w:t>
      </w:r>
      <w:r w:rsidR="00616C39" w:rsidRPr="00E62865">
        <w:rPr>
          <w:i/>
          <w:iCs/>
        </w:rPr>
        <w:t>irrelevant</w:t>
      </w:r>
      <w:r w:rsidR="00616C39">
        <w:t xml:space="preserve"> to </w:t>
      </w:r>
      <w:r w:rsidR="00836B72">
        <w:t>transparency</w:t>
      </w:r>
      <w:r w:rsidR="00E62865">
        <w:t xml:space="preserve"> (Tye, 2014, defends a similar </w:t>
      </w:r>
      <w:r w:rsidR="004B2710">
        <w:t>claim</w:t>
      </w:r>
      <w:r w:rsidR="00E62865">
        <w:t xml:space="preserve">, except he </w:t>
      </w:r>
      <w:r w:rsidR="00E62865">
        <w:rPr>
          <w:i/>
          <w:iCs/>
        </w:rPr>
        <w:t>assumes</w:t>
      </w:r>
      <w:r w:rsidR="00E62865">
        <w:t xml:space="preserve"> from the outset that transparency is true)</w:t>
      </w:r>
      <w:r w:rsidR="00836B72">
        <w:t xml:space="preserve">. </w:t>
      </w:r>
      <w:r w:rsidR="00E62865">
        <w:rPr>
          <w:rFonts w:hint="cs"/>
        </w:rPr>
        <w:t>O</w:t>
      </w:r>
      <w:r w:rsidR="00E62865">
        <w:t xml:space="preserve">ur argument is </w:t>
      </w:r>
      <w:r w:rsidR="00114751">
        <w:t>that</w:t>
      </w:r>
      <w:r w:rsidR="00836B72" w:rsidRPr="00F11477">
        <w:t>, first, transp</w:t>
      </w:r>
      <w:r w:rsidR="007C0769" w:rsidRPr="00F11477">
        <w:t>a</w:t>
      </w:r>
      <w:r w:rsidR="00836B72" w:rsidRPr="00F11477">
        <w:t>rency concerns attention in a sense that allows direct identification of its target. Second, cognitive attention by itself (</w:t>
      </w:r>
      <w:r>
        <w:t xml:space="preserve">i.e., </w:t>
      </w:r>
      <w:r w:rsidR="00836B72" w:rsidRPr="00F11477">
        <w:t>without sensory attention) does not allow direct identification of its target.</w:t>
      </w:r>
      <w:r w:rsidR="007C0769">
        <w:t xml:space="preserve"> </w:t>
      </w:r>
    </w:p>
    <w:p w14:paraId="4ADBFDF2" w14:textId="7D4DB05C" w:rsidR="00B845ED" w:rsidRDefault="005C3816" w:rsidP="00A448C0">
      <w:bookmarkStart w:id="15" w:name="_Hlk531595925"/>
      <w:r w:rsidRPr="00A86A08">
        <w:t>A</w:t>
      </w:r>
      <w:r w:rsidR="006A0F34" w:rsidRPr="00A86A08">
        <w:t>ttention to mental paint</w:t>
      </w:r>
      <w:r w:rsidRPr="00A86A08">
        <w:t xml:space="preserve">, in a sense that is useful to </w:t>
      </w:r>
      <w:r w:rsidR="006A0F34" w:rsidRPr="00A86A08">
        <w:t>phenomenists</w:t>
      </w:r>
      <w:r w:rsidRPr="00A86A08">
        <w:t>,</w:t>
      </w:r>
      <w:r w:rsidR="006A0F34" w:rsidRPr="00A86A08">
        <w:t xml:space="preserve"> </w:t>
      </w:r>
      <w:r w:rsidRPr="00A86A08">
        <w:t xml:space="preserve">should allow a subject </w:t>
      </w:r>
      <w:r w:rsidR="006A0F34" w:rsidRPr="00A86A08">
        <w:t xml:space="preserve">to directly identify </w:t>
      </w:r>
      <w:r w:rsidR="00D9280F">
        <w:t xml:space="preserve">it, </w:t>
      </w:r>
      <w:r w:rsidR="005B4657">
        <w:t>assuming the subject possess</w:t>
      </w:r>
      <w:r w:rsidR="00A06456">
        <w:t>es</w:t>
      </w:r>
      <w:r w:rsidR="005B4657">
        <w:t xml:space="preserve"> the relevant concept</w:t>
      </w:r>
      <w:r w:rsidR="00D9280F">
        <w:t xml:space="preserve">, and the mental paint type </w:t>
      </w:r>
      <w:r w:rsidR="00DD06DB">
        <w:t>clearly falls under th</w:t>
      </w:r>
      <w:r w:rsidR="004A10DA">
        <w:t>at</w:t>
      </w:r>
      <w:r w:rsidR="00DD06DB">
        <w:t xml:space="preserve"> concept</w:t>
      </w:r>
      <w:r w:rsidR="005B4657">
        <w:t xml:space="preserve">. For example, </w:t>
      </w:r>
      <w:r w:rsidR="004A10DA">
        <w:t xml:space="preserve">it </w:t>
      </w:r>
      <w:r w:rsidR="005B4657">
        <w:t xml:space="preserve">should allow a subject who possesses the concept of blueness* to </w:t>
      </w:r>
      <w:r w:rsidR="005B4657">
        <w:lastRenderedPageBreak/>
        <w:t>directly identify that the mental paint she is enjoying</w:t>
      </w:r>
      <w:r w:rsidR="00D9280F">
        <w:t>, when looking at the ocean at daytime,</w:t>
      </w:r>
      <w:r w:rsidR="005B4657">
        <w:t xml:space="preserve"> is blue*.</w:t>
      </w:r>
      <w:bookmarkStart w:id="16" w:name="_Hlk531554270"/>
      <w:r w:rsidR="00B845ED">
        <w:t xml:space="preserve"> </w:t>
      </w:r>
      <w:bookmarkEnd w:id="15"/>
      <w:bookmarkEnd w:id="16"/>
      <w:r w:rsidR="0011056B">
        <w:t>B</w:t>
      </w:r>
      <w:r w:rsidR="007C0769" w:rsidRPr="00A86A08">
        <w:t xml:space="preserve">y </w:t>
      </w:r>
      <w:r w:rsidR="006A0F34" w:rsidRPr="00A86A08">
        <w:t>“direct”</w:t>
      </w:r>
      <w:r w:rsidR="00E62865">
        <w:t xml:space="preserve"> identification</w:t>
      </w:r>
      <w:r w:rsidR="006A0F34" w:rsidRPr="00A86A08">
        <w:t xml:space="preserve"> we mean that it </w:t>
      </w:r>
      <w:r w:rsidR="00A448C0">
        <w:t xml:space="preserve">does not pass through identification of something else. </w:t>
      </w:r>
      <w:r w:rsidR="00093857">
        <w:t>For example</w:t>
      </w:r>
      <w:r w:rsidR="00A448C0">
        <w:t xml:space="preserve">, it </w:t>
      </w:r>
      <w:r w:rsidR="006A0F34" w:rsidRPr="00A86A08">
        <w:t xml:space="preserve">is not an inference based on </w:t>
      </w:r>
      <w:r w:rsidR="00093857">
        <w:t xml:space="preserve">identifying </w:t>
      </w:r>
      <w:r w:rsidR="006A0F34" w:rsidRPr="00A86A08">
        <w:t xml:space="preserve">that </w:t>
      </w:r>
      <w:r w:rsidR="00B460CE" w:rsidRPr="00A86A08">
        <w:t xml:space="preserve">the experience </w:t>
      </w:r>
      <w:r w:rsidR="005525A7">
        <w:t>represents blueness</w:t>
      </w:r>
      <w:r w:rsidR="006A0F34" w:rsidRPr="00A86A08">
        <w:t xml:space="preserve">, combined with the theoretical assumption that experiences that represent blueness have blue* mental paint. While a phenomenist can adopt the view that mental paint is a theoretical </w:t>
      </w:r>
      <w:r w:rsidR="009B37FA" w:rsidRPr="00A86A08">
        <w:t>posit</w:t>
      </w:r>
      <w:r w:rsidR="006A0F34" w:rsidRPr="00A86A08">
        <w:t>, if she does so</w:t>
      </w:r>
      <w:r w:rsidR="00D17D8D">
        <w:t>,</w:t>
      </w:r>
      <w:r w:rsidR="006A0F34" w:rsidRPr="00A86A08">
        <w:t xml:space="preserve"> then arguing </w:t>
      </w:r>
      <w:r w:rsidR="007C0769" w:rsidRPr="00A86A08">
        <w:t xml:space="preserve">against </w:t>
      </w:r>
      <w:r w:rsidR="006A0F34" w:rsidRPr="00A86A08">
        <w:t xml:space="preserve">transparency becomes pointless for her. </w:t>
      </w:r>
      <w:r w:rsidR="00DD291D" w:rsidRPr="00A86A08">
        <w:t xml:space="preserve">Indeed, Shoemaker (1994) is a phenomenist who holds that mental paint is a theoretical posit, and </w:t>
      </w:r>
      <w:r w:rsidR="003C62C4">
        <w:t xml:space="preserve">consequently </w:t>
      </w:r>
      <w:r w:rsidR="00DD291D" w:rsidRPr="00A86A08">
        <w:t xml:space="preserve">accepts the thesis of transparency (for discussion see Block 2003, p. 173). </w:t>
      </w:r>
      <w:r w:rsidR="006A0F34" w:rsidRPr="00A86A08">
        <w:t>Th</w:t>
      </w:r>
      <w:r w:rsidR="006A0F34">
        <w:t>e reason why phenomenists such as</w:t>
      </w:r>
      <w:r w:rsidR="006D1A8E">
        <w:t xml:space="preserve"> Block,</w:t>
      </w:r>
      <w:r w:rsidR="006A0F34">
        <w:t xml:space="preserve"> Kind and Loar present arguments against transparency is precisely because they think that mental paint is </w:t>
      </w:r>
      <w:r w:rsidR="006A0F34">
        <w:rPr>
          <w:i/>
          <w:iCs/>
        </w:rPr>
        <w:t>not</w:t>
      </w:r>
      <w:r w:rsidR="006A0F34">
        <w:t xml:space="preserve"> a theoretical </w:t>
      </w:r>
      <w:r w:rsidR="00723524">
        <w:t>posit</w:t>
      </w:r>
      <w:r w:rsidR="006A0F34">
        <w:t xml:space="preserve"> – it is something that we can identify directly</w:t>
      </w:r>
      <w:r w:rsidR="004A10DA">
        <w:t xml:space="preserve"> (provided we possess the relevant concept, etc. We will omit this qualification henceforth)</w:t>
      </w:r>
      <w:r w:rsidR="00FE6724">
        <w:t>.</w:t>
      </w:r>
      <w:r w:rsidR="00A06456">
        <w:rPr>
          <w:rStyle w:val="FootnoteReference"/>
        </w:rPr>
        <w:footnoteReference w:id="5"/>
      </w:r>
      <w:r w:rsidR="006A0F34">
        <w:t xml:space="preserve"> </w:t>
      </w:r>
      <w:bookmarkStart w:id="17" w:name="_Hlk530147312"/>
      <w:r w:rsidR="003C62C4">
        <w:t xml:space="preserve">Thus, for them, </w:t>
      </w:r>
      <w:r w:rsidR="00C9610A">
        <w:t xml:space="preserve">transparency </w:t>
      </w:r>
      <w:r w:rsidR="003C62C4">
        <w:t xml:space="preserve">means that </w:t>
      </w:r>
      <w:r w:rsidR="007A050F">
        <w:t xml:space="preserve">we cannot attend to mental paint, </w:t>
      </w:r>
      <w:r w:rsidR="007A050F" w:rsidRPr="00836B72">
        <w:rPr>
          <w:i/>
          <w:iCs/>
        </w:rPr>
        <w:t xml:space="preserve">in a sense of attention that allows direct identification </w:t>
      </w:r>
      <w:r w:rsidR="000D3B1C">
        <w:rPr>
          <w:i/>
          <w:iCs/>
        </w:rPr>
        <w:t>thereof</w:t>
      </w:r>
      <w:r w:rsidR="007A050F">
        <w:t xml:space="preserve">. </w:t>
      </w:r>
      <w:r w:rsidR="00FE6724">
        <w:t xml:space="preserve">This is the sense of transparency </w:t>
      </w:r>
      <w:r w:rsidR="00A448C0">
        <w:t xml:space="preserve">that </w:t>
      </w:r>
      <w:r w:rsidR="00FE6724">
        <w:t xml:space="preserve">they argue against, and that we try to defend </w:t>
      </w:r>
      <w:r w:rsidR="00FD2897">
        <w:t xml:space="preserve">in the present paper. </w:t>
      </w:r>
      <w:r w:rsidR="007A050F">
        <w:t>T</w:t>
      </w:r>
      <w:r w:rsidR="00C9610A">
        <w:t xml:space="preserve">he existence of a kind of attention to mental paint that does not enable direct identification thereof </w:t>
      </w:r>
      <w:r w:rsidR="005B4685">
        <w:t>is</w:t>
      </w:r>
      <w:r w:rsidR="00FD2897">
        <w:t>, therefore,</w:t>
      </w:r>
      <w:r w:rsidR="007A050F">
        <w:t xml:space="preserve"> </w:t>
      </w:r>
      <w:r w:rsidR="00901E9A">
        <w:t xml:space="preserve">irrelevant to </w:t>
      </w:r>
      <w:r w:rsidR="00C9610A">
        <w:t>transparency</w:t>
      </w:r>
      <w:r w:rsidR="007A050F">
        <w:t>.</w:t>
      </w:r>
      <w:bookmarkEnd w:id="17"/>
    </w:p>
    <w:p w14:paraId="18DE3914" w14:textId="0A49091D" w:rsidR="00A17A8C" w:rsidRDefault="0011056B" w:rsidP="00F620CC">
      <w:r>
        <w:t>W</w:t>
      </w:r>
      <w:r w:rsidR="006A0F34" w:rsidRPr="00CE383F">
        <w:t xml:space="preserve">e </w:t>
      </w:r>
      <w:r w:rsidR="000F0B8D" w:rsidRPr="00CE383F">
        <w:t xml:space="preserve">shall </w:t>
      </w:r>
      <w:r w:rsidR="006A0F34" w:rsidRPr="00CE383F">
        <w:t xml:space="preserve">now argue that </w:t>
      </w:r>
      <w:r w:rsidR="00B50C32" w:rsidRPr="00A135FE">
        <w:t xml:space="preserve">if </w:t>
      </w:r>
      <w:r w:rsidR="000D597F">
        <w:t>you</w:t>
      </w:r>
      <w:r w:rsidR="00B50C32" w:rsidRPr="00A135FE">
        <w:t xml:space="preserve"> cannot directly identify </w:t>
      </w:r>
      <w:r w:rsidR="00A135FE" w:rsidRPr="00A135FE">
        <w:t xml:space="preserve">an </w:t>
      </w:r>
      <w:r w:rsidR="00B50C32" w:rsidRPr="00A135FE">
        <w:t xml:space="preserve">item </w:t>
      </w:r>
      <w:r w:rsidR="00A135FE" w:rsidRPr="00A135FE">
        <w:t>based on</w:t>
      </w:r>
      <w:r w:rsidR="00A135FE">
        <w:t xml:space="preserve"> </w:t>
      </w:r>
      <w:r w:rsidR="002D3428">
        <w:t xml:space="preserve">FO </w:t>
      </w:r>
      <w:r w:rsidR="00A135FE">
        <w:t xml:space="preserve">sensory attention, </w:t>
      </w:r>
      <w:r w:rsidR="00B50C32" w:rsidRPr="00CE383F">
        <w:t xml:space="preserve">then cognitive attention </w:t>
      </w:r>
      <w:r w:rsidR="002D3428">
        <w:t xml:space="preserve">(whether FO or HO) </w:t>
      </w:r>
      <w:r w:rsidR="00A135FE">
        <w:t>will</w:t>
      </w:r>
      <w:r w:rsidR="00A135FE" w:rsidRPr="00CE383F">
        <w:t xml:space="preserve"> </w:t>
      </w:r>
      <w:r w:rsidR="00B50C32" w:rsidRPr="00CE383F">
        <w:t>not help</w:t>
      </w:r>
      <w:r w:rsidR="00413753" w:rsidRPr="00CE383F">
        <w:t xml:space="preserve"> </w:t>
      </w:r>
      <w:r w:rsidR="000D597F">
        <w:t xml:space="preserve">you </w:t>
      </w:r>
      <w:r w:rsidR="00413753" w:rsidRPr="00CE383F">
        <w:t>directly identify it</w:t>
      </w:r>
      <w:r w:rsidR="00B50C32" w:rsidRPr="00CE383F">
        <w:t xml:space="preserve">. </w:t>
      </w:r>
      <w:r w:rsidR="00410B8E" w:rsidRPr="00CE383F">
        <w:t xml:space="preserve">In </w:t>
      </w:r>
      <w:r w:rsidR="003C62C4">
        <w:t>other words</w:t>
      </w:r>
      <w:r w:rsidR="00410B8E" w:rsidRPr="00CE383F">
        <w:t xml:space="preserve">, cognitive attention cannot </w:t>
      </w:r>
      <w:r w:rsidR="00410B8E" w:rsidRPr="00CE383F">
        <w:rPr>
          <w:i/>
          <w:iCs/>
        </w:rPr>
        <w:t xml:space="preserve">replace </w:t>
      </w:r>
      <w:r w:rsidR="002D3428">
        <w:t xml:space="preserve">FO </w:t>
      </w:r>
      <w:r w:rsidR="00410B8E" w:rsidRPr="00CE383F">
        <w:t>sensory attention, as enabling direct identification of its target.</w:t>
      </w:r>
      <w:r w:rsidR="008D53A5">
        <w:t xml:space="preserve"> </w:t>
      </w:r>
      <w:r w:rsidR="0019675F">
        <w:t xml:space="preserve">Call this the </w:t>
      </w:r>
      <w:r w:rsidR="0019675F">
        <w:rPr>
          <w:i/>
          <w:iCs/>
        </w:rPr>
        <w:t>irreplaceability thesis</w:t>
      </w:r>
      <w:r w:rsidR="0019675F">
        <w:t>.</w:t>
      </w:r>
    </w:p>
    <w:p w14:paraId="2040747B" w14:textId="133C2435" w:rsidR="004D65E2" w:rsidRDefault="002B78FE" w:rsidP="0018340A">
      <w:r>
        <w:t xml:space="preserve">To argue for this </w:t>
      </w:r>
      <w:r w:rsidR="0019675F">
        <w:t>thesis</w:t>
      </w:r>
      <w:r>
        <w:t xml:space="preserve">, we </w:t>
      </w:r>
      <w:r w:rsidR="00ED6469">
        <w:t>consider the</w:t>
      </w:r>
      <w:r w:rsidR="009B6E1B">
        <w:t xml:space="preserve"> phenomenon of visual crowding</w:t>
      </w:r>
      <w:r>
        <w:t xml:space="preserve"> (Block 2013</w:t>
      </w:r>
      <w:r w:rsidR="00BC67ED">
        <w:t>;</w:t>
      </w:r>
      <w:r>
        <w:t xml:space="preserve"> </w:t>
      </w:r>
      <w:proofErr w:type="spellStart"/>
      <w:r w:rsidR="00AF4002" w:rsidRPr="00461D00">
        <w:rPr>
          <w:rFonts w:cs="Minion-Regular"/>
        </w:rPr>
        <w:t>Intriligator</w:t>
      </w:r>
      <w:proofErr w:type="spellEnd"/>
      <w:r w:rsidR="00AF4002">
        <w:rPr>
          <w:rFonts w:cs="Minion-Regular"/>
        </w:rPr>
        <w:t xml:space="preserve"> &amp;</w:t>
      </w:r>
      <w:r w:rsidR="00AF4002" w:rsidRPr="00461D00">
        <w:rPr>
          <w:rFonts w:cs="Minion-Regular"/>
        </w:rPr>
        <w:t xml:space="preserve"> Cavanagh</w:t>
      </w:r>
      <w:r w:rsidR="00AF4002">
        <w:rPr>
          <w:rFonts w:cs="Minion-Regular"/>
        </w:rPr>
        <w:t xml:space="preserve"> 2001</w:t>
      </w:r>
      <w:r>
        <w:t xml:space="preserve">) as </w:t>
      </w:r>
      <w:r w:rsidR="00466399">
        <w:t xml:space="preserve">a </w:t>
      </w:r>
      <w:r>
        <w:t xml:space="preserve">representative </w:t>
      </w:r>
      <w:r w:rsidR="00A56779">
        <w:t xml:space="preserve">example </w:t>
      </w:r>
      <w:r>
        <w:t>of a situation in which sensory attention can</w:t>
      </w:r>
      <w:r w:rsidR="00243163">
        <w:t>not</w:t>
      </w:r>
      <w:r>
        <w:t xml:space="preserve"> be directed to an item and consequently one can</w:t>
      </w:r>
      <w:r w:rsidR="00243163">
        <w:t>not</w:t>
      </w:r>
      <w:r>
        <w:t xml:space="preserve"> directly identify that item on its basis</w:t>
      </w:r>
      <w:r w:rsidR="009B6E1B">
        <w:t>.</w:t>
      </w:r>
      <w:r>
        <w:t xml:space="preserve"> Consider Figure </w:t>
      </w:r>
      <w:r w:rsidR="00254F0F">
        <w:t>6</w:t>
      </w:r>
      <w:r w:rsidR="002C40F9">
        <w:t xml:space="preserve">. </w:t>
      </w:r>
      <w:r w:rsidR="00E106CB">
        <w:t xml:space="preserve">If you fixate on the </w:t>
      </w:r>
      <w:r w:rsidR="008F0083">
        <w:t xml:space="preserve">red </w:t>
      </w:r>
      <w:r w:rsidR="00E106CB">
        <w:t xml:space="preserve">minus sign on the left in each row you cannot </w:t>
      </w:r>
      <w:r w:rsidR="0018340A">
        <w:t xml:space="preserve">directly </w:t>
      </w:r>
      <w:r w:rsidR="00E106CB">
        <w:t xml:space="preserve">identify the middle item on the right. The middle item is “crowded” by its flankers. The reason is that the window of </w:t>
      </w:r>
      <w:r w:rsidR="002D3428">
        <w:t xml:space="preserve">FO </w:t>
      </w:r>
      <w:r w:rsidR="004D65E2" w:rsidRPr="009E768C">
        <w:t>sensory</w:t>
      </w:r>
      <w:r w:rsidR="004D65E2">
        <w:t xml:space="preserve"> </w:t>
      </w:r>
      <w:r w:rsidR="00E106CB">
        <w:t>attention is too coarse</w:t>
      </w:r>
      <w:r w:rsidR="00D011BC">
        <w:t>-</w:t>
      </w:r>
      <w:r w:rsidR="00E106CB">
        <w:t>grained</w:t>
      </w:r>
      <w:r w:rsidR="000B09AF">
        <w:t>: you cannot focus on the middle item</w:t>
      </w:r>
      <w:r w:rsidR="00B211FF">
        <w:t xml:space="preserve"> (Block 2013)</w:t>
      </w:r>
      <w:r w:rsidR="00E106CB">
        <w:t xml:space="preserve">. </w:t>
      </w:r>
    </w:p>
    <w:p w14:paraId="0C819878" w14:textId="2AA2A3EA" w:rsidR="004542A3" w:rsidRDefault="004D65E2" w:rsidP="00793576">
      <w:r>
        <w:t>In this situation, you cannot</w:t>
      </w:r>
      <w:r w:rsidR="002B78FE">
        <w:t xml:space="preserve">, on the basis of </w:t>
      </w:r>
      <w:r w:rsidR="002D3428">
        <w:t xml:space="preserve">FO </w:t>
      </w:r>
      <w:r w:rsidR="002B78FE">
        <w:t>sensory attention,</w:t>
      </w:r>
      <w:r>
        <w:t xml:space="preserve"> </w:t>
      </w:r>
      <w:r w:rsidR="002B78FE">
        <w:t xml:space="preserve">directly identify the middle item. But can cognitive attention help? </w:t>
      </w:r>
      <w:r w:rsidR="00410B8E">
        <w:t>T</w:t>
      </w:r>
      <w:r w:rsidR="00D20C47">
        <w:t xml:space="preserve">he answer is negative. </w:t>
      </w:r>
      <w:r w:rsidR="00343F0A">
        <w:t xml:space="preserve">Thinking in a focused way that there is a middle item there, </w:t>
      </w:r>
      <w:r w:rsidR="00B211FF">
        <w:t xml:space="preserve">wondering </w:t>
      </w:r>
      <w:r w:rsidR="00343F0A">
        <w:t>what it is</w:t>
      </w:r>
      <w:r w:rsidR="00B211FF">
        <w:t>,</w:t>
      </w:r>
      <w:r w:rsidR="00343F0A">
        <w:t xml:space="preserve"> will not help you </w:t>
      </w:r>
      <w:r w:rsidR="00D20C47">
        <w:t xml:space="preserve">directly identify </w:t>
      </w:r>
      <w:r w:rsidR="00343F0A">
        <w:t xml:space="preserve">that it is </w:t>
      </w:r>
      <w:r w:rsidR="00B211FF">
        <w:t xml:space="preserve">(e.g.,) </w:t>
      </w:r>
      <w:r w:rsidR="00D20C47">
        <w:t xml:space="preserve">a hamburger. </w:t>
      </w:r>
      <w:r w:rsidR="00410B8E">
        <w:t xml:space="preserve">Also, there is no reason to think that a </w:t>
      </w:r>
      <w:r w:rsidR="00D20C47">
        <w:t xml:space="preserve">more complex thinking routine </w:t>
      </w:r>
      <w:r w:rsidR="00410B8E">
        <w:t>would help</w:t>
      </w:r>
      <w:r w:rsidR="00D20C47">
        <w:t xml:space="preserve">. </w:t>
      </w:r>
      <w:r w:rsidR="00FA5BFC">
        <w:t xml:space="preserve">Sure, thinking can help you identify the item </w:t>
      </w:r>
      <w:r w:rsidR="00FA5BFC">
        <w:rPr>
          <w:i/>
          <w:iCs/>
        </w:rPr>
        <w:t>indirectly</w:t>
      </w:r>
      <w:r w:rsidR="00FA5BFC">
        <w:t>. For example, by thinking that the pattern “pretzel, hamburger, pizza” occurred before, and by recognizing that what you are seeing has color and texture similar to those three</w:t>
      </w:r>
      <w:r w:rsidR="00D03B21">
        <w:t xml:space="preserve"> items</w:t>
      </w:r>
      <w:r w:rsidR="00FA5BFC">
        <w:t xml:space="preserve">, you could </w:t>
      </w:r>
      <w:r w:rsidR="00FA5BFC" w:rsidRPr="00D03B21">
        <w:rPr>
          <w:i/>
          <w:iCs/>
        </w:rPr>
        <w:t>infer</w:t>
      </w:r>
      <w:r w:rsidR="00FA5BFC">
        <w:t xml:space="preserve"> that the middle item is a hamburger.</w:t>
      </w:r>
      <w:r w:rsidR="00793576">
        <w:t xml:space="preserve"> But indirect identification is not what we are after. </w:t>
      </w:r>
      <w:r w:rsidR="0018340A">
        <w:t xml:space="preserve">Thus, </w:t>
      </w:r>
      <w:r w:rsidR="00EB7480">
        <w:t xml:space="preserve">it seems that </w:t>
      </w:r>
      <w:r w:rsidR="00410B8E">
        <w:t xml:space="preserve">cognitive attention cannot </w:t>
      </w:r>
      <w:r w:rsidR="00410B8E" w:rsidRPr="00410B8E">
        <w:t>replace</w:t>
      </w:r>
      <w:r w:rsidR="00410B8E">
        <w:rPr>
          <w:i/>
          <w:iCs/>
        </w:rPr>
        <w:t xml:space="preserve"> </w:t>
      </w:r>
      <w:r w:rsidR="002D3428">
        <w:t xml:space="preserve">FO </w:t>
      </w:r>
      <w:r w:rsidR="00410B8E">
        <w:t>sensory attention, as enabling direct identification of its target.</w:t>
      </w:r>
      <w:r w:rsidR="0019675F">
        <w:t xml:space="preserve"> The </w:t>
      </w:r>
      <w:r w:rsidR="00FF6428">
        <w:t>ir</w:t>
      </w:r>
      <w:r w:rsidR="0019675F">
        <w:t>replaceability thesis appears to be true.</w:t>
      </w:r>
      <w:r w:rsidR="00410B8E">
        <w:t xml:space="preserve"> </w:t>
      </w:r>
    </w:p>
    <w:p w14:paraId="2845EC20" w14:textId="77777777" w:rsidR="00B60DEF" w:rsidRPr="0019675F" w:rsidRDefault="00B60DEF" w:rsidP="00793576">
      <w:pPr>
        <w:rPr>
          <w:rt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825106" w14:paraId="02039C18" w14:textId="77777777" w:rsidTr="007E7D3B">
        <w:tc>
          <w:tcPr>
            <w:tcW w:w="9360" w:type="dxa"/>
          </w:tcPr>
          <w:p w14:paraId="31541703" w14:textId="77777777" w:rsidR="00825106" w:rsidRDefault="00825106" w:rsidP="00C3161F">
            <w:r>
              <w:rPr>
                <w:noProof/>
              </w:rPr>
              <w:lastRenderedPageBreak/>
              <w:drawing>
                <wp:inline distT="0" distB="0" distL="0" distR="0" wp14:anchorId="43820A37" wp14:editId="7B36E1DA">
                  <wp:extent cx="3295403" cy="4297123"/>
                  <wp:effectExtent l="0" t="0" r="635"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srcRect/>
                          <a:stretch>
                            <a:fillRect/>
                          </a:stretch>
                        </pic:blipFill>
                        <pic:spPr bwMode="auto">
                          <a:xfrm>
                            <a:off x="0" y="0"/>
                            <a:ext cx="3302538" cy="4306427"/>
                          </a:xfrm>
                          <a:prstGeom prst="rect">
                            <a:avLst/>
                          </a:prstGeom>
                          <a:noFill/>
                          <a:ln w="9525">
                            <a:noFill/>
                            <a:miter lim="800000"/>
                            <a:headEnd/>
                            <a:tailEnd/>
                          </a:ln>
                        </pic:spPr>
                      </pic:pic>
                    </a:graphicData>
                  </a:graphic>
                </wp:inline>
              </w:drawing>
            </w:r>
          </w:p>
        </w:tc>
      </w:tr>
      <w:tr w:rsidR="00825106" w14:paraId="7ECAC204" w14:textId="77777777" w:rsidTr="007E7D3B">
        <w:tc>
          <w:tcPr>
            <w:tcW w:w="9360" w:type="dxa"/>
          </w:tcPr>
          <w:p w14:paraId="5F87FB91" w14:textId="33CB68A4" w:rsidR="00825106" w:rsidRDefault="00825106" w:rsidP="00C3161F">
            <w:r w:rsidRPr="009F1A1F">
              <w:rPr>
                <w:b/>
                <w:bCs/>
                <w:sz w:val="20"/>
                <w:szCs w:val="20"/>
              </w:rPr>
              <w:t xml:space="preserve">Figure </w:t>
            </w:r>
            <w:r w:rsidR="00254F0F">
              <w:rPr>
                <w:b/>
                <w:bCs/>
                <w:sz w:val="20"/>
                <w:szCs w:val="20"/>
              </w:rPr>
              <w:t>6</w:t>
            </w:r>
            <w:r w:rsidR="00254F0F" w:rsidRPr="009F1A1F">
              <w:rPr>
                <w:sz w:val="20"/>
                <w:szCs w:val="20"/>
              </w:rPr>
              <w:t xml:space="preserve"> </w:t>
            </w:r>
            <w:r w:rsidRPr="009F1A1F">
              <w:rPr>
                <w:sz w:val="20"/>
                <w:szCs w:val="20"/>
              </w:rPr>
              <w:t xml:space="preserve">An example of crowding. When looking at the </w:t>
            </w:r>
            <w:r w:rsidR="008F0083">
              <w:rPr>
                <w:sz w:val="20"/>
                <w:szCs w:val="20"/>
              </w:rPr>
              <w:t xml:space="preserve">red </w:t>
            </w:r>
            <w:r w:rsidRPr="009F1A1F">
              <w:rPr>
                <w:sz w:val="20"/>
                <w:szCs w:val="20"/>
              </w:rPr>
              <w:t xml:space="preserve">minus sign </w:t>
            </w:r>
            <w:r w:rsidR="008F0083">
              <w:rPr>
                <w:sz w:val="20"/>
                <w:szCs w:val="20"/>
              </w:rPr>
              <w:t xml:space="preserve">on the left </w:t>
            </w:r>
            <w:r w:rsidRPr="009F1A1F">
              <w:rPr>
                <w:sz w:val="20"/>
                <w:szCs w:val="20"/>
              </w:rPr>
              <w:t xml:space="preserve">in each row, you cannot identify the middle item on the right-hand side. </w:t>
            </w:r>
            <w:r w:rsidR="006B3DB6">
              <w:rPr>
                <w:sz w:val="20"/>
                <w:szCs w:val="20"/>
              </w:rPr>
              <w:t xml:space="preserve">Reprinted with permission from </w:t>
            </w:r>
            <w:proofErr w:type="spellStart"/>
            <w:r w:rsidR="006B3DB6" w:rsidRPr="009F1A1F">
              <w:rPr>
                <w:sz w:val="20"/>
                <w:szCs w:val="20"/>
              </w:rPr>
              <w:t>Pelli</w:t>
            </w:r>
            <w:proofErr w:type="spellEnd"/>
            <w:r w:rsidR="006B3DB6" w:rsidRPr="009F1A1F">
              <w:rPr>
                <w:sz w:val="20"/>
                <w:szCs w:val="20"/>
              </w:rPr>
              <w:t xml:space="preserve"> </w:t>
            </w:r>
            <w:r w:rsidR="006B3DB6">
              <w:rPr>
                <w:sz w:val="20"/>
                <w:szCs w:val="20"/>
              </w:rPr>
              <w:t>(</w:t>
            </w:r>
            <w:r w:rsidR="006B3DB6" w:rsidRPr="009F1A1F">
              <w:rPr>
                <w:sz w:val="20"/>
                <w:szCs w:val="20"/>
              </w:rPr>
              <w:t>2008</w:t>
            </w:r>
            <w:r w:rsidR="006B3DB6">
              <w:rPr>
                <w:sz w:val="20"/>
                <w:szCs w:val="20"/>
              </w:rPr>
              <w:t>): Elsevier. U</w:t>
            </w:r>
            <w:r w:rsidR="006B3DB6" w:rsidRPr="009F1A1F">
              <w:rPr>
                <w:sz w:val="20"/>
                <w:szCs w:val="20"/>
              </w:rPr>
              <w:t xml:space="preserve">sed in Block </w:t>
            </w:r>
            <w:r w:rsidR="006B3DB6">
              <w:rPr>
                <w:sz w:val="20"/>
                <w:szCs w:val="20"/>
              </w:rPr>
              <w:t>(</w:t>
            </w:r>
            <w:r w:rsidR="006B3DB6" w:rsidRPr="009F1A1F">
              <w:rPr>
                <w:sz w:val="20"/>
                <w:szCs w:val="20"/>
              </w:rPr>
              <w:t>2013</w:t>
            </w:r>
            <w:r w:rsidR="006B3DB6">
              <w:rPr>
                <w:sz w:val="20"/>
                <w:szCs w:val="20"/>
              </w:rPr>
              <w:t>)</w:t>
            </w:r>
            <w:r w:rsidRPr="009F1A1F">
              <w:rPr>
                <w:sz w:val="20"/>
                <w:szCs w:val="20"/>
              </w:rPr>
              <w:t>.</w:t>
            </w:r>
          </w:p>
        </w:tc>
      </w:tr>
    </w:tbl>
    <w:p w14:paraId="5634090A" w14:textId="77777777" w:rsidR="00A805A0" w:rsidRDefault="00A805A0" w:rsidP="007E7D3B"/>
    <w:p w14:paraId="11A9EEB4" w14:textId="6A9EA505" w:rsidR="002D185E" w:rsidRDefault="002D185E" w:rsidP="00127370">
      <w:r>
        <w:t xml:space="preserve">An objector might claim that the crowding case is special, and that we should not generalize from it, because several studies suggest that it is possible to directly identify an item without FO sensory attention, on the basis of a different kind of attention. For example, one such (representative) study (Reddy et al. 2007) found that participants can directly identify the gender of a face at the periphery even though their </w:t>
      </w:r>
      <w:r w:rsidR="00A512F0">
        <w:t xml:space="preserve">focal </w:t>
      </w:r>
      <w:r w:rsidR="00B8756F">
        <w:t xml:space="preserve">attention – </w:t>
      </w:r>
      <w:r w:rsidR="00A261B8">
        <w:t>a form</w:t>
      </w:r>
      <w:r w:rsidR="00127370">
        <w:t xml:space="preserve"> of </w:t>
      </w:r>
      <w:r>
        <w:t xml:space="preserve">FO sensory attention </w:t>
      </w:r>
      <w:r w:rsidR="00B8756F">
        <w:t xml:space="preserve">– </w:t>
      </w:r>
      <w:r>
        <w:t xml:space="preserve">is entirely consumed by a demanding primary task at fixation (for a review of similar studies see van </w:t>
      </w:r>
      <w:proofErr w:type="spellStart"/>
      <w:r>
        <w:t>Boxtel</w:t>
      </w:r>
      <w:proofErr w:type="spellEnd"/>
      <w:r>
        <w:t xml:space="preserve"> et al. 2010). More specifically, when participants </w:t>
      </w:r>
      <w:r w:rsidRPr="00A56779">
        <w:rPr>
          <w:i/>
          <w:iCs/>
        </w:rPr>
        <w:t>intend</w:t>
      </w:r>
      <w:r>
        <w:t xml:space="preserve"> to identify the faces in advance, i.e., when the faces are task-relevant, they can directly identify them without </w:t>
      </w:r>
      <w:r w:rsidR="00A512F0">
        <w:t>focally</w:t>
      </w:r>
      <w:r>
        <w:t xml:space="preserve"> attending to them.</w:t>
      </w:r>
      <w:r w:rsidR="00A261B8">
        <w:t xml:space="preserve"> </w:t>
      </w:r>
      <w:r>
        <w:t xml:space="preserve">Reddy et al. (2007) call this an effect of "top-down task-based attention." This form of attention appears to be cognitive, or at least cognitive-like, since intention, like thought, is propositional and non-sensory. Thus, this finding looks like evidence that cognitive attention </w:t>
      </w:r>
      <w:r w:rsidRPr="00CD435F">
        <w:t>can</w:t>
      </w:r>
      <w:r>
        <w:t xml:space="preserve"> replace FO sensory attention, as enabling direct identification of its target.</w:t>
      </w:r>
    </w:p>
    <w:p w14:paraId="6BCB84F4" w14:textId="76BE4F3F" w:rsidR="004219F3" w:rsidRDefault="007E7D3B" w:rsidP="008B117B">
      <w:r>
        <w:t xml:space="preserve">This is a mistake. The neural basis of "top-down task-based attention" consists of </w:t>
      </w:r>
      <w:r w:rsidRPr="00D03B21">
        <w:t>top-down</w:t>
      </w:r>
      <w:r>
        <w:rPr>
          <w:i/>
          <w:iCs/>
        </w:rPr>
        <w:t xml:space="preserve"> modulations of FO sensory representations in the visual cortex</w:t>
      </w:r>
      <w:r>
        <w:t xml:space="preserve">, of the sort discussed in Section </w:t>
      </w:r>
      <w:r w:rsidR="00DA1BBA">
        <w:t xml:space="preserve">2 </w:t>
      </w:r>
      <w:r>
        <w:t>(Reddy et al. 2007).</w:t>
      </w:r>
      <w:r w:rsidR="001939A5">
        <w:t xml:space="preserve"> </w:t>
      </w:r>
      <w:r>
        <w:t xml:space="preserve"> These modulations do not amount to </w:t>
      </w:r>
      <w:r w:rsidRPr="0018340A">
        <w:rPr>
          <w:i/>
          <w:iCs/>
        </w:rPr>
        <w:t>cognitive</w:t>
      </w:r>
      <w:r>
        <w:t xml:space="preserve"> attention, since cognitive attention is supposed to be an </w:t>
      </w:r>
      <w:r>
        <w:rPr>
          <w:i/>
          <w:iCs/>
        </w:rPr>
        <w:t xml:space="preserve">alternative </w:t>
      </w:r>
      <w:r>
        <w:t xml:space="preserve">to the notion of attention as modulation of sensory representations. After all, the whole point of appealing to cognitive attention in the first place was to avoid the problems from Section </w:t>
      </w:r>
      <w:r w:rsidR="00DA1BBA">
        <w:t>2</w:t>
      </w:r>
      <w:r>
        <w:t xml:space="preserve">, </w:t>
      </w:r>
      <w:r>
        <w:lastRenderedPageBreak/>
        <w:t xml:space="preserve">which are problems for the suggestion that attending to mental paint is a matter of modulating FO sensory representations. </w:t>
      </w:r>
      <w:r w:rsidR="004219F3">
        <w:t xml:space="preserve">In other words, both focal attention and top-down task-based attention </w:t>
      </w:r>
      <w:r w:rsidR="00807477">
        <w:t xml:space="preserve">are forms of </w:t>
      </w:r>
      <w:r w:rsidR="004219F3">
        <w:t xml:space="preserve">FO sensory attention. </w:t>
      </w:r>
      <w:r w:rsidR="004219F3" w:rsidRPr="004219F3">
        <w:t xml:space="preserve">Note that </w:t>
      </w:r>
      <w:r w:rsidR="00EB5585">
        <w:t xml:space="preserve">directly identifying the gender of a face (like directly identifying a background scene) </w:t>
      </w:r>
      <w:r w:rsidR="004219F3" w:rsidRPr="004219F3">
        <w:t>requires very little FO sensory attention.</w:t>
      </w:r>
      <w:r w:rsidR="009850BC">
        <w:t xml:space="preserve"> </w:t>
      </w:r>
      <w:r w:rsidR="00B6553B">
        <w:t xml:space="preserve">This is why </w:t>
      </w:r>
      <w:r w:rsidR="002945F8">
        <w:t>one can do it</w:t>
      </w:r>
      <w:r w:rsidR="00B6553B">
        <w:t xml:space="preserve"> while also performing a</w:t>
      </w:r>
      <w:r w:rsidR="002945F8">
        <w:t>n (FO sensory) attentionally demanding</w:t>
      </w:r>
      <w:r w:rsidR="00B6553B">
        <w:t xml:space="preserve"> </w:t>
      </w:r>
      <w:r w:rsidR="002945F8">
        <w:t xml:space="preserve">primary </w:t>
      </w:r>
      <w:r w:rsidR="00B6553B">
        <w:t xml:space="preserve">task. </w:t>
      </w:r>
    </w:p>
    <w:p w14:paraId="4BFEF21B" w14:textId="7CF3EC7F" w:rsidR="007E7D3B" w:rsidRDefault="007E7D3B" w:rsidP="007E7D3B">
      <w:pPr>
        <w:spacing w:before="240"/>
      </w:pPr>
      <w:r>
        <w:t xml:space="preserve">It thus appears that the irreplaceability thesis is true: </w:t>
      </w:r>
      <w:bookmarkStart w:id="18" w:name="_Hlk535762148"/>
      <w:r>
        <w:t>cognitive attention cannot replace FO sensory attention, as enabling direct identification of its target</w:t>
      </w:r>
      <w:bookmarkEnd w:id="18"/>
      <w:r>
        <w:t>. Given that we cannot FO-sensorily attend to mental paint, HO cognitive attention to mental paint apparently cannot enable direct identification thereof. It seems, therefore, that the existence of cognitive attention to mental paint is irrelevant to the thesis of transparency.</w:t>
      </w:r>
    </w:p>
    <w:p w14:paraId="6FA99229" w14:textId="2C235252" w:rsidR="00B0426C" w:rsidRDefault="00711A3D" w:rsidP="000D597F">
      <w:pPr>
        <w:spacing w:before="240"/>
      </w:pPr>
      <w:r>
        <w:t xml:space="preserve">One might try to resist this conclusion by saying that since </w:t>
      </w:r>
      <w:r w:rsidR="004724C1">
        <w:t xml:space="preserve">the </w:t>
      </w:r>
      <w:r w:rsidR="00E901BE">
        <w:t xml:space="preserve">empirical evidence </w:t>
      </w:r>
      <w:r w:rsidR="004724C1">
        <w:t xml:space="preserve">we have presented </w:t>
      </w:r>
      <w:r w:rsidR="00E901BE">
        <w:t xml:space="preserve">concerns </w:t>
      </w:r>
      <w:r w:rsidR="00E901BE">
        <w:rPr>
          <w:i/>
          <w:iCs/>
        </w:rPr>
        <w:t xml:space="preserve">exteroceptive </w:t>
      </w:r>
      <w:r w:rsidR="00E901BE">
        <w:t xml:space="preserve">identification, the irreplaceability thesis </w:t>
      </w:r>
      <w:r w:rsidR="003A5D6D">
        <w:t xml:space="preserve">it </w:t>
      </w:r>
      <w:r w:rsidR="00E901BE">
        <w:t>support</w:t>
      </w:r>
      <w:r w:rsidR="003A5D6D">
        <w:t>s</w:t>
      </w:r>
      <w:r w:rsidR="00E901BE">
        <w:t xml:space="preserve"> does not concern </w:t>
      </w:r>
      <w:r>
        <w:rPr>
          <w:i/>
          <w:iCs/>
        </w:rPr>
        <w:t>introspective</w:t>
      </w:r>
      <w:r>
        <w:t xml:space="preserve"> identification, and therefore it is inapplicable to mental paint. We grant that the studies </w:t>
      </w:r>
      <w:r w:rsidR="004724C1">
        <w:t xml:space="preserve">we have presented </w:t>
      </w:r>
      <w:r>
        <w:t>concern exteroceptive identification, but</w:t>
      </w:r>
      <w:r w:rsidR="003A5D6D">
        <w:t>,</w:t>
      </w:r>
      <w:r>
        <w:t xml:space="preserve"> ultimately</w:t>
      </w:r>
      <w:r w:rsidR="003A5D6D">
        <w:t>,</w:t>
      </w:r>
      <w:r>
        <w:t xml:space="preserve"> they are studies about </w:t>
      </w:r>
      <w:r w:rsidR="003B1837">
        <w:rPr>
          <w:i/>
          <w:iCs/>
        </w:rPr>
        <w:t xml:space="preserve">FO </w:t>
      </w:r>
      <w:r>
        <w:rPr>
          <w:i/>
          <w:iCs/>
        </w:rPr>
        <w:t>sensory attention</w:t>
      </w:r>
      <w:r>
        <w:t xml:space="preserve">. In Section </w:t>
      </w:r>
      <w:r w:rsidR="00DA1BBA">
        <w:t xml:space="preserve">2 </w:t>
      </w:r>
      <w:r>
        <w:t xml:space="preserve">we have explained that </w:t>
      </w:r>
      <w:r w:rsidR="003B1837">
        <w:t xml:space="preserve">FO </w:t>
      </w:r>
      <w:r>
        <w:t xml:space="preserve">sensory attention is a basis for introspective judgments about the representational content of experience (as well as for exteroceptive judgements about external objects). </w:t>
      </w:r>
      <w:proofErr w:type="gramStart"/>
      <w:r>
        <w:t>So</w:t>
      </w:r>
      <w:proofErr w:type="gramEnd"/>
      <w:r>
        <w:t xml:space="preserve"> while the studies we have surveyed in the present section concern identification of properties of external objects, they trivially apply also to </w:t>
      </w:r>
      <w:r w:rsidRPr="009F5BB0">
        <w:rPr>
          <w:i/>
          <w:iCs/>
        </w:rPr>
        <w:t>introspective identification</w:t>
      </w:r>
      <w:r>
        <w:t xml:space="preserve"> of properties that</w:t>
      </w:r>
      <w:r w:rsidR="001B5195">
        <w:t xml:space="preserve"> the experience represent external objects as having</w:t>
      </w:r>
      <w:r>
        <w:t>.</w:t>
      </w:r>
      <w:r w:rsidR="00B0426C">
        <w:t xml:space="preserve"> </w:t>
      </w:r>
      <w:r w:rsidR="00D2735A">
        <w:t xml:space="preserve">Thus, </w:t>
      </w:r>
      <w:r w:rsidR="00200BC3">
        <w:t>the evidence we have presented support</w:t>
      </w:r>
      <w:r w:rsidR="004724C1">
        <w:t>s</w:t>
      </w:r>
      <w:r w:rsidR="00200BC3">
        <w:t xml:space="preserve"> an </w:t>
      </w:r>
      <w:r w:rsidR="00D2735A">
        <w:t xml:space="preserve">irreplaceability thesis </w:t>
      </w:r>
      <w:r w:rsidR="00200BC3">
        <w:t xml:space="preserve">with respect to </w:t>
      </w:r>
      <w:r w:rsidR="00D2735A">
        <w:t xml:space="preserve">introspection and not only </w:t>
      </w:r>
      <w:r w:rsidR="00200BC3">
        <w:t xml:space="preserve">with respect to </w:t>
      </w:r>
      <w:r w:rsidR="00D2735A">
        <w:t xml:space="preserve">exteroception. </w:t>
      </w:r>
    </w:p>
    <w:p w14:paraId="13EAD29F" w14:textId="2CAD68FB" w:rsidR="00B9014E" w:rsidRDefault="00380BC9" w:rsidP="00B9014E">
      <w:r>
        <w:t xml:space="preserve">Let us repeat </w:t>
      </w:r>
      <w:r w:rsidR="003C0F41">
        <w:t xml:space="preserve">the dialectic </w:t>
      </w:r>
      <w:r>
        <w:t xml:space="preserve">of the present </w:t>
      </w:r>
      <w:r w:rsidR="004724C1">
        <w:t>sub</w:t>
      </w:r>
      <w:r>
        <w:t xml:space="preserve">section, only this time emphasizing </w:t>
      </w:r>
      <w:r>
        <w:rPr>
          <w:i/>
          <w:iCs/>
        </w:rPr>
        <w:t xml:space="preserve">introspective </w:t>
      </w:r>
      <w:r>
        <w:t>identification</w:t>
      </w:r>
      <w:r w:rsidR="00B0426C">
        <w:t xml:space="preserve">: </w:t>
      </w:r>
      <w:r w:rsidR="009B331B">
        <w:t xml:space="preserve">FO </w:t>
      </w:r>
      <w:r w:rsidR="00B0426C">
        <w:t>sensory attention highlights a property that figure</w:t>
      </w:r>
      <w:r w:rsidR="00B54074">
        <w:t>s</w:t>
      </w:r>
      <w:r w:rsidR="00B0426C">
        <w:t xml:space="preserve"> in the representational content of experience, and so allows us to </w:t>
      </w:r>
      <w:r>
        <w:t xml:space="preserve">directly </w:t>
      </w:r>
      <w:r w:rsidR="002C1FE4">
        <w:t>identif</w:t>
      </w:r>
      <w:r w:rsidR="00D10B07">
        <w:t>y</w:t>
      </w:r>
      <w:r w:rsidR="00B0426C">
        <w:t xml:space="preserve"> it</w:t>
      </w:r>
      <w:r w:rsidR="00465BB1" w:rsidRPr="00465BB1">
        <w:t xml:space="preserve"> </w:t>
      </w:r>
      <w:r w:rsidR="00465BB1">
        <w:t>introspectively</w:t>
      </w:r>
      <w:r w:rsidR="00B0426C">
        <w:t xml:space="preserve">. </w:t>
      </w:r>
      <w:r w:rsidR="003C0F41">
        <w:t>According to the irreplaceability thesis, i</w:t>
      </w:r>
      <w:r w:rsidR="00B0426C">
        <w:t>f we ca</w:t>
      </w:r>
      <w:r>
        <w:t>nno</w:t>
      </w:r>
      <w:r w:rsidR="00B0426C">
        <w:t xml:space="preserve">t </w:t>
      </w:r>
      <w:r w:rsidR="009B331B">
        <w:t>FO-</w:t>
      </w:r>
      <w:r w:rsidR="00B0426C">
        <w:t xml:space="preserve">sensorily attend to </w:t>
      </w:r>
      <w:r w:rsidR="003C0F41">
        <w:t>such a property</w:t>
      </w:r>
      <w:r w:rsidR="00B0426C">
        <w:t xml:space="preserve">, then </w:t>
      </w:r>
      <w:r w:rsidR="009B331B">
        <w:t>HO</w:t>
      </w:r>
      <w:r w:rsidR="00B0426C">
        <w:t xml:space="preserve"> cognitively attending to it w</w:t>
      </w:r>
      <w:r w:rsidR="003C0F41">
        <w:t xml:space="preserve">ill not </w:t>
      </w:r>
      <w:r w:rsidR="00B0426C">
        <w:t>help us directly identify it</w:t>
      </w:r>
      <w:r w:rsidR="00465BB1" w:rsidRPr="00465BB1">
        <w:t xml:space="preserve"> </w:t>
      </w:r>
      <w:r w:rsidR="00465BB1">
        <w:t>introspectively</w:t>
      </w:r>
      <w:r w:rsidR="00B0426C">
        <w:t>. We apply the same reasoning to mental paint. Since we can</w:t>
      </w:r>
      <w:r w:rsidR="003C0F41">
        <w:t>no</w:t>
      </w:r>
      <w:r w:rsidR="00B0426C">
        <w:t xml:space="preserve">t highlight it via </w:t>
      </w:r>
      <w:r w:rsidR="009B331B">
        <w:t xml:space="preserve">FO </w:t>
      </w:r>
      <w:r w:rsidR="00B0426C">
        <w:t>sensory attent</w:t>
      </w:r>
      <w:r w:rsidR="00465BB1">
        <w:t>i</w:t>
      </w:r>
      <w:r w:rsidR="00B0426C">
        <w:t xml:space="preserve">on (Section </w:t>
      </w:r>
      <w:r w:rsidR="00DA1BBA">
        <w:t>2</w:t>
      </w:r>
      <w:r w:rsidR="00B0426C">
        <w:t xml:space="preserve">), </w:t>
      </w:r>
      <w:r w:rsidR="009B331B">
        <w:t>HO</w:t>
      </w:r>
      <w:r w:rsidR="00B0426C">
        <w:t xml:space="preserve"> cognitively attending to it w</w:t>
      </w:r>
      <w:r w:rsidR="003C0F41">
        <w:t xml:space="preserve">ill not </w:t>
      </w:r>
      <w:r w:rsidR="00B0426C">
        <w:t xml:space="preserve">help </w:t>
      </w:r>
      <w:r>
        <w:t>us directly identify it</w:t>
      </w:r>
      <w:r w:rsidR="00465BB1" w:rsidRPr="00465BB1">
        <w:t xml:space="preserve"> </w:t>
      </w:r>
      <w:r w:rsidR="00465BB1">
        <w:t>introspectively</w:t>
      </w:r>
      <w:r>
        <w:t>.</w:t>
      </w:r>
      <w:r w:rsidR="00B0426C">
        <w:t xml:space="preserve"> </w:t>
      </w:r>
    </w:p>
    <w:p w14:paraId="538A2566" w14:textId="0C3ABAA0" w:rsidR="00CA4055" w:rsidRDefault="00380BC9" w:rsidP="009F5BB0">
      <w:r>
        <w:t xml:space="preserve">An opponent </w:t>
      </w:r>
      <w:r w:rsidR="006B5C3C">
        <w:t xml:space="preserve">to the </w:t>
      </w:r>
      <w:r>
        <w:t xml:space="preserve">transparency </w:t>
      </w:r>
      <w:r w:rsidR="006B5C3C">
        <w:t xml:space="preserve">thesis </w:t>
      </w:r>
      <w:r w:rsidR="00B0426C">
        <w:t xml:space="preserve">might now suggest that while the irreplaceability thesis applies to introspective identification </w:t>
      </w:r>
      <w:r w:rsidR="00B0426C" w:rsidRPr="002C1FE4">
        <w:rPr>
          <w:i/>
          <w:iCs/>
        </w:rPr>
        <w:t>of</w:t>
      </w:r>
      <w:r w:rsidR="006E16CB">
        <w:rPr>
          <w:i/>
          <w:iCs/>
        </w:rPr>
        <w:t xml:space="preserve"> the</w:t>
      </w:r>
      <w:r w:rsidR="00B0426C" w:rsidRPr="002C1FE4">
        <w:rPr>
          <w:i/>
          <w:iCs/>
        </w:rPr>
        <w:t xml:space="preserve"> representational content</w:t>
      </w:r>
      <w:r w:rsidR="006E16CB">
        <w:rPr>
          <w:i/>
          <w:iCs/>
        </w:rPr>
        <w:t xml:space="preserve"> of experience</w:t>
      </w:r>
      <w:r w:rsidR="00B0426C">
        <w:t xml:space="preserve">, it does not apply to introspective identification </w:t>
      </w:r>
      <w:r w:rsidR="00B0426C">
        <w:rPr>
          <w:i/>
          <w:iCs/>
        </w:rPr>
        <w:t>of mental paint</w:t>
      </w:r>
      <w:r w:rsidR="00B0426C">
        <w:t xml:space="preserve">. </w:t>
      </w:r>
      <w:r w:rsidR="00D10B07">
        <w:t xml:space="preserve">It is hard to think of an independent (i.e., not </w:t>
      </w:r>
      <w:r w:rsidR="00D10B07" w:rsidRPr="003C0F41">
        <w:rPr>
          <w:i/>
          <w:iCs/>
        </w:rPr>
        <w:t>ad hoc</w:t>
      </w:r>
      <w:r w:rsidR="00D10B07">
        <w:t xml:space="preserve">) motivation for thinking so. Remember: the same </w:t>
      </w:r>
      <w:r w:rsidR="006E16CB">
        <w:t xml:space="preserve">intrinsic </w:t>
      </w:r>
      <w:r w:rsidR="00D10B07">
        <w:t>neuronal vehicle property underlies both representational content and mental paint</w:t>
      </w:r>
      <w:r w:rsidR="000472FD">
        <w:t xml:space="preserve">. Whereas </w:t>
      </w:r>
      <w:r w:rsidR="00D10B07">
        <w:t>representational content is determined in part by externalistic factors</w:t>
      </w:r>
      <w:r w:rsidR="000472FD">
        <w:t xml:space="preserve">, mental paint is determined </w:t>
      </w:r>
      <w:r w:rsidR="00D10B07">
        <w:t xml:space="preserve">entirely by said neuronal vehicle property. It is hard to see how this difference might be relevant to the </w:t>
      </w:r>
      <w:r w:rsidR="00FF6428">
        <w:t>ir</w:t>
      </w:r>
      <w:r w:rsidR="00D10B07">
        <w:t xml:space="preserve">replaceability thesis. </w:t>
      </w:r>
      <w:r w:rsidR="000472FD">
        <w:t xml:space="preserve">Consider </w:t>
      </w:r>
      <w:r w:rsidR="00D10B07">
        <w:t xml:space="preserve">the other main difference, namely that representational content involves properties the experience represents external objects as having, whereas mental paint involves properties that are in fact instantiated by the experience. This difference too does not look relevant to the </w:t>
      </w:r>
      <w:r w:rsidR="00FF6428">
        <w:t>ir</w:t>
      </w:r>
      <w:r w:rsidR="00D10B07">
        <w:t>replaceability thesis.</w:t>
      </w:r>
    </w:p>
    <w:p w14:paraId="68891B1F" w14:textId="0383639B" w:rsidR="00F620CC" w:rsidRPr="00FC0D90" w:rsidRDefault="009B58A6" w:rsidP="002F4C91">
      <w:pPr>
        <w:pStyle w:val="ListParagraph"/>
        <w:numPr>
          <w:ilvl w:val="1"/>
          <w:numId w:val="1"/>
        </w:numPr>
        <w:rPr>
          <w:b/>
          <w:bCs/>
        </w:rPr>
      </w:pPr>
      <w:r>
        <w:rPr>
          <w:b/>
          <w:bCs/>
        </w:rPr>
        <w:t xml:space="preserve"> </w:t>
      </w:r>
      <w:r w:rsidR="00F620CC" w:rsidRPr="00FC0D90">
        <w:rPr>
          <w:b/>
          <w:bCs/>
        </w:rPr>
        <w:t>Higher-order sensory attention</w:t>
      </w:r>
    </w:p>
    <w:p w14:paraId="61337891" w14:textId="35F2608F" w:rsidR="007264BE" w:rsidRDefault="00B95A9B" w:rsidP="00625EC6">
      <w:pPr>
        <w:rPr>
          <w:rtl/>
        </w:rPr>
      </w:pPr>
      <w:r>
        <w:t xml:space="preserve">One might propose a </w:t>
      </w:r>
      <w:r w:rsidR="00F620CC">
        <w:t>higher-order perception (HO</w:t>
      </w:r>
      <w:r w:rsidR="00F620CC">
        <w:rPr>
          <w:rFonts w:hint="cs"/>
        </w:rPr>
        <w:t>P</w:t>
      </w:r>
      <w:r w:rsidR="00F620CC">
        <w:t>)</w:t>
      </w:r>
      <w:r w:rsidR="00C30716">
        <w:t xml:space="preserve"> </w:t>
      </w:r>
      <w:r>
        <w:t>account of attention to mental paint</w:t>
      </w:r>
      <w:r w:rsidR="00C30716">
        <w:t>.</w:t>
      </w:r>
      <w:r w:rsidR="00F620CC">
        <w:t xml:space="preserve"> The idea is that we can perceive mental paint via </w:t>
      </w:r>
      <w:r w:rsidR="00C30716">
        <w:t>an "</w:t>
      </w:r>
      <w:r w:rsidR="00F620CC">
        <w:t>inner sense</w:t>
      </w:r>
      <w:r w:rsidR="00C30716">
        <w:t>"</w:t>
      </w:r>
      <w:r w:rsidR="00F620CC">
        <w:t>, and th</w:t>
      </w:r>
      <w:r w:rsidR="00BB5AC1">
        <w:t xml:space="preserve">e </w:t>
      </w:r>
      <w:r w:rsidR="00825106">
        <w:t xml:space="preserve">neuronal basis of </w:t>
      </w:r>
      <w:r w:rsidR="00BB5AC1">
        <w:t>this</w:t>
      </w:r>
      <w:r w:rsidR="00F620CC">
        <w:t xml:space="preserve"> </w:t>
      </w:r>
      <w:r w:rsidR="00F54E34">
        <w:t xml:space="preserve">higher-order </w:t>
      </w:r>
      <w:r w:rsidR="00F620CC">
        <w:t>perce</w:t>
      </w:r>
      <w:r w:rsidR="004E0AB8">
        <w:t>ption</w:t>
      </w:r>
      <w:r w:rsidR="00F620CC">
        <w:t xml:space="preserve"> can be </w:t>
      </w:r>
      <w:r w:rsidR="00825106">
        <w:t xml:space="preserve">attentionally modulated in the ways surveyed in </w:t>
      </w:r>
      <w:r w:rsidR="00F620CC">
        <w:t xml:space="preserve">Section </w:t>
      </w:r>
      <w:r w:rsidR="00DA1BBA">
        <w:t>2</w:t>
      </w:r>
      <w:r w:rsidR="00F620CC">
        <w:t xml:space="preserve">. </w:t>
      </w:r>
      <w:r w:rsidR="00BB5AC1">
        <w:t xml:space="preserve">This amounts to higher-order </w:t>
      </w:r>
      <w:r w:rsidR="002371F2">
        <w:t xml:space="preserve">(HO) </w:t>
      </w:r>
      <w:r w:rsidR="00BB5AC1">
        <w:t>sensory attention to mental paint.</w:t>
      </w:r>
    </w:p>
    <w:p w14:paraId="232F1BE8" w14:textId="3782D47C" w:rsidR="00465B94" w:rsidRDefault="00465B94" w:rsidP="0054284D">
      <w:pPr>
        <w:rPr>
          <w:rtl/>
        </w:rPr>
      </w:pPr>
      <w:r>
        <w:lastRenderedPageBreak/>
        <w:t>Against the existence of inner sense</w:t>
      </w:r>
      <w:r w:rsidR="00C36436">
        <w:t xml:space="preserve"> (for sensing experiences)</w:t>
      </w:r>
      <w:r>
        <w:t>, Peter Carruthers has argued, roughly, that it must be as computationally complex as outer sense, and that it is implausible that natural selection has produced such a complex system twice over – once for outer sense and once for inner sense (Carruthers 2000, p. 213). Moreover, the leading advocate of HOP in the past two decades, William Lycan, has recently found this argument compelling (</w:t>
      </w:r>
      <w:proofErr w:type="spellStart"/>
      <w:r>
        <w:t>Sauret</w:t>
      </w:r>
      <w:proofErr w:type="spellEnd"/>
      <w:r>
        <w:t xml:space="preserve"> &amp; Lycan 2014). </w:t>
      </w:r>
      <w:r>
        <w:rPr>
          <w:rFonts w:hint="cs"/>
        </w:rPr>
        <w:t>T</w:t>
      </w:r>
      <w:r>
        <w:t>he upshot is that there is already an apparently compelling argument against inner sens</w:t>
      </w:r>
      <w:r w:rsidR="002400DB">
        <w:t>e—</w:t>
      </w:r>
      <w:r>
        <w:t xml:space="preserve">and </w:t>
      </w:r>
      <w:r w:rsidR="0021552C">
        <w:t>a fortiori against HO sensory attention to mental paint</w:t>
      </w:r>
      <w:r w:rsidR="002400DB">
        <w:t>—i</w:t>
      </w:r>
      <w:r>
        <w:t xml:space="preserve">n the literature. </w:t>
      </w:r>
    </w:p>
    <w:p w14:paraId="12E47640" w14:textId="311E6D31" w:rsidR="008B0CDB" w:rsidRDefault="0054284D" w:rsidP="00905592">
      <w:r>
        <w:t>In any case, i</w:t>
      </w:r>
      <w:r w:rsidR="0021552C">
        <w:t xml:space="preserve">t seems </w:t>
      </w:r>
      <w:r w:rsidR="00465B94">
        <w:t xml:space="preserve">that the notion of HO sensory attention to mental paint has problematic </w:t>
      </w:r>
      <w:r w:rsidR="001527A6">
        <w:t>consequences, regardless</w:t>
      </w:r>
      <w:r w:rsidR="00465B94">
        <w:t xml:space="preserve"> of computational complexity </w:t>
      </w:r>
      <w:r w:rsidR="001527A6">
        <w:t>issues</w:t>
      </w:r>
      <w:r w:rsidR="00465B94">
        <w:t>.</w:t>
      </w:r>
      <w:r w:rsidR="008F7D8C">
        <w:t xml:space="preserve"> </w:t>
      </w:r>
      <w:r w:rsidR="00753E57">
        <w:t>C</w:t>
      </w:r>
      <w:r w:rsidR="008A64C1">
        <w:t xml:space="preserve">onsider </w:t>
      </w:r>
      <w:r w:rsidR="00753E57">
        <w:t xml:space="preserve">for example </w:t>
      </w:r>
      <w:r w:rsidR="008A64C1">
        <w:t>signal-to-noise ratio</w:t>
      </w:r>
      <w:r w:rsidR="0000640D">
        <w:t xml:space="preserve"> increase</w:t>
      </w:r>
      <w:r w:rsidR="008A64C1">
        <w:t xml:space="preserve">. </w:t>
      </w:r>
      <w:r w:rsidR="002371F2">
        <w:t>P</w:t>
      </w:r>
      <w:r w:rsidR="00177069">
        <w:t xml:space="preserve">aying </w:t>
      </w:r>
      <w:r w:rsidR="002371F2">
        <w:t xml:space="preserve">HO sensory </w:t>
      </w:r>
      <w:r w:rsidR="00177069">
        <w:t>attention to mental paint is</w:t>
      </w:r>
      <w:r w:rsidR="002400DB">
        <w:t xml:space="preserve"> supposed to be</w:t>
      </w:r>
      <w:r w:rsidR="00177069">
        <w:t xml:space="preserve"> a matter of increasing the signal-to-noise ratio of </w:t>
      </w:r>
      <w:r w:rsidR="00DE20AA">
        <w:t xml:space="preserve">the neuron that underlies a </w:t>
      </w:r>
      <w:r w:rsidR="00177069">
        <w:t xml:space="preserve">HOP directed at </w:t>
      </w:r>
      <w:r w:rsidR="0034602F">
        <w:t xml:space="preserve">this mental paint </w:t>
      </w:r>
      <w:r w:rsidR="00DE20AA">
        <w:t>(we are again assuming it is a single neuron for simplicity)</w:t>
      </w:r>
      <w:r w:rsidR="00177069">
        <w:t xml:space="preserve">. </w:t>
      </w:r>
      <w:r w:rsidR="00F159F6">
        <w:t>Recall that</w:t>
      </w:r>
      <w:r w:rsidR="005151C1">
        <w:t xml:space="preserve"> </w:t>
      </w:r>
      <w:r w:rsidR="00177069">
        <w:t xml:space="preserve">according </w:t>
      </w:r>
      <w:r w:rsidR="005151C1">
        <w:t>to opponents of transparency,</w:t>
      </w:r>
      <w:r w:rsidR="00177069">
        <w:t xml:space="preserve"> attending to mental paint is </w:t>
      </w:r>
      <w:r w:rsidR="0000640D">
        <w:t xml:space="preserve">typically </w:t>
      </w:r>
      <w:r w:rsidR="00177069">
        <w:t>difficult</w:t>
      </w:r>
      <w:r w:rsidR="0000640D">
        <w:t xml:space="preserve">, whereas </w:t>
      </w:r>
      <w:r w:rsidR="00F159F6">
        <w:t>atten</w:t>
      </w:r>
      <w:r w:rsidR="008F7D8C">
        <w:t>ding</w:t>
      </w:r>
      <w:r w:rsidR="00F159F6">
        <w:t xml:space="preserve"> to representational content</w:t>
      </w:r>
      <w:r w:rsidR="0000640D">
        <w:t xml:space="preserve"> </w:t>
      </w:r>
      <w:r w:rsidR="004858CC">
        <w:t>is typically easy.</w:t>
      </w:r>
      <w:r w:rsidR="000F0A42">
        <w:t xml:space="preserve"> Given the </w:t>
      </w:r>
      <w:r w:rsidR="002371F2">
        <w:t xml:space="preserve">present </w:t>
      </w:r>
      <w:r w:rsidR="00FA681C">
        <w:t>proposal</w:t>
      </w:r>
      <w:r w:rsidR="000F0A42">
        <w:t xml:space="preserve">, this </w:t>
      </w:r>
      <w:r w:rsidR="00FA681C">
        <w:t xml:space="preserve">implies </w:t>
      </w:r>
      <w:r w:rsidR="000F0A42">
        <w:t xml:space="preserve">that increasing the signal-to-noise ratio of the neuron underlying </w:t>
      </w:r>
      <w:r w:rsidR="008F7D8C">
        <w:t xml:space="preserve">said </w:t>
      </w:r>
      <w:r w:rsidR="000F0A42">
        <w:t xml:space="preserve">HOP is difficult, whereas increasing the signal-to-noise ratio of the neuron underlying the </w:t>
      </w:r>
      <w:r w:rsidR="00406E0C">
        <w:t xml:space="preserve">(FO) </w:t>
      </w:r>
      <w:r w:rsidR="000F0A42">
        <w:t>experience itself</w:t>
      </w:r>
      <w:r w:rsidR="006A1D77">
        <w:t xml:space="preserve"> </w:t>
      </w:r>
      <w:r w:rsidR="000F0A42">
        <w:t xml:space="preserve">is easy. </w:t>
      </w:r>
      <w:r w:rsidR="00177069">
        <w:t xml:space="preserve">Consequently, the information you get about mental paint </w:t>
      </w:r>
      <w:r w:rsidR="00DE20AA">
        <w:t xml:space="preserve">via </w:t>
      </w:r>
      <w:r w:rsidR="002371F2">
        <w:t xml:space="preserve">HO sensory attention </w:t>
      </w:r>
      <w:r w:rsidR="00177069">
        <w:t xml:space="preserve">will </w:t>
      </w:r>
      <w:r w:rsidR="00063B15">
        <w:t>sometimes</w:t>
      </w:r>
      <w:r w:rsidR="00177069">
        <w:t xml:space="preserve"> be quite noisy</w:t>
      </w:r>
      <w:r w:rsidR="000F0A42">
        <w:t>, in comparison with the information you get about the representational content of the experience</w:t>
      </w:r>
      <w:r w:rsidR="006A1D77">
        <w:t xml:space="preserve"> via FO sensory attention</w:t>
      </w:r>
      <w:r w:rsidR="00177069">
        <w:t xml:space="preserve">. </w:t>
      </w:r>
      <w:r w:rsidR="00F620CC">
        <w:t xml:space="preserve">Thus, </w:t>
      </w:r>
      <w:r w:rsidR="00E32E91">
        <w:t xml:space="preserve">scenarios of </w:t>
      </w:r>
      <w:r w:rsidR="00F620CC">
        <w:t xml:space="preserve">the following </w:t>
      </w:r>
      <w:r w:rsidR="00E32E91">
        <w:t xml:space="preserve">type </w:t>
      </w:r>
      <w:r w:rsidR="002400DB">
        <w:t xml:space="preserve">would </w:t>
      </w:r>
      <w:r w:rsidR="00063B15">
        <w:t>sometimes occur</w:t>
      </w:r>
      <w:r w:rsidR="002400DB">
        <w:t>, if there were such a thing as HO sensory attention to mental paint</w:t>
      </w:r>
      <w:r w:rsidR="0000640D">
        <w:t>.</w:t>
      </w:r>
      <w:r w:rsidR="00F620CC">
        <w:t xml:space="preserve"> You look at a burgundy-colored backpack. You </w:t>
      </w:r>
      <w:r w:rsidR="004B6265">
        <w:t>FO-</w:t>
      </w:r>
      <w:r w:rsidR="0000640D">
        <w:t>sensorily attend to</w:t>
      </w:r>
      <w:r w:rsidR="00F620CC">
        <w:t xml:space="preserve"> the color</w:t>
      </w:r>
      <w:r w:rsidR="005151C1">
        <w:t>-involving representational</w:t>
      </w:r>
      <w:r w:rsidR="00F620CC">
        <w:t xml:space="preserve"> content of your experience. </w:t>
      </w:r>
      <w:r w:rsidR="0000640D">
        <w:t xml:space="preserve">Consequently, the signal-to-noise ratio of the neuron underlying it </w:t>
      </w:r>
      <w:r w:rsidR="00F620CC">
        <w:t xml:space="preserve">is excellent, and </w:t>
      </w:r>
      <w:r w:rsidR="00B00F19">
        <w:t xml:space="preserve">so it seems to you, introspectively, that your experience represents the backpack as burgundy. </w:t>
      </w:r>
      <w:r w:rsidR="00F620CC">
        <w:t xml:space="preserve">Next, you </w:t>
      </w:r>
      <w:r w:rsidR="002371F2">
        <w:t xml:space="preserve">HO-sensorily </w:t>
      </w:r>
      <w:r w:rsidR="00F620CC">
        <w:t>attend to the mental paint of your experience</w:t>
      </w:r>
      <w:r w:rsidR="0069541C">
        <w:t>.</w:t>
      </w:r>
      <w:r w:rsidR="00753E57">
        <w:t xml:space="preserve"> </w:t>
      </w:r>
      <w:r w:rsidR="0069541C">
        <w:t xml:space="preserve">As we have explained, the information you </w:t>
      </w:r>
      <w:r w:rsidR="00063B15">
        <w:t xml:space="preserve">thereby </w:t>
      </w:r>
      <w:r w:rsidR="0069541C">
        <w:t xml:space="preserve">get about the mental paint will be </w:t>
      </w:r>
      <w:r w:rsidR="00B00F19">
        <w:t xml:space="preserve">quite </w:t>
      </w:r>
      <w:r w:rsidR="0069541C">
        <w:t>noisy</w:t>
      </w:r>
      <w:r w:rsidR="00063B15">
        <w:t>, at least sometimes</w:t>
      </w:r>
      <w:r w:rsidR="0069541C">
        <w:t>.</w:t>
      </w:r>
      <w:r w:rsidR="00F620CC">
        <w:t xml:space="preserve"> </w:t>
      </w:r>
      <w:r w:rsidR="00063B15">
        <w:t xml:space="preserve">Because of the noise, </w:t>
      </w:r>
      <w:r w:rsidR="00B00F19">
        <w:t xml:space="preserve">your mental paint </w:t>
      </w:r>
      <w:r w:rsidR="00B753F2">
        <w:t>might</w:t>
      </w:r>
      <w:r w:rsidR="00B00F19">
        <w:t xml:space="preserve"> introspectively seem to you to be different than it is. For example, </w:t>
      </w:r>
      <w:r w:rsidR="007E7AFC">
        <w:t xml:space="preserve">the </w:t>
      </w:r>
      <w:r w:rsidR="00B00F19">
        <w:t xml:space="preserve">burgundy* mental paint </w:t>
      </w:r>
      <w:r w:rsidR="007E7AFC">
        <w:t xml:space="preserve">you are enjoying </w:t>
      </w:r>
      <w:r w:rsidR="00B00F19">
        <w:t>might introspectively seem to you to be brown*</w:t>
      </w:r>
      <w:r w:rsidR="00EC462F">
        <w:t xml:space="preserve">. </w:t>
      </w:r>
      <w:r w:rsidR="00BE20B6">
        <w:t xml:space="preserve">However, it is difficult to make sense of such a situation. If it </w:t>
      </w:r>
      <w:r w:rsidR="00B753F2">
        <w:t xml:space="preserve">introspectively </w:t>
      </w:r>
      <w:r w:rsidR="00BE20B6">
        <w:t xml:space="preserve">seems to </w:t>
      </w:r>
      <w:r w:rsidR="00B753F2">
        <w:t xml:space="preserve">you </w:t>
      </w:r>
      <w:r w:rsidR="00BE20B6">
        <w:t xml:space="preserve">that </w:t>
      </w:r>
      <w:r w:rsidR="00B753F2">
        <w:t xml:space="preserve">your </w:t>
      </w:r>
      <w:r w:rsidR="00BE20B6">
        <w:t>experience ins</w:t>
      </w:r>
      <w:r w:rsidR="00EC462F">
        <w:t>t</w:t>
      </w:r>
      <w:r w:rsidR="00BE20B6">
        <w:t>antiates brown* mental paint</w:t>
      </w:r>
      <w:r w:rsidR="00B753F2">
        <w:t>—</w:t>
      </w:r>
      <w:r w:rsidR="00EC462F">
        <w:t xml:space="preserve">and </w:t>
      </w:r>
      <w:r w:rsidR="00E32E91">
        <w:t xml:space="preserve">hence </w:t>
      </w:r>
      <w:r w:rsidR="00EC462F">
        <w:t>brown* phenomenal character</w:t>
      </w:r>
      <w:r w:rsidR="00B753F2">
        <w:t>—</w:t>
      </w:r>
      <w:r w:rsidR="00BE20B6">
        <w:t xml:space="preserve">then </w:t>
      </w:r>
      <w:r w:rsidR="00905592">
        <w:t xml:space="preserve">it should seem to you, introspectively, that your experience represents </w:t>
      </w:r>
      <w:r w:rsidR="00BE20B6">
        <w:t xml:space="preserve">the backpack </w:t>
      </w:r>
      <w:r w:rsidR="000472FD">
        <w:t xml:space="preserve">as </w:t>
      </w:r>
      <w:r w:rsidR="00BE20B6">
        <w:t>brown. Yet</w:t>
      </w:r>
      <w:r w:rsidR="00F072A8">
        <w:t xml:space="preserve">, as we have explained, it </w:t>
      </w:r>
      <w:r w:rsidR="00BE20B6">
        <w:t>introspecti</w:t>
      </w:r>
      <w:r w:rsidR="00F072A8">
        <w:t>vely</w:t>
      </w:r>
      <w:r w:rsidR="00BE20B6">
        <w:t xml:space="preserve"> </w:t>
      </w:r>
      <w:r w:rsidR="00F072A8">
        <w:t xml:space="preserve">seems to you </w:t>
      </w:r>
      <w:r w:rsidR="00BE20B6">
        <w:t xml:space="preserve">that </w:t>
      </w:r>
      <w:r w:rsidR="00095698">
        <w:t xml:space="preserve">your experience represents </w:t>
      </w:r>
      <w:r w:rsidR="000472FD">
        <w:t xml:space="preserve">the backpack </w:t>
      </w:r>
      <w:r w:rsidR="00095698">
        <w:t>as</w:t>
      </w:r>
      <w:r w:rsidR="00BE20B6">
        <w:t xml:space="preserve"> burgundy</w:t>
      </w:r>
      <w:r w:rsidR="00B753F2">
        <w:t>!</w:t>
      </w:r>
      <w:r w:rsidR="00BE20B6">
        <w:t xml:space="preserve"> The situation looks</w:t>
      </w:r>
      <w:r w:rsidR="00EC462F">
        <w:t xml:space="preserve"> </w:t>
      </w:r>
      <w:r w:rsidR="00BE20B6">
        <w:t xml:space="preserve">incoherent. </w:t>
      </w:r>
      <w:r w:rsidR="002400DB">
        <w:t xml:space="preserve">Thus, the notion of HO sensory attention to mental paint appears </w:t>
      </w:r>
      <w:r w:rsidR="00A76BCF">
        <w:t>to have an incoherent consequence.</w:t>
      </w:r>
    </w:p>
    <w:p w14:paraId="749B0FE7" w14:textId="3FF1FCF9" w:rsidR="00332314" w:rsidRDefault="00B62321" w:rsidP="007264BE">
      <w:bookmarkStart w:id="19" w:name="_Hlk531775443"/>
      <w:r w:rsidRPr="006F249F">
        <w:t xml:space="preserve">This concludes the </w:t>
      </w:r>
      <w:r w:rsidR="00BD4146">
        <w:t>trilemma</w:t>
      </w:r>
      <w:r w:rsidR="00E47F35" w:rsidRPr="006F249F">
        <w:t xml:space="preserve"> </w:t>
      </w:r>
      <w:r w:rsidRPr="006F249F">
        <w:t xml:space="preserve">we present to the proponent of </w:t>
      </w:r>
      <w:bookmarkStart w:id="20" w:name="_Hlk15455729"/>
      <w:r w:rsidR="00A44D99">
        <w:t xml:space="preserve">the view that our attention is usually directed to the representational content of experience, yet </w:t>
      </w:r>
      <w:r w:rsidR="00560CF1">
        <w:t xml:space="preserve">that </w:t>
      </w:r>
      <w:r w:rsidR="00A44D99">
        <w:t xml:space="preserve">it is possible to direct it </w:t>
      </w:r>
      <w:r w:rsidRPr="006F249F">
        <w:t xml:space="preserve">to mental paint. </w:t>
      </w:r>
      <w:bookmarkEnd w:id="20"/>
      <w:r w:rsidR="003B1B47">
        <w:t>A</w:t>
      </w:r>
      <w:r w:rsidR="00E47F35">
        <w:t xml:space="preserve">ttention to mental paint is </w:t>
      </w:r>
      <w:r w:rsidR="003B1B47">
        <w:t xml:space="preserve">either </w:t>
      </w:r>
      <w:r w:rsidR="00E47F35">
        <w:t>first</w:t>
      </w:r>
      <w:r w:rsidR="00F54E34">
        <w:t>-</w:t>
      </w:r>
      <w:r w:rsidR="00E47F35">
        <w:t>order or second</w:t>
      </w:r>
      <w:r w:rsidR="00F54E34">
        <w:t>-</w:t>
      </w:r>
      <w:r w:rsidR="00E47F35">
        <w:t>order</w:t>
      </w:r>
      <w:r w:rsidR="00C11860">
        <w:t xml:space="preserve"> attention</w:t>
      </w:r>
      <w:r w:rsidR="00E47F35">
        <w:t xml:space="preserve">. </w:t>
      </w:r>
      <w:r w:rsidRPr="006F249F">
        <w:t xml:space="preserve">Neuroscience </w:t>
      </w:r>
      <w:r w:rsidR="00E47F35">
        <w:t xml:space="preserve">rules out the first option. </w:t>
      </w:r>
      <w:r w:rsidR="00BD4146">
        <w:t>The second option</w:t>
      </w:r>
      <w:r w:rsidR="00E47F35">
        <w:t xml:space="preserve"> includes high</w:t>
      </w:r>
      <w:r w:rsidR="002C5CB2">
        <w:t>er</w:t>
      </w:r>
      <w:r w:rsidR="00E47F35">
        <w:t>-order cognitive attention and high</w:t>
      </w:r>
      <w:r w:rsidR="002C5CB2">
        <w:t>er</w:t>
      </w:r>
      <w:r w:rsidR="00E47F35">
        <w:t xml:space="preserve">-order sensory attention. </w:t>
      </w:r>
      <w:r w:rsidR="00FE6724">
        <w:rPr>
          <w:rFonts w:hint="cs"/>
        </w:rPr>
        <w:t>H</w:t>
      </w:r>
      <w:r w:rsidR="00E47F35">
        <w:t>igh</w:t>
      </w:r>
      <w:r w:rsidR="002C5CB2">
        <w:t>er</w:t>
      </w:r>
      <w:r w:rsidR="00E47F35">
        <w:t xml:space="preserve">-order </w:t>
      </w:r>
      <w:r w:rsidRPr="00ED6EF8">
        <w:t>cognitive</w:t>
      </w:r>
      <w:r w:rsidRPr="006F249F">
        <w:t xml:space="preserve"> </w:t>
      </w:r>
      <w:r w:rsidR="00F92E09">
        <w:t xml:space="preserve">attention to mental paint (in the absence of </w:t>
      </w:r>
      <w:r w:rsidR="001333A6">
        <w:t xml:space="preserve">first-order </w:t>
      </w:r>
      <w:r w:rsidR="00F92E09">
        <w:t xml:space="preserve">sensory attention to it) </w:t>
      </w:r>
      <w:r w:rsidR="00F54E34">
        <w:t xml:space="preserve">apparently </w:t>
      </w:r>
      <w:r w:rsidR="00F92E09">
        <w:t xml:space="preserve">does not enable direct identification </w:t>
      </w:r>
      <w:r w:rsidR="005A6BCD">
        <w:t>there</w:t>
      </w:r>
      <w:r w:rsidR="00F92E09">
        <w:t xml:space="preserve">of. </w:t>
      </w:r>
      <w:r w:rsidR="00E47F35">
        <w:t>The notion of high</w:t>
      </w:r>
      <w:r w:rsidR="002C5CB2">
        <w:t>er</w:t>
      </w:r>
      <w:r w:rsidR="00E47F35">
        <w:t xml:space="preserve">-order sensory attention </w:t>
      </w:r>
      <w:r w:rsidR="00862756">
        <w:t>to mental paint has a</w:t>
      </w:r>
      <w:r w:rsidR="001333A6">
        <w:t xml:space="preserve">n </w:t>
      </w:r>
      <w:r w:rsidR="008C7219">
        <w:t xml:space="preserve">apparently incoherent </w:t>
      </w:r>
      <w:r w:rsidR="00E47F35">
        <w:t>prediction.</w:t>
      </w:r>
      <w:r w:rsidR="007A5EDC">
        <w:t xml:space="preserve"> </w:t>
      </w:r>
      <w:r w:rsidR="001456CB" w:rsidRPr="005E5A50">
        <w:t xml:space="preserve">Therefore, </w:t>
      </w:r>
      <w:r w:rsidR="00B84824">
        <w:t xml:space="preserve">via elimination we </w:t>
      </w:r>
      <w:r w:rsidR="00F54E34">
        <w:t xml:space="preserve">get </w:t>
      </w:r>
      <w:r w:rsidR="00B84824">
        <w:t xml:space="preserve">support for </w:t>
      </w:r>
      <w:r w:rsidR="001456CB">
        <w:t xml:space="preserve">the </w:t>
      </w:r>
      <w:r w:rsidR="001456CB" w:rsidRPr="00616C39">
        <w:rPr>
          <w:color w:val="000000" w:themeColor="text1"/>
        </w:rPr>
        <w:t xml:space="preserve">conclusion that we </w:t>
      </w:r>
      <w:r w:rsidR="00F54E34" w:rsidRPr="00616C39">
        <w:rPr>
          <w:color w:val="000000" w:themeColor="text1"/>
        </w:rPr>
        <w:t>can</w:t>
      </w:r>
      <w:r w:rsidR="00F54E34">
        <w:rPr>
          <w:color w:val="000000" w:themeColor="text1"/>
        </w:rPr>
        <w:t>no</w:t>
      </w:r>
      <w:r w:rsidR="00F54E34" w:rsidRPr="00616C39">
        <w:rPr>
          <w:color w:val="000000" w:themeColor="text1"/>
        </w:rPr>
        <w:t xml:space="preserve">t </w:t>
      </w:r>
      <w:r w:rsidR="001456CB" w:rsidRPr="00616C39">
        <w:rPr>
          <w:color w:val="000000" w:themeColor="text1"/>
        </w:rPr>
        <w:t xml:space="preserve">attend to mental paint in a sense that allows direct identification thereof; </w:t>
      </w:r>
      <w:r w:rsidR="001456CB">
        <w:t xml:space="preserve">in other words, </w:t>
      </w:r>
      <w:r w:rsidR="00F54E34">
        <w:t xml:space="preserve">we get </w:t>
      </w:r>
      <w:r w:rsidR="001456CB">
        <w:t>support</w:t>
      </w:r>
      <w:r w:rsidR="00F54E34">
        <w:t xml:space="preserve"> for</w:t>
      </w:r>
      <w:r w:rsidR="001456CB">
        <w:t xml:space="preserve"> </w:t>
      </w:r>
      <w:r w:rsidR="001456CB" w:rsidRPr="005E5A50">
        <w:t>transparency.</w:t>
      </w:r>
      <w:r w:rsidR="001456CB" w:rsidRPr="00E24BDD">
        <w:t xml:space="preserve"> </w:t>
      </w:r>
      <w:bookmarkEnd w:id="19"/>
    </w:p>
    <w:p w14:paraId="7BBE111E" w14:textId="0FF22A06" w:rsidR="00FD7BAC" w:rsidRPr="00FC0D90" w:rsidRDefault="007852F8" w:rsidP="002F4C91">
      <w:pPr>
        <w:pStyle w:val="ListParagraph"/>
        <w:numPr>
          <w:ilvl w:val="0"/>
          <w:numId w:val="1"/>
        </w:numPr>
        <w:rPr>
          <w:b/>
          <w:bCs/>
        </w:rPr>
      </w:pPr>
      <w:r w:rsidRPr="00FC0D90">
        <w:rPr>
          <w:b/>
          <w:bCs/>
        </w:rPr>
        <w:t>Alternative conceptions of attention</w:t>
      </w:r>
      <w:r w:rsidR="009E62B9" w:rsidRPr="00FC0D90">
        <w:rPr>
          <w:b/>
          <w:bCs/>
        </w:rPr>
        <w:t>?</w:t>
      </w:r>
    </w:p>
    <w:p w14:paraId="758CBDF6" w14:textId="17299097" w:rsidR="00F146EA" w:rsidRDefault="00F146EA" w:rsidP="001333A6">
      <w:pPr>
        <w:autoSpaceDE w:val="0"/>
        <w:autoSpaceDN w:val="0"/>
        <w:adjustRightInd w:val="0"/>
        <w:rPr>
          <w:rFonts w:cs="AdvOT1ef757c0"/>
        </w:rPr>
      </w:pPr>
      <w:r w:rsidRPr="007027EB">
        <w:t xml:space="preserve">Wu </w:t>
      </w:r>
      <w:r>
        <w:t xml:space="preserve">(2014) </w:t>
      </w:r>
      <w:r w:rsidRPr="007027EB">
        <w:t xml:space="preserve">claims that attention is selection </w:t>
      </w:r>
      <w:r w:rsidR="00203D0D">
        <w:t xml:space="preserve">(of a perceptual or cognitive state) </w:t>
      </w:r>
      <w:r w:rsidRPr="007027EB">
        <w:t xml:space="preserve">for action. On </w:t>
      </w:r>
      <w:proofErr w:type="spellStart"/>
      <w:r w:rsidRPr="007027EB">
        <w:t>Watzl</w:t>
      </w:r>
      <w:r>
        <w:t>’s</w:t>
      </w:r>
      <w:proofErr w:type="spellEnd"/>
      <w:r w:rsidRPr="007027EB">
        <w:t xml:space="preserve"> </w:t>
      </w:r>
      <w:r>
        <w:t xml:space="preserve">(2017) </w:t>
      </w:r>
      <w:r w:rsidRPr="007027EB">
        <w:t>view, “</w:t>
      </w:r>
      <w:r w:rsidRPr="007027EB">
        <w:rPr>
          <w:rFonts w:cs="AdvOT1ef757c0"/>
        </w:rPr>
        <w:t>attention organizes a subject</w:t>
      </w:r>
      <w:r w:rsidRPr="007027EB">
        <w:rPr>
          <w:rFonts w:cs="AdvOT1ef757c0+20"/>
        </w:rPr>
        <w:t>’</w:t>
      </w:r>
      <w:r w:rsidRPr="007027EB">
        <w:rPr>
          <w:rFonts w:cs="AdvOT1ef757c0"/>
        </w:rPr>
        <w:t xml:space="preserve">s mental life so that some of its aspects are prioritized relative to others” (p. 72). On Mole’s </w:t>
      </w:r>
      <w:r>
        <w:rPr>
          <w:rFonts w:cs="AdvOT1ef757c0"/>
        </w:rPr>
        <w:t xml:space="preserve">(2011) </w:t>
      </w:r>
      <w:r w:rsidRPr="007027EB">
        <w:rPr>
          <w:rFonts w:cs="AdvOT1ef757c0"/>
        </w:rPr>
        <w:t>view</w:t>
      </w:r>
      <w:r>
        <w:rPr>
          <w:rFonts w:cs="AdvOT1ef757c0"/>
        </w:rPr>
        <w:t>,</w:t>
      </w:r>
      <w:r w:rsidRPr="007027EB">
        <w:rPr>
          <w:rFonts w:cs="AdvOT1ef757c0"/>
        </w:rPr>
        <w:t xml:space="preserve"> attention is “cognitive unison</w:t>
      </w:r>
      <w:r w:rsidR="00391884">
        <w:rPr>
          <w:rFonts w:cs="AdvOT1ef757c0"/>
        </w:rPr>
        <w:t>:</w:t>
      </w:r>
      <w:r w:rsidRPr="007027EB">
        <w:rPr>
          <w:rFonts w:cs="AdvOT1ef757c0"/>
        </w:rPr>
        <w:t xml:space="preserve">” it occurs (roughly) </w:t>
      </w:r>
      <w:r w:rsidRPr="007027EB">
        <w:rPr>
          <w:rFonts w:cs="AdvOT1ef757c0"/>
        </w:rPr>
        <w:lastRenderedPageBreak/>
        <w:t>when cognitive processes that could serve some action are not busy serving a different action</w:t>
      </w:r>
      <w:r>
        <w:rPr>
          <w:rFonts w:cs="AdvOT1ef757c0"/>
        </w:rPr>
        <w:t>—in this case the action is performed attentively</w:t>
      </w:r>
      <w:r w:rsidRPr="007027EB">
        <w:rPr>
          <w:rFonts w:cs="AdvOT1ef757c0"/>
        </w:rPr>
        <w:t xml:space="preserve">. All these views are </w:t>
      </w:r>
      <w:r w:rsidR="00E628A7">
        <w:rPr>
          <w:rFonts w:cs="AdvOT1ef757c0"/>
        </w:rPr>
        <w:t xml:space="preserve">abstract </w:t>
      </w:r>
      <w:r w:rsidRPr="007027EB">
        <w:rPr>
          <w:rFonts w:cs="AdvOT1ef757c0"/>
        </w:rPr>
        <w:t xml:space="preserve">– the philosophers in question abstract away from the specific neuroscientific details to create a </w:t>
      </w:r>
      <w:r w:rsidR="00F20631">
        <w:rPr>
          <w:rFonts w:cs="AdvOT1ef757c0"/>
        </w:rPr>
        <w:t>broad</w:t>
      </w:r>
      <w:r>
        <w:rPr>
          <w:rFonts w:cs="AdvOT1ef757c0"/>
        </w:rPr>
        <w:t xml:space="preserve"> </w:t>
      </w:r>
      <w:r w:rsidRPr="007027EB">
        <w:rPr>
          <w:rFonts w:cs="AdvOT1ef757c0"/>
        </w:rPr>
        <w:t>personal-level picture of attention.</w:t>
      </w:r>
    </w:p>
    <w:p w14:paraId="33607590" w14:textId="58C6EF8E" w:rsidR="00F146EA" w:rsidRDefault="00980141" w:rsidP="00685F8F">
      <w:pPr>
        <w:autoSpaceDE w:val="0"/>
        <w:autoSpaceDN w:val="0"/>
        <w:adjustRightInd w:val="0"/>
        <w:rPr>
          <w:rFonts w:cs="AdvOT1ef757c0"/>
        </w:rPr>
      </w:pPr>
      <w:r>
        <w:rPr>
          <w:rFonts w:cs="AdvOT1ef757c0"/>
        </w:rPr>
        <w:t>B</w:t>
      </w:r>
      <w:r w:rsidR="00F146EA">
        <w:rPr>
          <w:rFonts w:cs="AdvOT1ef757c0"/>
        </w:rPr>
        <w:t xml:space="preserve">ecause these conceptions of attention are </w:t>
      </w:r>
      <w:r w:rsidR="00E628A7">
        <w:rPr>
          <w:rFonts w:cs="Arial"/>
        </w:rPr>
        <w:t>abstract</w:t>
      </w:r>
      <w:r w:rsidR="00F146EA">
        <w:rPr>
          <w:rFonts w:cs="AdvOT1ef757c0"/>
        </w:rPr>
        <w:t xml:space="preserve">, they don't undermine our </w:t>
      </w:r>
      <w:r w:rsidR="005725C4">
        <w:rPr>
          <w:rFonts w:cs="AdvOT1ef757c0"/>
        </w:rPr>
        <w:t>trilemma</w:t>
      </w:r>
      <w:r w:rsidR="00F146EA">
        <w:rPr>
          <w:rFonts w:cs="AdvOT1ef757c0"/>
        </w:rPr>
        <w:t>.</w:t>
      </w:r>
      <w:r w:rsidR="00182219">
        <w:rPr>
          <w:rFonts w:cs="AdvOT1ef757c0" w:hint="cs"/>
          <w:rtl/>
        </w:rPr>
        <w:t xml:space="preserve"> </w:t>
      </w:r>
      <w:r w:rsidR="00016001">
        <w:rPr>
          <w:rFonts w:cs="AdvOT1ef757c0" w:hint="cs"/>
        </w:rPr>
        <w:t>F</w:t>
      </w:r>
      <w:r w:rsidR="00016001">
        <w:rPr>
          <w:rFonts w:cs="Arial"/>
        </w:rPr>
        <w:t xml:space="preserve">or, </w:t>
      </w:r>
      <w:r w:rsidR="00182219">
        <w:rPr>
          <w:rFonts w:cs="Arial"/>
        </w:rPr>
        <w:t xml:space="preserve">our </w:t>
      </w:r>
      <w:r w:rsidR="005725C4">
        <w:rPr>
          <w:rFonts w:cs="Arial"/>
        </w:rPr>
        <w:t>tri</w:t>
      </w:r>
      <w:r w:rsidR="00182219">
        <w:rPr>
          <w:rFonts w:cs="Arial"/>
        </w:rPr>
        <w:t xml:space="preserve">lemma concerns accounts of attention that are </w:t>
      </w:r>
      <w:r w:rsidR="001B7BA3">
        <w:rPr>
          <w:rFonts w:cs="Arial"/>
        </w:rPr>
        <w:t>“</w:t>
      </w:r>
      <w:r w:rsidR="00182219">
        <w:rPr>
          <w:rFonts w:cs="Arial"/>
        </w:rPr>
        <w:t>one level</w:t>
      </w:r>
      <w:r w:rsidR="001B7BA3">
        <w:rPr>
          <w:rFonts w:cs="Arial"/>
        </w:rPr>
        <w:t xml:space="preserve"> </w:t>
      </w:r>
      <w:r w:rsidR="00182219">
        <w:rPr>
          <w:rFonts w:cs="Arial"/>
        </w:rPr>
        <w:t>down</w:t>
      </w:r>
      <w:r w:rsidR="001B7BA3">
        <w:rPr>
          <w:rFonts w:cs="Arial"/>
        </w:rPr>
        <w:t>”</w:t>
      </w:r>
      <w:r w:rsidR="00182219">
        <w:rPr>
          <w:rFonts w:cs="Arial"/>
        </w:rPr>
        <w:t xml:space="preserve"> from these conceptions.</w:t>
      </w:r>
      <w:r w:rsidR="00F146EA">
        <w:rPr>
          <w:rFonts w:cs="AdvOT1ef757c0"/>
        </w:rPr>
        <w:t xml:space="preserve"> </w:t>
      </w:r>
      <w:r w:rsidR="00F146EA" w:rsidRPr="007027EB">
        <w:rPr>
          <w:rFonts w:cs="AdvOT1ef757c0"/>
        </w:rPr>
        <w:t xml:space="preserve">For example, on Wu’s view, to attend to mental paint </w:t>
      </w:r>
      <w:r w:rsidR="00F146EA">
        <w:rPr>
          <w:rFonts w:cs="AdvOT1ef757c0"/>
        </w:rPr>
        <w:t>would be</w:t>
      </w:r>
      <w:r w:rsidR="00F146EA" w:rsidRPr="007027EB">
        <w:rPr>
          <w:rFonts w:cs="AdvOT1ef757c0"/>
        </w:rPr>
        <w:t xml:space="preserve"> to select it for action, where the action is (say) reporting on it. This approach does not tell us </w:t>
      </w:r>
      <w:r w:rsidR="00F146EA" w:rsidRPr="007027EB">
        <w:rPr>
          <w:rFonts w:cs="AdvOT1ef757c0"/>
          <w:i/>
          <w:iCs/>
        </w:rPr>
        <w:t>how</w:t>
      </w:r>
      <w:r w:rsidR="00F146EA" w:rsidRPr="007027EB">
        <w:rPr>
          <w:rFonts w:cs="AdvOT1ef757c0"/>
        </w:rPr>
        <w:t xml:space="preserve"> mental paint is selected</w:t>
      </w:r>
      <w:r w:rsidR="00F146EA">
        <w:rPr>
          <w:rFonts w:cs="AdvOT1ef757c0"/>
        </w:rPr>
        <w:t>:</w:t>
      </w:r>
      <w:r w:rsidR="00F146EA" w:rsidRPr="007027EB">
        <w:rPr>
          <w:rFonts w:cs="AdvOT1ef757c0"/>
        </w:rPr>
        <w:t xml:space="preserve"> it could be done via </w:t>
      </w:r>
      <w:r w:rsidR="005725C4">
        <w:rPr>
          <w:rFonts w:cs="AdvOT1ef757c0"/>
        </w:rPr>
        <w:t>(</w:t>
      </w:r>
      <w:r w:rsidR="00362D93">
        <w:rPr>
          <w:rFonts w:cs="AdvOT1ef757c0"/>
        </w:rPr>
        <w:t>FO or HO</w:t>
      </w:r>
      <w:r w:rsidR="005725C4">
        <w:rPr>
          <w:rFonts w:cs="AdvOT1ef757c0"/>
        </w:rPr>
        <w:t xml:space="preserve">) </w:t>
      </w:r>
      <w:r w:rsidR="00F146EA" w:rsidRPr="007027EB">
        <w:rPr>
          <w:rFonts w:cs="AdvOT1ef757c0"/>
        </w:rPr>
        <w:t xml:space="preserve">sensory attention or by </w:t>
      </w:r>
      <w:r w:rsidR="00362D93">
        <w:rPr>
          <w:rFonts w:cs="AdvOT1ef757c0"/>
        </w:rPr>
        <w:t xml:space="preserve">(HO) </w:t>
      </w:r>
      <w:r w:rsidR="00F146EA" w:rsidRPr="007027EB">
        <w:rPr>
          <w:rFonts w:cs="AdvOT1ef757c0"/>
        </w:rPr>
        <w:t xml:space="preserve">cognitive attention. On </w:t>
      </w:r>
      <w:proofErr w:type="spellStart"/>
      <w:r w:rsidR="00F146EA" w:rsidRPr="007027EB">
        <w:rPr>
          <w:rFonts w:cs="AdvOT1ef757c0"/>
        </w:rPr>
        <w:t>Watzl’s</w:t>
      </w:r>
      <w:proofErr w:type="spellEnd"/>
      <w:r w:rsidR="00F146EA" w:rsidRPr="007027EB">
        <w:rPr>
          <w:rFonts w:cs="AdvOT1ef757c0"/>
        </w:rPr>
        <w:t xml:space="preserve"> view, to attend to mental paint </w:t>
      </w:r>
      <w:r w:rsidR="00F146EA">
        <w:rPr>
          <w:rFonts w:cs="AdvOT1ef757c0"/>
        </w:rPr>
        <w:t>would be</w:t>
      </w:r>
      <w:r w:rsidR="00F146EA" w:rsidRPr="007027EB">
        <w:rPr>
          <w:rFonts w:cs="AdvOT1ef757c0"/>
        </w:rPr>
        <w:t xml:space="preserve"> to prioritize it relative to other mental items. But how? Again, it could be via </w:t>
      </w:r>
      <w:r w:rsidR="005725C4">
        <w:rPr>
          <w:rFonts w:cs="AdvOT1ef757c0"/>
        </w:rPr>
        <w:t>(</w:t>
      </w:r>
      <w:r w:rsidR="00362D93">
        <w:rPr>
          <w:rFonts w:cs="AdvOT1ef757c0"/>
        </w:rPr>
        <w:t>FO or HO</w:t>
      </w:r>
      <w:r w:rsidR="005725C4">
        <w:rPr>
          <w:rFonts w:cs="AdvOT1ef757c0"/>
        </w:rPr>
        <w:t xml:space="preserve">) </w:t>
      </w:r>
      <w:r w:rsidR="00F146EA" w:rsidRPr="007027EB">
        <w:rPr>
          <w:rFonts w:cs="AdvOT1ef757c0"/>
        </w:rPr>
        <w:t xml:space="preserve">sensory attention or </w:t>
      </w:r>
      <w:r w:rsidR="00362D93">
        <w:rPr>
          <w:rFonts w:cs="AdvOT1ef757c0"/>
        </w:rPr>
        <w:t xml:space="preserve">(HO) </w:t>
      </w:r>
      <w:r w:rsidR="00F146EA" w:rsidRPr="007027EB">
        <w:rPr>
          <w:rFonts w:cs="AdvOT1ef757c0"/>
        </w:rPr>
        <w:t xml:space="preserve">cognitive attention. On Mole’s view, to attend to mental paint </w:t>
      </w:r>
      <w:r w:rsidR="00F146EA">
        <w:rPr>
          <w:rFonts w:cs="AdvOT1ef757c0"/>
        </w:rPr>
        <w:t xml:space="preserve">would be </w:t>
      </w:r>
      <w:r w:rsidR="00F146EA" w:rsidRPr="007027EB">
        <w:rPr>
          <w:rFonts w:cs="AdvOT1ef757c0"/>
        </w:rPr>
        <w:t xml:space="preserve">to perform an action related to mental paint, e.g., reporting it, while the cognitive processes that could serve it are not busy serving a different action. But which processes allow us to report on mental paint? Do they involve </w:t>
      </w:r>
      <w:r w:rsidR="00391884">
        <w:rPr>
          <w:rFonts w:cs="AdvOT1ef757c0"/>
        </w:rPr>
        <w:t xml:space="preserve">what we have called </w:t>
      </w:r>
      <w:r w:rsidR="005725C4">
        <w:rPr>
          <w:rFonts w:cs="AdvOT1ef757c0"/>
        </w:rPr>
        <w:t>(</w:t>
      </w:r>
      <w:r w:rsidR="00362D93">
        <w:rPr>
          <w:rFonts w:cs="AdvOT1ef757c0"/>
        </w:rPr>
        <w:t>FO or HO</w:t>
      </w:r>
      <w:r w:rsidR="005725C4">
        <w:rPr>
          <w:rFonts w:cs="AdvOT1ef757c0"/>
        </w:rPr>
        <w:t xml:space="preserve">) </w:t>
      </w:r>
      <w:r w:rsidR="00F146EA" w:rsidRPr="007027EB">
        <w:rPr>
          <w:rFonts w:cs="AdvOT1ef757c0"/>
        </w:rPr>
        <w:t xml:space="preserve">sensory attention or </w:t>
      </w:r>
      <w:r w:rsidR="00362D93">
        <w:rPr>
          <w:rFonts w:cs="AdvOT1ef757c0"/>
        </w:rPr>
        <w:t xml:space="preserve">(HO) </w:t>
      </w:r>
      <w:r w:rsidR="00F146EA" w:rsidRPr="007027EB">
        <w:rPr>
          <w:rFonts w:cs="AdvOT1ef757c0"/>
        </w:rPr>
        <w:t>cognitive attention</w:t>
      </w:r>
      <w:r w:rsidR="00D24C20">
        <w:rPr>
          <w:rFonts w:cs="AdvOT1ef757c0"/>
        </w:rPr>
        <w:t>?</w:t>
      </w:r>
      <w:r w:rsidR="00F146EA" w:rsidRPr="007027EB">
        <w:rPr>
          <w:rFonts w:cs="AdvOT1ef757c0"/>
        </w:rPr>
        <w:t xml:space="preserve"> This question is left open by Mole’s view.</w:t>
      </w:r>
      <w:r w:rsidR="00182219">
        <w:rPr>
          <w:rFonts w:cs="AdvOT1ef757c0"/>
        </w:rPr>
        <w:t xml:space="preserve"> </w:t>
      </w:r>
    </w:p>
    <w:p w14:paraId="0457A065" w14:textId="723A1D16" w:rsidR="00182219" w:rsidRDefault="00182219" w:rsidP="00362D93">
      <w:pPr>
        <w:autoSpaceDE w:val="0"/>
        <w:autoSpaceDN w:val="0"/>
        <w:adjustRightInd w:val="0"/>
        <w:rPr>
          <w:rFonts w:cs="AdvOT1ef757c0"/>
        </w:rPr>
      </w:pPr>
      <w:r>
        <w:rPr>
          <w:rFonts w:cs="AdvOT1ef757c0"/>
        </w:rPr>
        <w:t xml:space="preserve">Put differently, </w:t>
      </w:r>
      <w:r w:rsidR="00016001">
        <w:rPr>
          <w:rFonts w:cs="AdvOT1ef757c0"/>
        </w:rPr>
        <w:t>t</w:t>
      </w:r>
      <w:r>
        <w:rPr>
          <w:rFonts w:cs="AdvOT1ef757c0"/>
        </w:rPr>
        <w:t xml:space="preserve">o determine </w:t>
      </w:r>
      <w:r w:rsidRPr="00016001">
        <w:rPr>
          <w:rFonts w:cs="AdvOT1ef757c0"/>
          <w:i/>
          <w:iCs/>
        </w:rPr>
        <w:t xml:space="preserve">whether </w:t>
      </w:r>
      <w:r w:rsidRPr="00EC1CE6">
        <w:rPr>
          <w:rFonts w:cs="AdvOT1ef757c0"/>
        </w:rPr>
        <w:t>we can</w:t>
      </w:r>
      <w:r>
        <w:rPr>
          <w:rFonts w:cs="AdvOT1ef757c0"/>
        </w:rPr>
        <w:t xml:space="preserve"> attend to mental paint in </w:t>
      </w:r>
      <w:r w:rsidR="00016001">
        <w:rPr>
          <w:rFonts w:cs="AdvOT1ef757c0"/>
        </w:rPr>
        <w:t xml:space="preserve">Wu, </w:t>
      </w:r>
      <w:proofErr w:type="spellStart"/>
      <w:r w:rsidR="00016001">
        <w:rPr>
          <w:rFonts w:cs="AdvOT1ef757c0"/>
        </w:rPr>
        <w:t>Watzl</w:t>
      </w:r>
      <w:proofErr w:type="spellEnd"/>
      <w:r w:rsidR="00016001">
        <w:rPr>
          <w:rFonts w:cs="AdvOT1ef757c0"/>
        </w:rPr>
        <w:t xml:space="preserve">, or Mole’s </w:t>
      </w:r>
      <w:r>
        <w:rPr>
          <w:rFonts w:cs="AdvOT1ef757c0"/>
        </w:rPr>
        <w:t xml:space="preserve">senses, we need to look one level down, namely at </w:t>
      </w:r>
      <w:r w:rsidR="00EE3EF0">
        <w:rPr>
          <w:rFonts w:cs="AdvOT1ef757c0"/>
        </w:rPr>
        <w:t>(</w:t>
      </w:r>
      <w:r w:rsidR="00362D93">
        <w:rPr>
          <w:rFonts w:cs="AdvOT1ef757c0"/>
        </w:rPr>
        <w:t>FO and HO</w:t>
      </w:r>
      <w:r w:rsidR="00EE3EF0">
        <w:rPr>
          <w:rFonts w:cs="AdvOT1ef757c0"/>
        </w:rPr>
        <w:t xml:space="preserve">) </w:t>
      </w:r>
      <w:r>
        <w:rPr>
          <w:rFonts w:cs="AdvOT1ef757c0"/>
        </w:rPr>
        <w:t xml:space="preserve">sensory and </w:t>
      </w:r>
      <w:r w:rsidR="00362D93">
        <w:rPr>
          <w:rFonts w:cs="AdvOT1ef757c0"/>
        </w:rPr>
        <w:t xml:space="preserve">(HO) </w:t>
      </w:r>
      <w:r>
        <w:rPr>
          <w:rFonts w:cs="AdvOT1ef757c0"/>
        </w:rPr>
        <w:t xml:space="preserve">cognitive attention, </w:t>
      </w:r>
      <w:r w:rsidR="00EE3EF0">
        <w:rPr>
          <w:rFonts w:cs="AdvOT1ef757c0"/>
        </w:rPr>
        <w:t xml:space="preserve">which seems to cover the logical space of possible accounts (on that level), and </w:t>
      </w:r>
      <w:r w:rsidR="00016001">
        <w:rPr>
          <w:rFonts w:cs="AdvOT1ef757c0"/>
        </w:rPr>
        <w:t xml:space="preserve">which leads to the problems we surveyed in sections </w:t>
      </w:r>
      <w:r w:rsidR="00DA1BBA">
        <w:rPr>
          <w:rFonts w:cs="AdvOT1ef757c0"/>
        </w:rPr>
        <w:t xml:space="preserve">2 </w:t>
      </w:r>
      <w:r w:rsidR="00016001">
        <w:rPr>
          <w:rFonts w:cs="AdvOT1ef757c0"/>
        </w:rPr>
        <w:t xml:space="preserve">and </w:t>
      </w:r>
      <w:r w:rsidR="00DA1BBA">
        <w:rPr>
          <w:rFonts w:cs="AdvOT1ef757c0"/>
        </w:rPr>
        <w:t>3</w:t>
      </w:r>
      <w:r w:rsidR="00016001">
        <w:rPr>
          <w:rFonts w:cs="AdvOT1ef757c0"/>
        </w:rPr>
        <w:t xml:space="preserve">. To avoid these problems, one needs to suggest a </w:t>
      </w:r>
      <w:r w:rsidR="001B7BA3">
        <w:rPr>
          <w:rFonts w:cs="AdvOT1ef757c0"/>
        </w:rPr>
        <w:t xml:space="preserve">third </w:t>
      </w:r>
      <w:r w:rsidR="00016001">
        <w:rPr>
          <w:rFonts w:cs="AdvOT1ef757c0"/>
        </w:rPr>
        <w:t xml:space="preserve">sense of attention </w:t>
      </w:r>
      <w:r w:rsidR="00016001" w:rsidRPr="00B84824">
        <w:rPr>
          <w:rFonts w:cs="AdvOT1ef757c0"/>
          <w:i/>
          <w:iCs/>
        </w:rPr>
        <w:t>on the same level</w:t>
      </w:r>
      <w:r w:rsidR="00016001">
        <w:rPr>
          <w:rFonts w:cs="AdvOT1ef757c0"/>
        </w:rPr>
        <w:t xml:space="preserve"> as sensory and cognitive attention.</w:t>
      </w:r>
      <w:r w:rsidR="00362D93">
        <w:rPr>
          <w:rFonts w:cs="AdvOT1ef757c0"/>
        </w:rPr>
        <w:t xml:space="preserve"> In other words, one needs to show that, contrary to appearance, the options we have surveyed do not exhaust the logical space of possible views on that level.</w:t>
      </w:r>
    </w:p>
    <w:p w14:paraId="75BE279F" w14:textId="08D04983" w:rsidR="008E1ADC" w:rsidRDefault="00693439" w:rsidP="00722CF1">
      <w:r>
        <w:rPr>
          <w:rFonts w:cs="AdvOT1ef757c0"/>
        </w:rPr>
        <w:t>Note that similar considerations apply to the notion of recognitional phenomenal concept</w:t>
      </w:r>
      <w:r w:rsidR="00980141">
        <w:rPr>
          <w:rFonts w:cs="AdvOT1ef757c0"/>
        </w:rPr>
        <w:t>s</w:t>
      </w:r>
      <w:r w:rsidR="00224398">
        <w:rPr>
          <w:rFonts w:cs="AdvOT1ef757c0"/>
        </w:rPr>
        <w:t xml:space="preserve"> directed at mental paint (Loar 2003)</w:t>
      </w:r>
      <w:r>
        <w:rPr>
          <w:rFonts w:cs="AdvOT1ef757c0"/>
        </w:rPr>
        <w:t xml:space="preserve">. </w:t>
      </w:r>
      <w:r w:rsidR="008C7219">
        <w:rPr>
          <w:rFonts w:cs="AdvOT1ef757c0"/>
        </w:rPr>
        <w:t xml:space="preserve">Such concepts (if they exist) are </w:t>
      </w:r>
      <w:r>
        <w:t xml:space="preserve">constituted by </w:t>
      </w:r>
      <w:r w:rsidR="008C7219">
        <w:t xml:space="preserve">an </w:t>
      </w:r>
      <w:r>
        <w:t>ability to directly recognize (identify) mental paint in introspection</w:t>
      </w:r>
      <w:r w:rsidR="003E226C">
        <w:t>, which is based on attending to mental paint. T</w:t>
      </w:r>
      <w:r>
        <w:t xml:space="preserve">his characterization of recognitional phenomenal concepts appeals to attention in an abstract way: it is not specified whether the attention </w:t>
      </w:r>
      <w:r w:rsidR="008C7219">
        <w:t xml:space="preserve">in question </w:t>
      </w:r>
      <w:r>
        <w:t xml:space="preserve">is </w:t>
      </w:r>
      <w:r w:rsidR="009D4BAF">
        <w:t xml:space="preserve">FO </w:t>
      </w:r>
      <w:r>
        <w:t xml:space="preserve">sensory, </w:t>
      </w:r>
      <w:r w:rsidR="009D4BAF">
        <w:t xml:space="preserve">HO </w:t>
      </w:r>
      <w:r>
        <w:t xml:space="preserve">sensory, or </w:t>
      </w:r>
      <w:r w:rsidR="009D4BAF">
        <w:t xml:space="preserve">HO </w:t>
      </w:r>
      <w:r>
        <w:t xml:space="preserve">cognitive. Thus, </w:t>
      </w:r>
      <w:r w:rsidR="008C7219">
        <w:t xml:space="preserve">the notion of a recognitional phenomenal concept does not offer </w:t>
      </w:r>
      <w:r>
        <w:t xml:space="preserve">a third conception of attention that could undermine our trilemma. </w:t>
      </w:r>
      <w:r w:rsidR="008F77BF">
        <w:t xml:space="preserve"> </w:t>
      </w:r>
    </w:p>
    <w:p w14:paraId="6A4471D9" w14:textId="77777777" w:rsidR="00B521EC" w:rsidRPr="00FC0D90" w:rsidRDefault="00B521EC" w:rsidP="002F4C91">
      <w:pPr>
        <w:pStyle w:val="ListParagraph"/>
        <w:numPr>
          <w:ilvl w:val="0"/>
          <w:numId w:val="1"/>
        </w:numPr>
        <w:autoSpaceDE w:val="0"/>
        <w:autoSpaceDN w:val="0"/>
        <w:adjustRightInd w:val="0"/>
        <w:rPr>
          <w:b/>
          <w:bCs/>
        </w:rPr>
      </w:pPr>
      <w:r w:rsidRPr="00FC0D90">
        <w:rPr>
          <w:b/>
          <w:bCs/>
        </w:rPr>
        <w:t>Conclusion</w:t>
      </w:r>
    </w:p>
    <w:p w14:paraId="5ED0727D" w14:textId="72CA5658" w:rsidR="00112AEF" w:rsidRPr="00112AEF" w:rsidRDefault="00BD4146" w:rsidP="0025353E">
      <w:r>
        <w:t xml:space="preserve">We have </w:t>
      </w:r>
      <w:r w:rsidR="00112AEF" w:rsidRPr="003337E7">
        <w:t>argue</w:t>
      </w:r>
      <w:r>
        <w:t>d</w:t>
      </w:r>
      <w:r w:rsidR="00112AEF" w:rsidRPr="003337E7">
        <w:t xml:space="preserve"> that t</w:t>
      </w:r>
      <w:r w:rsidR="00B521EC" w:rsidRPr="003337E7">
        <w:t xml:space="preserve">he </w:t>
      </w:r>
      <w:r w:rsidR="00A03895" w:rsidRPr="003337E7">
        <w:t>neuro</w:t>
      </w:r>
      <w:r w:rsidR="00B521EC" w:rsidRPr="003337E7">
        <w:t xml:space="preserve">scientific </w:t>
      </w:r>
      <w:r w:rsidR="003B35BE">
        <w:t>account</w:t>
      </w:r>
      <w:r w:rsidR="003B35BE" w:rsidRPr="003337E7">
        <w:t xml:space="preserve">s </w:t>
      </w:r>
      <w:r w:rsidR="00B521EC" w:rsidRPr="003337E7">
        <w:t xml:space="preserve">of </w:t>
      </w:r>
      <w:r w:rsidR="00112AEF" w:rsidRPr="003337E7">
        <w:t xml:space="preserve">sensory </w:t>
      </w:r>
      <w:r w:rsidR="00B521EC" w:rsidRPr="003337E7">
        <w:t xml:space="preserve">attention </w:t>
      </w:r>
      <w:r w:rsidR="00A03895" w:rsidRPr="003337E7">
        <w:t>are</w:t>
      </w:r>
      <w:r w:rsidR="007F7DD4" w:rsidRPr="003337E7">
        <w:t xml:space="preserve"> incompatible with </w:t>
      </w:r>
      <w:r>
        <w:t xml:space="preserve">first-order </w:t>
      </w:r>
      <w:r w:rsidR="00112AEF" w:rsidRPr="003337E7">
        <w:t xml:space="preserve">sensory </w:t>
      </w:r>
      <w:r w:rsidR="00B338B5" w:rsidRPr="003337E7">
        <w:t xml:space="preserve">attention </w:t>
      </w:r>
      <w:r w:rsidR="00B521EC" w:rsidRPr="003337E7">
        <w:t>to men</w:t>
      </w:r>
      <w:r w:rsidR="00B338B5" w:rsidRPr="003337E7">
        <w:t>t</w:t>
      </w:r>
      <w:r w:rsidR="00B521EC" w:rsidRPr="003337E7">
        <w:t xml:space="preserve">al paint (Section </w:t>
      </w:r>
      <w:r w:rsidR="00DA1BBA">
        <w:t>2</w:t>
      </w:r>
      <w:r w:rsidR="00B521EC" w:rsidRPr="003337E7">
        <w:t>)</w:t>
      </w:r>
      <w:r w:rsidR="007C48BF" w:rsidRPr="003337E7">
        <w:t>.</w:t>
      </w:r>
      <w:r w:rsidR="00112AEF" w:rsidRPr="003337E7">
        <w:t xml:space="preserve"> We further argued that</w:t>
      </w:r>
      <w:r w:rsidR="00FE6724">
        <w:rPr>
          <w:rFonts w:hint="cs"/>
          <w:rtl/>
        </w:rPr>
        <w:t xml:space="preserve"> </w:t>
      </w:r>
      <w:r w:rsidR="007C48BF" w:rsidRPr="003337E7">
        <w:t>cognitive atten</w:t>
      </w:r>
      <w:r w:rsidR="00FE6724">
        <w:t>tion</w:t>
      </w:r>
      <w:r w:rsidR="007C48BF" w:rsidRPr="003337E7">
        <w:t xml:space="preserve"> to mental paint</w:t>
      </w:r>
      <w:r>
        <w:t xml:space="preserve"> (in a high</w:t>
      </w:r>
      <w:r w:rsidR="002C5CB2">
        <w:t>er</w:t>
      </w:r>
      <w:r>
        <w:t>-order manner)</w:t>
      </w:r>
      <w:r w:rsidR="003337E7">
        <w:t xml:space="preserve"> is too weak to enable direct identification of mental paint</w:t>
      </w:r>
      <w:r w:rsidR="00F92E09">
        <w:t xml:space="preserve"> (in the absence of </w:t>
      </w:r>
      <w:r>
        <w:t xml:space="preserve">first-order </w:t>
      </w:r>
      <w:r w:rsidR="00F92E09">
        <w:t>sensory attention to mental paint)</w:t>
      </w:r>
      <w:r w:rsidR="003337E7">
        <w:t xml:space="preserve">, </w:t>
      </w:r>
      <w:r w:rsidR="00F92E09">
        <w:t xml:space="preserve">and hence it </w:t>
      </w:r>
      <w:r w:rsidR="00717557">
        <w:t xml:space="preserve">is irrelevant to </w:t>
      </w:r>
      <w:r w:rsidR="00F92E09">
        <w:t xml:space="preserve">transparency </w:t>
      </w:r>
      <w:r w:rsidR="00112AEF" w:rsidRPr="003337E7">
        <w:t xml:space="preserve">(Section </w:t>
      </w:r>
      <w:r w:rsidR="00DA1BBA">
        <w:t>3</w:t>
      </w:r>
      <w:r>
        <w:t>.1</w:t>
      </w:r>
      <w:r w:rsidR="00112AEF" w:rsidRPr="003337E7">
        <w:t xml:space="preserve">). </w:t>
      </w:r>
      <w:r>
        <w:t>We then showed that the notion of high</w:t>
      </w:r>
      <w:r w:rsidR="002C5CB2">
        <w:t>er</w:t>
      </w:r>
      <w:r>
        <w:t xml:space="preserve">-order sensory attention to mental paint has </w:t>
      </w:r>
      <w:r w:rsidR="00A75817">
        <w:t>a</w:t>
      </w:r>
      <w:r w:rsidR="00D05776">
        <w:t xml:space="preserve">n </w:t>
      </w:r>
      <w:r w:rsidR="007B7547">
        <w:t xml:space="preserve">apparently incoherent </w:t>
      </w:r>
      <w:r>
        <w:t xml:space="preserve">implication (Section </w:t>
      </w:r>
      <w:r w:rsidR="00DA1BBA">
        <w:t>3</w:t>
      </w:r>
      <w:r>
        <w:t xml:space="preserve">.2). </w:t>
      </w:r>
      <w:r w:rsidR="0025353E">
        <w:t xml:space="preserve">These conceptions of attention, namely first-order sensory, higher-order sensory, and higher-order cognitive, appear to exhaust the space of possible accounts of attention to mental paint. This amounts to an argument by elimination </w:t>
      </w:r>
      <w:r w:rsidR="009F0C6C">
        <w:t>against the Block-Kind-Loar commitment to attentional shifts between the representational content of experience and mental paint</w:t>
      </w:r>
      <w:r w:rsidR="00CE1466">
        <w:t xml:space="preserve"> (in a sense of “attention” that is relevant to transparency)</w:t>
      </w:r>
      <w:r w:rsidR="009F0C6C">
        <w:t>. The impossibility of such attentional shifts, combined with the assumption that our attention is usually directed at the representational content of experience</w:t>
      </w:r>
      <w:r w:rsidR="00B24062">
        <w:t xml:space="preserve"> (an assumption that Block, Kind and Loar accept, but which can be challenged)</w:t>
      </w:r>
      <w:r w:rsidR="009F0C6C">
        <w:t>, implies the transparency thesis</w:t>
      </w:r>
      <w:r w:rsidR="00737005">
        <w:t xml:space="preserve"> (Section 1)</w:t>
      </w:r>
      <w:r w:rsidR="009F0C6C">
        <w:t xml:space="preserve">. </w:t>
      </w:r>
      <w:r w:rsidR="00D8142B">
        <w:t xml:space="preserve">Extant philosophical discussions of attention </w:t>
      </w:r>
      <w:r w:rsidR="00D8142B">
        <w:lastRenderedPageBreak/>
        <w:t xml:space="preserve">do not provide </w:t>
      </w:r>
      <w:r w:rsidR="00D8142B" w:rsidRPr="00E24BDD">
        <w:t xml:space="preserve">a third conception of attention, over and </w:t>
      </w:r>
      <w:r w:rsidR="00A717D7">
        <w:t>above</w:t>
      </w:r>
      <w:r w:rsidR="00A717D7" w:rsidRPr="00E24BDD">
        <w:t xml:space="preserve"> </w:t>
      </w:r>
      <w:r w:rsidR="00D8142B" w:rsidRPr="00E24BDD">
        <w:t xml:space="preserve">the sensory and cognitive </w:t>
      </w:r>
      <w:r w:rsidR="00FE6724">
        <w:t>varieties</w:t>
      </w:r>
      <w:r w:rsidR="00FE6724" w:rsidRPr="003337E7">
        <w:t xml:space="preserve"> </w:t>
      </w:r>
      <w:r w:rsidR="00112AEF" w:rsidRPr="003337E7">
        <w:t xml:space="preserve">(Section </w:t>
      </w:r>
      <w:r w:rsidR="00DA1BBA">
        <w:t>4</w:t>
      </w:r>
      <w:r w:rsidR="00112AEF" w:rsidRPr="003337E7">
        <w:t xml:space="preserve">). </w:t>
      </w:r>
    </w:p>
    <w:p w14:paraId="0B52B6F9" w14:textId="77777777" w:rsidR="0060372E" w:rsidRPr="00FC0D90" w:rsidRDefault="0060372E" w:rsidP="00CC67E9">
      <w:pPr>
        <w:autoSpaceDE w:val="0"/>
        <w:autoSpaceDN w:val="0"/>
        <w:adjustRightInd w:val="0"/>
        <w:rPr>
          <w:b/>
          <w:bCs/>
          <w:color w:val="222222"/>
          <w:rtl/>
        </w:rPr>
      </w:pPr>
      <w:r w:rsidRPr="00FC0D90">
        <w:rPr>
          <w:b/>
          <w:bCs/>
          <w:color w:val="222222"/>
        </w:rPr>
        <w:t>Bibliography</w:t>
      </w:r>
      <w:r w:rsidR="00DF58B0" w:rsidRPr="00FC0D90">
        <w:rPr>
          <w:b/>
          <w:bCs/>
          <w:color w:val="222222"/>
        </w:rPr>
        <w:t xml:space="preserve"> </w:t>
      </w:r>
    </w:p>
    <w:p w14:paraId="4AA3BBE0" w14:textId="77777777" w:rsidR="002E21E9" w:rsidRPr="00A03895" w:rsidRDefault="002E21E9" w:rsidP="002606AD">
      <w:pPr>
        <w:autoSpaceDE w:val="0"/>
        <w:autoSpaceDN w:val="0"/>
        <w:adjustRightInd w:val="0"/>
        <w:rPr>
          <w:color w:val="222222"/>
        </w:rPr>
      </w:pPr>
      <w:r w:rsidRPr="00A03895">
        <w:rPr>
          <w:color w:val="222222"/>
        </w:rPr>
        <w:t xml:space="preserve">Bays, P. M., </w:t>
      </w:r>
      <w:proofErr w:type="spellStart"/>
      <w:r w:rsidRPr="00A03895">
        <w:rPr>
          <w:color w:val="222222"/>
        </w:rPr>
        <w:t>Catalao</w:t>
      </w:r>
      <w:proofErr w:type="spellEnd"/>
      <w:r w:rsidRPr="00A03895">
        <w:rPr>
          <w:color w:val="222222"/>
        </w:rPr>
        <w:t xml:space="preserve">, R. F., &amp; Husain, M. (2009). The precision of visual working memory is set by allocation of a shared resource. </w:t>
      </w:r>
      <w:r w:rsidRPr="00A03895">
        <w:rPr>
          <w:i/>
          <w:iCs/>
          <w:color w:val="222222"/>
        </w:rPr>
        <w:t>Journal of vision</w:t>
      </w:r>
      <w:r w:rsidRPr="00A03895">
        <w:rPr>
          <w:color w:val="222222"/>
        </w:rPr>
        <w:t xml:space="preserve">, </w:t>
      </w:r>
      <w:r w:rsidRPr="00A03895">
        <w:rPr>
          <w:i/>
          <w:iCs/>
          <w:color w:val="222222"/>
        </w:rPr>
        <w:t>9</w:t>
      </w:r>
      <w:r w:rsidRPr="00A03895">
        <w:rPr>
          <w:color w:val="222222"/>
        </w:rPr>
        <w:t>(10), 7-7.</w:t>
      </w:r>
    </w:p>
    <w:p w14:paraId="066B59D8" w14:textId="77777777" w:rsidR="002E21E9" w:rsidRPr="00A03895" w:rsidRDefault="002E21E9" w:rsidP="002606AD">
      <w:pPr>
        <w:autoSpaceDE w:val="0"/>
        <w:autoSpaceDN w:val="0"/>
        <w:adjustRightInd w:val="0"/>
        <w:rPr>
          <w:color w:val="222222"/>
        </w:rPr>
      </w:pPr>
      <w:r w:rsidRPr="00A03895">
        <w:rPr>
          <w:color w:val="222222"/>
        </w:rPr>
        <w:t xml:space="preserve">Bays, P. M. (2015). Spikes not slots: noise in neural populations limits working memory. </w:t>
      </w:r>
      <w:r w:rsidRPr="00A03895">
        <w:rPr>
          <w:i/>
          <w:iCs/>
          <w:color w:val="222222"/>
        </w:rPr>
        <w:t>Trends in cognitive sciences</w:t>
      </w:r>
      <w:r w:rsidRPr="00A03895">
        <w:rPr>
          <w:color w:val="222222"/>
        </w:rPr>
        <w:t xml:space="preserve">, </w:t>
      </w:r>
      <w:r w:rsidRPr="00A03895">
        <w:rPr>
          <w:i/>
          <w:iCs/>
          <w:color w:val="222222"/>
        </w:rPr>
        <w:t>19</w:t>
      </w:r>
      <w:r w:rsidRPr="00A03895">
        <w:rPr>
          <w:color w:val="222222"/>
        </w:rPr>
        <w:t>(8), 431-438.</w:t>
      </w:r>
    </w:p>
    <w:p w14:paraId="5C61EB9A" w14:textId="77777777" w:rsidR="00633613" w:rsidRPr="00A03895" w:rsidRDefault="00633613" w:rsidP="00633613">
      <w:pPr>
        <w:widowControl w:val="0"/>
        <w:autoSpaceDE w:val="0"/>
        <w:autoSpaceDN w:val="0"/>
        <w:adjustRightInd w:val="0"/>
        <w:spacing w:after="140" w:line="288" w:lineRule="auto"/>
        <w:ind w:left="480" w:hanging="480"/>
        <w:rPr>
          <w:rFonts w:cs="Times New Roman"/>
        </w:rPr>
      </w:pPr>
      <w:r w:rsidRPr="00A03895">
        <w:rPr>
          <w:rFonts w:cs="Times New Roman"/>
        </w:rPr>
        <w:t xml:space="preserve">Block, N. (2003). Mental Paint. In M. Hahn &amp; B. Ramberg (Eds.), </w:t>
      </w:r>
      <w:r w:rsidRPr="00A03895">
        <w:rPr>
          <w:rFonts w:cs="Times New Roman"/>
          <w:i/>
          <w:iCs/>
        </w:rPr>
        <w:t>Reflections and Replies: Essays on the Philosophy of Tyler Burge</w:t>
      </w:r>
      <w:r w:rsidRPr="00A03895">
        <w:rPr>
          <w:rFonts w:cs="Times New Roman"/>
        </w:rPr>
        <w:t>. Cambridge, Mass.: MIT Press.</w:t>
      </w:r>
    </w:p>
    <w:p w14:paraId="7880E1C1" w14:textId="77777777" w:rsidR="00DF58B0" w:rsidRPr="00A03895" w:rsidRDefault="006E629A" w:rsidP="00DF58B0">
      <w:pPr>
        <w:autoSpaceDE w:val="0"/>
        <w:autoSpaceDN w:val="0"/>
        <w:adjustRightInd w:val="0"/>
        <w:rPr>
          <w:color w:val="222222"/>
        </w:rPr>
      </w:pPr>
      <w:r w:rsidRPr="00A03895">
        <w:rPr>
          <w:color w:val="222222"/>
        </w:rPr>
        <w:t xml:space="preserve">Bourget, D., &amp; Mendelovici, A. (2014). Tracking representationalism. In Andrew Bailey (ed.) </w:t>
      </w:r>
      <w:r w:rsidRPr="00A03895">
        <w:rPr>
          <w:i/>
          <w:iCs/>
          <w:color w:val="222222"/>
        </w:rPr>
        <w:t>Philosophy of Mind: The Key Thinkers</w:t>
      </w:r>
      <w:r w:rsidRPr="00A03895">
        <w:rPr>
          <w:color w:val="222222"/>
        </w:rPr>
        <w:t>. Continuum.</w:t>
      </w:r>
    </w:p>
    <w:p w14:paraId="03618F65" w14:textId="77777777" w:rsidR="00863434" w:rsidRPr="00C13976" w:rsidRDefault="00863434" w:rsidP="00C13976">
      <w:pPr>
        <w:autoSpaceDE w:val="0"/>
        <w:autoSpaceDN w:val="0"/>
        <w:adjustRightInd w:val="0"/>
        <w:rPr>
          <w:color w:val="222222"/>
        </w:rPr>
      </w:pPr>
      <w:r w:rsidRPr="00C13976">
        <w:rPr>
          <w:color w:val="222222"/>
        </w:rPr>
        <w:t xml:space="preserve">Burge, T. (2003). Qualia and Intentional Content: Reply to Block. In M. Hahn &amp; B. Ramberg (Eds.), </w:t>
      </w:r>
      <w:r w:rsidRPr="00C13976">
        <w:rPr>
          <w:i/>
          <w:iCs/>
          <w:color w:val="222222"/>
        </w:rPr>
        <w:t>Reflections and Replies: Essays on the Philosophy of Tyler Burge</w:t>
      </w:r>
      <w:r w:rsidRPr="00C13976">
        <w:rPr>
          <w:color w:val="222222"/>
        </w:rPr>
        <w:t>. Cambridge, Mass.: MIT Press.</w:t>
      </w:r>
    </w:p>
    <w:p w14:paraId="2F5845AA" w14:textId="110ADAB8" w:rsidR="00AA60F3" w:rsidRDefault="00AA60F3" w:rsidP="00AA60F3">
      <w:r>
        <w:t xml:space="preserve">Byrne, A. (2001). Intentionalism defended. </w:t>
      </w:r>
      <w:r>
        <w:rPr>
          <w:i/>
          <w:iCs/>
        </w:rPr>
        <w:t>The Philosophical Review</w:t>
      </w:r>
      <w:r>
        <w:t xml:space="preserve">, </w:t>
      </w:r>
      <w:r>
        <w:rPr>
          <w:i/>
          <w:iCs/>
        </w:rPr>
        <w:t>110</w:t>
      </w:r>
      <w:r>
        <w:t>(2), 199-240.</w:t>
      </w:r>
    </w:p>
    <w:p w14:paraId="6C844B86" w14:textId="2A5238C2" w:rsidR="00AA60F3" w:rsidRPr="00024FD0" w:rsidRDefault="00AA60F3" w:rsidP="00AA60F3">
      <w:r>
        <w:t xml:space="preserve">Byrne, A., &amp; Tye, M. (2006). Qualia </w:t>
      </w:r>
      <w:proofErr w:type="spellStart"/>
      <w:r>
        <w:t>ain’t</w:t>
      </w:r>
      <w:proofErr w:type="spellEnd"/>
      <w:r>
        <w:t xml:space="preserve"> in the head. </w:t>
      </w:r>
      <w:r>
        <w:rPr>
          <w:i/>
          <w:iCs/>
        </w:rPr>
        <w:t>Noûs</w:t>
      </w:r>
      <w:r>
        <w:t xml:space="preserve">, </w:t>
      </w:r>
      <w:r>
        <w:rPr>
          <w:i/>
          <w:iCs/>
        </w:rPr>
        <w:t>40</w:t>
      </w:r>
      <w:r>
        <w:t>(2), 241-255.</w:t>
      </w:r>
    </w:p>
    <w:p w14:paraId="30B73471" w14:textId="3249AE54" w:rsidR="0069363B" w:rsidRPr="00FC2FD5" w:rsidRDefault="0069363B" w:rsidP="0069363B">
      <w:r w:rsidRPr="00FC2FD5">
        <w:t>Carruthers, P. (200</w:t>
      </w:r>
      <w:r w:rsidRPr="00075C25">
        <w:t>0</w:t>
      </w:r>
      <w:r w:rsidRPr="00FC2FD5">
        <w:t xml:space="preserve">). </w:t>
      </w:r>
      <w:r w:rsidRPr="00FC2FD5">
        <w:rPr>
          <w:i/>
          <w:iCs/>
        </w:rPr>
        <w:t>Phenomenal consciousness: A naturalistic theory</w:t>
      </w:r>
      <w:r w:rsidRPr="00FC2FD5">
        <w:t>. Cambridge University Press.</w:t>
      </w:r>
    </w:p>
    <w:p w14:paraId="09987A9C" w14:textId="48A9EBDF" w:rsidR="00386568" w:rsidRPr="00A03895" w:rsidRDefault="00386568" w:rsidP="002606AD">
      <w:pPr>
        <w:autoSpaceDE w:val="0"/>
        <w:autoSpaceDN w:val="0"/>
        <w:adjustRightInd w:val="0"/>
        <w:rPr>
          <w:color w:val="222222"/>
        </w:rPr>
      </w:pPr>
      <w:r w:rsidRPr="00A03895">
        <w:rPr>
          <w:color w:val="222222"/>
        </w:rPr>
        <w:t xml:space="preserve">de </w:t>
      </w:r>
      <w:proofErr w:type="spellStart"/>
      <w:r w:rsidRPr="00A03895">
        <w:rPr>
          <w:color w:val="222222"/>
        </w:rPr>
        <w:t>Fockert</w:t>
      </w:r>
      <w:proofErr w:type="spellEnd"/>
      <w:r w:rsidRPr="00A03895">
        <w:rPr>
          <w:color w:val="222222"/>
        </w:rPr>
        <w:t xml:space="preserve">, J. W., Rees, G., </w:t>
      </w:r>
      <w:proofErr w:type="spellStart"/>
      <w:r w:rsidRPr="00A03895">
        <w:rPr>
          <w:color w:val="222222"/>
        </w:rPr>
        <w:t>Frith</w:t>
      </w:r>
      <w:proofErr w:type="spellEnd"/>
      <w:r w:rsidRPr="00A03895">
        <w:rPr>
          <w:color w:val="222222"/>
        </w:rPr>
        <w:t xml:space="preserve">, C. D., &amp; </w:t>
      </w:r>
      <w:proofErr w:type="spellStart"/>
      <w:r w:rsidRPr="00A03895">
        <w:rPr>
          <w:color w:val="222222"/>
        </w:rPr>
        <w:t>Lavie</w:t>
      </w:r>
      <w:proofErr w:type="spellEnd"/>
      <w:r w:rsidRPr="00A03895">
        <w:rPr>
          <w:color w:val="222222"/>
        </w:rPr>
        <w:t xml:space="preserve">, N. (2001). The role of working memory in visual selective attention. </w:t>
      </w:r>
      <w:r w:rsidRPr="00A03895">
        <w:rPr>
          <w:i/>
          <w:iCs/>
          <w:color w:val="222222"/>
        </w:rPr>
        <w:t>Science</w:t>
      </w:r>
      <w:r w:rsidRPr="00A03895">
        <w:rPr>
          <w:color w:val="222222"/>
        </w:rPr>
        <w:t xml:space="preserve">, </w:t>
      </w:r>
      <w:r w:rsidRPr="00A03895">
        <w:rPr>
          <w:i/>
          <w:iCs/>
          <w:color w:val="222222"/>
        </w:rPr>
        <w:t>291</w:t>
      </w:r>
      <w:r w:rsidRPr="00A03895">
        <w:rPr>
          <w:color w:val="222222"/>
        </w:rPr>
        <w:t>(5509), 1803-1806.</w:t>
      </w:r>
    </w:p>
    <w:p w14:paraId="264A0E3E" w14:textId="77777777" w:rsidR="00FD16D6" w:rsidRDefault="00FD16D6" w:rsidP="002606AD">
      <w:pPr>
        <w:autoSpaceDE w:val="0"/>
        <w:autoSpaceDN w:val="0"/>
        <w:adjustRightInd w:val="0"/>
      </w:pPr>
      <w:proofErr w:type="spellStart"/>
      <w:r>
        <w:t>Dehaene</w:t>
      </w:r>
      <w:proofErr w:type="spellEnd"/>
      <w:r>
        <w:t xml:space="preserve">, S., &amp; </w:t>
      </w:r>
      <w:proofErr w:type="spellStart"/>
      <w:r>
        <w:t>Naccache</w:t>
      </w:r>
      <w:proofErr w:type="spellEnd"/>
      <w:r>
        <w:t xml:space="preserve">, L. (2001). Towards a cognitive neuroscience of consciousness: basic evidence and a workspace framework. </w:t>
      </w:r>
      <w:r>
        <w:rPr>
          <w:i/>
          <w:iCs/>
        </w:rPr>
        <w:t>Cognition</w:t>
      </w:r>
      <w:r>
        <w:t xml:space="preserve">, </w:t>
      </w:r>
      <w:r>
        <w:rPr>
          <w:i/>
          <w:iCs/>
        </w:rPr>
        <w:t>79</w:t>
      </w:r>
      <w:r>
        <w:t>(1-2), 1-37.</w:t>
      </w:r>
    </w:p>
    <w:p w14:paraId="12F30CD6" w14:textId="15778C32" w:rsidR="00DF6AFF" w:rsidRDefault="00DF6AFF" w:rsidP="002606AD">
      <w:pPr>
        <w:autoSpaceDE w:val="0"/>
        <w:autoSpaceDN w:val="0"/>
        <w:adjustRightInd w:val="0"/>
        <w:rPr>
          <w:color w:val="222222"/>
        </w:rPr>
      </w:pPr>
      <w:r>
        <w:rPr>
          <w:color w:val="222222"/>
        </w:rPr>
        <w:t xml:space="preserve">Dretske, F. (1995). </w:t>
      </w:r>
      <w:r>
        <w:rPr>
          <w:rStyle w:val="Emphasis"/>
        </w:rPr>
        <w:t>Naturalizing the Mind</w:t>
      </w:r>
      <w:r>
        <w:t>. Cambridge, MA: MIT Press.</w:t>
      </w:r>
    </w:p>
    <w:p w14:paraId="059D869D" w14:textId="356230B3" w:rsidR="007276CF" w:rsidRDefault="007276CF" w:rsidP="002606AD">
      <w:pPr>
        <w:autoSpaceDE w:val="0"/>
        <w:autoSpaceDN w:val="0"/>
        <w:adjustRightInd w:val="0"/>
        <w:rPr>
          <w:color w:val="222222"/>
        </w:rPr>
      </w:pPr>
      <w:r>
        <w:rPr>
          <w:color w:val="222222"/>
        </w:rPr>
        <w:t xml:space="preserve">Gazzaley, A., &amp; </w:t>
      </w:r>
      <w:proofErr w:type="spellStart"/>
      <w:r>
        <w:rPr>
          <w:color w:val="222222"/>
        </w:rPr>
        <w:t>Nobre</w:t>
      </w:r>
      <w:proofErr w:type="spellEnd"/>
      <w:r>
        <w:rPr>
          <w:color w:val="222222"/>
        </w:rPr>
        <w:t xml:space="preserve">, A. C. (2012). Top-down modulation: bridging selective attention and working memory. </w:t>
      </w:r>
      <w:r>
        <w:rPr>
          <w:i/>
          <w:iCs/>
          <w:color w:val="222222"/>
        </w:rPr>
        <w:t>Trends in cognitive sciences</w:t>
      </w:r>
      <w:r>
        <w:rPr>
          <w:color w:val="222222"/>
        </w:rPr>
        <w:t xml:space="preserve">, </w:t>
      </w:r>
      <w:r>
        <w:rPr>
          <w:i/>
          <w:iCs/>
          <w:color w:val="222222"/>
        </w:rPr>
        <w:t>16</w:t>
      </w:r>
      <w:r>
        <w:rPr>
          <w:color w:val="222222"/>
        </w:rPr>
        <w:t>(2), 129-135.</w:t>
      </w:r>
    </w:p>
    <w:p w14:paraId="060EC070" w14:textId="77777777" w:rsidR="00633613" w:rsidRPr="00A03895" w:rsidRDefault="00633613" w:rsidP="002606AD">
      <w:pPr>
        <w:autoSpaceDE w:val="0"/>
        <w:autoSpaceDN w:val="0"/>
        <w:adjustRightInd w:val="0"/>
        <w:rPr>
          <w:color w:val="222222"/>
        </w:rPr>
      </w:pPr>
      <w:r w:rsidRPr="00A03895">
        <w:rPr>
          <w:color w:val="222222"/>
        </w:rPr>
        <w:t xml:space="preserve">Harman, G. (1990). The intrinsic quality of experience. </w:t>
      </w:r>
      <w:r w:rsidRPr="00A03895">
        <w:rPr>
          <w:i/>
          <w:iCs/>
          <w:color w:val="222222"/>
        </w:rPr>
        <w:t>Philosophical perspectives</w:t>
      </w:r>
      <w:r w:rsidRPr="00A03895">
        <w:rPr>
          <w:color w:val="222222"/>
        </w:rPr>
        <w:t xml:space="preserve">, </w:t>
      </w:r>
      <w:r w:rsidRPr="00A03895">
        <w:rPr>
          <w:i/>
          <w:iCs/>
          <w:color w:val="222222"/>
        </w:rPr>
        <w:t>4</w:t>
      </w:r>
      <w:r w:rsidRPr="00A03895">
        <w:rPr>
          <w:color w:val="222222"/>
        </w:rPr>
        <w:t>, 31-52.</w:t>
      </w:r>
    </w:p>
    <w:p w14:paraId="3C29960C" w14:textId="5CBA1328" w:rsidR="00461D00" w:rsidRPr="00461D00" w:rsidRDefault="00B33075" w:rsidP="00461D00">
      <w:pPr>
        <w:autoSpaceDE w:val="0"/>
        <w:autoSpaceDN w:val="0"/>
        <w:adjustRightInd w:val="0"/>
        <w:rPr>
          <w:color w:val="222222"/>
        </w:rPr>
      </w:pPr>
      <w:proofErr w:type="spellStart"/>
      <w:r w:rsidRPr="00FD751A">
        <w:rPr>
          <w:rFonts w:cs="Minion-Regular"/>
        </w:rPr>
        <w:t>Intriligator</w:t>
      </w:r>
      <w:proofErr w:type="spellEnd"/>
      <w:r w:rsidRPr="00FD751A">
        <w:rPr>
          <w:rFonts w:cs="Minion-Regular"/>
        </w:rPr>
        <w:t xml:space="preserve">, J., and P. Cavanagh. </w:t>
      </w:r>
      <w:r w:rsidR="00A20B6C">
        <w:rPr>
          <w:rFonts w:cs="Minion-Regular"/>
        </w:rPr>
        <w:t xml:space="preserve">(2001) </w:t>
      </w:r>
      <w:r w:rsidRPr="00FD751A">
        <w:rPr>
          <w:rFonts w:cs="Minion-Regular"/>
        </w:rPr>
        <w:t xml:space="preserve">‘‘The Spatial Resolution of Visual Attention.’’ </w:t>
      </w:r>
      <w:r w:rsidRPr="00FD751A">
        <w:rPr>
          <w:rFonts w:cs="Minion-Italic"/>
          <w:i/>
          <w:iCs/>
        </w:rPr>
        <w:t xml:space="preserve">Cognitive Psychology </w:t>
      </w:r>
      <w:r w:rsidRPr="00FD751A">
        <w:rPr>
          <w:rFonts w:cs="Minion-Semibold"/>
          <w:i/>
          <w:iCs/>
        </w:rPr>
        <w:t>43</w:t>
      </w:r>
      <w:r w:rsidR="00FD751A">
        <w:rPr>
          <w:rFonts w:cs="Minion-Regular"/>
        </w:rPr>
        <w:t>(3)</w:t>
      </w:r>
      <w:r w:rsidRPr="00FD751A">
        <w:rPr>
          <w:rFonts w:cs="Minion-Regular"/>
        </w:rPr>
        <w:t>: 171–216.</w:t>
      </w:r>
    </w:p>
    <w:p w14:paraId="782FF605" w14:textId="77777777" w:rsidR="002F3FEF" w:rsidRPr="00A03895" w:rsidRDefault="002F3FEF" w:rsidP="002606AD">
      <w:pPr>
        <w:autoSpaceDE w:val="0"/>
        <w:autoSpaceDN w:val="0"/>
        <w:adjustRightInd w:val="0"/>
        <w:rPr>
          <w:color w:val="222222"/>
        </w:rPr>
      </w:pPr>
      <w:r w:rsidRPr="00A03895">
        <w:rPr>
          <w:color w:val="222222"/>
        </w:rPr>
        <w:t xml:space="preserve">Kind, A. (2003). What’s so transparent about </w:t>
      </w:r>
      <w:proofErr w:type="gramStart"/>
      <w:r w:rsidRPr="00A03895">
        <w:rPr>
          <w:color w:val="222222"/>
        </w:rPr>
        <w:t>transparency?.</w:t>
      </w:r>
      <w:proofErr w:type="gramEnd"/>
      <w:r w:rsidRPr="00A03895">
        <w:rPr>
          <w:color w:val="222222"/>
        </w:rPr>
        <w:t xml:space="preserve"> </w:t>
      </w:r>
      <w:r w:rsidRPr="00A03895">
        <w:rPr>
          <w:i/>
          <w:iCs/>
          <w:color w:val="222222"/>
        </w:rPr>
        <w:t>Philosophical Studies</w:t>
      </w:r>
      <w:r w:rsidRPr="00A03895">
        <w:rPr>
          <w:color w:val="222222"/>
        </w:rPr>
        <w:t xml:space="preserve">, </w:t>
      </w:r>
      <w:r w:rsidRPr="00A03895">
        <w:rPr>
          <w:i/>
          <w:iCs/>
          <w:color w:val="222222"/>
        </w:rPr>
        <w:t>115</w:t>
      </w:r>
      <w:r w:rsidRPr="00A03895">
        <w:rPr>
          <w:color w:val="222222"/>
        </w:rPr>
        <w:t>(3), 225-244.</w:t>
      </w:r>
    </w:p>
    <w:p w14:paraId="62FE26DC" w14:textId="77777777" w:rsidR="00C13976" w:rsidRPr="00C13976" w:rsidRDefault="002F3FEF" w:rsidP="00C13976">
      <w:pPr>
        <w:widowControl w:val="0"/>
        <w:autoSpaceDE w:val="0"/>
        <w:autoSpaceDN w:val="0"/>
        <w:adjustRightInd w:val="0"/>
        <w:spacing w:after="140" w:line="288" w:lineRule="auto"/>
        <w:ind w:left="480" w:hanging="480"/>
        <w:rPr>
          <w:color w:val="222222"/>
        </w:rPr>
      </w:pPr>
      <w:r w:rsidRPr="00A03895">
        <w:rPr>
          <w:color w:val="222222"/>
        </w:rPr>
        <w:t xml:space="preserve">Kind, A. (2008). How to Believe in Qualia. </w:t>
      </w:r>
      <w:r w:rsidR="00C13976" w:rsidRPr="00C13976">
        <w:rPr>
          <w:color w:val="222222"/>
        </w:rPr>
        <w:t xml:space="preserve">In E. Wright (Ed.), </w:t>
      </w:r>
      <w:r w:rsidR="00C13976" w:rsidRPr="00C13976">
        <w:rPr>
          <w:i/>
          <w:iCs/>
          <w:color w:val="222222"/>
        </w:rPr>
        <w:t>The Case for Qualia</w:t>
      </w:r>
      <w:r w:rsidR="00C13976" w:rsidRPr="00C13976">
        <w:rPr>
          <w:color w:val="222222"/>
        </w:rPr>
        <w:t xml:space="preserve">. Cambridge, Mass.: MIT Press. </w:t>
      </w:r>
    </w:p>
    <w:p w14:paraId="4B25A84D" w14:textId="77777777" w:rsidR="00B42DC2" w:rsidRDefault="00B42DC2" w:rsidP="00A947CD">
      <w:pPr>
        <w:widowControl w:val="0"/>
        <w:autoSpaceDE w:val="0"/>
        <w:autoSpaceDN w:val="0"/>
        <w:adjustRightInd w:val="0"/>
        <w:spacing w:after="140" w:line="288" w:lineRule="auto"/>
        <w:ind w:left="480" w:hanging="480"/>
        <w:rPr>
          <w:rFonts w:cs="Times New Roman"/>
        </w:rPr>
      </w:pPr>
      <w:r>
        <w:rPr>
          <w:color w:val="222222"/>
        </w:rPr>
        <w:t xml:space="preserve">Kind, A. (2010). Transparency and representationalist theories of consciousness. </w:t>
      </w:r>
      <w:r>
        <w:rPr>
          <w:i/>
          <w:iCs/>
          <w:color w:val="222222"/>
        </w:rPr>
        <w:t>Philosophy Compass</w:t>
      </w:r>
      <w:r>
        <w:rPr>
          <w:color w:val="222222"/>
        </w:rPr>
        <w:t xml:space="preserve">, </w:t>
      </w:r>
      <w:r>
        <w:rPr>
          <w:i/>
          <w:iCs/>
          <w:color w:val="222222"/>
        </w:rPr>
        <w:t>5</w:t>
      </w:r>
      <w:r>
        <w:rPr>
          <w:color w:val="222222"/>
        </w:rPr>
        <w:t>(10), 902-913.</w:t>
      </w:r>
    </w:p>
    <w:p w14:paraId="7C6E6998" w14:textId="77777777" w:rsidR="004A7BB7" w:rsidRDefault="004A7BB7" w:rsidP="00AF7A47">
      <w:pPr>
        <w:autoSpaceDE w:val="0"/>
        <w:autoSpaceDN w:val="0"/>
        <w:adjustRightInd w:val="0"/>
      </w:pPr>
      <w:proofErr w:type="spellStart"/>
      <w:r>
        <w:t>Lepsien</w:t>
      </w:r>
      <w:proofErr w:type="spellEnd"/>
      <w:r>
        <w:t xml:space="preserve">, J., &amp; </w:t>
      </w:r>
      <w:proofErr w:type="spellStart"/>
      <w:r>
        <w:t>Nobre</w:t>
      </w:r>
      <w:proofErr w:type="spellEnd"/>
      <w:r>
        <w:t xml:space="preserve">, A. C. (2006). Attentional modulation of object representations in working memory. </w:t>
      </w:r>
      <w:r>
        <w:rPr>
          <w:i/>
          <w:iCs/>
        </w:rPr>
        <w:t>Cerebral cortex</w:t>
      </w:r>
      <w:r>
        <w:t xml:space="preserve">, </w:t>
      </w:r>
      <w:r>
        <w:rPr>
          <w:i/>
          <w:iCs/>
        </w:rPr>
        <w:t>17</w:t>
      </w:r>
      <w:r>
        <w:t>(9), 2072-2083.</w:t>
      </w:r>
    </w:p>
    <w:p w14:paraId="32D5F9D6" w14:textId="77777777" w:rsidR="00AF7A47" w:rsidRDefault="00AF7A47" w:rsidP="00AF7A47">
      <w:pPr>
        <w:autoSpaceDE w:val="0"/>
        <w:autoSpaceDN w:val="0"/>
        <w:adjustRightInd w:val="0"/>
        <w:rPr>
          <w:color w:val="222222"/>
        </w:rPr>
      </w:pPr>
      <w:r>
        <w:rPr>
          <w:color w:val="222222"/>
        </w:rPr>
        <w:lastRenderedPageBreak/>
        <w:t xml:space="preserve">Loar, B. (2003). Transparent experience and the availability of qualia. </w:t>
      </w:r>
      <w:r w:rsidR="00C13976" w:rsidRPr="00C13976">
        <w:rPr>
          <w:color w:val="222222"/>
        </w:rPr>
        <w:t xml:space="preserve">In Q. Smith &amp; A. Jokic (Eds.), </w:t>
      </w:r>
      <w:r w:rsidR="00C13976" w:rsidRPr="00C13976">
        <w:rPr>
          <w:i/>
          <w:iCs/>
          <w:color w:val="222222"/>
        </w:rPr>
        <w:t>Consciousness: New Philosophical Perspectives</w:t>
      </w:r>
      <w:r w:rsidR="00C13976" w:rsidRPr="00C13976">
        <w:rPr>
          <w:color w:val="222222"/>
        </w:rPr>
        <w:t>. Oxford: Oxford University Press.</w:t>
      </w:r>
    </w:p>
    <w:p w14:paraId="2AFB7A51" w14:textId="77777777" w:rsidR="00D8417C" w:rsidRPr="00D8417C" w:rsidRDefault="00D8417C" w:rsidP="00D8417C">
      <w:pPr>
        <w:autoSpaceDE w:val="0"/>
        <w:autoSpaceDN w:val="0"/>
        <w:adjustRightInd w:val="0"/>
        <w:spacing w:after="0"/>
        <w:rPr>
          <w:i/>
          <w:iCs/>
        </w:rPr>
      </w:pPr>
      <w:r w:rsidRPr="00D8417C">
        <w:t xml:space="preserve">Mendelovici, A. (2014). Pure intentionalism about moods and emotions. In U. Kriegel (Ed.), </w:t>
      </w:r>
      <w:r w:rsidRPr="00D8417C">
        <w:rPr>
          <w:i/>
          <w:iCs/>
        </w:rPr>
        <w:t>Current</w:t>
      </w:r>
    </w:p>
    <w:p w14:paraId="6FD989EB" w14:textId="77777777" w:rsidR="00D8417C" w:rsidRDefault="00D8417C" w:rsidP="00D8417C">
      <w:r w:rsidRPr="00D8417C">
        <w:rPr>
          <w:i/>
          <w:iCs/>
        </w:rPr>
        <w:t>controversies in philosophy of mind</w:t>
      </w:r>
      <w:r w:rsidRPr="00D8417C">
        <w:t>. New York: Routledge.</w:t>
      </w:r>
      <w:r>
        <w:t xml:space="preserve"> </w:t>
      </w:r>
    </w:p>
    <w:p w14:paraId="55DE45E8" w14:textId="74AEC572" w:rsidR="00382C0C" w:rsidRDefault="00382C0C" w:rsidP="00D8417C">
      <w:r>
        <w:t xml:space="preserve">Mole, C. (2011). </w:t>
      </w:r>
      <w:r>
        <w:rPr>
          <w:i/>
          <w:iCs/>
        </w:rPr>
        <w:t>Attention is cognitive unison: An essay in philosophical psychology</w:t>
      </w:r>
      <w:r>
        <w:t>. Oxford University Press.</w:t>
      </w:r>
    </w:p>
    <w:p w14:paraId="4B2CB3D7" w14:textId="77777777" w:rsidR="006446DD" w:rsidRPr="00C13976" w:rsidRDefault="006446DD" w:rsidP="00C13976">
      <w:pPr>
        <w:rPr>
          <w:rFonts w:eastAsia="Times New Roman" w:cs="Times New Roman"/>
          <w:color w:val="222222"/>
        </w:rPr>
      </w:pPr>
      <w:r w:rsidRPr="00C13976">
        <w:rPr>
          <w:rFonts w:eastAsia="Times New Roman" w:cs="Times New Roman"/>
          <w:color w:val="222222"/>
        </w:rPr>
        <w:t xml:space="preserve">Moran, J., &amp; Desimone, R. (1985). Selective attention gates visual processing in the </w:t>
      </w:r>
      <w:proofErr w:type="spellStart"/>
      <w:r w:rsidRPr="00C13976">
        <w:rPr>
          <w:rFonts w:eastAsia="Times New Roman" w:cs="Times New Roman"/>
          <w:color w:val="222222"/>
        </w:rPr>
        <w:t>extrastriate</w:t>
      </w:r>
      <w:proofErr w:type="spellEnd"/>
      <w:r w:rsidRPr="00C13976">
        <w:rPr>
          <w:rFonts w:eastAsia="Times New Roman" w:cs="Times New Roman"/>
          <w:color w:val="222222"/>
        </w:rPr>
        <w:t xml:space="preserve"> cortex. </w:t>
      </w:r>
      <w:r w:rsidRPr="00C13976">
        <w:rPr>
          <w:rFonts w:eastAsia="Times New Roman" w:cs="Times New Roman"/>
          <w:i/>
          <w:iCs/>
          <w:color w:val="222222"/>
        </w:rPr>
        <w:t>Science</w:t>
      </w:r>
      <w:r w:rsidRPr="00C13976">
        <w:rPr>
          <w:rFonts w:eastAsia="Times New Roman" w:cs="Times New Roman"/>
          <w:color w:val="222222"/>
        </w:rPr>
        <w:t xml:space="preserve">, </w:t>
      </w:r>
      <w:r w:rsidRPr="00C13976">
        <w:rPr>
          <w:rFonts w:eastAsia="Times New Roman" w:cs="Times New Roman"/>
          <w:i/>
          <w:iCs/>
          <w:color w:val="222222"/>
        </w:rPr>
        <w:t>229</w:t>
      </w:r>
      <w:r w:rsidRPr="00C13976">
        <w:rPr>
          <w:rFonts w:eastAsia="Times New Roman" w:cs="Times New Roman"/>
          <w:color w:val="222222"/>
        </w:rPr>
        <w:t>(4715), 782-784.</w:t>
      </w:r>
    </w:p>
    <w:p w14:paraId="0CFC21CA" w14:textId="77777777" w:rsidR="00E25159" w:rsidRDefault="00E25159" w:rsidP="002606AD">
      <w:pPr>
        <w:autoSpaceDE w:val="0"/>
        <w:autoSpaceDN w:val="0"/>
        <w:adjustRightInd w:val="0"/>
        <w:rPr>
          <w:color w:val="222222"/>
        </w:rPr>
      </w:pPr>
      <w:r>
        <w:rPr>
          <w:color w:val="222222"/>
        </w:rPr>
        <w:t xml:space="preserve">McAdams, C. J., &amp; </w:t>
      </w:r>
      <w:proofErr w:type="spellStart"/>
      <w:r>
        <w:rPr>
          <w:color w:val="222222"/>
        </w:rPr>
        <w:t>Maunsell</w:t>
      </w:r>
      <w:proofErr w:type="spellEnd"/>
      <w:r>
        <w:rPr>
          <w:color w:val="222222"/>
        </w:rPr>
        <w:t xml:space="preserve">, J. H. (1999). Effects of attention on orientation-tuning functions of single neurons in macaque cortical area V4. </w:t>
      </w:r>
      <w:r>
        <w:rPr>
          <w:i/>
          <w:iCs/>
          <w:color w:val="222222"/>
        </w:rPr>
        <w:t>Journal of Neuroscience</w:t>
      </w:r>
      <w:r>
        <w:rPr>
          <w:color w:val="222222"/>
        </w:rPr>
        <w:t xml:space="preserve">, </w:t>
      </w:r>
      <w:r>
        <w:rPr>
          <w:i/>
          <w:iCs/>
          <w:color w:val="222222"/>
        </w:rPr>
        <w:t>19</w:t>
      </w:r>
      <w:r>
        <w:rPr>
          <w:color w:val="222222"/>
        </w:rPr>
        <w:t>(1), 431-441.</w:t>
      </w:r>
    </w:p>
    <w:p w14:paraId="3FA8FE53" w14:textId="77777777" w:rsidR="00A4391B" w:rsidRPr="00C13976" w:rsidRDefault="00A4391B" w:rsidP="00C13976">
      <w:pPr>
        <w:autoSpaceDE w:val="0"/>
        <w:autoSpaceDN w:val="0"/>
        <w:adjustRightInd w:val="0"/>
        <w:rPr>
          <w:color w:val="222222"/>
        </w:rPr>
      </w:pPr>
      <w:proofErr w:type="spellStart"/>
      <w:r w:rsidRPr="00C13976">
        <w:rPr>
          <w:color w:val="222222"/>
        </w:rPr>
        <w:t>Noudoost</w:t>
      </w:r>
      <w:proofErr w:type="spellEnd"/>
      <w:r w:rsidRPr="00C13976">
        <w:rPr>
          <w:color w:val="222222"/>
        </w:rPr>
        <w:t xml:space="preserve">, B., Chang, M. H., Steinmetz, N. A., &amp; Moore, T. (2010). Top-down control of visual attention. </w:t>
      </w:r>
      <w:r w:rsidRPr="00C13976">
        <w:rPr>
          <w:i/>
          <w:iCs/>
          <w:color w:val="222222"/>
        </w:rPr>
        <w:t>Current opinion in neurobiology</w:t>
      </w:r>
      <w:r w:rsidRPr="00C13976">
        <w:rPr>
          <w:color w:val="222222"/>
        </w:rPr>
        <w:t>, 20(2), 183-190.</w:t>
      </w:r>
    </w:p>
    <w:p w14:paraId="51319BFB" w14:textId="77777777" w:rsidR="00AF7A47" w:rsidRDefault="00AF7A47" w:rsidP="002606AD">
      <w:pPr>
        <w:autoSpaceDE w:val="0"/>
        <w:autoSpaceDN w:val="0"/>
        <w:adjustRightInd w:val="0"/>
        <w:rPr>
          <w:color w:val="222222"/>
        </w:rPr>
      </w:pPr>
      <w:r>
        <w:rPr>
          <w:color w:val="222222"/>
        </w:rPr>
        <w:t xml:space="preserve">Papineau, D. (2014). Sensory Experience and Representational Properties. </w:t>
      </w:r>
      <w:r w:rsidRPr="00C13976">
        <w:rPr>
          <w:i/>
          <w:iCs/>
          <w:color w:val="222222"/>
        </w:rPr>
        <w:t>Proceedings of the Aristotelian Society</w:t>
      </w:r>
      <w:r w:rsidR="00C13976">
        <w:rPr>
          <w:color w:val="222222"/>
        </w:rPr>
        <w:t>,</w:t>
      </w:r>
      <w:r>
        <w:rPr>
          <w:color w:val="222222"/>
        </w:rPr>
        <w:t xml:space="preserve"> </w:t>
      </w:r>
      <w:r w:rsidR="00C13976" w:rsidRPr="00C13976">
        <w:rPr>
          <w:color w:val="222222"/>
        </w:rPr>
        <w:t xml:space="preserve">114(1), </w:t>
      </w:r>
      <w:r w:rsidR="00C13976">
        <w:rPr>
          <w:color w:val="222222"/>
        </w:rPr>
        <w:t>1-33</w:t>
      </w:r>
    </w:p>
    <w:p w14:paraId="7739C040" w14:textId="3DDA874E" w:rsidR="00381202" w:rsidRPr="00381202" w:rsidRDefault="00B33075" w:rsidP="00381202">
      <w:pPr>
        <w:autoSpaceDE w:val="0"/>
        <w:autoSpaceDN w:val="0"/>
        <w:adjustRightInd w:val="0"/>
        <w:rPr>
          <w:color w:val="222222"/>
        </w:rPr>
      </w:pPr>
      <w:proofErr w:type="spellStart"/>
      <w:r w:rsidRPr="00FD751A">
        <w:rPr>
          <w:rFonts w:cs="Minion-Regular"/>
        </w:rPr>
        <w:t>Pelli</w:t>
      </w:r>
      <w:proofErr w:type="spellEnd"/>
      <w:r w:rsidRPr="00FD751A">
        <w:rPr>
          <w:rFonts w:cs="Minion-Regular"/>
        </w:rPr>
        <w:t xml:space="preserve">, D. </w:t>
      </w:r>
      <w:r w:rsidR="00FD751A">
        <w:rPr>
          <w:rFonts w:cs="Minion-Regular"/>
        </w:rPr>
        <w:t xml:space="preserve">(2008). </w:t>
      </w:r>
      <w:r w:rsidRPr="00FD751A">
        <w:rPr>
          <w:rFonts w:cs="Minion-Regular"/>
        </w:rPr>
        <w:t xml:space="preserve">Crowding: A </w:t>
      </w:r>
      <w:r w:rsidR="00FD751A">
        <w:rPr>
          <w:rFonts w:cs="Minion-Regular"/>
        </w:rPr>
        <w:t>c</w:t>
      </w:r>
      <w:r w:rsidRPr="00FD751A">
        <w:rPr>
          <w:rFonts w:cs="Minion-Regular"/>
        </w:rPr>
        <w:t xml:space="preserve">ortical </w:t>
      </w:r>
      <w:r w:rsidR="00FD751A">
        <w:rPr>
          <w:rFonts w:cs="Minion-Regular"/>
        </w:rPr>
        <w:t>c</w:t>
      </w:r>
      <w:r w:rsidRPr="00FD751A">
        <w:rPr>
          <w:rFonts w:cs="Minion-Regular"/>
        </w:rPr>
        <w:t xml:space="preserve">onstraint on </w:t>
      </w:r>
      <w:r w:rsidR="00FD751A">
        <w:rPr>
          <w:rFonts w:cs="Minion-Regular"/>
        </w:rPr>
        <w:t>o</w:t>
      </w:r>
      <w:r w:rsidRPr="00FD751A">
        <w:rPr>
          <w:rFonts w:cs="Minion-Regular"/>
        </w:rPr>
        <w:t xml:space="preserve">bject </w:t>
      </w:r>
      <w:r w:rsidR="00FD751A">
        <w:rPr>
          <w:rFonts w:cs="Minion-Regular"/>
        </w:rPr>
        <w:t>r</w:t>
      </w:r>
      <w:r w:rsidRPr="00FD751A">
        <w:rPr>
          <w:rFonts w:cs="Minion-Regular"/>
        </w:rPr>
        <w:t xml:space="preserve">ecognition.’’ </w:t>
      </w:r>
      <w:r w:rsidRPr="00FD751A">
        <w:rPr>
          <w:rFonts w:cs="Minion-Italic"/>
          <w:i/>
          <w:iCs/>
        </w:rPr>
        <w:t xml:space="preserve">Current </w:t>
      </w:r>
      <w:r w:rsidR="00FD751A">
        <w:rPr>
          <w:rFonts w:cs="Minion-Italic"/>
          <w:i/>
          <w:iCs/>
        </w:rPr>
        <w:t>o</w:t>
      </w:r>
      <w:r w:rsidRPr="00FD751A">
        <w:rPr>
          <w:rFonts w:cs="Minion-Italic"/>
          <w:i/>
          <w:iCs/>
        </w:rPr>
        <w:t xml:space="preserve">pinion in </w:t>
      </w:r>
      <w:r w:rsidR="00FD751A">
        <w:rPr>
          <w:rFonts w:cs="Minion-Italic"/>
          <w:i/>
          <w:iCs/>
        </w:rPr>
        <w:t>n</w:t>
      </w:r>
      <w:r w:rsidRPr="00FD751A">
        <w:rPr>
          <w:rFonts w:cs="Minion-Italic"/>
          <w:i/>
          <w:iCs/>
        </w:rPr>
        <w:t xml:space="preserve">eurobiology </w:t>
      </w:r>
      <w:r w:rsidRPr="00FD751A">
        <w:rPr>
          <w:rFonts w:cs="Minion-Semibold"/>
          <w:i/>
          <w:iCs/>
        </w:rPr>
        <w:t>18</w:t>
      </w:r>
      <w:r w:rsidR="00FD751A">
        <w:rPr>
          <w:rFonts w:cs="Minion-Regular"/>
        </w:rPr>
        <w:t>(</w:t>
      </w:r>
      <w:r w:rsidRPr="00FD751A">
        <w:rPr>
          <w:rFonts w:cs="Minion-Regular"/>
        </w:rPr>
        <w:t>4</w:t>
      </w:r>
      <w:r w:rsidR="00FD751A">
        <w:rPr>
          <w:rFonts w:cs="Minion-Regular"/>
        </w:rPr>
        <w:t>),</w:t>
      </w:r>
      <w:r w:rsidRPr="00FD751A">
        <w:rPr>
          <w:rFonts w:cs="Minion-Regular"/>
        </w:rPr>
        <w:t xml:space="preserve"> 445–51.</w:t>
      </w:r>
    </w:p>
    <w:p w14:paraId="7D914FCE" w14:textId="2DB26550" w:rsidR="00A947CD" w:rsidRPr="00C13976" w:rsidRDefault="00A947CD" w:rsidP="00C13976">
      <w:pPr>
        <w:autoSpaceDE w:val="0"/>
        <w:autoSpaceDN w:val="0"/>
        <w:adjustRightInd w:val="0"/>
        <w:rPr>
          <w:color w:val="222222"/>
        </w:rPr>
      </w:pPr>
      <w:r w:rsidRPr="00C13976">
        <w:rPr>
          <w:color w:val="222222"/>
        </w:rPr>
        <w:t xml:space="preserve">Prinz, J. J. (2012). </w:t>
      </w:r>
      <w:r w:rsidRPr="00C13976">
        <w:rPr>
          <w:i/>
          <w:iCs/>
          <w:color w:val="222222"/>
        </w:rPr>
        <w:t>The Conscious Brain</w:t>
      </w:r>
      <w:r w:rsidRPr="00C13976">
        <w:rPr>
          <w:color w:val="222222"/>
        </w:rPr>
        <w:t>. New York: Oxford University Press.</w:t>
      </w:r>
    </w:p>
    <w:p w14:paraId="4AAF9C14" w14:textId="77777777" w:rsidR="000E311F" w:rsidRDefault="000E311F" w:rsidP="00C13976">
      <w:pPr>
        <w:autoSpaceDE w:val="0"/>
        <w:autoSpaceDN w:val="0"/>
        <w:adjustRightInd w:val="0"/>
        <w:rPr>
          <w:color w:val="222222"/>
        </w:rPr>
      </w:pPr>
      <w:r>
        <w:t xml:space="preserve">Reddy, L., Moradi, F., &amp; Koch, C. (2007). Top–down biases win against focal attention in the fusiform face area. </w:t>
      </w:r>
      <w:r>
        <w:rPr>
          <w:i/>
          <w:iCs/>
        </w:rPr>
        <w:t>Neuroimage</w:t>
      </w:r>
      <w:r>
        <w:t xml:space="preserve">, </w:t>
      </w:r>
      <w:r>
        <w:rPr>
          <w:i/>
          <w:iCs/>
        </w:rPr>
        <w:t>38</w:t>
      </w:r>
      <w:r>
        <w:t>(4), 730-739.</w:t>
      </w:r>
      <w:r w:rsidRPr="00C13976">
        <w:rPr>
          <w:color w:val="222222"/>
        </w:rPr>
        <w:t xml:space="preserve"> </w:t>
      </w:r>
    </w:p>
    <w:p w14:paraId="4E038A0D" w14:textId="77777777" w:rsidR="006446DD" w:rsidRPr="00C13976" w:rsidRDefault="006446DD" w:rsidP="00C13976">
      <w:pPr>
        <w:autoSpaceDE w:val="0"/>
        <w:autoSpaceDN w:val="0"/>
        <w:adjustRightInd w:val="0"/>
        <w:rPr>
          <w:color w:val="222222"/>
        </w:rPr>
      </w:pPr>
      <w:r w:rsidRPr="00C13976">
        <w:rPr>
          <w:color w:val="222222"/>
        </w:rPr>
        <w:t xml:space="preserve">Reynolds, J. H., </w:t>
      </w:r>
      <w:proofErr w:type="spellStart"/>
      <w:r w:rsidRPr="00C13976">
        <w:rPr>
          <w:color w:val="222222"/>
        </w:rPr>
        <w:t>Chelazzi</w:t>
      </w:r>
      <w:proofErr w:type="spellEnd"/>
      <w:r w:rsidRPr="00C13976">
        <w:rPr>
          <w:color w:val="222222"/>
        </w:rPr>
        <w:t xml:space="preserve">, L., &amp; Desimone, R. (1999). Competitive mechanisms </w:t>
      </w:r>
      <w:proofErr w:type="spellStart"/>
      <w:r w:rsidRPr="00C13976">
        <w:rPr>
          <w:color w:val="222222"/>
        </w:rPr>
        <w:t>subserve</w:t>
      </w:r>
      <w:proofErr w:type="spellEnd"/>
      <w:r w:rsidRPr="00C13976">
        <w:rPr>
          <w:color w:val="222222"/>
        </w:rPr>
        <w:t xml:space="preserve"> attention in macaque areas V2 and V4. </w:t>
      </w:r>
      <w:r w:rsidRPr="00C13976">
        <w:rPr>
          <w:i/>
          <w:iCs/>
          <w:color w:val="222222"/>
        </w:rPr>
        <w:t>Journal of Neuroscience</w:t>
      </w:r>
      <w:r w:rsidRPr="00C13976">
        <w:rPr>
          <w:color w:val="222222"/>
        </w:rPr>
        <w:t>, 19(5), 1736-1753.</w:t>
      </w:r>
    </w:p>
    <w:p w14:paraId="78D3E5F1" w14:textId="77777777" w:rsidR="006446DD" w:rsidRDefault="00386568" w:rsidP="002606AD">
      <w:pPr>
        <w:autoSpaceDE w:val="0"/>
        <w:autoSpaceDN w:val="0"/>
        <w:adjustRightInd w:val="0"/>
        <w:rPr>
          <w:color w:val="222222"/>
        </w:rPr>
      </w:pPr>
      <w:proofErr w:type="spellStart"/>
      <w:r>
        <w:rPr>
          <w:color w:val="222222"/>
        </w:rPr>
        <w:t>Rissman</w:t>
      </w:r>
      <w:proofErr w:type="spellEnd"/>
      <w:r>
        <w:rPr>
          <w:color w:val="222222"/>
        </w:rPr>
        <w:t xml:space="preserve">, J., Gazzaley, A., &amp; </w:t>
      </w:r>
      <w:proofErr w:type="spellStart"/>
      <w:r>
        <w:rPr>
          <w:color w:val="222222"/>
        </w:rPr>
        <w:t>D’esposito</w:t>
      </w:r>
      <w:proofErr w:type="spellEnd"/>
      <w:r>
        <w:rPr>
          <w:color w:val="222222"/>
        </w:rPr>
        <w:t xml:space="preserve">, M. (2009). The effect of non-visual working memory load on top-down modulation of visual processing. </w:t>
      </w:r>
      <w:proofErr w:type="spellStart"/>
      <w:r w:rsidRPr="00C13976">
        <w:rPr>
          <w:i/>
          <w:iCs/>
          <w:color w:val="222222"/>
        </w:rPr>
        <w:t>Neuropsychologia</w:t>
      </w:r>
      <w:proofErr w:type="spellEnd"/>
      <w:r>
        <w:rPr>
          <w:color w:val="222222"/>
        </w:rPr>
        <w:t xml:space="preserve">, </w:t>
      </w:r>
      <w:r w:rsidRPr="00C13976">
        <w:rPr>
          <w:color w:val="222222"/>
        </w:rPr>
        <w:t>47</w:t>
      </w:r>
      <w:r>
        <w:rPr>
          <w:color w:val="222222"/>
        </w:rPr>
        <w:t>(7), 1637-1646.</w:t>
      </w:r>
    </w:p>
    <w:p w14:paraId="10F8F81D" w14:textId="77777777" w:rsidR="0069363B" w:rsidRPr="00075C25" w:rsidRDefault="0069363B" w:rsidP="0069363B">
      <w:proofErr w:type="spellStart"/>
      <w:r w:rsidRPr="00075C25">
        <w:t>Sauret</w:t>
      </w:r>
      <w:proofErr w:type="spellEnd"/>
      <w:r w:rsidRPr="00075C25">
        <w:t xml:space="preserve">, W., &amp; Lycan, W. G. (2014). Attention and internal monitoring: A Farewell to HOP. </w:t>
      </w:r>
      <w:r w:rsidRPr="00075C25">
        <w:rPr>
          <w:i/>
          <w:iCs/>
        </w:rPr>
        <w:t>Analysis, 74</w:t>
      </w:r>
      <w:r w:rsidRPr="00075C25">
        <w:t>(3), 363-370.</w:t>
      </w:r>
    </w:p>
    <w:p w14:paraId="74294ADB" w14:textId="40388577" w:rsidR="00113974" w:rsidRDefault="00113974" w:rsidP="00113974">
      <w:pPr>
        <w:autoSpaceDE w:val="0"/>
        <w:autoSpaceDN w:val="0"/>
        <w:adjustRightInd w:val="0"/>
        <w:rPr>
          <w:color w:val="222222"/>
        </w:rPr>
      </w:pPr>
      <w:r>
        <w:rPr>
          <w:color w:val="222222"/>
        </w:rPr>
        <w:t xml:space="preserve">Shepherdson, P., </w:t>
      </w:r>
      <w:proofErr w:type="spellStart"/>
      <w:r>
        <w:rPr>
          <w:color w:val="222222"/>
        </w:rPr>
        <w:t>Oberauer</w:t>
      </w:r>
      <w:proofErr w:type="spellEnd"/>
      <w:r>
        <w:rPr>
          <w:color w:val="222222"/>
        </w:rPr>
        <w:t>, K., &amp; Souza, A. S. (201</w:t>
      </w:r>
      <w:r w:rsidR="00802B66">
        <w:rPr>
          <w:color w:val="222222"/>
        </w:rPr>
        <w:t>8</w:t>
      </w:r>
      <w:r>
        <w:rPr>
          <w:color w:val="222222"/>
        </w:rPr>
        <w:t xml:space="preserve">). Working memory load and the retro-cue effect: A diffusion model account. </w:t>
      </w:r>
      <w:r w:rsidRPr="00C13976">
        <w:rPr>
          <w:i/>
          <w:iCs/>
          <w:color w:val="222222"/>
        </w:rPr>
        <w:t>Journal of Experimental Psychology: Human Perception and Performance, 44</w:t>
      </w:r>
      <w:r w:rsidRPr="00C13976">
        <w:rPr>
          <w:color w:val="222222"/>
        </w:rPr>
        <w:t>(2), 286-310.</w:t>
      </w:r>
    </w:p>
    <w:p w14:paraId="6F299A95" w14:textId="77777777" w:rsidR="00430E98" w:rsidRDefault="00430E98" w:rsidP="002606AD">
      <w:pPr>
        <w:autoSpaceDE w:val="0"/>
        <w:autoSpaceDN w:val="0"/>
        <w:adjustRightInd w:val="0"/>
        <w:rPr>
          <w:color w:val="222222"/>
        </w:rPr>
      </w:pPr>
      <w:r>
        <w:rPr>
          <w:color w:val="222222"/>
        </w:rPr>
        <w:t xml:space="preserve">Souza, A. S., &amp; </w:t>
      </w:r>
      <w:proofErr w:type="spellStart"/>
      <w:r>
        <w:rPr>
          <w:color w:val="222222"/>
        </w:rPr>
        <w:t>Oberauer</w:t>
      </w:r>
      <w:proofErr w:type="spellEnd"/>
      <w:r>
        <w:rPr>
          <w:color w:val="222222"/>
        </w:rPr>
        <w:t xml:space="preserve">, K. (2016). In search of the focus of attention in working memory: 13 years of the retro-cue effect. </w:t>
      </w:r>
      <w:r>
        <w:rPr>
          <w:i/>
          <w:iCs/>
          <w:color w:val="222222"/>
        </w:rPr>
        <w:t>Attention, Perception, &amp; Psychophysics</w:t>
      </w:r>
      <w:r>
        <w:rPr>
          <w:color w:val="222222"/>
        </w:rPr>
        <w:t xml:space="preserve">, </w:t>
      </w:r>
      <w:r>
        <w:rPr>
          <w:i/>
          <w:iCs/>
          <w:color w:val="222222"/>
        </w:rPr>
        <w:t>78</w:t>
      </w:r>
      <w:r>
        <w:rPr>
          <w:color w:val="222222"/>
        </w:rPr>
        <w:t>(7), 1839-1860.</w:t>
      </w:r>
    </w:p>
    <w:p w14:paraId="7E471C09" w14:textId="19607527" w:rsidR="006E5C7D" w:rsidRDefault="006E5C7D" w:rsidP="006C2F40">
      <w:pPr>
        <w:autoSpaceDE w:val="0"/>
        <w:autoSpaceDN w:val="0"/>
        <w:adjustRightInd w:val="0"/>
        <w:rPr>
          <w:color w:val="222222"/>
        </w:rPr>
      </w:pPr>
      <w:r>
        <w:rPr>
          <w:color w:val="222222"/>
        </w:rPr>
        <w:t>Tye, M. (</w:t>
      </w:r>
      <w:r w:rsidR="006C2F40">
        <w:rPr>
          <w:color w:val="222222"/>
        </w:rPr>
        <w:t>1995</w:t>
      </w:r>
      <w:r>
        <w:rPr>
          <w:color w:val="222222"/>
        </w:rPr>
        <w:t xml:space="preserve">). </w:t>
      </w:r>
      <w:r>
        <w:rPr>
          <w:i/>
          <w:iCs/>
          <w:color w:val="222222"/>
        </w:rPr>
        <w:t>Ten problems of consciousness: A representational theory of the phenomenal mind</w:t>
      </w:r>
      <w:r>
        <w:rPr>
          <w:color w:val="222222"/>
        </w:rPr>
        <w:t xml:space="preserve">. </w:t>
      </w:r>
      <w:r w:rsidR="00C31457">
        <w:t xml:space="preserve">Cambridge, MA: </w:t>
      </w:r>
      <w:r w:rsidR="009959EB">
        <w:rPr>
          <w:color w:val="222222"/>
        </w:rPr>
        <w:t xml:space="preserve">MIT </w:t>
      </w:r>
      <w:r>
        <w:rPr>
          <w:color w:val="222222"/>
        </w:rPr>
        <w:t>Press.</w:t>
      </w:r>
    </w:p>
    <w:p w14:paraId="090B9403" w14:textId="77777777" w:rsidR="00D43A62" w:rsidRDefault="00D43A62" w:rsidP="002606AD">
      <w:pPr>
        <w:autoSpaceDE w:val="0"/>
        <w:autoSpaceDN w:val="0"/>
        <w:adjustRightInd w:val="0"/>
      </w:pPr>
      <w:r>
        <w:t xml:space="preserve">Tye, M. (2002). Representationalism and the Transparency of Experience. </w:t>
      </w:r>
      <w:r>
        <w:rPr>
          <w:i/>
          <w:iCs/>
        </w:rPr>
        <w:t>Noûs</w:t>
      </w:r>
      <w:r>
        <w:t xml:space="preserve">, </w:t>
      </w:r>
      <w:r>
        <w:rPr>
          <w:i/>
          <w:iCs/>
        </w:rPr>
        <w:t>36</w:t>
      </w:r>
      <w:r>
        <w:t>(1), 137-151.</w:t>
      </w:r>
    </w:p>
    <w:p w14:paraId="1C39EB9E" w14:textId="77777777" w:rsidR="0060372E" w:rsidRDefault="0060372E" w:rsidP="002606AD">
      <w:pPr>
        <w:autoSpaceDE w:val="0"/>
        <w:autoSpaceDN w:val="0"/>
        <w:adjustRightInd w:val="0"/>
        <w:rPr>
          <w:color w:val="222222"/>
        </w:rPr>
      </w:pPr>
      <w:r>
        <w:rPr>
          <w:color w:val="222222"/>
        </w:rPr>
        <w:t xml:space="preserve">Tye, M. (2014). Transparency, qualia realism and representationalism. </w:t>
      </w:r>
      <w:r>
        <w:rPr>
          <w:i/>
          <w:iCs/>
          <w:color w:val="222222"/>
        </w:rPr>
        <w:t>Philosophical Studies</w:t>
      </w:r>
      <w:r>
        <w:rPr>
          <w:color w:val="222222"/>
        </w:rPr>
        <w:t xml:space="preserve">, </w:t>
      </w:r>
      <w:r>
        <w:rPr>
          <w:i/>
          <w:iCs/>
          <w:color w:val="222222"/>
        </w:rPr>
        <w:t>170</w:t>
      </w:r>
      <w:r>
        <w:rPr>
          <w:color w:val="222222"/>
        </w:rPr>
        <w:t>(1), 39-57.</w:t>
      </w:r>
    </w:p>
    <w:p w14:paraId="7510CC89" w14:textId="33D0E208" w:rsidR="000E311F" w:rsidRDefault="000E311F" w:rsidP="00A449E8">
      <w:pPr>
        <w:autoSpaceDE w:val="0"/>
        <w:autoSpaceDN w:val="0"/>
        <w:adjustRightInd w:val="0"/>
      </w:pPr>
      <w:r>
        <w:lastRenderedPageBreak/>
        <w:t xml:space="preserve">Van </w:t>
      </w:r>
      <w:proofErr w:type="spellStart"/>
      <w:r>
        <w:t>Boxtel</w:t>
      </w:r>
      <w:proofErr w:type="spellEnd"/>
      <w:r>
        <w:t xml:space="preserve">, J. J., Tsuchiya, N., &amp; Koch, C. (2010). Consciousness and attention: on sufficiency and necessity. </w:t>
      </w:r>
      <w:r>
        <w:rPr>
          <w:i/>
          <w:iCs/>
        </w:rPr>
        <w:t xml:space="preserve">Frontiers in </w:t>
      </w:r>
      <w:r w:rsidR="00F82F03">
        <w:rPr>
          <w:i/>
          <w:iCs/>
        </w:rPr>
        <w:t>p</w:t>
      </w:r>
      <w:r>
        <w:rPr>
          <w:i/>
          <w:iCs/>
        </w:rPr>
        <w:t>sychology</w:t>
      </w:r>
      <w:r>
        <w:t xml:space="preserve"> </w:t>
      </w:r>
      <w:r>
        <w:rPr>
          <w:i/>
          <w:iCs/>
        </w:rPr>
        <w:t>1</w:t>
      </w:r>
      <w:r w:rsidR="00F82F03">
        <w:t xml:space="preserve">, </w:t>
      </w:r>
      <w:r>
        <w:t>217.</w:t>
      </w:r>
    </w:p>
    <w:p w14:paraId="20839031" w14:textId="77777777" w:rsidR="00962716" w:rsidRDefault="00962716" w:rsidP="00A449E8">
      <w:pPr>
        <w:autoSpaceDE w:val="0"/>
        <w:autoSpaceDN w:val="0"/>
        <w:adjustRightInd w:val="0"/>
      </w:pPr>
      <w:proofErr w:type="spellStart"/>
      <w:r>
        <w:t>Watzl</w:t>
      </w:r>
      <w:proofErr w:type="spellEnd"/>
      <w:r>
        <w:t xml:space="preserve">, S. (2017). </w:t>
      </w:r>
      <w:r>
        <w:rPr>
          <w:i/>
          <w:iCs/>
        </w:rPr>
        <w:t>Structuring mind: The nature of attention and how it shapes consciousness</w:t>
      </w:r>
      <w:r>
        <w:t>. Oxford University Press.</w:t>
      </w:r>
    </w:p>
    <w:p w14:paraId="086BCD1E" w14:textId="77777777" w:rsidR="00CA3289" w:rsidRDefault="00CA3289" w:rsidP="002606AD">
      <w:pPr>
        <w:autoSpaceDE w:val="0"/>
        <w:autoSpaceDN w:val="0"/>
        <w:adjustRightInd w:val="0"/>
      </w:pPr>
      <w:r>
        <w:rPr>
          <w:color w:val="222222"/>
        </w:rPr>
        <w:t>Womelsdorf, T., Anton-</w:t>
      </w:r>
      <w:proofErr w:type="spellStart"/>
      <w:r>
        <w:rPr>
          <w:color w:val="222222"/>
        </w:rPr>
        <w:t>Erxleben</w:t>
      </w:r>
      <w:proofErr w:type="spellEnd"/>
      <w:r>
        <w:rPr>
          <w:color w:val="222222"/>
        </w:rPr>
        <w:t xml:space="preserve">, K., &amp; </w:t>
      </w:r>
      <w:proofErr w:type="spellStart"/>
      <w:r>
        <w:rPr>
          <w:color w:val="222222"/>
        </w:rPr>
        <w:t>Treue</w:t>
      </w:r>
      <w:proofErr w:type="spellEnd"/>
      <w:r>
        <w:rPr>
          <w:color w:val="222222"/>
        </w:rPr>
        <w:t xml:space="preserve">, S. (2008). Receptive field shift and shrinkage in macaque middle temporal area through attentional gain modulation. </w:t>
      </w:r>
      <w:r>
        <w:rPr>
          <w:i/>
          <w:iCs/>
          <w:color w:val="222222"/>
        </w:rPr>
        <w:t>Journal of Neuroscience</w:t>
      </w:r>
      <w:r>
        <w:rPr>
          <w:color w:val="222222"/>
        </w:rPr>
        <w:t xml:space="preserve">, </w:t>
      </w:r>
      <w:r>
        <w:rPr>
          <w:i/>
          <w:iCs/>
          <w:color w:val="222222"/>
        </w:rPr>
        <w:t>28</w:t>
      </w:r>
      <w:r>
        <w:rPr>
          <w:color w:val="222222"/>
        </w:rPr>
        <w:t>(36), 8934-8944.</w:t>
      </w:r>
    </w:p>
    <w:p w14:paraId="2AA8ABFA" w14:textId="77777777" w:rsidR="00E25159" w:rsidRPr="00E25159" w:rsidRDefault="006446DD" w:rsidP="00C13976">
      <w:pPr>
        <w:autoSpaceDE w:val="0"/>
        <w:autoSpaceDN w:val="0"/>
        <w:adjustRightInd w:val="0"/>
      </w:pPr>
      <w:r>
        <w:t xml:space="preserve">Wu, W. (2014) </w:t>
      </w:r>
      <w:r>
        <w:rPr>
          <w:i/>
          <w:iCs/>
        </w:rPr>
        <w:t>Attention</w:t>
      </w:r>
      <w:r>
        <w:t>, Routledge.</w:t>
      </w:r>
    </w:p>
    <w:sectPr w:rsidR="00E25159" w:rsidRPr="00E25159" w:rsidSect="00A2583F">
      <w:headerReference w:type="default"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93F70D" w14:textId="77777777" w:rsidR="002619F4" w:rsidRDefault="002619F4" w:rsidP="00F6209F">
      <w:pPr>
        <w:spacing w:after="0"/>
      </w:pPr>
      <w:r>
        <w:separator/>
      </w:r>
    </w:p>
  </w:endnote>
  <w:endnote w:type="continuationSeparator" w:id="0">
    <w:p w14:paraId="214F3A19" w14:textId="77777777" w:rsidR="002619F4" w:rsidRDefault="002619F4" w:rsidP="00F6209F">
      <w:pPr>
        <w:spacing w:after="0"/>
      </w:pPr>
      <w:r>
        <w:continuationSeparator/>
      </w:r>
    </w:p>
  </w:endnote>
  <w:endnote w:type="continuationNotice" w:id="1">
    <w:p w14:paraId="4BE8D54D" w14:textId="77777777" w:rsidR="002619F4" w:rsidRDefault="002619F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Times-Roman">
    <w:altName w:val="Times New Roman"/>
    <w:panose1 w:val="00000000000000000000"/>
    <w:charset w:val="00"/>
    <w:family w:val="roman"/>
    <w:notTrueType/>
    <w:pitch w:val="default"/>
    <w:sig w:usb0="00000003" w:usb1="00000000" w:usb2="00000000" w:usb3="00000000" w:csb0="00000001" w:csb1="00000000"/>
  </w:font>
  <w:font w:name="Minion-Regular">
    <w:panose1 w:val="00000000000000000000"/>
    <w:charset w:val="00"/>
    <w:family w:val="roman"/>
    <w:notTrueType/>
    <w:pitch w:val="default"/>
    <w:sig w:usb0="00000003" w:usb1="00000000" w:usb2="00000000" w:usb3="00000000" w:csb0="00000001" w:csb1="00000000"/>
  </w:font>
  <w:font w:name="AdvOT1ef757c0">
    <w:altName w:val="Calibri"/>
    <w:panose1 w:val="00000000000000000000"/>
    <w:charset w:val="00"/>
    <w:family w:val="swiss"/>
    <w:notTrueType/>
    <w:pitch w:val="default"/>
    <w:sig w:usb0="00000003" w:usb1="00000000" w:usb2="00000000" w:usb3="00000000" w:csb0="00000001" w:csb1="00000000"/>
  </w:font>
  <w:font w:name="AdvOT1ef757c0+20">
    <w:panose1 w:val="00000000000000000000"/>
    <w:charset w:val="00"/>
    <w:family w:val="swiss"/>
    <w:notTrueType/>
    <w:pitch w:val="default"/>
    <w:sig w:usb0="00000003" w:usb1="00000000" w:usb2="00000000" w:usb3="00000000" w:csb0="00000001" w:csb1="00000000"/>
  </w:font>
  <w:font w:name="Minion-Italic">
    <w:panose1 w:val="00000000000000000000"/>
    <w:charset w:val="00"/>
    <w:family w:val="roman"/>
    <w:notTrueType/>
    <w:pitch w:val="default"/>
    <w:sig w:usb0="00000003" w:usb1="00000000" w:usb2="00000000" w:usb3="00000000" w:csb0="00000001" w:csb1="00000000"/>
  </w:font>
  <w:font w:name="Minion-Semi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E3C14" w14:textId="77777777" w:rsidR="00F40464" w:rsidRDefault="00F404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2B9AE1" w14:textId="77777777" w:rsidR="002619F4" w:rsidRDefault="002619F4" w:rsidP="00F6209F">
      <w:pPr>
        <w:spacing w:after="0"/>
      </w:pPr>
      <w:r>
        <w:separator/>
      </w:r>
    </w:p>
  </w:footnote>
  <w:footnote w:type="continuationSeparator" w:id="0">
    <w:p w14:paraId="4C390BA1" w14:textId="77777777" w:rsidR="002619F4" w:rsidRDefault="002619F4" w:rsidP="00F6209F">
      <w:pPr>
        <w:spacing w:after="0"/>
      </w:pPr>
      <w:r>
        <w:continuationSeparator/>
      </w:r>
    </w:p>
  </w:footnote>
  <w:footnote w:type="continuationNotice" w:id="1">
    <w:p w14:paraId="2208209C" w14:textId="77777777" w:rsidR="002619F4" w:rsidRDefault="002619F4">
      <w:pPr>
        <w:spacing w:after="0"/>
      </w:pPr>
    </w:p>
  </w:footnote>
  <w:footnote w:id="2">
    <w:p w14:paraId="3C2D33A7" w14:textId="22B5B749" w:rsidR="008222A8" w:rsidRDefault="008222A8">
      <w:pPr>
        <w:pStyle w:val="FootnoteText"/>
      </w:pPr>
      <w:r w:rsidRPr="008222A8">
        <w:rPr>
          <w:rStyle w:val="FootnoteReference"/>
        </w:rPr>
        <w:sym w:font="Symbol" w:char="F02A"/>
      </w:r>
      <w:r>
        <w:t xml:space="preserve"> </w:t>
      </w:r>
      <w:r>
        <w:rPr>
          <w:rFonts w:hint="cs"/>
        </w:rPr>
        <w:t>W</w:t>
      </w:r>
      <w:r>
        <w:t xml:space="preserve">e would like to thank the audience at the </w:t>
      </w:r>
      <w:r w:rsidR="00D27B0A">
        <w:t>P</w:t>
      </w:r>
      <w:r>
        <w:t xml:space="preserve">hilosophy </w:t>
      </w:r>
      <w:r w:rsidR="00D27B0A">
        <w:t>D</w:t>
      </w:r>
      <w:r>
        <w:t>epartment’s colloquium, Univ</w:t>
      </w:r>
      <w:r w:rsidR="005D7C16">
        <w:t>ersity</w:t>
      </w:r>
      <w:r>
        <w:t xml:space="preserve"> of Haifa, and at the colloquium of the Program for Consciousness Research, Tel Aviv U</w:t>
      </w:r>
      <w:r w:rsidR="005D7C16">
        <w:t>niversity</w:t>
      </w:r>
      <w:r>
        <w:t xml:space="preserve">. Special thanks also to Michael Antony, Arnon Cahen, Baruch Eitam, Brie Gertler, Arnon Keren, Dominique Lamy, </w:t>
      </w:r>
      <w:r w:rsidR="005D7C16">
        <w:t xml:space="preserve">Ran Lanzet, </w:t>
      </w:r>
      <w:r>
        <w:t xml:space="preserve">Ariel </w:t>
      </w:r>
      <w:proofErr w:type="spellStart"/>
      <w:r>
        <w:t>Meirav</w:t>
      </w:r>
      <w:proofErr w:type="spellEnd"/>
      <w:r>
        <w:t xml:space="preserve">, Jorge Morales, </w:t>
      </w:r>
      <w:proofErr w:type="spellStart"/>
      <w:r>
        <w:t>Liad</w:t>
      </w:r>
      <w:proofErr w:type="spellEnd"/>
      <w:r>
        <w:t xml:space="preserve"> </w:t>
      </w:r>
      <w:proofErr w:type="spellStart"/>
      <w:r>
        <w:t>Mudrik</w:t>
      </w:r>
      <w:proofErr w:type="spellEnd"/>
      <w:r>
        <w:t xml:space="preserve">, Gil </w:t>
      </w:r>
      <w:proofErr w:type="spellStart"/>
      <w:r>
        <w:t>Sagi</w:t>
      </w:r>
      <w:proofErr w:type="spellEnd"/>
      <w:r>
        <w:t xml:space="preserve">, Yaron Senderowicz, </w:t>
      </w:r>
      <w:r w:rsidR="00B40320">
        <w:t xml:space="preserve">Marius Usher, </w:t>
      </w:r>
      <w:r>
        <w:t xml:space="preserve">and </w:t>
      </w:r>
      <w:proofErr w:type="spellStart"/>
      <w:r>
        <w:t>Yaffa</w:t>
      </w:r>
      <w:proofErr w:type="spellEnd"/>
      <w:r>
        <w:t xml:space="preserve"> Yeshurun for their helpful comments. This research was funded by the Humanities Fund.</w:t>
      </w:r>
    </w:p>
  </w:footnote>
  <w:footnote w:id="3">
    <w:p w14:paraId="34AE51B9" w14:textId="40922465" w:rsidR="006F7549" w:rsidRDefault="006F7549" w:rsidP="00C82E5B">
      <w:pPr>
        <w:pStyle w:val="FootnoteText"/>
      </w:pPr>
      <w:r>
        <w:rPr>
          <w:rStyle w:val="FootnoteReference"/>
        </w:rPr>
        <w:footnoteRef/>
      </w:r>
      <w:r>
        <w:t xml:space="preserve"> It is customary to use asterisks to denote phenomenal character types, as in “white*” (see Papineau 2014).</w:t>
      </w:r>
    </w:p>
  </w:footnote>
  <w:footnote w:id="4">
    <w:p w14:paraId="4CC04DBB" w14:textId="59FECE2C" w:rsidR="00502D13" w:rsidRDefault="00502D13" w:rsidP="00610FEC">
      <w:pPr>
        <w:pStyle w:val="FootnoteText"/>
      </w:pPr>
      <w:r>
        <w:rPr>
          <w:rStyle w:val="FootnoteReference"/>
        </w:rPr>
        <w:footnoteRef/>
      </w:r>
      <w:r>
        <w:t xml:space="preserve"> </w:t>
      </w:r>
      <w:bookmarkStart w:id="9" w:name="_Hlk14860291"/>
      <w:r w:rsidR="00A204C6">
        <w:t>An anonymous reviewer suggested a consideration against this assumption</w:t>
      </w:r>
      <w:r w:rsidR="00610FEC">
        <w:t xml:space="preserve"> along the following lines</w:t>
      </w:r>
      <w:r w:rsidR="00D95D8B">
        <w:t xml:space="preserve">. The assumption is supposed to apply to hallucinations. The representational content of a hallucination of </w:t>
      </w:r>
      <w:r w:rsidR="00666549">
        <w:t xml:space="preserve">a </w:t>
      </w:r>
      <w:r w:rsidR="00D95D8B">
        <w:t xml:space="preserve">yellow lemon does not include the yellowness of objects in the subject’s vicinity (i.e., </w:t>
      </w:r>
      <w:r w:rsidR="00666549">
        <w:t xml:space="preserve">instances of </w:t>
      </w:r>
      <w:r w:rsidR="00D95D8B">
        <w:t xml:space="preserve">yellowness), since nothing there need be yellow. It </w:t>
      </w:r>
      <w:r w:rsidR="00F309B4">
        <w:t xml:space="preserve">therefore </w:t>
      </w:r>
      <w:r w:rsidR="00D01361">
        <w:t xml:space="preserve">seems that </w:t>
      </w:r>
      <w:r w:rsidR="00803A9C">
        <w:t>the representational content</w:t>
      </w:r>
      <w:r w:rsidR="00D01361">
        <w:t xml:space="preserve"> </w:t>
      </w:r>
      <w:r w:rsidR="00D95D8B">
        <w:t xml:space="preserve">should include the abstract property </w:t>
      </w:r>
      <w:r w:rsidR="00594E12">
        <w:t xml:space="preserve">of </w:t>
      </w:r>
      <w:r w:rsidR="00D95D8B" w:rsidRPr="00D82A0F">
        <w:t>yellowness</w:t>
      </w:r>
      <w:r w:rsidR="00610FEC">
        <w:t xml:space="preserve">, even </w:t>
      </w:r>
      <w:r w:rsidR="00065C9D">
        <w:t xml:space="preserve">though </w:t>
      </w:r>
      <w:r w:rsidR="00610FEC">
        <w:t xml:space="preserve">it </w:t>
      </w:r>
      <w:r w:rsidR="00D95D8B">
        <w:t xml:space="preserve">is </w:t>
      </w:r>
      <w:proofErr w:type="spellStart"/>
      <w:r w:rsidR="00D95D8B">
        <w:t>uninstantiated</w:t>
      </w:r>
      <w:proofErr w:type="spellEnd"/>
      <w:r w:rsidR="00D95D8B">
        <w:t xml:space="preserve">. But then the assumption that we typically attend to the representational content of experience appears to imply that, when hallucinating a yellow lemon, we attend to the abstract property </w:t>
      </w:r>
      <w:r w:rsidR="00594E12">
        <w:t xml:space="preserve">of </w:t>
      </w:r>
      <w:r w:rsidR="00D95D8B" w:rsidRPr="00D82A0F">
        <w:t>yellowness</w:t>
      </w:r>
      <w:r w:rsidR="00D95D8B">
        <w:t xml:space="preserve"> even </w:t>
      </w:r>
      <w:r w:rsidR="00F549C9">
        <w:t>though it</w:t>
      </w:r>
      <w:r w:rsidR="00D95D8B">
        <w:t xml:space="preserve"> </w:t>
      </w:r>
      <w:r w:rsidR="00610FEC">
        <w:t xml:space="preserve">is </w:t>
      </w:r>
      <w:proofErr w:type="spellStart"/>
      <w:r w:rsidR="00610FEC">
        <w:t>uninstiantiated</w:t>
      </w:r>
      <w:proofErr w:type="spellEnd"/>
      <w:r w:rsidR="00610FEC">
        <w:t>. This latter idea seems very peculiar.</w:t>
      </w:r>
    </w:p>
    <w:bookmarkEnd w:id="9"/>
  </w:footnote>
  <w:footnote w:id="5">
    <w:p w14:paraId="2A24E719" w14:textId="11DF2821" w:rsidR="006F7549" w:rsidRPr="00DF20B2" w:rsidRDefault="006F7549" w:rsidP="00A06456">
      <w:pPr>
        <w:pStyle w:val="FootnoteText"/>
      </w:pPr>
      <w:r>
        <w:rPr>
          <w:rStyle w:val="FootnoteReference"/>
        </w:rPr>
        <w:footnoteRef/>
      </w:r>
      <w:r>
        <w:t xml:space="preserve"> Couldn’t Block, Kind or Loar have a weaker sense of "attention" in mind? Specifically, perhaps they mean that attention to mental paint allows us to ask of it, “what is </w:t>
      </w:r>
      <w:r>
        <w:rPr>
          <w:i/>
          <w:iCs/>
        </w:rPr>
        <w:t>that</w:t>
      </w:r>
      <w:r>
        <w:rPr>
          <w:rFonts w:hint="cs"/>
          <w:i/>
          <w:iCs/>
          <w:rtl/>
        </w:rPr>
        <w:t>?</w:t>
      </w:r>
      <w:r>
        <w:t>”, yet it does not allow us to directly identify it as blue*, even in simple cases such as looking at the ocean at daytime. It is difficult to make sense of such an option. If we possess the concept of blueness* yet we can’t tell that the mental paint we currently enjoy is blue* even in the most clear-cut cases, then we don’t seem to notice it at all!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3E91E" w14:textId="77777777" w:rsidR="00F40464" w:rsidRDefault="00F404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54889"/>
    <w:multiLevelType w:val="hybridMultilevel"/>
    <w:tmpl w:val="C428EEF6"/>
    <w:lvl w:ilvl="0" w:tplc="17C2D552">
      <w:start w:val="1"/>
      <w:numFmt w:val="bullet"/>
      <w:lvlText w:val="•"/>
      <w:lvlJc w:val="left"/>
      <w:pPr>
        <w:tabs>
          <w:tab w:val="num" w:pos="720"/>
        </w:tabs>
        <w:ind w:left="720" w:hanging="360"/>
      </w:pPr>
      <w:rPr>
        <w:rFonts w:ascii="Arial" w:hAnsi="Arial" w:hint="default"/>
      </w:rPr>
    </w:lvl>
    <w:lvl w:ilvl="1" w:tplc="5914D6D8" w:tentative="1">
      <w:start w:val="1"/>
      <w:numFmt w:val="bullet"/>
      <w:lvlText w:val="•"/>
      <w:lvlJc w:val="left"/>
      <w:pPr>
        <w:tabs>
          <w:tab w:val="num" w:pos="1440"/>
        </w:tabs>
        <w:ind w:left="1440" w:hanging="360"/>
      </w:pPr>
      <w:rPr>
        <w:rFonts w:ascii="Arial" w:hAnsi="Arial" w:hint="default"/>
      </w:rPr>
    </w:lvl>
    <w:lvl w:ilvl="2" w:tplc="B6B82786" w:tentative="1">
      <w:start w:val="1"/>
      <w:numFmt w:val="bullet"/>
      <w:lvlText w:val="•"/>
      <w:lvlJc w:val="left"/>
      <w:pPr>
        <w:tabs>
          <w:tab w:val="num" w:pos="2160"/>
        </w:tabs>
        <w:ind w:left="2160" w:hanging="360"/>
      </w:pPr>
      <w:rPr>
        <w:rFonts w:ascii="Arial" w:hAnsi="Arial" w:hint="default"/>
      </w:rPr>
    </w:lvl>
    <w:lvl w:ilvl="3" w:tplc="9C3AC69E" w:tentative="1">
      <w:start w:val="1"/>
      <w:numFmt w:val="bullet"/>
      <w:lvlText w:val="•"/>
      <w:lvlJc w:val="left"/>
      <w:pPr>
        <w:tabs>
          <w:tab w:val="num" w:pos="2880"/>
        </w:tabs>
        <w:ind w:left="2880" w:hanging="360"/>
      </w:pPr>
      <w:rPr>
        <w:rFonts w:ascii="Arial" w:hAnsi="Arial" w:hint="default"/>
      </w:rPr>
    </w:lvl>
    <w:lvl w:ilvl="4" w:tplc="415029CC" w:tentative="1">
      <w:start w:val="1"/>
      <w:numFmt w:val="bullet"/>
      <w:lvlText w:val="•"/>
      <w:lvlJc w:val="left"/>
      <w:pPr>
        <w:tabs>
          <w:tab w:val="num" w:pos="3600"/>
        </w:tabs>
        <w:ind w:left="3600" w:hanging="360"/>
      </w:pPr>
      <w:rPr>
        <w:rFonts w:ascii="Arial" w:hAnsi="Arial" w:hint="default"/>
      </w:rPr>
    </w:lvl>
    <w:lvl w:ilvl="5" w:tplc="D59AED02" w:tentative="1">
      <w:start w:val="1"/>
      <w:numFmt w:val="bullet"/>
      <w:lvlText w:val="•"/>
      <w:lvlJc w:val="left"/>
      <w:pPr>
        <w:tabs>
          <w:tab w:val="num" w:pos="4320"/>
        </w:tabs>
        <w:ind w:left="4320" w:hanging="360"/>
      </w:pPr>
      <w:rPr>
        <w:rFonts w:ascii="Arial" w:hAnsi="Arial" w:hint="default"/>
      </w:rPr>
    </w:lvl>
    <w:lvl w:ilvl="6" w:tplc="2A602DAC" w:tentative="1">
      <w:start w:val="1"/>
      <w:numFmt w:val="bullet"/>
      <w:lvlText w:val="•"/>
      <w:lvlJc w:val="left"/>
      <w:pPr>
        <w:tabs>
          <w:tab w:val="num" w:pos="5040"/>
        </w:tabs>
        <w:ind w:left="5040" w:hanging="360"/>
      </w:pPr>
      <w:rPr>
        <w:rFonts w:ascii="Arial" w:hAnsi="Arial" w:hint="default"/>
      </w:rPr>
    </w:lvl>
    <w:lvl w:ilvl="7" w:tplc="A1B41ECE" w:tentative="1">
      <w:start w:val="1"/>
      <w:numFmt w:val="bullet"/>
      <w:lvlText w:val="•"/>
      <w:lvlJc w:val="left"/>
      <w:pPr>
        <w:tabs>
          <w:tab w:val="num" w:pos="5760"/>
        </w:tabs>
        <w:ind w:left="5760" w:hanging="360"/>
      </w:pPr>
      <w:rPr>
        <w:rFonts w:ascii="Arial" w:hAnsi="Arial" w:hint="default"/>
      </w:rPr>
    </w:lvl>
    <w:lvl w:ilvl="8" w:tplc="24AA09B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5751688"/>
    <w:multiLevelType w:val="hybridMultilevel"/>
    <w:tmpl w:val="60F893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A21373"/>
    <w:multiLevelType w:val="multilevel"/>
    <w:tmpl w:val="A288D40C"/>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6A508FE"/>
    <w:multiLevelType w:val="hybridMultilevel"/>
    <w:tmpl w:val="45542DB2"/>
    <w:lvl w:ilvl="0" w:tplc="71AE9F08">
      <w:start w:val="1"/>
      <w:numFmt w:val="bullet"/>
      <w:lvlText w:val="•"/>
      <w:lvlJc w:val="left"/>
      <w:pPr>
        <w:tabs>
          <w:tab w:val="num" w:pos="720"/>
        </w:tabs>
        <w:ind w:left="720" w:hanging="360"/>
      </w:pPr>
      <w:rPr>
        <w:rFonts w:ascii="Arial" w:hAnsi="Arial" w:hint="default"/>
      </w:rPr>
    </w:lvl>
    <w:lvl w:ilvl="1" w:tplc="9FB69AF0" w:tentative="1">
      <w:start w:val="1"/>
      <w:numFmt w:val="bullet"/>
      <w:lvlText w:val="•"/>
      <w:lvlJc w:val="left"/>
      <w:pPr>
        <w:tabs>
          <w:tab w:val="num" w:pos="1440"/>
        </w:tabs>
        <w:ind w:left="1440" w:hanging="360"/>
      </w:pPr>
      <w:rPr>
        <w:rFonts w:ascii="Arial" w:hAnsi="Arial" w:hint="default"/>
      </w:rPr>
    </w:lvl>
    <w:lvl w:ilvl="2" w:tplc="66EE5388" w:tentative="1">
      <w:start w:val="1"/>
      <w:numFmt w:val="bullet"/>
      <w:lvlText w:val="•"/>
      <w:lvlJc w:val="left"/>
      <w:pPr>
        <w:tabs>
          <w:tab w:val="num" w:pos="2160"/>
        </w:tabs>
        <w:ind w:left="2160" w:hanging="360"/>
      </w:pPr>
      <w:rPr>
        <w:rFonts w:ascii="Arial" w:hAnsi="Arial" w:hint="default"/>
      </w:rPr>
    </w:lvl>
    <w:lvl w:ilvl="3" w:tplc="12161CEA" w:tentative="1">
      <w:start w:val="1"/>
      <w:numFmt w:val="bullet"/>
      <w:lvlText w:val="•"/>
      <w:lvlJc w:val="left"/>
      <w:pPr>
        <w:tabs>
          <w:tab w:val="num" w:pos="2880"/>
        </w:tabs>
        <w:ind w:left="2880" w:hanging="360"/>
      </w:pPr>
      <w:rPr>
        <w:rFonts w:ascii="Arial" w:hAnsi="Arial" w:hint="default"/>
      </w:rPr>
    </w:lvl>
    <w:lvl w:ilvl="4" w:tplc="92AE9358" w:tentative="1">
      <w:start w:val="1"/>
      <w:numFmt w:val="bullet"/>
      <w:lvlText w:val="•"/>
      <w:lvlJc w:val="left"/>
      <w:pPr>
        <w:tabs>
          <w:tab w:val="num" w:pos="3600"/>
        </w:tabs>
        <w:ind w:left="3600" w:hanging="360"/>
      </w:pPr>
      <w:rPr>
        <w:rFonts w:ascii="Arial" w:hAnsi="Arial" w:hint="default"/>
      </w:rPr>
    </w:lvl>
    <w:lvl w:ilvl="5" w:tplc="1DA6B5D8" w:tentative="1">
      <w:start w:val="1"/>
      <w:numFmt w:val="bullet"/>
      <w:lvlText w:val="•"/>
      <w:lvlJc w:val="left"/>
      <w:pPr>
        <w:tabs>
          <w:tab w:val="num" w:pos="4320"/>
        </w:tabs>
        <w:ind w:left="4320" w:hanging="360"/>
      </w:pPr>
      <w:rPr>
        <w:rFonts w:ascii="Arial" w:hAnsi="Arial" w:hint="default"/>
      </w:rPr>
    </w:lvl>
    <w:lvl w:ilvl="6" w:tplc="CDCEF576" w:tentative="1">
      <w:start w:val="1"/>
      <w:numFmt w:val="bullet"/>
      <w:lvlText w:val="•"/>
      <w:lvlJc w:val="left"/>
      <w:pPr>
        <w:tabs>
          <w:tab w:val="num" w:pos="5040"/>
        </w:tabs>
        <w:ind w:left="5040" w:hanging="360"/>
      </w:pPr>
      <w:rPr>
        <w:rFonts w:ascii="Arial" w:hAnsi="Arial" w:hint="default"/>
      </w:rPr>
    </w:lvl>
    <w:lvl w:ilvl="7" w:tplc="4CDA9ACA" w:tentative="1">
      <w:start w:val="1"/>
      <w:numFmt w:val="bullet"/>
      <w:lvlText w:val="•"/>
      <w:lvlJc w:val="left"/>
      <w:pPr>
        <w:tabs>
          <w:tab w:val="num" w:pos="5760"/>
        </w:tabs>
        <w:ind w:left="5760" w:hanging="360"/>
      </w:pPr>
      <w:rPr>
        <w:rFonts w:ascii="Arial" w:hAnsi="Arial" w:hint="default"/>
      </w:rPr>
    </w:lvl>
    <w:lvl w:ilvl="8" w:tplc="C8EECF6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6512EF"/>
    <w:multiLevelType w:val="hybridMultilevel"/>
    <w:tmpl w:val="07B4CF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3A0A9E"/>
    <w:multiLevelType w:val="hybridMultilevel"/>
    <w:tmpl w:val="3444A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0302F3"/>
    <w:multiLevelType w:val="hybridMultilevel"/>
    <w:tmpl w:val="E3E8D3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7584E8E"/>
    <w:multiLevelType w:val="multilevel"/>
    <w:tmpl w:val="52B20E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504709BA"/>
    <w:multiLevelType w:val="multilevel"/>
    <w:tmpl w:val="A288D40C"/>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567C0C87"/>
    <w:multiLevelType w:val="multilevel"/>
    <w:tmpl w:val="52B20E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664940E2"/>
    <w:multiLevelType w:val="multilevel"/>
    <w:tmpl w:val="A288D40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9"/>
  </w:num>
  <w:num w:numId="2">
    <w:abstractNumId w:val="3"/>
  </w:num>
  <w:num w:numId="3">
    <w:abstractNumId w:val="0"/>
  </w:num>
  <w:num w:numId="4">
    <w:abstractNumId w:val="4"/>
  </w:num>
  <w:num w:numId="5">
    <w:abstractNumId w:val="5"/>
  </w:num>
  <w:num w:numId="6">
    <w:abstractNumId w:val="1"/>
  </w:num>
  <w:num w:numId="7">
    <w:abstractNumId w:val="2"/>
  </w:num>
  <w:num w:numId="8">
    <w:abstractNumId w:val="8"/>
  </w:num>
  <w:num w:numId="9">
    <w:abstractNumId w:val="10"/>
  </w:num>
  <w:num w:numId="10">
    <w:abstractNumId w:val="6"/>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removePersonalInformation/>
  <w:removeDateAndTime/>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4BE"/>
    <w:rsid w:val="00000245"/>
    <w:rsid w:val="00000871"/>
    <w:rsid w:val="000009EB"/>
    <w:rsid w:val="00000AEC"/>
    <w:rsid w:val="000010AF"/>
    <w:rsid w:val="00001225"/>
    <w:rsid w:val="000015B1"/>
    <w:rsid w:val="00003157"/>
    <w:rsid w:val="00003712"/>
    <w:rsid w:val="000046E1"/>
    <w:rsid w:val="00004F25"/>
    <w:rsid w:val="00005A84"/>
    <w:rsid w:val="00005B07"/>
    <w:rsid w:val="0000640D"/>
    <w:rsid w:val="00006848"/>
    <w:rsid w:val="0000720E"/>
    <w:rsid w:val="00007EA5"/>
    <w:rsid w:val="00007EB2"/>
    <w:rsid w:val="000115B4"/>
    <w:rsid w:val="00013A79"/>
    <w:rsid w:val="00013DAD"/>
    <w:rsid w:val="0001446F"/>
    <w:rsid w:val="000145E4"/>
    <w:rsid w:val="0001499D"/>
    <w:rsid w:val="00015EDD"/>
    <w:rsid w:val="00016001"/>
    <w:rsid w:val="00017878"/>
    <w:rsid w:val="00017990"/>
    <w:rsid w:val="00017DF9"/>
    <w:rsid w:val="00017F26"/>
    <w:rsid w:val="000204CA"/>
    <w:rsid w:val="00020C5F"/>
    <w:rsid w:val="00020DE7"/>
    <w:rsid w:val="00021679"/>
    <w:rsid w:val="00021CA1"/>
    <w:rsid w:val="00023160"/>
    <w:rsid w:val="00023E6B"/>
    <w:rsid w:val="00024357"/>
    <w:rsid w:val="000243D2"/>
    <w:rsid w:val="0002447A"/>
    <w:rsid w:val="00024FD0"/>
    <w:rsid w:val="00025E61"/>
    <w:rsid w:val="0002640E"/>
    <w:rsid w:val="00026CCA"/>
    <w:rsid w:val="00027D3A"/>
    <w:rsid w:val="000307F4"/>
    <w:rsid w:val="00031861"/>
    <w:rsid w:val="0003364B"/>
    <w:rsid w:val="00033BDE"/>
    <w:rsid w:val="00033D39"/>
    <w:rsid w:val="00034524"/>
    <w:rsid w:val="0003526E"/>
    <w:rsid w:val="000352E0"/>
    <w:rsid w:val="00035470"/>
    <w:rsid w:val="0003694B"/>
    <w:rsid w:val="00036D74"/>
    <w:rsid w:val="00036FAF"/>
    <w:rsid w:val="0003778A"/>
    <w:rsid w:val="000407D6"/>
    <w:rsid w:val="00040EDB"/>
    <w:rsid w:val="000424E9"/>
    <w:rsid w:val="00042914"/>
    <w:rsid w:val="0004420A"/>
    <w:rsid w:val="0004478A"/>
    <w:rsid w:val="000458D7"/>
    <w:rsid w:val="00045A93"/>
    <w:rsid w:val="00045F3D"/>
    <w:rsid w:val="0004604F"/>
    <w:rsid w:val="000472FD"/>
    <w:rsid w:val="0004758F"/>
    <w:rsid w:val="00050141"/>
    <w:rsid w:val="00050717"/>
    <w:rsid w:val="00050941"/>
    <w:rsid w:val="000511B3"/>
    <w:rsid w:val="0005150D"/>
    <w:rsid w:val="000515AC"/>
    <w:rsid w:val="00051A06"/>
    <w:rsid w:val="00052DE6"/>
    <w:rsid w:val="0005303D"/>
    <w:rsid w:val="00053A42"/>
    <w:rsid w:val="000547D0"/>
    <w:rsid w:val="00056523"/>
    <w:rsid w:val="00057AEE"/>
    <w:rsid w:val="00060C5F"/>
    <w:rsid w:val="000629A7"/>
    <w:rsid w:val="00062AFD"/>
    <w:rsid w:val="00062DB1"/>
    <w:rsid w:val="00063B15"/>
    <w:rsid w:val="0006447C"/>
    <w:rsid w:val="0006478B"/>
    <w:rsid w:val="00064D5A"/>
    <w:rsid w:val="00065278"/>
    <w:rsid w:val="00065687"/>
    <w:rsid w:val="0006569A"/>
    <w:rsid w:val="00065C9D"/>
    <w:rsid w:val="00065E03"/>
    <w:rsid w:val="00066058"/>
    <w:rsid w:val="0006655E"/>
    <w:rsid w:val="00066EA8"/>
    <w:rsid w:val="000706A4"/>
    <w:rsid w:val="0007072F"/>
    <w:rsid w:val="00072763"/>
    <w:rsid w:val="00073A06"/>
    <w:rsid w:val="00076D43"/>
    <w:rsid w:val="000772A3"/>
    <w:rsid w:val="000776B2"/>
    <w:rsid w:val="00077BA8"/>
    <w:rsid w:val="00081A4C"/>
    <w:rsid w:val="000823D6"/>
    <w:rsid w:val="0008245A"/>
    <w:rsid w:val="00084871"/>
    <w:rsid w:val="00085738"/>
    <w:rsid w:val="00086F8A"/>
    <w:rsid w:val="0008735B"/>
    <w:rsid w:val="00087B31"/>
    <w:rsid w:val="0009076F"/>
    <w:rsid w:val="00090C6F"/>
    <w:rsid w:val="0009206D"/>
    <w:rsid w:val="0009297C"/>
    <w:rsid w:val="0009375E"/>
    <w:rsid w:val="00093857"/>
    <w:rsid w:val="00094632"/>
    <w:rsid w:val="000948CE"/>
    <w:rsid w:val="00094EA5"/>
    <w:rsid w:val="00095243"/>
    <w:rsid w:val="000954D0"/>
    <w:rsid w:val="00095698"/>
    <w:rsid w:val="00095BBA"/>
    <w:rsid w:val="00096493"/>
    <w:rsid w:val="00096BE1"/>
    <w:rsid w:val="00096C1B"/>
    <w:rsid w:val="00097616"/>
    <w:rsid w:val="00097BAB"/>
    <w:rsid w:val="000A0F54"/>
    <w:rsid w:val="000A10C4"/>
    <w:rsid w:val="000A195B"/>
    <w:rsid w:val="000A2808"/>
    <w:rsid w:val="000A2EB3"/>
    <w:rsid w:val="000A3264"/>
    <w:rsid w:val="000A4985"/>
    <w:rsid w:val="000A534F"/>
    <w:rsid w:val="000A54FD"/>
    <w:rsid w:val="000A56E3"/>
    <w:rsid w:val="000A56FC"/>
    <w:rsid w:val="000A616A"/>
    <w:rsid w:val="000A6660"/>
    <w:rsid w:val="000A6EB2"/>
    <w:rsid w:val="000A7E87"/>
    <w:rsid w:val="000B0607"/>
    <w:rsid w:val="000B09AF"/>
    <w:rsid w:val="000B19B0"/>
    <w:rsid w:val="000B1FD5"/>
    <w:rsid w:val="000B2262"/>
    <w:rsid w:val="000B2695"/>
    <w:rsid w:val="000B288F"/>
    <w:rsid w:val="000B35E2"/>
    <w:rsid w:val="000B3753"/>
    <w:rsid w:val="000B3AFE"/>
    <w:rsid w:val="000B5820"/>
    <w:rsid w:val="000B5B7A"/>
    <w:rsid w:val="000B7295"/>
    <w:rsid w:val="000C237D"/>
    <w:rsid w:val="000C2BF6"/>
    <w:rsid w:val="000C3EAB"/>
    <w:rsid w:val="000C4AF9"/>
    <w:rsid w:val="000D086A"/>
    <w:rsid w:val="000D0CA4"/>
    <w:rsid w:val="000D0D3B"/>
    <w:rsid w:val="000D0F86"/>
    <w:rsid w:val="000D15A9"/>
    <w:rsid w:val="000D1815"/>
    <w:rsid w:val="000D18E6"/>
    <w:rsid w:val="000D2032"/>
    <w:rsid w:val="000D26E8"/>
    <w:rsid w:val="000D2DE8"/>
    <w:rsid w:val="000D32B2"/>
    <w:rsid w:val="000D3B1C"/>
    <w:rsid w:val="000D57D4"/>
    <w:rsid w:val="000D597F"/>
    <w:rsid w:val="000D5FAC"/>
    <w:rsid w:val="000D62E3"/>
    <w:rsid w:val="000D62FF"/>
    <w:rsid w:val="000D7AA0"/>
    <w:rsid w:val="000E0E15"/>
    <w:rsid w:val="000E14C5"/>
    <w:rsid w:val="000E20DA"/>
    <w:rsid w:val="000E24E3"/>
    <w:rsid w:val="000E29C8"/>
    <w:rsid w:val="000E2DF8"/>
    <w:rsid w:val="000E311F"/>
    <w:rsid w:val="000E341E"/>
    <w:rsid w:val="000E5709"/>
    <w:rsid w:val="000E5F71"/>
    <w:rsid w:val="000E6B07"/>
    <w:rsid w:val="000E75E0"/>
    <w:rsid w:val="000E7D86"/>
    <w:rsid w:val="000F0034"/>
    <w:rsid w:val="000F017F"/>
    <w:rsid w:val="000F0A42"/>
    <w:rsid w:val="000F0B8D"/>
    <w:rsid w:val="000F13E7"/>
    <w:rsid w:val="000F5791"/>
    <w:rsid w:val="000F7301"/>
    <w:rsid w:val="001011B4"/>
    <w:rsid w:val="0010175B"/>
    <w:rsid w:val="0010195A"/>
    <w:rsid w:val="00101B2D"/>
    <w:rsid w:val="00102C06"/>
    <w:rsid w:val="00103900"/>
    <w:rsid w:val="00105440"/>
    <w:rsid w:val="00106C15"/>
    <w:rsid w:val="0010711C"/>
    <w:rsid w:val="00107982"/>
    <w:rsid w:val="00107D3D"/>
    <w:rsid w:val="0011056B"/>
    <w:rsid w:val="00110A4F"/>
    <w:rsid w:val="00112AEF"/>
    <w:rsid w:val="00113974"/>
    <w:rsid w:val="00114751"/>
    <w:rsid w:val="00114F4F"/>
    <w:rsid w:val="00114F53"/>
    <w:rsid w:val="001160D2"/>
    <w:rsid w:val="00116DC8"/>
    <w:rsid w:val="0011705B"/>
    <w:rsid w:val="001170A8"/>
    <w:rsid w:val="00117593"/>
    <w:rsid w:val="00117A21"/>
    <w:rsid w:val="001205D9"/>
    <w:rsid w:val="00120652"/>
    <w:rsid w:val="00122092"/>
    <w:rsid w:val="00122CDA"/>
    <w:rsid w:val="00123A0E"/>
    <w:rsid w:val="001247F7"/>
    <w:rsid w:val="00125027"/>
    <w:rsid w:val="00125E1D"/>
    <w:rsid w:val="00127370"/>
    <w:rsid w:val="0012778B"/>
    <w:rsid w:val="0013030A"/>
    <w:rsid w:val="001325A4"/>
    <w:rsid w:val="001333A6"/>
    <w:rsid w:val="0013374E"/>
    <w:rsid w:val="001337BF"/>
    <w:rsid w:val="001339FE"/>
    <w:rsid w:val="00134BB1"/>
    <w:rsid w:val="00136112"/>
    <w:rsid w:val="0013628A"/>
    <w:rsid w:val="00137421"/>
    <w:rsid w:val="001408DC"/>
    <w:rsid w:val="00140B8A"/>
    <w:rsid w:val="001419A9"/>
    <w:rsid w:val="0014211B"/>
    <w:rsid w:val="0014245B"/>
    <w:rsid w:val="00143106"/>
    <w:rsid w:val="00143EF5"/>
    <w:rsid w:val="00144038"/>
    <w:rsid w:val="001446DF"/>
    <w:rsid w:val="00144D70"/>
    <w:rsid w:val="00144E3A"/>
    <w:rsid w:val="00144F1E"/>
    <w:rsid w:val="001451FA"/>
    <w:rsid w:val="001456CB"/>
    <w:rsid w:val="00146389"/>
    <w:rsid w:val="0014657C"/>
    <w:rsid w:val="001466ED"/>
    <w:rsid w:val="001468B6"/>
    <w:rsid w:val="00147F38"/>
    <w:rsid w:val="001502FC"/>
    <w:rsid w:val="001520DA"/>
    <w:rsid w:val="00152479"/>
    <w:rsid w:val="001527A6"/>
    <w:rsid w:val="00153081"/>
    <w:rsid w:val="00153320"/>
    <w:rsid w:val="00153E0B"/>
    <w:rsid w:val="00154502"/>
    <w:rsid w:val="00156213"/>
    <w:rsid w:val="001564DC"/>
    <w:rsid w:val="001571C4"/>
    <w:rsid w:val="00160093"/>
    <w:rsid w:val="0016010B"/>
    <w:rsid w:val="0016072E"/>
    <w:rsid w:val="00160754"/>
    <w:rsid w:val="00160A87"/>
    <w:rsid w:val="00161D08"/>
    <w:rsid w:val="00165B5E"/>
    <w:rsid w:val="001674FC"/>
    <w:rsid w:val="00171947"/>
    <w:rsid w:val="00172A53"/>
    <w:rsid w:val="00172C61"/>
    <w:rsid w:val="00173D9C"/>
    <w:rsid w:val="00174730"/>
    <w:rsid w:val="0017618E"/>
    <w:rsid w:val="00176D9E"/>
    <w:rsid w:val="00177069"/>
    <w:rsid w:val="00177197"/>
    <w:rsid w:val="00177CBF"/>
    <w:rsid w:val="00177DB7"/>
    <w:rsid w:val="0018017E"/>
    <w:rsid w:val="001814C3"/>
    <w:rsid w:val="00181A2E"/>
    <w:rsid w:val="00181F59"/>
    <w:rsid w:val="00182219"/>
    <w:rsid w:val="0018340A"/>
    <w:rsid w:val="001842D7"/>
    <w:rsid w:val="00184DBC"/>
    <w:rsid w:val="00185B5B"/>
    <w:rsid w:val="00186B6A"/>
    <w:rsid w:val="001875E9"/>
    <w:rsid w:val="00187E49"/>
    <w:rsid w:val="00192776"/>
    <w:rsid w:val="001939A5"/>
    <w:rsid w:val="00194728"/>
    <w:rsid w:val="00194A81"/>
    <w:rsid w:val="00194D34"/>
    <w:rsid w:val="0019575D"/>
    <w:rsid w:val="0019598E"/>
    <w:rsid w:val="0019675F"/>
    <w:rsid w:val="00196979"/>
    <w:rsid w:val="00197ED3"/>
    <w:rsid w:val="001A0704"/>
    <w:rsid w:val="001A110F"/>
    <w:rsid w:val="001A1FE1"/>
    <w:rsid w:val="001A207A"/>
    <w:rsid w:val="001A2C54"/>
    <w:rsid w:val="001A36B6"/>
    <w:rsid w:val="001A3F2D"/>
    <w:rsid w:val="001A421C"/>
    <w:rsid w:val="001A5022"/>
    <w:rsid w:val="001A5722"/>
    <w:rsid w:val="001A5B3C"/>
    <w:rsid w:val="001A79E0"/>
    <w:rsid w:val="001A7B5F"/>
    <w:rsid w:val="001A7D9A"/>
    <w:rsid w:val="001A7F2B"/>
    <w:rsid w:val="001B1962"/>
    <w:rsid w:val="001B39DD"/>
    <w:rsid w:val="001B492A"/>
    <w:rsid w:val="001B4BDD"/>
    <w:rsid w:val="001B4E58"/>
    <w:rsid w:val="001B5195"/>
    <w:rsid w:val="001B5F2B"/>
    <w:rsid w:val="001B70E2"/>
    <w:rsid w:val="001B723B"/>
    <w:rsid w:val="001B7BA3"/>
    <w:rsid w:val="001C0612"/>
    <w:rsid w:val="001C0D10"/>
    <w:rsid w:val="001C25C9"/>
    <w:rsid w:val="001C3566"/>
    <w:rsid w:val="001C398F"/>
    <w:rsid w:val="001C5993"/>
    <w:rsid w:val="001C63E0"/>
    <w:rsid w:val="001C6E93"/>
    <w:rsid w:val="001C6FD3"/>
    <w:rsid w:val="001C741C"/>
    <w:rsid w:val="001C7AB6"/>
    <w:rsid w:val="001C7D37"/>
    <w:rsid w:val="001D08FD"/>
    <w:rsid w:val="001D112A"/>
    <w:rsid w:val="001D1901"/>
    <w:rsid w:val="001D1BA2"/>
    <w:rsid w:val="001D1BB3"/>
    <w:rsid w:val="001D303E"/>
    <w:rsid w:val="001D48B6"/>
    <w:rsid w:val="001D4D93"/>
    <w:rsid w:val="001D5954"/>
    <w:rsid w:val="001D5DB1"/>
    <w:rsid w:val="001D61B6"/>
    <w:rsid w:val="001D653E"/>
    <w:rsid w:val="001D6757"/>
    <w:rsid w:val="001D6822"/>
    <w:rsid w:val="001D75B0"/>
    <w:rsid w:val="001D7D29"/>
    <w:rsid w:val="001E0190"/>
    <w:rsid w:val="001E0F20"/>
    <w:rsid w:val="001E102D"/>
    <w:rsid w:val="001E1273"/>
    <w:rsid w:val="001E1F47"/>
    <w:rsid w:val="001E3A31"/>
    <w:rsid w:val="001E3D45"/>
    <w:rsid w:val="001E54C0"/>
    <w:rsid w:val="001E569D"/>
    <w:rsid w:val="001E73DB"/>
    <w:rsid w:val="001E74A2"/>
    <w:rsid w:val="001F0A6A"/>
    <w:rsid w:val="001F0E13"/>
    <w:rsid w:val="001F1014"/>
    <w:rsid w:val="001F10F5"/>
    <w:rsid w:val="001F1519"/>
    <w:rsid w:val="001F16E7"/>
    <w:rsid w:val="001F2524"/>
    <w:rsid w:val="001F2926"/>
    <w:rsid w:val="001F2B85"/>
    <w:rsid w:val="001F2C57"/>
    <w:rsid w:val="001F36B8"/>
    <w:rsid w:val="001F470C"/>
    <w:rsid w:val="001F47CE"/>
    <w:rsid w:val="001F527C"/>
    <w:rsid w:val="001F7B7D"/>
    <w:rsid w:val="001F7BEF"/>
    <w:rsid w:val="00200BC3"/>
    <w:rsid w:val="002011BC"/>
    <w:rsid w:val="0020260A"/>
    <w:rsid w:val="00203C40"/>
    <w:rsid w:val="00203D0D"/>
    <w:rsid w:val="00203D22"/>
    <w:rsid w:val="002040D6"/>
    <w:rsid w:val="00204234"/>
    <w:rsid w:val="0020567E"/>
    <w:rsid w:val="00205A4B"/>
    <w:rsid w:val="002067C7"/>
    <w:rsid w:val="00207493"/>
    <w:rsid w:val="00207B6D"/>
    <w:rsid w:val="0021166C"/>
    <w:rsid w:val="0021232D"/>
    <w:rsid w:val="00212870"/>
    <w:rsid w:val="00212F77"/>
    <w:rsid w:val="0021487E"/>
    <w:rsid w:val="00214959"/>
    <w:rsid w:val="0021552C"/>
    <w:rsid w:val="00217741"/>
    <w:rsid w:val="00220239"/>
    <w:rsid w:val="00220389"/>
    <w:rsid w:val="00220405"/>
    <w:rsid w:val="00220888"/>
    <w:rsid w:val="0022096E"/>
    <w:rsid w:val="00224398"/>
    <w:rsid w:val="00225FB3"/>
    <w:rsid w:val="00226B7A"/>
    <w:rsid w:val="00227EF1"/>
    <w:rsid w:val="00230716"/>
    <w:rsid w:val="0023128A"/>
    <w:rsid w:val="00231324"/>
    <w:rsid w:val="00232101"/>
    <w:rsid w:val="0023215F"/>
    <w:rsid w:val="00233426"/>
    <w:rsid w:val="002339BF"/>
    <w:rsid w:val="0023526C"/>
    <w:rsid w:val="002355D1"/>
    <w:rsid w:val="00235869"/>
    <w:rsid w:val="002358B9"/>
    <w:rsid w:val="00235988"/>
    <w:rsid w:val="0023646E"/>
    <w:rsid w:val="002371F2"/>
    <w:rsid w:val="00237BAB"/>
    <w:rsid w:val="002400DB"/>
    <w:rsid w:val="00240269"/>
    <w:rsid w:val="00240350"/>
    <w:rsid w:val="00241C47"/>
    <w:rsid w:val="0024226F"/>
    <w:rsid w:val="002422D2"/>
    <w:rsid w:val="0024261A"/>
    <w:rsid w:val="00243163"/>
    <w:rsid w:val="002435E6"/>
    <w:rsid w:val="002437EB"/>
    <w:rsid w:val="00243821"/>
    <w:rsid w:val="00243A78"/>
    <w:rsid w:val="002442D4"/>
    <w:rsid w:val="002447F0"/>
    <w:rsid w:val="002460E6"/>
    <w:rsid w:val="00246B78"/>
    <w:rsid w:val="002472D1"/>
    <w:rsid w:val="002477AD"/>
    <w:rsid w:val="002479DC"/>
    <w:rsid w:val="00251338"/>
    <w:rsid w:val="00252666"/>
    <w:rsid w:val="00253007"/>
    <w:rsid w:val="002532E3"/>
    <w:rsid w:val="0025353E"/>
    <w:rsid w:val="0025383A"/>
    <w:rsid w:val="00253B2E"/>
    <w:rsid w:val="0025444A"/>
    <w:rsid w:val="002547A0"/>
    <w:rsid w:val="00254F0F"/>
    <w:rsid w:val="00255D4E"/>
    <w:rsid w:val="00255DFB"/>
    <w:rsid w:val="002606AD"/>
    <w:rsid w:val="002619F4"/>
    <w:rsid w:val="00262184"/>
    <w:rsid w:val="002625C0"/>
    <w:rsid w:val="00262D94"/>
    <w:rsid w:val="00262E7D"/>
    <w:rsid w:val="002631A7"/>
    <w:rsid w:val="002632B6"/>
    <w:rsid w:val="00263431"/>
    <w:rsid w:val="00263B06"/>
    <w:rsid w:val="00264DCA"/>
    <w:rsid w:val="00265CAE"/>
    <w:rsid w:val="00266893"/>
    <w:rsid w:val="00267359"/>
    <w:rsid w:val="00270030"/>
    <w:rsid w:val="00271134"/>
    <w:rsid w:val="002717A6"/>
    <w:rsid w:val="00271B92"/>
    <w:rsid w:val="00271C4B"/>
    <w:rsid w:val="00272B8D"/>
    <w:rsid w:val="00272C34"/>
    <w:rsid w:val="00272F0C"/>
    <w:rsid w:val="00275956"/>
    <w:rsid w:val="0027647C"/>
    <w:rsid w:val="00281264"/>
    <w:rsid w:val="00282990"/>
    <w:rsid w:val="00283B79"/>
    <w:rsid w:val="00283F20"/>
    <w:rsid w:val="0028450C"/>
    <w:rsid w:val="00286658"/>
    <w:rsid w:val="002869CE"/>
    <w:rsid w:val="00286E6B"/>
    <w:rsid w:val="002875D1"/>
    <w:rsid w:val="002900D5"/>
    <w:rsid w:val="00290A1D"/>
    <w:rsid w:val="0029218C"/>
    <w:rsid w:val="002931D7"/>
    <w:rsid w:val="002939CC"/>
    <w:rsid w:val="002945F8"/>
    <w:rsid w:val="0029550C"/>
    <w:rsid w:val="00295853"/>
    <w:rsid w:val="00295E6A"/>
    <w:rsid w:val="002963F8"/>
    <w:rsid w:val="00297BA0"/>
    <w:rsid w:val="002A0CD4"/>
    <w:rsid w:val="002A187C"/>
    <w:rsid w:val="002A4C34"/>
    <w:rsid w:val="002A6B59"/>
    <w:rsid w:val="002A735A"/>
    <w:rsid w:val="002A7CE5"/>
    <w:rsid w:val="002A7D33"/>
    <w:rsid w:val="002B10F4"/>
    <w:rsid w:val="002B1CC9"/>
    <w:rsid w:val="002B259F"/>
    <w:rsid w:val="002B2E96"/>
    <w:rsid w:val="002B3981"/>
    <w:rsid w:val="002B562D"/>
    <w:rsid w:val="002B6130"/>
    <w:rsid w:val="002B6811"/>
    <w:rsid w:val="002B7468"/>
    <w:rsid w:val="002B78FE"/>
    <w:rsid w:val="002B7A53"/>
    <w:rsid w:val="002B7AA5"/>
    <w:rsid w:val="002B7AE0"/>
    <w:rsid w:val="002C0004"/>
    <w:rsid w:val="002C0FEF"/>
    <w:rsid w:val="002C104A"/>
    <w:rsid w:val="002C1B6A"/>
    <w:rsid w:val="002C1FE4"/>
    <w:rsid w:val="002C40F9"/>
    <w:rsid w:val="002C5CB2"/>
    <w:rsid w:val="002C6BA9"/>
    <w:rsid w:val="002D129B"/>
    <w:rsid w:val="002D185E"/>
    <w:rsid w:val="002D2E74"/>
    <w:rsid w:val="002D3428"/>
    <w:rsid w:val="002D3870"/>
    <w:rsid w:val="002D39C4"/>
    <w:rsid w:val="002D3BE0"/>
    <w:rsid w:val="002D3CA5"/>
    <w:rsid w:val="002D435E"/>
    <w:rsid w:val="002D4458"/>
    <w:rsid w:val="002D49CD"/>
    <w:rsid w:val="002D541D"/>
    <w:rsid w:val="002D5782"/>
    <w:rsid w:val="002D62AD"/>
    <w:rsid w:val="002D6FD3"/>
    <w:rsid w:val="002D70A8"/>
    <w:rsid w:val="002E0D89"/>
    <w:rsid w:val="002E11D0"/>
    <w:rsid w:val="002E2138"/>
    <w:rsid w:val="002E21E9"/>
    <w:rsid w:val="002E3080"/>
    <w:rsid w:val="002E3DCD"/>
    <w:rsid w:val="002E649E"/>
    <w:rsid w:val="002E7B39"/>
    <w:rsid w:val="002F0004"/>
    <w:rsid w:val="002F17E5"/>
    <w:rsid w:val="002F21D6"/>
    <w:rsid w:val="002F2508"/>
    <w:rsid w:val="002F2651"/>
    <w:rsid w:val="002F2F72"/>
    <w:rsid w:val="002F38F6"/>
    <w:rsid w:val="002F3D26"/>
    <w:rsid w:val="002F3FEF"/>
    <w:rsid w:val="002F4C91"/>
    <w:rsid w:val="002F609A"/>
    <w:rsid w:val="002F664A"/>
    <w:rsid w:val="002F6DC6"/>
    <w:rsid w:val="002F7EF6"/>
    <w:rsid w:val="003002B5"/>
    <w:rsid w:val="0030062A"/>
    <w:rsid w:val="00301346"/>
    <w:rsid w:val="003038CF"/>
    <w:rsid w:val="00305470"/>
    <w:rsid w:val="00305B68"/>
    <w:rsid w:val="00306233"/>
    <w:rsid w:val="003065F1"/>
    <w:rsid w:val="0030750C"/>
    <w:rsid w:val="003117F8"/>
    <w:rsid w:val="00311B51"/>
    <w:rsid w:val="00313504"/>
    <w:rsid w:val="0031372C"/>
    <w:rsid w:val="00313766"/>
    <w:rsid w:val="0031399A"/>
    <w:rsid w:val="00313F97"/>
    <w:rsid w:val="003147FE"/>
    <w:rsid w:val="00315A73"/>
    <w:rsid w:val="0031626F"/>
    <w:rsid w:val="00316309"/>
    <w:rsid w:val="00317373"/>
    <w:rsid w:val="0032012C"/>
    <w:rsid w:val="003215E1"/>
    <w:rsid w:val="0032199E"/>
    <w:rsid w:val="00321C08"/>
    <w:rsid w:val="00322875"/>
    <w:rsid w:val="00323A54"/>
    <w:rsid w:val="003262F1"/>
    <w:rsid w:val="0032688A"/>
    <w:rsid w:val="00327457"/>
    <w:rsid w:val="003274E6"/>
    <w:rsid w:val="003278EF"/>
    <w:rsid w:val="003315E2"/>
    <w:rsid w:val="0033178F"/>
    <w:rsid w:val="00332314"/>
    <w:rsid w:val="003327F5"/>
    <w:rsid w:val="00332FDD"/>
    <w:rsid w:val="00333041"/>
    <w:rsid w:val="003337E7"/>
    <w:rsid w:val="00333816"/>
    <w:rsid w:val="00334DC6"/>
    <w:rsid w:val="0033579A"/>
    <w:rsid w:val="00335BF4"/>
    <w:rsid w:val="00335C1B"/>
    <w:rsid w:val="00337BE3"/>
    <w:rsid w:val="00340173"/>
    <w:rsid w:val="00340B92"/>
    <w:rsid w:val="00340FBC"/>
    <w:rsid w:val="00341BF2"/>
    <w:rsid w:val="00342E11"/>
    <w:rsid w:val="003435E6"/>
    <w:rsid w:val="00343F0A"/>
    <w:rsid w:val="00344E45"/>
    <w:rsid w:val="0034581A"/>
    <w:rsid w:val="0034602F"/>
    <w:rsid w:val="00347068"/>
    <w:rsid w:val="003473EE"/>
    <w:rsid w:val="003506FD"/>
    <w:rsid w:val="00352DF7"/>
    <w:rsid w:val="003532BE"/>
    <w:rsid w:val="00353437"/>
    <w:rsid w:val="00353CC3"/>
    <w:rsid w:val="00353E71"/>
    <w:rsid w:val="00354318"/>
    <w:rsid w:val="0035605F"/>
    <w:rsid w:val="00356D04"/>
    <w:rsid w:val="00357E9E"/>
    <w:rsid w:val="003606C8"/>
    <w:rsid w:val="003613A0"/>
    <w:rsid w:val="00362508"/>
    <w:rsid w:val="00362BD0"/>
    <w:rsid w:val="00362D93"/>
    <w:rsid w:val="003633D3"/>
    <w:rsid w:val="00363A31"/>
    <w:rsid w:val="00363B25"/>
    <w:rsid w:val="00363C2D"/>
    <w:rsid w:val="00363E5D"/>
    <w:rsid w:val="00364692"/>
    <w:rsid w:val="00365132"/>
    <w:rsid w:val="0036515A"/>
    <w:rsid w:val="00365CA0"/>
    <w:rsid w:val="00365F61"/>
    <w:rsid w:val="003660D3"/>
    <w:rsid w:val="00366CF3"/>
    <w:rsid w:val="00367294"/>
    <w:rsid w:val="00367499"/>
    <w:rsid w:val="00370AC8"/>
    <w:rsid w:val="00370E11"/>
    <w:rsid w:val="0037122A"/>
    <w:rsid w:val="003712D0"/>
    <w:rsid w:val="0037206A"/>
    <w:rsid w:val="00372170"/>
    <w:rsid w:val="003732D7"/>
    <w:rsid w:val="00373A7F"/>
    <w:rsid w:val="003748D2"/>
    <w:rsid w:val="00376098"/>
    <w:rsid w:val="00377567"/>
    <w:rsid w:val="003802B3"/>
    <w:rsid w:val="00380BC9"/>
    <w:rsid w:val="00381048"/>
    <w:rsid w:val="00381202"/>
    <w:rsid w:val="00381E1A"/>
    <w:rsid w:val="003821C4"/>
    <w:rsid w:val="00382AB5"/>
    <w:rsid w:val="00382C0C"/>
    <w:rsid w:val="00384939"/>
    <w:rsid w:val="00384E78"/>
    <w:rsid w:val="00385447"/>
    <w:rsid w:val="003857F3"/>
    <w:rsid w:val="00386473"/>
    <w:rsid w:val="00386568"/>
    <w:rsid w:val="00386EF3"/>
    <w:rsid w:val="00390624"/>
    <w:rsid w:val="0039122A"/>
    <w:rsid w:val="00391884"/>
    <w:rsid w:val="00391BE2"/>
    <w:rsid w:val="003927DF"/>
    <w:rsid w:val="00392BEA"/>
    <w:rsid w:val="00392D0E"/>
    <w:rsid w:val="00392D49"/>
    <w:rsid w:val="00393319"/>
    <w:rsid w:val="00393324"/>
    <w:rsid w:val="00393DA6"/>
    <w:rsid w:val="003944B2"/>
    <w:rsid w:val="00394C19"/>
    <w:rsid w:val="00394CED"/>
    <w:rsid w:val="00394E01"/>
    <w:rsid w:val="003950D8"/>
    <w:rsid w:val="0039512D"/>
    <w:rsid w:val="00395D3C"/>
    <w:rsid w:val="00396156"/>
    <w:rsid w:val="003974B1"/>
    <w:rsid w:val="00397DD6"/>
    <w:rsid w:val="003A0988"/>
    <w:rsid w:val="003A0DD5"/>
    <w:rsid w:val="003A28BB"/>
    <w:rsid w:val="003A3AD2"/>
    <w:rsid w:val="003A4184"/>
    <w:rsid w:val="003A4504"/>
    <w:rsid w:val="003A46D6"/>
    <w:rsid w:val="003A4A93"/>
    <w:rsid w:val="003A5D6D"/>
    <w:rsid w:val="003A61DC"/>
    <w:rsid w:val="003A66F4"/>
    <w:rsid w:val="003A6994"/>
    <w:rsid w:val="003A74E0"/>
    <w:rsid w:val="003A7BCE"/>
    <w:rsid w:val="003B1547"/>
    <w:rsid w:val="003B1837"/>
    <w:rsid w:val="003B1B47"/>
    <w:rsid w:val="003B2560"/>
    <w:rsid w:val="003B35BB"/>
    <w:rsid w:val="003B35BE"/>
    <w:rsid w:val="003B5A11"/>
    <w:rsid w:val="003B5D0A"/>
    <w:rsid w:val="003B6DC9"/>
    <w:rsid w:val="003B71B7"/>
    <w:rsid w:val="003B740F"/>
    <w:rsid w:val="003C01A7"/>
    <w:rsid w:val="003C01E0"/>
    <w:rsid w:val="003C0F41"/>
    <w:rsid w:val="003C1DA3"/>
    <w:rsid w:val="003C1ED3"/>
    <w:rsid w:val="003C3020"/>
    <w:rsid w:val="003C36BB"/>
    <w:rsid w:val="003C385A"/>
    <w:rsid w:val="003C38EC"/>
    <w:rsid w:val="003C45FB"/>
    <w:rsid w:val="003C5851"/>
    <w:rsid w:val="003C59D5"/>
    <w:rsid w:val="003C62C4"/>
    <w:rsid w:val="003C63C1"/>
    <w:rsid w:val="003C7033"/>
    <w:rsid w:val="003C711F"/>
    <w:rsid w:val="003C732D"/>
    <w:rsid w:val="003C7DDB"/>
    <w:rsid w:val="003D0D28"/>
    <w:rsid w:val="003D0DBD"/>
    <w:rsid w:val="003D108F"/>
    <w:rsid w:val="003D215A"/>
    <w:rsid w:val="003D303F"/>
    <w:rsid w:val="003D6790"/>
    <w:rsid w:val="003D7E8C"/>
    <w:rsid w:val="003E13B9"/>
    <w:rsid w:val="003E226C"/>
    <w:rsid w:val="003E262F"/>
    <w:rsid w:val="003E442C"/>
    <w:rsid w:val="003E4E94"/>
    <w:rsid w:val="003E5062"/>
    <w:rsid w:val="003E6207"/>
    <w:rsid w:val="003E6473"/>
    <w:rsid w:val="003E6BEB"/>
    <w:rsid w:val="003E72A9"/>
    <w:rsid w:val="003F0E9E"/>
    <w:rsid w:val="003F1224"/>
    <w:rsid w:val="003F1305"/>
    <w:rsid w:val="003F15DE"/>
    <w:rsid w:val="003F1E94"/>
    <w:rsid w:val="003F304A"/>
    <w:rsid w:val="003F35C8"/>
    <w:rsid w:val="003F3FA6"/>
    <w:rsid w:val="003F48C7"/>
    <w:rsid w:val="003F5F24"/>
    <w:rsid w:val="003F61C6"/>
    <w:rsid w:val="003F6E09"/>
    <w:rsid w:val="004013B0"/>
    <w:rsid w:val="004018B6"/>
    <w:rsid w:val="00401DA6"/>
    <w:rsid w:val="004028C6"/>
    <w:rsid w:val="0040453A"/>
    <w:rsid w:val="00404714"/>
    <w:rsid w:val="00404D98"/>
    <w:rsid w:val="00405977"/>
    <w:rsid w:val="00406777"/>
    <w:rsid w:val="00406D4F"/>
    <w:rsid w:val="00406E0C"/>
    <w:rsid w:val="00410234"/>
    <w:rsid w:val="00410B8E"/>
    <w:rsid w:val="004110F5"/>
    <w:rsid w:val="0041183B"/>
    <w:rsid w:val="00411EE8"/>
    <w:rsid w:val="00413753"/>
    <w:rsid w:val="00414A82"/>
    <w:rsid w:val="00414AD5"/>
    <w:rsid w:val="004157CE"/>
    <w:rsid w:val="0041739C"/>
    <w:rsid w:val="00417B62"/>
    <w:rsid w:val="004218A9"/>
    <w:rsid w:val="004219F3"/>
    <w:rsid w:val="00422289"/>
    <w:rsid w:val="00422427"/>
    <w:rsid w:val="00424AFA"/>
    <w:rsid w:val="00424EC7"/>
    <w:rsid w:val="00425FA7"/>
    <w:rsid w:val="00430C5C"/>
    <w:rsid w:val="00430E98"/>
    <w:rsid w:val="00431160"/>
    <w:rsid w:val="00431249"/>
    <w:rsid w:val="00431B5D"/>
    <w:rsid w:val="00431DF8"/>
    <w:rsid w:val="004321A1"/>
    <w:rsid w:val="00432BFD"/>
    <w:rsid w:val="004333F9"/>
    <w:rsid w:val="004337F0"/>
    <w:rsid w:val="0043527E"/>
    <w:rsid w:val="004353A9"/>
    <w:rsid w:val="0043547E"/>
    <w:rsid w:val="00435598"/>
    <w:rsid w:val="004358B9"/>
    <w:rsid w:val="00436089"/>
    <w:rsid w:val="00440242"/>
    <w:rsid w:val="004409A5"/>
    <w:rsid w:val="00440B1E"/>
    <w:rsid w:val="00442440"/>
    <w:rsid w:val="004468BF"/>
    <w:rsid w:val="00446CCA"/>
    <w:rsid w:val="00446ED6"/>
    <w:rsid w:val="004470C3"/>
    <w:rsid w:val="00447C4E"/>
    <w:rsid w:val="00450646"/>
    <w:rsid w:val="00450823"/>
    <w:rsid w:val="00451BED"/>
    <w:rsid w:val="00453504"/>
    <w:rsid w:val="00453B0D"/>
    <w:rsid w:val="004542A3"/>
    <w:rsid w:val="00454FEC"/>
    <w:rsid w:val="00455502"/>
    <w:rsid w:val="0045575B"/>
    <w:rsid w:val="004557C3"/>
    <w:rsid w:val="004558C2"/>
    <w:rsid w:val="00456014"/>
    <w:rsid w:val="00456CF9"/>
    <w:rsid w:val="00457EA6"/>
    <w:rsid w:val="00460C9A"/>
    <w:rsid w:val="00461382"/>
    <w:rsid w:val="00461A76"/>
    <w:rsid w:val="00461D00"/>
    <w:rsid w:val="004622C8"/>
    <w:rsid w:val="00462D75"/>
    <w:rsid w:val="00462E66"/>
    <w:rsid w:val="00463864"/>
    <w:rsid w:val="00464677"/>
    <w:rsid w:val="00465019"/>
    <w:rsid w:val="0046546B"/>
    <w:rsid w:val="00465A81"/>
    <w:rsid w:val="00465B94"/>
    <w:rsid w:val="00465BB1"/>
    <w:rsid w:val="00466399"/>
    <w:rsid w:val="004664EE"/>
    <w:rsid w:val="00466804"/>
    <w:rsid w:val="00466D54"/>
    <w:rsid w:val="0047076B"/>
    <w:rsid w:val="00471A2E"/>
    <w:rsid w:val="004724C1"/>
    <w:rsid w:val="004725DE"/>
    <w:rsid w:val="00472670"/>
    <w:rsid w:val="00472FF6"/>
    <w:rsid w:val="004738B6"/>
    <w:rsid w:val="00473D56"/>
    <w:rsid w:val="00473FFF"/>
    <w:rsid w:val="0047469E"/>
    <w:rsid w:val="00474724"/>
    <w:rsid w:val="0047476C"/>
    <w:rsid w:val="0047548A"/>
    <w:rsid w:val="00475FC3"/>
    <w:rsid w:val="004767AF"/>
    <w:rsid w:val="00476832"/>
    <w:rsid w:val="0047734D"/>
    <w:rsid w:val="00477635"/>
    <w:rsid w:val="004776E2"/>
    <w:rsid w:val="00477C15"/>
    <w:rsid w:val="004832CF"/>
    <w:rsid w:val="00483BB6"/>
    <w:rsid w:val="004858CC"/>
    <w:rsid w:val="00486E89"/>
    <w:rsid w:val="00486F3C"/>
    <w:rsid w:val="004871CE"/>
    <w:rsid w:val="00487637"/>
    <w:rsid w:val="004900D6"/>
    <w:rsid w:val="00490195"/>
    <w:rsid w:val="0049062D"/>
    <w:rsid w:val="00490B5C"/>
    <w:rsid w:val="00490B97"/>
    <w:rsid w:val="00490DAC"/>
    <w:rsid w:val="00491A67"/>
    <w:rsid w:val="00491A9B"/>
    <w:rsid w:val="00491B34"/>
    <w:rsid w:val="00492278"/>
    <w:rsid w:val="0049304C"/>
    <w:rsid w:val="0049359E"/>
    <w:rsid w:val="00495E2F"/>
    <w:rsid w:val="004961C6"/>
    <w:rsid w:val="004A0990"/>
    <w:rsid w:val="004A0A29"/>
    <w:rsid w:val="004A0DC0"/>
    <w:rsid w:val="004A10DA"/>
    <w:rsid w:val="004A2126"/>
    <w:rsid w:val="004A24E8"/>
    <w:rsid w:val="004A328F"/>
    <w:rsid w:val="004A45EB"/>
    <w:rsid w:val="004A687E"/>
    <w:rsid w:val="004A74EE"/>
    <w:rsid w:val="004A7BB7"/>
    <w:rsid w:val="004A7D51"/>
    <w:rsid w:val="004B02F5"/>
    <w:rsid w:val="004B21B7"/>
    <w:rsid w:val="004B2419"/>
    <w:rsid w:val="004B2710"/>
    <w:rsid w:val="004B2F22"/>
    <w:rsid w:val="004B3125"/>
    <w:rsid w:val="004B44F6"/>
    <w:rsid w:val="004B52C8"/>
    <w:rsid w:val="004B6265"/>
    <w:rsid w:val="004B689C"/>
    <w:rsid w:val="004B6F14"/>
    <w:rsid w:val="004B740B"/>
    <w:rsid w:val="004B7C29"/>
    <w:rsid w:val="004C02BE"/>
    <w:rsid w:val="004C08B5"/>
    <w:rsid w:val="004C0C06"/>
    <w:rsid w:val="004C1321"/>
    <w:rsid w:val="004C1681"/>
    <w:rsid w:val="004C18D6"/>
    <w:rsid w:val="004C1FEF"/>
    <w:rsid w:val="004C24D8"/>
    <w:rsid w:val="004C24E1"/>
    <w:rsid w:val="004C290F"/>
    <w:rsid w:val="004C3503"/>
    <w:rsid w:val="004C3966"/>
    <w:rsid w:val="004C53CC"/>
    <w:rsid w:val="004C6295"/>
    <w:rsid w:val="004C683D"/>
    <w:rsid w:val="004C6B3C"/>
    <w:rsid w:val="004C7F2E"/>
    <w:rsid w:val="004C7FA6"/>
    <w:rsid w:val="004D3F06"/>
    <w:rsid w:val="004D4DD0"/>
    <w:rsid w:val="004D4E04"/>
    <w:rsid w:val="004D5181"/>
    <w:rsid w:val="004D5205"/>
    <w:rsid w:val="004D58A0"/>
    <w:rsid w:val="004D60D1"/>
    <w:rsid w:val="004D65E2"/>
    <w:rsid w:val="004D707A"/>
    <w:rsid w:val="004D72EF"/>
    <w:rsid w:val="004E0AB8"/>
    <w:rsid w:val="004E18BF"/>
    <w:rsid w:val="004E21E4"/>
    <w:rsid w:val="004E2A3A"/>
    <w:rsid w:val="004E37E0"/>
    <w:rsid w:val="004E3F33"/>
    <w:rsid w:val="004E4B58"/>
    <w:rsid w:val="004E6359"/>
    <w:rsid w:val="004E6553"/>
    <w:rsid w:val="004F0F18"/>
    <w:rsid w:val="004F0F19"/>
    <w:rsid w:val="004F2407"/>
    <w:rsid w:val="004F2A56"/>
    <w:rsid w:val="004F3666"/>
    <w:rsid w:val="004F3F2B"/>
    <w:rsid w:val="004F4889"/>
    <w:rsid w:val="004F4C10"/>
    <w:rsid w:val="004F52EF"/>
    <w:rsid w:val="004F6195"/>
    <w:rsid w:val="004F6888"/>
    <w:rsid w:val="004F74BA"/>
    <w:rsid w:val="004F7778"/>
    <w:rsid w:val="00500FEE"/>
    <w:rsid w:val="00501EC7"/>
    <w:rsid w:val="00502447"/>
    <w:rsid w:val="0050289D"/>
    <w:rsid w:val="00502D13"/>
    <w:rsid w:val="00502D51"/>
    <w:rsid w:val="00502FB8"/>
    <w:rsid w:val="00503147"/>
    <w:rsid w:val="0050345D"/>
    <w:rsid w:val="00503B7A"/>
    <w:rsid w:val="00504FAA"/>
    <w:rsid w:val="005052C7"/>
    <w:rsid w:val="00506029"/>
    <w:rsid w:val="00507461"/>
    <w:rsid w:val="00510956"/>
    <w:rsid w:val="005119E5"/>
    <w:rsid w:val="00512D26"/>
    <w:rsid w:val="005141D2"/>
    <w:rsid w:val="005146BC"/>
    <w:rsid w:val="005151C1"/>
    <w:rsid w:val="00516706"/>
    <w:rsid w:val="0051741E"/>
    <w:rsid w:val="005200D3"/>
    <w:rsid w:val="005216EC"/>
    <w:rsid w:val="00521E09"/>
    <w:rsid w:val="00522345"/>
    <w:rsid w:val="00522BA6"/>
    <w:rsid w:val="00524172"/>
    <w:rsid w:val="00524673"/>
    <w:rsid w:val="00524B23"/>
    <w:rsid w:val="00524E4B"/>
    <w:rsid w:val="005250A7"/>
    <w:rsid w:val="005256DD"/>
    <w:rsid w:val="0052577C"/>
    <w:rsid w:val="00526536"/>
    <w:rsid w:val="0052654D"/>
    <w:rsid w:val="005269F0"/>
    <w:rsid w:val="005271A2"/>
    <w:rsid w:val="0052791C"/>
    <w:rsid w:val="0053089B"/>
    <w:rsid w:val="00530CB1"/>
    <w:rsid w:val="00530CF0"/>
    <w:rsid w:val="005312C1"/>
    <w:rsid w:val="00531605"/>
    <w:rsid w:val="0053160F"/>
    <w:rsid w:val="00531745"/>
    <w:rsid w:val="005329FF"/>
    <w:rsid w:val="00533605"/>
    <w:rsid w:val="0053439B"/>
    <w:rsid w:val="00534414"/>
    <w:rsid w:val="00534AD7"/>
    <w:rsid w:val="00534EF6"/>
    <w:rsid w:val="005352A3"/>
    <w:rsid w:val="005352D7"/>
    <w:rsid w:val="00535638"/>
    <w:rsid w:val="00535911"/>
    <w:rsid w:val="00535B43"/>
    <w:rsid w:val="005373C6"/>
    <w:rsid w:val="0053775D"/>
    <w:rsid w:val="00540B12"/>
    <w:rsid w:val="0054147A"/>
    <w:rsid w:val="005424FC"/>
    <w:rsid w:val="0054264D"/>
    <w:rsid w:val="0054284D"/>
    <w:rsid w:val="00542888"/>
    <w:rsid w:val="00543646"/>
    <w:rsid w:val="0054516F"/>
    <w:rsid w:val="005475D0"/>
    <w:rsid w:val="00547D73"/>
    <w:rsid w:val="00551CC3"/>
    <w:rsid w:val="00552461"/>
    <w:rsid w:val="005525A7"/>
    <w:rsid w:val="00552CEB"/>
    <w:rsid w:val="00553697"/>
    <w:rsid w:val="005537D7"/>
    <w:rsid w:val="00553EF7"/>
    <w:rsid w:val="00554D92"/>
    <w:rsid w:val="00555177"/>
    <w:rsid w:val="00555AB1"/>
    <w:rsid w:val="00557647"/>
    <w:rsid w:val="00560CF1"/>
    <w:rsid w:val="005615AD"/>
    <w:rsid w:val="00561B62"/>
    <w:rsid w:val="005624E8"/>
    <w:rsid w:val="005628C5"/>
    <w:rsid w:val="00562993"/>
    <w:rsid w:val="0056458D"/>
    <w:rsid w:val="005652AA"/>
    <w:rsid w:val="00565D57"/>
    <w:rsid w:val="0057203D"/>
    <w:rsid w:val="00572085"/>
    <w:rsid w:val="005725C4"/>
    <w:rsid w:val="00573652"/>
    <w:rsid w:val="00581513"/>
    <w:rsid w:val="00581CBB"/>
    <w:rsid w:val="005822F6"/>
    <w:rsid w:val="005827AF"/>
    <w:rsid w:val="00582952"/>
    <w:rsid w:val="00583C1A"/>
    <w:rsid w:val="00584409"/>
    <w:rsid w:val="005852DF"/>
    <w:rsid w:val="005853F4"/>
    <w:rsid w:val="00585C86"/>
    <w:rsid w:val="0058789B"/>
    <w:rsid w:val="0059082B"/>
    <w:rsid w:val="005922CD"/>
    <w:rsid w:val="00594E12"/>
    <w:rsid w:val="005960C9"/>
    <w:rsid w:val="00596C6E"/>
    <w:rsid w:val="00597138"/>
    <w:rsid w:val="00597218"/>
    <w:rsid w:val="00597EFA"/>
    <w:rsid w:val="005A02D2"/>
    <w:rsid w:val="005A089D"/>
    <w:rsid w:val="005A0AB1"/>
    <w:rsid w:val="005A28C7"/>
    <w:rsid w:val="005A2C57"/>
    <w:rsid w:val="005A40C5"/>
    <w:rsid w:val="005A41D5"/>
    <w:rsid w:val="005A4B23"/>
    <w:rsid w:val="005A5D5D"/>
    <w:rsid w:val="005A6897"/>
    <w:rsid w:val="005A6A3C"/>
    <w:rsid w:val="005A6BCD"/>
    <w:rsid w:val="005A6D3E"/>
    <w:rsid w:val="005A6E1C"/>
    <w:rsid w:val="005B0175"/>
    <w:rsid w:val="005B0776"/>
    <w:rsid w:val="005B0E7B"/>
    <w:rsid w:val="005B370C"/>
    <w:rsid w:val="005B3F77"/>
    <w:rsid w:val="005B4657"/>
    <w:rsid w:val="005B4685"/>
    <w:rsid w:val="005B48B6"/>
    <w:rsid w:val="005B5A18"/>
    <w:rsid w:val="005B62B6"/>
    <w:rsid w:val="005B67A5"/>
    <w:rsid w:val="005C2428"/>
    <w:rsid w:val="005C316E"/>
    <w:rsid w:val="005C3448"/>
    <w:rsid w:val="005C3816"/>
    <w:rsid w:val="005C3C2B"/>
    <w:rsid w:val="005C43CB"/>
    <w:rsid w:val="005C480C"/>
    <w:rsid w:val="005C4A9F"/>
    <w:rsid w:val="005C4C97"/>
    <w:rsid w:val="005C5157"/>
    <w:rsid w:val="005C5FA8"/>
    <w:rsid w:val="005C656C"/>
    <w:rsid w:val="005C6FB0"/>
    <w:rsid w:val="005C722D"/>
    <w:rsid w:val="005C7AA4"/>
    <w:rsid w:val="005D0174"/>
    <w:rsid w:val="005D10AB"/>
    <w:rsid w:val="005D191B"/>
    <w:rsid w:val="005D353D"/>
    <w:rsid w:val="005D4C42"/>
    <w:rsid w:val="005D62DE"/>
    <w:rsid w:val="005D699E"/>
    <w:rsid w:val="005D72F6"/>
    <w:rsid w:val="005D732C"/>
    <w:rsid w:val="005D7784"/>
    <w:rsid w:val="005D7C16"/>
    <w:rsid w:val="005E0BD5"/>
    <w:rsid w:val="005E0EFA"/>
    <w:rsid w:val="005E17E2"/>
    <w:rsid w:val="005E1CCE"/>
    <w:rsid w:val="005E3179"/>
    <w:rsid w:val="005E3303"/>
    <w:rsid w:val="005E3594"/>
    <w:rsid w:val="005E3AF0"/>
    <w:rsid w:val="005E3C84"/>
    <w:rsid w:val="005E4597"/>
    <w:rsid w:val="005E54BE"/>
    <w:rsid w:val="005E5919"/>
    <w:rsid w:val="005E691E"/>
    <w:rsid w:val="005E6D81"/>
    <w:rsid w:val="005E7B4A"/>
    <w:rsid w:val="005F0224"/>
    <w:rsid w:val="005F0D2D"/>
    <w:rsid w:val="005F161B"/>
    <w:rsid w:val="005F27BC"/>
    <w:rsid w:val="005F2877"/>
    <w:rsid w:val="005F3109"/>
    <w:rsid w:val="005F3177"/>
    <w:rsid w:val="005F34A0"/>
    <w:rsid w:val="005F363B"/>
    <w:rsid w:val="005F5A8A"/>
    <w:rsid w:val="005F5AFD"/>
    <w:rsid w:val="005F5C79"/>
    <w:rsid w:val="005F6F7E"/>
    <w:rsid w:val="005F77D7"/>
    <w:rsid w:val="005F796E"/>
    <w:rsid w:val="00600471"/>
    <w:rsid w:val="0060063E"/>
    <w:rsid w:val="0060176A"/>
    <w:rsid w:val="00602825"/>
    <w:rsid w:val="00602C73"/>
    <w:rsid w:val="0060372E"/>
    <w:rsid w:val="006043A0"/>
    <w:rsid w:val="00604A38"/>
    <w:rsid w:val="006051BD"/>
    <w:rsid w:val="00606352"/>
    <w:rsid w:val="006063B4"/>
    <w:rsid w:val="00606E7B"/>
    <w:rsid w:val="0060777F"/>
    <w:rsid w:val="006101B8"/>
    <w:rsid w:val="00610735"/>
    <w:rsid w:val="00610A9A"/>
    <w:rsid w:val="00610C05"/>
    <w:rsid w:val="00610D6B"/>
    <w:rsid w:val="00610DCC"/>
    <w:rsid w:val="00610FEC"/>
    <w:rsid w:val="006111C5"/>
    <w:rsid w:val="006118BF"/>
    <w:rsid w:val="006119CA"/>
    <w:rsid w:val="00611BFE"/>
    <w:rsid w:val="00611D2B"/>
    <w:rsid w:val="00612971"/>
    <w:rsid w:val="00613469"/>
    <w:rsid w:val="00613F8A"/>
    <w:rsid w:val="0061449C"/>
    <w:rsid w:val="0061491B"/>
    <w:rsid w:val="006157B1"/>
    <w:rsid w:val="00615FC7"/>
    <w:rsid w:val="00616C39"/>
    <w:rsid w:val="00617A06"/>
    <w:rsid w:val="00617BE0"/>
    <w:rsid w:val="00617EB3"/>
    <w:rsid w:val="00620713"/>
    <w:rsid w:val="00621F2F"/>
    <w:rsid w:val="00622155"/>
    <w:rsid w:val="006221DB"/>
    <w:rsid w:val="006222EC"/>
    <w:rsid w:val="0062246B"/>
    <w:rsid w:val="00622B1D"/>
    <w:rsid w:val="0062449C"/>
    <w:rsid w:val="00625696"/>
    <w:rsid w:val="0062581D"/>
    <w:rsid w:val="00625C0A"/>
    <w:rsid w:val="00625EC2"/>
    <w:rsid w:val="00625EC6"/>
    <w:rsid w:val="00626906"/>
    <w:rsid w:val="00626935"/>
    <w:rsid w:val="00627594"/>
    <w:rsid w:val="00630BED"/>
    <w:rsid w:val="00631A76"/>
    <w:rsid w:val="00631E00"/>
    <w:rsid w:val="00632428"/>
    <w:rsid w:val="006328AB"/>
    <w:rsid w:val="00633613"/>
    <w:rsid w:val="006339F0"/>
    <w:rsid w:val="00633D40"/>
    <w:rsid w:val="006343A7"/>
    <w:rsid w:val="00634ACA"/>
    <w:rsid w:val="0063582A"/>
    <w:rsid w:val="00640462"/>
    <w:rsid w:val="0064077C"/>
    <w:rsid w:val="006414DA"/>
    <w:rsid w:val="00641A3D"/>
    <w:rsid w:val="00641BC1"/>
    <w:rsid w:val="00642745"/>
    <w:rsid w:val="006446DD"/>
    <w:rsid w:val="00644DE9"/>
    <w:rsid w:val="00645F58"/>
    <w:rsid w:val="00645FAA"/>
    <w:rsid w:val="00646092"/>
    <w:rsid w:val="00646BDB"/>
    <w:rsid w:val="006476E6"/>
    <w:rsid w:val="0064799F"/>
    <w:rsid w:val="0065142F"/>
    <w:rsid w:val="00651503"/>
    <w:rsid w:val="00651774"/>
    <w:rsid w:val="006519E4"/>
    <w:rsid w:val="006528E5"/>
    <w:rsid w:val="00652CD8"/>
    <w:rsid w:val="00654602"/>
    <w:rsid w:val="006551A9"/>
    <w:rsid w:val="00655A76"/>
    <w:rsid w:val="00656103"/>
    <w:rsid w:val="00656A76"/>
    <w:rsid w:val="00656BD4"/>
    <w:rsid w:val="00657457"/>
    <w:rsid w:val="006575B7"/>
    <w:rsid w:val="00657BDC"/>
    <w:rsid w:val="00657E82"/>
    <w:rsid w:val="0066012C"/>
    <w:rsid w:val="00660392"/>
    <w:rsid w:val="006617A5"/>
    <w:rsid w:val="0066364A"/>
    <w:rsid w:val="00663955"/>
    <w:rsid w:val="00663F70"/>
    <w:rsid w:val="00664EC4"/>
    <w:rsid w:val="0066521B"/>
    <w:rsid w:val="0066621F"/>
    <w:rsid w:val="00666549"/>
    <w:rsid w:val="006667C6"/>
    <w:rsid w:val="00666CE4"/>
    <w:rsid w:val="00667AE0"/>
    <w:rsid w:val="00670F0D"/>
    <w:rsid w:val="006716CF"/>
    <w:rsid w:val="00671AF0"/>
    <w:rsid w:val="00673867"/>
    <w:rsid w:val="00673943"/>
    <w:rsid w:val="0067455E"/>
    <w:rsid w:val="00674A24"/>
    <w:rsid w:val="00676063"/>
    <w:rsid w:val="006775F2"/>
    <w:rsid w:val="006778C2"/>
    <w:rsid w:val="00677A52"/>
    <w:rsid w:val="0068025C"/>
    <w:rsid w:val="006802A2"/>
    <w:rsid w:val="00680A52"/>
    <w:rsid w:val="00680F1F"/>
    <w:rsid w:val="0068139C"/>
    <w:rsid w:val="00681954"/>
    <w:rsid w:val="0068308D"/>
    <w:rsid w:val="00683AE5"/>
    <w:rsid w:val="00683D59"/>
    <w:rsid w:val="006844DE"/>
    <w:rsid w:val="0068594C"/>
    <w:rsid w:val="006859D4"/>
    <w:rsid w:val="00685C5A"/>
    <w:rsid w:val="00685F8F"/>
    <w:rsid w:val="006862A8"/>
    <w:rsid w:val="00687741"/>
    <w:rsid w:val="006903A2"/>
    <w:rsid w:val="0069073A"/>
    <w:rsid w:val="00691922"/>
    <w:rsid w:val="006921B0"/>
    <w:rsid w:val="006929C0"/>
    <w:rsid w:val="006933A3"/>
    <w:rsid w:val="00693439"/>
    <w:rsid w:val="0069363B"/>
    <w:rsid w:val="0069394D"/>
    <w:rsid w:val="00693C6C"/>
    <w:rsid w:val="00693DE5"/>
    <w:rsid w:val="0069425F"/>
    <w:rsid w:val="0069444E"/>
    <w:rsid w:val="00694C57"/>
    <w:rsid w:val="0069541C"/>
    <w:rsid w:val="00695825"/>
    <w:rsid w:val="00696182"/>
    <w:rsid w:val="00696732"/>
    <w:rsid w:val="00696CD8"/>
    <w:rsid w:val="0069717D"/>
    <w:rsid w:val="006976A9"/>
    <w:rsid w:val="00697835"/>
    <w:rsid w:val="00697BC1"/>
    <w:rsid w:val="006A0093"/>
    <w:rsid w:val="006A0F34"/>
    <w:rsid w:val="006A1B87"/>
    <w:rsid w:val="006A1D77"/>
    <w:rsid w:val="006A25DB"/>
    <w:rsid w:val="006A292C"/>
    <w:rsid w:val="006A3958"/>
    <w:rsid w:val="006A470F"/>
    <w:rsid w:val="006A48EC"/>
    <w:rsid w:val="006A4EAA"/>
    <w:rsid w:val="006A4F80"/>
    <w:rsid w:val="006A58AC"/>
    <w:rsid w:val="006A5DEC"/>
    <w:rsid w:val="006A6975"/>
    <w:rsid w:val="006A6A43"/>
    <w:rsid w:val="006A7065"/>
    <w:rsid w:val="006A7ACC"/>
    <w:rsid w:val="006A7D64"/>
    <w:rsid w:val="006A7DDA"/>
    <w:rsid w:val="006B17CF"/>
    <w:rsid w:val="006B1DE6"/>
    <w:rsid w:val="006B1F78"/>
    <w:rsid w:val="006B2468"/>
    <w:rsid w:val="006B31ED"/>
    <w:rsid w:val="006B39BA"/>
    <w:rsid w:val="006B3DB6"/>
    <w:rsid w:val="006B4BDD"/>
    <w:rsid w:val="006B51B9"/>
    <w:rsid w:val="006B5601"/>
    <w:rsid w:val="006B5763"/>
    <w:rsid w:val="006B5C3C"/>
    <w:rsid w:val="006B6E5B"/>
    <w:rsid w:val="006B78DE"/>
    <w:rsid w:val="006C083C"/>
    <w:rsid w:val="006C15C9"/>
    <w:rsid w:val="006C2A55"/>
    <w:rsid w:val="006C2F40"/>
    <w:rsid w:val="006C474D"/>
    <w:rsid w:val="006C5306"/>
    <w:rsid w:val="006C69FD"/>
    <w:rsid w:val="006C7B7F"/>
    <w:rsid w:val="006D0C28"/>
    <w:rsid w:val="006D1A8E"/>
    <w:rsid w:val="006D287E"/>
    <w:rsid w:val="006D2E8C"/>
    <w:rsid w:val="006D30B1"/>
    <w:rsid w:val="006D357C"/>
    <w:rsid w:val="006D382D"/>
    <w:rsid w:val="006D4677"/>
    <w:rsid w:val="006D5928"/>
    <w:rsid w:val="006D59B0"/>
    <w:rsid w:val="006D647F"/>
    <w:rsid w:val="006E09A0"/>
    <w:rsid w:val="006E09C4"/>
    <w:rsid w:val="006E0FC0"/>
    <w:rsid w:val="006E0FFF"/>
    <w:rsid w:val="006E16CB"/>
    <w:rsid w:val="006E244C"/>
    <w:rsid w:val="006E469D"/>
    <w:rsid w:val="006E46E0"/>
    <w:rsid w:val="006E5C7D"/>
    <w:rsid w:val="006E5FE0"/>
    <w:rsid w:val="006E629A"/>
    <w:rsid w:val="006E7B4B"/>
    <w:rsid w:val="006F013D"/>
    <w:rsid w:val="006F0A3B"/>
    <w:rsid w:val="006F0F13"/>
    <w:rsid w:val="006F0F3D"/>
    <w:rsid w:val="006F1D78"/>
    <w:rsid w:val="006F21E1"/>
    <w:rsid w:val="006F249F"/>
    <w:rsid w:val="006F3DE5"/>
    <w:rsid w:val="006F6C2D"/>
    <w:rsid w:val="006F6F0B"/>
    <w:rsid w:val="006F7549"/>
    <w:rsid w:val="006F7C82"/>
    <w:rsid w:val="006F7DA0"/>
    <w:rsid w:val="006F7DE8"/>
    <w:rsid w:val="007001F1"/>
    <w:rsid w:val="00700213"/>
    <w:rsid w:val="007004D7"/>
    <w:rsid w:val="00700755"/>
    <w:rsid w:val="00701A37"/>
    <w:rsid w:val="00701ECA"/>
    <w:rsid w:val="007027EB"/>
    <w:rsid w:val="007039D5"/>
    <w:rsid w:val="0070423D"/>
    <w:rsid w:val="007047E8"/>
    <w:rsid w:val="007048A8"/>
    <w:rsid w:val="007049DE"/>
    <w:rsid w:val="00706993"/>
    <w:rsid w:val="00706D04"/>
    <w:rsid w:val="007071CF"/>
    <w:rsid w:val="00707752"/>
    <w:rsid w:val="007077E6"/>
    <w:rsid w:val="00710842"/>
    <w:rsid w:val="00710AA2"/>
    <w:rsid w:val="007118EB"/>
    <w:rsid w:val="00711A3D"/>
    <w:rsid w:val="00712AA6"/>
    <w:rsid w:val="00713141"/>
    <w:rsid w:val="007139E1"/>
    <w:rsid w:val="00713DB2"/>
    <w:rsid w:val="007151AE"/>
    <w:rsid w:val="00715DCC"/>
    <w:rsid w:val="00717557"/>
    <w:rsid w:val="00720E89"/>
    <w:rsid w:val="00721EE0"/>
    <w:rsid w:val="0072247E"/>
    <w:rsid w:val="00722CF1"/>
    <w:rsid w:val="00722ED9"/>
    <w:rsid w:val="0072328D"/>
    <w:rsid w:val="007234E2"/>
    <w:rsid w:val="00723524"/>
    <w:rsid w:val="00724DED"/>
    <w:rsid w:val="00725591"/>
    <w:rsid w:val="00725858"/>
    <w:rsid w:val="007264BE"/>
    <w:rsid w:val="007266A0"/>
    <w:rsid w:val="007276CF"/>
    <w:rsid w:val="0073078F"/>
    <w:rsid w:val="00730BDF"/>
    <w:rsid w:val="00730EC4"/>
    <w:rsid w:val="00731283"/>
    <w:rsid w:val="00732A75"/>
    <w:rsid w:val="00732FC8"/>
    <w:rsid w:val="0073371C"/>
    <w:rsid w:val="00733DD2"/>
    <w:rsid w:val="00735A5F"/>
    <w:rsid w:val="00735E5F"/>
    <w:rsid w:val="00735F96"/>
    <w:rsid w:val="00735FA3"/>
    <w:rsid w:val="00736280"/>
    <w:rsid w:val="00737005"/>
    <w:rsid w:val="007376A1"/>
    <w:rsid w:val="007378DF"/>
    <w:rsid w:val="007400D2"/>
    <w:rsid w:val="00740284"/>
    <w:rsid w:val="00740D44"/>
    <w:rsid w:val="00740DC7"/>
    <w:rsid w:val="00740ED4"/>
    <w:rsid w:val="007411EE"/>
    <w:rsid w:val="00741700"/>
    <w:rsid w:val="007417CD"/>
    <w:rsid w:val="00741F22"/>
    <w:rsid w:val="00742119"/>
    <w:rsid w:val="00744804"/>
    <w:rsid w:val="00744C6E"/>
    <w:rsid w:val="00745075"/>
    <w:rsid w:val="0074529E"/>
    <w:rsid w:val="007457E9"/>
    <w:rsid w:val="00745D84"/>
    <w:rsid w:val="00751B29"/>
    <w:rsid w:val="00751B98"/>
    <w:rsid w:val="0075208C"/>
    <w:rsid w:val="00752A3D"/>
    <w:rsid w:val="00753108"/>
    <w:rsid w:val="00753713"/>
    <w:rsid w:val="007539FB"/>
    <w:rsid w:val="00753D7F"/>
    <w:rsid w:val="00753E57"/>
    <w:rsid w:val="00754032"/>
    <w:rsid w:val="00754092"/>
    <w:rsid w:val="007541F9"/>
    <w:rsid w:val="007545C4"/>
    <w:rsid w:val="007545F2"/>
    <w:rsid w:val="00754B49"/>
    <w:rsid w:val="00754D61"/>
    <w:rsid w:val="00754F49"/>
    <w:rsid w:val="00755D75"/>
    <w:rsid w:val="00755E71"/>
    <w:rsid w:val="00756080"/>
    <w:rsid w:val="00756E16"/>
    <w:rsid w:val="007574BE"/>
    <w:rsid w:val="007579C6"/>
    <w:rsid w:val="00757C72"/>
    <w:rsid w:val="007606C8"/>
    <w:rsid w:val="007608E9"/>
    <w:rsid w:val="00762101"/>
    <w:rsid w:val="007649F2"/>
    <w:rsid w:val="0076520A"/>
    <w:rsid w:val="0077062C"/>
    <w:rsid w:val="007718EF"/>
    <w:rsid w:val="00771EF5"/>
    <w:rsid w:val="00772617"/>
    <w:rsid w:val="00772727"/>
    <w:rsid w:val="007728D6"/>
    <w:rsid w:val="00772A45"/>
    <w:rsid w:val="00773A19"/>
    <w:rsid w:val="00773A5A"/>
    <w:rsid w:val="00773F22"/>
    <w:rsid w:val="007748E7"/>
    <w:rsid w:val="0077545B"/>
    <w:rsid w:val="00776327"/>
    <w:rsid w:val="007768FC"/>
    <w:rsid w:val="00776F77"/>
    <w:rsid w:val="00777584"/>
    <w:rsid w:val="00780272"/>
    <w:rsid w:val="00780395"/>
    <w:rsid w:val="00780705"/>
    <w:rsid w:val="00780A86"/>
    <w:rsid w:val="00781206"/>
    <w:rsid w:val="007814B9"/>
    <w:rsid w:val="007814E2"/>
    <w:rsid w:val="00782725"/>
    <w:rsid w:val="00784B6A"/>
    <w:rsid w:val="00784DF9"/>
    <w:rsid w:val="00785289"/>
    <w:rsid w:val="007852F8"/>
    <w:rsid w:val="007860C0"/>
    <w:rsid w:val="0078612A"/>
    <w:rsid w:val="007866F6"/>
    <w:rsid w:val="007870B0"/>
    <w:rsid w:val="0079148C"/>
    <w:rsid w:val="00791CFA"/>
    <w:rsid w:val="00791F85"/>
    <w:rsid w:val="00793576"/>
    <w:rsid w:val="00794D4A"/>
    <w:rsid w:val="0079524D"/>
    <w:rsid w:val="00795532"/>
    <w:rsid w:val="007957A8"/>
    <w:rsid w:val="007959EB"/>
    <w:rsid w:val="007962E8"/>
    <w:rsid w:val="00796AFE"/>
    <w:rsid w:val="007971C7"/>
    <w:rsid w:val="00797456"/>
    <w:rsid w:val="007977AA"/>
    <w:rsid w:val="007A050F"/>
    <w:rsid w:val="007A0720"/>
    <w:rsid w:val="007A08DC"/>
    <w:rsid w:val="007A0BA1"/>
    <w:rsid w:val="007A0D14"/>
    <w:rsid w:val="007A1218"/>
    <w:rsid w:val="007A1D3A"/>
    <w:rsid w:val="007A2222"/>
    <w:rsid w:val="007A27CD"/>
    <w:rsid w:val="007A3019"/>
    <w:rsid w:val="007A3FCF"/>
    <w:rsid w:val="007A41DE"/>
    <w:rsid w:val="007A5EDC"/>
    <w:rsid w:val="007A6954"/>
    <w:rsid w:val="007A76CD"/>
    <w:rsid w:val="007B0258"/>
    <w:rsid w:val="007B19F3"/>
    <w:rsid w:val="007B1FF7"/>
    <w:rsid w:val="007B2353"/>
    <w:rsid w:val="007B2EA8"/>
    <w:rsid w:val="007B423B"/>
    <w:rsid w:val="007B447D"/>
    <w:rsid w:val="007B4756"/>
    <w:rsid w:val="007B477E"/>
    <w:rsid w:val="007B4F69"/>
    <w:rsid w:val="007B59CC"/>
    <w:rsid w:val="007B5B4B"/>
    <w:rsid w:val="007B5C75"/>
    <w:rsid w:val="007B65F7"/>
    <w:rsid w:val="007B7547"/>
    <w:rsid w:val="007B7810"/>
    <w:rsid w:val="007B7AE6"/>
    <w:rsid w:val="007B7CA9"/>
    <w:rsid w:val="007C0769"/>
    <w:rsid w:val="007C136B"/>
    <w:rsid w:val="007C1B5D"/>
    <w:rsid w:val="007C2D6E"/>
    <w:rsid w:val="007C2E46"/>
    <w:rsid w:val="007C3471"/>
    <w:rsid w:val="007C3653"/>
    <w:rsid w:val="007C44CF"/>
    <w:rsid w:val="007C45BD"/>
    <w:rsid w:val="007C46F4"/>
    <w:rsid w:val="007C48BF"/>
    <w:rsid w:val="007C4EB4"/>
    <w:rsid w:val="007C58B6"/>
    <w:rsid w:val="007C59BD"/>
    <w:rsid w:val="007C5DDC"/>
    <w:rsid w:val="007C67D5"/>
    <w:rsid w:val="007C705D"/>
    <w:rsid w:val="007C72AA"/>
    <w:rsid w:val="007C7FF0"/>
    <w:rsid w:val="007D14CB"/>
    <w:rsid w:val="007D1650"/>
    <w:rsid w:val="007D16A9"/>
    <w:rsid w:val="007D24BC"/>
    <w:rsid w:val="007D35D4"/>
    <w:rsid w:val="007D5FC8"/>
    <w:rsid w:val="007D6E1C"/>
    <w:rsid w:val="007D7330"/>
    <w:rsid w:val="007E0703"/>
    <w:rsid w:val="007E0BEA"/>
    <w:rsid w:val="007E1070"/>
    <w:rsid w:val="007E182D"/>
    <w:rsid w:val="007E1986"/>
    <w:rsid w:val="007E2D93"/>
    <w:rsid w:val="007E3165"/>
    <w:rsid w:val="007E3166"/>
    <w:rsid w:val="007E4484"/>
    <w:rsid w:val="007E4785"/>
    <w:rsid w:val="007E4840"/>
    <w:rsid w:val="007E51F9"/>
    <w:rsid w:val="007E56F4"/>
    <w:rsid w:val="007E5E96"/>
    <w:rsid w:val="007E7A5F"/>
    <w:rsid w:val="007E7AFC"/>
    <w:rsid w:val="007E7D3B"/>
    <w:rsid w:val="007E7EA2"/>
    <w:rsid w:val="007F0728"/>
    <w:rsid w:val="007F0A58"/>
    <w:rsid w:val="007F1B93"/>
    <w:rsid w:val="007F2831"/>
    <w:rsid w:val="007F28D0"/>
    <w:rsid w:val="007F3E72"/>
    <w:rsid w:val="007F49CB"/>
    <w:rsid w:val="007F5147"/>
    <w:rsid w:val="007F5C82"/>
    <w:rsid w:val="007F5FCA"/>
    <w:rsid w:val="007F7DD4"/>
    <w:rsid w:val="008009E9"/>
    <w:rsid w:val="00800B2E"/>
    <w:rsid w:val="0080168D"/>
    <w:rsid w:val="00801CBB"/>
    <w:rsid w:val="00802B66"/>
    <w:rsid w:val="00803A4C"/>
    <w:rsid w:val="00803A9C"/>
    <w:rsid w:val="00803D38"/>
    <w:rsid w:val="0080453B"/>
    <w:rsid w:val="008048B6"/>
    <w:rsid w:val="00804BE7"/>
    <w:rsid w:val="00805E13"/>
    <w:rsid w:val="00806176"/>
    <w:rsid w:val="008062C1"/>
    <w:rsid w:val="00807477"/>
    <w:rsid w:val="00807E5D"/>
    <w:rsid w:val="00811156"/>
    <w:rsid w:val="0081163A"/>
    <w:rsid w:val="008131E5"/>
    <w:rsid w:val="00813317"/>
    <w:rsid w:val="0081385C"/>
    <w:rsid w:val="0081433C"/>
    <w:rsid w:val="00814FA4"/>
    <w:rsid w:val="0081584B"/>
    <w:rsid w:val="0081598D"/>
    <w:rsid w:val="0081679B"/>
    <w:rsid w:val="008172D6"/>
    <w:rsid w:val="00817D80"/>
    <w:rsid w:val="00820A47"/>
    <w:rsid w:val="00820DCC"/>
    <w:rsid w:val="008218C7"/>
    <w:rsid w:val="00821AAA"/>
    <w:rsid w:val="00821B27"/>
    <w:rsid w:val="008222A8"/>
    <w:rsid w:val="00822995"/>
    <w:rsid w:val="00822EA6"/>
    <w:rsid w:val="00823484"/>
    <w:rsid w:val="008234BA"/>
    <w:rsid w:val="008234DB"/>
    <w:rsid w:val="00823FAB"/>
    <w:rsid w:val="008242C1"/>
    <w:rsid w:val="00825106"/>
    <w:rsid w:val="0082521E"/>
    <w:rsid w:val="0082532D"/>
    <w:rsid w:val="00825C3E"/>
    <w:rsid w:val="00826C4F"/>
    <w:rsid w:val="00826C9F"/>
    <w:rsid w:val="00827792"/>
    <w:rsid w:val="0083049E"/>
    <w:rsid w:val="008308C7"/>
    <w:rsid w:val="00830CB5"/>
    <w:rsid w:val="00831442"/>
    <w:rsid w:val="00831CAF"/>
    <w:rsid w:val="00832589"/>
    <w:rsid w:val="00832590"/>
    <w:rsid w:val="0083315A"/>
    <w:rsid w:val="0083316E"/>
    <w:rsid w:val="00833DC2"/>
    <w:rsid w:val="00835407"/>
    <w:rsid w:val="00835B68"/>
    <w:rsid w:val="00836774"/>
    <w:rsid w:val="00836B72"/>
    <w:rsid w:val="00837E1E"/>
    <w:rsid w:val="0084084E"/>
    <w:rsid w:val="00841215"/>
    <w:rsid w:val="0084161E"/>
    <w:rsid w:val="00841C22"/>
    <w:rsid w:val="00842098"/>
    <w:rsid w:val="00843F44"/>
    <w:rsid w:val="00844A0E"/>
    <w:rsid w:val="00845329"/>
    <w:rsid w:val="008467D9"/>
    <w:rsid w:val="008475D5"/>
    <w:rsid w:val="00847823"/>
    <w:rsid w:val="00852145"/>
    <w:rsid w:val="00853261"/>
    <w:rsid w:val="008551A4"/>
    <w:rsid w:val="00855834"/>
    <w:rsid w:val="00855D87"/>
    <w:rsid w:val="00856012"/>
    <w:rsid w:val="00856A4A"/>
    <w:rsid w:val="008576BA"/>
    <w:rsid w:val="0085798D"/>
    <w:rsid w:val="00857C6C"/>
    <w:rsid w:val="00860711"/>
    <w:rsid w:val="0086098E"/>
    <w:rsid w:val="0086156E"/>
    <w:rsid w:val="00861E31"/>
    <w:rsid w:val="00862756"/>
    <w:rsid w:val="00862DF4"/>
    <w:rsid w:val="00863434"/>
    <w:rsid w:val="00863795"/>
    <w:rsid w:val="00865BDA"/>
    <w:rsid w:val="00866180"/>
    <w:rsid w:val="00866800"/>
    <w:rsid w:val="0086687F"/>
    <w:rsid w:val="00866FB5"/>
    <w:rsid w:val="0087001E"/>
    <w:rsid w:val="00870A97"/>
    <w:rsid w:val="0087113F"/>
    <w:rsid w:val="00872675"/>
    <w:rsid w:val="00872C2C"/>
    <w:rsid w:val="00872ECF"/>
    <w:rsid w:val="0087406C"/>
    <w:rsid w:val="008742F0"/>
    <w:rsid w:val="008743AF"/>
    <w:rsid w:val="00874953"/>
    <w:rsid w:val="00875B3C"/>
    <w:rsid w:val="00875C5C"/>
    <w:rsid w:val="00875CB2"/>
    <w:rsid w:val="0087646A"/>
    <w:rsid w:val="0088029B"/>
    <w:rsid w:val="00880F26"/>
    <w:rsid w:val="00881F05"/>
    <w:rsid w:val="0088217B"/>
    <w:rsid w:val="008835BE"/>
    <w:rsid w:val="008854DA"/>
    <w:rsid w:val="00886B08"/>
    <w:rsid w:val="0088717E"/>
    <w:rsid w:val="008916D1"/>
    <w:rsid w:val="00892B2D"/>
    <w:rsid w:val="008930B7"/>
    <w:rsid w:val="00893694"/>
    <w:rsid w:val="00893D10"/>
    <w:rsid w:val="0089572D"/>
    <w:rsid w:val="00896471"/>
    <w:rsid w:val="00896555"/>
    <w:rsid w:val="008966D6"/>
    <w:rsid w:val="00896FDB"/>
    <w:rsid w:val="008970E6"/>
    <w:rsid w:val="008A0068"/>
    <w:rsid w:val="008A00A7"/>
    <w:rsid w:val="008A060E"/>
    <w:rsid w:val="008A1529"/>
    <w:rsid w:val="008A1751"/>
    <w:rsid w:val="008A34A1"/>
    <w:rsid w:val="008A377C"/>
    <w:rsid w:val="008A4038"/>
    <w:rsid w:val="008A50FE"/>
    <w:rsid w:val="008A5208"/>
    <w:rsid w:val="008A64C1"/>
    <w:rsid w:val="008A6CDD"/>
    <w:rsid w:val="008A6E04"/>
    <w:rsid w:val="008A77B3"/>
    <w:rsid w:val="008A7BC1"/>
    <w:rsid w:val="008B03AF"/>
    <w:rsid w:val="008B04FC"/>
    <w:rsid w:val="008B0CDB"/>
    <w:rsid w:val="008B0FCE"/>
    <w:rsid w:val="008B117B"/>
    <w:rsid w:val="008B13A7"/>
    <w:rsid w:val="008B13AA"/>
    <w:rsid w:val="008B1982"/>
    <w:rsid w:val="008B1C2E"/>
    <w:rsid w:val="008B2F2E"/>
    <w:rsid w:val="008B3B19"/>
    <w:rsid w:val="008B471C"/>
    <w:rsid w:val="008B635C"/>
    <w:rsid w:val="008B67D7"/>
    <w:rsid w:val="008B6889"/>
    <w:rsid w:val="008C01AD"/>
    <w:rsid w:val="008C0760"/>
    <w:rsid w:val="008C0F76"/>
    <w:rsid w:val="008C18B5"/>
    <w:rsid w:val="008C1BE5"/>
    <w:rsid w:val="008C25F2"/>
    <w:rsid w:val="008C25FF"/>
    <w:rsid w:val="008C2822"/>
    <w:rsid w:val="008C2A9A"/>
    <w:rsid w:val="008C2D8B"/>
    <w:rsid w:val="008C35B9"/>
    <w:rsid w:val="008C3B64"/>
    <w:rsid w:val="008C3E01"/>
    <w:rsid w:val="008C601C"/>
    <w:rsid w:val="008C7219"/>
    <w:rsid w:val="008C74A2"/>
    <w:rsid w:val="008D053F"/>
    <w:rsid w:val="008D1CE6"/>
    <w:rsid w:val="008D1E51"/>
    <w:rsid w:val="008D2F75"/>
    <w:rsid w:val="008D500F"/>
    <w:rsid w:val="008D530C"/>
    <w:rsid w:val="008D53A5"/>
    <w:rsid w:val="008D5A5B"/>
    <w:rsid w:val="008D6453"/>
    <w:rsid w:val="008D7477"/>
    <w:rsid w:val="008E0D58"/>
    <w:rsid w:val="008E1ADC"/>
    <w:rsid w:val="008E1B1E"/>
    <w:rsid w:val="008E1D68"/>
    <w:rsid w:val="008E24F9"/>
    <w:rsid w:val="008E35A5"/>
    <w:rsid w:val="008E372A"/>
    <w:rsid w:val="008E5704"/>
    <w:rsid w:val="008E594F"/>
    <w:rsid w:val="008E5F7E"/>
    <w:rsid w:val="008E71B7"/>
    <w:rsid w:val="008E7564"/>
    <w:rsid w:val="008E764E"/>
    <w:rsid w:val="008F0083"/>
    <w:rsid w:val="008F0C13"/>
    <w:rsid w:val="008F20EC"/>
    <w:rsid w:val="008F2982"/>
    <w:rsid w:val="008F2EC2"/>
    <w:rsid w:val="008F2F81"/>
    <w:rsid w:val="008F323E"/>
    <w:rsid w:val="008F3C34"/>
    <w:rsid w:val="008F472B"/>
    <w:rsid w:val="008F48BF"/>
    <w:rsid w:val="008F5256"/>
    <w:rsid w:val="008F5292"/>
    <w:rsid w:val="008F6A3F"/>
    <w:rsid w:val="008F6DF7"/>
    <w:rsid w:val="008F715F"/>
    <w:rsid w:val="008F77BF"/>
    <w:rsid w:val="008F7A1B"/>
    <w:rsid w:val="008F7D8C"/>
    <w:rsid w:val="00901A64"/>
    <w:rsid w:val="00901E9A"/>
    <w:rsid w:val="00901ED3"/>
    <w:rsid w:val="00902186"/>
    <w:rsid w:val="00902C31"/>
    <w:rsid w:val="00902E82"/>
    <w:rsid w:val="009038F6"/>
    <w:rsid w:val="009042F9"/>
    <w:rsid w:val="009049A0"/>
    <w:rsid w:val="00905592"/>
    <w:rsid w:val="00906D05"/>
    <w:rsid w:val="009079A9"/>
    <w:rsid w:val="0091021B"/>
    <w:rsid w:val="00910EBA"/>
    <w:rsid w:val="00911F7F"/>
    <w:rsid w:val="00912A11"/>
    <w:rsid w:val="0091349A"/>
    <w:rsid w:val="0091393B"/>
    <w:rsid w:val="00913B99"/>
    <w:rsid w:val="00914E07"/>
    <w:rsid w:val="0091724F"/>
    <w:rsid w:val="0092006A"/>
    <w:rsid w:val="00920911"/>
    <w:rsid w:val="00920953"/>
    <w:rsid w:val="00920E85"/>
    <w:rsid w:val="0092132E"/>
    <w:rsid w:val="00921C2A"/>
    <w:rsid w:val="00922240"/>
    <w:rsid w:val="00922573"/>
    <w:rsid w:val="00923058"/>
    <w:rsid w:val="009233D7"/>
    <w:rsid w:val="009237ED"/>
    <w:rsid w:val="00924F60"/>
    <w:rsid w:val="00925ECD"/>
    <w:rsid w:val="00926F04"/>
    <w:rsid w:val="009277AA"/>
    <w:rsid w:val="00927DB9"/>
    <w:rsid w:val="009302CE"/>
    <w:rsid w:val="009305DF"/>
    <w:rsid w:val="0093226B"/>
    <w:rsid w:val="00932565"/>
    <w:rsid w:val="00932812"/>
    <w:rsid w:val="0093346A"/>
    <w:rsid w:val="00933CE4"/>
    <w:rsid w:val="009341A3"/>
    <w:rsid w:val="00934686"/>
    <w:rsid w:val="00934D39"/>
    <w:rsid w:val="00935D68"/>
    <w:rsid w:val="009364EC"/>
    <w:rsid w:val="00937C85"/>
    <w:rsid w:val="00937CE0"/>
    <w:rsid w:val="00940210"/>
    <w:rsid w:val="00941544"/>
    <w:rsid w:val="00941E6A"/>
    <w:rsid w:val="00941FD1"/>
    <w:rsid w:val="009422E9"/>
    <w:rsid w:val="0094296B"/>
    <w:rsid w:val="00942B9B"/>
    <w:rsid w:val="00943AF1"/>
    <w:rsid w:val="00944953"/>
    <w:rsid w:val="00945D6A"/>
    <w:rsid w:val="0094668A"/>
    <w:rsid w:val="00946934"/>
    <w:rsid w:val="00946AAC"/>
    <w:rsid w:val="00947077"/>
    <w:rsid w:val="00947CCF"/>
    <w:rsid w:val="00950AAA"/>
    <w:rsid w:val="00951E44"/>
    <w:rsid w:val="009522DC"/>
    <w:rsid w:val="00954183"/>
    <w:rsid w:val="00954920"/>
    <w:rsid w:val="00954E9F"/>
    <w:rsid w:val="009558AE"/>
    <w:rsid w:val="0095626F"/>
    <w:rsid w:val="00956E35"/>
    <w:rsid w:val="00957276"/>
    <w:rsid w:val="00957BDF"/>
    <w:rsid w:val="009617BD"/>
    <w:rsid w:val="0096191B"/>
    <w:rsid w:val="00961968"/>
    <w:rsid w:val="00962716"/>
    <w:rsid w:val="0096365C"/>
    <w:rsid w:val="009638D0"/>
    <w:rsid w:val="00963DEB"/>
    <w:rsid w:val="00963F1B"/>
    <w:rsid w:val="009662F5"/>
    <w:rsid w:val="0096637D"/>
    <w:rsid w:val="00967B76"/>
    <w:rsid w:val="00967C5C"/>
    <w:rsid w:val="009700E8"/>
    <w:rsid w:val="00970361"/>
    <w:rsid w:val="009706C0"/>
    <w:rsid w:val="009712ED"/>
    <w:rsid w:val="009715EA"/>
    <w:rsid w:val="009718E7"/>
    <w:rsid w:val="00971B55"/>
    <w:rsid w:val="00971E1C"/>
    <w:rsid w:val="00971E93"/>
    <w:rsid w:val="009725FC"/>
    <w:rsid w:val="00972D7F"/>
    <w:rsid w:val="00972E95"/>
    <w:rsid w:val="00972FBA"/>
    <w:rsid w:val="009730FF"/>
    <w:rsid w:val="00973D59"/>
    <w:rsid w:val="009749FE"/>
    <w:rsid w:val="00974B38"/>
    <w:rsid w:val="00974FF4"/>
    <w:rsid w:val="00975B68"/>
    <w:rsid w:val="00976289"/>
    <w:rsid w:val="009778ED"/>
    <w:rsid w:val="00980141"/>
    <w:rsid w:val="00980CC3"/>
    <w:rsid w:val="009815E2"/>
    <w:rsid w:val="009822E2"/>
    <w:rsid w:val="009828B8"/>
    <w:rsid w:val="00982C47"/>
    <w:rsid w:val="00983373"/>
    <w:rsid w:val="00984100"/>
    <w:rsid w:val="00984BDE"/>
    <w:rsid w:val="009850BC"/>
    <w:rsid w:val="00985E55"/>
    <w:rsid w:val="00986BD7"/>
    <w:rsid w:val="00986C9B"/>
    <w:rsid w:val="00987E9D"/>
    <w:rsid w:val="00991D4C"/>
    <w:rsid w:val="00993644"/>
    <w:rsid w:val="0099378F"/>
    <w:rsid w:val="00993B7D"/>
    <w:rsid w:val="00994315"/>
    <w:rsid w:val="00994D40"/>
    <w:rsid w:val="00994EF2"/>
    <w:rsid w:val="00995663"/>
    <w:rsid w:val="009959EB"/>
    <w:rsid w:val="00995DCB"/>
    <w:rsid w:val="00995FB1"/>
    <w:rsid w:val="00997626"/>
    <w:rsid w:val="00997895"/>
    <w:rsid w:val="009A1B35"/>
    <w:rsid w:val="009A1B49"/>
    <w:rsid w:val="009A22FB"/>
    <w:rsid w:val="009A288C"/>
    <w:rsid w:val="009A3954"/>
    <w:rsid w:val="009A640C"/>
    <w:rsid w:val="009A66C0"/>
    <w:rsid w:val="009A6CFB"/>
    <w:rsid w:val="009B1508"/>
    <w:rsid w:val="009B18FA"/>
    <w:rsid w:val="009B2130"/>
    <w:rsid w:val="009B331B"/>
    <w:rsid w:val="009B35A5"/>
    <w:rsid w:val="009B37FA"/>
    <w:rsid w:val="009B3D6F"/>
    <w:rsid w:val="009B3E5C"/>
    <w:rsid w:val="009B58A6"/>
    <w:rsid w:val="009B65A7"/>
    <w:rsid w:val="009B66BB"/>
    <w:rsid w:val="009B68A5"/>
    <w:rsid w:val="009B6DFC"/>
    <w:rsid w:val="009B6E1B"/>
    <w:rsid w:val="009B6F37"/>
    <w:rsid w:val="009B7DD8"/>
    <w:rsid w:val="009C0678"/>
    <w:rsid w:val="009C0A9E"/>
    <w:rsid w:val="009C14A9"/>
    <w:rsid w:val="009C1F59"/>
    <w:rsid w:val="009C255C"/>
    <w:rsid w:val="009C29AD"/>
    <w:rsid w:val="009C32E0"/>
    <w:rsid w:val="009C3350"/>
    <w:rsid w:val="009C34AE"/>
    <w:rsid w:val="009C425B"/>
    <w:rsid w:val="009C448E"/>
    <w:rsid w:val="009C4528"/>
    <w:rsid w:val="009C4E09"/>
    <w:rsid w:val="009C5CB4"/>
    <w:rsid w:val="009C7219"/>
    <w:rsid w:val="009D05EB"/>
    <w:rsid w:val="009D0A81"/>
    <w:rsid w:val="009D0BBF"/>
    <w:rsid w:val="009D127C"/>
    <w:rsid w:val="009D1818"/>
    <w:rsid w:val="009D1E53"/>
    <w:rsid w:val="009D1E8D"/>
    <w:rsid w:val="009D2940"/>
    <w:rsid w:val="009D2D5D"/>
    <w:rsid w:val="009D364C"/>
    <w:rsid w:val="009D38F7"/>
    <w:rsid w:val="009D3B04"/>
    <w:rsid w:val="009D3C22"/>
    <w:rsid w:val="009D4946"/>
    <w:rsid w:val="009D4BAF"/>
    <w:rsid w:val="009D4D6F"/>
    <w:rsid w:val="009D4D8C"/>
    <w:rsid w:val="009D5C4C"/>
    <w:rsid w:val="009D5E3F"/>
    <w:rsid w:val="009D5FAB"/>
    <w:rsid w:val="009D6CB8"/>
    <w:rsid w:val="009D7584"/>
    <w:rsid w:val="009D75D9"/>
    <w:rsid w:val="009E03C7"/>
    <w:rsid w:val="009E1820"/>
    <w:rsid w:val="009E18A2"/>
    <w:rsid w:val="009E1AEA"/>
    <w:rsid w:val="009E27D9"/>
    <w:rsid w:val="009E2DA3"/>
    <w:rsid w:val="009E3645"/>
    <w:rsid w:val="009E43A5"/>
    <w:rsid w:val="009E5CAA"/>
    <w:rsid w:val="009E62B9"/>
    <w:rsid w:val="009E6C22"/>
    <w:rsid w:val="009E7236"/>
    <w:rsid w:val="009E768C"/>
    <w:rsid w:val="009E7DDF"/>
    <w:rsid w:val="009F087C"/>
    <w:rsid w:val="009F0C6C"/>
    <w:rsid w:val="009F0F61"/>
    <w:rsid w:val="009F1A1F"/>
    <w:rsid w:val="009F1F7E"/>
    <w:rsid w:val="009F3D50"/>
    <w:rsid w:val="009F3F05"/>
    <w:rsid w:val="009F430C"/>
    <w:rsid w:val="009F4AB0"/>
    <w:rsid w:val="009F5BB0"/>
    <w:rsid w:val="009F626A"/>
    <w:rsid w:val="009F6903"/>
    <w:rsid w:val="009F77FB"/>
    <w:rsid w:val="009F7B86"/>
    <w:rsid w:val="00A00257"/>
    <w:rsid w:val="00A008F3"/>
    <w:rsid w:val="00A01286"/>
    <w:rsid w:val="00A01A6E"/>
    <w:rsid w:val="00A02849"/>
    <w:rsid w:val="00A03705"/>
    <w:rsid w:val="00A03895"/>
    <w:rsid w:val="00A044E3"/>
    <w:rsid w:val="00A0517A"/>
    <w:rsid w:val="00A05DBD"/>
    <w:rsid w:val="00A06456"/>
    <w:rsid w:val="00A066D9"/>
    <w:rsid w:val="00A073B6"/>
    <w:rsid w:val="00A1256B"/>
    <w:rsid w:val="00A12A4F"/>
    <w:rsid w:val="00A12DA0"/>
    <w:rsid w:val="00A135FE"/>
    <w:rsid w:val="00A14205"/>
    <w:rsid w:val="00A1641E"/>
    <w:rsid w:val="00A17328"/>
    <w:rsid w:val="00A174B6"/>
    <w:rsid w:val="00A17A8C"/>
    <w:rsid w:val="00A20280"/>
    <w:rsid w:val="00A20385"/>
    <w:rsid w:val="00A2045B"/>
    <w:rsid w:val="00A204C6"/>
    <w:rsid w:val="00A2072E"/>
    <w:rsid w:val="00A20B6C"/>
    <w:rsid w:val="00A20C86"/>
    <w:rsid w:val="00A2146B"/>
    <w:rsid w:val="00A21D60"/>
    <w:rsid w:val="00A21E2C"/>
    <w:rsid w:val="00A221CC"/>
    <w:rsid w:val="00A2413C"/>
    <w:rsid w:val="00A2583F"/>
    <w:rsid w:val="00A25B21"/>
    <w:rsid w:val="00A26087"/>
    <w:rsid w:val="00A261B8"/>
    <w:rsid w:val="00A265A0"/>
    <w:rsid w:val="00A26CA8"/>
    <w:rsid w:val="00A26E2F"/>
    <w:rsid w:val="00A270F8"/>
    <w:rsid w:val="00A273EF"/>
    <w:rsid w:val="00A279E8"/>
    <w:rsid w:val="00A304AE"/>
    <w:rsid w:val="00A31188"/>
    <w:rsid w:val="00A31488"/>
    <w:rsid w:val="00A31C55"/>
    <w:rsid w:val="00A325B1"/>
    <w:rsid w:val="00A32814"/>
    <w:rsid w:val="00A33EBB"/>
    <w:rsid w:val="00A3434F"/>
    <w:rsid w:val="00A356D8"/>
    <w:rsid w:val="00A35881"/>
    <w:rsid w:val="00A3730C"/>
    <w:rsid w:val="00A3775C"/>
    <w:rsid w:val="00A37FC3"/>
    <w:rsid w:val="00A4103C"/>
    <w:rsid w:val="00A41EBF"/>
    <w:rsid w:val="00A420C2"/>
    <w:rsid w:val="00A4223E"/>
    <w:rsid w:val="00A42E62"/>
    <w:rsid w:val="00A4391B"/>
    <w:rsid w:val="00A448C0"/>
    <w:rsid w:val="00A449E8"/>
    <w:rsid w:val="00A44A52"/>
    <w:rsid w:val="00A44A62"/>
    <w:rsid w:val="00A44D99"/>
    <w:rsid w:val="00A465E9"/>
    <w:rsid w:val="00A46861"/>
    <w:rsid w:val="00A476B2"/>
    <w:rsid w:val="00A500C2"/>
    <w:rsid w:val="00A512F0"/>
    <w:rsid w:val="00A51590"/>
    <w:rsid w:val="00A51E5A"/>
    <w:rsid w:val="00A51F5E"/>
    <w:rsid w:val="00A52C73"/>
    <w:rsid w:val="00A53587"/>
    <w:rsid w:val="00A54248"/>
    <w:rsid w:val="00A54CC9"/>
    <w:rsid w:val="00A56779"/>
    <w:rsid w:val="00A56DA4"/>
    <w:rsid w:val="00A573BB"/>
    <w:rsid w:val="00A57B50"/>
    <w:rsid w:val="00A609DF"/>
    <w:rsid w:val="00A60AFA"/>
    <w:rsid w:val="00A60C81"/>
    <w:rsid w:val="00A60E35"/>
    <w:rsid w:val="00A61169"/>
    <w:rsid w:val="00A61950"/>
    <w:rsid w:val="00A61CA7"/>
    <w:rsid w:val="00A63EE9"/>
    <w:rsid w:val="00A653B3"/>
    <w:rsid w:val="00A6578A"/>
    <w:rsid w:val="00A6622F"/>
    <w:rsid w:val="00A71521"/>
    <w:rsid w:val="00A717D7"/>
    <w:rsid w:val="00A719ED"/>
    <w:rsid w:val="00A71B8B"/>
    <w:rsid w:val="00A72A39"/>
    <w:rsid w:val="00A73C8F"/>
    <w:rsid w:val="00A74E32"/>
    <w:rsid w:val="00A750BD"/>
    <w:rsid w:val="00A7551B"/>
    <w:rsid w:val="00A75817"/>
    <w:rsid w:val="00A76056"/>
    <w:rsid w:val="00A76BCF"/>
    <w:rsid w:val="00A76C27"/>
    <w:rsid w:val="00A76E9C"/>
    <w:rsid w:val="00A77469"/>
    <w:rsid w:val="00A80187"/>
    <w:rsid w:val="00A80403"/>
    <w:rsid w:val="00A805A0"/>
    <w:rsid w:val="00A8177D"/>
    <w:rsid w:val="00A81C2B"/>
    <w:rsid w:val="00A823D7"/>
    <w:rsid w:val="00A838B8"/>
    <w:rsid w:val="00A84C1D"/>
    <w:rsid w:val="00A85A9B"/>
    <w:rsid w:val="00A86885"/>
    <w:rsid w:val="00A86940"/>
    <w:rsid w:val="00A86A08"/>
    <w:rsid w:val="00A8726B"/>
    <w:rsid w:val="00A8762F"/>
    <w:rsid w:val="00A87983"/>
    <w:rsid w:val="00A90D7A"/>
    <w:rsid w:val="00A916A6"/>
    <w:rsid w:val="00A9184A"/>
    <w:rsid w:val="00A918A3"/>
    <w:rsid w:val="00A91D8C"/>
    <w:rsid w:val="00A925C5"/>
    <w:rsid w:val="00A92F59"/>
    <w:rsid w:val="00A93459"/>
    <w:rsid w:val="00A93C2D"/>
    <w:rsid w:val="00A947CD"/>
    <w:rsid w:val="00A94C4E"/>
    <w:rsid w:val="00A9528B"/>
    <w:rsid w:val="00A96236"/>
    <w:rsid w:val="00A9693A"/>
    <w:rsid w:val="00A96F2A"/>
    <w:rsid w:val="00A973B3"/>
    <w:rsid w:val="00A97D87"/>
    <w:rsid w:val="00A97F47"/>
    <w:rsid w:val="00AA0761"/>
    <w:rsid w:val="00AA262E"/>
    <w:rsid w:val="00AA28B7"/>
    <w:rsid w:val="00AA36CB"/>
    <w:rsid w:val="00AA3BF5"/>
    <w:rsid w:val="00AA477E"/>
    <w:rsid w:val="00AA4DE8"/>
    <w:rsid w:val="00AA50D7"/>
    <w:rsid w:val="00AA60F3"/>
    <w:rsid w:val="00AA68AB"/>
    <w:rsid w:val="00AA77F1"/>
    <w:rsid w:val="00AB04DC"/>
    <w:rsid w:val="00AB07B8"/>
    <w:rsid w:val="00AB0D71"/>
    <w:rsid w:val="00AB0F4F"/>
    <w:rsid w:val="00AB113B"/>
    <w:rsid w:val="00AB1645"/>
    <w:rsid w:val="00AB17D0"/>
    <w:rsid w:val="00AB1B6E"/>
    <w:rsid w:val="00AB331F"/>
    <w:rsid w:val="00AB3D7F"/>
    <w:rsid w:val="00AB42DE"/>
    <w:rsid w:val="00AB6C0A"/>
    <w:rsid w:val="00AB6C55"/>
    <w:rsid w:val="00AB6DAE"/>
    <w:rsid w:val="00AB6DB3"/>
    <w:rsid w:val="00AB6E4E"/>
    <w:rsid w:val="00AB7764"/>
    <w:rsid w:val="00AB77B6"/>
    <w:rsid w:val="00AC0CBF"/>
    <w:rsid w:val="00AC273D"/>
    <w:rsid w:val="00AC34B7"/>
    <w:rsid w:val="00AC39D4"/>
    <w:rsid w:val="00AC483E"/>
    <w:rsid w:val="00AC4EEB"/>
    <w:rsid w:val="00AC5F60"/>
    <w:rsid w:val="00AC6192"/>
    <w:rsid w:val="00AC61AF"/>
    <w:rsid w:val="00AC68B4"/>
    <w:rsid w:val="00AC7494"/>
    <w:rsid w:val="00AC77BF"/>
    <w:rsid w:val="00AC7B0A"/>
    <w:rsid w:val="00AC7B68"/>
    <w:rsid w:val="00AC7D3A"/>
    <w:rsid w:val="00AD0BDF"/>
    <w:rsid w:val="00AD0E95"/>
    <w:rsid w:val="00AD1231"/>
    <w:rsid w:val="00AD15A8"/>
    <w:rsid w:val="00AD1D84"/>
    <w:rsid w:val="00AD2844"/>
    <w:rsid w:val="00AD3701"/>
    <w:rsid w:val="00AD4EEA"/>
    <w:rsid w:val="00AD7C40"/>
    <w:rsid w:val="00AD7F45"/>
    <w:rsid w:val="00AE07B9"/>
    <w:rsid w:val="00AE0FCF"/>
    <w:rsid w:val="00AE11EE"/>
    <w:rsid w:val="00AE17DF"/>
    <w:rsid w:val="00AE2FCA"/>
    <w:rsid w:val="00AE3015"/>
    <w:rsid w:val="00AE41AC"/>
    <w:rsid w:val="00AE5313"/>
    <w:rsid w:val="00AE671E"/>
    <w:rsid w:val="00AE706E"/>
    <w:rsid w:val="00AE7235"/>
    <w:rsid w:val="00AE72CF"/>
    <w:rsid w:val="00AF0099"/>
    <w:rsid w:val="00AF014F"/>
    <w:rsid w:val="00AF09A5"/>
    <w:rsid w:val="00AF1009"/>
    <w:rsid w:val="00AF12A3"/>
    <w:rsid w:val="00AF38A5"/>
    <w:rsid w:val="00AF3FF8"/>
    <w:rsid w:val="00AF4002"/>
    <w:rsid w:val="00AF416D"/>
    <w:rsid w:val="00AF462F"/>
    <w:rsid w:val="00AF4BD5"/>
    <w:rsid w:val="00AF50C9"/>
    <w:rsid w:val="00AF56F2"/>
    <w:rsid w:val="00AF6E65"/>
    <w:rsid w:val="00AF6EE8"/>
    <w:rsid w:val="00AF6F36"/>
    <w:rsid w:val="00AF71FD"/>
    <w:rsid w:val="00AF77DF"/>
    <w:rsid w:val="00AF7889"/>
    <w:rsid w:val="00AF7A47"/>
    <w:rsid w:val="00B00F19"/>
    <w:rsid w:val="00B010F1"/>
    <w:rsid w:val="00B01241"/>
    <w:rsid w:val="00B01BDF"/>
    <w:rsid w:val="00B0426C"/>
    <w:rsid w:val="00B04375"/>
    <w:rsid w:val="00B0576B"/>
    <w:rsid w:val="00B07170"/>
    <w:rsid w:val="00B1087B"/>
    <w:rsid w:val="00B10BAF"/>
    <w:rsid w:val="00B10F9D"/>
    <w:rsid w:val="00B119DF"/>
    <w:rsid w:val="00B11D26"/>
    <w:rsid w:val="00B1426E"/>
    <w:rsid w:val="00B15BD0"/>
    <w:rsid w:val="00B15CED"/>
    <w:rsid w:val="00B15F3A"/>
    <w:rsid w:val="00B203D9"/>
    <w:rsid w:val="00B20417"/>
    <w:rsid w:val="00B20CE8"/>
    <w:rsid w:val="00B211FF"/>
    <w:rsid w:val="00B225CB"/>
    <w:rsid w:val="00B233CB"/>
    <w:rsid w:val="00B23935"/>
    <w:rsid w:val="00B24062"/>
    <w:rsid w:val="00B24497"/>
    <w:rsid w:val="00B24772"/>
    <w:rsid w:val="00B24D6E"/>
    <w:rsid w:val="00B2549D"/>
    <w:rsid w:val="00B2561F"/>
    <w:rsid w:val="00B25710"/>
    <w:rsid w:val="00B25750"/>
    <w:rsid w:val="00B263CD"/>
    <w:rsid w:val="00B264BE"/>
    <w:rsid w:val="00B26F49"/>
    <w:rsid w:val="00B27CBB"/>
    <w:rsid w:val="00B303AF"/>
    <w:rsid w:val="00B30D65"/>
    <w:rsid w:val="00B31388"/>
    <w:rsid w:val="00B313D9"/>
    <w:rsid w:val="00B321F1"/>
    <w:rsid w:val="00B322E8"/>
    <w:rsid w:val="00B32DC0"/>
    <w:rsid w:val="00B32E3A"/>
    <w:rsid w:val="00B33075"/>
    <w:rsid w:val="00B332A9"/>
    <w:rsid w:val="00B338B5"/>
    <w:rsid w:val="00B37B5D"/>
    <w:rsid w:val="00B40320"/>
    <w:rsid w:val="00B408BB"/>
    <w:rsid w:val="00B40941"/>
    <w:rsid w:val="00B415E6"/>
    <w:rsid w:val="00B42045"/>
    <w:rsid w:val="00B42439"/>
    <w:rsid w:val="00B42DC2"/>
    <w:rsid w:val="00B43DC3"/>
    <w:rsid w:val="00B44371"/>
    <w:rsid w:val="00B4449D"/>
    <w:rsid w:val="00B4556A"/>
    <w:rsid w:val="00B460CE"/>
    <w:rsid w:val="00B46173"/>
    <w:rsid w:val="00B467D8"/>
    <w:rsid w:val="00B46C6E"/>
    <w:rsid w:val="00B5016D"/>
    <w:rsid w:val="00B50264"/>
    <w:rsid w:val="00B50C32"/>
    <w:rsid w:val="00B519EF"/>
    <w:rsid w:val="00B51D27"/>
    <w:rsid w:val="00B521A5"/>
    <w:rsid w:val="00B521EC"/>
    <w:rsid w:val="00B52905"/>
    <w:rsid w:val="00B529EB"/>
    <w:rsid w:val="00B52BDA"/>
    <w:rsid w:val="00B53FEA"/>
    <w:rsid w:val="00B54074"/>
    <w:rsid w:val="00B54306"/>
    <w:rsid w:val="00B544EE"/>
    <w:rsid w:val="00B54826"/>
    <w:rsid w:val="00B54FB9"/>
    <w:rsid w:val="00B57E75"/>
    <w:rsid w:val="00B60DEF"/>
    <w:rsid w:val="00B6183E"/>
    <w:rsid w:val="00B619FF"/>
    <w:rsid w:val="00B62321"/>
    <w:rsid w:val="00B62A21"/>
    <w:rsid w:val="00B63138"/>
    <w:rsid w:val="00B652AF"/>
    <w:rsid w:val="00B6553B"/>
    <w:rsid w:val="00B659D9"/>
    <w:rsid w:val="00B65D4D"/>
    <w:rsid w:val="00B66B48"/>
    <w:rsid w:val="00B67067"/>
    <w:rsid w:val="00B67A5C"/>
    <w:rsid w:val="00B7090F"/>
    <w:rsid w:val="00B70DC5"/>
    <w:rsid w:val="00B715DF"/>
    <w:rsid w:val="00B71E2B"/>
    <w:rsid w:val="00B72D58"/>
    <w:rsid w:val="00B737FE"/>
    <w:rsid w:val="00B73C36"/>
    <w:rsid w:val="00B73F3E"/>
    <w:rsid w:val="00B740A8"/>
    <w:rsid w:val="00B7424D"/>
    <w:rsid w:val="00B74B72"/>
    <w:rsid w:val="00B751B3"/>
    <w:rsid w:val="00B753F2"/>
    <w:rsid w:val="00B76397"/>
    <w:rsid w:val="00B76849"/>
    <w:rsid w:val="00B76A11"/>
    <w:rsid w:val="00B76BE3"/>
    <w:rsid w:val="00B7798B"/>
    <w:rsid w:val="00B77D34"/>
    <w:rsid w:val="00B8015D"/>
    <w:rsid w:val="00B80622"/>
    <w:rsid w:val="00B81138"/>
    <w:rsid w:val="00B837DC"/>
    <w:rsid w:val="00B83F2B"/>
    <w:rsid w:val="00B845ED"/>
    <w:rsid w:val="00B84824"/>
    <w:rsid w:val="00B85806"/>
    <w:rsid w:val="00B85C3C"/>
    <w:rsid w:val="00B86A76"/>
    <w:rsid w:val="00B8756F"/>
    <w:rsid w:val="00B8779A"/>
    <w:rsid w:val="00B9014E"/>
    <w:rsid w:val="00B92734"/>
    <w:rsid w:val="00B92C09"/>
    <w:rsid w:val="00B93458"/>
    <w:rsid w:val="00B935D0"/>
    <w:rsid w:val="00B9379C"/>
    <w:rsid w:val="00B95A9B"/>
    <w:rsid w:val="00B95D82"/>
    <w:rsid w:val="00B97322"/>
    <w:rsid w:val="00B9758C"/>
    <w:rsid w:val="00B97C3F"/>
    <w:rsid w:val="00BA0F27"/>
    <w:rsid w:val="00BA13C8"/>
    <w:rsid w:val="00BA1685"/>
    <w:rsid w:val="00BA1E7F"/>
    <w:rsid w:val="00BA2D8A"/>
    <w:rsid w:val="00BA30B2"/>
    <w:rsid w:val="00BA3361"/>
    <w:rsid w:val="00BA36E7"/>
    <w:rsid w:val="00BA3856"/>
    <w:rsid w:val="00BA3D29"/>
    <w:rsid w:val="00BA4101"/>
    <w:rsid w:val="00BA4A05"/>
    <w:rsid w:val="00BA4E11"/>
    <w:rsid w:val="00BA54E3"/>
    <w:rsid w:val="00BA5B6A"/>
    <w:rsid w:val="00BA5E23"/>
    <w:rsid w:val="00BA5E3D"/>
    <w:rsid w:val="00BA774D"/>
    <w:rsid w:val="00BB025F"/>
    <w:rsid w:val="00BB06B9"/>
    <w:rsid w:val="00BB0ACC"/>
    <w:rsid w:val="00BB0B8F"/>
    <w:rsid w:val="00BB1C19"/>
    <w:rsid w:val="00BB21E3"/>
    <w:rsid w:val="00BB2660"/>
    <w:rsid w:val="00BB3547"/>
    <w:rsid w:val="00BB37FF"/>
    <w:rsid w:val="00BB4558"/>
    <w:rsid w:val="00BB469E"/>
    <w:rsid w:val="00BB4883"/>
    <w:rsid w:val="00BB49A5"/>
    <w:rsid w:val="00BB4E6C"/>
    <w:rsid w:val="00BB56C7"/>
    <w:rsid w:val="00BB5AC1"/>
    <w:rsid w:val="00BB6308"/>
    <w:rsid w:val="00BB6972"/>
    <w:rsid w:val="00BB6BEC"/>
    <w:rsid w:val="00BB7414"/>
    <w:rsid w:val="00BC0319"/>
    <w:rsid w:val="00BC04FA"/>
    <w:rsid w:val="00BC330F"/>
    <w:rsid w:val="00BC37AC"/>
    <w:rsid w:val="00BC48E3"/>
    <w:rsid w:val="00BC6250"/>
    <w:rsid w:val="00BC64D6"/>
    <w:rsid w:val="00BC666D"/>
    <w:rsid w:val="00BC67ED"/>
    <w:rsid w:val="00BC6BC4"/>
    <w:rsid w:val="00BC71F5"/>
    <w:rsid w:val="00BC7C43"/>
    <w:rsid w:val="00BD02F4"/>
    <w:rsid w:val="00BD08B7"/>
    <w:rsid w:val="00BD091F"/>
    <w:rsid w:val="00BD1349"/>
    <w:rsid w:val="00BD328E"/>
    <w:rsid w:val="00BD4146"/>
    <w:rsid w:val="00BD4B22"/>
    <w:rsid w:val="00BD6119"/>
    <w:rsid w:val="00BD6585"/>
    <w:rsid w:val="00BD6661"/>
    <w:rsid w:val="00BD7575"/>
    <w:rsid w:val="00BE09DE"/>
    <w:rsid w:val="00BE20B6"/>
    <w:rsid w:val="00BE34FE"/>
    <w:rsid w:val="00BE3AF0"/>
    <w:rsid w:val="00BE3B86"/>
    <w:rsid w:val="00BE6B4B"/>
    <w:rsid w:val="00BE7088"/>
    <w:rsid w:val="00BE77C8"/>
    <w:rsid w:val="00BE7B5F"/>
    <w:rsid w:val="00BF1911"/>
    <w:rsid w:val="00BF2474"/>
    <w:rsid w:val="00BF2545"/>
    <w:rsid w:val="00BF363E"/>
    <w:rsid w:val="00BF52F0"/>
    <w:rsid w:val="00BF5D4D"/>
    <w:rsid w:val="00BF69A5"/>
    <w:rsid w:val="00BF6FCA"/>
    <w:rsid w:val="00BF79C6"/>
    <w:rsid w:val="00BF7F2C"/>
    <w:rsid w:val="00C00545"/>
    <w:rsid w:val="00C0078E"/>
    <w:rsid w:val="00C01FB2"/>
    <w:rsid w:val="00C030A8"/>
    <w:rsid w:val="00C0342F"/>
    <w:rsid w:val="00C034C0"/>
    <w:rsid w:val="00C03776"/>
    <w:rsid w:val="00C0428D"/>
    <w:rsid w:val="00C042DD"/>
    <w:rsid w:val="00C06232"/>
    <w:rsid w:val="00C074D4"/>
    <w:rsid w:val="00C07E23"/>
    <w:rsid w:val="00C11860"/>
    <w:rsid w:val="00C11F81"/>
    <w:rsid w:val="00C12195"/>
    <w:rsid w:val="00C13976"/>
    <w:rsid w:val="00C14A43"/>
    <w:rsid w:val="00C14F80"/>
    <w:rsid w:val="00C15C50"/>
    <w:rsid w:val="00C1678C"/>
    <w:rsid w:val="00C216DE"/>
    <w:rsid w:val="00C217A2"/>
    <w:rsid w:val="00C23994"/>
    <w:rsid w:val="00C23C09"/>
    <w:rsid w:val="00C256E8"/>
    <w:rsid w:val="00C258EC"/>
    <w:rsid w:val="00C26A81"/>
    <w:rsid w:val="00C26D0E"/>
    <w:rsid w:val="00C27613"/>
    <w:rsid w:val="00C27D31"/>
    <w:rsid w:val="00C30716"/>
    <w:rsid w:val="00C30C97"/>
    <w:rsid w:val="00C31145"/>
    <w:rsid w:val="00C31457"/>
    <w:rsid w:val="00C3161F"/>
    <w:rsid w:val="00C3382D"/>
    <w:rsid w:val="00C344AE"/>
    <w:rsid w:val="00C348A2"/>
    <w:rsid w:val="00C353BC"/>
    <w:rsid w:val="00C36436"/>
    <w:rsid w:val="00C36E38"/>
    <w:rsid w:val="00C37182"/>
    <w:rsid w:val="00C371C6"/>
    <w:rsid w:val="00C37667"/>
    <w:rsid w:val="00C40EB1"/>
    <w:rsid w:val="00C421A5"/>
    <w:rsid w:val="00C426D8"/>
    <w:rsid w:val="00C42A1E"/>
    <w:rsid w:val="00C43CE8"/>
    <w:rsid w:val="00C43CEF"/>
    <w:rsid w:val="00C45149"/>
    <w:rsid w:val="00C45834"/>
    <w:rsid w:val="00C45925"/>
    <w:rsid w:val="00C46690"/>
    <w:rsid w:val="00C467BB"/>
    <w:rsid w:val="00C46BB9"/>
    <w:rsid w:val="00C479F4"/>
    <w:rsid w:val="00C47D4C"/>
    <w:rsid w:val="00C506AC"/>
    <w:rsid w:val="00C508A1"/>
    <w:rsid w:val="00C50D7D"/>
    <w:rsid w:val="00C51882"/>
    <w:rsid w:val="00C5194F"/>
    <w:rsid w:val="00C52B8E"/>
    <w:rsid w:val="00C541E8"/>
    <w:rsid w:val="00C54B81"/>
    <w:rsid w:val="00C55ADE"/>
    <w:rsid w:val="00C56060"/>
    <w:rsid w:val="00C565B8"/>
    <w:rsid w:val="00C56D95"/>
    <w:rsid w:val="00C5779C"/>
    <w:rsid w:val="00C600E7"/>
    <w:rsid w:val="00C629D3"/>
    <w:rsid w:val="00C63076"/>
    <w:rsid w:val="00C63588"/>
    <w:rsid w:val="00C64FA7"/>
    <w:rsid w:val="00C6549F"/>
    <w:rsid w:val="00C65B5D"/>
    <w:rsid w:val="00C7116B"/>
    <w:rsid w:val="00C71814"/>
    <w:rsid w:val="00C730BD"/>
    <w:rsid w:val="00C7356E"/>
    <w:rsid w:val="00C73749"/>
    <w:rsid w:val="00C747D4"/>
    <w:rsid w:val="00C76106"/>
    <w:rsid w:val="00C76768"/>
    <w:rsid w:val="00C769BA"/>
    <w:rsid w:val="00C76B3A"/>
    <w:rsid w:val="00C779F9"/>
    <w:rsid w:val="00C77E8D"/>
    <w:rsid w:val="00C80171"/>
    <w:rsid w:val="00C8080C"/>
    <w:rsid w:val="00C81E9D"/>
    <w:rsid w:val="00C81F01"/>
    <w:rsid w:val="00C82E5B"/>
    <w:rsid w:val="00C8359A"/>
    <w:rsid w:val="00C83A63"/>
    <w:rsid w:val="00C83D49"/>
    <w:rsid w:val="00C83EBC"/>
    <w:rsid w:val="00C84428"/>
    <w:rsid w:val="00C84A47"/>
    <w:rsid w:val="00C851D7"/>
    <w:rsid w:val="00C85679"/>
    <w:rsid w:val="00C857BA"/>
    <w:rsid w:val="00C859AC"/>
    <w:rsid w:val="00C85C97"/>
    <w:rsid w:val="00C85D66"/>
    <w:rsid w:val="00C86335"/>
    <w:rsid w:val="00C868AC"/>
    <w:rsid w:val="00C87FE9"/>
    <w:rsid w:val="00C9006D"/>
    <w:rsid w:val="00C9021B"/>
    <w:rsid w:val="00C913C5"/>
    <w:rsid w:val="00C91556"/>
    <w:rsid w:val="00C921E7"/>
    <w:rsid w:val="00C92604"/>
    <w:rsid w:val="00C92B0A"/>
    <w:rsid w:val="00C92CFF"/>
    <w:rsid w:val="00C937E8"/>
    <w:rsid w:val="00C94396"/>
    <w:rsid w:val="00C948A3"/>
    <w:rsid w:val="00C94EC4"/>
    <w:rsid w:val="00C95319"/>
    <w:rsid w:val="00C955AD"/>
    <w:rsid w:val="00C9610A"/>
    <w:rsid w:val="00C96BC0"/>
    <w:rsid w:val="00CA1A44"/>
    <w:rsid w:val="00CA2607"/>
    <w:rsid w:val="00CA3160"/>
    <w:rsid w:val="00CA3289"/>
    <w:rsid w:val="00CA4055"/>
    <w:rsid w:val="00CA41F2"/>
    <w:rsid w:val="00CA43D9"/>
    <w:rsid w:val="00CA5779"/>
    <w:rsid w:val="00CA5959"/>
    <w:rsid w:val="00CA669B"/>
    <w:rsid w:val="00CA677B"/>
    <w:rsid w:val="00CA70EB"/>
    <w:rsid w:val="00CA7C1B"/>
    <w:rsid w:val="00CA7E62"/>
    <w:rsid w:val="00CB1752"/>
    <w:rsid w:val="00CB291C"/>
    <w:rsid w:val="00CB2C82"/>
    <w:rsid w:val="00CB4154"/>
    <w:rsid w:val="00CB4445"/>
    <w:rsid w:val="00CB485F"/>
    <w:rsid w:val="00CB4D41"/>
    <w:rsid w:val="00CB5039"/>
    <w:rsid w:val="00CB53B6"/>
    <w:rsid w:val="00CB5579"/>
    <w:rsid w:val="00CB60C9"/>
    <w:rsid w:val="00CB6945"/>
    <w:rsid w:val="00CB7CE5"/>
    <w:rsid w:val="00CC01EA"/>
    <w:rsid w:val="00CC0649"/>
    <w:rsid w:val="00CC0F98"/>
    <w:rsid w:val="00CC1DC4"/>
    <w:rsid w:val="00CC31FE"/>
    <w:rsid w:val="00CC501E"/>
    <w:rsid w:val="00CC5460"/>
    <w:rsid w:val="00CC67E9"/>
    <w:rsid w:val="00CC6BAA"/>
    <w:rsid w:val="00CC7408"/>
    <w:rsid w:val="00CC768F"/>
    <w:rsid w:val="00CC790D"/>
    <w:rsid w:val="00CC7FF8"/>
    <w:rsid w:val="00CD01E6"/>
    <w:rsid w:val="00CD05BC"/>
    <w:rsid w:val="00CD066A"/>
    <w:rsid w:val="00CD0670"/>
    <w:rsid w:val="00CD09E8"/>
    <w:rsid w:val="00CD0B95"/>
    <w:rsid w:val="00CD1E8A"/>
    <w:rsid w:val="00CD2017"/>
    <w:rsid w:val="00CD23FA"/>
    <w:rsid w:val="00CD2688"/>
    <w:rsid w:val="00CD2ED6"/>
    <w:rsid w:val="00CD3317"/>
    <w:rsid w:val="00CD3AC7"/>
    <w:rsid w:val="00CD435F"/>
    <w:rsid w:val="00CD609D"/>
    <w:rsid w:val="00CD6354"/>
    <w:rsid w:val="00CD6359"/>
    <w:rsid w:val="00CD6674"/>
    <w:rsid w:val="00CD69AD"/>
    <w:rsid w:val="00CD7051"/>
    <w:rsid w:val="00CD7356"/>
    <w:rsid w:val="00CE081D"/>
    <w:rsid w:val="00CE1466"/>
    <w:rsid w:val="00CE1DEB"/>
    <w:rsid w:val="00CE1FE5"/>
    <w:rsid w:val="00CE25CF"/>
    <w:rsid w:val="00CE36EF"/>
    <w:rsid w:val="00CE383F"/>
    <w:rsid w:val="00CE4098"/>
    <w:rsid w:val="00CE55ED"/>
    <w:rsid w:val="00CE5775"/>
    <w:rsid w:val="00CE6AD0"/>
    <w:rsid w:val="00CE764E"/>
    <w:rsid w:val="00CF05A5"/>
    <w:rsid w:val="00CF0EBC"/>
    <w:rsid w:val="00CF0EF8"/>
    <w:rsid w:val="00CF1150"/>
    <w:rsid w:val="00CF15EE"/>
    <w:rsid w:val="00CF1DA8"/>
    <w:rsid w:val="00CF1EBE"/>
    <w:rsid w:val="00CF2191"/>
    <w:rsid w:val="00CF2F40"/>
    <w:rsid w:val="00CF4A1D"/>
    <w:rsid w:val="00CF50CD"/>
    <w:rsid w:val="00CF5144"/>
    <w:rsid w:val="00D00292"/>
    <w:rsid w:val="00D00454"/>
    <w:rsid w:val="00D00B9A"/>
    <w:rsid w:val="00D011BC"/>
    <w:rsid w:val="00D01361"/>
    <w:rsid w:val="00D01765"/>
    <w:rsid w:val="00D030A0"/>
    <w:rsid w:val="00D03B21"/>
    <w:rsid w:val="00D03FF4"/>
    <w:rsid w:val="00D0451B"/>
    <w:rsid w:val="00D045E9"/>
    <w:rsid w:val="00D04F3F"/>
    <w:rsid w:val="00D054A9"/>
    <w:rsid w:val="00D05706"/>
    <w:rsid w:val="00D05776"/>
    <w:rsid w:val="00D05F23"/>
    <w:rsid w:val="00D05F65"/>
    <w:rsid w:val="00D061C6"/>
    <w:rsid w:val="00D07C99"/>
    <w:rsid w:val="00D10046"/>
    <w:rsid w:val="00D10B07"/>
    <w:rsid w:val="00D10C75"/>
    <w:rsid w:val="00D12510"/>
    <w:rsid w:val="00D127B4"/>
    <w:rsid w:val="00D135A0"/>
    <w:rsid w:val="00D13CE7"/>
    <w:rsid w:val="00D13E41"/>
    <w:rsid w:val="00D13EF7"/>
    <w:rsid w:val="00D15666"/>
    <w:rsid w:val="00D157E0"/>
    <w:rsid w:val="00D1674B"/>
    <w:rsid w:val="00D168F2"/>
    <w:rsid w:val="00D16C97"/>
    <w:rsid w:val="00D17D8D"/>
    <w:rsid w:val="00D17FFE"/>
    <w:rsid w:val="00D20A57"/>
    <w:rsid w:val="00D20C47"/>
    <w:rsid w:val="00D216BC"/>
    <w:rsid w:val="00D21C92"/>
    <w:rsid w:val="00D22C83"/>
    <w:rsid w:val="00D236C5"/>
    <w:rsid w:val="00D239BE"/>
    <w:rsid w:val="00D23AF8"/>
    <w:rsid w:val="00D240CD"/>
    <w:rsid w:val="00D247FB"/>
    <w:rsid w:val="00D249E1"/>
    <w:rsid w:val="00D24C20"/>
    <w:rsid w:val="00D25423"/>
    <w:rsid w:val="00D25457"/>
    <w:rsid w:val="00D25563"/>
    <w:rsid w:val="00D25A5E"/>
    <w:rsid w:val="00D25D10"/>
    <w:rsid w:val="00D26720"/>
    <w:rsid w:val="00D2726F"/>
    <w:rsid w:val="00D2735A"/>
    <w:rsid w:val="00D27438"/>
    <w:rsid w:val="00D27B0A"/>
    <w:rsid w:val="00D27EE8"/>
    <w:rsid w:val="00D27F7F"/>
    <w:rsid w:val="00D30EDC"/>
    <w:rsid w:val="00D33588"/>
    <w:rsid w:val="00D337F3"/>
    <w:rsid w:val="00D34A7C"/>
    <w:rsid w:val="00D34DF6"/>
    <w:rsid w:val="00D35262"/>
    <w:rsid w:val="00D35B91"/>
    <w:rsid w:val="00D36BC3"/>
    <w:rsid w:val="00D37620"/>
    <w:rsid w:val="00D40031"/>
    <w:rsid w:val="00D40220"/>
    <w:rsid w:val="00D41496"/>
    <w:rsid w:val="00D4187B"/>
    <w:rsid w:val="00D4345F"/>
    <w:rsid w:val="00D43A62"/>
    <w:rsid w:val="00D43F03"/>
    <w:rsid w:val="00D444E5"/>
    <w:rsid w:val="00D44BDA"/>
    <w:rsid w:val="00D44C5B"/>
    <w:rsid w:val="00D454B2"/>
    <w:rsid w:val="00D4570E"/>
    <w:rsid w:val="00D47D17"/>
    <w:rsid w:val="00D503C8"/>
    <w:rsid w:val="00D50AEF"/>
    <w:rsid w:val="00D50D40"/>
    <w:rsid w:val="00D5116F"/>
    <w:rsid w:val="00D51639"/>
    <w:rsid w:val="00D51E13"/>
    <w:rsid w:val="00D52209"/>
    <w:rsid w:val="00D53A6A"/>
    <w:rsid w:val="00D53B07"/>
    <w:rsid w:val="00D54633"/>
    <w:rsid w:val="00D560F7"/>
    <w:rsid w:val="00D5681D"/>
    <w:rsid w:val="00D572DA"/>
    <w:rsid w:val="00D600E1"/>
    <w:rsid w:val="00D61068"/>
    <w:rsid w:val="00D61ABC"/>
    <w:rsid w:val="00D61B23"/>
    <w:rsid w:val="00D61F18"/>
    <w:rsid w:val="00D622E2"/>
    <w:rsid w:val="00D62403"/>
    <w:rsid w:val="00D629FE"/>
    <w:rsid w:val="00D62FD8"/>
    <w:rsid w:val="00D635F6"/>
    <w:rsid w:val="00D64857"/>
    <w:rsid w:val="00D64B8F"/>
    <w:rsid w:val="00D64F20"/>
    <w:rsid w:val="00D66CC3"/>
    <w:rsid w:val="00D6741D"/>
    <w:rsid w:val="00D67427"/>
    <w:rsid w:val="00D67F3D"/>
    <w:rsid w:val="00D70059"/>
    <w:rsid w:val="00D7088A"/>
    <w:rsid w:val="00D70E06"/>
    <w:rsid w:val="00D70F42"/>
    <w:rsid w:val="00D71401"/>
    <w:rsid w:val="00D7183A"/>
    <w:rsid w:val="00D71925"/>
    <w:rsid w:val="00D71F66"/>
    <w:rsid w:val="00D731FE"/>
    <w:rsid w:val="00D73CCB"/>
    <w:rsid w:val="00D74582"/>
    <w:rsid w:val="00D75775"/>
    <w:rsid w:val="00D75864"/>
    <w:rsid w:val="00D75C3F"/>
    <w:rsid w:val="00D80165"/>
    <w:rsid w:val="00D801B4"/>
    <w:rsid w:val="00D802BC"/>
    <w:rsid w:val="00D802F3"/>
    <w:rsid w:val="00D80632"/>
    <w:rsid w:val="00D806DA"/>
    <w:rsid w:val="00D80AAC"/>
    <w:rsid w:val="00D80E53"/>
    <w:rsid w:val="00D80E81"/>
    <w:rsid w:val="00D8138A"/>
    <w:rsid w:val="00D8142B"/>
    <w:rsid w:val="00D82A0F"/>
    <w:rsid w:val="00D831E7"/>
    <w:rsid w:val="00D833C2"/>
    <w:rsid w:val="00D8408D"/>
    <w:rsid w:val="00D8417C"/>
    <w:rsid w:val="00D846C7"/>
    <w:rsid w:val="00D84852"/>
    <w:rsid w:val="00D84F9E"/>
    <w:rsid w:val="00D85486"/>
    <w:rsid w:val="00D8671C"/>
    <w:rsid w:val="00D9024D"/>
    <w:rsid w:val="00D90563"/>
    <w:rsid w:val="00D908D4"/>
    <w:rsid w:val="00D91908"/>
    <w:rsid w:val="00D919A6"/>
    <w:rsid w:val="00D92665"/>
    <w:rsid w:val="00D9280F"/>
    <w:rsid w:val="00D92A55"/>
    <w:rsid w:val="00D9441A"/>
    <w:rsid w:val="00D94E0F"/>
    <w:rsid w:val="00D9517B"/>
    <w:rsid w:val="00D951CA"/>
    <w:rsid w:val="00D95584"/>
    <w:rsid w:val="00D95D8B"/>
    <w:rsid w:val="00D96400"/>
    <w:rsid w:val="00D96E23"/>
    <w:rsid w:val="00D96FA3"/>
    <w:rsid w:val="00D97308"/>
    <w:rsid w:val="00D975AD"/>
    <w:rsid w:val="00DA0ED1"/>
    <w:rsid w:val="00DA12AD"/>
    <w:rsid w:val="00DA1BBA"/>
    <w:rsid w:val="00DA298D"/>
    <w:rsid w:val="00DA3A64"/>
    <w:rsid w:val="00DA585B"/>
    <w:rsid w:val="00DA5B7C"/>
    <w:rsid w:val="00DA5C32"/>
    <w:rsid w:val="00DA603E"/>
    <w:rsid w:val="00DA62C0"/>
    <w:rsid w:val="00DA6B7E"/>
    <w:rsid w:val="00DB0D7F"/>
    <w:rsid w:val="00DB0FEA"/>
    <w:rsid w:val="00DB10D5"/>
    <w:rsid w:val="00DB2621"/>
    <w:rsid w:val="00DB26A5"/>
    <w:rsid w:val="00DB4BE0"/>
    <w:rsid w:val="00DB50E2"/>
    <w:rsid w:val="00DB5699"/>
    <w:rsid w:val="00DB6071"/>
    <w:rsid w:val="00DC1242"/>
    <w:rsid w:val="00DC1910"/>
    <w:rsid w:val="00DC28E5"/>
    <w:rsid w:val="00DC36B7"/>
    <w:rsid w:val="00DC484A"/>
    <w:rsid w:val="00DC561C"/>
    <w:rsid w:val="00DC5C07"/>
    <w:rsid w:val="00DC688F"/>
    <w:rsid w:val="00DC6A00"/>
    <w:rsid w:val="00DC7181"/>
    <w:rsid w:val="00DC7C1D"/>
    <w:rsid w:val="00DD06DB"/>
    <w:rsid w:val="00DD17C4"/>
    <w:rsid w:val="00DD2518"/>
    <w:rsid w:val="00DD25F5"/>
    <w:rsid w:val="00DD261C"/>
    <w:rsid w:val="00DD291D"/>
    <w:rsid w:val="00DD3899"/>
    <w:rsid w:val="00DD3B8E"/>
    <w:rsid w:val="00DD3C29"/>
    <w:rsid w:val="00DD3C73"/>
    <w:rsid w:val="00DD47BB"/>
    <w:rsid w:val="00DD4F17"/>
    <w:rsid w:val="00DD6A0B"/>
    <w:rsid w:val="00DD7ADC"/>
    <w:rsid w:val="00DD7DC5"/>
    <w:rsid w:val="00DE0F02"/>
    <w:rsid w:val="00DE1F1A"/>
    <w:rsid w:val="00DE20AA"/>
    <w:rsid w:val="00DE29B6"/>
    <w:rsid w:val="00DE2B5F"/>
    <w:rsid w:val="00DE3B65"/>
    <w:rsid w:val="00DE5E75"/>
    <w:rsid w:val="00DE608A"/>
    <w:rsid w:val="00DE7A4B"/>
    <w:rsid w:val="00DF08D8"/>
    <w:rsid w:val="00DF15DB"/>
    <w:rsid w:val="00DF20B2"/>
    <w:rsid w:val="00DF2314"/>
    <w:rsid w:val="00DF388C"/>
    <w:rsid w:val="00DF395C"/>
    <w:rsid w:val="00DF3D2E"/>
    <w:rsid w:val="00DF41D9"/>
    <w:rsid w:val="00DF58B0"/>
    <w:rsid w:val="00DF5945"/>
    <w:rsid w:val="00DF6950"/>
    <w:rsid w:val="00DF6AFF"/>
    <w:rsid w:val="00DF6B5F"/>
    <w:rsid w:val="00DF754C"/>
    <w:rsid w:val="00E01BCC"/>
    <w:rsid w:val="00E0257C"/>
    <w:rsid w:val="00E043AD"/>
    <w:rsid w:val="00E06867"/>
    <w:rsid w:val="00E06B8D"/>
    <w:rsid w:val="00E0717D"/>
    <w:rsid w:val="00E0770F"/>
    <w:rsid w:val="00E07F68"/>
    <w:rsid w:val="00E106CB"/>
    <w:rsid w:val="00E11E88"/>
    <w:rsid w:val="00E12749"/>
    <w:rsid w:val="00E13FAC"/>
    <w:rsid w:val="00E14104"/>
    <w:rsid w:val="00E147B9"/>
    <w:rsid w:val="00E14B87"/>
    <w:rsid w:val="00E1566F"/>
    <w:rsid w:val="00E16526"/>
    <w:rsid w:val="00E204E3"/>
    <w:rsid w:val="00E20E71"/>
    <w:rsid w:val="00E2221F"/>
    <w:rsid w:val="00E22DEF"/>
    <w:rsid w:val="00E24564"/>
    <w:rsid w:val="00E246A1"/>
    <w:rsid w:val="00E24BDD"/>
    <w:rsid w:val="00E24F3B"/>
    <w:rsid w:val="00E25159"/>
    <w:rsid w:val="00E25286"/>
    <w:rsid w:val="00E259BE"/>
    <w:rsid w:val="00E26FA8"/>
    <w:rsid w:val="00E2778C"/>
    <w:rsid w:val="00E27BB1"/>
    <w:rsid w:val="00E31781"/>
    <w:rsid w:val="00E32846"/>
    <w:rsid w:val="00E32E91"/>
    <w:rsid w:val="00E3303B"/>
    <w:rsid w:val="00E3308F"/>
    <w:rsid w:val="00E334F4"/>
    <w:rsid w:val="00E3400A"/>
    <w:rsid w:val="00E34757"/>
    <w:rsid w:val="00E35CF1"/>
    <w:rsid w:val="00E35FEA"/>
    <w:rsid w:val="00E361F2"/>
    <w:rsid w:val="00E369AE"/>
    <w:rsid w:val="00E36E41"/>
    <w:rsid w:val="00E37D2F"/>
    <w:rsid w:val="00E37F3A"/>
    <w:rsid w:val="00E40707"/>
    <w:rsid w:val="00E40FCF"/>
    <w:rsid w:val="00E41061"/>
    <w:rsid w:val="00E4114B"/>
    <w:rsid w:val="00E411B4"/>
    <w:rsid w:val="00E411DD"/>
    <w:rsid w:val="00E41228"/>
    <w:rsid w:val="00E44F8C"/>
    <w:rsid w:val="00E46717"/>
    <w:rsid w:val="00E46AE2"/>
    <w:rsid w:val="00E46CAD"/>
    <w:rsid w:val="00E47F35"/>
    <w:rsid w:val="00E50221"/>
    <w:rsid w:val="00E51D30"/>
    <w:rsid w:val="00E52594"/>
    <w:rsid w:val="00E52E13"/>
    <w:rsid w:val="00E536FF"/>
    <w:rsid w:val="00E53DC2"/>
    <w:rsid w:val="00E54DEB"/>
    <w:rsid w:val="00E56051"/>
    <w:rsid w:val="00E560C8"/>
    <w:rsid w:val="00E56EFA"/>
    <w:rsid w:val="00E573C6"/>
    <w:rsid w:val="00E575F3"/>
    <w:rsid w:val="00E60FF6"/>
    <w:rsid w:val="00E61529"/>
    <w:rsid w:val="00E61AD0"/>
    <w:rsid w:val="00E621CD"/>
    <w:rsid w:val="00E62865"/>
    <w:rsid w:val="00E628A7"/>
    <w:rsid w:val="00E62DB8"/>
    <w:rsid w:val="00E636E2"/>
    <w:rsid w:val="00E65215"/>
    <w:rsid w:val="00E65336"/>
    <w:rsid w:val="00E653B0"/>
    <w:rsid w:val="00E65934"/>
    <w:rsid w:val="00E66751"/>
    <w:rsid w:val="00E66F29"/>
    <w:rsid w:val="00E67667"/>
    <w:rsid w:val="00E67844"/>
    <w:rsid w:val="00E67A10"/>
    <w:rsid w:val="00E67DCB"/>
    <w:rsid w:val="00E7022E"/>
    <w:rsid w:val="00E7089C"/>
    <w:rsid w:val="00E72268"/>
    <w:rsid w:val="00E734E7"/>
    <w:rsid w:val="00E73A52"/>
    <w:rsid w:val="00E74224"/>
    <w:rsid w:val="00E74848"/>
    <w:rsid w:val="00E74C65"/>
    <w:rsid w:val="00E75ABB"/>
    <w:rsid w:val="00E76F79"/>
    <w:rsid w:val="00E7754C"/>
    <w:rsid w:val="00E80CA8"/>
    <w:rsid w:val="00E80CDD"/>
    <w:rsid w:val="00E80E95"/>
    <w:rsid w:val="00E8153B"/>
    <w:rsid w:val="00E81644"/>
    <w:rsid w:val="00E820F0"/>
    <w:rsid w:val="00E828D1"/>
    <w:rsid w:val="00E82920"/>
    <w:rsid w:val="00E83056"/>
    <w:rsid w:val="00E837F3"/>
    <w:rsid w:val="00E83DE7"/>
    <w:rsid w:val="00E84F63"/>
    <w:rsid w:val="00E8531A"/>
    <w:rsid w:val="00E85654"/>
    <w:rsid w:val="00E85C8E"/>
    <w:rsid w:val="00E86134"/>
    <w:rsid w:val="00E86E7B"/>
    <w:rsid w:val="00E86F97"/>
    <w:rsid w:val="00E8797C"/>
    <w:rsid w:val="00E901BE"/>
    <w:rsid w:val="00E90348"/>
    <w:rsid w:val="00E9045A"/>
    <w:rsid w:val="00E90F9E"/>
    <w:rsid w:val="00E9126F"/>
    <w:rsid w:val="00E91D45"/>
    <w:rsid w:val="00E91FE6"/>
    <w:rsid w:val="00E92339"/>
    <w:rsid w:val="00E92970"/>
    <w:rsid w:val="00E9307C"/>
    <w:rsid w:val="00E9373E"/>
    <w:rsid w:val="00E9378D"/>
    <w:rsid w:val="00E93BC8"/>
    <w:rsid w:val="00E942E7"/>
    <w:rsid w:val="00E947A0"/>
    <w:rsid w:val="00E9572A"/>
    <w:rsid w:val="00E960AC"/>
    <w:rsid w:val="00E9742C"/>
    <w:rsid w:val="00E974AB"/>
    <w:rsid w:val="00E976BB"/>
    <w:rsid w:val="00E97D05"/>
    <w:rsid w:val="00EA38F7"/>
    <w:rsid w:val="00EA4161"/>
    <w:rsid w:val="00EA634E"/>
    <w:rsid w:val="00EA692F"/>
    <w:rsid w:val="00EA6CB1"/>
    <w:rsid w:val="00EA6D6B"/>
    <w:rsid w:val="00EA7295"/>
    <w:rsid w:val="00EA7347"/>
    <w:rsid w:val="00EA7752"/>
    <w:rsid w:val="00EB093C"/>
    <w:rsid w:val="00EB0C7F"/>
    <w:rsid w:val="00EB1FC7"/>
    <w:rsid w:val="00EB287B"/>
    <w:rsid w:val="00EB2A1E"/>
    <w:rsid w:val="00EB2D86"/>
    <w:rsid w:val="00EB2FF6"/>
    <w:rsid w:val="00EB32BC"/>
    <w:rsid w:val="00EB33E0"/>
    <w:rsid w:val="00EB34F0"/>
    <w:rsid w:val="00EB4087"/>
    <w:rsid w:val="00EB479E"/>
    <w:rsid w:val="00EB5585"/>
    <w:rsid w:val="00EB70DE"/>
    <w:rsid w:val="00EB73EF"/>
    <w:rsid w:val="00EB7480"/>
    <w:rsid w:val="00EB7C72"/>
    <w:rsid w:val="00EC11F8"/>
    <w:rsid w:val="00EC1CE6"/>
    <w:rsid w:val="00EC230A"/>
    <w:rsid w:val="00EC2DB6"/>
    <w:rsid w:val="00EC4389"/>
    <w:rsid w:val="00EC43B5"/>
    <w:rsid w:val="00EC462F"/>
    <w:rsid w:val="00EC4B0E"/>
    <w:rsid w:val="00EC4F9A"/>
    <w:rsid w:val="00EC50F3"/>
    <w:rsid w:val="00EC6AF1"/>
    <w:rsid w:val="00EC6F06"/>
    <w:rsid w:val="00EC7141"/>
    <w:rsid w:val="00EC78D4"/>
    <w:rsid w:val="00ED0AC4"/>
    <w:rsid w:val="00ED1300"/>
    <w:rsid w:val="00ED1CC4"/>
    <w:rsid w:val="00ED25FF"/>
    <w:rsid w:val="00ED2B69"/>
    <w:rsid w:val="00ED2D10"/>
    <w:rsid w:val="00ED4167"/>
    <w:rsid w:val="00ED4B85"/>
    <w:rsid w:val="00ED6469"/>
    <w:rsid w:val="00ED6639"/>
    <w:rsid w:val="00ED6EF8"/>
    <w:rsid w:val="00ED7556"/>
    <w:rsid w:val="00ED7EFF"/>
    <w:rsid w:val="00EE146B"/>
    <w:rsid w:val="00EE17A2"/>
    <w:rsid w:val="00EE23D1"/>
    <w:rsid w:val="00EE2D6A"/>
    <w:rsid w:val="00EE3235"/>
    <w:rsid w:val="00EE35CC"/>
    <w:rsid w:val="00EE37EE"/>
    <w:rsid w:val="00EE3840"/>
    <w:rsid w:val="00EE3C7F"/>
    <w:rsid w:val="00EE3EF0"/>
    <w:rsid w:val="00EE3F54"/>
    <w:rsid w:val="00EE4FE9"/>
    <w:rsid w:val="00EE624E"/>
    <w:rsid w:val="00EE65BB"/>
    <w:rsid w:val="00EE78FF"/>
    <w:rsid w:val="00EE7C74"/>
    <w:rsid w:val="00EF0643"/>
    <w:rsid w:val="00EF11FB"/>
    <w:rsid w:val="00EF134A"/>
    <w:rsid w:val="00EF387D"/>
    <w:rsid w:val="00EF3F08"/>
    <w:rsid w:val="00EF60AC"/>
    <w:rsid w:val="00EF7282"/>
    <w:rsid w:val="00F006EA"/>
    <w:rsid w:val="00F0104B"/>
    <w:rsid w:val="00F02C43"/>
    <w:rsid w:val="00F04123"/>
    <w:rsid w:val="00F043CA"/>
    <w:rsid w:val="00F050E8"/>
    <w:rsid w:val="00F0602D"/>
    <w:rsid w:val="00F072A8"/>
    <w:rsid w:val="00F07419"/>
    <w:rsid w:val="00F079D1"/>
    <w:rsid w:val="00F07BA4"/>
    <w:rsid w:val="00F1034E"/>
    <w:rsid w:val="00F1042E"/>
    <w:rsid w:val="00F108B4"/>
    <w:rsid w:val="00F11477"/>
    <w:rsid w:val="00F11B27"/>
    <w:rsid w:val="00F11DB3"/>
    <w:rsid w:val="00F11E94"/>
    <w:rsid w:val="00F134FE"/>
    <w:rsid w:val="00F13DA3"/>
    <w:rsid w:val="00F1401B"/>
    <w:rsid w:val="00F140CA"/>
    <w:rsid w:val="00F146EA"/>
    <w:rsid w:val="00F147AA"/>
    <w:rsid w:val="00F14B85"/>
    <w:rsid w:val="00F1524F"/>
    <w:rsid w:val="00F155F1"/>
    <w:rsid w:val="00F158A5"/>
    <w:rsid w:val="00F159F6"/>
    <w:rsid w:val="00F15CA1"/>
    <w:rsid w:val="00F15F6C"/>
    <w:rsid w:val="00F16184"/>
    <w:rsid w:val="00F17649"/>
    <w:rsid w:val="00F17657"/>
    <w:rsid w:val="00F17EEB"/>
    <w:rsid w:val="00F17F37"/>
    <w:rsid w:val="00F2006E"/>
    <w:rsid w:val="00F20120"/>
    <w:rsid w:val="00F20192"/>
    <w:rsid w:val="00F20537"/>
    <w:rsid w:val="00F20631"/>
    <w:rsid w:val="00F22C7A"/>
    <w:rsid w:val="00F23193"/>
    <w:rsid w:val="00F23A97"/>
    <w:rsid w:val="00F24E3A"/>
    <w:rsid w:val="00F24F63"/>
    <w:rsid w:val="00F25B6D"/>
    <w:rsid w:val="00F26ABB"/>
    <w:rsid w:val="00F27E88"/>
    <w:rsid w:val="00F309B4"/>
    <w:rsid w:val="00F30E12"/>
    <w:rsid w:val="00F31D29"/>
    <w:rsid w:val="00F328A9"/>
    <w:rsid w:val="00F33191"/>
    <w:rsid w:val="00F33846"/>
    <w:rsid w:val="00F33F5D"/>
    <w:rsid w:val="00F34146"/>
    <w:rsid w:val="00F34BCD"/>
    <w:rsid w:val="00F35306"/>
    <w:rsid w:val="00F35F1D"/>
    <w:rsid w:val="00F36685"/>
    <w:rsid w:val="00F36CC9"/>
    <w:rsid w:val="00F40464"/>
    <w:rsid w:val="00F40618"/>
    <w:rsid w:val="00F406AD"/>
    <w:rsid w:val="00F40F61"/>
    <w:rsid w:val="00F41221"/>
    <w:rsid w:val="00F413A1"/>
    <w:rsid w:val="00F4177D"/>
    <w:rsid w:val="00F42575"/>
    <w:rsid w:val="00F42AE7"/>
    <w:rsid w:val="00F44225"/>
    <w:rsid w:val="00F44346"/>
    <w:rsid w:val="00F4439F"/>
    <w:rsid w:val="00F4443B"/>
    <w:rsid w:val="00F44549"/>
    <w:rsid w:val="00F44839"/>
    <w:rsid w:val="00F449BB"/>
    <w:rsid w:val="00F457BA"/>
    <w:rsid w:val="00F45CC9"/>
    <w:rsid w:val="00F46ABE"/>
    <w:rsid w:val="00F46DED"/>
    <w:rsid w:val="00F475E2"/>
    <w:rsid w:val="00F51698"/>
    <w:rsid w:val="00F5205D"/>
    <w:rsid w:val="00F524D8"/>
    <w:rsid w:val="00F53AF4"/>
    <w:rsid w:val="00F549C9"/>
    <w:rsid w:val="00F54CE1"/>
    <w:rsid w:val="00F54E34"/>
    <w:rsid w:val="00F57C8E"/>
    <w:rsid w:val="00F6060C"/>
    <w:rsid w:val="00F61E5B"/>
    <w:rsid w:val="00F6209F"/>
    <w:rsid w:val="00F620CC"/>
    <w:rsid w:val="00F6344A"/>
    <w:rsid w:val="00F64B30"/>
    <w:rsid w:val="00F64DF4"/>
    <w:rsid w:val="00F65699"/>
    <w:rsid w:val="00F71A19"/>
    <w:rsid w:val="00F7226D"/>
    <w:rsid w:val="00F72E47"/>
    <w:rsid w:val="00F736DD"/>
    <w:rsid w:val="00F73A9B"/>
    <w:rsid w:val="00F80AAC"/>
    <w:rsid w:val="00F8162C"/>
    <w:rsid w:val="00F81984"/>
    <w:rsid w:val="00F81FBB"/>
    <w:rsid w:val="00F82A66"/>
    <w:rsid w:val="00F82C26"/>
    <w:rsid w:val="00F82EE8"/>
    <w:rsid w:val="00F82F03"/>
    <w:rsid w:val="00F83EBD"/>
    <w:rsid w:val="00F840E2"/>
    <w:rsid w:val="00F84A42"/>
    <w:rsid w:val="00F84F79"/>
    <w:rsid w:val="00F8568D"/>
    <w:rsid w:val="00F8573F"/>
    <w:rsid w:val="00F8638F"/>
    <w:rsid w:val="00F87728"/>
    <w:rsid w:val="00F87CA6"/>
    <w:rsid w:val="00F91C2A"/>
    <w:rsid w:val="00F927F7"/>
    <w:rsid w:val="00F92CDF"/>
    <w:rsid w:val="00F92E09"/>
    <w:rsid w:val="00F939C1"/>
    <w:rsid w:val="00F946BD"/>
    <w:rsid w:val="00F94782"/>
    <w:rsid w:val="00F94AC6"/>
    <w:rsid w:val="00F94D41"/>
    <w:rsid w:val="00F95482"/>
    <w:rsid w:val="00F96002"/>
    <w:rsid w:val="00F963F8"/>
    <w:rsid w:val="00F96639"/>
    <w:rsid w:val="00F966E5"/>
    <w:rsid w:val="00F9746B"/>
    <w:rsid w:val="00F977AC"/>
    <w:rsid w:val="00FA0187"/>
    <w:rsid w:val="00FA023A"/>
    <w:rsid w:val="00FA07A2"/>
    <w:rsid w:val="00FA0AD1"/>
    <w:rsid w:val="00FA0F31"/>
    <w:rsid w:val="00FA174D"/>
    <w:rsid w:val="00FA1B4D"/>
    <w:rsid w:val="00FA1CF1"/>
    <w:rsid w:val="00FA23B7"/>
    <w:rsid w:val="00FA3F67"/>
    <w:rsid w:val="00FA5BFC"/>
    <w:rsid w:val="00FA64D9"/>
    <w:rsid w:val="00FA681C"/>
    <w:rsid w:val="00FA69D1"/>
    <w:rsid w:val="00FA6C56"/>
    <w:rsid w:val="00FA6EE8"/>
    <w:rsid w:val="00FB0328"/>
    <w:rsid w:val="00FB161E"/>
    <w:rsid w:val="00FB20CE"/>
    <w:rsid w:val="00FB374D"/>
    <w:rsid w:val="00FB4664"/>
    <w:rsid w:val="00FB522A"/>
    <w:rsid w:val="00FB59C0"/>
    <w:rsid w:val="00FB6E9D"/>
    <w:rsid w:val="00FB6FA6"/>
    <w:rsid w:val="00FC0071"/>
    <w:rsid w:val="00FC0A90"/>
    <w:rsid w:val="00FC0D90"/>
    <w:rsid w:val="00FC11F4"/>
    <w:rsid w:val="00FC1FAF"/>
    <w:rsid w:val="00FC38EE"/>
    <w:rsid w:val="00FC3C1F"/>
    <w:rsid w:val="00FC3C48"/>
    <w:rsid w:val="00FC7250"/>
    <w:rsid w:val="00FC7570"/>
    <w:rsid w:val="00FC7D77"/>
    <w:rsid w:val="00FD05E1"/>
    <w:rsid w:val="00FD0B31"/>
    <w:rsid w:val="00FD0E01"/>
    <w:rsid w:val="00FD10B0"/>
    <w:rsid w:val="00FD140B"/>
    <w:rsid w:val="00FD16D6"/>
    <w:rsid w:val="00FD1D35"/>
    <w:rsid w:val="00FD27C0"/>
    <w:rsid w:val="00FD2897"/>
    <w:rsid w:val="00FD2CC0"/>
    <w:rsid w:val="00FD2F08"/>
    <w:rsid w:val="00FD31B1"/>
    <w:rsid w:val="00FD43A5"/>
    <w:rsid w:val="00FD4B8E"/>
    <w:rsid w:val="00FD59C8"/>
    <w:rsid w:val="00FD6F01"/>
    <w:rsid w:val="00FD751A"/>
    <w:rsid w:val="00FD7636"/>
    <w:rsid w:val="00FD7BAC"/>
    <w:rsid w:val="00FD7C57"/>
    <w:rsid w:val="00FE036F"/>
    <w:rsid w:val="00FE0DB3"/>
    <w:rsid w:val="00FE101D"/>
    <w:rsid w:val="00FE188B"/>
    <w:rsid w:val="00FE2056"/>
    <w:rsid w:val="00FE28EC"/>
    <w:rsid w:val="00FE3444"/>
    <w:rsid w:val="00FE3AB2"/>
    <w:rsid w:val="00FE4A57"/>
    <w:rsid w:val="00FE6724"/>
    <w:rsid w:val="00FE67BF"/>
    <w:rsid w:val="00FE721B"/>
    <w:rsid w:val="00FE783B"/>
    <w:rsid w:val="00FE78CC"/>
    <w:rsid w:val="00FE7E2F"/>
    <w:rsid w:val="00FF1784"/>
    <w:rsid w:val="00FF1890"/>
    <w:rsid w:val="00FF2587"/>
    <w:rsid w:val="00FF25B8"/>
    <w:rsid w:val="00FF25CD"/>
    <w:rsid w:val="00FF2F5A"/>
    <w:rsid w:val="00FF3902"/>
    <w:rsid w:val="00FF3954"/>
    <w:rsid w:val="00FF4727"/>
    <w:rsid w:val="00FF50DC"/>
    <w:rsid w:val="00FF5670"/>
    <w:rsid w:val="00FF61F3"/>
    <w:rsid w:val="00FF6428"/>
    <w:rsid w:val="00FF64E7"/>
    <w:rsid w:val="00FF6D16"/>
    <w:rsid w:val="00FF7931"/>
    <w:rsid w:val="00FF7B50"/>
    <w:rsid w:val="00FF7E1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862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2583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618E"/>
    <w:pPr>
      <w:ind w:left="720"/>
      <w:contextualSpacing/>
    </w:pPr>
  </w:style>
  <w:style w:type="paragraph" w:styleId="BalloonText">
    <w:name w:val="Balloon Text"/>
    <w:basedOn w:val="Normal"/>
    <w:link w:val="BalloonTextChar"/>
    <w:uiPriority w:val="99"/>
    <w:semiHidden/>
    <w:unhideWhenUsed/>
    <w:rsid w:val="000B35E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35E2"/>
    <w:rPr>
      <w:rFonts w:ascii="Tahoma" w:hAnsi="Tahoma" w:cs="Tahoma"/>
      <w:sz w:val="16"/>
      <w:szCs w:val="16"/>
    </w:rPr>
  </w:style>
  <w:style w:type="table" w:styleId="TableGrid">
    <w:name w:val="Table Grid"/>
    <w:basedOn w:val="TableNormal"/>
    <w:uiPriority w:val="59"/>
    <w:rsid w:val="002717A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F6209F"/>
    <w:pPr>
      <w:spacing w:after="0"/>
    </w:pPr>
    <w:rPr>
      <w:sz w:val="20"/>
      <w:szCs w:val="20"/>
    </w:rPr>
  </w:style>
  <w:style w:type="character" w:customStyle="1" w:styleId="FootnoteTextChar">
    <w:name w:val="Footnote Text Char"/>
    <w:basedOn w:val="DefaultParagraphFont"/>
    <w:link w:val="FootnoteText"/>
    <w:uiPriority w:val="99"/>
    <w:rsid w:val="00F6209F"/>
    <w:rPr>
      <w:sz w:val="20"/>
      <w:szCs w:val="20"/>
    </w:rPr>
  </w:style>
  <w:style w:type="character" w:styleId="FootnoteReference">
    <w:name w:val="footnote reference"/>
    <w:basedOn w:val="DefaultParagraphFont"/>
    <w:uiPriority w:val="99"/>
    <w:semiHidden/>
    <w:unhideWhenUsed/>
    <w:rsid w:val="00F6209F"/>
    <w:rPr>
      <w:vertAlign w:val="superscript"/>
    </w:rPr>
  </w:style>
  <w:style w:type="paragraph" w:styleId="Header">
    <w:name w:val="header"/>
    <w:basedOn w:val="Normal"/>
    <w:link w:val="HeaderChar"/>
    <w:uiPriority w:val="99"/>
    <w:unhideWhenUsed/>
    <w:rsid w:val="00C258EC"/>
    <w:pPr>
      <w:tabs>
        <w:tab w:val="center" w:pos="4153"/>
        <w:tab w:val="right" w:pos="8306"/>
      </w:tabs>
      <w:spacing w:after="0"/>
    </w:pPr>
  </w:style>
  <w:style w:type="character" w:customStyle="1" w:styleId="HeaderChar">
    <w:name w:val="Header Char"/>
    <w:basedOn w:val="DefaultParagraphFont"/>
    <w:link w:val="Header"/>
    <w:uiPriority w:val="99"/>
    <w:rsid w:val="00C258EC"/>
  </w:style>
  <w:style w:type="paragraph" w:styleId="Footer">
    <w:name w:val="footer"/>
    <w:basedOn w:val="Normal"/>
    <w:link w:val="FooterChar"/>
    <w:uiPriority w:val="99"/>
    <w:unhideWhenUsed/>
    <w:rsid w:val="00C258EC"/>
    <w:pPr>
      <w:tabs>
        <w:tab w:val="center" w:pos="4153"/>
        <w:tab w:val="right" w:pos="8306"/>
      </w:tabs>
      <w:spacing w:after="0"/>
    </w:pPr>
  </w:style>
  <w:style w:type="character" w:customStyle="1" w:styleId="FooterChar">
    <w:name w:val="Footer Char"/>
    <w:basedOn w:val="DefaultParagraphFont"/>
    <w:link w:val="Footer"/>
    <w:uiPriority w:val="99"/>
    <w:rsid w:val="00C258EC"/>
  </w:style>
  <w:style w:type="character" w:styleId="CommentReference">
    <w:name w:val="annotation reference"/>
    <w:basedOn w:val="DefaultParagraphFont"/>
    <w:uiPriority w:val="99"/>
    <w:semiHidden/>
    <w:unhideWhenUsed/>
    <w:rsid w:val="00506029"/>
    <w:rPr>
      <w:sz w:val="16"/>
      <w:szCs w:val="16"/>
    </w:rPr>
  </w:style>
  <w:style w:type="paragraph" w:styleId="CommentText">
    <w:name w:val="annotation text"/>
    <w:basedOn w:val="Normal"/>
    <w:link w:val="CommentTextChar"/>
    <w:uiPriority w:val="99"/>
    <w:unhideWhenUsed/>
    <w:rsid w:val="00506029"/>
    <w:rPr>
      <w:sz w:val="20"/>
      <w:szCs w:val="20"/>
    </w:rPr>
  </w:style>
  <w:style w:type="character" w:customStyle="1" w:styleId="CommentTextChar">
    <w:name w:val="Comment Text Char"/>
    <w:basedOn w:val="DefaultParagraphFont"/>
    <w:link w:val="CommentText"/>
    <w:uiPriority w:val="99"/>
    <w:rsid w:val="00506029"/>
    <w:rPr>
      <w:sz w:val="20"/>
      <w:szCs w:val="20"/>
    </w:rPr>
  </w:style>
  <w:style w:type="paragraph" w:styleId="CommentSubject">
    <w:name w:val="annotation subject"/>
    <w:basedOn w:val="CommentText"/>
    <w:next w:val="CommentText"/>
    <w:link w:val="CommentSubjectChar"/>
    <w:uiPriority w:val="99"/>
    <w:semiHidden/>
    <w:unhideWhenUsed/>
    <w:rsid w:val="00506029"/>
    <w:rPr>
      <w:b/>
      <w:bCs/>
    </w:rPr>
  </w:style>
  <w:style w:type="character" w:customStyle="1" w:styleId="CommentSubjectChar">
    <w:name w:val="Comment Subject Char"/>
    <w:basedOn w:val="CommentTextChar"/>
    <w:link w:val="CommentSubject"/>
    <w:uiPriority w:val="99"/>
    <w:semiHidden/>
    <w:rsid w:val="00506029"/>
    <w:rPr>
      <w:b/>
      <w:bCs/>
      <w:sz w:val="20"/>
      <w:szCs w:val="20"/>
    </w:rPr>
  </w:style>
  <w:style w:type="paragraph" w:styleId="EndnoteText">
    <w:name w:val="endnote text"/>
    <w:basedOn w:val="Normal"/>
    <w:link w:val="EndnoteTextChar"/>
    <w:uiPriority w:val="99"/>
    <w:semiHidden/>
    <w:unhideWhenUsed/>
    <w:rsid w:val="009E3645"/>
    <w:pPr>
      <w:spacing w:after="0"/>
    </w:pPr>
    <w:rPr>
      <w:sz w:val="20"/>
      <w:szCs w:val="20"/>
    </w:rPr>
  </w:style>
  <w:style w:type="character" w:customStyle="1" w:styleId="EndnoteTextChar">
    <w:name w:val="Endnote Text Char"/>
    <w:basedOn w:val="DefaultParagraphFont"/>
    <w:link w:val="EndnoteText"/>
    <w:uiPriority w:val="99"/>
    <w:semiHidden/>
    <w:rsid w:val="009E3645"/>
    <w:rPr>
      <w:sz w:val="20"/>
      <w:szCs w:val="20"/>
    </w:rPr>
  </w:style>
  <w:style w:type="character" w:styleId="EndnoteReference">
    <w:name w:val="endnote reference"/>
    <w:basedOn w:val="DefaultParagraphFont"/>
    <w:uiPriority w:val="99"/>
    <w:semiHidden/>
    <w:unhideWhenUsed/>
    <w:rsid w:val="009E3645"/>
    <w:rPr>
      <w:vertAlign w:val="superscript"/>
    </w:rPr>
  </w:style>
  <w:style w:type="character" w:styleId="Emphasis">
    <w:name w:val="Emphasis"/>
    <w:basedOn w:val="DefaultParagraphFont"/>
    <w:uiPriority w:val="20"/>
    <w:qFormat/>
    <w:rsid w:val="00113974"/>
    <w:rPr>
      <w:i/>
      <w:iCs/>
    </w:rPr>
  </w:style>
  <w:style w:type="character" w:styleId="Strong">
    <w:name w:val="Strong"/>
    <w:basedOn w:val="DefaultParagraphFont"/>
    <w:uiPriority w:val="22"/>
    <w:qFormat/>
    <w:rsid w:val="00E46AE2"/>
    <w:rPr>
      <w:b/>
      <w:bCs/>
    </w:rPr>
  </w:style>
  <w:style w:type="paragraph" w:styleId="Revision">
    <w:name w:val="Revision"/>
    <w:hidden/>
    <w:uiPriority w:val="99"/>
    <w:semiHidden/>
    <w:rsid w:val="00CC0649"/>
    <w:pPr>
      <w:spacing w:after="0"/>
    </w:pPr>
  </w:style>
  <w:style w:type="paragraph" w:styleId="Caption">
    <w:name w:val="caption"/>
    <w:basedOn w:val="Normal"/>
    <w:next w:val="Normal"/>
    <w:uiPriority w:val="35"/>
    <w:unhideWhenUsed/>
    <w:qFormat/>
    <w:rsid w:val="002625C0"/>
    <w:rPr>
      <w:i/>
      <w:iCs/>
      <w:color w:val="1F497D" w:themeColor="text2"/>
      <w:sz w:val="18"/>
      <w:szCs w:val="18"/>
    </w:rPr>
  </w:style>
  <w:style w:type="character" w:customStyle="1" w:styleId="gmail-msoins">
    <w:name w:val="gmail-msoins"/>
    <w:basedOn w:val="DefaultParagraphFont"/>
    <w:rsid w:val="009850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17858">
      <w:bodyDiv w:val="1"/>
      <w:marLeft w:val="0"/>
      <w:marRight w:val="0"/>
      <w:marTop w:val="0"/>
      <w:marBottom w:val="0"/>
      <w:divBdr>
        <w:top w:val="none" w:sz="0" w:space="0" w:color="auto"/>
        <w:left w:val="none" w:sz="0" w:space="0" w:color="auto"/>
        <w:bottom w:val="none" w:sz="0" w:space="0" w:color="auto"/>
        <w:right w:val="none" w:sz="0" w:space="0" w:color="auto"/>
      </w:divBdr>
      <w:divsChild>
        <w:div w:id="289669340">
          <w:marLeft w:val="0"/>
          <w:marRight w:val="0"/>
          <w:marTop w:val="0"/>
          <w:marBottom w:val="0"/>
          <w:divBdr>
            <w:top w:val="none" w:sz="0" w:space="0" w:color="auto"/>
            <w:left w:val="none" w:sz="0" w:space="0" w:color="auto"/>
            <w:bottom w:val="none" w:sz="0" w:space="0" w:color="auto"/>
            <w:right w:val="none" w:sz="0" w:space="0" w:color="auto"/>
          </w:divBdr>
          <w:divsChild>
            <w:div w:id="632560572">
              <w:marLeft w:val="0"/>
              <w:marRight w:val="0"/>
              <w:marTop w:val="0"/>
              <w:marBottom w:val="0"/>
              <w:divBdr>
                <w:top w:val="none" w:sz="0" w:space="0" w:color="auto"/>
                <w:left w:val="none" w:sz="0" w:space="0" w:color="auto"/>
                <w:bottom w:val="none" w:sz="0" w:space="0" w:color="auto"/>
                <w:right w:val="none" w:sz="0" w:space="0" w:color="auto"/>
              </w:divBdr>
              <w:divsChild>
                <w:div w:id="1023172195">
                  <w:marLeft w:val="0"/>
                  <w:marRight w:val="0"/>
                  <w:marTop w:val="0"/>
                  <w:marBottom w:val="0"/>
                  <w:divBdr>
                    <w:top w:val="single" w:sz="2" w:space="0" w:color="CCCCCC"/>
                    <w:left w:val="single" w:sz="2" w:space="0" w:color="CCCCCC"/>
                    <w:bottom w:val="single" w:sz="2" w:space="0" w:color="CCCCCC"/>
                    <w:right w:val="single" w:sz="2" w:space="0" w:color="CCCCCC"/>
                  </w:divBdr>
                  <w:divsChild>
                    <w:div w:id="1045912837">
                      <w:marLeft w:val="0"/>
                      <w:marRight w:val="0"/>
                      <w:marTop w:val="0"/>
                      <w:marBottom w:val="0"/>
                      <w:divBdr>
                        <w:top w:val="none" w:sz="0" w:space="0" w:color="auto"/>
                        <w:left w:val="none" w:sz="0" w:space="0" w:color="auto"/>
                        <w:bottom w:val="none" w:sz="0" w:space="0" w:color="auto"/>
                        <w:right w:val="none" w:sz="0" w:space="0" w:color="auto"/>
                      </w:divBdr>
                      <w:divsChild>
                        <w:div w:id="649291107">
                          <w:marLeft w:val="0"/>
                          <w:marRight w:val="0"/>
                          <w:marTop w:val="0"/>
                          <w:marBottom w:val="0"/>
                          <w:divBdr>
                            <w:top w:val="none" w:sz="0" w:space="0" w:color="auto"/>
                            <w:left w:val="none" w:sz="0" w:space="0" w:color="auto"/>
                            <w:bottom w:val="none" w:sz="0" w:space="0" w:color="auto"/>
                            <w:right w:val="none" w:sz="0" w:space="0" w:color="auto"/>
                          </w:divBdr>
                          <w:divsChild>
                            <w:div w:id="2123455615">
                              <w:marLeft w:val="0"/>
                              <w:marRight w:val="0"/>
                              <w:marTop w:val="0"/>
                              <w:marBottom w:val="0"/>
                              <w:divBdr>
                                <w:top w:val="none" w:sz="0" w:space="0" w:color="auto"/>
                                <w:left w:val="none" w:sz="0" w:space="0" w:color="auto"/>
                                <w:bottom w:val="none" w:sz="0" w:space="0" w:color="auto"/>
                                <w:right w:val="none" w:sz="0" w:space="0" w:color="auto"/>
                              </w:divBdr>
                              <w:divsChild>
                                <w:div w:id="47684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779408">
      <w:bodyDiv w:val="1"/>
      <w:marLeft w:val="0"/>
      <w:marRight w:val="0"/>
      <w:marTop w:val="0"/>
      <w:marBottom w:val="0"/>
      <w:divBdr>
        <w:top w:val="none" w:sz="0" w:space="0" w:color="auto"/>
        <w:left w:val="none" w:sz="0" w:space="0" w:color="auto"/>
        <w:bottom w:val="none" w:sz="0" w:space="0" w:color="auto"/>
        <w:right w:val="none" w:sz="0" w:space="0" w:color="auto"/>
      </w:divBdr>
      <w:divsChild>
        <w:div w:id="2053767175">
          <w:marLeft w:val="547"/>
          <w:marRight w:val="0"/>
          <w:marTop w:val="106"/>
          <w:marBottom w:val="0"/>
          <w:divBdr>
            <w:top w:val="none" w:sz="0" w:space="0" w:color="auto"/>
            <w:left w:val="none" w:sz="0" w:space="0" w:color="auto"/>
            <w:bottom w:val="none" w:sz="0" w:space="0" w:color="auto"/>
            <w:right w:val="none" w:sz="0" w:space="0" w:color="auto"/>
          </w:divBdr>
        </w:div>
      </w:divsChild>
    </w:div>
    <w:div w:id="132214303">
      <w:bodyDiv w:val="1"/>
      <w:marLeft w:val="0"/>
      <w:marRight w:val="0"/>
      <w:marTop w:val="0"/>
      <w:marBottom w:val="0"/>
      <w:divBdr>
        <w:top w:val="none" w:sz="0" w:space="0" w:color="auto"/>
        <w:left w:val="none" w:sz="0" w:space="0" w:color="auto"/>
        <w:bottom w:val="none" w:sz="0" w:space="0" w:color="auto"/>
        <w:right w:val="none" w:sz="0" w:space="0" w:color="auto"/>
      </w:divBdr>
      <w:divsChild>
        <w:div w:id="1956594133">
          <w:marLeft w:val="0"/>
          <w:marRight w:val="0"/>
          <w:marTop w:val="0"/>
          <w:marBottom w:val="0"/>
          <w:divBdr>
            <w:top w:val="none" w:sz="0" w:space="0" w:color="auto"/>
            <w:left w:val="none" w:sz="0" w:space="0" w:color="auto"/>
            <w:bottom w:val="none" w:sz="0" w:space="0" w:color="auto"/>
            <w:right w:val="none" w:sz="0" w:space="0" w:color="auto"/>
          </w:divBdr>
        </w:div>
        <w:div w:id="592326643">
          <w:marLeft w:val="0"/>
          <w:marRight w:val="0"/>
          <w:marTop w:val="0"/>
          <w:marBottom w:val="0"/>
          <w:divBdr>
            <w:top w:val="none" w:sz="0" w:space="0" w:color="auto"/>
            <w:left w:val="none" w:sz="0" w:space="0" w:color="auto"/>
            <w:bottom w:val="none" w:sz="0" w:space="0" w:color="auto"/>
            <w:right w:val="none" w:sz="0" w:space="0" w:color="auto"/>
          </w:divBdr>
        </w:div>
        <w:div w:id="597837746">
          <w:marLeft w:val="0"/>
          <w:marRight w:val="0"/>
          <w:marTop w:val="0"/>
          <w:marBottom w:val="0"/>
          <w:divBdr>
            <w:top w:val="none" w:sz="0" w:space="0" w:color="auto"/>
            <w:left w:val="none" w:sz="0" w:space="0" w:color="auto"/>
            <w:bottom w:val="none" w:sz="0" w:space="0" w:color="auto"/>
            <w:right w:val="none" w:sz="0" w:space="0" w:color="auto"/>
          </w:divBdr>
        </w:div>
        <w:div w:id="138421326">
          <w:marLeft w:val="0"/>
          <w:marRight w:val="0"/>
          <w:marTop w:val="0"/>
          <w:marBottom w:val="0"/>
          <w:divBdr>
            <w:top w:val="none" w:sz="0" w:space="0" w:color="auto"/>
            <w:left w:val="none" w:sz="0" w:space="0" w:color="auto"/>
            <w:bottom w:val="none" w:sz="0" w:space="0" w:color="auto"/>
            <w:right w:val="none" w:sz="0" w:space="0" w:color="auto"/>
          </w:divBdr>
        </w:div>
        <w:div w:id="1667391418">
          <w:marLeft w:val="0"/>
          <w:marRight w:val="0"/>
          <w:marTop w:val="0"/>
          <w:marBottom w:val="0"/>
          <w:divBdr>
            <w:top w:val="none" w:sz="0" w:space="0" w:color="auto"/>
            <w:left w:val="none" w:sz="0" w:space="0" w:color="auto"/>
            <w:bottom w:val="none" w:sz="0" w:space="0" w:color="auto"/>
            <w:right w:val="none" w:sz="0" w:space="0" w:color="auto"/>
          </w:divBdr>
        </w:div>
        <w:div w:id="163790692">
          <w:marLeft w:val="0"/>
          <w:marRight w:val="0"/>
          <w:marTop w:val="0"/>
          <w:marBottom w:val="0"/>
          <w:divBdr>
            <w:top w:val="none" w:sz="0" w:space="0" w:color="auto"/>
            <w:left w:val="none" w:sz="0" w:space="0" w:color="auto"/>
            <w:bottom w:val="none" w:sz="0" w:space="0" w:color="auto"/>
            <w:right w:val="none" w:sz="0" w:space="0" w:color="auto"/>
          </w:divBdr>
        </w:div>
        <w:div w:id="2044938318">
          <w:marLeft w:val="0"/>
          <w:marRight w:val="0"/>
          <w:marTop w:val="0"/>
          <w:marBottom w:val="0"/>
          <w:divBdr>
            <w:top w:val="none" w:sz="0" w:space="0" w:color="auto"/>
            <w:left w:val="none" w:sz="0" w:space="0" w:color="auto"/>
            <w:bottom w:val="none" w:sz="0" w:space="0" w:color="auto"/>
            <w:right w:val="none" w:sz="0" w:space="0" w:color="auto"/>
          </w:divBdr>
        </w:div>
        <w:div w:id="1941136429">
          <w:marLeft w:val="0"/>
          <w:marRight w:val="0"/>
          <w:marTop w:val="0"/>
          <w:marBottom w:val="0"/>
          <w:divBdr>
            <w:top w:val="none" w:sz="0" w:space="0" w:color="auto"/>
            <w:left w:val="none" w:sz="0" w:space="0" w:color="auto"/>
            <w:bottom w:val="none" w:sz="0" w:space="0" w:color="auto"/>
            <w:right w:val="none" w:sz="0" w:space="0" w:color="auto"/>
          </w:divBdr>
        </w:div>
        <w:div w:id="1028219527">
          <w:marLeft w:val="0"/>
          <w:marRight w:val="0"/>
          <w:marTop w:val="0"/>
          <w:marBottom w:val="0"/>
          <w:divBdr>
            <w:top w:val="none" w:sz="0" w:space="0" w:color="auto"/>
            <w:left w:val="none" w:sz="0" w:space="0" w:color="auto"/>
            <w:bottom w:val="none" w:sz="0" w:space="0" w:color="auto"/>
            <w:right w:val="none" w:sz="0" w:space="0" w:color="auto"/>
          </w:divBdr>
        </w:div>
        <w:div w:id="4869069">
          <w:marLeft w:val="0"/>
          <w:marRight w:val="0"/>
          <w:marTop w:val="0"/>
          <w:marBottom w:val="0"/>
          <w:divBdr>
            <w:top w:val="none" w:sz="0" w:space="0" w:color="auto"/>
            <w:left w:val="none" w:sz="0" w:space="0" w:color="auto"/>
            <w:bottom w:val="none" w:sz="0" w:space="0" w:color="auto"/>
            <w:right w:val="none" w:sz="0" w:space="0" w:color="auto"/>
          </w:divBdr>
        </w:div>
      </w:divsChild>
    </w:div>
    <w:div w:id="233205105">
      <w:bodyDiv w:val="1"/>
      <w:marLeft w:val="0"/>
      <w:marRight w:val="0"/>
      <w:marTop w:val="0"/>
      <w:marBottom w:val="0"/>
      <w:divBdr>
        <w:top w:val="none" w:sz="0" w:space="0" w:color="auto"/>
        <w:left w:val="none" w:sz="0" w:space="0" w:color="auto"/>
        <w:bottom w:val="none" w:sz="0" w:space="0" w:color="auto"/>
        <w:right w:val="none" w:sz="0" w:space="0" w:color="auto"/>
      </w:divBdr>
      <w:divsChild>
        <w:div w:id="968706811">
          <w:marLeft w:val="0"/>
          <w:marRight w:val="0"/>
          <w:marTop w:val="0"/>
          <w:marBottom w:val="0"/>
          <w:divBdr>
            <w:top w:val="none" w:sz="0" w:space="0" w:color="auto"/>
            <w:left w:val="none" w:sz="0" w:space="0" w:color="auto"/>
            <w:bottom w:val="none" w:sz="0" w:space="0" w:color="auto"/>
            <w:right w:val="none" w:sz="0" w:space="0" w:color="auto"/>
          </w:divBdr>
          <w:divsChild>
            <w:div w:id="1466894628">
              <w:marLeft w:val="0"/>
              <w:marRight w:val="0"/>
              <w:marTop w:val="0"/>
              <w:marBottom w:val="0"/>
              <w:divBdr>
                <w:top w:val="none" w:sz="0" w:space="0" w:color="auto"/>
                <w:left w:val="none" w:sz="0" w:space="0" w:color="auto"/>
                <w:bottom w:val="none" w:sz="0" w:space="0" w:color="auto"/>
                <w:right w:val="none" w:sz="0" w:space="0" w:color="auto"/>
              </w:divBdr>
              <w:divsChild>
                <w:div w:id="1704091570">
                  <w:marLeft w:val="0"/>
                  <w:marRight w:val="0"/>
                  <w:marTop w:val="0"/>
                  <w:marBottom w:val="0"/>
                  <w:divBdr>
                    <w:top w:val="single" w:sz="4" w:space="0" w:color="CCCCCC"/>
                    <w:left w:val="single" w:sz="4" w:space="0" w:color="CCCCCC"/>
                    <w:bottom w:val="single" w:sz="4" w:space="0" w:color="CCCCCC"/>
                    <w:right w:val="single" w:sz="4" w:space="0" w:color="CCCCCC"/>
                  </w:divBdr>
                  <w:divsChild>
                    <w:div w:id="666978939">
                      <w:marLeft w:val="0"/>
                      <w:marRight w:val="0"/>
                      <w:marTop w:val="0"/>
                      <w:marBottom w:val="0"/>
                      <w:divBdr>
                        <w:top w:val="none" w:sz="0" w:space="0" w:color="auto"/>
                        <w:left w:val="none" w:sz="0" w:space="0" w:color="auto"/>
                        <w:bottom w:val="none" w:sz="0" w:space="0" w:color="auto"/>
                        <w:right w:val="none" w:sz="0" w:space="0" w:color="auto"/>
                      </w:divBdr>
                      <w:divsChild>
                        <w:div w:id="510603745">
                          <w:marLeft w:val="0"/>
                          <w:marRight w:val="0"/>
                          <w:marTop w:val="0"/>
                          <w:marBottom w:val="0"/>
                          <w:divBdr>
                            <w:top w:val="none" w:sz="0" w:space="0" w:color="auto"/>
                            <w:left w:val="none" w:sz="0" w:space="0" w:color="auto"/>
                            <w:bottom w:val="none" w:sz="0" w:space="0" w:color="auto"/>
                            <w:right w:val="none" w:sz="0" w:space="0" w:color="auto"/>
                          </w:divBdr>
                          <w:divsChild>
                            <w:div w:id="1977248773">
                              <w:marLeft w:val="0"/>
                              <w:marRight w:val="0"/>
                              <w:marTop w:val="0"/>
                              <w:marBottom w:val="0"/>
                              <w:divBdr>
                                <w:top w:val="none" w:sz="0" w:space="0" w:color="auto"/>
                                <w:left w:val="none" w:sz="0" w:space="0" w:color="auto"/>
                                <w:bottom w:val="none" w:sz="0" w:space="0" w:color="auto"/>
                                <w:right w:val="none" w:sz="0" w:space="0" w:color="auto"/>
                              </w:divBdr>
                              <w:divsChild>
                                <w:div w:id="72313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5649732">
      <w:bodyDiv w:val="1"/>
      <w:marLeft w:val="0"/>
      <w:marRight w:val="0"/>
      <w:marTop w:val="0"/>
      <w:marBottom w:val="0"/>
      <w:divBdr>
        <w:top w:val="none" w:sz="0" w:space="0" w:color="auto"/>
        <w:left w:val="none" w:sz="0" w:space="0" w:color="auto"/>
        <w:bottom w:val="none" w:sz="0" w:space="0" w:color="auto"/>
        <w:right w:val="none" w:sz="0" w:space="0" w:color="auto"/>
      </w:divBdr>
    </w:div>
    <w:div w:id="382140792">
      <w:bodyDiv w:val="1"/>
      <w:marLeft w:val="0"/>
      <w:marRight w:val="0"/>
      <w:marTop w:val="0"/>
      <w:marBottom w:val="0"/>
      <w:divBdr>
        <w:top w:val="none" w:sz="0" w:space="0" w:color="auto"/>
        <w:left w:val="none" w:sz="0" w:space="0" w:color="auto"/>
        <w:bottom w:val="none" w:sz="0" w:space="0" w:color="auto"/>
        <w:right w:val="none" w:sz="0" w:space="0" w:color="auto"/>
      </w:divBdr>
      <w:divsChild>
        <w:div w:id="1183469738">
          <w:marLeft w:val="0"/>
          <w:marRight w:val="0"/>
          <w:marTop w:val="0"/>
          <w:marBottom w:val="0"/>
          <w:divBdr>
            <w:top w:val="none" w:sz="0" w:space="0" w:color="auto"/>
            <w:left w:val="none" w:sz="0" w:space="0" w:color="auto"/>
            <w:bottom w:val="none" w:sz="0" w:space="0" w:color="auto"/>
            <w:right w:val="none" w:sz="0" w:space="0" w:color="auto"/>
          </w:divBdr>
          <w:divsChild>
            <w:div w:id="26492417">
              <w:marLeft w:val="0"/>
              <w:marRight w:val="0"/>
              <w:marTop w:val="0"/>
              <w:marBottom w:val="0"/>
              <w:divBdr>
                <w:top w:val="none" w:sz="0" w:space="0" w:color="auto"/>
                <w:left w:val="none" w:sz="0" w:space="0" w:color="auto"/>
                <w:bottom w:val="none" w:sz="0" w:space="0" w:color="auto"/>
                <w:right w:val="none" w:sz="0" w:space="0" w:color="auto"/>
              </w:divBdr>
              <w:divsChild>
                <w:div w:id="1845827118">
                  <w:marLeft w:val="0"/>
                  <w:marRight w:val="0"/>
                  <w:marTop w:val="0"/>
                  <w:marBottom w:val="0"/>
                  <w:divBdr>
                    <w:top w:val="single" w:sz="4" w:space="0" w:color="CCCCCC"/>
                    <w:left w:val="single" w:sz="4" w:space="0" w:color="CCCCCC"/>
                    <w:bottom w:val="single" w:sz="4" w:space="0" w:color="CCCCCC"/>
                    <w:right w:val="single" w:sz="4" w:space="0" w:color="CCCCCC"/>
                  </w:divBdr>
                  <w:divsChild>
                    <w:div w:id="1180973286">
                      <w:marLeft w:val="0"/>
                      <w:marRight w:val="0"/>
                      <w:marTop w:val="0"/>
                      <w:marBottom w:val="0"/>
                      <w:divBdr>
                        <w:top w:val="none" w:sz="0" w:space="0" w:color="auto"/>
                        <w:left w:val="none" w:sz="0" w:space="0" w:color="auto"/>
                        <w:bottom w:val="none" w:sz="0" w:space="0" w:color="auto"/>
                        <w:right w:val="none" w:sz="0" w:space="0" w:color="auto"/>
                      </w:divBdr>
                      <w:divsChild>
                        <w:div w:id="2057467951">
                          <w:marLeft w:val="0"/>
                          <w:marRight w:val="0"/>
                          <w:marTop w:val="0"/>
                          <w:marBottom w:val="0"/>
                          <w:divBdr>
                            <w:top w:val="none" w:sz="0" w:space="0" w:color="auto"/>
                            <w:left w:val="none" w:sz="0" w:space="0" w:color="auto"/>
                            <w:bottom w:val="none" w:sz="0" w:space="0" w:color="auto"/>
                            <w:right w:val="none" w:sz="0" w:space="0" w:color="auto"/>
                          </w:divBdr>
                          <w:divsChild>
                            <w:div w:id="977805561">
                              <w:marLeft w:val="0"/>
                              <w:marRight w:val="0"/>
                              <w:marTop w:val="0"/>
                              <w:marBottom w:val="0"/>
                              <w:divBdr>
                                <w:top w:val="none" w:sz="0" w:space="0" w:color="auto"/>
                                <w:left w:val="none" w:sz="0" w:space="0" w:color="auto"/>
                                <w:bottom w:val="none" w:sz="0" w:space="0" w:color="auto"/>
                                <w:right w:val="none" w:sz="0" w:space="0" w:color="auto"/>
                              </w:divBdr>
                              <w:divsChild>
                                <w:div w:id="141789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2428898">
      <w:bodyDiv w:val="1"/>
      <w:marLeft w:val="0"/>
      <w:marRight w:val="0"/>
      <w:marTop w:val="0"/>
      <w:marBottom w:val="0"/>
      <w:divBdr>
        <w:top w:val="none" w:sz="0" w:space="0" w:color="auto"/>
        <w:left w:val="none" w:sz="0" w:space="0" w:color="auto"/>
        <w:bottom w:val="none" w:sz="0" w:space="0" w:color="auto"/>
        <w:right w:val="none" w:sz="0" w:space="0" w:color="auto"/>
      </w:divBdr>
    </w:div>
    <w:div w:id="540822521">
      <w:bodyDiv w:val="1"/>
      <w:marLeft w:val="0"/>
      <w:marRight w:val="0"/>
      <w:marTop w:val="0"/>
      <w:marBottom w:val="0"/>
      <w:divBdr>
        <w:top w:val="none" w:sz="0" w:space="0" w:color="auto"/>
        <w:left w:val="none" w:sz="0" w:space="0" w:color="auto"/>
        <w:bottom w:val="none" w:sz="0" w:space="0" w:color="auto"/>
        <w:right w:val="none" w:sz="0" w:space="0" w:color="auto"/>
      </w:divBdr>
    </w:div>
    <w:div w:id="659236537">
      <w:bodyDiv w:val="1"/>
      <w:marLeft w:val="0"/>
      <w:marRight w:val="0"/>
      <w:marTop w:val="0"/>
      <w:marBottom w:val="0"/>
      <w:divBdr>
        <w:top w:val="none" w:sz="0" w:space="0" w:color="auto"/>
        <w:left w:val="none" w:sz="0" w:space="0" w:color="auto"/>
        <w:bottom w:val="none" w:sz="0" w:space="0" w:color="auto"/>
        <w:right w:val="none" w:sz="0" w:space="0" w:color="auto"/>
      </w:divBdr>
    </w:div>
    <w:div w:id="728697341">
      <w:bodyDiv w:val="1"/>
      <w:marLeft w:val="0"/>
      <w:marRight w:val="0"/>
      <w:marTop w:val="0"/>
      <w:marBottom w:val="0"/>
      <w:divBdr>
        <w:top w:val="none" w:sz="0" w:space="0" w:color="auto"/>
        <w:left w:val="none" w:sz="0" w:space="0" w:color="auto"/>
        <w:bottom w:val="none" w:sz="0" w:space="0" w:color="auto"/>
        <w:right w:val="none" w:sz="0" w:space="0" w:color="auto"/>
      </w:divBdr>
      <w:divsChild>
        <w:div w:id="1642424161">
          <w:marLeft w:val="0"/>
          <w:marRight w:val="0"/>
          <w:marTop w:val="0"/>
          <w:marBottom w:val="0"/>
          <w:divBdr>
            <w:top w:val="none" w:sz="0" w:space="0" w:color="auto"/>
            <w:left w:val="none" w:sz="0" w:space="0" w:color="auto"/>
            <w:bottom w:val="none" w:sz="0" w:space="0" w:color="auto"/>
            <w:right w:val="none" w:sz="0" w:space="0" w:color="auto"/>
          </w:divBdr>
          <w:divsChild>
            <w:div w:id="1070615436">
              <w:marLeft w:val="0"/>
              <w:marRight w:val="0"/>
              <w:marTop w:val="0"/>
              <w:marBottom w:val="0"/>
              <w:divBdr>
                <w:top w:val="none" w:sz="0" w:space="0" w:color="auto"/>
                <w:left w:val="none" w:sz="0" w:space="0" w:color="auto"/>
                <w:bottom w:val="none" w:sz="0" w:space="0" w:color="auto"/>
                <w:right w:val="none" w:sz="0" w:space="0" w:color="auto"/>
              </w:divBdr>
              <w:divsChild>
                <w:div w:id="7804237">
                  <w:marLeft w:val="0"/>
                  <w:marRight w:val="0"/>
                  <w:marTop w:val="0"/>
                  <w:marBottom w:val="0"/>
                  <w:divBdr>
                    <w:top w:val="single" w:sz="4" w:space="0" w:color="CCCCCC"/>
                    <w:left w:val="single" w:sz="4" w:space="0" w:color="CCCCCC"/>
                    <w:bottom w:val="single" w:sz="4" w:space="0" w:color="CCCCCC"/>
                    <w:right w:val="single" w:sz="4" w:space="0" w:color="CCCCCC"/>
                  </w:divBdr>
                  <w:divsChild>
                    <w:div w:id="1315913235">
                      <w:marLeft w:val="0"/>
                      <w:marRight w:val="0"/>
                      <w:marTop w:val="0"/>
                      <w:marBottom w:val="0"/>
                      <w:divBdr>
                        <w:top w:val="none" w:sz="0" w:space="0" w:color="auto"/>
                        <w:left w:val="none" w:sz="0" w:space="0" w:color="auto"/>
                        <w:bottom w:val="none" w:sz="0" w:space="0" w:color="auto"/>
                        <w:right w:val="none" w:sz="0" w:space="0" w:color="auto"/>
                      </w:divBdr>
                      <w:divsChild>
                        <w:div w:id="955478570">
                          <w:marLeft w:val="0"/>
                          <w:marRight w:val="0"/>
                          <w:marTop w:val="0"/>
                          <w:marBottom w:val="0"/>
                          <w:divBdr>
                            <w:top w:val="none" w:sz="0" w:space="0" w:color="auto"/>
                            <w:left w:val="none" w:sz="0" w:space="0" w:color="auto"/>
                            <w:bottom w:val="none" w:sz="0" w:space="0" w:color="auto"/>
                            <w:right w:val="none" w:sz="0" w:space="0" w:color="auto"/>
                          </w:divBdr>
                          <w:divsChild>
                            <w:div w:id="182524564">
                              <w:marLeft w:val="0"/>
                              <w:marRight w:val="0"/>
                              <w:marTop w:val="0"/>
                              <w:marBottom w:val="0"/>
                              <w:divBdr>
                                <w:top w:val="none" w:sz="0" w:space="0" w:color="auto"/>
                                <w:left w:val="none" w:sz="0" w:space="0" w:color="auto"/>
                                <w:bottom w:val="none" w:sz="0" w:space="0" w:color="auto"/>
                                <w:right w:val="none" w:sz="0" w:space="0" w:color="auto"/>
                              </w:divBdr>
                              <w:divsChild>
                                <w:div w:id="24611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1783409">
      <w:bodyDiv w:val="1"/>
      <w:marLeft w:val="0"/>
      <w:marRight w:val="0"/>
      <w:marTop w:val="0"/>
      <w:marBottom w:val="0"/>
      <w:divBdr>
        <w:top w:val="none" w:sz="0" w:space="0" w:color="auto"/>
        <w:left w:val="none" w:sz="0" w:space="0" w:color="auto"/>
        <w:bottom w:val="none" w:sz="0" w:space="0" w:color="auto"/>
        <w:right w:val="none" w:sz="0" w:space="0" w:color="auto"/>
      </w:divBdr>
    </w:div>
    <w:div w:id="818814512">
      <w:bodyDiv w:val="1"/>
      <w:marLeft w:val="0"/>
      <w:marRight w:val="0"/>
      <w:marTop w:val="0"/>
      <w:marBottom w:val="0"/>
      <w:divBdr>
        <w:top w:val="none" w:sz="0" w:space="0" w:color="auto"/>
        <w:left w:val="none" w:sz="0" w:space="0" w:color="auto"/>
        <w:bottom w:val="none" w:sz="0" w:space="0" w:color="auto"/>
        <w:right w:val="none" w:sz="0" w:space="0" w:color="auto"/>
      </w:divBdr>
      <w:divsChild>
        <w:div w:id="1884319523">
          <w:marLeft w:val="0"/>
          <w:marRight w:val="0"/>
          <w:marTop w:val="0"/>
          <w:marBottom w:val="0"/>
          <w:divBdr>
            <w:top w:val="none" w:sz="0" w:space="0" w:color="auto"/>
            <w:left w:val="none" w:sz="0" w:space="0" w:color="auto"/>
            <w:bottom w:val="none" w:sz="0" w:space="0" w:color="auto"/>
            <w:right w:val="none" w:sz="0" w:space="0" w:color="auto"/>
          </w:divBdr>
          <w:divsChild>
            <w:div w:id="2080856667">
              <w:marLeft w:val="0"/>
              <w:marRight w:val="0"/>
              <w:marTop w:val="0"/>
              <w:marBottom w:val="0"/>
              <w:divBdr>
                <w:top w:val="none" w:sz="0" w:space="0" w:color="auto"/>
                <w:left w:val="none" w:sz="0" w:space="0" w:color="auto"/>
                <w:bottom w:val="none" w:sz="0" w:space="0" w:color="auto"/>
                <w:right w:val="none" w:sz="0" w:space="0" w:color="auto"/>
              </w:divBdr>
              <w:divsChild>
                <w:div w:id="944767543">
                  <w:marLeft w:val="0"/>
                  <w:marRight w:val="0"/>
                  <w:marTop w:val="0"/>
                  <w:marBottom w:val="0"/>
                  <w:divBdr>
                    <w:top w:val="single" w:sz="4" w:space="0" w:color="CCCCCC"/>
                    <w:left w:val="single" w:sz="4" w:space="0" w:color="CCCCCC"/>
                    <w:bottom w:val="single" w:sz="4" w:space="0" w:color="CCCCCC"/>
                    <w:right w:val="single" w:sz="4" w:space="0" w:color="CCCCCC"/>
                  </w:divBdr>
                  <w:divsChild>
                    <w:div w:id="1330014187">
                      <w:marLeft w:val="0"/>
                      <w:marRight w:val="0"/>
                      <w:marTop w:val="0"/>
                      <w:marBottom w:val="0"/>
                      <w:divBdr>
                        <w:top w:val="none" w:sz="0" w:space="0" w:color="auto"/>
                        <w:left w:val="none" w:sz="0" w:space="0" w:color="auto"/>
                        <w:bottom w:val="none" w:sz="0" w:space="0" w:color="auto"/>
                        <w:right w:val="none" w:sz="0" w:space="0" w:color="auto"/>
                      </w:divBdr>
                      <w:divsChild>
                        <w:div w:id="1712654929">
                          <w:marLeft w:val="0"/>
                          <w:marRight w:val="0"/>
                          <w:marTop w:val="0"/>
                          <w:marBottom w:val="0"/>
                          <w:divBdr>
                            <w:top w:val="none" w:sz="0" w:space="0" w:color="auto"/>
                            <w:left w:val="none" w:sz="0" w:space="0" w:color="auto"/>
                            <w:bottom w:val="none" w:sz="0" w:space="0" w:color="auto"/>
                            <w:right w:val="none" w:sz="0" w:space="0" w:color="auto"/>
                          </w:divBdr>
                          <w:divsChild>
                            <w:div w:id="687870583">
                              <w:marLeft w:val="0"/>
                              <w:marRight w:val="0"/>
                              <w:marTop w:val="0"/>
                              <w:marBottom w:val="0"/>
                              <w:divBdr>
                                <w:top w:val="none" w:sz="0" w:space="0" w:color="auto"/>
                                <w:left w:val="none" w:sz="0" w:space="0" w:color="auto"/>
                                <w:bottom w:val="none" w:sz="0" w:space="0" w:color="auto"/>
                                <w:right w:val="none" w:sz="0" w:space="0" w:color="auto"/>
                              </w:divBdr>
                              <w:divsChild>
                                <w:div w:id="145509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4593444">
      <w:bodyDiv w:val="1"/>
      <w:marLeft w:val="0"/>
      <w:marRight w:val="0"/>
      <w:marTop w:val="0"/>
      <w:marBottom w:val="0"/>
      <w:divBdr>
        <w:top w:val="none" w:sz="0" w:space="0" w:color="auto"/>
        <w:left w:val="none" w:sz="0" w:space="0" w:color="auto"/>
        <w:bottom w:val="none" w:sz="0" w:space="0" w:color="auto"/>
        <w:right w:val="none" w:sz="0" w:space="0" w:color="auto"/>
      </w:divBdr>
    </w:div>
    <w:div w:id="1189417370">
      <w:bodyDiv w:val="1"/>
      <w:marLeft w:val="0"/>
      <w:marRight w:val="0"/>
      <w:marTop w:val="0"/>
      <w:marBottom w:val="0"/>
      <w:divBdr>
        <w:top w:val="none" w:sz="0" w:space="0" w:color="auto"/>
        <w:left w:val="none" w:sz="0" w:space="0" w:color="auto"/>
        <w:bottom w:val="none" w:sz="0" w:space="0" w:color="auto"/>
        <w:right w:val="none" w:sz="0" w:space="0" w:color="auto"/>
      </w:divBdr>
      <w:divsChild>
        <w:div w:id="1915164318">
          <w:marLeft w:val="0"/>
          <w:marRight w:val="0"/>
          <w:marTop w:val="0"/>
          <w:marBottom w:val="0"/>
          <w:divBdr>
            <w:top w:val="none" w:sz="0" w:space="0" w:color="auto"/>
            <w:left w:val="none" w:sz="0" w:space="0" w:color="auto"/>
            <w:bottom w:val="none" w:sz="0" w:space="0" w:color="auto"/>
            <w:right w:val="none" w:sz="0" w:space="0" w:color="auto"/>
          </w:divBdr>
          <w:divsChild>
            <w:div w:id="1528251950">
              <w:marLeft w:val="0"/>
              <w:marRight w:val="0"/>
              <w:marTop w:val="0"/>
              <w:marBottom w:val="0"/>
              <w:divBdr>
                <w:top w:val="none" w:sz="0" w:space="0" w:color="auto"/>
                <w:left w:val="none" w:sz="0" w:space="0" w:color="auto"/>
                <w:bottom w:val="none" w:sz="0" w:space="0" w:color="auto"/>
                <w:right w:val="none" w:sz="0" w:space="0" w:color="auto"/>
              </w:divBdr>
              <w:divsChild>
                <w:div w:id="337001809">
                  <w:marLeft w:val="0"/>
                  <w:marRight w:val="0"/>
                  <w:marTop w:val="0"/>
                  <w:marBottom w:val="0"/>
                  <w:divBdr>
                    <w:top w:val="single" w:sz="4" w:space="0" w:color="CCCCCC"/>
                    <w:left w:val="single" w:sz="4" w:space="0" w:color="CCCCCC"/>
                    <w:bottom w:val="single" w:sz="4" w:space="0" w:color="CCCCCC"/>
                    <w:right w:val="single" w:sz="4" w:space="0" w:color="CCCCCC"/>
                  </w:divBdr>
                  <w:divsChild>
                    <w:div w:id="598294106">
                      <w:marLeft w:val="0"/>
                      <w:marRight w:val="0"/>
                      <w:marTop w:val="0"/>
                      <w:marBottom w:val="0"/>
                      <w:divBdr>
                        <w:top w:val="none" w:sz="0" w:space="0" w:color="auto"/>
                        <w:left w:val="none" w:sz="0" w:space="0" w:color="auto"/>
                        <w:bottom w:val="none" w:sz="0" w:space="0" w:color="auto"/>
                        <w:right w:val="none" w:sz="0" w:space="0" w:color="auto"/>
                      </w:divBdr>
                      <w:divsChild>
                        <w:div w:id="1313212207">
                          <w:marLeft w:val="0"/>
                          <w:marRight w:val="0"/>
                          <w:marTop w:val="0"/>
                          <w:marBottom w:val="0"/>
                          <w:divBdr>
                            <w:top w:val="none" w:sz="0" w:space="0" w:color="auto"/>
                            <w:left w:val="none" w:sz="0" w:space="0" w:color="auto"/>
                            <w:bottom w:val="none" w:sz="0" w:space="0" w:color="auto"/>
                            <w:right w:val="none" w:sz="0" w:space="0" w:color="auto"/>
                          </w:divBdr>
                          <w:divsChild>
                            <w:div w:id="1986082792">
                              <w:marLeft w:val="0"/>
                              <w:marRight w:val="0"/>
                              <w:marTop w:val="0"/>
                              <w:marBottom w:val="0"/>
                              <w:divBdr>
                                <w:top w:val="none" w:sz="0" w:space="0" w:color="auto"/>
                                <w:left w:val="none" w:sz="0" w:space="0" w:color="auto"/>
                                <w:bottom w:val="none" w:sz="0" w:space="0" w:color="auto"/>
                                <w:right w:val="none" w:sz="0" w:space="0" w:color="auto"/>
                              </w:divBdr>
                              <w:divsChild>
                                <w:div w:id="189218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2445745">
      <w:bodyDiv w:val="1"/>
      <w:marLeft w:val="0"/>
      <w:marRight w:val="0"/>
      <w:marTop w:val="0"/>
      <w:marBottom w:val="0"/>
      <w:divBdr>
        <w:top w:val="none" w:sz="0" w:space="0" w:color="auto"/>
        <w:left w:val="none" w:sz="0" w:space="0" w:color="auto"/>
        <w:bottom w:val="none" w:sz="0" w:space="0" w:color="auto"/>
        <w:right w:val="none" w:sz="0" w:space="0" w:color="auto"/>
      </w:divBdr>
    </w:div>
    <w:div w:id="1358044870">
      <w:bodyDiv w:val="1"/>
      <w:marLeft w:val="0"/>
      <w:marRight w:val="0"/>
      <w:marTop w:val="0"/>
      <w:marBottom w:val="0"/>
      <w:divBdr>
        <w:top w:val="none" w:sz="0" w:space="0" w:color="auto"/>
        <w:left w:val="none" w:sz="0" w:space="0" w:color="auto"/>
        <w:bottom w:val="none" w:sz="0" w:space="0" w:color="auto"/>
        <w:right w:val="none" w:sz="0" w:space="0" w:color="auto"/>
      </w:divBdr>
    </w:div>
    <w:div w:id="1581064869">
      <w:bodyDiv w:val="1"/>
      <w:marLeft w:val="0"/>
      <w:marRight w:val="0"/>
      <w:marTop w:val="0"/>
      <w:marBottom w:val="0"/>
      <w:divBdr>
        <w:top w:val="none" w:sz="0" w:space="0" w:color="auto"/>
        <w:left w:val="none" w:sz="0" w:space="0" w:color="auto"/>
        <w:bottom w:val="none" w:sz="0" w:space="0" w:color="auto"/>
        <w:right w:val="none" w:sz="0" w:space="0" w:color="auto"/>
      </w:divBdr>
    </w:div>
    <w:div w:id="1872985994">
      <w:bodyDiv w:val="1"/>
      <w:marLeft w:val="0"/>
      <w:marRight w:val="0"/>
      <w:marTop w:val="0"/>
      <w:marBottom w:val="0"/>
      <w:divBdr>
        <w:top w:val="none" w:sz="0" w:space="0" w:color="auto"/>
        <w:left w:val="none" w:sz="0" w:space="0" w:color="auto"/>
        <w:bottom w:val="none" w:sz="0" w:space="0" w:color="auto"/>
        <w:right w:val="none" w:sz="0" w:space="0" w:color="auto"/>
      </w:divBdr>
      <w:divsChild>
        <w:div w:id="693727373">
          <w:marLeft w:val="0"/>
          <w:marRight w:val="0"/>
          <w:marTop w:val="0"/>
          <w:marBottom w:val="0"/>
          <w:divBdr>
            <w:top w:val="none" w:sz="0" w:space="0" w:color="auto"/>
            <w:left w:val="none" w:sz="0" w:space="0" w:color="auto"/>
            <w:bottom w:val="none" w:sz="0" w:space="0" w:color="auto"/>
            <w:right w:val="none" w:sz="0" w:space="0" w:color="auto"/>
          </w:divBdr>
        </w:div>
        <w:div w:id="1957364319">
          <w:marLeft w:val="0"/>
          <w:marRight w:val="0"/>
          <w:marTop w:val="0"/>
          <w:marBottom w:val="0"/>
          <w:divBdr>
            <w:top w:val="none" w:sz="0" w:space="0" w:color="auto"/>
            <w:left w:val="none" w:sz="0" w:space="0" w:color="auto"/>
            <w:bottom w:val="none" w:sz="0" w:space="0" w:color="auto"/>
            <w:right w:val="none" w:sz="0" w:space="0" w:color="auto"/>
          </w:divBdr>
        </w:div>
      </w:divsChild>
    </w:div>
    <w:div w:id="2047290552">
      <w:bodyDiv w:val="1"/>
      <w:marLeft w:val="0"/>
      <w:marRight w:val="0"/>
      <w:marTop w:val="0"/>
      <w:marBottom w:val="0"/>
      <w:divBdr>
        <w:top w:val="none" w:sz="0" w:space="0" w:color="auto"/>
        <w:left w:val="none" w:sz="0" w:space="0" w:color="auto"/>
        <w:bottom w:val="none" w:sz="0" w:space="0" w:color="auto"/>
        <w:right w:val="none" w:sz="0" w:space="0" w:color="auto"/>
      </w:divBdr>
      <w:divsChild>
        <w:div w:id="841161129">
          <w:marLeft w:val="547"/>
          <w:marRight w:val="0"/>
          <w:marTop w:val="154"/>
          <w:marBottom w:val="0"/>
          <w:divBdr>
            <w:top w:val="none" w:sz="0" w:space="0" w:color="auto"/>
            <w:left w:val="none" w:sz="0" w:space="0" w:color="auto"/>
            <w:bottom w:val="none" w:sz="0" w:space="0" w:color="auto"/>
            <w:right w:val="none" w:sz="0" w:space="0" w:color="auto"/>
          </w:divBdr>
        </w:div>
      </w:divsChild>
    </w:div>
    <w:div w:id="2062632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ED19D9-5443-4828-9B63-6E48D41B7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9267</Words>
  <Characters>52827</Characters>
  <Application>Microsoft Office Word</Application>
  <DocSecurity>0</DocSecurity>
  <Lines>440</Lines>
  <Paragraphs>123</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61971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2019-08-20T14:18:00Z</dcterms:created>
  <dcterms:modified xsi:type="dcterms:W3CDTF">2019-08-20T14:23:00Z</dcterms:modified>
</cp:coreProperties>
</file>