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EF81" w14:textId="77777777" w:rsidR="00AC24E9" w:rsidRPr="009D0C51" w:rsidRDefault="00F77FC0" w:rsidP="00002505">
      <w:pPr>
        <w:spacing w:line="276" w:lineRule="auto"/>
        <w:jc w:val="center"/>
        <w:outlineLvl w:val="0"/>
        <w:rPr>
          <w:rFonts w:ascii="Palatino Linotype" w:hAnsi="Palatino Linotype"/>
          <w:b/>
          <w:kern w:val="24"/>
        </w:rPr>
      </w:pPr>
      <w:r w:rsidRPr="009D0C51">
        <w:rPr>
          <w:rFonts w:ascii="Palatino Linotype" w:hAnsi="Palatino Linotype"/>
          <w:b/>
          <w:kern w:val="24"/>
        </w:rPr>
        <w:t>Mandatory Minimums and the War on Drugs</w:t>
      </w:r>
    </w:p>
    <w:p w14:paraId="62CC0729" w14:textId="4C156C9D" w:rsidR="00AC24E9" w:rsidRPr="00C51710" w:rsidRDefault="00AC24E9" w:rsidP="00C51710">
      <w:pPr>
        <w:spacing w:line="276" w:lineRule="auto"/>
        <w:jc w:val="center"/>
        <w:outlineLvl w:val="0"/>
        <w:rPr>
          <w:rFonts w:ascii="Palatino Linotype" w:hAnsi="Palatino Linotype"/>
          <w:kern w:val="24"/>
        </w:rPr>
      </w:pPr>
      <w:r w:rsidRPr="009D0C51">
        <w:rPr>
          <w:rFonts w:ascii="Palatino Linotype" w:hAnsi="Palatino Linotype"/>
          <w:kern w:val="24"/>
        </w:rPr>
        <w:t>Daniel Wodak—dwodak@vt.edu</w:t>
      </w:r>
      <w:r w:rsidR="00536569">
        <w:rPr>
          <w:rStyle w:val="FootnoteReference"/>
          <w:rFonts w:ascii="Palatino Linotype" w:hAnsi="Palatino Linotype"/>
          <w:kern w:val="24"/>
        </w:rPr>
        <w:footnoteReference w:customMarkFollows="1" w:id="1"/>
        <w:t>*</w:t>
      </w:r>
    </w:p>
    <w:p w14:paraId="3C10848D" w14:textId="77777777" w:rsidR="006D581D" w:rsidRDefault="006D581D" w:rsidP="00E44205">
      <w:pPr>
        <w:spacing w:line="276" w:lineRule="auto"/>
        <w:rPr>
          <w:rFonts w:ascii="Palatino Linotype" w:hAnsi="Palatino Linotype"/>
          <w:kern w:val="24"/>
        </w:rPr>
      </w:pPr>
    </w:p>
    <w:p w14:paraId="38511F0C" w14:textId="43EEAF5F" w:rsidR="00B26E96" w:rsidRPr="009D0C51" w:rsidRDefault="00711398" w:rsidP="00496581">
      <w:pPr>
        <w:spacing w:line="276" w:lineRule="auto"/>
        <w:rPr>
          <w:rFonts w:ascii="Palatino Linotype" w:hAnsi="Palatino Linotype"/>
          <w:kern w:val="24"/>
        </w:rPr>
      </w:pPr>
      <w:r>
        <w:rPr>
          <w:rFonts w:ascii="Palatino Linotype" w:hAnsi="Palatino Linotype"/>
          <w:kern w:val="24"/>
        </w:rPr>
        <w:t>Mandatory minimum sentencing provisions</w:t>
      </w:r>
      <w:r w:rsidR="007336B3" w:rsidRPr="009D0C51">
        <w:rPr>
          <w:rFonts w:ascii="Palatino Linotype" w:hAnsi="Palatino Linotype"/>
          <w:kern w:val="24"/>
        </w:rPr>
        <w:t xml:space="preserve"> have long been a feature of the U.S. justice system. </w:t>
      </w:r>
      <w:r>
        <w:rPr>
          <w:rFonts w:ascii="Palatino Linotype" w:hAnsi="Palatino Linotype"/>
          <w:kern w:val="24"/>
        </w:rPr>
        <w:t xml:space="preserve">In </w:t>
      </w:r>
      <w:r w:rsidR="005E53C2" w:rsidRPr="009D0C51">
        <w:rPr>
          <w:rFonts w:ascii="Palatino Linotype" w:hAnsi="Palatino Linotype"/>
          <w:kern w:val="24"/>
        </w:rPr>
        <w:t xml:space="preserve">the </w:t>
      </w:r>
      <w:r w:rsidR="005E53C2" w:rsidRPr="009D0C51">
        <w:rPr>
          <w:rFonts w:ascii="Palatino Linotype" w:hAnsi="Palatino Linotype"/>
          <w:i/>
          <w:kern w:val="24"/>
        </w:rPr>
        <w:t>Crimes Act</w:t>
      </w:r>
      <w:r w:rsidR="005E53C2" w:rsidRPr="009D0C51">
        <w:rPr>
          <w:rFonts w:ascii="Palatino Linotype" w:hAnsi="Palatino Linotype"/>
          <w:kern w:val="24"/>
        </w:rPr>
        <w:t xml:space="preserve"> of </w:t>
      </w:r>
      <w:r w:rsidR="007E3968">
        <w:rPr>
          <w:rFonts w:ascii="Palatino Linotype" w:hAnsi="Palatino Linotype"/>
          <w:kern w:val="24"/>
        </w:rPr>
        <w:t>1790</w:t>
      </w:r>
      <w:r w:rsidR="00536569">
        <w:rPr>
          <w:rFonts w:ascii="Palatino Linotype" w:hAnsi="Palatino Linotype"/>
          <w:kern w:val="24"/>
        </w:rPr>
        <w:t>,</w:t>
      </w:r>
      <w:r w:rsidR="005E53C2" w:rsidRPr="009D0C51">
        <w:rPr>
          <w:rFonts w:ascii="Palatino Linotype" w:hAnsi="Palatino Linotype"/>
          <w:kern w:val="24"/>
        </w:rPr>
        <w:t xml:space="preserve"> </w:t>
      </w:r>
      <w:r>
        <w:rPr>
          <w:rFonts w:ascii="Palatino Linotype" w:hAnsi="Palatino Linotype"/>
          <w:kern w:val="24"/>
        </w:rPr>
        <w:t>s</w:t>
      </w:r>
      <w:r w:rsidR="007E3968">
        <w:rPr>
          <w:rFonts w:ascii="Palatino Linotype" w:hAnsi="Palatino Linotype"/>
          <w:kern w:val="24"/>
        </w:rPr>
        <w:t xml:space="preserve">even offenses, such as </w:t>
      </w:r>
      <w:r w:rsidR="005E53C2" w:rsidRPr="009D0C51">
        <w:rPr>
          <w:rFonts w:ascii="Palatino Linotype" w:hAnsi="Palatino Linotype"/>
          <w:kern w:val="24"/>
        </w:rPr>
        <w:t xml:space="preserve">treason, </w:t>
      </w:r>
      <w:r w:rsidR="00FD1950" w:rsidRPr="009D0C51">
        <w:rPr>
          <w:rFonts w:ascii="Palatino Linotype" w:hAnsi="Palatino Linotype"/>
          <w:kern w:val="24"/>
        </w:rPr>
        <w:t>ca</w:t>
      </w:r>
      <w:r w:rsidR="00823FF3" w:rsidRPr="009D0C51">
        <w:rPr>
          <w:rFonts w:ascii="Palatino Linotype" w:hAnsi="Palatino Linotype"/>
          <w:kern w:val="24"/>
        </w:rPr>
        <w:t>rried a mandatory death penalty:</w:t>
      </w:r>
      <w:r w:rsidR="00B26E96" w:rsidRPr="009D0C51">
        <w:rPr>
          <w:rStyle w:val="EndnoteReference"/>
          <w:rFonts w:ascii="Palatino Linotype" w:hAnsi="Palatino Linotype"/>
          <w:kern w:val="24"/>
        </w:rPr>
        <w:endnoteReference w:id="1"/>
      </w:r>
      <w:r w:rsidR="00B26E96" w:rsidRPr="009D0C51">
        <w:rPr>
          <w:rFonts w:ascii="Palatino Linotype" w:hAnsi="Palatino Linotype"/>
          <w:kern w:val="24"/>
        </w:rPr>
        <w:t xml:space="preserve"> </w:t>
      </w:r>
      <w:r w:rsidR="00B26E96">
        <w:rPr>
          <w:rFonts w:ascii="Palatino Linotype" w:hAnsi="Palatino Linotype"/>
          <w:kern w:val="24"/>
        </w:rPr>
        <w:t xml:space="preserve">i.e., </w:t>
      </w:r>
      <w:r w:rsidR="00B26E96" w:rsidRPr="009D0C51">
        <w:rPr>
          <w:rFonts w:ascii="Palatino Linotype" w:hAnsi="Palatino Linotype"/>
          <w:kern w:val="24"/>
        </w:rPr>
        <w:t xml:space="preserve">upon convicting a defendant for treason, the </w:t>
      </w:r>
      <w:r w:rsidR="00B26E96" w:rsidRPr="009D0C51">
        <w:rPr>
          <w:rFonts w:ascii="Palatino Linotype" w:hAnsi="Palatino Linotype"/>
          <w:i/>
          <w:kern w:val="24"/>
        </w:rPr>
        <w:t>minimum</w:t>
      </w:r>
      <w:r w:rsidR="00B26E96" w:rsidRPr="009D0C51">
        <w:rPr>
          <w:rFonts w:ascii="Palatino Linotype" w:hAnsi="Palatino Linotype"/>
          <w:kern w:val="24"/>
        </w:rPr>
        <w:t xml:space="preserve"> sentence a judge could impose was death. From 1790 </w:t>
      </w:r>
      <w:r w:rsidR="00B26E96">
        <w:rPr>
          <w:rFonts w:ascii="Palatino Linotype" w:hAnsi="Palatino Linotype"/>
          <w:kern w:val="24"/>
        </w:rPr>
        <w:t xml:space="preserve">to </w:t>
      </w:r>
      <w:r w:rsidR="00B26E96" w:rsidRPr="009D0C51">
        <w:rPr>
          <w:rFonts w:ascii="Palatino Linotype" w:hAnsi="Palatino Linotype"/>
          <w:kern w:val="24"/>
        </w:rPr>
        <w:t xml:space="preserve">1950, federal mandatory minimums grew slowly and “generally targeted crimes that were infrequent” </w:t>
      </w:r>
      <w:r w:rsidR="00B26E96">
        <w:rPr>
          <w:rFonts w:ascii="Palatino Linotype" w:hAnsi="Palatino Linotype"/>
          <w:kern w:val="24"/>
        </w:rPr>
        <w:t xml:space="preserve">and </w:t>
      </w:r>
      <w:r w:rsidR="00B26E96" w:rsidRPr="009D0C51">
        <w:rPr>
          <w:rFonts w:ascii="Palatino Linotype" w:hAnsi="Palatino Linotype"/>
          <w:kern w:val="24"/>
        </w:rPr>
        <w:t>“</w:t>
      </w:r>
      <w:r w:rsidR="00B26E96">
        <w:rPr>
          <w:rFonts w:ascii="Palatino Linotype" w:hAnsi="Palatino Linotype"/>
          <w:kern w:val="24"/>
        </w:rPr>
        <w:t xml:space="preserve">decisively federal in nature”, like </w:t>
      </w:r>
      <w:r w:rsidR="00B26E96" w:rsidRPr="009D0C51">
        <w:rPr>
          <w:rFonts w:ascii="Palatino Linotype" w:hAnsi="Palatino Linotype"/>
          <w:kern w:val="24"/>
        </w:rPr>
        <w:t>piracy.</w:t>
      </w:r>
      <w:r w:rsidR="00B26E96" w:rsidRPr="009D0C51">
        <w:rPr>
          <w:rStyle w:val="EndnoteReference"/>
          <w:rFonts w:ascii="Palatino Linotype" w:hAnsi="Palatino Linotype"/>
          <w:kern w:val="24"/>
        </w:rPr>
        <w:endnoteReference w:id="2"/>
      </w:r>
      <w:r w:rsidR="00B26E96" w:rsidRPr="009D0C51">
        <w:rPr>
          <w:rFonts w:ascii="Palatino Linotype" w:hAnsi="Palatino Linotype"/>
          <w:kern w:val="24"/>
        </w:rPr>
        <w:t xml:space="preserve"> </w:t>
      </w:r>
      <w:r w:rsidR="00B26E96">
        <w:rPr>
          <w:rFonts w:ascii="Palatino Linotype" w:hAnsi="Palatino Linotype"/>
          <w:kern w:val="24"/>
        </w:rPr>
        <w:t>With the onset of the war on drugs,</w:t>
      </w:r>
      <w:r w:rsidR="00B26E96" w:rsidRPr="009D0C51">
        <w:rPr>
          <w:rFonts w:ascii="Palatino Linotype" w:hAnsi="Palatino Linotype"/>
          <w:kern w:val="24"/>
        </w:rPr>
        <w:t xml:space="preserve"> mandatory minimums </w:t>
      </w:r>
      <w:r w:rsidR="00B26E96">
        <w:rPr>
          <w:rFonts w:ascii="Palatino Linotype" w:hAnsi="Palatino Linotype"/>
          <w:kern w:val="24"/>
        </w:rPr>
        <w:t>beca</w:t>
      </w:r>
      <w:r w:rsidR="00B26E96" w:rsidRPr="009D0C51">
        <w:rPr>
          <w:rFonts w:ascii="Palatino Linotype" w:hAnsi="Palatino Linotype"/>
          <w:kern w:val="24"/>
        </w:rPr>
        <w:t xml:space="preserve">me a </w:t>
      </w:r>
      <w:r w:rsidR="00B26E96">
        <w:rPr>
          <w:rFonts w:ascii="Palatino Linotype" w:hAnsi="Palatino Linotype"/>
          <w:kern w:val="24"/>
        </w:rPr>
        <w:t xml:space="preserve">more </w:t>
      </w:r>
      <w:r w:rsidR="00B26E96" w:rsidRPr="009D0C51">
        <w:rPr>
          <w:rFonts w:ascii="Palatino Linotype" w:hAnsi="Palatino Linotype"/>
          <w:kern w:val="24"/>
        </w:rPr>
        <w:t xml:space="preserve">significant feature of </w:t>
      </w:r>
      <w:r w:rsidR="00B26E96">
        <w:rPr>
          <w:rFonts w:ascii="Palatino Linotype" w:hAnsi="Palatino Linotype"/>
          <w:kern w:val="24"/>
        </w:rPr>
        <w:t xml:space="preserve">the </w:t>
      </w:r>
      <w:r w:rsidR="00B26E96" w:rsidRPr="009D0C51">
        <w:rPr>
          <w:rFonts w:ascii="Palatino Linotype" w:hAnsi="Palatino Linotype"/>
          <w:kern w:val="24"/>
        </w:rPr>
        <w:t>justice</w:t>
      </w:r>
      <w:r w:rsidR="00B26E96">
        <w:rPr>
          <w:rFonts w:ascii="Palatino Linotype" w:hAnsi="Palatino Linotype"/>
          <w:kern w:val="24"/>
        </w:rPr>
        <w:t xml:space="preserve"> system</w:t>
      </w:r>
      <w:r w:rsidR="00B26E96" w:rsidRPr="009D0C51">
        <w:rPr>
          <w:rFonts w:ascii="Palatino Linotype" w:hAnsi="Palatino Linotype"/>
          <w:kern w:val="24"/>
        </w:rPr>
        <w:t>: “Congress passed harsh drug-related mandatory minimums in 1951 and 1956, repealed them in 1970</w:t>
      </w:r>
      <w:r w:rsidR="00B26E96">
        <w:rPr>
          <w:rFonts w:ascii="Palatino Linotype" w:hAnsi="Palatino Linotype"/>
          <w:kern w:val="24"/>
        </w:rPr>
        <w:t xml:space="preserve"> […], </w:t>
      </w:r>
      <w:r w:rsidR="00B26E96" w:rsidRPr="009D0C51">
        <w:rPr>
          <w:rFonts w:ascii="Palatino Linotype" w:hAnsi="Palatino Linotype"/>
          <w:kern w:val="24"/>
        </w:rPr>
        <w:t>then passed them again in a biennial fashion, beginning in 1984.”</w:t>
      </w:r>
      <w:r w:rsidR="00B26E96" w:rsidRPr="009D0C51">
        <w:rPr>
          <w:rStyle w:val="EndnoteReference"/>
          <w:rFonts w:ascii="Palatino Linotype" w:hAnsi="Palatino Linotype"/>
          <w:kern w:val="24"/>
        </w:rPr>
        <w:endnoteReference w:id="3"/>
      </w:r>
      <w:r w:rsidR="00B26E96" w:rsidRPr="009D0C51">
        <w:rPr>
          <w:rFonts w:ascii="Palatino Linotype" w:hAnsi="Palatino Linotype"/>
          <w:kern w:val="24"/>
        </w:rPr>
        <w:t xml:space="preserve"> Federal mandatory minimums have grown explosively under the war on drugs,</w:t>
      </w:r>
      <w:r w:rsidR="00B26E96" w:rsidRPr="009D0C51">
        <w:rPr>
          <w:rStyle w:val="EndnoteReference"/>
          <w:rFonts w:ascii="Palatino Linotype" w:hAnsi="Palatino Linotype"/>
          <w:kern w:val="24"/>
        </w:rPr>
        <w:endnoteReference w:id="4"/>
      </w:r>
      <w:r w:rsidR="00B26E96" w:rsidRPr="009D0C51">
        <w:rPr>
          <w:rFonts w:ascii="Palatino Linotype" w:hAnsi="Palatino Linotype"/>
          <w:kern w:val="24"/>
        </w:rPr>
        <w:t xml:space="preserve"> become more severe, and targeted crimes that were frequent and also punishable under state laws. </w:t>
      </w:r>
    </w:p>
    <w:p w14:paraId="550A2474" w14:textId="77777777" w:rsidR="00B26E96" w:rsidRPr="009D0C51" w:rsidRDefault="00B26E96" w:rsidP="00496581">
      <w:pPr>
        <w:spacing w:line="276" w:lineRule="auto"/>
        <w:rPr>
          <w:rFonts w:ascii="Palatino Linotype" w:hAnsi="Palatino Linotype"/>
          <w:kern w:val="24"/>
        </w:rPr>
      </w:pPr>
    </w:p>
    <w:p w14:paraId="0F0CC120" w14:textId="59C74A70" w:rsidR="00B26E96" w:rsidRPr="009D0C51" w:rsidRDefault="00B26E96" w:rsidP="00496581">
      <w:pPr>
        <w:spacing w:line="276" w:lineRule="auto"/>
        <w:rPr>
          <w:rFonts w:ascii="Palatino Linotype" w:hAnsi="Palatino Linotype"/>
          <w:kern w:val="24"/>
        </w:rPr>
      </w:pPr>
      <w:r w:rsidRPr="009D0C51">
        <w:rPr>
          <w:rFonts w:ascii="Palatino Linotype" w:hAnsi="Palatino Linotype"/>
          <w:kern w:val="24"/>
        </w:rPr>
        <w:t xml:space="preserve">The effects of this trend are myriad. </w:t>
      </w:r>
      <w:r>
        <w:rPr>
          <w:rFonts w:ascii="Palatino Linotype" w:hAnsi="Palatino Linotype"/>
          <w:kern w:val="24"/>
        </w:rPr>
        <w:t xml:space="preserve">Most obviously, many </w:t>
      </w:r>
      <w:r w:rsidRPr="009D0C51">
        <w:rPr>
          <w:rFonts w:ascii="Palatino Linotype" w:hAnsi="Palatino Linotype"/>
          <w:kern w:val="24"/>
        </w:rPr>
        <w:t>prisoners are subject to drug-related mandatory minimums. In 2016, 22% of offenders in the federal system were convicted of an offense carrying a mandatory minimum</w:t>
      </w:r>
      <w:r>
        <w:rPr>
          <w:rFonts w:ascii="Palatino Linotype" w:hAnsi="Palatino Linotype"/>
          <w:kern w:val="24"/>
        </w:rPr>
        <w:t>, and</w:t>
      </w:r>
      <w:r w:rsidRPr="009D0C51">
        <w:rPr>
          <w:rFonts w:ascii="Palatino Linotype" w:hAnsi="Palatino Linotype"/>
          <w:kern w:val="24"/>
        </w:rPr>
        <w:t xml:space="preserve"> 67% of those offenders were convicted of drug trafficking</w:t>
      </w:r>
      <w:r>
        <w:rPr>
          <w:rFonts w:ascii="Palatino Linotype" w:hAnsi="Palatino Linotype"/>
          <w:kern w:val="24"/>
        </w:rPr>
        <w:t>;</w:t>
      </w:r>
      <w:r w:rsidRPr="009D0C51">
        <w:rPr>
          <w:rStyle w:val="EndnoteReference"/>
          <w:rFonts w:ascii="Palatino Linotype" w:hAnsi="Palatino Linotype"/>
          <w:kern w:val="24"/>
        </w:rPr>
        <w:endnoteReference w:id="5"/>
      </w:r>
      <w:r>
        <w:rPr>
          <w:rFonts w:ascii="Palatino Linotype" w:hAnsi="Palatino Linotype"/>
          <w:kern w:val="24"/>
        </w:rPr>
        <w:t xml:space="preserve"> of the remainder, many </w:t>
      </w:r>
      <w:r w:rsidRPr="009D0C51">
        <w:rPr>
          <w:rFonts w:ascii="Palatino Linotype" w:hAnsi="Palatino Linotype"/>
          <w:kern w:val="24"/>
        </w:rPr>
        <w:t xml:space="preserve">were </w:t>
      </w:r>
      <w:r>
        <w:rPr>
          <w:rFonts w:ascii="Palatino Linotype" w:hAnsi="Palatino Linotype"/>
          <w:kern w:val="24"/>
        </w:rPr>
        <w:t xml:space="preserve">also </w:t>
      </w:r>
      <w:r w:rsidRPr="009D0C51">
        <w:rPr>
          <w:rFonts w:ascii="Palatino Linotype" w:hAnsi="Palatino Linotype"/>
          <w:kern w:val="24"/>
        </w:rPr>
        <w:t>subject to mandatory minimums due to the war on drugs</w:t>
      </w:r>
      <w:r>
        <w:rPr>
          <w:rFonts w:ascii="Palatino Linotype" w:hAnsi="Palatino Linotype"/>
          <w:kern w:val="24"/>
        </w:rPr>
        <w:t xml:space="preserve"> </w:t>
      </w:r>
      <w:r w:rsidRPr="009D0C51">
        <w:rPr>
          <w:rFonts w:ascii="Palatino Linotype" w:hAnsi="Palatino Linotype"/>
          <w:kern w:val="24"/>
        </w:rPr>
        <w:t xml:space="preserve">under firearms </w:t>
      </w:r>
      <w:r>
        <w:rPr>
          <w:rFonts w:ascii="Palatino Linotype" w:hAnsi="Palatino Linotype"/>
          <w:kern w:val="24"/>
        </w:rPr>
        <w:t xml:space="preserve">and </w:t>
      </w:r>
      <w:r w:rsidRPr="009D0C51">
        <w:rPr>
          <w:rFonts w:ascii="Palatino Linotype" w:hAnsi="Palatino Linotype"/>
          <w:kern w:val="24"/>
        </w:rPr>
        <w:t>“career offender</w:t>
      </w:r>
      <w:r>
        <w:rPr>
          <w:rFonts w:ascii="Palatino Linotype" w:hAnsi="Palatino Linotype"/>
          <w:kern w:val="24"/>
        </w:rPr>
        <w:t>” provisions</w:t>
      </w:r>
      <w:r w:rsidRPr="009D0C51">
        <w:rPr>
          <w:rFonts w:ascii="Palatino Linotype" w:hAnsi="Palatino Linotype"/>
          <w:kern w:val="24"/>
        </w:rPr>
        <w:t>.</w:t>
      </w:r>
      <w:r w:rsidRPr="009D0C51">
        <w:rPr>
          <w:rStyle w:val="EndnoteReference"/>
          <w:rFonts w:ascii="Palatino Linotype" w:hAnsi="Palatino Linotype"/>
          <w:kern w:val="24"/>
        </w:rPr>
        <w:endnoteReference w:id="6"/>
      </w:r>
      <w:r w:rsidRPr="009D0C51">
        <w:rPr>
          <w:rFonts w:ascii="Palatino Linotype" w:hAnsi="Palatino Linotype"/>
          <w:kern w:val="24"/>
        </w:rPr>
        <w:t xml:space="preserve"> It would be misleading to </w:t>
      </w:r>
      <w:r>
        <w:rPr>
          <w:rFonts w:ascii="Palatino Linotype" w:hAnsi="Palatino Linotype"/>
          <w:kern w:val="24"/>
        </w:rPr>
        <w:t xml:space="preserve">focus </w:t>
      </w:r>
      <w:r w:rsidR="00536569" w:rsidRPr="009D0C51">
        <w:rPr>
          <w:rFonts w:ascii="Palatino Linotype" w:hAnsi="Palatino Linotype"/>
          <w:kern w:val="24"/>
        </w:rPr>
        <w:t>o</w:t>
      </w:r>
      <w:r w:rsidR="00536569">
        <w:rPr>
          <w:rFonts w:ascii="Palatino Linotype" w:hAnsi="Palatino Linotype"/>
          <w:kern w:val="24"/>
        </w:rPr>
        <w:t xml:space="preserve">nly </w:t>
      </w:r>
      <w:r>
        <w:rPr>
          <w:rFonts w:ascii="Palatino Linotype" w:hAnsi="Palatino Linotype"/>
          <w:kern w:val="24"/>
        </w:rPr>
        <w:t>on the federal system since</w:t>
      </w:r>
      <w:r w:rsidRPr="009D0C51">
        <w:rPr>
          <w:rFonts w:ascii="Palatino Linotype" w:hAnsi="Palatino Linotype"/>
          <w:kern w:val="24"/>
        </w:rPr>
        <w:t xml:space="preserve"> “half of all federal prisoners are serving time for drug crimes</w:t>
      </w:r>
      <w:r>
        <w:rPr>
          <w:rFonts w:ascii="Palatino Linotype" w:hAnsi="Palatino Linotype"/>
          <w:kern w:val="24"/>
        </w:rPr>
        <w:t>”.</w:t>
      </w:r>
      <w:r w:rsidRPr="009D0C51">
        <w:rPr>
          <w:rStyle w:val="EndnoteReference"/>
          <w:rFonts w:ascii="Palatino Linotype" w:hAnsi="Palatino Linotype"/>
          <w:kern w:val="24"/>
        </w:rPr>
        <w:endnoteReference w:id="7"/>
      </w:r>
      <w:r w:rsidRPr="009D0C51">
        <w:rPr>
          <w:rFonts w:ascii="Palatino Linotype" w:hAnsi="Palatino Linotype"/>
          <w:kern w:val="24"/>
        </w:rPr>
        <w:t xml:space="preserve"> </w:t>
      </w:r>
      <w:r w:rsidR="00536569">
        <w:rPr>
          <w:rFonts w:ascii="Palatino Linotype" w:hAnsi="Palatino Linotype"/>
          <w:kern w:val="24"/>
        </w:rPr>
        <w:t>S</w:t>
      </w:r>
      <w:r w:rsidRPr="009D0C51">
        <w:rPr>
          <w:rFonts w:ascii="Palatino Linotype" w:hAnsi="Palatino Linotype"/>
          <w:kern w:val="24"/>
        </w:rPr>
        <w:t>tate legislatures also passed and expanded mandatory minimums significantly during the war on drugs, and in some cases due to the influence of federal crime policy.</w:t>
      </w:r>
      <w:r w:rsidRPr="009D0C51">
        <w:rPr>
          <w:rStyle w:val="EndnoteReference"/>
          <w:rFonts w:ascii="Palatino Linotype" w:hAnsi="Palatino Linotype"/>
          <w:kern w:val="24"/>
        </w:rPr>
        <w:endnoteReference w:id="8"/>
      </w:r>
      <w:r w:rsidRPr="009D0C51">
        <w:rPr>
          <w:rFonts w:ascii="Palatino Linotype" w:hAnsi="Palatino Linotype"/>
          <w:kern w:val="24"/>
        </w:rPr>
        <w:t xml:space="preserve"> Drug offenders were 6.5 percent of the s</w:t>
      </w:r>
      <w:r>
        <w:rPr>
          <w:rFonts w:ascii="Palatino Linotype" w:hAnsi="Palatino Linotype"/>
          <w:kern w:val="24"/>
        </w:rPr>
        <w:t xml:space="preserve">tate prison population in 1980; </w:t>
      </w:r>
      <w:r w:rsidRPr="009D0C51">
        <w:rPr>
          <w:rFonts w:ascii="Palatino Linotype" w:hAnsi="Palatino Linotype"/>
          <w:kern w:val="24"/>
        </w:rPr>
        <w:t xml:space="preserve">this rose to </w:t>
      </w:r>
      <w:r>
        <w:rPr>
          <w:rFonts w:ascii="Palatino Linotype" w:hAnsi="Palatino Linotype"/>
          <w:kern w:val="24"/>
        </w:rPr>
        <w:t>22 percent in 1990</w:t>
      </w:r>
      <w:r w:rsidRPr="009D0C51">
        <w:rPr>
          <w:rFonts w:ascii="Palatino Linotype" w:hAnsi="Palatino Linotype"/>
          <w:kern w:val="24"/>
        </w:rPr>
        <w:t xml:space="preserve"> before dropping to 16 percent today.</w:t>
      </w:r>
      <w:r w:rsidRPr="009D0C51">
        <w:rPr>
          <w:rStyle w:val="EndnoteReference"/>
          <w:rFonts w:ascii="Palatino Linotype" w:hAnsi="Palatino Linotype"/>
          <w:kern w:val="24"/>
        </w:rPr>
        <w:endnoteReference w:id="9"/>
      </w:r>
    </w:p>
    <w:p w14:paraId="069C7D3E" w14:textId="77777777" w:rsidR="00B26E96" w:rsidRPr="009D0C51" w:rsidRDefault="00B26E96" w:rsidP="00496581">
      <w:pPr>
        <w:spacing w:line="276" w:lineRule="auto"/>
        <w:rPr>
          <w:rFonts w:ascii="Palatino Linotype" w:hAnsi="Palatino Linotype"/>
          <w:kern w:val="24"/>
        </w:rPr>
      </w:pPr>
    </w:p>
    <w:p w14:paraId="01B18852" w14:textId="66E64DA2" w:rsidR="00B26E96" w:rsidRPr="009D0C51" w:rsidRDefault="00B26E96" w:rsidP="00C45B6A">
      <w:pPr>
        <w:spacing w:line="276" w:lineRule="auto"/>
        <w:rPr>
          <w:rFonts w:ascii="Palatino Linotype" w:hAnsi="Palatino Linotype"/>
          <w:kern w:val="24"/>
        </w:rPr>
      </w:pPr>
      <w:r w:rsidRPr="009D0C51">
        <w:rPr>
          <w:rFonts w:ascii="Palatino Linotype" w:hAnsi="Palatino Linotype"/>
          <w:kern w:val="24"/>
        </w:rPr>
        <w:t xml:space="preserve">Three developments have brought a renewed focus on </w:t>
      </w:r>
      <w:r>
        <w:rPr>
          <w:rFonts w:ascii="Palatino Linotype" w:hAnsi="Palatino Linotype"/>
          <w:kern w:val="24"/>
        </w:rPr>
        <w:t>these laws</w:t>
      </w:r>
      <w:r w:rsidRPr="009D0C51">
        <w:rPr>
          <w:rFonts w:ascii="Palatino Linotype" w:hAnsi="Palatino Linotype"/>
          <w:kern w:val="24"/>
        </w:rPr>
        <w:t xml:space="preserve">. First, many </w:t>
      </w:r>
      <w:r>
        <w:rPr>
          <w:rFonts w:ascii="Palatino Linotype" w:hAnsi="Palatino Linotype"/>
          <w:kern w:val="24"/>
        </w:rPr>
        <w:t xml:space="preserve">argue that drug-related </w:t>
      </w:r>
      <w:r w:rsidRPr="009D0C51">
        <w:rPr>
          <w:rFonts w:ascii="Palatino Linotype" w:hAnsi="Palatino Linotype"/>
          <w:kern w:val="24"/>
        </w:rPr>
        <w:t>mandatory minimums “warrant special attention because of their incredible force in driving mass incarceration.”</w:t>
      </w:r>
      <w:r w:rsidRPr="009D0C51">
        <w:rPr>
          <w:rStyle w:val="EndnoteReference"/>
          <w:rFonts w:ascii="Palatino Linotype" w:hAnsi="Palatino Linotype"/>
          <w:kern w:val="24"/>
        </w:rPr>
        <w:endnoteReference w:id="10"/>
      </w:r>
      <w:r w:rsidRPr="009D0C51">
        <w:rPr>
          <w:rFonts w:ascii="Palatino Linotype" w:hAnsi="Palatino Linotype"/>
          <w:kern w:val="24"/>
        </w:rPr>
        <w:t xml:space="preserve"> </w:t>
      </w:r>
      <w:r>
        <w:rPr>
          <w:rFonts w:ascii="Palatino Linotype" w:hAnsi="Palatino Linotype"/>
          <w:kern w:val="24"/>
        </w:rPr>
        <w:lastRenderedPageBreak/>
        <w:t xml:space="preserve">This has prompted </w:t>
      </w:r>
      <w:r w:rsidRPr="009D0C51">
        <w:rPr>
          <w:rFonts w:ascii="Palatino Linotype" w:hAnsi="Palatino Linotype"/>
          <w:kern w:val="24"/>
        </w:rPr>
        <w:t xml:space="preserve">several bipartisan bills in Congress </w:t>
      </w:r>
      <w:r>
        <w:rPr>
          <w:rFonts w:ascii="Palatino Linotype" w:hAnsi="Palatino Linotype"/>
          <w:kern w:val="24"/>
        </w:rPr>
        <w:t xml:space="preserve">to repeal, </w:t>
      </w:r>
      <w:r w:rsidRPr="009D0C51">
        <w:rPr>
          <w:rFonts w:ascii="Palatino Linotype" w:hAnsi="Palatino Linotype"/>
          <w:kern w:val="24"/>
        </w:rPr>
        <w:t>or reduce the severity of</w:t>
      </w:r>
      <w:r>
        <w:rPr>
          <w:rFonts w:ascii="Palatino Linotype" w:hAnsi="Palatino Linotype"/>
          <w:kern w:val="24"/>
        </w:rPr>
        <w:t>,</w:t>
      </w:r>
      <w:r w:rsidRPr="009D0C51">
        <w:rPr>
          <w:rFonts w:ascii="Palatino Linotype" w:hAnsi="Palatino Linotype"/>
          <w:kern w:val="24"/>
        </w:rPr>
        <w:t xml:space="preserve"> </w:t>
      </w:r>
      <w:r>
        <w:rPr>
          <w:rFonts w:ascii="Palatino Linotype" w:hAnsi="Palatino Linotype"/>
          <w:kern w:val="24"/>
        </w:rPr>
        <w:t>these laws</w:t>
      </w:r>
      <w:r w:rsidRPr="009D0C51">
        <w:rPr>
          <w:rFonts w:ascii="Palatino Linotype" w:hAnsi="Palatino Linotype"/>
          <w:kern w:val="24"/>
        </w:rPr>
        <w:t>.</w:t>
      </w:r>
      <w:r w:rsidRPr="009D0C51">
        <w:rPr>
          <w:rStyle w:val="EndnoteReference"/>
          <w:rFonts w:ascii="Palatino Linotype" w:hAnsi="Palatino Linotype"/>
          <w:kern w:val="24"/>
        </w:rPr>
        <w:endnoteReference w:id="11"/>
      </w:r>
      <w:r w:rsidRPr="009D0C51">
        <w:rPr>
          <w:rFonts w:ascii="Palatino Linotype" w:hAnsi="Palatino Linotype"/>
          <w:kern w:val="24"/>
        </w:rPr>
        <w:t xml:space="preserve"> </w:t>
      </w:r>
    </w:p>
    <w:p w14:paraId="08FD16EE" w14:textId="77777777" w:rsidR="00B26E96" w:rsidRPr="009D0C51" w:rsidRDefault="00B26E96" w:rsidP="00C45B6A">
      <w:pPr>
        <w:spacing w:line="276" w:lineRule="auto"/>
        <w:rPr>
          <w:rFonts w:ascii="Palatino Linotype" w:hAnsi="Palatino Linotype"/>
          <w:kern w:val="24"/>
        </w:rPr>
      </w:pPr>
    </w:p>
    <w:p w14:paraId="74EEDB77" w14:textId="39A6A8BD" w:rsidR="00B26E96" w:rsidRPr="009D0C51" w:rsidRDefault="00B26E96" w:rsidP="0050040D">
      <w:pPr>
        <w:spacing w:line="276" w:lineRule="auto"/>
        <w:rPr>
          <w:rFonts w:ascii="Palatino Linotype" w:hAnsi="Palatino Linotype"/>
          <w:kern w:val="24"/>
        </w:rPr>
      </w:pPr>
      <w:r w:rsidRPr="009D0C51">
        <w:rPr>
          <w:rFonts w:ascii="Palatino Linotype" w:hAnsi="Palatino Linotype"/>
          <w:kern w:val="24"/>
        </w:rPr>
        <w:t>Second, U.S. Attorney General Jeff Sessions issued a memo on May 10 of 2017</w:t>
      </w:r>
      <w:r>
        <w:rPr>
          <w:rFonts w:ascii="Palatino Linotype" w:hAnsi="Palatino Linotype"/>
          <w:kern w:val="24"/>
        </w:rPr>
        <w:t xml:space="preserve"> </w:t>
      </w:r>
      <w:r w:rsidRPr="009D0C51">
        <w:rPr>
          <w:rFonts w:ascii="Palatino Linotype" w:hAnsi="Palatino Linotype"/>
          <w:kern w:val="24"/>
        </w:rPr>
        <w:t xml:space="preserve">instructing federal prosecutors to “charge and pursue the most serious, readily provable offense”. </w:t>
      </w:r>
      <w:r>
        <w:rPr>
          <w:rFonts w:ascii="Palatino Linotype" w:hAnsi="Palatino Linotype"/>
          <w:kern w:val="24"/>
        </w:rPr>
        <w:t xml:space="preserve">Sessions explicitly </w:t>
      </w:r>
      <w:r w:rsidRPr="009D0C51">
        <w:rPr>
          <w:rFonts w:ascii="Palatino Linotype" w:hAnsi="Palatino Linotype"/>
          <w:kern w:val="24"/>
        </w:rPr>
        <w:t>rescinded two memos issued by then U.S. Attorney General Eric Holder (on August 12</w:t>
      </w:r>
      <w:r w:rsidR="00536569">
        <w:rPr>
          <w:rFonts w:ascii="Palatino Linotype" w:hAnsi="Palatino Linotype"/>
          <w:kern w:val="24"/>
        </w:rPr>
        <w:t>,</w:t>
      </w:r>
      <w:r w:rsidRPr="009D0C51">
        <w:rPr>
          <w:rFonts w:ascii="Palatino Linotype" w:hAnsi="Palatino Linotype"/>
          <w:kern w:val="24"/>
        </w:rPr>
        <w:t xml:space="preserve"> 2013</w:t>
      </w:r>
      <w:r w:rsidR="00536569">
        <w:rPr>
          <w:rFonts w:ascii="Palatino Linotype" w:hAnsi="Palatino Linotype"/>
          <w:kern w:val="24"/>
        </w:rPr>
        <w:t>,</w:t>
      </w:r>
      <w:r w:rsidRPr="009D0C51">
        <w:rPr>
          <w:rFonts w:ascii="Palatino Linotype" w:hAnsi="Palatino Linotype"/>
          <w:kern w:val="24"/>
        </w:rPr>
        <w:t xml:space="preserve"> and September 14</w:t>
      </w:r>
      <w:r w:rsidR="00536569">
        <w:rPr>
          <w:rFonts w:ascii="Palatino Linotype" w:hAnsi="Palatino Linotype"/>
          <w:kern w:val="24"/>
        </w:rPr>
        <w:t>,</w:t>
      </w:r>
      <w:r w:rsidRPr="009D0C51">
        <w:rPr>
          <w:rFonts w:ascii="Palatino Linotype" w:hAnsi="Palatino Linotype"/>
          <w:kern w:val="24"/>
        </w:rPr>
        <w:t xml:space="preserve"> 2014, respectively), which </w:t>
      </w:r>
      <w:r>
        <w:rPr>
          <w:rFonts w:ascii="Palatino Linotype" w:hAnsi="Palatino Linotype"/>
          <w:kern w:val="24"/>
        </w:rPr>
        <w:t xml:space="preserve">had </w:t>
      </w:r>
      <w:r w:rsidRPr="009D0C51">
        <w:rPr>
          <w:rFonts w:ascii="Palatino Linotype" w:hAnsi="Palatino Linotype"/>
          <w:kern w:val="24"/>
        </w:rPr>
        <w:t>instructed federal prosecutors not to</w:t>
      </w:r>
      <w:r>
        <w:rPr>
          <w:rFonts w:ascii="Palatino Linotype" w:hAnsi="Palatino Linotype"/>
          <w:kern w:val="24"/>
        </w:rPr>
        <w:t xml:space="preserve"> (a)</w:t>
      </w:r>
      <w:r w:rsidRPr="009D0C51">
        <w:rPr>
          <w:rFonts w:ascii="Palatino Linotype" w:hAnsi="Palatino Linotype"/>
          <w:kern w:val="24"/>
        </w:rPr>
        <w:t xml:space="preserve"> specify drug quantities w</w:t>
      </w:r>
      <w:r>
        <w:rPr>
          <w:rFonts w:ascii="Palatino Linotype" w:hAnsi="Palatino Linotype"/>
          <w:kern w:val="24"/>
        </w:rPr>
        <w:t>hich trigger mandatory minimums</w:t>
      </w:r>
      <w:r w:rsidRPr="009D0C51">
        <w:rPr>
          <w:rFonts w:ascii="Palatino Linotype" w:hAnsi="Palatino Linotype"/>
          <w:kern w:val="24"/>
        </w:rPr>
        <w:t xml:space="preserve"> except for “serious, high-leve</w:t>
      </w:r>
      <w:r>
        <w:rPr>
          <w:rFonts w:ascii="Palatino Linotype" w:hAnsi="Palatino Linotype"/>
          <w:kern w:val="24"/>
        </w:rPr>
        <w:t>l, or violent drug traffickers”,</w:t>
      </w:r>
      <w:r w:rsidRPr="009D0C51">
        <w:rPr>
          <w:rFonts w:ascii="Palatino Linotype" w:hAnsi="Palatino Linotype"/>
          <w:kern w:val="24"/>
        </w:rPr>
        <w:t xml:space="preserve"> </w:t>
      </w:r>
      <w:r>
        <w:rPr>
          <w:rFonts w:ascii="Palatino Linotype" w:hAnsi="Palatino Linotype"/>
          <w:kern w:val="24"/>
        </w:rPr>
        <w:t xml:space="preserve">or (b) use one </w:t>
      </w:r>
      <w:r w:rsidRPr="009D0C51">
        <w:rPr>
          <w:rFonts w:ascii="Palatino Linotype" w:hAnsi="Palatino Linotype"/>
          <w:kern w:val="24"/>
        </w:rPr>
        <w:t>drug-related mandatory minimum, §851, “in plea negotiations for the sole or predominant purpose of inducing a defendant to plead guilty”. This reversal of policy will increase the number of prisoners affected by federa</w:t>
      </w:r>
      <w:r>
        <w:rPr>
          <w:rFonts w:ascii="Palatino Linotype" w:hAnsi="Palatino Linotype"/>
          <w:kern w:val="24"/>
        </w:rPr>
        <w:t>l drug-related mandatory minimums</w:t>
      </w:r>
      <w:r w:rsidRPr="009D0C51">
        <w:rPr>
          <w:rFonts w:ascii="Palatino Linotype" w:hAnsi="Palatino Linotype"/>
          <w:kern w:val="24"/>
        </w:rPr>
        <w:t xml:space="preserve">. </w:t>
      </w:r>
    </w:p>
    <w:p w14:paraId="153067C3" w14:textId="77777777" w:rsidR="00B26E96" w:rsidRPr="009D0C51" w:rsidRDefault="00B26E96" w:rsidP="00C45B6A">
      <w:pPr>
        <w:spacing w:line="276" w:lineRule="auto"/>
        <w:rPr>
          <w:rFonts w:ascii="Palatino Linotype" w:hAnsi="Palatino Linotype"/>
          <w:kern w:val="24"/>
        </w:rPr>
      </w:pPr>
    </w:p>
    <w:p w14:paraId="7FA4A089" w14:textId="5D10FEA1" w:rsidR="00B26E96" w:rsidRPr="009D0C51" w:rsidRDefault="00B26E96" w:rsidP="00E876EC">
      <w:pPr>
        <w:spacing w:line="276" w:lineRule="auto"/>
        <w:rPr>
          <w:rFonts w:ascii="Palatino Linotype" w:hAnsi="Palatino Linotype"/>
          <w:kern w:val="24"/>
        </w:rPr>
      </w:pPr>
      <w:r w:rsidRPr="009D0C51">
        <w:rPr>
          <w:rFonts w:ascii="Palatino Linotype" w:hAnsi="Palatino Linotype"/>
          <w:kern w:val="24"/>
        </w:rPr>
        <w:t>Third, the U.S. is in the midst of an opioid epidemic. In 2016, drug overdoses killed 60,000 Americans.</w:t>
      </w:r>
      <w:r w:rsidRPr="009D0C51">
        <w:rPr>
          <w:rStyle w:val="EndnoteReference"/>
          <w:rFonts w:ascii="Palatino Linotype" w:hAnsi="Palatino Linotype"/>
          <w:kern w:val="24"/>
        </w:rPr>
        <w:endnoteReference w:id="12"/>
      </w:r>
      <w:r w:rsidRPr="009D0C51">
        <w:rPr>
          <w:rFonts w:ascii="Palatino Linotype" w:hAnsi="Palatino Linotype"/>
          <w:kern w:val="24"/>
        </w:rPr>
        <w:t xml:space="preserve"> In response, some have called for </w:t>
      </w:r>
      <w:r>
        <w:rPr>
          <w:rFonts w:ascii="Palatino Linotype" w:hAnsi="Palatino Linotype"/>
          <w:kern w:val="24"/>
        </w:rPr>
        <w:t xml:space="preserve">harsh </w:t>
      </w:r>
      <w:r w:rsidRPr="009D0C51">
        <w:rPr>
          <w:rFonts w:ascii="Palatino Linotype" w:hAnsi="Palatino Linotype"/>
          <w:kern w:val="24"/>
        </w:rPr>
        <w:t xml:space="preserve">new or enhanced </w:t>
      </w:r>
      <w:r>
        <w:rPr>
          <w:rFonts w:ascii="Palatino Linotype" w:hAnsi="Palatino Linotype"/>
          <w:kern w:val="24"/>
        </w:rPr>
        <w:t>opioid</w:t>
      </w:r>
      <w:r w:rsidRPr="009D0C51">
        <w:rPr>
          <w:rFonts w:ascii="Palatino Linotype" w:hAnsi="Palatino Linotype"/>
          <w:kern w:val="24"/>
        </w:rPr>
        <w:t>-related mandatory minimums</w:t>
      </w:r>
      <w:r>
        <w:rPr>
          <w:rFonts w:ascii="Palatino Linotype" w:hAnsi="Palatino Linotype"/>
          <w:kern w:val="24"/>
        </w:rPr>
        <w:t>.</w:t>
      </w:r>
      <w:r w:rsidRPr="009D0C51">
        <w:rPr>
          <w:rStyle w:val="EndnoteReference"/>
          <w:rFonts w:ascii="Palatino Linotype" w:hAnsi="Palatino Linotype"/>
          <w:kern w:val="24"/>
        </w:rPr>
        <w:endnoteReference w:id="13"/>
      </w:r>
      <w:r w:rsidRPr="009D0C51">
        <w:rPr>
          <w:rFonts w:ascii="Palatino Linotype" w:hAnsi="Palatino Linotype"/>
          <w:kern w:val="24"/>
        </w:rPr>
        <w:t xml:space="preserve"> Florida Governor Rick Scott signed </w:t>
      </w:r>
      <w:r>
        <w:rPr>
          <w:rFonts w:ascii="Palatino Linotype" w:hAnsi="Palatino Linotype"/>
          <w:kern w:val="24"/>
        </w:rPr>
        <w:t>one such law, HB 477 on June 14, 2017.</w:t>
      </w:r>
      <w:r w:rsidRPr="009D0C51">
        <w:rPr>
          <w:rStyle w:val="EndnoteReference"/>
          <w:rFonts w:ascii="Palatino Linotype" w:hAnsi="Palatino Linotype"/>
          <w:kern w:val="24"/>
        </w:rPr>
        <w:endnoteReference w:id="14"/>
      </w:r>
      <w:r w:rsidRPr="009D0C51">
        <w:rPr>
          <w:rFonts w:ascii="Palatino Linotype" w:hAnsi="Palatino Linotype"/>
          <w:kern w:val="24"/>
        </w:rPr>
        <w:t xml:space="preserve"> </w:t>
      </w:r>
    </w:p>
    <w:p w14:paraId="69AF9995" w14:textId="77777777" w:rsidR="00B26E96" w:rsidRPr="009D0C51" w:rsidRDefault="00B26E96" w:rsidP="00E876EC">
      <w:pPr>
        <w:spacing w:line="276" w:lineRule="auto"/>
        <w:rPr>
          <w:rFonts w:ascii="Palatino Linotype" w:hAnsi="Palatino Linotype"/>
          <w:kern w:val="24"/>
        </w:rPr>
      </w:pPr>
      <w:r w:rsidRPr="009D0C51">
        <w:rPr>
          <w:rFonts w:ascii="Palatino Linotype" w:hAnsi="Palatino Linotype"/>
          <w:kern w:val="24"/>
        </w:rPr>
        <w:t xml:space="preserve"> </w:t>
      </w:r>
    </w:p>
    <w:p w14:paraId="3CEF8EAA" w14:textId="1ADE1E79" w:rsidR="00B26E96" w:rsidRDefault="00B26E96" w:rsidP="00E876EC">
      <w:pPr>
        <w:spacing w:line="276" w:lineRule="auto"/>
        <w:rPr>
          <w:rFonts w:ascii="Palatino Linotype" w:hAnsi="Palatino Linotype"/>
          <w:kern w:val="24"/>
        </w:rPr>
      </w:pPr>
      <w:r w:rsidRPr="009D0C51">
        <w:rPr>
          <w:rFonts w:ascii="Palatino Linotype" w:hAnsi="Palatino Linotype"/>
          <w:kern w:val="24"/>
        </w:rPr>
        <w:t xml:space="preserve">The U.S. </w:t>
      </w:r>
      <w:r>
        <w:rPr>
          <w:rFonts w:ascii="Palatino Linotype" w:hAnsi="Palatino Linotype"/>
          <w:kern w:val="24"/>
        </w:rPr>
        <w:t>justice system</w:t>
      </w:r>
      <w:r w:rsidRPr="009D0C51">
        <w:rPr>
          <w:rFonts w:ascii="Palatino Linotype" w:hAnsi="Palatino Linotype"/>
          <w:kern w:val="24"/>
        </w:rPr>
        <w:t xml:space="preserve"> </w:t>
      </w:r>
      <w:r>
        <w:rPr>
          <w:rFonts w:ascii="Palatino Linotype" w:hAnsi="Palatino Linotype"/>
          <w:kern w:val="24"/>
        </w:rPr>
        <w:t xml:space="preserve">is </w:t>
      </w:r>
      <w:r w:rsidRPr="009D0C51">
        <w:rPr>
          <w:rFonts w:ascii="Palatino Linotype" w:hAnsi="Palatino Linotype"/>
          <w:kern w:val="24"/>
        </w:rPr>
        <w:t xml:space="preserve">being pulled in different directions: some </w:t>
      </w:r>
      <w:r>
        <w:rPr>
          <w:rFonts w:ascii="Palatino Linotype" w:hAnsi="Palatino Linotype"/>
          <w:kern w:val="24"/>
        </w:rPr>
        <w:t xml:space="preserve">want </w:t>
      </w:r>
      <w:r w:rsidRPr="009D0C51">
        <w:rPr>
          <w:rFonts w:ascii="Palatino Linotype" w:hAnsi="Palatino Linotype"/>
          <w:kern w:val="24"/>
        </w:rPr>
        <w:t xml:space="preserve">to repeal drug-related mandatory minimums and curtail their use; others seek to expand such provisions, </w:t>
      </w:r>
      <w:r>
        <w:rPr>
          <w:rFonts w:ascii="Palatino Linotype" w:hAnsi="Palatino Linotype"/>
          <w:kern w:val="24"/>
        </w:rPr>
        <w:t xml:space="preserve">and </w:t>
      </w:r>
      <w:r w:rsidRPr="009D0C51">
        <w:rPr>
          <w:rFonts w:ascii="Palatino Linotype" w:hAnsi="Palatino Linotype"/>
          <w:kern w:val="24"/>
        </w:rPr>
        <w:t xml:space="preserve">force prosecutors to apply them even more pervasively. How can philosophers help to resolve this debate? </w:t>
      </w:r>
    </w:p>
    <w:p w14:paraId="4BF2BF69" w14:textId="77777777" w:rsidR="00B26E96" w:rsidRDefault="00B26E96" w:rsidP="00E876EC">
      <w:pPr>
        <w:spacing w:line="276" w:lineRule="auto"/>
        <w:rPr>
          <w:rFonts w:ascii="Palatino Linotype" w:hAnsi="Palatino Linotype"/>
          <w:kern w:val="24"/>
        </w:rPr>
      </w:pPr>
    </w:p>
    <w:p w14:paraId="2F6CD4CA" w14:textId="536432C9" w:rsidR="00B26E96" w:rsidRPr="009D0C51" w:rsidRDefault="00B26E96" w:rsidP="00D23DC4">
      <w:pPr>
        <w:spacing w:line="276" w:lineRule="auto"/>
        <w:rPr>
          <w:rFonts w:ascii="Palatino Linotype" w:hAnsi="Palatino Linotype"/>
          <w:kern w:val="24"/>
        </w:rPr>
      </w:pPr>
      <w:r w:rsidRPr="009D0C51">
        <w:rPr>
          <w:rFonts w:ascii="Palatino Linotype" w:hAnsi="Palatino Linotype"/>
          <w:kern w:val="24"/>
        </w:rPr>
        <w:t xml:space="preserve">One might think that the matter is best left to </w:t>
      </w:r>
      <w:r>
        <w:rPr>
          <w:rFonts w:ascii="Palatino Linotype" w:hAnsi="Palatino Linotype"/>
          <w:kern w:val="24"/>
        </w:rPr>
        <w:t xml:space="preserve">those </w:t>
      </w:r>
      <w:r w:rsidRPr="009D0C51">
        <w:rPr>
          <w:rFonts w:ascii="Palatino Linotype" w:hAnsi="Palatino Linotype"/>
          <w:kern w:val="24"/>
        </w:rPr>
        <w:t xml:space="preserve">criminologists who can determine </w:t>
      </w:r>
      <w:r>
        <w:rPr>
          <w:rFonts w:ascii="Palatino Linotype" w:hAnsi="Palatino Linotype"/>
          <w:kern w:val="24"/>
        </w:rPr>
        <w:t>whether</w:t>
      </w:r>
      <w:r w:rsidRPr="009D0C51">
        <w:rPr>
          <w:rFonts w:ascii="Palatino Linotype" w:hAnsi="Palatino Linotype"/>
          <w:kern w:val="24"/>
        </w:rPr>
        <w:t xml:space="preserve"> drug-related mandatory minimums</w:t>
      </w:r>
      <w:r>
        <w:rPr>
          <w:rFonts w:ascii="Palatino Linotype" w:hAnsi="Palatino Linotype"/>
          <w:kern w:val="24"/>
        </w:rPr>
        <w:t xml:space="preserve"> work</w:t>
      </w:r>
      <w:r w:rsidRPr="009D0C51">
        <w:rPr>
          <w:rFonts w:ascii="Palatino Linotype" w:hAnsi="Palatino Linotype"/>
          <w:kern w:val="24"/>
        </w:rPr>
        <w:t xml:space="preserve">. But disagreement persists in the face of such empirical evidence because mandatory minimums’ defenders and detractors appeal to competing principles of justice. </w:t>
      </w:r>
      <w:r>
        <w:rPr>
          <w:rFonts w:ascii="Palatino Linotype" w:hAnsi="Palatino Linotype"/>
          <w:kern w:val="24"/>
        </w:rPr>
        <w:t xml:space="preserve">In this chapter, we will consider three such appeals: to </w:t>
      </w:r>
      <w:r w:rsidRPr="00D23DC4">
        <w:rPr>
          <w:rFonts w:ascii="Palatino Linotype" w:hAnsi="Palatino Linotype"/>
          <w:i/>
          <w:kern w:val="24"/>
        </w:rPr>
        <w:t>proportionality</w:t>
      </w:r>
      <w:r>
        <w:rPr>
          <w:rFonts w:ascii="Palatino Linotype" w:hAnsi="Palatino Linotype"/>
          <w:kern w:val="24"/>
        </w:rPr>
        <w:t xml:space="preserve">, </w:t>
      </w:r>
      <w:r w:rsidRPr="00D23DC4">
        <w:rPr>
          <w:rFonts w:ascii="Palatino Linotype" w:hAnsi="Palatino Linotype"/>
          <w:i/>
          <w:kern w:val="24"/>
        </w:rPr>
        <w:t>consistency</w:t>
      </w:r>
      <w:r>
        <w:rPr>
          <w:rFonts w:ascii="Palatino Linotype" w:hAnsi="Palatino Linotype"/>
          <w:kern w:val="24"/>
        </w:rPr>
        <w:t xml:space="preserve">, and </w:t>
      </w:r>
      <w:r w:rsidRPr="00D23DC4">
        <w:rPr>
          <w:rFonts w:ascii="Palatino Linotype" w:hAnsi="Palatino Linotype"/>
          <w:i/>
          <w:kern w:val="24"/>
        </w:rPr>
        <w:t>efficiency</w:t>
      </w:r>
      <w:r>
        <w:rPr>
          <w:rFonts w:ascii="Palatino Linotype" w:hAnsi="Palatino Linotype"/>
          <w:kern w:val="24"/>
        </w:rPr>
        <w:t xml:space="preserve">. </w:t>
      </w:r>
    </w:p>
    <w:p w14:paraId="64B91B9A" w14:textId="77777777" w:rsidR="00B26E96" w:rsidRPr="009D0C51" w:rsidRDefault="00B26E96" w:rsidP="00554732">
      <w:pPr>
        <w:spacing w:line="276" w:lineRule="auto"/>
        <w:rPr>
          <w:rFonts w:ascii="Palatino Linotype" w:hAnsi="Palatino Linotype"/>
          <w:kern w:val="24"/>
        </w:rPr>
      </w:pPr>
    </w:p>
    <w:p w14:paraId="1049777A" w14:textId="3B35C772" w:rsidR="00B26E96" w:rsidRPr="009D0C51" w:rsidRDefault="00B26E96" w:rsidP="00A83CA6">
      <w:pPr>
        <w:spacing w:line="276" w:lineRule="auto"/>
        <w:rPr>
          <w:rFonts w:ascii="Palatino Linotype" w:hAnsi="Palatino Linotype"/>
          <w:kern w:val="24"/>
        </w:rPr>
      </w:pPr>
      <w:r>
        <w:rPr>
          <w:rFonts w:ascii="Palatino Linotype" w:hAnsi="Palatino Linotype"/>
          <w:kern w:val="24"/>
        </w:rPr>
        <w:t xml:space="preserve">I will defend the view that the </w:t>
      </w:r>
      <w:r w:rsidRPr="009D0C51">
        <w:rPr>
          <w:rFonts w:ascii="Palatino Linotype" w:hAnsi="Palatino Linotype"/>
          <w:kern w:val="24"/>
        </w:rPr>
        <w:t>use of mandatory minimums in the war on drugs is unjust.</w:t>
      </w:r>
      <w:r>
        <w:rPr>
          <w:rFonts w:ascii="Palatino Linotype" w:hAnsi="Palatino Linotype"/>
          <w:kern w:val="24"/>
        </w:rPr>
        <w:t xml:space="preserve"> A common theme will be that </w:t>
      </w:r>
      <w:r w:rsidRPr="009D0C51">
        <w:rPr>
          <w:rFonts w:ascii="Palatino Linotype" w:hAnsi="Palatino Linotype"/>
          <w:kern w:val="24"/>
        </w:rPr>
        <w:t xml:space="preserve">mandatory minimums </w:t>
      </w:r>
      <w:r w:rsidRPr="009D0C51">
        <w:rPr>
          <w:rFonts w:ascii="Palatino Linotype" w:hAnsi="Palatino Linotype"/>
          <w:i/>
          <w:kern w:val="24"/>
        </w:rPr>
        <w:lastRenderedPageBreak/>
        <w:t>transfer</w:t>
      </w:r>
      <w:r w:rsidRPr="009D0C51">
        <w:rPr>
          <w:rFonts w:ascii="Palatino Linotype" w:hAnsi="Palatino Linotype"/>
          <w:kern w:val="24"/>
        </w:rPr>
        <w:t xml:space="preserve"> us from one type of justice system to another. Their use transfers </w:t>
      </w:r>
      <w:r w:rsidRPr="008B2C3C">
        <w:rPr>
          <w:rFonts w:ascii="Palatino Linotype" w:hAnsi="Palatino Linotype"/>
          <w:i/>
          <w:kern w:val="24"/>
        </w:rPr>
        <w:t>the determination of sentences</w:t>
      </w:r>
      <w:r w:rsidRPr="009D0C51">
        <w:rPr>
          <w:rFonts w:ascii="Palatino Linotype" w:hAnsi="Palatino Linotype"/>
          <w:kern w:val="24"/>
        </w:rPr>
        <w:t xml:space="preserve"> from a fine-grained system (sentencing guidelines) to </w:t>
      </w:r>
      <w:r>
        <w:rPr>
          <w:rFonts w:ascii="Palatino Linotype" w:hAnsi="Palatino Linotype"/>
          <w:kern w:val="24"/>
        </w:rPr>
        <w:t xml:space="preserve">a </w:t>
      </w:r>
      <w:r w:rsidRPr="009D0C51">
        <w:rPr>
          <w:rFonts w:ascii="Palatino Linotype" w:hAnsi="Palatino Linotype"/>
          <w:kern w:val="24"/>
        </w:rPr>
        <w:t xml:space="preserve">coarse-grained system (mandatory minimums); that’s why </w:t>
      </w:r>
      <w:r>
        <w:rPr>
          <w:rFonts w:ascii="Palatino Linotype" w:hAnsi="Palatino Linotype"/>
          <w:kern w:val="24"/>
        </w:rPr>
        <w:t>they generate</w:t>
      </w:r>
      <w:r w:rsidRPr="009D0C51">
        <w:rPr>
          <w:rFonts w:ascii="Palatino Linotype" w:hAnsi="Palatino Linotype"/>
          <w:kern w:val="24"/>
        </w:rPr>
        <w:t xml:space="preserve"> disproportionate sentencing. Their use </w:t>
      </w:r>
      <w:r>
        <w:rPr>
          <w:rFonts w:ascii="Palatino Linotype" w:hAnsi="Palatino Linotype"/>
          <w:kern w:val="24"/>
        </w:rPr>
        <w:t xml:space="preserve">also </w:t>
      </w:r>
      <w:r w:rsidRPr="009D0C51">
        <w:rPr>
          <w:rFonts w:ascii="Palatino Linotype" w:hAnsi="Palatino Linotype"/>
          <w:kern w:val="24"/>
        </w:rPr>
        <w:t xml:space="preserve">transfers </w:t>
      </w:r>
      <w:r w:rsidRPr="008B2C3C">
        <w:rPr>
          <w:rFonts w:ascii="Palatino Linotype" w:hAnsi="Palatino Linotype"/>
          <w:i/>
          <w:kern w:val="24"/>
        </w:rPr>
        <w:t>discretion in sentencing</w:t>
      </w:r>
      <w:r w:rsidRPr="009D0C51">
        <w:rPr>
          <w:rFonts w:ascii="Palatino Linotype" w:hAnsi="Palatino Linotype"/>
          <w:kern w:val="24"/>
        </w:rPr>
        <w:t xml:space="preserve"> from accountable judges to unaccountable prosecutors; that’s why </w:t>
      </w:r>
      <w:r>
        <w:rPr>
          <w:rFonts w:ascii="Palatino Linotype" w:hAnsi="Palatino Linotype"/>
          <w:kern w:val="24"/>
        </w:rPr>
        <w:t>they generate</w:t>
      </w:r>
      <w:r w:rsidRPr="009D0C51">
        <w:rPr>
          <w:rFonts w:ascii="Palatino Linotype" w:hAnsi="Palatino Linotype"/>
          <w:kern w:val="24"/>
        </w:rPr>
        <w:t xml:space="preserve"> inconsistency in sentencing. And their </w:t>
      </w:r>
      <w:r>
        <w:rPr>
          <w:rFonts w:ascii="Palatino Linotype" w:hAnsi="Palatino Linotype"/>
          <w:kern w:val="24"/>
        </w:rPr>
        <w:t xml:space="preserve">threatened </w:t>
      </w:r>
      <w:r w:rsidRPr="009D0C51">
        <w:rPr>
          <w:rFonts w:ascii="Palatino Linotype" w:hAnsi="Palatino Linotype"/>
          <w:kern w:val="24"/>
        </w:rPr>
        <w:t xml:space="preserve">use transfers </w:t>
      </w:r>
      <w:r w:rsidRPr="008B2C3C">
        <w:rPr>
          <w:rFonts w:ascii="Palatino Linotype" w:hAnsi="Palatino Linotype"/>
          <w:i/>
          <w:kern w:val="24"/>
        </w:rPr>
        <w:t>resources</w:t>
      </w:r>
      <w:r w:rsidRPr="009D0C51">
        <w:rPr>
          <w:rFonts w:ascii="Palatino Linotype" w:hAnsi="Palatino Linotype"/>
          <w:kern w:val="24"/>
        </w:rPr>
        <w:t xml:space="preserve"> from police and courts to prisons; this does not</w:t>
      </w:r>
      <w:r>
        <w:rPr>
          <w:rFonts w:ascii="Palatino Linotype" w:hAnsi="Palatino Linotype"/>
          <w:kern w:val="24"/>
        </w:rPr>
        <w:t xml:space="preserve"> generate efficiency</w:t>
      </w:r>
      <w:r w:rsidRPr="009D0C51">
        <w:rPr>
          <w:rFonts w:ascii="Palatino Linotype" w:hAnsi="Palatino Linotype"/>
          <w:kern w:val="24"/>
        </w:rPr>
        <w:t xml:space="preserve">, but does compromise the justice system’s ability to meet its aim of </w:t>
      </w:r>
      <w:r>
        <w:rPr>
          <w:rFonts w:ascii="Palatino Linotype" w:hAnsi="Palatino Linotype"/>
          <w:kern w:val="24"/>
        </w:rPr>
        <w:t xml:space="preserve">protecting the rights of the innocent. </w:t>
      </w:r>
    </w:p>
    <w:p w14:paraId="6D79428F" w14:textId="50D61592" w:rsidR="00B26E96" w:rsidRPr="009D0C51" w:rsidRDefault="00B26E96" w:rsidP="008F336E">
      <w:pPr>
        <w:tabs>
          <w:tab w:val="left" w:pos="5791"/>
        </w:tabs>
        <w:rPr>
          <w:rFonts w:ascii="Palatino Linotype" w:hAnsi="Palatino Linotype"/>
        </w:rPr>
      </w:pPr>
      <w:r>
        <w:rPr>
          <w:rFonts w:ascii="Palatino Linotype" w:hAnsi="Palatino Linotype"/>
        </w:rPr>
        <w:tab/>
      </w:r>
    </w:p>
    <w:p w14:paraId="7FC76EBC" w14:textId="4970CBCB" w:rsidR="00B26E96" w:rsidRPr="009D0C51" w:rsidRDefault="00B26E96" w:rsidP="00002505">
      <w:pPr>
        <w:spacing w:line="276" w:lineRule="auto"/>
        <w:jc w:val="center"/>
        <w:outlineLvl w:val="0"/>
        <w:rPr>
          <w:rFonts w:ascii="Palatino Linotype" w:hAnsi="Palatino Linotype"/>
          <w:b/>
          <w:kern w:val="24"/>
        </w:rPr>
      </w:pPr>
      <w:r>
        <w:rPr>
          <w:rFonts w:ascii="Palatino Linotype" w:hAnsi="Palatino Linotype"/>
          <w:b/>
          <w:kern w:val="24"/>
        </w:rPr>
        <w:t>I</w:t>
      </w:r>
      <w:r w:rsidRPr="009D0C51">
        <w:rPr>
          <w:rFonts w:ascii="Palatino Linotype" w:hAnsi="Palatino Linotype"/>
          <w:b/>
          <w:kern w:val="24"/>
        </w:rPr>
        <w:t>—Proportionality</w:t>
      </w:r>
    </w:p>
    <w:p w14:paraId="26ED199D" w14:textId="5E4E624B" w:rsidR="00B26E96" w:rsidRPr="009D0C51" w:rsidRDefault="00B26E96" w:rsidP="00DD7808">
      <w:pPr>
        <w:spacing w:line="276" w:lineRule="auto"/>
        <w:rPr>
          <w:rFonts w:ascii="Palatino Linotype" w:hAnsi="Palatino Linotype"/>
        </w:rPr>
      </w:pPr>
    </w:p>
    <w:p w14:paraId="7AA339A6" w14:textId="4393620F" w:rsidR="00B26E96" w:rsidRPr="009D0C51" w:rsidRDefault="00B26E96" w:rsidP="00DD7808">
      <w:pPr>
        <w:spacing w:line="276" w:lineRule="auto"/>
        <w:rPr>
          <w:rFonts w:ascii="Palatino Linotype" w:hAnsi="Palatino Linotype"/>
          <w:kern w:val="24"/>
        </w:rPr>
      </w:pPr>
      <w:r w:rsidRPr="009D0C51">
        <w:rPr>
          <w:rFonts w:ascii="Palatino Linotype" w:hAnsi="Palatino Linotype"/>
          <w:kern w:val="24"/>
        </w:rPr>
        <w:t xml:space="preserve">One prominent argument against </w:t>
      </w:r>
      <w:r>
        <w:rPr>
          <w:rFonts w:ascii="Palatino Linotype" w:hAnsi="Palatino Linotype"/>
          <w:kern w:val="24"/>
        </w:rPr>
        <w:t xml:space="preserve">drug-related </w:t>
      </w:r>
      <w:r w:rsidRPr="009D0C51">
        <w:rPr>
          <w:rFonts w:ascii="Palatino Linotype" w:hAnsi="Palatino Linotype"/>
          <w:kern w:val="24"/>
        </w:rPr>
        <w:t>mandatory minimums</w:t>
      </w:r>
      <w:r>
        <w:rPr>
          <w:rFonts w:ascii="Palatino Linotype" w:hAnsi="Palatino Linotype"/>
          <w:kern w:val="24"/>
        </w:rPr>
        <w:t xml:space="preserve"> </w:t>
      </w:r>
      <w:r w:rsidRPr="009D0C51">
        <w:rPr>
          <w:rFonts w:ascii="Palatino Linotype" w:hAnsi="Palatino Linotype"/>
          <w:kern w:val="24"/>
        </w:rPr>
        <w:t xml:space="preserve">is that they </w:t>
      </w:r>
      <w:r>
        <w:rPr>
          <w:rFonts w:ascii="Palatino Linotype" w:hAnsi="Palatino Linotype"/>
          <w:kern w:val="24"/>
        </w:rPr>
        <w:t>generate</w:t>
      </w:r>
      <w:r w:rsidRPr="009D0C51">
        <w:rPr>
          <w:rFonts w:ascii="Palatino Linotype" w:hAnsi="Palatino Linotype"/>
          <w:kern w:val="24"/>
        </w:rPr>
        <w:t xml:space="preserve"> disproportion</w:t>
      </w:r>
      <w:r>
        <w:rPr>
          <w:rFonts w:ascii="Palatino Linotype" w:hAnsi="Palatino Linotype"/>
          <w:kern w:val="24"/>
        </w:rPr>
        <w:t>ate punishments, and thereby violate the principle</w:t>
      </w:r>
      <w:r w:rsidRPr="009D0C51">
        <w:rPr>
          <w:rFonts w:ascii="Palatino Linotype" w:hAnsi="Palatino Linotype"/>
          <w:kern w:val="24"/>
        </w:rPr>
        <w:t xml:space="preserve"> that the severity of punishments should not be disproportionate to the culpability of the offender </w:t>
      </w:r>
      <w:r>
        <w:rPr>
          <w:rFonts w:ascii="Palatino Linotype" w:hAnsi="Palatino Linotype"/>
          <w:kern w:val="24"/>
        </w:rPr>
        <w:t xml:space="preserve">and the </w:t>
      </w:r>
      <w:r w:rsidRPr="009D0C51">
        <w:rPr>
          <w:rFonts w:ascii="Palatino Linotype" w:hAnsi="Palatino Linotype"/>
          <w:kern w:val="24"/>
        </w:rPr>
        <w:t>seriousness of the offense.</w:t>
      </w:r>
      <w:r w:rsidRPr="009D0C51">
        <w:rPr>
          <w:rStyle w:val="EndnoteReference"/>
          <w:rFonts w:ascii="Palatino Linotype" w:hAnsi="Palatino Linotype"/>
          <w:kern w:val="24"/>
        </w:rPr>
        <w:endnoteReference w:id="15"/>
      </w:r>
      <w:r w:rsidRPr="009D0C51">
        <w:rPr>
          <w:rFonts w:ascii="Palatino Linotype" w:hAnsi="Palatino Linotype"/>
          <w:kern w:val="24"/>
        </w:rPr>
        <w:t xml:space="preserve"> Why would mandatory minimums </w:t>
      </w:r>
      <w:r>
        <w:rPr>
          <w:rFonts w:ascii="Palatino Linotype" w:hAnsi="Palatino Linotype"/>
          <w:kern w:val="24"/>
        </w:rPr>
        <w:t>violate</w:t>
      </w:r>
      <w:r w:rsidRPr="009D0C51">
        <w:rPr>
          <w:rFonts w:ascii="Palatino Linotype" w:hAnsi="Palatino Linotype"/>
          <w:kern w:val="24"/>
        </w:rPr>
        <w:t xml:space="preserve"> this principle? </w:t>
      </w:r>
    </w:p>
    <w:p w14:paraId="6887D798" w14:textId="77777777" w:rsidR="00B26E96" w:rsidRPr="009D0C51" w:rsidRDefault="00B26E96" w:rsidP="00DD7808">
      <w:pPr>
        <w:spacing w:line="276" w:lineRule="auto"/>
        <w:rPr>
          <w:rFonts w:ascii="Palatino Linotype" w:hAnsi="Palatino Linotype"/>
          <w:kern w:val="24"/>
        </w:rPr>
      </w:pPr>
    </w:p>
    <w:p w14:paraId="33C4A192" w14:textId="72A63D4B" w:rsidR="00B26E96" w:rsidRPr="009D0C51" w:rsidRDefault="00B26E96" w:rsidP="00DD7808">
      <w:pPr>
        <w:spacing w:line="276" w:lineRule="auto"/>
        <w:rPr>
          <w:rFonts w:ascii="Palatino Linotype" w:hAnsi="Palatino Linotype"/>
          <w:kern w:val="24"/>
        </w:rPr>
      </w:pPr>
      <w:r>
        <w:rPr>
          <w:rFonts w:ascii="Palatino Linotype" w:hAnsi="Palatino Linotype"/>
          <w:kern w:val="24"/>
        </w:rPr>
        <w:t xml:space="preserve">It is helpful to here compare </w:t>
      </w:r>
      <w:r w:rsidRPr="009D0C51">
        <w:rPr>
          <w:rFonts w:ascii="Palatino Linotype" w:hAnsi="Palatino Linotype"/>
          <w:kern w:val="24"/>
        </w:rPr>
        <w:t xml:space="preserve">mandatory minimums </w:t>
      </w:r>
      <w:r>
        <w:rPr>
          <w:rFonts w:ascii="Palatino Linotype" w:hAnsi="Palatino Linotype"/>
          <w:kern w:val="24"/>
        </w:rPr>
        <w:t xml:space="preserve">to the U.S. Sentencing Guidelines, which </w:t>
      </w:r>
      <w:r w:rsidRPr="009D0C51">
        <w:rPr>
          <w:rFonts w:ascii="Palatino Linotype" w:hAnsi="Palatino Linotype"/>
          <w:kern w:val="24"/>
        </w:rPr>
        <w:t>also emerged during the war on drugs.</w:t>
      </w:r>
      <w:r>
        <w:rPr>
          <w:rFonts w:ascii="Palatino Linotype" w:hAnsi="Palatino Linotype"/>
          <w:kern w:val="24"/>
        </w:rPr>
        <w:t xml:space="preserve"> </w:t>
      </w:r>
      <w:r w:rsidRPr="009D0C51">
        <w:rPr>
          <w:rFonts w:ascii="Palatino Linotype" w:hAnsi="Palatino Linotype"/>
          <w:kern w:val="24"/>
        </w:rPr>
        <w:t>Senator Orrin Hatch (R-Utah)</w:t>
      </w:r>
      <w:r>
        <w:rPr>
          <w:rFonts w:ascii="Palatino Linotype" w:hAnsi="Palatino Linotype"/>
          <w:kern w:val="24"/>
        </w:rPr>
        <w:t xml:space="preserve"> explains two important points of comparison</w:t>
      </w:r>
      <w:r w:rsidRPr="009D0C51">
        <w:rPr>
          <w:rFonts w:ascii="Palatino Linotype" w:hAnsi="Palatino Linotype"/>
          <w:kern w:val="24"/>
        </w:rPr>
        <w:t xml:space="preserve">: </w:t>
      </w:r>
    </w:p>
    <w:p w14:paraId="46456C7A" w14:textId="306F6415" w:rsidR="00B26E96" w:rsidRPr="009D0C51" w:rsidRDefault="00B26E96" w:rsidP="00002505">
      <w:pPr>
        <w:ind w:left="720"/>
        <w:rPr>
          <w:rFonts w:ascii="Palatino Linotype" w:hAnsi="Palatino Linotype"/>
          <w:kern w:val="24"/>
        </w:rPr>
      </w:pPr>
      <w:r w:rsidRPr="009D0C51">
        <w:rPr>
          <w:rFonts w:ascii="Palatino Linotype" w:hAnsi="Palatino Linotype"/>
          <w:kern w:val="24"/>
        </w:rPr>
        <w:t>Whereas the guidelines permit a degree of individualization in determining the appropriate sentence, mandatory minimums employ a relatively narrow approach under which the same sentence may be mandated for widely divergent cases. Whereas the guidelines provide for graduated increases in sentence severity for additional wrongdoing or for prior convictions, mandatory minimums often result in sharp variations in sentences based on what are often only minimal differences in criminal conduct or prior record.</w:t>
      </w:r>
      <w:r w:rsidRPr="009D0C51">
        <w:rPr>
          <w:rStyle w:val="EndnoteReference"/>
          <w:rFonts w:ascii="Palatino Linotype" w:hAnsi="Palatino Linotype"/>
          <w:kern w:val="24"/>
        </w:rPr>
        <w:endnoteReference w:id="16"/>
      </w:r>
      <w:r w:rsidRPr="009D0C51">
        <w:rPr>
          <w:rFonts w:ascii="Palatino Linotype" w:hAnsi="Palatino Linotype"/>
          <w:kern w:val="24"/>
        </w:rPr>
        <w:t xml:space="preserve"> </w:t>
      </w:r>
    </w:p>
    <w:p w14:paraId="4C411921" w14:textId="2A801651" w:rsidR="00B26E96" w:rsidRPr="009D0C51" w:rsidRDefault="00B26E96" w:rsidP="00DD7808">
      <w:pPr>
        <w:spacing w:line="276" w:lineRule="auto"/>
        <w:rPr>
          <w:rFonts w:ascii="Palatino Linotype" w:hAnsi="Palatino Linotype"/>
          <w:kern w:val="24"/>
        </w:rPr>
      </w:pPr>
      <w:r>
        <w:rPr>
          <w:rFonts w:ascii="Palatino Linotype" w:hAnsi="Palatino Linotype"/>
          <w:kern w:val="24"/>
        </w:rPr>
        <w:t>U</w:t>
      </w:r>
      <w:r w:rsidRPr="009D0C51">
        <w:rPr>
          <w:rFonts w:ascii="Palatino Linotype" w:hAnsi="Palatino Linotype"/>
          <w:kern w:val="24"/>
        </w:rPr>
        <w:t>nlike</w:t>
      </w:r>
      <w:r>
        <w:rPr>
          <w:rFonts w:ascii="Palatino Linotype" w:hAnsi="Palatino Linotype"/>
          <w:kern w:val="24"/>
        </w:rPr>
        <w:t xml:space="preserve"> the guidelines, mandatory minimums </w:t>
      </w:r>
      <w:r w:rsidRPr="009D0C51">
        <w:rPr>
          <w:rFonts w:ascii="Palatino Linotype" w:hAnsi="Palatino Linotype"/>
          <w:kern w:val="24"/>
        </w:rPr>
        <w:t xml:space="preserve">are insensitive to a long list of </w:t>
      </w:r>
      <w:r>
        <w:rPr>
          <w:rFonts w:ascii="Palatino Linotype" w:hAnsi="Palatino Linotype"/>
          <w:kern w:val="24"/>
        </w:rPr>
        <w:t xml:space="preserve">individualized </w:t>
      </w:r>
      <w:r w:rsidRPr="009D0C51">
        <w:rPr>
          <w:rFonts w:ascii="Palatino Linotype" w:hAnsi="Palatino Linotype"/>
          <w:kern w:val="24"/>
        </w:rPr>
        <w:t xml:space="preserve">mitigating factors: they </w:t>
      </w:r>
      <w:r>
        <w:rPr>
          <w:rFonts w:ascii="Palatino Linotype" w:hAnsi="Palatino Linotype"/>
          <w:kern w:val="24"/>
        </w:rPr>
        <w:t xml:space="preserve">guarantee </w:t>
      </w:r>
      <w:r w:rsidRPr="009D0C51">
        <w:rPr>
          <w:rFonts w:ascii="Palatino Linotype" w:hAnsi="Palatino Linotype"/>
          <w:kern w:val="24"/>
        </w:rPr>
        <w:t xml:space="preserve">that </w:t>
      </w:r>
      <w:r>
        <w:rPr>
          <w:rFonts w:ascii="Palatino Linotype" w:hAnsi="Palatino Linotype"/>
          <w:kern w:val="24"/>
        </w:rPr>
        <w:t xml:space="preserve">some low-level offenders </w:t>
      </w:r>
      <w:r w:rsidRPr="009D0C51">
        <w:rPr>
          <w:rFonts w:ascii="Palatino Linotype" w:hAnsi="Palatino Linotype"/>
          <w:kern w:val="24"/>
        </w:rPr>
        <w:t xml:space="preserve">will receive severe sentences. </w:t>
      </w:r>
      <w:r>
        <w:rPr>
          <w:rFonts w:ascii="Palatino Linotype" w:hAnsi="Palatino Linotype"/>
          <w:kern w:val="24"/>
        </w:rPr>
        <w:t>And u</w:t>
      </w:r>
      <w:r w:rsidRPr="009D0C51">
        <w:rPr>
          <w:rFonts w:ascii="Palatino Linotype" w:hAnsi="Palatino Linotype"/>
          <w:kern w:val="24"/>
        </w:rPr>
        <w:t>nlike the guidelines</w:t>
      </w:r>
      <w:r>
        <w:rPr>
          <w:rFonts w:ascii="Palatino Linotype" w:hAnsi="Palatino Linotype"/>
          <w:kern w:val="24"/>
        </w:rPr>
        <w:t xml:space="preserve">, mandatory minimums </w:t>
      </w:r>
      <w:r w:rsidRPr="009D0C51">
        <w:rPr>
          <w:rFonts w:ascii="Palatino Linotype" w:hAnsi="Palatino Linotype"/>
          <w:kern w:val="24"/>
        </w:rPr>
        <w:t xml:space="preserve">involve ‘sentencing cliffs’: they </w:t>
      </w:r>
      <w:r>
        <w:rPr>
          <w:rFonts w:ascii="Palatino Linotype" w:hAnsi="Palatino Linotype"/>
          <w:kern w:val="24"/>
        </w:rPr>
        <w:t xml:space="preserve">guarantee </w:t>
      </w:r>
      <w:r w:rsidRPr="009D0C51">
        <w:rPr>
          <w:rFonts w:ascii="Palatino Linotype" w:hAnsi="Palatino Linotype"/>
          <w:kern w:val="24"/>
        </w:rPr>
        <w:t xml:space="preserve">major differences in sentences for minor differences between offenses. </w:t>
      </w:r>
    </w:p>
    <w:p w14:paraId="61F9C1EC" w14:textId="77777777" w:rsidR="00B26E96" w:rsidRPr="009D0C51" w:rsidRDefault="00B26E96" w:rsidP="00DD7808">
      <w:pPr>
        <w:spacing w:line="276" w:lineRule="auto"/>
        <w:rPr>
          <w:rFonts w:ascii="Palatino Linotype" w:hAnsi="Palatino Linotype"/>
          <w:kern w:val="24"/>
        </w:rPr>
      </w:pPr>
    </w:p>
    <w:p w14:paraId="6A0B70A7" w14:textId="1A372FAD" w:rsidR="00B26E96" w:rsidRPr="009D0C51" w:rsidRDefault="00B26E96" w:rsidP="004807A8">
      <w:pPr>
        <w:spacing w:line="276" w:lineRule="auto"/>
        <w:rPr>
          <w:rFonts w:ascii="Palatino Linotype" w:hAnsi="Palatino Linotype"/>
          <w:kern w:val="24"/>
        </w:rPr>
      </w:pPr>
      <w:r>
        <w:rPr>
          <w:rFonts w:ascii="Palatino Linotype" w:hAnsi="Palatino Linotype"/>
          <w:kern w:val="24"/>
        </w:rPr>
        <w:lastRenderedPageBreak/>
        <w:t>P</w:t>
      </w:r>
      <w:r w:rsidRPr="009D0C51">
        <w:rPr>
          <w:rFonts w:ascii="Palatino Linotype" w:hAnsi="Palatino Linotype"/>
          <w:kern w:val="24"/>
        </w:rPr>
        <w:t xml:space="preserve">lenty of examples can illustrate </w:t>
      </w:r>
      <w:r>
        <w:rPr>
          <w:rFonts w:ascii="Palatino Linotype" w:hAnsi="Palatino Linotype"/>
          <w:kern w:val="24"/>
        </w:rPr>
        <w:t>these points</w:t>
      </w:r>
      <w:r w:rsidRPr="009D0C51">
        <w:rPr>
          <w:rFonts w:ascii="Palatino Linotype" w:hAnsi="Palatino Linotype"/>
          <w:kern w:val="24"/>
        </w:rPr>
        <w:t xml:space="preserve">. Like many individuals during the opioid epidemic, William Forrester became addicted to pain medication after six years of treatment for cancer. He used a fake prescription to obtain oxycodone, and in 2009 was sentenced to a mandatory minimum 15-year prison term in Florida for “drug trafficking”: this was required because he </w:t>
      </w:r>
      <w:r>
        <w:rPr>
          <w:rFonts w:ascii="Palatino Linotype" w:hAnsi="Palatino Linotype"/>
          <w:kern w:val="24"/>
        </w:rPr>
        <w:t xml:space="preserve">possessed </w:t>
      </w:r>
      <w:r w:rsidRPr="009D0C51">
        <w:rPr>
          <w:rFonts w:ascii="Palatino Linotype" w:hAnsi="Palatino Linotype"/>
          <w:kern w:val="24"/>
        </w:rPr>
        <w:t>15.6 grams of oxycodone. In sentencing Forrester, Judge McDonald noted that Florida’s mandatory minimums require him to treat “the addicted” and “organized crime” the same way: “we can’t ca</w:t>
      </w:r>
      <w:r>
        <w:rPr>
          <w:rFonts w:ascii="Palatino Linotype" w:hAnsi="Palatino Linotype"/>
          <w:kern w:val="24"/>
        </w:rPr>
        <w:t>rve exceptions that don’t exist.</w:t>
      </w:r>
      <w:r w:rsidRPr="009D0C51">
        <w:rPr>
          <w:rFonts w:ascii="Palatino Linotype" w:hAnsi="Palatino Linotype"/>
          <w:kern w:val="24"/>
        </w:rPr>
        <w:t>”</w:t>
      </w:r>
      <w:r w:rsidRPr="009D0C51">
        <w:rPr>
          <w:rStyle w:val="EndnoteReference"/>
          <w:rFonts w:ascii="Palatino Linotype" w:hAnsi="Palatino Linotype"/>
          <w:kern w:val="24"/>
        </w:rPr>
        <w:endnoteReference w:id="17"/>
      </w:r>
      <w:r>
        <w:rPr>
          <w:rFonts w:ascii="Palatino Linotype" w:hAnsi="Palatino Linotype"/>
          <w:kern w:val="24"/>
        </w:rPr>
        <w:t xml:space="preserve"> </w:t>
      </w:r>
    </w:p>
    <w:p w14:paraId="5D182E06" w14:textId="77777777" w:rsidR="00B26E96" w:rsidRPr="009D0C51" w:rsidRDefault="00B26E96" w:rsidP="004807A8">
      <w:pPr>
        <w:spacing w:line="276" w:lineRule="auto"/>
        <w:rPr>
          <w:rFonts w:ascii="Palatino Linotype" w:hAnsi="Palatino Linotype"/>
          <w:kern w:val="24"/>
        </w:rPr>
      </w:pPr>
    </w:p>
    <w:p w14:paraId="459170F9" w14:textId="1EF8D12E" w:rsidR="00B26E96" w:rsidRPr="009D0C51" w:rsidRDefault="00B26E96" w:rsidP="00752531">
      <w:pPr>
        <w:spacing w:line="276" w:lineRule="auto"/>
        <w:rPr>
          <w:rFonts w:ascii="Palatino Linotype" w:hAnsi="Palatino Linotype"/>
          <w:kern w:val="24"/>
        </w:rPr>
      </w:pPr>
      <w:r w:rsidRPr="009D0C51">
        <w:rPr>
          <w:rFonts w:ascii="Palatino Linotype" w:hAnsi="Palatino Linotype"/>
          <w:kern w:val="24"/>
        </w:rPr>
        <w:t>In 2003, Terrance Lavar Davis pled guilty to felonious possession of 26 grams of cocaine in a school zone and delivery of .5 grams of cocaine in a school zone. He was subject to a mandatory minimum sentence of 22 years without parole</w:t>
      </w:r>
      <w:r>
        <w:rPr>
          <w:rFonts w:ascii="Palatino Linotype" w:hAnsi="Palatino Linotype"/>
          <w:kern w:val="24"/>
        </w:rPr>
        <w:t xml:space="preserve"> because he sold </w:t>
      </w:r>
      <w:r w:rsidRPr="009D0C51">
        <w:rPr>
          <w:rFonts w:ascii="Palatino Linotype" w:hAnsi="Palatino Linotype"/>
          <w:kern w:val="24"/>
        </w:rPr>
        <w:t>cocaine at 11 pm inside his own apartment in a gated com</w:t>
      </w:r>
      <w:r>
        <w:rPr>
          <w:rFonts w:ascii="Palatino Linotype" w:hAnsi="Palatino Linotype"/>
          <w:kern w:val="24"/>
        </w:rPr>
        <w:t>munity in Nashville, Tennessee, and</w:t>
      </w:r>
      <w:r w:rsidRPr="009D0C51">
        <w:rPr>
          <w:rFonts w:ascii="Palatino Linotype" w:hAnsi="Palatino Linotype"/>
          <w:kern w:val="24"/>
        </w:rPr>
        <w:t xml:space="preserve"> </w:t>
      </w:r>
      <w:r w:rsidRPr="00A44525">
        <w:rPr>
          <w:rFonts w:ascii="Palatino Linotype" w:hAnsi="Palatino Linotype"/>
          <w:i/>
          <w:kern w:val="24"/>
        </w:rPr>
        <w:t>his apartment was 900 feet from a school</w:t>
      </w:r>
      <w:r w:rsidRPr="009D0C51">
        <w:rPr>
          <w:rFonts w:ascii="Palatino Linotype" w:hAnsi="Palatino Linotype"/>
          <w:kern w:val="24"/>
        </w:rPr>
        <w:t xml:space="preserve">; if </w:t>
      </w:r>
      <w:r>
        <w:rPr>
          <w:rFonts w:ascii="Palatino Linotype" w:hAnsi="Palatino Linotype"/>
          <w:kern w:val="24"/>
        </w:rPr>
        <w:t xml:space="preserve">it were </w:t>
      </w:r>
      <w:r w:rsidRPr="009D0C51">
        <w:rPr>
          <w:rFonts w:ascii="Palatino Linotype" w:hAnsi="Palatino Linotype"/>
          <w:kern w:val="24"/>
        </w:rPr>
        <w:t xml:space="preserve">101 feet </w:t>
      </w:r>
      <w:r>
        <w:rPr>
          <w:rFonts w:ascii="Palatino Linotype" w:hAnsi="Palatino Linotype"/>
          <w:kern w:val="24"/>
        </w:rPr>
        <w:t>further away</w:t>
      </w:r>
      <w:r w:rsidRPr="009D0C51">
        <w:rPr>
          <w:rFonts w:ascii="Palatino Linotype" w:hAnsi="Palatino Linotype"/>
          <w:kern w:val="24"/>
        </w:rPr>
        <w:t>, his sentence would have been 10 years shorter, and he would be eligible for parole after four years.</w:t>
      </w:r>
      <w:r w:rsidRPr="009D0C51">
        <w:rPr>
          <w:rStyle w:val="EndnoteReference"/>
          <w:rFonts w:ascii="Palatino Linotype" w:hAnsi="Palatino Linotype"/>
          <w:kern w:val="24"/>
        </w:rPr>
        <w:endnoteReference w:id="18"/>
      </w:r>
      <w:r w:rsidRPr="009D0C51">
        <w:rPr>
          <w:rFonts w:ascii="Palatino Linotype" w:hAnsi="Palatino Linotype"/>
          <w:kern w:val="24"/>
        </w:rPr>
        <w:t xml:space="preserve"> </w:t>
      </w:r>
      <w:r>
        <w:rPr>
          <w:rFonts w:ascii="Palatino Linotype" w:hAnsi="Palatino Linotype"/>
          <w:kern w:val="24"/>
        </w:rPr>
        <w:t xml:space="preserve">Mandatory school zone enhancements are </w:t>
      </w:r>
      <w:r w:rsidRPr="009D0C51">
        <w:rPr>
          <w:rFonts w:ascii="Palatino Linotype" w:hAnsi="Palatino Linotype"/>
          <w:kern w:val="24"/>
        </w:rPr>
        <w:t xml:space="preserve">a prime example of sentencing cliffs: minimal differences in the location of crimes generate major differences in sentencing. </w:t>
      </w:r>
      <w:r>
        <w:rPr>
          <w:rFonts w:ascii="Palatino Linotype" w:hAnsi="Palatino Linotype"/>
          <w:kern w:val="24"/>
        </w:rPr>
        <w:t xml:space="preserve">They also result in </w:t>
      </w:r>
      <w:r w:rsidR="00536569">
        <w:rPr>
          <w:rFonts w:ascii="Palatino Linotype" w:hAnsi="Palatino Linotype"/>
          <w:kern w:val="24"/>
        </w:rPr>
        <w:t xml:space="preserve">significant racial disparities because racial minorities are far more likely to live in dense cities, and </w:t>
      </w:r>
      <w:r>
        <w:rPr>
          <w:rFonts w:ascii="Palatino Linotype" w:hAnsi="Palatino Linotype"/>
          <w:kern w:val="24"/>
        </w:rPr>
        <w:t>i</w:t>
      </w:r>
      <w:r w:rsidRPr="009D0C51">
        <w:rPr>
          <w:rFonts w:ascii="Palatino Linotype" w:hAnsi="Palatino Linotype"/>
          <w:kern w:val="24"/>
        </w:rPr>
        <w:t xml:space="preserve">n </w:t>
      </w:r>
      <w:r>
        <w:rPr>
          <w:rFonts w:ascii="Palatino Linotype" w:hAnsi="Palatino Linotype"/>
          <w:kern w:val="24"/>
        </w:rPr>
        <w:t>dense cities</w:t>
      </w:r>
      <w:r w:rsidRPr="009D0C51">
        <w:rPr>
          <w:rFonts w:ascii="Palatino Linotype" w:hAnsi="Palatino Linotype"/>
          <w:kern w:val="24"/>
        </w:rPr>
        <w:t xml:space="preserve"> few areas are </w:t>
      </w:r>
      <w:r w:rsidRPr="009D0C51">
        <w:rPr>
          <w:rFonts w:ascii="Palatino Linotype" w:hAnsi="Palatino Linotype"/>
          <w:i/>
          <w:kern w:val="24"/>
        </w:rPr>
        <w:t xml:space="preserve">not </w:t>
      </w:r>
      <w:r>
        <w:rPr>
          <w:rFonts w:ascii="Palatino Linotype" w:hAnsi="Palatino Linotype"/>
          <w:kern w:val="24"/>
        </w:rPr>
        <w:t xml:space="preserve">within 1000 feet of a school. </w:t>
      </w:r>
    </w:p>
    <w:p w14:paraId="4C5C5EDD" w14:textId="77777777" w:rsidR="00B26E96" w:rsidRPr="009D0C51" w:rsidRDefault="00B26E96" w:rsidP="00752531">
      <w:pPr>
        <w:spacing w:line="276" w:lineRule="auto"/>
        <w:rPr>
          <w:rFonts w:ascii="Palatino Linotype" w:hAnsi="Palatino Linotype"/>
          <w:kern w:val="24"/>
        </w:rPr>
      </w:pPr>
    </w:p>
    <w:p w14:paraId="0EB03428" w14:textId="77E7E2B3" w:rsidR="00B26E96" w:rsidRPr="009D0C51" w:rsidRDefault="00B26E96" w:rsidP="00752531">
      <w:pPr>
        <w:spacing w:line="276" w:lineRule="auto"/>
        <w:rPr>
          <w:rFonts w:ascii="Palatino Linotype" w:hAnsi="Palatino Linotype"/>
        </w:rPr>
      </w:pPr>
      <w:r w:rsidRPr="009D0C51">
        <w:rPr>
          <w:rFonts w:ascii="Palatino Linotype" w:hAnsi="Palatino Linotype"/>
          <w:kern w:val="24"/>
        </w:rPr>
        <w:t xml:space="preserve">Another example of sentencing cliffs comes from minor differences in drug quantities. Under the </w:t>
      </w:r>
      <w:r w:rsidRPr="009D0C51">
        <w:rPr>
          <w:rFonts w:ascii="Palatino Linotype" w:hAnsi="Palatino Linotype"/>
          <w:i/>
          <w:kern w:val="24"/>
        </w:rPr>
        <w:t>Anti-Drug Abuse Act</w:t>
      </w:r>
      <w:r w:rsidRPr="009D0C51">
        <w:rPr>
          <w:rFonts w:ascii="Palatino Linotype" w:hAnsi="Palatino Linotype"/>
          <w:kern w:val="24"/>
        </w:rPr>
        <w:t xml:space="preserve"> of 1986, if one was convicted of possessing 5.1 </w:t>
      </w:r>
      <w:r w:rsidRPr="009D0C51">
        <w:rPr>
          <w:rFonts w:ascii="Palatino Linotype" w:hAnsi="Palatino Linotype"/>
        </w:rPr>
        <w:t xml:space="preserve">grams of crack cocaine, one was subject to a mandatory </w:t>
      </w:r>
      <w:r w:rsidRPr="009D0C51">
        <w:rPr>
          <w:rFonts w:ascii="Palatino Linotype" w:hAnsi="Palatino Linotype"/>
          <w:i/>
        </w:rPr>
        <w:t>minimum</w:t>
      </w:r>
      <w:r w:rsidRPr="009D0C51">
        <w:rPr>
          <w:rFonts w:ascii="Palatino Linotype" w:hAnsi="Palatino Linotype"/>
        </w:rPr>
        <w:t xml:space="preserve"> sentence of </w:t>
      </w:r>
      <w:r w:rsidRPr="009D0C51">
        <w:rPr>
          <w:rFonts w:ascii="Palatino Linotype" w:hAnsi="Palatino Linotype"/>
          <w:i/>
        </w:rPr>
        <w:t>five</w:t>
      </w:r>
      <w:r w:rsidRPr="009D0C51">
        <w:rPr>
          <w:rFonts w:ascii="Palatino Linotype" w:hAnsi="Palatino Linotype"/>
        </w:rPr>
        <w:t xml:space="preserve"> years, whereas if one was convicted of possessing five grams of crack cocaine one would be subject to a </w:t>
      </w:r>
      <w:r w:rsidRPr="009D0C51">
        <w:rPr>
          <w:rFonts w:ascii="Palatino Linotype" w:hAnsi="Palatino Linotype"/>
          <w:i/>
        </w:rPr>
        <w:t>maximum</w:t>
      </w:r>
      <w:r w:rsidRPr="009D0C51">
        <w:rPr>
          <w:rFonts w:ascii="Palatino Linotype" w:hAnsi="Palatino Linotype"/>
        </w:rPr>
        <w:t xml:space="preserve"> sentence of </w:t>
      </w:r>
      <w:r w:rsidRPr="009D0C51">
        <w:rPr>
          <w:rFonts w:ascii="Palatino Linotype" w:hAnsi="Palatino Linotype"/>
          <w:i/>
        </w:rPr>
        <w:t>one</w:t>
      </w:r>
      <w:r w:rsidRPr="009D0C51">
        <w:rPr>
          <w:rFonts w:ascii="Palatino Linotype" w:hAnsi="Palatino Linotype"/>
        </w:rPr>
        <w:t xml:space="preserve"> year.</w:t>
      </w:r>
      <w:r w:rsidRPr="009D0C51">
        <w:rPr>
          <w:rStyle w:val="EndnoteReference"/>
          <w:rFonts w:ascii="Palatino Linotype" w:hAnsi="Palatino Linotype"/>
          <w:kern w:val="24"/>
        </w:rPr>
        <w:endnoteReference w:id="19"/>
      </w:r>
      <w:r w:rsidRPr="009D0C51">
        <w:rPr>
          <w:rFonts w:ascii="Palatino Linotype" w:hAnsi="Palatino Linotype"/>
        </w:rPr>
        <w:t xml:space="preserve"> This law was infamous because one would be subject to the same five-year mandatory minimum for possessing 500 grams of powder coc</w:t>
      </w:r>
      <w:r>
        <w:rPr>
          <w:rFonts w:ascii="Palatino Linotype" w:hAnsi="Palatino Linotype"/>
        </w:rPr>
        <w:t>aine; that 100:1 ratio became a (less unjust)</w:t>
      </w:r>
      <w:r w:rsidRPr="009D0C51">
        <w:rPr>
          <w:rFonts w:ascii="Palatino Linotype" w:hAnsi="Palatino Linotype"/>
        </w:rPr>
        <w:t xml:space="preserve"> 18:1 ratio under </w:t>
      </w:r>
      <w:r w:rsidRPr="009D0C51">
        <w:rPr>
          <w:rFonts w:ascii="Palatino Linotype" w:hAnsi="Palatino Linotype"/>
          <w:i/>
        </w:rPr>
        <w:t>The Fair Sentencing Act</w:t>
      </w:r>
      <w:r w:rsidRPr="009D0C51">
        <w:rPr>
          <w:rFonts w:ascii="Palatino Linotype" w:hAnsi="Palatino Linotype"/>
        </w:rPr>
        <w:t xml:space="preserve"> of 2010, but sentencing cliffs for minor differences in drug quantities remain a feature of system. </w:t>
      </w:r>
    </w:p>
    <w:p w14:paraId="31A9EC91" w14:textId="77777777" w:rsidR="00B26E96" w:rsidRDefault="00B26E96" w:rsidP="00752531">
      <w:pPr>
        <w:spacing w:line="276" w:lineRule="auto"/>
        <w:rPr>
          <w:rFonts w:ascii="Palatino Linotype" w:hAnsi="Palatino Linotype"/>
        </w:rPr>
      </w:pPr>
    </w:p>
    <w:p w14:paraId="74B92865" w14:textId="4F06361B" w:rsidR="00B26E96" w:rsidRPr="00907844" w:rsidRDefault="00B26E96" w:rsidP="00DD7808">
      <w:pPr>
        <w:spacing w:line="276" w:lineRule="auto"/>
        <w:rPr>
          <w:rFonts w:ascii="Palatino Linotype" w:hAnsi="Palatino Linotype"/>
        </w:rPr>
      </w:pPr>
      <w:r>
        <w:rPr>
          <w:rFonts w:ascii="Palatino Linotype" w:hAnsi="Palatino Linotype"/>
          <w:kern w:val="24"/>
        </w:rPr>
        <w:lastRenderedPageBreak/>
        <w:t xml:space="preserve">By transferring </w:t>
      </w:r>
      <w:r w:rsidRPr="00435F5C">
        <w:rPr>
          <w:rFonts w:ascii="Palatino Linotype" w:hAnsi="Palatino Linotype"/>
          <w:kern w:val="24"/>
        </w:rPr>
        <w:t xml:space="preserve">determination of sentencing from </w:t>
      </w:r>
      <w:r>
        <w:rPr>
          <w:rFonts w:ascii="Palatino Linotype" w:hAnsi="Palatino Linotype"/>
          <w:kern w:val="24"/>
        </w:rPr>
        <w:t xml:space="preserve">a </w:t>
      </w:r>
      <w:r w:rsidRPr="00435F5C">
        <w:rPr>
          <w:rFonts w:ascii="Palatino Linotype" w:hAnsi="Palatino Linotype"/>
          <w:kern w:val="24"/>
        </w:rPr>
        <w:t xml:space="preserve">fine-grained </w:t>
      </w:r>
      <w:r>
        <w:rPr>
          <w:rFonts w:ascii="Palatino Linotype" w:hAnsi="Palatino Linotype"/>
          <w:kern w:val="24"/>
        </w:rPr>
        <w:t xml:space="preserve">system </w:t>
      </w:r>
      <w:r w:rsidRPr="00435F5C">
        <w:rPr>
          <w:rFonts w:ascii="Palatino Linotype" w:hAnsi="Palatino Linotype"/>
          <w:kern w:val="24"/>
        </w:rPr>
        <w:t xml:space="preserve">to </w:t>
      </w:r>
      <w:r>
        <w:rPr>
          <w:rFonts w:ascii="Palatino Linotype" w:hAnsi="Palatino Linotype"/>
          <w:kern w:val="24"/>
        </w:rPr>
        <w:t xml:space="preserve">a </w:t>
      </w:r>
      <w:r w:rsidRPr="00435F5C">
        <w:rPr>
          <w:rFonts w:ascii="Palatino Linotype" w:hAnsi="Palatino Linotype"/>
          <w:kern w:val="24"/>
        </w:rPr>
        <w:t xml:space="preserve">coarse-grained </w:t>
      </w:r>
      <w:r>
        <w:rPr>
          <w:rFonts w:ascii="Palatino Linotype" w:hAnsi="Palatino Linotype"/>
          <w:kern w:val="24"/>
        </w:rPr>
        <w:t xml:space="preserve">one, the use of </w:t>
      </w:r>
      <w:r w:rsidRPr="00435F5C">
        <w:rPr>
          <w:rFonts w:ascii="Palatino Linotype" w:hAnsi="Palatino Linotype"/>
          <w:kern w:val="24"/>
        </w:rPr>
        <w:t>mandatory minimums</w:t>
      </w:r>
      <w:r>
        <w:rPr>
          <w:rFonts w:ascii="Palatino Linotype" w:hAnsi="Palatino Linotype"/>
          <w:kern w:val="24"/>
        </w:rPr>
        <w:t xml:space="preserve"> in the war on drugs effectively guarantees that many offenders like Forrester and Davis will be disproportionately punished. </w:t>
      </w:r>
      <w:r>
        <w:rPr>
          <w:rFonts w:ascii="Palatino Linotype" w:hAnsi="Palatino Linotype"/>
        </w:rPr>
        <w:t xml:space="preserve">This is </w:t>
      </w:r>
      <w:r w:rsidR="00536569">
        <w:rPr>
          <w:rFonts w:ascii="Palatino Linotype" w:hAnsi="Palatino Linotype"/>
        </w:rPr>
        <w:t>unjust</w:t>
      </w:r>
      <w:r>
        <w:rPr>
          <w:rFonts w:ascii="Palatino Linotype" w:hAnsi="Palatino Linotype"/>
        </w:rPr>
        <w:t xml:space="preserve">. And this is not to mention certain dubious prosecutorial practices which trigger disproportionate sentencing cliffs, such as </w:t>
      </w:r>
      <w:r>
        <w:rPr>
          <w:rFonts w:ascii="Palatino Linotype" w:hAnsi="Palatino Linotype"/>
          <w:kern w:val="24"/>
        </w:rPr>
        <w:t>“</w:t>
      </w:r>
      <w:r w:rsidRPr="009D0C51">
        <w:rPr>
          <w:rFonts w:ascii="Palatino Linotype" w:hAnsi="Palatino Linotype"/>
          <w:kern w:val="24"/>
        </w:rPr>
        <w:t>mixture inflation</w:t>
      </w:r>
      <w:r>
        <w:rPr>
          <w:rFonts w:ascii="Palatino Linotype" w:hAnsi="Palatino Linotype"/>
          <w:kern w:val="24"/>
        </w:rPr>
        <w:t>”,</w:t>
      </w:r>
      <w:r w:rsidRPr="009D0C51">
        <w:rPr>
          <w:rStyle w:val="EndnoteReference"/>
          <w:rFonts w:ascii="Palatino Linotype" w:hAnsi="Palatino Linotype"/>
          <w:kern w:val="24"/>
        </w:rPr>
        <w:endnoteReference w:id="20"/>
      </w:r>
      <w:r w:rsidRPr="009D0C51">
        <w:rPr>
          <w:rFonts w:ascii="Palatino Linotype" w:hAnsi="Palatino Linotype"/>
          <w:kern w:val="24"/>
        </w:rPr>
        <w:t xml:space="preserve"> </w:t>
      </w:r>
      <w:r>
        <w:rPr>
          <w:rFonts w:ascii="Palatino Linotype" w:hAnsi="Palatino Linotype"/>
          <w:kern w:val="24"/>
        </w:rPr>
        <w:t>the use of conspiracy doctrines,</w:t>
      </w:r>
      <w:r w:rsidRPr="006325AC">
        <w:rPr>
          <w:rFonts w:ascii="Palatino Linotype" w:hAnsi="Palatino Linotype"/>
          <w:kern w:val="24"/>
          <w:vertAlign w:val="superscript"/>
        </w:rPr>
        <w:endnoteReference w:id="21"/>
      </w:r>
      <w:r>
        <w:rPr>
          <w:rFonts w:ascii="Palatino Linotype" w:hAnsi="Palatino Linotype"/>
          <w:kern w:val="24"/>
        </w:rPr>
        <w:t xml:space="preserve"> and “count stacking”,</w:t>
      </w:r>
      <w:r w:rsidRPr="009D0C51">
        <w:rPr>
          <w:rStyle w:val="EndnoteReference"/>
          <w:rFonts w:ascii="Palatino Linotype" w:hAnsi="Palatino Linotype"/>
          <w:kern w:val="24"/>
        </w:rPr>
        <w:endnoteReference w:id="22"/>
      </w:r>
      <w:r>
        <w:rPr>
          <w:rFonts w:ascii="Palatino Linotype" w:hAnsi="Palatino Linotype"/>
          <w:kern w:val="24"/>
        </w:rPr>
        <w:t xml:space="preserve"> </w:t>
      </w:r>
      <w:r>
        <w:rPr>
          <w:rFonts w:ascii="Palatino Linotype" w:hAnsi="Palatino Linotype"/>
        </w:rPr>
        <w:t xml:space="preserve">which I will not discuss. </w:t>
      </w:r>
      <w:r>
        <w:rPr>
          <w:rFonts w:ascii="Palatino Linotype" w:hAnsi="Palatino Linotype"/>
          <w:kern w:val="24"/>
        </w:rPr>
        <w:t xml:space="preserve"> </w:t>
      </w:r>
    </w:p>
    <w:p w14:paraId="7E4FB2C2" w14:textId="77777777" w:rsidR="00B26E96" w:rsidRPr="009D0C51" w:rsidRDefault="00B26E96" w:rsidP="00DD7808">
      <w:pPr>
        <w:spacing w:line="276" w:lineRule="auto"/>
        <w:rPr>
          <w:rFonts w:ascii="Palatino Linotype" w:hAnsi="Palatino Linotype"/>
          <w:kern w:val="24"/>
        </w:rPr>
      </w:pPr>
    </w:p>
    <w:p w14:paraId="1695A691" w14:textId="48F83224" w:rsidR="00B26E96" w:rsidRPr="009D0C51" w:rsidRDefault="00B26E96" w:rsidP="00002505">
      <w:pPr>
        <w:spacing w:line="276" w:lineRule="auto"/>
        <w:jc w:val="center"/>
        <w:outlineLvl w:val="0"/>
        <w:rPr>
          <w:rFonts w:ascii="Palatino Linotype" w:hAnsi="Palatino Linotype"/>
          <w:b/>
          <w:kern w:val="24"/>
        </w:rPr>
      </w:pPr>
      <w:r>
        <w:rPr>
          <w:rFonts w:ascii="Palatino Linotype" w:hAnsi="Palatino Linotype"/>
          <w:b/>
          <w:kern w:val="24"/>
        </w:rPr>
        <w:t>I</w:t>
      </w:r>
      <w:r w:rsidRPr="009D0C51">
        <w:rPr>
          <w:rFonts w:ascii="Palatino Linotype" w:hAnsi="Palatino Linotype"/>
          <w:b/>
          <w:kern w:val="24"/>
        </w:rPr>
        <w:t>I—Consistency</w:t>
      </w:r>
    </w:p>
    <w:p w14:paraId="7D5D61E7" w14:textId="77777777" w:rsidR="00B26E96" w:rsidRPr="009D0C51" w:rsidRDefault="00B26E96" w:rsidP="0080281A">
      <w:pPr>
        <w:spacing w:line="276" w:lineRule="auto"/>
        <w:rPr>
          <w:rFonts w:ascii="Palatino Linotype" w:hAnsi="Palatino Linotype"/>
          <w:kern w:val="24"/>
        </w:rPr>
      </w:pPr>
    </w:p>
    <w:p w14:paraId="641EA582" w14:textId="692A2C97" w:rsidR="00B26E96" w:rsidRPr="009D0C51" w:rsidRDefault="00B26E96" w:rsidP="005169E7">
      <w:pPr>
        <w:spacing w:line="276" w:lineRule="auto"/>
        <w:rPr>
          <w:rFonts w:ascii="Palatino Linotype" w:hAnsi="Palatino Linotype"/>
          <w:kern w:val="24"/>
        </w:rPr>
      </w:pPr>
      <w:r>
        <w:rPr>
          <w:rFonts w:ascii="Palatino Linotype" w:hAnsi="Palatino Linotype"/>
          <w:kern w:val="24"/>
        </w:rPr>
        <w:t xml:space="preserve">Concerns about inconsistent sentencing outcomes were rife </w:t>
      </w:r>
      <w:r w:rsidRPr="009D0C51">
        <w:rPr>
          <w:rFonts w:ascii="Palatino Linotype" w:hAnsi="Palatino Linotype"/>
          <w:kern w:val="24"/>
        </w:rPr>
        <w:t xml:space="preserve">in the 1970s </w:t>
      </w:r>
      <w:r>
        <w:rPr>
          <w:rFonts w:ascii="Palatino Linotype" w:hAnsi="Palatino Linotype"/>
          <w:kern w:val="24"/>
        </w:rPr>
        <w:t xml:space="preserve">and 1980s due to the discretion then </w:t>
      </w:r>
      <w:r w:rsidRPr="009D0C51">
        <w:rPr>
          <w:rFonts w:ascii="Palatino Linotype" w:hAnsi="Palatino Linotype"/>
          <w:kern w:val="24"/>
        </w:rPr>
        <w:t xml:space="preserve">afforded </w:t>
      </w:r>
      <w:r>
        <w:rPr>
          <w:rFonts w:ascii="Palatino Linotype" w:hAnsi="Palatino Linotype"/>
          <w:kern w:val="24"/>
        </w:rPr>
        <w:t xml:space="preserve">to </w:t>
      </w:r>
      <w:r w:rsidRPr="009D0C51">
        <w:rPr>
          <w:rFonts w:ascii="Palatino Linotype" w:hAnsi="Palatino Linotype"/>
          <w:kern w:val="24"/>
        </w:rPr>
        <w:t>judges</w:t>
      </w:r>
      <w:r>
        <w:rPr>
          <w:rFonts w:ascii="Palatino Linotype" w:hAnsi="Palatino Linotype"/>
          <w:kern w:val="24"/>
        </w:rPr>
        <w:t xml:space="preserve">; hence the titles of </w:t>
      </w:r>
      <w:r w:rsidRPr="009D0C51">
        <w:rPr>
          <w:rFonts w:ascii="Palatino Linotype" w:hAnsi="Palatino Linotype"/>
          <w:kern w:val="24"/>
        </w:rPr>
        <w:t>influential articles of that era</w:t>
      </w:r>
      <w:r>
        <w:rPr>
          <w:rFonts w:ascii="Palatino Linotype" w:hAnsi="Palatino Linotype"/>
          <w:kern w:val="24"/>
        </w:rPr>
        <w:t xml:space="preserve">, such as </w:t>
      </w:r>
      <w:r w:rsidRPr="009D0C51">
        <w:rPr>
          <w:rFonts w:ascii="Palatino Linotype" w:hAnsi="Palatino Linotype"/>
          <w:kern w:val="24"/>
        </w:rPr>
        <w:t xml:space="preserve">Judge Marvin E. Frankel’s </w:t>
      </w:r>
      <w:r>
        <w:rPr>
          <w:rFonts w:ascii="Palatino Linotype" w:hAnsi="Palatino Linotype"/>
          <w:kern w:val="24"/>
        </w:rPr>
        <w:t xml:space="preserve">(1972) </w:t>
      </w:r>
      <w:r w:rsidRPr="009D0C51">
        <w:rPr>
          <w:rFonts w:ascii="Palatino Linotype" w:hAnsi="Palatino Linotype"/>
          <w:kern w:val="24"/>
        </w:rPr>
        <w:t xml:space="preserve">“Lawlessness in Sentencing”. </w:t>
      </w:r>
      <w:r>
        <w:rPr>
          <w:rFonts w:ascii="Palatino Linotype" w:hAnsi="Palatino Linotype"/>
          <w:kern w:val="24"/>
        </w:rPr>
        <w:t xml:space="preserve">Studies found that </w:t>
      </w:r>
      <w:r w:rsidRPr="009D0C51">
        <w:rPr>
          <w:rFonts w:ascii="Palatino Linotype" w:hAnsi="Palatino Linotype"/>
          <w:kern w:val="24"/>
        </w:rPr>
        <w:t xml:space="preserve">judges’ responses to hypothetical </w:t>
      </w:r>
      <w:r>
        <w:rPr>
          <w:rFonts w:ascii="Palatino Linotype" w:hAnsi="Palatino Linotype"/>
          <w:kern w:val="24"/>
        </w:rPr>
        <w:t xml:space="preserve">cases, especially drug cases, evinced </w:t>
      </w:r>
      <w:r w:rsidRPr="009D0C51">
        <w:rPr>
          <w:rFonts w:ascii="Palatino Linotype" w:hAnsi="Palatino Linotype"/>
          <w:kern w:val="24"/>
        </w:rPr>
        <w:t>a “generally high rate of agreement on the verdict, but substantial variance in the choice of sentencing mode and the magnitude of penalty within some modes.”</w:t>
      </w:r>
      <w:r w:rsidRPr="009D0C51">
        <w:rPr>
          <w:rStyle w:val="EndnoteReference"/>
          <w:rFonts w:ascii="Palatino Linotype" w:hAnsi="Palatino Linotype"/>
          <w:kern w:val="24"/>
        </w:rPr>
        <w:endnoteReference w:id="23"/>
      </w:r>
      <w:r>
        <w:rPr>
          <w:rFonts w:ascii="Palatino Linotype" w:hAnsi="Palatino Linotype"/>
          <w:kern w:val="24"/>
        </w:rPr>
        <w:t xml:space="preserve"> A central motivation for the creation of </w:t>
      </w:r>
      <w:r w:rsidRPr="009D0C51">
        <w:rPr>
          <w:rFonts w:ascii="Palatino Linotype" w:hAnsi="Palatino Linotype"/>
          <w:kern w:val="24"/>
        </w:rPr>
        <w:t>mandatory minimums</w:t>
      </w:r>
      <w:r>
        <w:rPr>
          <w:rFonts w:ascii="Palatino Linotype" w:hAnsi="Palatino Linotype"/>
          <w:kern w:val="24"/>
        </w:rPr>
        <w:t xml:space="preserve"> in the war on drugs was to generate more consistent sentencing outcomes.</w:t>
      </w:r>
      <w:r w:rsidRPr="009D0C51">
        <w:rPr>
          <w:rStyle w:val="EndnoteReference"/>
          <w:rFonts w:ascii="Palatino Linotype" w:hAnsi="Palatino Linotype"/>
          <w:kern w:val="24"/>
        </w:rPr>
        <w:endnoteReference w:id="24"/>
      </w:r>
      <w:r>
        <w:rPr>
          <w:rFonts w:ascii="Palatino Linotype" w:hAnsi="Palatino Linotype"/>
          <w:kern w:val="24"/>
        </w:rPr>
        <w:t xml:space="preserve"> This was true at federal and local levels. James Forman Jr. illustrates how concerns about racial discrepancies in sentencing outcomes led to the creation of harsh drug-related mandatory minimums in the District of Columbia, due to the efforts of prominent local black politicians like John Ray.</w:t>
      </w:r>
      <w:r w:rsidRPr="009D0C51">
        <w:rPr>
          <w:rStyle w:val="EndnoteReference"/>
          <w:rFonts w:ascii="Palatino Linotype" w:hAnsi="Palatino Linotype"/>
          <w:kern w:val="24"/>
        </w:rPr>
        <w:endnoteReference w:id="25"/>
      </w:r>
    </w:p>
    <w:p w14:paraId="7C890B80" w14:textId="77777777" w:rsidR="00B26E96" w:rsidRPr="009D0C51" w:rsidRDefault="00B26E96" w:rsidP="004C532C">
      <w:pPr>
        <w:spacing w:line="276" w:lineRule="auto"/>
        <w:rPr>
          <w:rFonts w:ascii="Palatino Linotype" w:hAnsi="Palatino Linotype"/>
          <w:kern w:val="24"/>
        </w:rPr>
      </w:pPr>
    </w:p>
    <w:p w14:paraId="4A986720" w14:textId="197E1D4D" w:rsidR="00B26E96" w:rsidRPr="009D0C51" w:rsidRDefault="00B26E96" w:rsidP="00A046E0">
      <w:pPr>
        <w:spacing w:line="276" w:lineRule="auto"/>
        <w:rPr>
          <w:rFonts w:ascii="Palatino Linotype" w:hAnsi="Palatino Linotype"/>
          <w:kern w:val="24"/>
        </w:rPr>
      </w:pPr>
      <w:r>
        <w:rPr>
          <w:rFonts w:ascii="Palatino Linotype" w:hAnsi="Palatino Linotype"/>
          <w:kern w:val="24"/>
        </w:rPr>
        <w:t>T</w:t>
      </w:r>
      <w:r w:rsidRPr="009D0C51">
        <w:rPr>
          <w:rFonts w:ascii="Palatino Linotype" w:hAnsi="Palatino Linotype"/>
          <w:kern w:val="24"/>
        </w:rPr>
        <w:t xml:space="preserve">he sentencing guidelines </w:t>
      </w:r>
      <w:r>
        <w:rPr>
          <w:rFonts w:ascii="Palatino Linotype" w:hAnsi="Palatino Linotype"/>
          <w:kern w:val="24"/>
        </w:rPr>
        <w:t xml:space="preserve">were also intended to address inconsistent sentencing outcomes. </w:t>
      </w:r>
      <w:r w:rsidRPr="009D0C51">
        <w:rPr>
          <w:rFonts w:ascii="Palatino Linotype" w:hAnsi="Palatino Linotype"/>
          <w:kern w:val="24"/>
        </w:rPr>
        <w:t xml:space="preserve">But many contend that </w:t>
      </w:r>
      <w:r>
        <w:rPr>
          <w:rFonts w:ascii="Palatino Linotype" w:hAnsi="Palatino Linotype"/>
          <w:kern w:val="24"/>
        </w:rPr>
        <w:t xml:space="preserve">they are now inadequate for this purpose as the Supreme Court made the guidelines advisory, rather than mandatory, in </w:t>
      </w:r>
      <w:r w:rsidRPr="009D0C51">
        <w:rPr>
          <w:rFonts w:ascii="Palatino Linotype" w:hAnsi="Palatino Linotype"/>
          <w:i/>
          <w:kern w:val="24"/>
        </w:rPr>
        <w:t>Booker</w:t>
      </w:r>
      <w:r>
        <w:rPr>
          <w:rFonts w:ascii="Palatino Linotype" w:hAnsi="Palatino Linotype"/>
          <w:i/>
          <w:kern w:val="24"/>
        </w:rPr>
        <w:t xml:space="preserve"> </w:t>
      </w:r>
      <w:r>
        <w:rPr>
          <w:rFonts w:ascii="Palatino Linotype" w:hAnsi="Palatino Linotype"/>
          <w:kern w:val="24"/>
        </w:rPr>
        <w:t>in 2005</w:t>
      </w:r>
      <w:r w:rsidRPr="009D0C51">
        <w:rPr>
          <w:rFonts w:ascii="Palatino Linotype" w:hAnsi="Palatino Linotype"/>
          <w:kern w:val="24"/>
        </w:rPr>
        <w:t>.</w:t>
      </w:r>
      <w:r w:rsidRPr="009D0C51">
        <w:rPr>
          <w:rStyle w:val="EndnoteReference"/>
          <w:rFonts w:ascii="Palatino Linotype" w:hAnsi="Palatino Linotype"/>
          <w:kern w:val="24"/>
        </w:rPr>
        <w:endnoteReference w:id="26"/>
      </w:r>
      <w:r w:rsidRPr="009D0C51">
        <w:rPr>
          <w:rFonts w:ascii="Palatino Linotype" w:hAnsi="Palatino Linotype"/>
          <w:kern w:val="24"/>
        </w:rPr>
        <w:t xml:space="preserve"> Many judges now impose sentences that are below the guidelines, especially for drug trafficking.</w:t>
      </w:r>
      <w:r w:rsidRPr="009D0C51">
        <w:rPr>
          <w:rStyle w:val="EndnoteReference"/>
          <w:rFonts w:ascii="Palatino Linotype" w:hAnsi="Palatino Linotype"/>
          <w:kern w:val="24"/>
        </w:rPr>
        <w:endnoteReference w:id="27"/>
      </w:r>
      <w:r w:rsidRPr="009D0C51">
        <w:rPr>
          <w:rFonts w:ascii="Palatino Linotype" w:hAnsi="Palatino Linotype"/>
          <w:kern w:val="24"/>
        </w:rPr>
        <w:t xml:space="preserve"> </w:t>
      </w:r>
      <w:r>
        <w:rPr>
          <w:rFonts w:ascii="Palatino Linotype" w:hAnsi="Palatino Linotype"/>
          <w:kern w:val="24"/>
        </w:rPr>
        <w:t>S</w:t>
      </w:r>
      <w:r w:rsidRPr="009D0C51">
        <w:rPr>
          <w:rFonts w:ascii="Palatino Linotype" w:hAnsi="Palatino Linotype"/>
          <w:kern w:val="24"/>
        </w:rPr>
        <w:t xml:space="preserve">ince </w:t>
      </w:r>
      <w:r w:rsidRPr="009D0C51">
        <w:rPr>
          <w:rFonts w:ascii="Palatino Linotype" w:hAnsi="Palatino Linotype"/>
          <w:i/>
          <w:kern w:val="24"/>
        </w:rPr>
        <w:t>Booker</w:t>
      </w:r>
      <w:r w:rsidRPr="009D0C51">
        <w:rPr>
          <w:rFonts w:ascii="Palatino Linotype" w:hAnsi="Palatino Linotype"/>
          <w:kern w:val="24"/>
        </w:rPr>
        <w:t xml:space="preserve">, mandatory minimums </w:t>
      </w:r>
      <w:r>
        <w:rPr>
          <w:rFonts w:ascii="Palatino Linotype" w:hAnsi="Palatino Linotype"/>
          <w:kern w:val="24"/>
        </w:rPr>
        <w:t xml:space="preserve">are again defended on the ground that (a) </w:t>
      </w:r>
      <w:r w:rsidRPr="009D0C51">
        <w:rPr>
          <w:rFonts w:ascii="Palatino Linotype" w:hAnsi="Palatino Linotype"/>
          <w:kern w:val="24"/>
        </w:rPr>
        <w:t xml:space="preserve">offenders should receive similar sentences for similar crimes, </w:t>
      </w:r>
      <w:r>
        <w:rPr>
          <w:rFonts w:ascii="Palatino Linotype" w:hAnsi="Palatino Linotype"/>
          <w:kern w:val="24"/>
        </w:rPr>
        <w:t xml:space="preserve">and (b) this requires </w:t>
      </w:r>
      <w:r w:rsidRPr="009D0C51">
        <w:rPr>
          <w:rFonts w:ascii="Palatino Linotype" w:hAnsi="Palatino Linotype"/>
          <w:kern w:val="24"/>
        </w:rPr>
        <w:t>drug-related mandatory minimums</w:t>
      </w:r>
      <w:r>
        <w:rPr>
          <w:rFonts w:ascii="Palatino Linotype" w:hAnsi="Palatino Linotype"/>
          <w:kern w:val="24"/>
        </w:rPr>
        <w:t xml:space="preserve"> that eliminate discretion</w:t>
      </w:r>
      <w:r w:rsidRPr="009D0C51">
        <w:rPr>
          <w:rFonts w:ascii="Palatino Linotype" w:hAnsi="Palatino Linotype"/>
          <w:kern w:val="24"/>
        </w:rPr>
        <w:t>.</w:t>
      </w:r>
      <w:r w:rsidRPr="009D0C51">
        <w:rPr>
          <w:rStyle w:val="EndnoteReference"/>
          <w:rFonts w:ascii="Palatino Linotype" w:hAnsi="Palatino Linotype"/>
          <w:kern w:val="24"/>
        </w:rPr>
        <w:endnoteReference w:id="28"/>
      </w:r>
      <w:r w:rsidRPr="009D0C51">
        <w:rPr>
          <w:rFonts w:ascii="Palatino Linotype" w:hAnsi="Palatino Linotype"/>
          <w:kern w:val="24"/>
        </w:rPr>
        <w:t xml:space="preserve"> </w:t>
      </w:r>
    </w:p>
    <w:p w14:paraId="5ABAE7E7" w14:textId="77777777" w:rsidR="00B26E96" w:rsidRPr="009D0C51" w:rsidRDefault="00B26E96" w:rsidP="00A046E0">
      <w:pPr>
        <w:spacing w:line="276" w:lineRule="auto"/>
        <w:rPr>
          <w:rFonts w:ascii="Palatino Linotype" w:hAnsi="Palatino Linotype"/>
          <w:kern w:val="24"/>
        </w:rPr>
      </w:pPr>
    </w:p>
    <w:p w14:paraId="632BD63F" w14:textId="1D90F044" w:rsidR="00B26E96" w:rsidRPr="009D0C51" w:rsidRDefault="00B26E96" w:rsidP="00997776">
      <w:pPr>
        <w:spacing w:line="276" w:lineRule="auto"/>
        <w:rPr>
          <w:rFonts w:ascii="Palatino Linotype" w:hAnsi="Palatino Linotype"/>
          <w:kern w:val="24"/>
        </w:rPr>
      </w:pPr>
      <w:r>
        <w:rPr>
          <w:rFonts w:ascii="Palatino Linotype" w:hAnsi="Palatino Linotype"/>
          <w:kern w:val="24"/>
        </w:rPr>
        <w:lastRenderedPageBreak/>
        <w:t>A problem for this argument is that m</w:t>
      </w:r>
      <w:r w:rsidRPr="009D0C51">
        <w:rPr>
          <w:rFonts w:ascii="Palatino Linotype" w:hAnsi="Palatino Linotype"/>
          <w:kern w:val="24"/>
        </w:rPr>
        <w:t xml:space="preserve">andatory minimums </w:t>
      </w:r>
      <w:r>
        <w:rPr>
          <w:rFonts w:ascii="Palatino Linotype" w:hAnsi="Palatino Linotype"/>
          <w:kern w:val="24"/>
        </w:rPr>
        <w:t xml:space="preserve">do not </w:t>
      </w:r>
      <w:r w:rsidRPr="009D0C51">
        <w:rPr>
          <w:rFonts w:ascii="Palatino Linotype" w:hAnsi="Palatino Linotype"/>
          <w:kern w:val="24"/>
        </w:rPr>
        <w:t>eliminate discretion</w:t>
      </w:r>
      <w:r>
        <w:rPr>
          <w:rFonts w:ascii="Palatino Linotype" w:hAnsi="Palatino Linotype"/>
          <w:kern w:val="24"/>
        </w:rPr>
        <w:t xml:space="preserve"> in sentencing</w:t>
      </w:r>
      <w:r w:rsidRPr="009D0C51">
        <w:rPr>
          <w:rFonts w:ascii="Palatino Linotype" w:hAnsi="Palatino Linotype"/>
          <w:kern w:val="24"/>
        </w:rPr>
        <w:t xml:space="preserve">. </w:t>
      </w:r>
      <w:r>
        <w:rPr>
          <w:rFonts w:ascii="Palatino Linotype" w:hAnsi="Palatino Linotype"/>
          <w:kern w:val="24"/>
        </w:rPr>
        <w:t>T</w:t>
      </w:r>
      <w:r w:rsidRPr="009D0C51">
        <w:rPr>
          <w:rFonts w:ascii="Palatino Linotype" w:hAnsi="Palatino Linotype"/>
          <w:kern w:val="24"/>
        </w:rPr>
        <w:t xml:space="preserve">hey </w:t>
      </w:r>
      <w:r w:rsidRPr="009D0C51">
        <w:rPr>
          <w:rFonts w:ascii="Palatino Linotype" w:hAnsi="Palatino Linotype"/>
          <w:i/>
          <w:kern w:val="24"/>
        </w:rPr>
        <w:t>transfer</w:t>
      </w:r>
      <w:r w:rsidRPr="009D0C51">
        <w:rPr>
          <w:rFonts w:ascii="Palatino Linotype" w:hAnsi="Palatino Linotype"/>
          <w:kern w:val="24"/>
        </w:rPr>
        <w:t xml:space="preserve"> </w:t>
      </w:r>
      <w:r>
        <w:rPr>
          <w:rFonts w:ascii="Palatino Linotype" w:hAnsi="Palatino Linotype"/>
          <w:kern w:val="24"/>
        </w:rPr>
        <w:t xml:space="preserve">it to </w:t>
      </w:r>
      <w:r w:rsidRPr="009D0C51">
        <w:rPr>
          <w:rFonts w:ascii="Palatino Linotype" w:hAnsi="Palatino Linotype"/>
          <w:kern w:val="24"/>
        </w:rPr>
        <w:t xml:space="preserve">prosecutors. To understand this, it is helpful to mention </w:t>
      </w:r>
      <w:r>
        <w:rPr>
          <w:rFonts w:ascii="Palatino Linotype" w:hAnsi="Palatino Linotype"/>
          <w:kern w:val="24"/>
        </w:rPr>
        <w:t xml:space="preserve">Senator Hatch’s </w:t>
      </w:r>
      <w:r w:rsidRPr="009D0C51">
        <w:rPr>
          <w:rFonts w:ascii="Palatino Linotype" w:hAnsi="Palatino Linotype"/>
          <w:kern w:val="24"/>
        </w:rPr>
        <w:t xml:space="preserve">third </w:t>
      </w:r>
      <w:r>
        <w:rPr>
          <w:rFonts w:ascii="Palatino Linotype" w:hAnsi="Palatino Linotype"/>
          <w:kern w:val="24"/>
        </w:rPr>
        <w:t xml:space="preserve">point of comparison between sentencing guidelines and </w:t>
      </w:r>
      <w:r w:rsidRPr="009D0C51">
        <w:rPr>
          <w:rFonts w:ascii="Palatino Linotype" w:hAnsi="Palatino Linotype"/>
          <w:kern w:val="24"/>
        </w:rPr>
        <w:t xml:space="preserve">mandatory minimums: </w:t>
      </w:r>
    </w:p>
    <w:p w14:paraId="34F019D4" w14:textId="1456C428" w:rsidR="00B26E96" w:rsidRPr="009D0C51" w:rsidRDefault="00B26E96" w:rsidP="00F118E2">
      <w:pPr>
        <w:ind w:left="720"/>
        <w:rPr>
          <w:rFonts w:ascii="Palatino Linotype" w:hAnsi="Palatino Linotype"/>
          <w:kern w:val="24"/>
        </w:rPr>
      </w:pPr>
      <w:r w:rsidRPr="009D0C51">
        <w:rPr>
          <w:rFonts w:ascii="Palatino Linotype" w:hAnsi="Palatino Linotype"/>
          <w:kern w:val="24"/>
        </w:rPr>
        <w:t>[W]hereas the guidelines incorporate a “real offense” approach to sentencing, mandatory minimums are basically a “charge-specific” approach wherein the sentence is triggered only if the prosecutor chooses to charge the defendant with a certain offense.</w:t>
      </w:r>
      <w:r w:rsidRPr="009D0C51">
        <w:rPr>
          <w:rStyle w:val="EndnoteReference"/>
          <w:rFonts w:ascii="Palatino Linotype" w:hAnsi="Palatino Linotype"/>
          <w:kern w:val="24"/>
        </w:rPr>
        <w:endnoteReference w:id="29"/>
      </w:r>
    </w:p>
    <w:p w14:paraId="06C4B6B4" w14:textId="24371958" w:rsidR="00B26E96" w:rsidRDefault="00B26E96" w:rsidP="00997776">
      <w:pPr>
        <w:spacing w:line="276" w:lineRule="auto"/>
        <w:rPr>
          <w:rFonts w:ascii="Palatino Linotype" w:hAnsi="Palatino Linotype"/>
          <w:kern w:val="24"/>
        </w:rPr>
      </w:pPr>
      <w:r w:rsidRPr="009D0C51">
        <w:rPr>
          <w:rFonts w:ascii="Palatino Linotype" w:hAnsi="Palatino Linotype"/>
          <w:kern w:val="24"/>
        </w:rPr>
        <w:t xml:space="preserve">Because drug-related mandatory minimums apply to conduct that is </w:t>
      </w:r>
      <w:r>
        <w:rPr>
          <w:rFonts w:ascii="Palatino Linotype" w:hAnsi="Palatino Linotype"/>
          <w:kern w:val="24"/>
        </w:rPr>
        <w:t>covered by other charges</w:t>
      </w:r>
      <w:r w:rsidRPr="009D0C51">
        <w:rPr>
          <w:rFonts w:ascii="Palatino Linotype" w:hAnsi="Palatino Linotype"/>
          <w:kern w:val="24"/>
        </w:rPr>
        <w:t xml:space="preserve">, they give prosecutors a choice </w:t>
      </w:r>
      <w:r>
        <w:rPr>
          <w:rFonts w:ascii="Palatino Linotype" w:hAnsi="Palatino Linotype"/>
          <w:kern w:val="24"/>
        </w:rPr>
        <w:t xml:space="preserve">over </w:t>
      </w:r>
      <w:r w:rsidRPr="009D0C51">
        <w:rPr>
          <w:rFonts w:ascii="Palatino Linotype" w:hAnsi="Palatino Linotype"/>
          <w:kern w:val="24"/>
        </w:rPr>
        <w:t xml:space="preserve">what charge to apply. </w:t>
      </w:r>
      <w:r>
        <w:rPr>
          <w:rFonts w:ascii="Palatino Linotype" w:hAnsi="Palatino Linotype"/>
          <w:kern w:val="24"/>
        </w:rPr>
        <w:t>T</w:t>
      </w:r>
      <w:r w:rsidRPr="009D0C51">
        <w:rPr>
          <w:rFonts w:ascii="Palatino Linotype" w:hAnsi="Palatino Linotype"/>
          <w:kern w:val="24"/>
        </w:rPr>
        <w:t xml:space="preserve">hat “choice of charge can determine both the minimum and the maximum” sentence, </w:t>
      </w:r>
      <w:r>
        <w:rPr>
          <w:rFonts w:ascii="Palatino Linotype" w:hAnsi="Palatino Linotype"/>
          <w:kern w:val="24"/>
        </w:rPr>
        <w:t xml:space="preserve">so in exercising this discretion </w:t>
      </w:r>
      <w:r w:rsidRPr="009D0C51">
        <w:rPr>
          <w:rFonts w:ascii="Palatino Linotype" w:hAnsi="Palatino Linotype"/>
          <w:kern w:val="24"/>
        </w:rPr>
        <w:t>“prosecutors can restrict judges to narrow sentencing ranges.”</w:t>
      </w:r>
      <w:r w:rsidRPr="009D0C51">
        <w:rPr>
          <w:rStyle w:val="EndnoteReference"/>
          <w:rFonts w:ascii="Palatino Linotype" w:hAnsi="Palatino Linotype"/>
          <w:kern w:val="24"/>
        </w:rPr>
        <w:endnoteReference w:id="30"/>
      </w:r>
      <w:r w:rsidRPr="009D0C51">
        <w:rPr>
          <w:rFonts w:ascii="Palatino Linotype" w:hAnsi="Palatino Linotype"/>
          <w:kern w:val="24"/>
        </w:rPr>
        <w:t xml:space="preserve"> As one commentator noted, “one premise of mandatory minimums is that the prosecutors are competent to decide appropriate sentences until they become judges.”</w:t>
      </w:r>
      <w:r w:rsidRPr="009D0C51">
        <w:rPr>
          <w:rStyle w:val="EndnoteReference"/>
          <w:rFonts w:ascii="Palatino Linotype" w:hAnsi="Palatino Linotype"/>
          <w:kern w:val="24"/>
        </w:rPr>
        <w:endnoteReference w:id="31"/>
      </w:r>
      <w:r w:rsidRPr="009D0C51">
        <w:rPr>
          <w:rFonts w:ascii="Palatino Linotype" w:hAnsi="Palatino Linotype"/>
          <w:kern w:val="24"/>
        </w:rPr>
        <w:t xml:space="preserve"> </w:t>
      </w:r>
    </w:p>
    <w:p w14:paraId="5DA85316" w14:textId="77777777" w:rsidR="00B26E96" w:rsidRPr="009D0C51" w:rsidRDefault="00B26E96" w:rsidP="00997776">
      <w:pPr>
        <w:spacing w:line="276" w:lineRule="auto"/>
        <w:rPr>
          <w:rFonts w:ascii="Palatino Linotype" w:hAnsi="Palatino Linotype"/>
          <w:kern w:val="24"/>
        </w:rPr>
      </w:pPr>
    </w:p>
    <w:p w14:paraId="2F087ABA" w14:textId="066EA450" w:rsidR="00B26E96" w:rsidRPr="009D0C51" w:rsidRDefault="00B26E96" w:rsidP="004921F5">
      <w:pPr>
        <w:spacing w:line="276" w:lineRule="auto"/>
        <w:rPr>
          <w:rFonts w:ascii="Palatino Linotype" w:hAnsi="Palatino Linotype"/>
          <w:kern w:val="24"/>
        </w:rPr>
      </w:pPr>
      <w:r>
        <w:rPr>
          <w:rFonts w:ascii="Palatino Linotype" w:hAnsi="Palatino Linotype"/>
          <w:kern w:val="24"/>
        </w:rPr>
        <w:t>P</w:t>
      </w:r>
      <w:r w:rsidRPr="009D0C51">
        <w:rPr>
          <w:rFonts w:ascii="Palatino Linotype" w:hAnsi="Palatino Linotype"/>
          <w:kern w:val="24"/>
        </w:rPr>
        <w:t xml:space="preserve">rosecutorial discretion </w:t>
      </w:r>
      <w:r>
        <w:rPr>
          <w:rFonts w:ascii="Palatino Linotype" w:hAnsi="Palatino Linotype"/>
          <w:kern w:val="24"/>
        </w:rPr>
        <w:t xml:space="preserve">in applying mandatory minimums in the war on drugs </w:t>
      </w:r>
      <w:r w:rsidRPr="009D0C51">
        <w:rPr>
          <w:rFonts w:ascii="Palatino Linotype" w:hAnsi="Palatino Linotype"/>
          <w:kern w:val="24"/>
        </w:rPr>
        <w:t>results in disparate sentencing outcomes.</w:t>
      </w:r>
      <w:r w:rsidRPr="009D0C51">
        <w:rPr>
          <w:rStyle w:val="EndnoteReference"/>
          <w:rFonts w:ascii="Palatino Linotype" w:hAnsi="Palatino Linotype"/>
          <w:kern w:val="24"/>
        </w:rPr>
        <w:t xml:space="preserve"> </w:t>
      </w:r>
      <w:r w:rsidRPr="009D0C51">
        <w:rPr>
          <w:rStyle w:val="EndnoteReference"/>
          <w:rFonts w:ascii="Palatino Linotype" w:hAnsi="Palatino Linotype"/>
          <w:kern w:val="24"/>
        </w:rPr>
        <w:endnoteReference w:id="32"/>
      </w:r>
      <w:r w:rsidRPr="009D0C51">
        <w:rPr>
          <w:rFonts w:ascii="Palatino Linotype" w:hAnsi="Palatino Linotype"/>
          <w:kern w:val="24"/>
        </w:rPr>
        <w:t xml:space="preserve"> </w:t>
      </w:r>
      <w:r>
        <w:rPr>
          <w:rFonts w:ascii="Palatino Linotype" w:hAnsi="Palatino Linotype"/>
          <w:kern w:val="24"/>
        </w:rPr>
        <w:t xml:space="preserve">So much so that many previous federal Attorneys General have issued memos to restrict prosecutorial discretion because </w:t>
      </w:r>
      <w:r w:rsidRPr="009D0C51">
        <w:rPr>
          <w:rFonts w:ascii="Palatino Linotype" w:hAnsi="Palatino Linotype"/>
          <w:kern w:val="24"/>
        </w:rPr>
        <w:t>“federal prosecutors [were] pursuing their own idea of justice.”</w:t>
      </w:r>
      <w:r w:rsidRPr="009D0C51">
        <w:rPr>
          <w:rStyle w:val="EndnoteReference"/>
          <w:rFonts w:ascii="Palatino Linotype" w:hAnsi="Palatino Linotype"/>
          <w:kern w:val="24"/>
        </w:rPr>
        <w:endnoteReference w:id="33"/>
      </w:r>
      <w:r w:rsidRPr="009D0C51">
        <w:rPr>
          <w:rFonts w:ascii="Palatino Linotype" w:hAnsi="Palatino Linotype"/>
          <w:kern w:val="24"/>
        </w:rPr>
        <w:t xml:space="preserve"> New Jersey </w:t>
      </w:r>
      <w:r>
        <w:rPr>
          <w:rFonts w:ascii="Palatino Linotype" w:hAnsi="Palatino Linotype"/>
          <w:kern w:val="24"/>
        </w:rPr>
        <w:t xml:space="preserve">implemented prosecutorial guidelines because </w:t>
      </w:r>
      <w:r w:rsidRPr="009D0C51">
        <w:rPr>
          <w:rFonts w:ascii="Palatino Linotype" w:hAnsi="Palatino Linotype"/>
          <w:kern w:val="24"/>
        </w:rPr>
        <w:t>“prosecutors in urban counties had been offering much more generous deals that those in suburban or rural counties.”</w:t>
      </w:r>
      <w:r w:rsidRPr="009D0C51">
        <w:rPr>
          <w:rStyle w:val="EndnoteReference"/>
          <w:rFonts w:ascii="Palatino Linotype" w:hAnsi="Palatino Linotype"/>
          <w:kern w:val="24"/>
        </w:rPr>
        <w:endnoteReference w:id="34"/>
      </w:r>
      <w:r w:rsidRPr="009D0C51">
        <w:rPr>
          <w:rFonts w:ascii="Palatino Linotype" w:hAnsi="Palatino Linotype"/>
          <w:kern w:val="24"/>
        </w:rPr>
        <w:t xml:space="preserve"> </w:t>
      </w:r>
      <w:r>
        <w:rPr>
          <w:rFonts w:ascii="Palatino Linotype" w:hAnsi="Palatino Linotype"/>
          <w:kern w:val="24"/>
        </w:rPr>
        <w:t>R</w:t>
      </w:r>
      <w:r w:rsidRPr="009D0C51">
        <w:rPr>
          <w:rFonts w:ascii="Palatino Linotype" w:hAnsi="Palatino Linotype"/>
          <w:kern w:val="24"/>
        </w:rPr>
        <w:t xml:space="preserve">acial disparities are </w:t>
      </w:r>
      <w:r>
        <w:rPr>
          <w:rFonts w:ascii="Palatino Linotype" w:hAnsi="Palatino Linotype"/>
          <w:kern w:val="24"/>
        </w:rPr>
        <w:t xml:space="preserve">also </w:t>
      </w:r>
      <w:r w:rsidRPr="009D0C51">
        <w:rPr>
          <w:rFonts w:ascii="Palatino Linotype" w:hAnsi="Palatino Linotype"/>
          <w:kern w:val="24"/>
        </w:rPr>
        <w:t>rife</w:t>
      </w:r>
      <w:r>
        <w:rPr>
          <w:rFonts w:ascii="Palatino Linotype" w:hAnsi="Palatino Linotype"/>
          <w:kern w:val="24"/>
        </w:rPr>
        <w:t xml:space="preserve">. For instance, prosecutors in Georgia “have unbridled discretion” to decide whether to bring a charge carrying a </w:t>
      </w:r>
      <w:r w:rsidRPr="007C1E58">
        <w:rPr>
          <w:rFonts w:ascii="Palatino Linotype" w:hAnsi="Palatino Linotype"/>
          <w:kern w:val="24"/>
        </w:rPr>
        <w:t xml:space="preserve">mandatory minimum </w:t>
      </w:r>
      <w:r>
        <w:rPr>
          <w:rFonts w:ascii="Palatino Linotype" w:hAnsi="Palatino Linotype"/>
          <w:kern w:val="24"/>
        </w:rPr>
        <w:t xml:space="preserve">life sentence </w:t>
      </w:r>
      <w:r w:rsidRPr="007C1E58">
        <w:rPr>
          <w:rFonts w:ascii="Palatino Linotype" w:hAnsi="Palatino Linotype"/>
          <w:kern w:val="24"/>
        </w:rPr>
        <w:t>for a second drug offens</w:t>
      </w:r>
      <w:r>
        <w:rPr>
          <w:rFonts w:ascii="Palatino Linotype" w:hAnsi="Palatino Linotype"/>
          <w:kern w:val="24"/>
        </w:rPr>
        <w:t xml:space="preserve">e; when this practice was (unsuccessfully) challenged in 1995, prosecutors “had </w:t>
      </w:r>
      <w:r w:rsidRPr="007C1E58">
        <w:rPr>
          <w:rFonts w:ascii="Palatino Linotype" w:hAnsi="Palatino Linotype"/>
          <w:kern w:val="24"/>
        </w:rPr>
        <w:t xml:space="preserve">invoked </w:t>
      </w:r>
      <w:r>
        <w:rPr>
          <w:rFonts w:ascii="Palatino Linotype" w:hAnsi="Palatino Linotype"/>
          <w:kern w:val="24"/>
        </w:rPr>
        <w:t xml:space="preserve">[this discretion] </w:t>
      </w:r>
      <w:r w:rsidRPr="007C1E58">
        <w:rPr>
          <w:rFonts w:ascii="Palatino Linotype" w:hAnsi="Palatino Linotype"/>
          <w:kern w:val="24"/>
        </w:rPr>
        <w:t xml:space="preserve">against only 1 percent of white defendants facing a second drug conviction but against 16 percent of </w:t>
      </w:r>
      <w:r>
        <w:rPr>
          <w:rFonts w:ascii="Palatino Linotype" w:hAnsi="Palatino Linotype"/>
          <w:kern w:val="24"/>
        </w:rPr>
        <w:t>black defendants”, so “98.4% of those serving life sentences under the provision were black”.</w:t>
      </w:r>
      <w:r w:rsidRPr="009D0C51">
        <w:rPr>
          <w:rStyle w:val="EndnoteReference"/>
          <w:rFonts w:ascii="Palatino Linotype" w:hAnsi="Palatino Linotype"/>
          <w:kern w:val="24"/>
        </w:rPr>
        <w:endnoteReference w:id="35"/>
      </w:r>
      <w:r>
        <w:rPr>
          <w:rFonts w:ascii="Palatino Linotype" w:hAnsi="Palatino Linotype"/>
          <w:kern w:val="24"/>
        </w:rPr>
        <w:t xml:space="preserve"> </w:t>
      </w:r>
    </w:p>
    <w:p w14:paraId="46A53FFB" w14:textId="77777777" w:rsidR="00B26E96" w:rsidRDefault="00B26E96" w:rsidP="004921F5">
      <w:pPr>
        <w:spacing w:line="276" w:lineRule="auto"/>
        <w:rPr>
          <w:rFonts w:ascii="Palatino Linotype" w:hAnsi="Palatino Linotype"/>
          <w:kern w:val="24"/>
        </w:rPr>
      </w:pPr>
    </w:p>
    <w:p w14:paraId="2A6F9B96" w14:textId="5FB63C82" w:rsidR="00B26E96" w:rsidRPr="009D0C51" w:rsidRDefault="00B26E96" w:rsidP="004921F5">
      <w:pPr>
        <w:spacing w:line="276" w:lineRule="auto"/>
        <w:rPr>
          <w:rFonts w:ascii="Palatino Linotype" w:hAnsi="Palatino Linotype"/>
          <w:kern w:val="24"/>
        </w:rPr>
      </w:pPr>
      <w:r>
        <w:rPr>
          <w:rFonts w:ascii="Palatino Linotype" w:hAnsi="Palatino Linotype"/>
          <w:kern w:val="24"/>
        </w:rPr>
        <w:t xml:space="preserve">The problem here is not simply that discretion has not been eliminated. It is that </w:t>
      </w:r>
      <w:r w:rsidRPr="009D0C51">
        <w:rPr>
          <w:rFonts w:ascii="Palatino Linotype" w:hAnsi="Palatino Linotype"/>
          <w:kern w:val="24"/>
        </w:rPr>
        <w:t xml:space="preserve">prosecutorial discretion </w:t>
      </w:r>
      <w:r>
        <w:rPr>
          <w:rFonts w:ascii="Palatino Linotype" w:hAnsi="Palatino Linotype"/>
          <w:kern w:val="24"/>
        </w:rPr>
        <w:t xml:space="preserve">is more worrisome than judicial discretion. </w:t>
      </w:r>
      <w:r w:rsidRPr="009D0C51">
        <w:rPr>
          <w:rFonts w:ascii="Palatino Linotype" w:hAnsi="Palatino Linotype"/>
          <w:kern w:val="24"/>
        </w:rPr>
        <w:t xml:space="preserve">First, the determination of sentencing is </w:t>
      </w:r>
      <w:r>
        <w:rPr>
          <w:rFonts w:ascii="Palatino Linotype" w:hAnsi="Palatino Linotype"/>
          <w:kern w:val="24"/>
        </w:rPr>
        <w:t>“</w:t>
      </w:r>
      <w:r w:rsidRPr="009D0C51">
        <w:rPr>
          <w:rFonts w:ascii="Palatino Linotype" w:hAnsi="Palatino Linotype"/>
          <w:kern w:val="24"/>
        </w:rPr>
        <w:t>a quintessential, historically recognized judicial function</w:t>
      </w:r>
      <w:r>
        <w:rPr>
          <w:rFonts w:ascii="Palatino Linotype" w:hAnsi="Palatino Linotype"/>
          <w:kern w:val="24"/>
        </w:rPr>
        <w:t>”; the “effective</w:t>
      </w:r>
      <w:r w:rsidRPr="009D0C51">
        <w:rPr>
          <w:rFonts w:ascii="Palatino Linotype" w:hAnsi="Palatino Linotype"/>
          <w:kern w:val="24"/>
        </w:rPr>
        <w:t xml:space="preserve"> transfer </w:t>
      </w:r>
      <w:r>
        <w:rPr>
          <w:rFonts w:ascii="Palatino Linotype" w:hAnsi="Palatino Linotype"/>
          <w:kern w:val="24"/>
        </w:rPr>
        <w:t xml:space="preserve">of </w:t>
      </w:r>
      <w:r w:rsidRPr="009D0C51">
        <w:rPr>
          <w:rFonts w:ascii="Palatino Linotype" w:hAnsi="Palatino Linotype"/>
          <w:kern w:val="24"/>
        </w:rPr>
        <w:t xml:space="preserve">that </w:t>
      </w:r>
      <w:r>
        <w:rPr>
          <w:rFonts w:ascii="Palatino Linotype" w:hAnsi="Palatino Linotype"/>
          <w:kern w:val="24"/>
        </w:rPr>
        <w:t xml:space="preserve">power to the </w:t>
      </w:r>
      <w:r>
        <w:rPr>
          <w:rFonts w:ascii="Palatino Linotype" w:hAnsi="Palatino Linotype"/>
          <w:kern w:val="24"/>
        </w:rPr>
        <w:lastRenderedPageBreak/>
        <w:t>executive branch” via mandatory minimums undermines the separation of powers.</w:t>
      </w:r>
      <w:r w:rsidRPr="009D0C51">
        <w:rPr>
          <w:rStyle w:val="EndnoteReference"/>
          <w:rFonts w:ascii="Palatino Linotype" w:hAnsi="Palatino Linotype"/>
          <w:kern w:val="24"/>
        </w:rPr>
        <w:endnoteReference w:id="36"/>
      </w:r>
      <w:r>
        <w:rPr>
          <w:rFonts w:ascii="Palatino Linotype" w:hAnsi="Palatino Linotype"/>
          <w:kern w:val="24"/>
        </w:rPr>
        <w:t xml:space="preserve"> And second, </w:t>
      </w:r>
      <w:r w:rsidRPr="009D0C51">
        <w:rPr>
          <w:rFonts w:ascii="Palatino Linotype" w:hAnsi="Palatino Linotype"/>
          <w:kern w:val="24"/>
        </w:rPr>
        <w:t>prosecutors are less accountable than judges. The exercise of judicial discretion in sentencing is supported by judges’ written decisions, which are both reported and reviewable by superior courts. By contrast, “prosecutors have ended up with almost unfettered, unreviewable power to determine who gets sent to prison and for how long.”</w:t>
      </w:r>
      <w:r w:rsidRPr="009D0C51">
        <w:rPr>
          <w:rStyle w:val="EndnoteReference"/>
          <w:rFonts w:ascii="Palatino Linotype" w:hAnsi="Palatino Linotype"/>
          <w:kern w:val="24"/>
        </w:rPr>
        <w:endnoteReference w:id="37"/>
      </w:r>
      <w:r w:rsidRPr="009D0C51">
        <w:rPr>
          <w:rFonts w:ascii="Palatino Linotype" w:hAnsi="Palatino Linotype"/>
          <w:kern w:val="24"/>
        </w:rPr>
        <w:t xml:space="preserve"> </w:t>
      </w:r>
      <w:r>
        <w:rPr>
          <w:rFonts w:ascii="Palatino Linotype" w:hAnsi="Palatino Linotype"/>
          <w:kern w:val="24"/>
        </w:rPr>
        <w:t xml:space="preserve">And </w:t>
      </w:r>
      <w:r w:rsidRPr="009D0C51">
        <w:rPr>
          <w:rFonts w:ascii="Palatino Linotype" w:hAnsi="Palatino Linotype"/>
          <w:kern w:val="24"/>
        </w:rPr>
        <w:t xml:space="preserve">the lack of reporting mechanisms leaves us with a paucity of data for </w:t>
      </w:r>
      <w:r>
        <w:rPr>
          <w:rFonts w:ascii="Palatino Linotype" w:hAnsi="Palatino Linotype"/>
          <w:kern w:val="24"/>
        </w:rPr>
        <w:t xml:space="preserve">informally monitoring the use of </w:t>
      </w:r>
      <w:r w:rsidRPr="009D0C51">
        <w:rPr>
          <w:rFonts w:ascii="Palatino Linotype" w:hAnsi="Palatino Linotype"/>
          <w:kern w:val="24"/>
        </w:rPr>
        <w:t>prosecutorial discretion.</w:t>
      </w:r>
      <w:r w:rsidRPr="009D0C51">
        <w:rPr>
          <w:rStyle w:val="EndnoteReference"/>
          <w:rFonts w:ascii="Palatino Linotype" w:hAnsi="Palatino Linotype"/>
          <w:kern w:val="24"/>
        </w:rPr>
        <w:endnoteReference w:id="38"/>
      </w:r>
    </w:p>
    <w:p w14:paraId="152B3A06" w14:textId="77777777" w:rsidR="00B26E96" w:rsidRDefault="00B26E96" w:rsidP="00DD7808">
      <w:pPr>
        <w:spacing w:line="276" w:lineRule="auto"/>
        <w:rPr>
          <w:rFonts w:ascii="Palatino Linotype" w:hAnsi="Palatino Linotype"/>
          <w:kern w:val="24"/>
        </w:rPr>
      </w:pPr>
    </w:p>
    <w:p w14:paraId="1AC64FE9" w14:textId="77777777" w:rsidR="00B26E96" w:rsidRDefault="00B26E96" w:rsidP="001C3BB1">
      <w:pPr>
        <w:spacing w:line="276" w:lineRule="auto"/>
        <w:rPr>
          <w:rFonts w:ascii="Palatino Linotype" w:hAnsi="Palatino Linotype"/>
          <w:kern w:val="24"/>
        </w:rPr>
      </w:pPr>
      <w:r>
        <w:rPr>
          <w:rFonts w:ascii="Palatino Linotype" w:hAnsi="Palatino Linotype"/>
          <w:kern w:val="24"/>
        </w:rPr>
        <w:t>Defenders of drug-related mandatory minimums do not deny that they give prosecutors discretion. Indeed, they invoke prosecutorial discretion in defending such laws. T</w:t>
      </w:r>
      <w:r w:rsidRPr="009D0C51">
        <w:rPr>
          <w:rFonts w:ascii="Palatino Linotype" w:hAnsi="Palatino Linotype"/>
          <w:kern w:val="24"/>
        </w:rPr>
        <w:t>he National Association of As</w:t>
      </w:r>
      <w:r>
        <w:rPr>
          <w:rFonts w:ascii="Palatino Linotype" w:hAnsi="Palatino Linotype"/>
          <w:kern w:val="24"/>
        </w:rPr>
        <w:t xml:space="preserve">sistant United States Attorneys, for instance, argues that </w:t>
      </w:r>
      <w:r w:rsidRPr="009D0C51">
        <w:rPr>
          <w:rFonts w:ascii="Palatino Linotype" w:hAnsi="Palatino Linotype"/>
          <w:kern w:val="24"/>
        </w:rPr>
        <w:t>mandatory minimums do not produce disproportionate sentences because they are “almost never used, but instead only saved for the worst of the worst defendants.”</w:t>
      </w:r>
      <w:r w:rsidRPr="009D0C51">
        <w:rPr>
          <w:rStyle w:val="EndnoteReference"/>
          <w:rFonts w:ascii="Palatino Linotype" w:hAnsi="Palatino Linotype"/>
          <w:kern w:val="24"/>
        </w:rPr>
        <w:endnoteReference w:id="39"/>
      </w:r>
      <w:r w:rsidRPr="009D0C51">
        <w:rPr>
          <w:rFonts w:ascii="Palatino Linotype" w:hAnsi="Palatino Linotype"/>
          <w:kern w:val="24"/>
        </w:rPr>
        <w:t xml:space="preserve"> </w:t>
      </w:r>
      <w:r>
        <w:rPr>
          <w:rFonts w:ascii="Palatino Linotype" w:hAnsi="Palatino Linotype"/>
          <w:kern w:val="24"/>
        </w:rPr>
        <w:t xml:space="preserve">If this is true, how would mandatory minimums ensure </w:t>
      </w:r>
      <w:r w:rsidRPr="009D0C51">
        <w:rPr>
          <w:rFonts w:ascii="Palatino Linotype" w:hAnsi="Palatino Linotype"/>
          <w:kern w:val="24"/>
        </w:rPr>
        <w:t>consistency?</w:t>
      </w:r>
      <w:r w:rsidRPr="009D0C51">
        <w:rPr>
          <w:rStyle w:val="EndnoteReference"/>
          <w:rFonts w:ascii="Palatino Linotype" w:hAnsi="Palatino Linotype"/>
          <w:kern w:val="24"/>
        </w:rPr>
        <w:endnoteReference w:id="40"/>
      </w:r>
      <w:r w:rsidRPr="009D0C51">
        <w:rPr>
          <w:rFonts w:ascii="Palatino Linotype" w:hAnsi="Palatino Linotype"/>
          <w:kern w:val="24"/>
        </w:rPr>
        <w:t xml:space="preserve"> </w:t>
      </w:r>
    </w:p>
    <w:p w14:paraId="40A1EA87" w14:textId="77777777" w:rsidR="00B26E96" w:rsidRDefault="00B26E96" w:rsidP="00DD7808">
      <w:pPr>
        <w:spacing w:line="276" w:lineRule="auto"/>
        <w:rPr>
          <w:rFonts w:ascii="Palatino Linotype" w:hAnsi="Palatino Linotype"/>
          <w:kern w:val="24"/>
        </w:rPr>
      </w:pPr>
    </w:p>
    <w:p w14:paraId="01AFA9C2" w14:textId="67AB7965" w:rsidR="00B26E96" w:rsidRPr="009D0C51" w:rsidRDefault="00B26E96" w:rsidP="001C3BB1">
      <w:pPr>
        <w:spacing w:line="276" w:lineRule="auto"/>
        <w:rPr>
          <w:rFonts w:ascii="Palatino Linotype" w:hAnsi="Palatino Linotype"/>
          <w:kern w:val="24"/>
        </w:rPr>
      </w:pPr>
      <w:r>
        <w:rPr>
          <w:rFonts w:ascii="Palatino Linotype" w:hAnsi="Palatino Linotype"/>
          <w:kern w:val="24"/>
        </w:rPr>
        <w:t>The available data also undermine this defense. D</w:t>
      </w:r>
      <w:r w:rsidRPr="009D0C51">
        <w:rPr>
          <w:rFonts w:ascii="Palatino Linotype" w:hAnsi="Palatino Linotype"/>
          <w:kern w:val="24"/>
        </w:rPr>
        <w:t xml:space="preserve">rug-related mandatory minimums are </w:t>
      </w:r>
      <w:r>
        <w:rPr>
          <w:rFonts w:ascii="Palatino Linotype" w:hAnsi="Palatino Linotype"/>
          <w:kern w:val="24"/>
        </w:rPr>
        <w:t>not “almost never used”. C</w:t>
      </w:r>
      <w:r w:rsidRPr="009D0C51">
        <w:rPr>
          <w:rFonts w:ascii="Palatino Linotype" w:hAnsi="Palatino Linotype"/>
          <w:kern w:val="24"/>
        </w:rPr>
        <w:t xml:space="preserve">lose to 47% of </w:t>
      </w:r>
      <w:r>
        <w:rPr>
          <w:rFonts w:ascii="Palatino Linotype" w:hAnsi="Palatino Linotype"/>
          <w:kern w:val="24"/>
        </w:rPr>
        <w:t xml:space="preserve">federal </w:t>
      </w:r>
      <w:r w:rsidRPr="009D0C51">
        <w:rPr>
          <w:rFonts w:ascii="Palatino Linotype" w:hAnsi="Palatino Linotype"/>
          <w:kern w:val="24"/>
        </w:rPr>
        <w:t xml:space="preserve">drug offenders sentenced in </w:t>
      </w:r>
      <w:r>
        <w:rPr>
          <w:rFonts w:ascii="Palatino Linotype" w:hAnsi="Palatino Linotype"/>
          <w:kern w:val="24"/>
        </w:rPr>
        <w:t xml:space="preserve">2016 </w:t>
      </w:r>
      <w:r w:rsidRPr="009D0C51">
        <w:rPr>
          <w:rFonts w:ascii="Palatino Linotype" w:hAnsi="Palatino Linotype"/>
          <w:kern w:val="24"/>
        </w:rPr>
        <w:t>were convicted of offenses carrying a mandatory minimum penalty.</w:t>
      </w:r>
      <w:r w:rsidRPr="009D0C51">
        <w:rPr>
          <w:rStyle w:val="EndnoteReference"/>
          <w:rFonts w:ascii="Palatino Linotype" w:hAnsi="Palatino Linotype"/>
          <w:kern w:val="24"/>
        </w:rPr>
        <w:endnoteReference w:id="41"/>
      </w:r>
      <w:r w:rsidRPr="009D0C51">
        <w:rPr>
          <w:rFonts w:ascii="Palatino Linotype" w:hAnsi="Palatino Linotype"/>
          <w:kern w:val="24"/>
        </w:rPr>
        <w:t xml:space="preserve"> </w:t>
      </w:r>
      <w:r>
        <w:rPr>
          <w:rFonts w:ascii="Palatino Linotype" w:hAnsi="Palatino Linotype"/>
          <w:kern w:val="24"/>
        </w:rPr>
        <w:t>Nor are they</w:t>
      </w:r>
      <w:r w:rsidRPr="009D0C51">
        <w:rPr>
          <w:rFonts w:ascii="Palatino Linotype" w:hAnsi="Palatino Linotype"/>
          <w:kern w:val="24"/>
        </w:rPr>
        <w:t xml:space="preserve"> “saved for the worst of the worst defendants.”</w:t>
      </w:r>
      <w:r>
        <w:rPr>
          <w:rFonts w:ascii="Palatino Linotype" w:hAnsi="Palatino Linotype"/>
          <w:kern w:val="24"/>
        </w:rPr>
        <w:t xml:space="preserve"> M</w:t>
      </w:r>
      <w:r w:rsidRPr="009D0C51">
        <w:rPr>
          <w:rFonts w:ascii="Palatino Linotype" w:hAnsi="Palatino Linotype"/>
          <w:kern w:val="24"/>
        </w:rPr>
        <w:t xml:space="preserve">andatory minimums are </w:t>
      </w:r>
      <w:r w:rsidRPr="00E5316E">
        <w:rPr>
          <w:rFonts w:ascii="Palatino Linotype" w:hAnsi="Palatino Linotype"/>
          <w:i/>
          <w:kern w:val="24"/>
        </w:rPr>
        <w:t>more</w:t>
      </w:r>
      <w:r w:rsidRPr="009D0C51">
        <w:rPr>
          <w:rFonts w:ascii="Palatino Linotype" w:hAnsi="Palatino Linotype"/>
          <w:kern w:val="24"/>
        </w:rPr>
        <w:t xml:space="preserve"> frequently applied to </w:t>
      </w:r>
      <w:r w:rsidRPr="00E5316E">
        <w:rPr>
          <w:rFonts w:ascii="Palatino Linotype" w:hAnsi="Palatino Linotype"/>
          <w:i/>
          <w:kern w:val="24"/>
        </w:rPr>
        <w:t>less</w:t>
      </w:r>
      <w:r>
        <w:rPr>
          <w:rFonts w:ascii="Palatino Linotype" w:hAnsi="Palatino Linotype"/>
          <w:kern w:val="24"/>
        </w:rPr>
        <w:t xml:space="preserve"> culpable </w:t>
      </w:r>
      <w:r w:rsidRPr="009D0C51">
        <w:rPr>
          <w:rFonts w:ascii="Palatino Linotype" w:hAnsi="Palatino Linotype"/>
          <w:kern w:val="24"/>
        </w:rPr>
        <w:t>offenders</w:t>
      </w:r>
      <w:r>
        <w:rPr>
          <w:rFonts w:ascii="Palatino Linotype" w:hAnsi="Palatino Linotype"/>
          <w:kern w:val="24"/>
        </w:rPr>
        <w:t xml:space="preserve">. In </w:t>
      </w:r>
      <w:r w:rsidRPr="009D0C51">
        <w:rPr>
          <w:rFonts w:ascii="Palatino Linotype" w:hAnsi="Palatino Linotype"/>
          <w:kern w:val="24"/>
        </w:rPr>
        <w:t xml:space="preserve">2016 </w:t>
      </w:r>
      <w:r>
        <w:rPr>
          <w:rFonts w:ascii="Palatino Linotype" w:hAnsi="Palatino Linotype"/>
          <w:kern w:val="24"/>
        </w:rPr>
        <w:t xml:space="preserve">over one-third </w:t>
      </w:r>
      <w:r w:rsidRPr="009D0C51">
        <w:rPr>
          <w:rFonts w:ascii="Palatino Linotype" w:hAnsi="Palatino Linotype"/>
          <w:kern w:val="24"/>
        </w:rPr>
        <w:t xml:space="preserve">of </w:t>
      </w:r>
      <w:r>
        <w:rPr>
          <w:rFonts w:ascii="Palatino Linotype" w:hAnsi="Palatino Linotype"/>
          <w:kern w:val="24"/>
        </w:rPr>
        <w:t xml:space="preserve">federal </w:t>
      </w:r>
      <w:r w:rsidRPr="009D0C51">
        <w:rPr>
          <w:rFonts w:ascii="Palatino Linotype" w:hAnsi="Palatino Linotype"/>
          <w:kern w:val="24"/>
        </w:rPr>
        <w:t>offenders who were subject to a mandatory minimum penalty at sentencing had a Category I</w:t>
      </w:r>
      <w:r>
        <w:rPr>
          <w:rFonts w:ascii="Palatino Linotype" w:hAnsi="Palatino Linotype"/>
          <w:kern w:val="24"/>
        </w:rPr>
        <w:t xml:space="preserve"> Criminal History; another third fell into Category II or Category III.</w:t>
      </w:r>
      <w:r w:rsidRPr="009D0C51">
        <w:rPr>
          <w:rStyle w:val="EndnoteReference"/>
          <w:rFonts w:ascii="Palatino Linotype" w:hAnsi="Palatino Linotype"/>
          <w:kern w:val="24"/>
        </w:rPr>
        <w:endnoteReference w:id="42"/>
      </w:r>
      <w:r>
        <w:rPr>
          <w:rFonts w:ascii="Palatino Linotype" w:hAnsi="Palatino Linotype"/>
          <w:kern w:val="24"/>
        </w:rPr>
        <w:t xml:space="preserve"> These are the </w:t>
      </w:r>
      <w:r w:rsidRPr="00A30BB1">
        <w:rPr>
          <w:rFonts w:ascii="Palatino Linotype" w:hAnsi="Palatino Linotype"/>
          <w:i/>
          <w:kern w:val="24"/>
        </w:rPr>
        <w:t>least</w:t>
      </w:r>
      <w:r>
        <w:rPr>
          <w:rFonts w:ascii="Palatino Linotype" w:hAnsi="Palatino Linotype"/>
          <w:kern w:val="24"/>
        </w:rPr>
        <w:t xml:space="preserve"> serious of the available six categories. As we will see in </w:t>
      </w:r>
      <w:r w:rsidRPr="009D0C51">
        <w:rPr>
          <w:rFonts w:ascii="Palatino Linotype" w:hAnsi="Palatino Linotype"/>
          <w:kern w:val="24"/>
        </w:rPr>
        <w:t>§</w:t>
      </w:r>
      <w:r>
        <w:rPr>
          <w:rFonts w:ascii="Palatino Linotype" w:hAnsi="Palatino Linotype"/>
          <w:kern w:val="24"/>
        </w:rPr>
        <w:t xml:space="preserve">III, there is a simple explanation for this pattern. </w:t>
      </w:r>
    </w:p>
    <w:p w14:paraId="13094142" w14:textId="77777777" w:rsidR="00B26E96" w:rsidRPr="009D0C51" w:rsidRDefault="00B26E96" w:rsidP="0088071C">
      <w:pPr>
        <w:spacing w:line="276" w:lineRule="auto"/>
        <w:rPr>
          <w:rFonts w:ascii="Palatino Linotype" w:hAnsi="Palatino Linotype"/>
          <w:kern w:val="24"/>
        </w:rPr>
      </w:pPr>
    </w:p>
    <w:p w14:paraId="18AA1E69" w14:textId="3C568632" w:rsidR="00B26E96" w:rsidRDefault="00B26E96" w:rsidP="00DD7808">
      <w:pPr>
        <w:spacing w:line="276" w:lineRule="auto"/>
        <w:rPr>
          <w:rFonts w:ascii="Palatino Linotype" w:hAnsi="Palatino Linotype"/>
          <w:kern w:val="24"/>
        </w:rPr>
      </w:pPr>
      <w:r>
        <w:rPr>
          <w:rFonts w:ascii="Palatino Linotype" w:hAnsi="Palatino Linotype"/>
          <w:kern w:val="24"/>
        </w:rPr>
        <w:t>Notably, many reforms that restrict prosecutorial discretion—such as Sessions’ May 10</w:t>
      </w:r>
      <w:r w:rsidR="00536569">
        <w:rPr>
          <w:rFonts w:ascii="Palatino Linotype" w:hAnsi="Palatino Linotype"/>
          <w:kern w:val="24"/>
        </w:rPr>
        <w:t>, 2017</w:t>
      </w:r>
      <w:r>
        <w:rPr>
          <w:rFonts w:ascii="Palatino Linotype" w:hAnsi="Palatino Linotype"/>
          <w:kern w:val="24"/>
        </w:rPr>
        <w:t xml:space="preserve"> memo—</w:t>
      </w:r>
      <w:r w:rsidRPr="009D0C51">
        <w:rPr>
          <w:rFonts w:ascii="Palatino Linotype" w:hAnsi="Palatino Linotype"/>
          <w:kern w:val="24"/>
        </w:rPr>
        <w:t>f</w:t>
      </w:r>
      <w:r>
        <w:rPr>
          <w:rFonts w:ascii="Palatino Linotype" w:hAnsi="Palatino Linotype"/>
          <w:kern w:val="24"/>
        </w:rPr>
        <w:t>orce</w:t>
      </w:r>
      <w:r w:rsidRPr="009D0C51">
        <w:rPr>
          <w:rFonts w:ascii="Palatino Linotype" w:hAnsi="Palatino Linotype"/>
          <w:kern w:val="24"/>
        </w:rPr>
        <w:t xml:space="preserve"> prosecutors to apply </w:t>
      </w:r>
      <w:r>
        <w:rPr>
          <w:rFonts w:ascii="Palatino Linotype" w:hAnsi="Palatino Linotype"/>
          <w:kern w:val="24"/>
        </w:rPr>
        <w:t xml:space="preserve">mandatory minimums more frequently, resulting </w:t>
      </w:r>
      <w:r w:rsidRPr="009D0C51">
        <w:rPr>
          <w:rFonts w:ascii="Palatino Linotype" w:hAnsi="Palatino Linotype"/>
          <w:kern w:val="24"/>
        </w:rPr>
        <w:t xml:space="preserve">in </w:t>
      </w:r>
      <w:r>
        <w:rPr>
          <w:rFonts w:ascii="Palatino Linotype" w:hAnsi="Palatino Linotype"/>
          <w:kern w:val="24"/>
        </w:rPr>
        <w:t xml:space="preserve">more disproportionate sentences. This suggests that the conflict between consistency- and proportionality-based principles of justice is deep. So which principle should we accept? </w:t>
      </w:r>
    </w:p>
    <w:p w14:paraId="72522197" w14:textId="77777777" w:rsidR="00B26E96" w:rsidRDefault="00B26E96" w:rsidP="00DD7808">
      <w:pPr>
        <w:spacing w:line="276" w:lineRule="auto"/>
        <w:rPr>
          <w:rFonts w:ascii="Palatino Linotype" w:hAnsi="Palatino Linotype"/>
          <w:kern w:val="24"/>
        </w:rPr>
      </w:pPr>
    </w:p>
    <w:p w14:paraId="1E6AE304" w14:textId="5E670494" w:rsidR="00B26E96" w:rsidRPr="009D0C51" w:rsidRDefault="00B26E96" w:rsidP="00FD2EE6">
      <w:pPr>
        <w:spacing w:line="276" w:lineRule="auto"/>
        <w:rPr>
          <w:rFonts w:ascii="Palatino Linotype" w:hAnsi="Palatino Linotype"/>
          <w:kern w:val="24"/>
        </w:rPr>
      </w:pPr>
      <w:r>
        <w:rPr>
          <w:rFonts w:ascii="Palatino Linotype" w:hAnsi="Palatino Linotype"/>
          <w:kern w:val="24"/>
        </w:rPr>
        <w:lastRenderedPageBreak/>
        <w:t xml:space="preserve">One option is to eliminate the conflict between these principles by interpreting proportionality as being </w:t>
      </w:r>
      <w:r w:rsidRPr="004278F0">
        <w:rPr>
          <w:rFonts w:ascii="Palatino Linotype" w:hAnsi="Palatino Linotype"/>
          <w:i/>
          <w:kern w:val="24"/>
        </w:rPr>
        <w:t>determined</w:t>
      </w:r>
      <w:r>
        <w:rPr>
          <w:rFonts w:ascii="Palatino Linotype" w:hAnsi="Palatino Linotype"/>
          <w:kern w:val="24"/>
        </w:rPr>
        <w:t xml:space="preserve"> by the law. I</w:t>
      </w:r>
      <w:r w:rsidRPr="009D0C51">
        <w:rPr>
          <w:rFonts w:ascii="Palatino Linotype" w:hAnsi="Palatino Linotype"/>
          <w:kern w:val="24"/>
        </w:rPr>
        <w:t>f “offenders deserve whatever the penal code provides as their punishment”,</w:t>
      </w:r>
      <w:r w:rsidRPr="009D0C51">
        <w:rPr>
          <w:rStyle w:val="EndnoteReference"/>
          <w:rFonts w:ascii="Palatino Linotype" w:hAnsi="Palatino Linotype"/>
          <w:kern w:val="24"/>
        </w:rPr>
        <w:endnoteReference w:id="43"/>
      </w:r>
      <w:r w:rsidRPr="009D0C51">
        <w:rPr>
          <w:rFonts w:ascii="Palatino Linotype" w:hAnsi="Palatino Linotype"/>
          <w:kern w:val="24"/>
        </w:rPr>
        <w:t xml:space="preserve"> mandatory minimums do not </w:t>
      </w:r>
      <w:r>
        <w:rPr>
          <w:rFonts w:ascii="Palatino Linotype" w:hAnsi="Palatino Linotype"/>
          <w:kern w:val="24"/>
        </w:rPr>
        <w:t>generate</w:t>
      </w:r>
      <w:r w:rsidRPr="009D0C51">
        <w:rPr>
          <w:rFonts w:ascii="Palatino Linotype" w:hAnsi="Palatino Linotype"/>
          <w:kern w:val="24"/>
        </w:rPr>
        <w:t xml:space="preserve"> disproportionate sentences</w:t>
      </w:r>
      <w:r>
        <w:rPr>
          <w:rFonts w:ascii="Palatino Linotype" w:hAnsi="Palatino Linotype"/>
          <w:kern w:val="24"/>
        </w:rPr>
        <w:t>; and they should be applied consistently so everyone gets what they deserve</w:t>
      </w:r>
      <w:r w:rsidRPr="009D0C51">
        <w:rPr>
          <w:rFonts w:ascii="Palatino Linotype" w:hAnsi="Palatino Linotype"/>
          <w:kern w:val="24"/>
        </w:rPr>
        <w:t xml:space="preserve">. </w:t>
      </w:r>
      <w:r>
        <w:rPr>
          <w:rFonts w:ascii="Palatino Linotype" w:hAnsi="Palatino Linotype"/>
          <w:kern w:val="24"/>
        </w:rPr>
        <w:t>T</w:t>
      </w:r>
      <w:r w:rsidRPr="009D0C51">
        <w:rPr>
          <w:rFonts w:ascii="Palatino Linotype" w:hAnsi="Palatino Linotype"/>
          <w:kern w:val="24"/>
        </w:rPr>
        <w:t xml:space="preserve">his </w:t>
      </w:r>
      <w:r>
        <w:rPr>
          <w:rFonts w:ascii="Palatino Linotype" w:hAnsi="Palatino Linotype"/>
          <w:kern w:val="24"/>
        </w:rPr>
        <w:t xml:space="preserve">view </w:t>
      </w:r>
      <w:r w:rsidRPr="009D0C51">
        <w:rPr>
          <w:rFonts w:ascii="Palatino Linotype" w:hAnsi="Palatino Linotype"/>
          <w:kern w:val="24"/>
        </w:rPr>
        <w:t xml:space="preserve">is </w:t>
      </w:r>
      <w:r>
        <w:rPr>
          <w:rFonts w:ascii="Palatino Linotype" w:hAnsi="Palatino Linotype"/>
          <w:kern w:val="24"/>
        </w:rPr>
        <w:t>implausible: i</w:t>
      </w:r>
      <w:r w:rsidRPr="009D0C51">
        <w:rPr>
          <w:rFonts w:ascii="Palatino Linotype" w:hAnsi="Palatino Linotype"/>
          <w:kern w:val="24"/>
        </w:rPr>
        <w:t xml:space="preserve">f whatever the law requires is what the offender deserves, a mandatory minimum </w:t>
      </w:r>
      <w:r>
        <w:rPr>
          <w:rFonts w:ascii="Palatino Linotype" w:hAnsi="Palatino Linotype"/>
          <w:kern w:val="24"/>
        </w:rPr>
        <w:t>death penalty for jaywalking c</w:t>
      </w:r>
      <w:r w:rsidRPr="009D0C51">
        <w:rPr>
          <w:rFonts w:ascii="Palatino Linotype" w:hAnsi="Palatino Linotype"/>
          <w:kern w:val="24"/>
        </w:rPr>
        <w:t xml:space="preserve">ould be </w:t>
      </w:r>
      <w:r>
        <w:rPr>
          <w:rFonts w:ascii="Palatino Linotype" w:hAnsi="Palatino Linotype"/>
          <w:kern w:val="24"/>
        </w:rPr>
        <w:t>proportionate</w:t>
      </w:r>
      <w:r w:rsidRPr="009D0C51">
        <w:rPr>
          <w:rFonts w:ascii="Palatino Linotype" w:hAnsi="Palatino Linotype"/>
          <w:kern w:val="24"/>
        </w:rPr>
        <w:t xml:space="preserve">. Moreover, </w:t>
      </w:r>
      <w:r>
        <w:rPr>
          <w:rFonts w:ascii="Palatino Linotype" w:hAnsi="Palatino Linotype"/>
          <w:kern w:val="24"/>
        </w:rPr>
        <w:t xml:space="preserve">this view is </w:t>
      </w:r>
      <w:r w:rsidRPr="009D0C51">
        <w:rPr>
          <w:rFonts w:ascii="Palatino Linotype" w:hAnsi="Palatino Linotype"/>
          <w:kern w:val="24"/>
        </w:rPr>
        <w:t>inconsistent with</w:t>
      </w:r>
      <w:r>
        <w:rPr>
          <w:rFonts w:ascii="Palatino Linotype" w:hAnsi="Palatino Linotype"/>
          <w:kern w:val="24"/>
        </w:rPr>
        <w:t xml:space="preserve"> the</w:t>
      </w:r>
      <w:r w:rsidRPr="009D0C51">
        <w:rPr>
          <w:rFonts w:ascii="Palatino Linotype" w:hAnsi="Palatino Linotype"/>
          <w:kern w:val="24"/>
        </w:rPr>
        <w:t xml:space="preserve"> Supreme Court</w:t>
      </w:r>
      <w:r>
        <w:rPr>
          <w:rFonts w:ascii="Palatino Linotype" w:hAnsi="Palatino Linotype"/>
          <w:kern w:val="24"/>
        </w:rPr>
        <w:t>’s understanding of</w:t>
      </w:r>
      <w:r w:rsidRPr="009D0C51">
        <w:rPr>
          <w:rFonts w:ascii="Palatino Linotype" w:hAnsi="Palatino Linotype"/>
          <w:kern w:val="24"/>
        </w:rPr>
        <w:t xml:space="preserve"> its narrow “proportionality analysis”</w:t>
      </w:r>
      <w:r>
        <w:rPr>
          <w:rFonts w:ascii="Palatino Linotype" w:hAnsi="Palatino Linotype"/>
          <w:kern w:val="24"/>
        </w:rPr>
        <w:t>:</w:t>
      </w:r>
      <w:r w:rsidRPr="009D0C51">
        <w:rPr>
          <w:rFonts w:ascii="Palatino Linotype" w:hAnsi="Palatino Linotype"/>
          <w:kern w:val="24"/>
        </w:rPr>
        <w:t xml:space="preserve"> the Court has taken a “highly deferential” approach</w:t>
      </w:r>
      <w:r>
        <w:rPr>
          <w:rFonts w:ascii="Palatino Linotype" w:hAnsi="Palatino Linotype"/>
          <w:kern w:val="24"/>
        </w:rPr>
        <w:t>,</w:t>
      </w:r>
      <w:r w:rsidRPr="009D0C51">
        <w:rPr>
          <w:rFonts w:ascii="Palatino Linotype" w:hAnsi="Palatino Linotype"/>
          <w:kern w:val="24"/>
          <w:vertAlign w:val="superscript"/>
        </w:rPr>
        <w:endnoteReference w:id="44"/>
      </w:r>
      <w:r w:rsidRPr="009D0C51">
        <w:rPr>
          <w:rFonts w:ascii="Palatino Linotype" w:hAnsi="Palatino Linotype"/>
          <w:kern w:val="24"/>
        </w:rPr>
        <w:t xml:space="preserve"> </w:t>
      </w:r>
      <w:r>
        <w:rPr>
          <w:rFonts w:ascii="Palatino Linotype" w:hAnsi="Palatino Linotype"/>
          <w:kern w:val="24"/>
        </w:rPr>
        <w:t>and hence upheld</w:t>
      </w:r>
      <w:r w:rsidRPr="009D0C51">
        <w:rPr>
          <w:rFonts w:ascii="Palatino Linotype" w:hAnsi="Palatino Linotype"/>
          <w:kern w:val="24"/>
        </w:rPr>
        <w:t xml:space="preserve"> a mandatory minimum life sentence for possessing 672 grams of cocaine</w:t>
      </w:r>
      <w:r>
        <w:rPr>
          <w:rFonts w:ascii="Palatino Linotype" w:hAnsi="Palatino Linotype"/>
          <w:kern w:val="24"/>
        </w:rPr>
        <w:t>;</w:t>
      </w:r>
      <w:r w:rsidRPr="009D0C51">
        <w:rPr>
          <w:rFonts w:ascii="Palatino Linotype" w:hAnsi="Palatino Linotype"/>
          <w:kern w:val="24"/>
          <w:vertAlign w:val="superscript"/>
        </w:rPr>
        <w:endnoteReference w:id="45"/>
      </w:r>
      <w:r w:rsidRPr="009D0C51">
        <w:rPr>
          <w:rFonts w:ascii="Palatino Linotype" w:hAnsi="Palatino Linotype"/>
          <w:kern w:val="24"/>
        </w:rPr>
        <w:t xml:space="preserve"> </w:t>
      </w:r>
      <w:r>
        <w:rPr>
          <w:rFonts w:ascii="Palatino Linotype" w:hAnsi="Palatino Linotype"/>
          <w:kern w:val="24"/>
        </w:rPr>
        <w:t xml:space="preserve">but </w:t>
      </w:r>
      <w:r w:rsidR="00536569">
        <w:rPr>
          <w:rFonts w:ascii="Palatino Linotype" w:hAnsi="Palatino Linotype"/>
          <w:kern w:val="24"/>
        </w:rPr>
        <w:t xml:space="preserve">it </w:t>
      </w:r>
      <w:r>
        <w:rPr>
          <w:rFonts w:ascii="Palatino Linotype" w:hAnsi="Palatino Linotype"/>
          <w:kern w:val="24"/>
        </w:rPr>
        <w:t xml:space="preserve">still treats legislation only as </w:t>
      </w:r>
      <w:r w:rsidRPr="00D94139">
        <w:rPr>
          <w:rFonts w:ascii="Palatino Linotype" w:hAnsi="Palatino Linotype"/>
          <w:i/>
          <w:kern w:val="24"/>
        </w:rPr>
        <w:t>evidence</w:t>
      </w:r>
      <w:r>
        <w:rPr>
          <w:rFonts w:ascii="Palatino Linotype" w:hAnsi="Palatino Linotype"/>
          <w:kern w:val="24"/>
        </w:rPr>
        <w:t xml:space="preserve"> of </w:t>
      </w:r>
      <w:r w:rsidRPr="009D0C51">
        <w:rPr>
          <w:rFonts w:ascii="Palatino Linotype" w:hAnsi="Palatino Linotype"/>
          <w:kern w:val="24"/>
        </w:rPr>
        <w:t xml:space="preserve">what </w:t>
      </w:r>
      <w:r>
        <w:rPr>
          <w:rFonts w:ascii="Palatino Linotype" w:hAnsi="Palatino Linotype"/>
          <w:kern w:val="24"/>
        </w:rPr>
        <w:t xml:space="preserve">is </w:t>
      </w:r>
      <w:r w:rsidRPr="009D0C51">
        <w:rPr>
          <w:rFonts w:ascii="Palatino Linotype" w:hAnsi="Palatino Linotype"/>
          <w:kern w:val="24"/>
        </w:rPr>
        <w:t>proportionate</w:t>
      </w:r>
      <w:r>
        <w:rPr>
          <w:rFonts w:ascii="Palatino Linotype" w:hAnsi="Palatino Linotype"/>
          <w:kern w:val="24"/>
        </w:rPr>
        <w:t xml:space="preserve">. </w:t>
      </w:r>
    </w:p>
    <w:p w14:paraId="1A3FE7A2" w14:textId="77777777" w:rsidR="00B26E96" w:rsidRDefault="00B26E96" w:rsidP="00DD7808">
      <w:pPr>
        <w:spacing w:line="276" w:lineRule="auto"/>
        <w:rPr>
          <w:rFonts w:ascii="Palatino Linotype" w:hAnsi="Palatino Linotype"/>
          <w:kern w:val="24"/>
        </w:rPr>
      </w:pPr>
    </w:p>
    <w:p w14:paraId="6A5EDB23" w14:textId="3A61F707" w:rsidR="00B26E96" w:rsidRPr="004278F0" w:rsidRDefault="00B26E96" w:rsidP="00E56A10">
      <w:pPr>
        <w:spacing w:line="276" w:lineRule="auto"/>
      </w:pPr>
      <w:r>
        <w:rPr>
          <w:rFonts w:ascii="Palatino Linotype" w:hAnsi="Palatino Linotype"/>
          <w:kern w:val="24"/>
        </w:rPr>
        <w:t xml:space="preserve">Alternatively, one might </w:t>
      </w:r>
      <w:r w:rsidRPr="009D0C51">
        <w:rPr>
          <w:rFonts w:ascii="Palatino Linotype" w:hAnsi="Palatino Linotype"/>
          <w:kern w:val="24"/>
        </w:rPr>
        <w:t xml:space="preserve">deny the principle of proportionality. </w:t>
      </w:r>
      <w:r>
        <w:rPr>
          <w:rFonts w:ascii="Palatino Linotype" w:hAnsi="Palatino Linotype"/>
          <w:kern w:val="24"/>
        </w:rPr>
        <w:t xml:space="preserve">Simple </w:t>
      </w:r>
      <w:r w:rsidRPr="009D0C51">
        <w:rPr>
          <w:rFonts w:ascii="Palatino Linotype" w:hAnsi="Palatino Linotype"/>
          <w:kern w:val="24"/>
        </w:rPr>
        <w:t xml:space="preserve">utilitarian </w:t>
      </w:r>
      <w:r>
        <w:rPr>
          <w:rFonts w:ascii="Palatino Linotype" w:hAnsi="Palatino Linotype"/>
          <w:kern w:val="24"/>
        </w:rPr>
        <w:t xml:space="preserve">views take this route. And they thereby </w:t>
      </w:r>
      <w:r w:rsidRPr="009D0C51">
        <w:rPr>
          <w:rFonts w:ascii="Palatino Linotype" w:hAnsi="Palatino Linotype"/>
          <w:kern w:val="24"/>
        </w:rPr>
        <w:t>license the punishment of the innocent: as Adam Kolber writes, “punishing innocent people is just a specialized case of over-punishment in which a person with no blameworthiness is punished in excess of desert.”</w:t>
      </w:r>
      <w:r w:rsidRPr="009D0C51">
        <w:rPr>
          <w:rStyle w:val="EndnoteReference"/>
          <w:rFonts w:ascii="Palatino Linotype" w:hAnsi="Palatino Linotype"/>
          <w:kern w:val="24"/>
        </w:rPr>
        <w:endnoteReference w:id="46"/>
      </w:r>
      <w:r w:rsidRPr="009D0C51">
        <w:rPr>
          <w:rFonts w:ascii="Palatino Linotype" w:hAnsi="Palatino Linotype"/>
          <w:kern w:val="24"/>
        </w:rPr>
        <w:t xml:space="preserve"> This is why </w:t>
      </w:r>
      <w:r>
        <w:rPr>
          <w:rFonts w:ascii="Palatino Linotype" w:hAnsi="Palatino Linotype"/>
          <w:kern w:val="24"/>
        </w:rPr>
        <w:t xml:space="preserve">simple </w:t>
      </w:r>
      <w:r w:rsidRPr="009D0C51">
        <w:rPr>
          <w:rFonts w:ascii="Palatino Linotype" w:hAnsi="Palatino Linotype"/>
          <w:kern w:val="24"/>
        </w:rPr>
        <w:t xml:space="preserve">utilitarian theories of punishment are </w:t>
      </w:r>
      <w:r>
        <w:rPr>
          <w:rFonts w:ascii="Palatino Linotype" w:hAnsi="Palatino Linotype"/>
          <w:kern w:val="24"/>
        </w:rPr>
        <w:t>widely rejected.</w:t>
      </w:r>
      <w:r w:rsidRPr="009D0C51">
        <w:rPr>
          <w:rStyle w:val="EndnoteReference"/>
          <w:rFonts w:ascii="Palatino Linotype" w:hAnsi="Palatino Linotype"/>
          <w:kern w:val="24"/>
        </w:rPr>
        <w:endnoteReference w:id="47"/>
      </w:r>
      <w:r>
        <w:t xml:space="preserve"> </w:t>
      </w:r>
    </w:p>
    <w:p w14:paraId="3AACE85E" w14:textId="77777777" w:rsidR="00B26E96" w:rsidRDefault="00B26E96" w:rsidP="00E56A10">
      <w:pPr>
        <w:spacing w:line="276" w:lineRule="auto"/>
        <w:rPr>
          <w:rFonts w:ascii="Palatino Linotype" w:hAnsi="Palatino Linotype"/>
          <w:kern w:val="24"/>
        </w:rPr>
      </w:pPr>
    </w:p>
    <w:p w14:paraId="79755F19" w14:textId="6364C442" w:rsidR="00B26E96" w:rsidRDefault="00B26E96" w:rsidP="009C6DB7">
      <w:pPr>
        <w:spacing w:line="276" w:lineRule="auto"/>
        <w:rPr>
          <w:rFonts w:ascii="Palatino Linotype" w:hAnsi="Palatino Linotype"/>
          <w:kern w:val="24"/>
        </w:rPr>
      </w:pPr>
      <w:r>
        <w:rPr>
          <w:rFonts w:ascii="Palatino Linotype" w:hAnsi="Palatino Linotype"/>
          <w:kern w:val="24"/>
        </w:rPr>
        <w:t>This leaves a final option: rejecting consistency principles wherever they conflict with the principle of proportionality</w:t>
      </w:r>
      <w:r w:rsidRPr="009D0C51">
        <w:rPr>
          <w:rFonts w:ascii="Palatino Linotype" w:hAnsi="Palatino Linotype"/>
          <w:kern w:val="24"/>
        </w:rPr>
        <w:t>.</w:t>
      </w:r>
      <w:r w:rsidRPr="009D0C51">
        <w:rPr>
          <w:rStyle w:val="EndnoteReference"/>
          <w:rFonts w:ascii="Palatino Linotype" w:hAnsi="Palatino Linotype"/>
          <w:kern w:val="24"/>
        </w:rPr>
        <w:endnoteReference w:id="48"/>
      </w:r>
      <w:r w:rsidRPr="009D0C51">
        <w:rPr>
          <w:rFonts w:ascii="Palatino Linotype" w:hAnsi="Palatino Linotype"/>
          <w:kern w:val="24"/>
        </w:rPr>
        <w:t xml:space="preserve"> </w:t>
      </w:r>
      <w:r>
        <w:rPr>
          <w:rFonts w:ascii="Palatino Linotype" w:hAnsi="Palatino Linotype"/>
          <w:kern w:val="24"/>
        </w:rPr>
        <w:t>C</w:t>
      </w:r>
      <w:r w:rsidRPr="009D0C51">
        <w:rPr>
          <w:rFonts w:ascii="Palatino Linotype" w:hAnsi="Palatino Linotype"/>
          <w:kern w:val="24"/>
        </w:rPr>
        <w:t xml:space="preserve">onsistency-based defenses of mandatory minimums require the </w:t>
      </w:r>
      <w:r w:rsidRPr="00545317">
        <w:rPr>
          <w:rFonts w:ascii="Palatino Linotype" w:hAnsi="Palatino Linotype"/>
          <w:i/>
          <w:kern w:val="24"/>
        </w:rPr>
        <w:t>equal treatment</w:t>
      </w:r>
      <w:r w:rsidRPr="009D0C51">
        <w:rPr>
          <w:rFonts w:ascii="Palatino Linotype" w:hAnsi="Palatino Linotype"/>
          <w:kern w:val="24"/>
        </w:rPr>
        <w:t xml:space="preserve"> of those subject to the same criminal charge. </w:t>
      </w:r>
      <w:r>
        <w:rPr>
          <w:rFonts w:ascii="Palatino Linotype" w:hAnsi="Palatino Linotype"/>
          <w:kern w:val="24"/>
        </w:rPr>
        <w:t>T</w:t>
      </w:r>
      <w:r w:rsidRPr="009D0C51">
        <w:rPr>
          <w:rFonts w:ascii="Palatino Linotype" w:hAnsi="Palatino Linotype"/>
          <w:kern w:val="24"/>
        </w:rPr>
        <w:t xml:space="preserve">hat’s </w:t>
      </w:r>
      <w:r>
        <w:rPr>
          <w:rFonts w:ascii="Palatino Linotype" w:hAnsi="Palatino Linotype"/>
          <w:kern w:val="24"/>
        </w:rPr>
        <w:t>an impoverished understanding of the principle of equality</w:t>
      </w:r>
      <w:r w:rsidRPr="009D0C51">
        <w:rPr>
          <w:rFonts w:ascii="Palatino Linotype" w:hAnsi="Palatino Linotype"/>
          <w:kern w:val="24"/>
        </w:rPr>
        <w:t xml:space="preserve">. </w:t>
      </w:r>
      <w:r>
        <w:rPr>
          <w:rFonts w:ascii="Palatino Linotype" w:hAnsi="Palatino Linotype"/>
          <w:kern w:val="24"/>
        </w:rPr>
        <w:t xml:space="preserve">Equality is better understood in terms of </w:t>
      </w:r>
      <w:r w:rsidRPr="00545317">
        <w:rPr>
          <w:rFonts w:ascii="Palatino Linotype" w:hAnsi="Palatino Linotype"/>
          <w:i/>
          <w:kern w:val="24"/>
        </w:rPr>
        <w:t>treatment as equals</w:t>
      </w:r>
      <w:r w:rsidRPr="009D0C51">
        <w:rPr>
          <w:rFonts w:ascii="Palatino Linotype" w:hAnsi="Palatino Linotype"/>
          <w:kern w:val="24"/>
        </w:rPr>
        <w:t>—treating persons with equal concern and respect</w:t>
      </w:r>
      <w:r>
        <w:rPr>
          <w:rFonts w:ascii="Palatino Linotype" w:hAnsi="Palatino Linotype"/>
          <w:kern w:val="24"/>
        </w:rPr>
        <w:t>.</w:t>
      </w:r>
      <w:r w:rsidRPr="009D0C51">
        <w:rPr>
          <w:rStyle w:val="EndnoteReference"/>
          <w:rFonts w:ascii="Palatino Linotype" w:hAnsi="Palatino Linotype"/>
          <w:kern w:val="24"/>
        </w:rPr>
        <w:endnoteReference w:id="49"/>
      </w:r>
      <w:r w:rsidRPr="009D0C51">
        <w:rPr>
          <w:rFonts w:ascii="Palatino Linotype" w:hAnsi="Palatino Linotype"/>
          <w:kern w:val="24"/>
        </w:rPr>
        <w:t xml:space="preserve"> When Judge McDonald sentenced</w:t>
      </w:r>
      <w:r>
        <w:rPr>
          <w:rFonts w:ascii="Palatino Linotype" w:hAnsi="Palatino Linotype"/>
          <w:kern w:val="24"/>
        </w:rPr>
        <w:t xml:space="preserve"> Forrester he noted </w:t>
      </w:r>
      <w:r w:rsidRPr="009D0C51">
        <w:rPr>
          <w:rFonts w:ascii="Palatino Linotype" w:hAnsi="Palatino Linotype"/>
          <w:kern w:val="24"/>
        </w:rPr>
        <w:t xml:space="preserve">that Florida’s mandatory minimums require the equal treatment of </w:t>
      </w:r>
      <w:r>
        <w:rPr>
          <w:rFonts w:ascii="Palatino Linotype" w:hAnsi="Palatino Linotype"/>
          <w:kern w:val="24"/>
        </w:rPr>
        <w:t xml:space="preserve">(a) </w:t>
      </w:r>
      <w:r w:rsidRPr="009D0C51">
        <w:rPr>
          <w:rFonts w:ascii="Palatino Linotype" w:hAnsi="Palatino Linotype"/>
          <w:kern w:val="24"/>
        </w:rPr>
        <w:t xml:space="preserve">those blamelessly addicted to opioids due to over-prescription, and </w:t>
      </w:r>
      <w:r>
        <w:rPr>
          <w:rFonts w:ascii="Palatino Linotype" w:hAnsi="Palatino Linotype"/>
          <w:kern w:val="24"/>
        </w:rPr>
        <w:t>(b) members of criminal syndicates</w:t>
      </w:r>
      <w:r w:rsidRPr="009D0C51">
        <w:rPr>
          <w:rFonts w:ascii="Palatino Linotype" w:hAnsi="Palatino Linotype"/>
          <w:kern w:val="24"/>
        </w:rPr>
        <w:t xml:space="preserve">. The equal treatment of </w:t>
      </w:r>
      <w:r>
        <w:rPr>
          <w:rFonts w:ascii="Palatino Linotype" w:hAnsi="Palatino Linotype"/>
          <w:kern w:val="24"/>
        </w:rPr>
        <w:t xml:space="preserve">(a) and (b) </w:t>
      </w:r>
      <w:r w:rsidRPr="009D0C51">
        <w:rPr>
          <w:rFonts w:ascii="Palatino Linotype" w:hAnsi="Palatino Linotype"/>
          <w:kern w:val="24"/>
        </w:rPr>
        <w:t>does not treat</w:t>
      </w:r>
      <w:r>
        <w:rPr>
          <w:rFonts w:ascii="Palatino Linotype" w:hAnsi="Palatino Linotype"/>
          <w:kern w:val="24"/>
        </w:rPr>
        <w:t xml:space="preserve"> them</w:t>
      </w:r>
      <w:r w:rsidRPr="009D0C51">
        <w:rPr>
          <w:rFonts w:ascii="Palatino Linotype" w:hAnsi="Palatino Linotype"/>
          <w:kern w:val="24"/>
        </w:rPr>
        <w:t xml:space="preserve"> </w:t>
      </w:r>
      <w:r w:rsidRPr="00545317">
        <w:rPr>
          <w:rFonts w:ascii="Palatino Linotype" w:hAnsi="Palatino Linotype"/>
          <w:i/>
          <w:kern w:val="24"/>
        </w:rPr>
        <w:t>as equals</w:t>
      </w:r>
      <w:r w:rsidRPr="009D0C51">
        <w:rPr>
          <w:rFonts w:ascii="Palatino Linotype" w:hAnsi="Palatino Linotype"/>
          <w:kern w:val="24"/>
        </w:rPr>
        <w:t xml:space="preserve">. </w:t>
      </w:r>
    </w:p>
    <w:p w14:paraId="1EB81E49" w14:textId="77777777" w:rsidR="00B26E96" w:rsidRPr="009D0C51" w:rsidRDefault="00B26E96" w:rsidP="00DD7808">
      <w:pPr>
        <w:spacing w:line="276" w:lineRule="auto"/>
        <w:rPr>
          <w:rFonts w:ascii="Palatino Linotype" w:hAnsi="Palatino Linotype"/>
        </w:rPr>
      </w:pPr>
    </w:p>
    <w:p w14:paraId="16858E8D" w14:textId="7B57F658" w:rsidR="00B26E96" w:rsidRPr="009D0C51" w:rsidRDefault="00B26E96" w:rsidP="00002505">
      <w:pPr>
        <w:spacing w:line="276" w:lineRule="auto"/>
        <w:jc w:val="center"/>
        <w:outlineLvl w:val="0"/>
        <w:rPr>
          <w:rFonts w:ascii="Palatino Linotype" w:hAnsi="Palatino Linotype"/>
          <w:b/>
          <w:kern w:val="24"/>
        </w:rPr>
      </w:pPr>
      <w:r>
        <w:rPr>
          <w:rFonts w:ascii="Palatino Linotype" w:hAnsi="Palatino Linotype"/>
          <w:b/>
          <w:kern w:val="24"/>
        </w:rPr>
        <w:t>III</w:t>
      </w:r>
      <w:r w:rsidRPr="009D0C51">
        <w:rPr>
          <w:rFonts w:ascii="Palatino Linotype" w:hAnsi="Palatino Linotype"/>
          <w:b/>
          <w:kern w:val="24"/>
        </w:rPr>
        <w:t>—Efficiency</w:t>
      </w:r>
    </w:p>
    <w:p w14:paraId="757B4EA9" w14:textId="77777777" w:rsidR="00B26E96" w:rsidRDefault="00B26E96" w:rsidP="00DD7808">
      <w:pPr>
        <w:spacing w:line="276" w:lineRule="auto"/>
        <w:rPr>
          <w:rFonts w:ascii="Palatino Linotype" w:hAnsi="Palatino Linotype"/>
        </w:rPr>
      </w:pPr>
    </w:p>
    <w:p w14:paraId="2A544A0A" w14:textId="1C956C93" w:rsidR="00B26E96" w:rsidRDefault="00B26E96" w:rsidP="004278F0">
      <w:pPr>
        <w:spacing w:line="276" w:lineRule="auto"/>
        <w:rPr>
          <w:rFonts w:ascii="Palatino Linotype" w:hAnsi="Palatino Linotype"/>
        </w:rPr>
      </w:pPr>
      <w:r>
        <w:rPr>
          <w:rFonts w:ascii="Palatino Linotype" w:hAnsi="Palatino Linotype"/>
        </w:rPr>
        <w:lastRenderedPageBreak/>
        <w:t xml:space="preserve">While </w:t>
      </w:r>
      <w:r w:rsidRPr="009D0C51">
        <w:rPr>
          <w:rFonts w:ascii="Palatino Linotype" w:hAnsi="Palatino Linotype"/>
        </w:rPr>
        <w:t xml:space="preserve">mandatory minimums </w:t>
      </w:r>
      <w:r>
        <w:rPr>
          <w:rFonts w:ascii="Palatino Linotype" w:hAnsi="Palatino Linotype"/>
        </w:rPr>
        <w:t xml:space="preserve">are often explicitly justified by appeals to consistency, </w:t>
      </w:r>
      <w:r w:rsidRPr="009D0C51">
        <w:rPr>
          <w:rFonts w:ascii="Palatino Linotype" w:hAnsi="Palatino Linotype"/>
        </w:rPr>
        <w:t xml:space="preserve">you would be in good company if you suspected that a different motivation was afoot. </w:t>
      </w:r>
      <w:r>
        <w:rPr>
          <w:rFonts w:ascii="Palatino Linotype" w:hAnsi="Palatino Linotype"/>
        </w:rPr>
        <w:t xml:space="preserve">As the </w:t>
      </w:r>
      <w:r w:rsidRPr="009D0C51">
        <w:rPr>
          <w:rFonts w:ascii="Palatino Linotype" w:hAnsi="Palatino Linotype"/>
        </w:rPr>
        <w:t xml:space="preserve">Sentencing Commission </w:t>
      </w:r>
      <w:r>
        <w:rPr>
          <w:rFonts w:ascii="Palatino Linotype" w:hAnsi="Palatino Linotype"/>
        </w:rPr>
        <w:t xml:space="preserve">has noted, </w:t>
      </w:r>
      <w:r w:rsidRPr="009D0C51">
        <w:rPr>
          <w:rFonts w:ascii="Palatino Linotype" w:hAnsi="Palatino Linotype"/>
        </w:rPr>
        <w:t>“the value of a mandatory minimum sentence lies not in its imposition, but in its value as a bargaining chip to be given away in a resource-saving plea from the defendant for a more leniently sanctioned charge.”</w:t>
      </w:r>
      <w:r w:rsidRPr="009D0C51">
        <w:rPr>
          <w:rStyle w:val="EndnoteReference"/>
          <w:rFonts w:ascii="Palatino Linotype" w:hAnsi="Palatino Linotype"/>
          <w:kern w:val="24"/>
        </w:rPr>
        <w:endnoteReference w:id="50"/>
      </w:r>
      <w:r w:rsidRPr="009D0C51">
        <w:rPr>
          <w:rFonts w:ascii="Palatino Linotype" w:hAnsi="Palatino Linotype"/>
        </w:rPr>
        <w:t xml:space="preserve"> </w:t>
      </w:r>
    </w:p>
    <w:p w14:paraId="4B6AE50F" w14:textId="77777777" w:rsidR="00B26E96" w:rsidRDefault="00B26E96" w:rsidP="004278F0">
      <w:pPr>
        <w:spacing w:line="276" w:lineRule="auto"/>
        <w:rPr>
          <w:rFonts w:ascii="Palatino Linotype" w:hAnsi="Palatino Linotype"/>
        </w:rPr>
      </w:pPr>
    </w:p>
    <w:p w14:paraId="2FEE6613" w14:textId="294745DA" w:rsidR="00B26E96" w:rsidRDefault="00B26E96" w:rsidP="00F412FC">
      <w:pPr>
        <w:spacing w:line="276" w:lineRule="auto"/>
        <w:rPr>
          <w:rFonts w:ascii="Palatino Linotype" w:hAnsi="Palatino Linotype"/>
        </w:rPr>
      </w:pPr>
      <w:r>
        <w:rPr>
          <w:rFonts w:ascii="Palatino Linotype" w:hAnsi="Palatino Linotype"/>
        </w:rPr>
        <w:t>This appeal to saving resources rests on a utilitarian principle of justice. And it is more plausible than other utilitarian justifications for drug-related mandatory minimums, such as those that appeal to deterrence.</w:t>
      </w:r>
      <w:r w:rsidRPr="008F3865">
        <w:rPr>
          <w:rFonts w:ascii="Palatino Linotype" w:hAnsi="Palatino Linotype"/>
          <w:vertAlign w:val="superscript"/>
        </w:rPr>
        <w:endnoteReference w:id="51"/>
      </w:r>
      <w:r>
        <w:rPr>
          <w:rFonts w:ascii="Palatino Linotype" w:hAnsi="Palatino Linotype"/>
        </w:rPr>
        <w:t xml:space="preserve"> But such efficiency-based justifications are rarely made explicit; other justifications are often offered as a smokescreen.</w:t>
      </w:r>
      <w:r w:rsidRPr="009D0C51">
        <w:rPr>
          <w:rStyle w:val="EndnoteReference"/>
          <w:rFonts w:ascii="Palatino Linotype" w:hAnsi="Palatino Linotype"/>
          <w:kern w:val="24"/>
        </w:rPr>
        <w:endnoteReference w:id="52"/>
      </w:r>
      <w:r>
        <w:rPr>
          <w:rFonts w:ascii="Palatino Linotype" w:hAnsi="Palatino Linotype"/>
        </w:rPr>
        <w:t xml:space="preserve"> This is true in the war on drugs. Recall Sessions’ May 10 2017 memo, which rescinded Eric </w:t>
      </w:r>
      <w:r w:rsidRPr="00B102B3">
        <w:rPr>
          <w:rFonts w:ascii="Palatino Linotype" w:hAnsi="Palatino Linotype"/>
        </w:rPr>
        <w:t xml:space="preserve">Holder’s </w:t>
      </w:r>
      <w:r>
        <w:rPr>
          <w:rFonts w:ascii="Palatino Linotype" w:hAnsi="Palatino Linotype"/>
        </w:rPr>
        <w:t>September 14 2014</w:t>
      </w:r>
      <w:r w:rsidRPr="00B102B3">
        <w:rPr>
          <w:rFonts w:ascii="Palatino Linotype" w:hAnsi="Palatino Linotype"/>
        </w:rPr>
        <w:t xml:space="preserve"> </w:t>
      </w:r>
      <w:r>
        <w:rPr>
          <w:rFonts w:ascii="Palatino Linotype" w:hAnsi="Palatino Linotype"/>
        </w:rPr>
        <w:t>policy restricting</w:t>
      </w:r>
      <w:r w:rsidRPr="00B102B3">
        <w:rPr>
          <w:rFonts w:ascii="Palatino Linotype" w:hAnsi="Palatino Linotype"/>
        </w:rPr>
        <w:t xml:space="preserve"> prosecutors from using </w:t>
      </w:r>
      <w:r>
        <w:rPr>
          <w:rFonts w:ascii="Palatino Linotype" w:hAnsi="Palatino Linotype"/>
        </w:rPr>
        <w:t xml:space="preserve">a </w:t>
      </w:r>
      <w:r w:rsidRPr="00B102B3">
        <w:rPr>
          <w:rFonts w:ascii="Palatino Linotype" w:hAnsi="Palatino Linotype"/>
        </w:rPr>
        <w:t>drug-related mandatory minimum “in plea negotiations for the sole or predominant purpose of induci</w:t>
      </w:r>
      <w:r>
        <w:rPr>
          <w:rFonts w:ascii="Palatino Linotype" w:hAnsi="Palatino Linotype"/>
        </w:rPr>
        <w:t>ng a defendant to plead guilty”. Sessions’ memo appealed</w:t>
      </w:r>
      <w:r w:rsidRPr="00B102B3">
        <w:rPr>
          <w:rFonts w:ascii="Palatino Linotype" w:hAnsi="Palatino Linotype"/>
        </w:rPr>
        <w:t xml:space="preserve"> to the importance of “enforc[ing] the</w:t>
      </w:r>
      <w:r>
        <w:rPr>
          <w:rFonts w:ascii="Palatino Linotype" w:hAnsi="Palatino Linotype"/>
        </w:rPr>
        <w:t xml:space="preserve"> law fairly and consistently”; he said </w:t>
      </w:r>
      <w:r w:rsidRPr="00B102B3">
        <w:rPr>
          <w:rFonts w:ascii="Palatino Linotype" w:hAnsi="Palatino Linotype"/>
        </w:rPr>
        <w:t xml:space="preserve">nothing </w:t>
      </w:r>
      <w:r>
        <w:rPr>
          <w:rFonts w:ascii="Palatino Linotype" w:hAnsi="Palatino Linotype"/>
        </w:rPr>
        <w:t xml:space="preserve">about useful </w:t>
      </w:r>
      <w:r w:rsidRPr="00B102B3">
        <w:rPr>
          <w:rFonts w:ascii="Palatino Linotype" w:hAnsi="Palatino Linotype"/>
        </w:rPr>
        <w:t xml:space="preserve">threats in plea bargaining. </w:t>
      </w:r>
    </w:p>
    <w:p w14:paraId="7D80BBD6" w14:textId="77777777" w:rsidR="00B26E96" w:rsidRDefault="00B26E96" w:rsidP="00DD7808">
      <w:pPr>
        <w:spacing w:line="276" w:lineRule="auto"/>
        <w:rPr>
          <w:rFonts w:ascii="Palatino Linotype" w:hAnsi="Palatino Linotype"/>
        </w:rPr>
      </w:pPr>
    </w:p>
    <w:p w14:paraId="03F50F1F" w14:textId="4B0C2A16" w:rsidR="00B26E96" w:rsidRPr="009D0C51" w:rsidRDefault="00B26E96" w:rsidP="00DD7808">
      <w:pPr>
        <w:spacing w:line="276" w:lineRule="auto"/>
        <w:rPr>
          <w:rFonts w:ascii="Palatino Linotype" w:hAnsi="Palatino Linotype"/>
        </w:rPr>
      </w:pPr>
      <w:r>
        <w:rPr>
          <w:rFonts w:ascii="Palatino Linotype" w:hAnsi="Palatino Linotype"/>
        </w:rPr>
        <w:t xml:space="preserve">How would the use of drug-related mandatory minimums as threats promote efficiency? In two ways. First, </w:t>
      </w:r>
      <w:r w:rsidRPr="009D0C51">
        <w:rPr>
          <w:rFonts w:ascii="Palatino Linotype" w:hAnsi="Palatino Linotype"/>
          <w:kern w:val="24"/>
        </w:rPr>
        <w:t>“federal prosecutors often wield the threat of the mandatory minimum to persuade a defendant to plead guilty to a charge that doesn’t carry such a stiff sentence.”</w:t>
      </w:r>
      <w:r w:rsidRPr="009D0C51">
        <w:rPr>
          <w:rStyle w:val="EndnoteReference"/>
          <w:rFonts w:ascii="Palatino Linotype" w:hAnsi="Palatino Linotype"/>
          <w:kern w:val="24"/>
        </w:rPr>
        <w:endnoteReference w:id="53"/>
      </w:r>
      <w:r w:rsidRPr="009D0C51">
        <w:rPr>
          <w:rFonts w:ascii="Palatino Linotype" w:hAnsi="Palatino Linotype"/>
          <w:kern w:val="24"/>
        </w:rPr>
        <w:t xml:space="preserve"> </w:t>
      </w:r>
      <w:r w:rsidRPr="009D0C51">
        <w:rPr>
          <w:rFonts w:ascii="Palatino Linotype" w:hAnsi="Palatino Linotype"/>
        </w:rPr>
        <w:t>These plea bargains increase the efficiency of the justice system by avoiding lengthy, expensive trials. Close to 95% of American criminal cases are now resolved by plea bargain. The criminal justic</w:t>
      </w:r>
      <w:r>
        <w:rPr>
          <w:rFonts w:ascii="Palatino Linotype" w:hAnsi="Palatino Linotype"/>
        </w:rPr>
        <w:t>e system would grind to a halt</w:t>
      </w:r>
      <w:r w:rsidRPr="009D0C51">
        <w:rPr>
          <w:rFonts w:ascii="Palatino Linotype" w:hAnsi="Palatino Linotype"/>
        </w:rPr>
        <w:t xml:space="preserve"> if these cases all went to trial. </w:t>
      </w:r>
    </w:p>
    <w:p w14:paraId="1565E553" w14:textId="77777777" w:rsidR="00B26E96" w:rsidRPr="009D0C51" w:rsidRDefault="00B26E96" w:rsidP="00DD7808">
      <w:pPr>
        <w:spacing w:line="276" w:lineRule="auto"/>
        <w:rPr>
          <w:rFonts w:ascii="Palatino Linotype" w:hAnsi="Palatino Linotype"/>
        </w:rPr>
      </w:pPr>
    </w:p>
    <w:p w14:paraId="3DE6AC91" w14:textId="389E1F05" w:rsidR="00B26E96" w:rsidRPr="009D0C51" w:rsidRDefault="00B26E96" w:rsidP="00DD7808">
      <w:pPr>
        <w:spacing w:line="276" w:lineRule="auto"/>
        <w:rPr>
          <w:rFonts w:ascii="Palatino Linotype" w:hAnsi="Palatino Linotype"/>
        </w:rPr>
      </w:pPr>
      <w:r>
        <w:rPr>
          <w:rFonts w:ascii="Palatino Linotype" w:hAnsi="Palatino Linotype"/>
        </w:rPr>
        <w:t xml:space="preserve">Second, </w:t>
      </w:r>
      <w:r w:rsidRPr="009D0C51">
        <w:rPr>
          <w:rFonts w:ascii="Palatino Linotype" w:hAnsi="Palatino Linotype"/>
        </w:rPr>
        <w:t xml:space="preserve">mandatory minimums </w:t>
      </w:r>
      <w:r>
        <w:rPr>
          <w:rFonts w:ascii="Palatino Linotype" w:hAnsi="Palatino Linotype"/>
        </w:rPr>
        <w:t>provide</w:t>
      </w:r>
      <w:r w:rsidRPr="009D0C51">
        <w:rPr>
          <w:rFonts w:ascii="Palatino Linotype" w:hAnsi="Palatino Linotype"/>
        </w:rPr>
        <w:t xml:space="preserve"> </w:t>
      </w:r>
      <w:r>
        <w:rPr>
          <w:rFonts w:ascii="Palatino Linotype" w:hAnsi="Palatino Linotype"/>
        </w:rPr>
        <w:t xml:space="preserve">defendants with </w:t>
      </w:r>
      <w:r w:rsidRPr="009D0C51">
        <w:rPr>
          <w:rFonts w:ascii="Palatino Linotype" w:hAnsi="Palatino Linotype"/>
        </w:rPr>
        <w:t xml:space="preserve">strong incentives </w:t>
      </w:r>
      <w:r>
        <w:rPr>
          <w:rFonts w:ascii="Palatino Linotype" w:hAnsi="Palatino Linotype"/>
        </w:rPr>
        <w:t>to cooperate</w:t>
      </w:r>
      <w:r w:rsidRPr="009D0C51">
        <w:rPr>
          <w:rFonts w:ascii="Palatino Linotype" w:hAnsi="Palatino Linotype"/>
        </w:rPr>
        <w:t xml:space="preserve"> with prosecutors in order to </w:t>
      </w:r>
      <w:r>
        <w:rPr>
          <w:rFonts w:ascii="Palatino Linotype" w:hAnsi="Palatino Linotype"/>
        </w:rPr>
        <w:t xml:space="preserve">either </w:t>
      </w:r>
      <w:r w:rsidRPr="009D0C51">
        <w:rPr>
          <w:rFonts w:ascii="Palatino Linotype" w:hAnsi="Palatino Linotype"/>
        </w:rPr>
        <w:t>plea</w:t>
      </w:r>
      <w:r>
        <w:rPr>
          <w:rFonts w:ascii="Palatino Linotype" w:hAnsi="Palatino Linotype"/>
        </w:rPr>
        <w:t>d</w:t>
      </w:r>
      <w:r w:rsidRPr="009D0C51">
        <w:rPr>
          <w:rFonts w:ascii="Palatino Linotype" w:hAnsi="Palatino Linotype"/>
        </w:rPr>
        <w:t xml:space="preserve"> to a lesser charge or receive a r</w:t>
      </w:r>
      <w:r>
        <w:rPr>
          <w:rFonts w:ascii="Palatino Linotype" w:hAnsi="Palatino Linotype"/>
        </w:rPr>
        <w:t>educed sentence for “substantial assistance”</w:t>
      </w:r>
      <w:r w:rsidRPr="009D0C51">
        <w:rPr>
          <w:rFonts w:ascii="Palatino Linotype" w:hAnsi="Palatino Linotype"/>
        </w:rPr>
        <w:t xml:space="preserve"> under U.S.C. §3553(e). In 2016 roughly 25% of offenders, and 30% of drug trafficking offenders, who were convicted of offenses that carried a mandatory minimum penalty received a</w:t>
      </w:r>
      <w:r>
        <w:rPr>
          <w:rFonts w:ascii="Palatino Linotype" w:hAnsi="Palatino Linotype"/>
        </w:rPr>
        <w:t xml:space="preserve"> reduced penalty </w:t>
      </w:r>
      <w:r w:rsidRPr="009D0C51">
        <w:rPr>
          <w:rFonts w:ascii="Palatino Linotype" w:hAnsi="Palatino Linotype"/>
        </w:rPr>
        <w:t>un</w:t>
      </w:r>
      <w:r>
        <w:rPr>
          <w:rFonts w:ascii="Palatino Linotype" w:hAnsi="Palatino Linotype"/>
        </w:rPr>
        <w:t>der</w:t>
      </w:r>
      <w:r w:rsidRPr="009D0C51">
        <w:rPr>
          <w:rFonts w:ascii="Palatino Linotype" w:hAnsi="Palatino Linotype"/>
        </w:rPr>
        <w:t xml:space="preserve"> §3553(e</w:t>
      </w:r>
      <w:r>
        <w:rPr>
          <w:rFonts w:ascii="Palatino Linotype" w:hAnsi="Palatino Linotype"/>
        </w:rPr>
        <w:t>)</w:t>
      </w:r>
      <w:r w:rsidRPr="009D0C51">
        <w:rPr>
          <w:rFonts w:ascii="Palatino Linotype" w:hAnsi="Palatino Linotype"/>
        </w:rPr>
        <w:t>.</w:t>
      </w:r>
      <w:r w:rsidRPr="009D0C51">
        <w:rPr>
          <w:rStyle w:val="EndnoteReference"/>
          <w:rFonts w:ascii="Palatino Linotype" w:hAnsi="Palatino Linotype"/>
          <w:kern w:val="24"/>
        </w:rPr>
        <w:endnoteReference w:id="54"/>
      </w:r>
      <w:r w:rsidRPr="009D0C51">
        <w:rPr>
          <w:rFonts w:ascii="Palatino Linotype" w:hAnsi="Palatino Linotype"/>
        </w:rPr>
        <w:t xml:space="preserve"> This </w:t>
      </w:r>
      <w:r>
        <w:rPr>
          <w:rFonts w:ascii="Palatino Linotype" w:hAnsi="Palatino Linotype"/>
        </w:rPr>
        <w:lastRenderedPageBreak/>
        <w:t xml:space="preserve">practice also generates inconsistent sentencing outcomes. But it is held to be vital to the war on drugs. As </w:t>
      </w:r>
      <w:r w:rsidRPr="009D0C51">
        <w:rPr>
          <w:rFonts w:ascii="Palatino Linotype" w:hAnsi="Palatino Linotype"/>
        </w:rPr>
        <w:t xml:space="preserve">Jodi L. Avergun, then chief of staff at the Drug Enforcement Agency, </w:t>
      </w:r>
      <w:r>
        <w:rPr>
          <w:rFonts w:ascii="Palatino Linotype" w:hAnsi="Palatino Linotype"/>
        </w:rPr>
        <w:t xml:space="preserve">argued in a 2005 </w:t>
      </w:r>
      <w:r w:rsidRPr="009D0C51">
        <w:rPr>
          <w:rFonts w:ascii="Palatino Linotype" w:hAnsi="Palatino Linotype"/>
        </w:rPr>
        <w:t xml:space="preserve">Congressional hearing: </w:t>
      </w:r>
    </w:p>
    <w:p w14:paraId="73303135" w14:textId="6A09558B" w:rsidR="00B26E96" w:rsidRPr="009D0C51" w:rsidRDefault="00B26E96" w:rsidP="00EF3741">
      <w:pPr>
        <w:ind w:left="720"/>
        <w:rPr>
          <w:rFonts w:ascii="Palatino Linotype" w:hAnsi="Palatino Linotype"/>
        </w:rPr>
      </w:pPr>
      <w:r w:rsidRPr="009D0C51">
        <w:rPr>
          <w:rFonts w:ascii="Palatino Linotype" w:hAnsi="Palatino Linotype"/>
        </w:rPr>
        <w:t>In drug cases, where the ultimate goal is to rid society of the entire trafficking network, mandatory minimum statutes are especially significant. Unlike a bank robbery, for which a bank teller or ordinary citizen could be a critical witness, often in drug cases the critical witnesses are drug users and other drug traffickers. The offer of relief from a mandatory minimum sentence in exchange for truthful testimony allows the Government to move steadily and effectively up the chain of supply, using lesser distributors to prosecute the more serious dealers and their leaders and suppliers.</w:t>
      </w:r>
      <w:r w:rsidRPr="009D0C51">
        <w:rPr>
          <w:rStyle w:val="EndnoteReference"/>
          <w:rFonts w:ascii="Palatino Linotype" w:hAnsi="Palatino Linotype"/>
          <w:kern w:val="24"/>
        </w:rPr>
        <w:endnoteReference w:id="55"/>
      </w:r>
    </w:p>
    <w:p w14:paraId="0B53ABCA" w14:textId="14B1C914" w:rsidR="00B26E96" w:rsidRDefault="00B26E96" w:rsidP="00DD7808">
      <w:pPr>
        <w:spacing w:line="276" w:lineRule="auto"/>
        <w:rPr>
          <w:rFonts w:ascii="Palatino Linotype" w:hAnsi="Palatino Linotype"/>
        </w:rPr>
      </w:pPr>
      <w:r>
        <w:rPr>
          <w:rFonts w:ascii="Palatino Linotype" w:hAnsi="Palatino Linotype"/>
        </w:rPr>
        <w:t>U</w:t>
      </w:r>
      <w:r w:rsidRPr="009D0C51">
        <w:rPr>
          <w:rFonts w:ascii="Palatino Linotype" w:hAnsi="Palatino Linotype"/>
        </w:rPr>
        <w:t xml:space="preserve">sing mandatory minimums as threats to compel cooperation is seen as an efficient means towards this “ultimate end” of the war on drugs. </w:t>
      </w:r>
    </w:p>
    <w:p w14:paraId="2DC453EC" w14:textId="77777777" w:rsidR="00B26E96" w:rsidRPr="009D0C51" w:rsidRDefault="00B26E96" w:rsidP="00DD7808">
      <w:pPr>
        <w:spacing w:line="276" w:lineRule="auto"/>
        <w:rPr>
          <w:rFonts w:ascii="Palatino Linotype" w:hAnsi="Palatino Linotype"/>
        </w:rPr>
      </w:pPr>
    </w:p>
    <w:p w14:paraId="535953A5" w14:textId="3448C2E9" w:rsidR="00B26E96" w:rsidRPr="009D0C51" w:rsidRDefault="00B26E96" w:rsidP="00DD7808">
      <w:pPr>
        <w:spacing w:line="276" w:lineRule="auto"/>
        <w:rPr>
          <w:rFonts w:ascii="Palatino Linotype" w:hAnsi="Palatino Linotype"/>
        </w:rPr>
      </w:pPr>
      <w:r w:rsidRPr="009D0C51">
        <w:rPr>
          <w:rFonts w:ascii="Palatino Linotype" w:hAnsi="Palatino Linotype"/>
        </w:rPr>
        <w:t xml:space="preserve">The importance of the pervasive use of mandatory minimums as a threat by prosecutors is hard to overstate. And yet it is also often ignored. </w:t>
      </w:r>
      <w:r>
        <w:rPr>
          <w:rFonts w:ascii="Palatino Linotype" w:hAnsi="Palatino Linotype"/>
        </w:rPr>
        <w:t>Consider William Stuntz’s diagnosis of the cause of mass incarceration:</w:t>
      </w:r>
    </w:p>
    <w:p w14:paraId="2DA62339" w14:textId="0B0F2C47" w:rsidR="00B26E96" w:rsidRPr="009D0C51" w:rsidRDefault="00B26E96" w:rsidP="005540F2">
      <w:pPr>
        <w:ind w:left="720"/>
        <w:rPr>
          <w:rFonts w:ascii="Palatino Linotype" w:hAnsi="Palatino Linotype"/>
        </w:rPr>
      </w:pPr>
      <w:r w:rsidRPr="009D0C51">
        <w:rPr>
          <w:rFonts w:ascii="Palatino Linotype" w:hAnsi="Palatino Linotype"/>
        </w:rPr>
        <w:t xml:space="preserve">The rising number of inmates was chiefly due to the rise in the number of defendants charged and convicted. </w:t>
      </w:r>
      <w:r>
        <w:rPr>
          <w:rFonts w:ascii="Palatino Linotype" w:hAnsi="Palatino Linotype"/>
        </w:rPr>
        <w:t xml:space="preserve">[…] </w:t>
      </w:r>
      <w:r w:rsidRPr="009D0C51">
        <w:rPr>
          <w:rFonts w:ascii="Palatino Linotype" w:hAnsi="Palatino Linotype"/>
        </w:rPr>
        <w:t>Drugs were a significant factor in the exploding prison population, but they are not the explosion’s primary cause—and the same is true of the three-strikes laws and mandatory minimums that increased punishment for various classes of non-drug crime. More inmates live in state and federal penitentiaries than in the past chiefly because prosecutors have charged and convicted more criminal defendants than in the past.</w:t>
      </w:r>
      <w:r w:rsidRPr="009D0C51">
        <w:rPr>
          <w:rStyle w:val="EndnoteReference"/>
          <w:rFonts w:ascii="Palatino Linotype" w:hAnsi="Palatino Linotype"/>
          <w:kern w:val="24"/>
        </w:rPr>
        <w:endnoteReference w:id="56"/>
      </w:r>
    </w:p>
    <w:p w14:paraId="59A21626" w14:textId="2AA96C89" w:rsidR="00B26E96" w:rsidRPr="009D0C51" w:rsidRDefault="00B26E96" w:rsidP="00DD7808">
      <w:pPr>
        <w:spacing w:line="276" w:lineRule="auto"/>
        <w:rPr>
          <w:rFonts w:ascii="Palatino Linotype" w:hAnsi="Palatino Linotype"/>
        </w:rPr>
      </w:pPr>
      <w:r w:rsidRPr="009D0C51">
        <w:rPr>
          <w:rFonts w:ascii="Palatino Linotype" w:hAnsi="Palatino Linotype"/>
        </w:rPr>
        <w:t xml:space="preserve">Stuntz may be right that </w:t>
      </w:r>
      <w:r>
        <w:rPr>
          <w:rFonts w:ascii="Palatino Linotype" w:hAnsi="Palatino Linotype"/>
        </w:rPr>
        <w:t xml:space="preserve">the </w:t>
      </w:r>
      <w:r w:rsidRPr="00E81636">
        <w:rPr>
          <w:rFonts w:ascii="Palatino Linotype" w:hAnsi="Palatino Linotype"/>
          <w:i/>
        </w:rPr>
        <w:t>imposition</w:t>
      </w:r>
      <w:r>
        <w:rPr>
          <w:rFonts w:ascii="Palatino Linotype" w:hAnsi="Palatino Linotype"/>
        </w:rPr>
        <w:t xml:space="preserve"> of </w:t>
      </w:r>
      <w:r w:rsidRPr="009D0C51">
        <w:rPr>
          <w:rFonts w:ascii="Palatino Linotype" w:hAnsi="Palatino Linotype"/>
        </w:rPr>
        <w:t xml:space="preserve">mandatory minimum </w:t>
      </w:r>
      <w:r w:rsidRPr="009D0C51">
        <w:rPr>
          <w:rFonts w:ascii="Palatino Linotype" w:hAnsi="Palatino Linotype"/>
          <w:i/>
        </w:rPr>
        <w:t>sentences</w:t>
      </w:r>
      <w:r w:rsidRPr="009D0C51">
        <w:rPr>
          <w:rFonts w:ascii="Palatino Linotype" w:hAnsi="Palatino Linotype"/>
        </w:rPr>
        <w:t xml:space="preserve"> for drug and non-drug crime </w:t>
      </w:r>
      <w:r>
        <w:rPr>
          <w:rFonts w:ascii="Palatino Linotype" w:hAnsi="Palatino Linotype"/>
        </w:rPr>
        <w:t>is</w:t>
      </w:r>
      <w:r w:rsidRPr="009D0C51">
        <w:rPr>
          <w:rFonts w:ascii="Palatino Linotype" w:hAnsi="Palatino Linotype"/>
        </w:rPr>
        <w:t xml:space="preserve"> not the “primary cause” of mass incarceration. But </w:t>
      </w:r>
      <w:r>
        <w:rPr>
          <w:rFonts w:ascii="Palatino Linotype" w:hAnsi="Palatino Linotype"/>
        </w:rPr>
        <w:t xml:space="preserve">the </w:t>
      </w:r>
      <w:r w:rsidRPr="00C70369">
        <w:rPr>
          <w:rFonts w:ascii="Palatino Linotype" w:hAnsi="Palatino Linotype"/>
          <w:i/>
        </w:rPr>
        <w:t>threat</w:t>
      </w:r>
      <w:r w:rsidRPr="009D0C51">
        <w:rPr>
          <w:rFonts w:ascii="Palatino Linotype" w:hAnsi="Palatino Linotype"/>
        </w:rPr>
        <w:t xml:space="preserve"> </w:t>
      </w:r>
      <w:r>
        <w:rPr>
          <w:rFonts w:ascii="Palatino Linotype" w:hAnsi="Palatino Linotype"/>
        </w:rPr>
        <w:t xml:space="preserve">of such </w:t>
      </w:r>
      <w:r w:rsidRPr="00E81636">
        <w:rPr>
          <w:rFonts w:ascii="Palatino Linotype" w:hAnsi="Palatino Linotype"/>
          <w:i/>
        </w:rPr>
        <w:t>charges</w:t>
      </w:r>
      <w:r>
        <w:rPr>
          <w:rFonts w:ascii="Palatino Linotype" w:hAnsi="Palatino Linotype"/>
        </w:rPr>
        <w:t xml:space="preserve"> is key to “the rise in the number of defendants charged and convicted.” Without this, prosecutors could not get evidence against and run trials of so many defendants. </w:t>
      </w:r>
    </w:p>
    <w:p w14:paraId="11769F4B" w14:textId="77777777" w:rsidR="00B26E96" w:rsidRPr="009D0C51" w:rsidRDefault="00B26E96" w:rsidP="00DD7808">
      <w:pPr>
        <w:spacing w:line="276" w:lineRule="auto"/>
        <w:rPr>
          <w:rFonts w:ascii="Palatino Linotype" w:hAnsi="Palatino Linotype"/>
        </w:rPr>
      </w:pPr>
    </w:p>
    <w:p w14:paraId="7856A90A" w14:textId="0DDEA126" w:rsidR="00B26E96" w:rsidRPr="009D0C51" w:rsidRDefault="00B26E96" w:rsidP="007D263A">
      <w:pPr>
        <w:spacing w:line="276" w:lineRule="auto"/>
        <w:rPr>
          <w:rFonts w:ascii="Palatino Linotype" w:hAnsi="Palatino Linotype"/>
        </w:rPr>
      </w:pPr>
      <w:r w:rsidRPr="009D0C51">
        <w:rPr>
          <w:rFonts w:ascii="Palatino Linotype" w:hAnsi="Palatino Linotype"/>
        </w:rPr>
        <w:t xml:space="preserve">This should make us question the degree to which </w:t>
      </w:r>
      <w:r>
        <w:rPr>
          <w:rFonts w:ascii="Palatino Linotype" w:hAnsi="Palatino Linotype"/>
        </w:rPr>
        <w:t xml:space="preserve">mandatory minimums promote </w:t>
      </w:r>
      <w:r w:rsidRPr="009D0C51">
        <w:rPr>
          <w:rFonts w:ascii="Palatino Linotype" w:hAnsi="Palatino Linotype"/>
        </w:rPr>
        <w:t xml:space="preserve">efficiency. </w:t>
      </w:r>
      <w:r>
        <w:rPr>
          <w:rFonts w:ascii="Palatino Linotype" w:hAnsi="Palatino Linotype"/>
        </w:rPr>
        <w:t xml:space="preserve">If it is </w:t>
      </w:r>
      <w:r w:rsidRPr="009D0C51">
        <w:rPr>
          <w:rFonts w:ascii="Palatino Linotype" w:hAnsi="Palatino Linotype"/>
        </w:rPr>
        <w:t xml:space="preserve">this easy for prosecutors to charge and convict so many people, the land of the free will continue to be, unenviably, </w:t>
      </w:r>
      <w:r>
        <w:rPr>
          <w:rFonts w:ascii="Palatino Linotype" w:hAnsi="Palatino Linotype"/>
        </w:rPr>
        <w:t xml:space="preserve">the </w:t>
      </w:r>
      <w:r w:rsidRPr="009D0C51">
        <w:rPr>
          <w:rFonts w:ascii="Palatino Linotype" w:hAnsi="Palatino Linotype"/>
        </w:rPr>
        <w:lastRenderedPageBreak/>
        <w:t xml:space="preserve">world leader in locking up its own citizens. </w:t>
      </w:r>
      <w:r>
        <w:rPr>
          <w:rFonts w:ascii="Palatino Linotype" w:hAnsi="Palatino Linotype"/>
        </w:rPr>
        <w:t xml:space="preserve">There are </w:t>
      </w:r>
      <w:r w:rsidRPr="009D0C51">
        <w:rPr>
          <w:rFonts w:ascii="Palatino Linotype" w:hAnsi="Palatino Linotype"/>
        </w:rPr>
        <w:t xml:space="preserve">many reasons to oppose mass incarceration, but the one that is most germane here is that it </w:t>
      </w:r>
      <w:r>
        <w:rPr>
          <w:rFonts w:ascii="Palatino Linotype" w:hAnsi="Palatino Linotype"/>
        </w:rPr>
        <w:t xml:space="preserve">involves </w:t>
      </w:r>
      <w:r w:rsidRPr="009D0C51">
        <w:rPr>
          <w:rFonts w:ascii="Palatino Linotype" w:hAnsi="Palatino Linotype"/>
        </w:rPr>
        <w:t xml:space="preserve">a remarkably inefficient </w:t>
      </w:r>
      <w:r>
        <w:rPr>
          <w:rFonts w:ascii="Palatino Linotype" w:hAnsi="Palatino Linotype"/>
        </w:rPr>
        <w:t>resource allocation</w:t>
      </w:r>
      <w:r w:rsidRPr="009D0C51">
        <w:rPr>
          <w:rFonts w:ascii="Palatino Linotype" w:hAnsi="Palatino Linotype"/>
        </w:rPr>
        <w:t>. Federal corrections costs increased 925% from 1982 to 2007,</w:t>
      </w:r>
      <w:r w:rsidRPr="009D0C51">
        <w:rPr>
          <w:rStyle w:val="EndnoteReference"/>
          <w:rFonts w:ascii="Palatino Linotype" w:hAnsi="Palatino Linotype"/>
          <w:kern w:val="24"/>
        </w:rPr>
        <w:endnoteReference w:id="57"/>
      </w:r>
      <w:r w:rsidRPr="009D0C51">
        <w:rPr>
          <w:rFonts w:ascii="Palatino Linotype" w:hAnsi="Palatino Linotype"/>
        </w:rPr>
        <w:t xml:space="preserve"> and now consume over a quarter of the Department of Justice budget. As prison budget</w:t>
      </w:r>
      <w:r>
        <w:rPr>
          <w:rFonts w:ascii="Palatino Linotype" w:hAnsi="Palatino Linotype"/>
        </w:rPr>
        <w:t xml:space="preserve">s have </w:t>
      </w:r>
      <w:r w:rsidRPr="009D0C51">
        <w:rPr>
          <w:rFonts w:ascii="Palatino Linotype" w:hAnsi="Palatino Linotype"/>
        </w:rPr>
        <w:t>increased,</w:t>
      </w:r>
      <w:r>
        <w:rPr>
          <w:rFonts w:ascii="Palatino Linotype" w:hAnsi="Palatino Linotype"/>
        </w:rPr>
        <w:t xml:space="preserve"> legislatures have</w:t>
      </w:r>
      <w:r w:rsidRPr="009D0C51">
        <w:rPr>
          <w:rFonts w:ascii="Palatino Linotype" w:hAnsi="Palatino Linotype"/>
        </w:rPr>
        <w:t xml:space="preserve"> cut funding for state and local law enforcement (by 76 percent, since 1998).</w:t>
      </w:r>
      <w:r w:rsidRPr="009D0C51">
        <w:rPr>
          <w:rStyle w:val="EndnoteReference"/>
          <w:rFonts w:ascii="Palatino Linotype" w:hAnsi="Palatino Linotype"/>
          <w:kern w:val="24"/>
        </w:rPr>
        <w:endnoteReference w:id="58"/>
      </w:r>
      <w:r w:rsidRPr="009D0C51">
        <w:rPr>
          <w:rFonts w:ascii="Palatino Linotype" w:hAnsi="Palatino Linotype"/>
        </w:rPr>
        <w:t xml:space="preserve"> </w:t>
      </w:r>
      <w:r>
        <w:rPr>
          <w:rFonts w:ascii="Palatino Linotype" w:hAnsi="Palatino Linotype"/>
        </w:rPr>
        <w:t xml:space="preserve">Yet </w:t>
      </w:r>
      <w:r w:rsidRPr="009D0C51">
        <w:rPr>
          <w:rFonts w:ascii="Palatino Linotype" w:hAnsi="Palatino Linotype"/>
        </w:rPr>
        <w:t xml:space="preserve">the return on investment for funding police is </w:t>
      </w:r>
      <w:r>
        <w:rPr>
          <w:rFonts w:ascii="Palatino Linotype" w:hAnsi="Palatino Linotype"/>
        </w:rPr>
        <w:t>far better</w:t>
      </w:r>
      <w:r w:rsidRPr="009D0C51">
        <w:rPr>
          <w:rFonts w:ascii="Palatino Linotype" w:hAnsi="Palatino Linotype"/>
        </w:rPr>
        <w:t>: “a dollar spent on police goes at least 20 percent further than a dollar spent on corrections”.</w:t>
      </w:r>
      <w:r w:rsidRPr="009D0C51">
        <w:rPr>
          <w:rStyle w:val="EndnoteReference"/>
          <w:rFonts w:ascii="Palatino Linotype" w:hAnsi="Palatino Linotype"/>
          <w:kern w:val="24"/>
        </w:rPr>
        <w:endnoteReference w:id="59"/>
      </w:r>
      <w:r w:rsidRPr="009D0C51">
        <w:rPr>
          <w:rFonts w:ascii="Palatino Linotype" w:hAnsi="Palatino Linotype"/>
        </w:rPr>
        <w:t xml:space="preserve"> So the </w:t>
      </w:r>
      <w:r>
        <w:rPr>
          <w:rFonts w:ascii="Palatino Linotype" w:hAnsi="Palatino Linotype"/>
        </w:rPr>
        <w:t xml:space="preserve">use of </w:t>
      </w:r>
      <w:r w:rsidRPr="009D0C51">
        <w:rPr>
          <w:rFonts w:ascii="Palatino Linotype" w:hAnsi="Palatino Linotype"/>
        </w:rPr>
        <w:t xml:space="preserve">mandatory minimums </w:t>
      </w:r>
      <w:r>
        <w:rPr>
          <w:rFonts w:ascii="Palatino Linotype" w:hAnsi="Palatino Linotype"/>
        </w:rPr>
        <w:t xml:space="preserve">as threats does not save resources; </w:t>
      </w:r>
      <w:r w:rsidRPr="009D0C51">
        <w:rPr>
          <w:rFonts w:ascii="Palatino Linotype" w:hAnsi="Palatino Linotype"/>
        </w:rPr>
        <w:t xml:space="preserve">it </w:t>
      </w:r>
      <w:r w:rsidRPr="009D0C51">
        <w:rPr>
          <w:rFonts w:ascii="Palatino Linotype" w:hAnsi="Palatino Linotype"/>
          <w:i/>
        </w:rPr>
        <w:t>transfer</w:t>
      </w:r>
      <w:r>
        <w:rPr>
          <w:rFonts w:ascii="Palatino Linotype" w:hAnsi="Palatino Linotype"/>
          <w:i/>
        </w:rPr>
        <w:t>s</w:t>
      </w:r>
      <w:r w:rsidRPr="009D0C51">
        <w:rPr>
          <w:rFonts w:ascii="Palatino Linotype" w:hAnsi="Palatino Linotype"/>
        </w:rPr>
        <w:t xml:space="preserve"> them from police to prisons. </w:t>
      </w:r>
    </w:p>
    <w:p w14:paraId="7CA10348" w14:textId="77777777" w:rsidR="00B26E96" w:rsidRPr="009D0C51" w:rsidRDefault="00B26E96" w:rsidP="00D4191E">
      <w:pPr>
        <w:spacing w:line="276" w:lineRule="auto"/>
        <w:rPr>
          <w:rFonts w:ascii="Palatino Linotype" w:hAnsi="Palatino Linotype"/>
        </w:rPr>
      </w:pPr>
    </w:p>
    <w:p w14:paraId="6CF8C708" w14:textId="0FFEDE21" w:rsidR="00B26E96" w:rsidRPr="009D0C51" w:rsidRDefault="00B26E96" w:rsidP="00A43447">
      <w:pPr>
        <w:spacing w:line="276" w:lineRule="auto"/>
        <w:rPr>
          <w:rFonts w:ascii="Palatino Linotype" w:hAnsi="Palatino Linotype"/>
          <w:kern w:val="24"/>
        </w:rPr>
      </w:pPr>
      <w:r w:rsidRPr="009D0C51">
        <w:rPr>
          <w:rFonts w:ascii="Palatino Linotype" w:hAnsi="Palatino Linotype"/>
        </w:rPr>
        <w:t>There are three further reasons to reject this appeal to efficiency. The first is that threatening severely disproportionate punishments in order to secure plea bargains coercive</w:t>
      </w:r>
      <w:r>
        <w:rPr>
          <w:rFonts w:ascii="Palatino Linotype" w:hAnsi="Palatino Linotype"/>
        </w:rPr>
        <w:t>ly</w:t>
      </w:r>
      <w:r w:rsidRPr="009D0C51">
        <w:rPr>
          <w:rFonts w:ascii="Palatino Linotype" w:hAnsi="Palatino Linotype"/>
        </w:rPr>
        <w:t xml:space="preserve"> undermines the rig</w:t>
      </w:r>
      <w:r>
        <w:rPr>
          <w:rFonts w:ascii="Palatino Linotype" w:hAnsi="Palatino Linotype"/>
        </w:rPr>
        <w:t xml:space="preserve">ht to trial. This practice has </w:t>
      </w:r>
      <w:r w:rsidRPr="009D0C51">
        <w:rPr>
          <w:rFonts w:ascii="Palatino Linotype" w:hAnsi="Palatino Linotype"/>
        </w:rPr>
        <w:t xml:space="preserve">been considered constitutional by the Supreme Court in </w:t>
      </w:r>
      <w:r w:rsidRPr="009D0C51">
        <w:rPr>
          <w:rFonts w:ascii="Palatino Linotype" w:hAnsi="Palatino Linotype"/>
          <w:i/>
          <w:kern w:val="24"/>
        </w:rPr>
        <w:t>Bordenkircher v. Hayes</w:t>
      </w:r>
      <w:r w:rsidRPr="009D0C51">
        <w:rPr>
          <w:rFonts w:ascii="Palatino Linotype" w:hAnsi="Palatino Linotype"/>
          <w:kern w:val="24"/>
        </w:rPr>
        <w:t>.</w:t>
      </w:r>
      <w:r w:rsidRPr="009D0C51">
        <w:rPr>
          <w:rStyle w:val="EndnoteReference"/>
          <w:rFonts w:ascii="Palatino Linotype" w:hAnsi="Palatino Linotype"/>
          <w:kern w:val="24"/>
        </w:rPr>
        <w:endnoteReference w:id="60"/>
      </w:r>
      <w:r w:rsidRPr="009D0C51">
        <w:rPr>
          <w:rFonts w:ascii="Palatino Linotype" w:hAnsi="Palatino Linotype"/>
          <w:kern w:val="24"/>
        </w:rPr>
        <w:t xml:space="preserve"> </w:t>
      </w:r>
      <w:r>
        <w:rPr>
          <w:rFonts w:ascii="Palatino Linotype" w:hAnsi="Palatino Linotype"/>
          <w:kern w:val="24"/>
        </w:rPr>
        <w:t xml:space="preserve">But it is </w:t>
      </w:r>
      <w:r w:rsidR="00536569">
        <w:rPr>
          <w:rFonts w:ascii="Palatino Linotype" w:hAnsi="Palatino Linotype"/>
          <w:kern w:val="24"/>
        </w:rPr>
        <w:t xml:space="preserve">still </w:t>
      </w:r>
      <w:r>
        <w:rPr>
          <w:rFonts w:ascii="Palatino Linotype" w:hAnsi="Palatino Linotype"/>
          <w:kern w:val="24"/>
        </w:rPr>
        <w:t xml:space="preserve">odious for a defendant </w:t>
      </w:r>
      <w:r w:rsidR="00536569">
        <w:rPr>
          <w:rFonts w:ascii="Palatino Linotype" w:hAnsi="Palatino Linotype"/>
          <w:kern w:val="24"/>
        </w:rPr>
        <w:t xml:space="preserve">like Hayes </w:t>
      </w:r>
      <w:r>
        <w:rPr>
          <w:rFonts w:ascii="Palatino Linotype" w:hAnsi="Palatino Linotype"/>
          <w:kern w:val="24"/>
        </w:rPr>
        <w:t xml:space="preserve">to face </w:t>
      </w:r>
      <w:r w:rsidR="00536569">
        <w:rPr>
          <w:rFonts w:ascii="Palatino Linotype" w:hAnsi="Palatino Linotype"/>
          <w:kern w:val="24"/>
        </w:rPr>
        <w:t xml:space="preserve">the prospect of a </w:t>
      </w:r>
      <w:r>
        <w:rPr>
          <w:rFonts w:ascii="Palatino Linotype" w:hAnsi="Palatino Linotype"/>
          <w:kern w:val="24"/>
        </w:rPr>
        <w:t xml:space="preserve">mandatory minimum sentence of life imprisonment without parole, rather than a five-year sentence, for exercising </w:t>
      </w:r>
      <w:r w:rsidR="00536569">
        <w:rPr>
          <w:rFonts w:ascii="Palatino Linotype" w:hAnsi="Palatino Linotype"/>
          <w:kern w:val="24"/>
        </w:rPr>
        <w:t xml:space="preserve">the </w:t>
      </w:r>
      <w:r w:rsidRPr="009D0C51">
        <w:rPr>
          <w:rFonts w:ascii="Palatino Linotype" w:hAnsi="Palatino Linotype"/>
        </w:rPr>
        <w:t xml:space="preserve">right to trial by jury. </w:t>
      </w:r>
    </w:p>
    <w:p w14:paraId="78257231" w14:textId="77777777" w:rsidR="00B26E96" w:rsidRPr="009D0C51" w:rsidRDefault="00B26E96" w:rsidP="00A43447">
      <w:pPr>
        <w:spacing w:line="276" w:lineRule="auto"/>
        <w:rPr>
          <w:rFonts w:ascii="Palatino Linotype" w:hAnsi="Palatino Linotype"/>
          <w:kern w:val="24"/>
        </w:rPr>
      </w:pPr>
    </w:p>
    <w:p w14:paraId="46DF273A" w14:textId="782A8293" w:rsidR="00B26E96" w:rsidRPr="009D0C51" w:rsidRDefault="00B26E96" w:rsidP="00D4191E">
      <w:pPr>
        <w:spacing w:line="276" w:lineRule="auto"/>
        <w:rPr>
          <w:rFonts w:ascii="Palatino Linotype" w:hAnsi="Palatino Linotype"/>
          <w:kern w:val="24"/>
        </w:rPr>
      </w:pPr>
      <w:r>
        <w:rPr>
          <w:rFonts w:ascii="Palatino Linotype" w:hAnsi="Palatino Linotype"/>
          <w:kern w:val="24"/>
        </w:rPr>
        <w:t>A second</w:t>
      </w:r>
      <w:r w:rsidRPr="009D0C51">
        <w:rPr>
          <w:rFonts w:ascii="Palatino Linotype" w:hAnsi="Palatino Linotype"/>
          <w:kern w:val="24"/>
        </w:rPr>
        <w:t xml:space="preserve"> concern with the use of mandatory minimums </w:t>
      </w:r>
      <w:r>
        <w:rPr>
          <w:rFonts w:ascii="Palatino Linotype" w:hAnsi="Palatino Linotype"/>
          <w:kern w:val="24"/>
        </w:rPr>
        <w:t xml:space="preserve">as threats </w:t>
      </w:r>
      <w:r w:rsidRPr="009D0C51">
        <w:rPr>
          <w:rFonts w:ascii="Palatino Linotype" w:hAnsi="Palatino Linotype"/>
          <w:kern w:val="24"/>
        </w:rPr>
        <w:t xml:space="preserve">is that </w:t>
      </w:r>
      <w:r>
        <w:rPr>
          <w:rFonts w:ascii="Palatino Linotype" w:hAnsi="Palatino Linotype"/>
          <w:kern w:val="24"/>
        </w:rPr>
        <w:t xml:space="preserve">this </w:t>
      </w:r>
      <w:r w:rsidRPr="009D0C51">
        <w:rPr>
          <w:rFonts w:ascii="Palatino Linotype" w:hAnsi="Palatino Linotype"/>
          <w:kern w:val="24"/>
        </w:rPr>
        <w:t>predictably result</w:t>
      </w:r>
      <w:r>
        <w:rPr>
          <w:rFonts w:ascii="Palatino Linotype" w:hAnsi="Palatino Linotype"/>
          <w:kern w:val="24"/>
        </w:rPr>
        <w:t>s</w:t>
      </w:r>
      <w:r w:rsidRPr="009D0C51">
        <w:rPr>
          <w:rFonts w:ascii="Palatino Linotype" w:hAnsi="Palatino Linotype"/>
          <w:kern w:val="24"/>
        </w:rPr>
        <w:t xml:space="preserve"> in the punishment of the innocent. Consider the position of an innocent defendant who is offered a choice like Hayes</w:t>
      </w:r>
      <w:r>
        <w:rPr>
          <w:rFonts w:ascii="Palatino Linotype" w:hAnsi="Palatino Linotype"/>
          <w:kern w:val="24"/>
        </w:rPr>
        <w:t>’</w:t>
      </w:r>
      <w:r w:rsidRPr="009D0C51">
        <w:rPr>
          <w:rFonts w:ascii="Palatino Linotype" w:hAnsi="Palatino Linotype"/>
          <w:kern w:val="24"/>
        </w:rPr>
        <w:t xml:space="preserve">. </w:t>
      </w:r>
      <w:r>
        <w:rPr>
          <w:rFonts w:ascii="Palatino Linotype" w:hAnsi="Palatino Linotype"/>
          <w:kern w:val="24"/>
        </w:rPr>
        <w:t xml:space="preserve">Most defendants </w:t>
      </w:r>
      <w:r w:rsidRPr="009D0C51">
        <w:rPr>
          <w:rFonts w:ascii="Palatino Linotype" w:hAnsi="Palatino Linotype"/>
          <w:kern w:val="24"/>
        </w:rPr>
        <w:t>rely on a public defender, who can often “spend only minutes with their clients before deciding whether to accept a plea deal”, during which time they cannot provide much advice, especially since “defendants have almost no constitutional right to discovery during the plea process, [so] prosecutors are often able to convincingly bluff with weak hands.”</w:t>
      </w:r>
      <w:r w:rsidRPr="009D0C51">
        <w:rPr>
          <w:rStyle w:val="EndnoteReference"/>
          <w:rFonts w:ascii="Palatino Linotype" w:hAnsi="Palatino Linotype"/>
          <w:kern w:val="24"/>
        </w:rPr>
        <w:endnoteReference w:id="61"/>
      </w:r>
      <w:r w:rsidRPr="009D0C51">
        <w:rPr>
          <w:rFonts w:ascii="Palatino Linotype" w:hAnsi="Palatino Linotype"/>
          <w:kern w:val="24"/>
        </w:rPr>
        <w:t xml:space="preserve"> </w:t>
      </w:r>
      <w:r>
        <w:rPr>
          <w:rFonts w:ascii="Palatino Linotype" w:hAnsi="Palatino Linotype"/>
          <w:kern w:val="24"/>
        </w:rPr>
        <w:t>(</w:t>
      </w:r>
      <w:r w:rsidRPr="009D0C51">
        <w:rPr>
          <w:rFonts w:ascii="Palatino Linotype" w:hAnsi="Palatino Linotype"/>
          <w:kern w:val="24"/>
        </w:rPr>
        <w:t>And many prosecutors do bluff.</w:t>
      </w:r>
      <w:r w:rsidRPr="009D0C51">
        <w:rPr>
          <w:rStyle w:val="EndnoteReference"/>
          <w:rFonts w:ascii="Palatino Linotype" w:hAnsi="Palatino Linotype"/>
          <w:kern w:val="24"/>
        </w:rPr>
        <w:endnoteReference w:id="62"/>
      </w:r>
      <w:r>
        <w:rPr>
          <w:rFonts w:ascii="Palatino Linotype" w:hAnsi="Palatino Linotype"/>
          <w:kern w:val="24"/>
        </w:rPr>
        <w:t>)</w:t>
      </w:r>
      <w:r w:rsidRPr="009D0C51">
        <w:rPr>
          <w:rFonts w:ascii="Palatino Linotype" w:hAnsi="Palatino Linotype"/>
          <w:kern w:val="24"/>
        </w:rPr>
        <w:t xml:space="preserve"> Many innocent defendants will plead guilty in the face of </w:t>
      </w:r>
      <w:r>
        <w:rPr>
          <w:rFonts w:ascii="Palatino Linotype" w:hAnsi="Palatino Linotype"/>
          <w:kern w:val="24"/>
        </w:rPr>
        <w:t>such</w:t>
      </w:r>
      <w:r w:rsidRPr="009D0C51">
        <w:rPr>
          <w:rFonts w:ascii="Palatino Linotype" w:hAnsi="Palatino Linotype"/>
          <w:kern w:val="24"/>
        </w:rPr>
        <w:t xml:space="preserve"> threat</w:t>
      </w:r>
      <w:r>
        <w:rPr>
          <w:rFonts w:ascii="Palatino Linotype" w:hAnsi="Palatino Linotype"/>
          <w:kern w:val="24"/>
        </w:rPr>
        <w:t>s</w:t>
      </w:r>
      <w:r w:rsidRPr="009D0C51">
        <w:rPr>
          <w:rFonts w:ascii="Palatino Linotype" w:hAnsi="Palatino Linotype"/>
          <w:kern w:val="24"/>
        </w:rPr>
        <w:t>: “[s]imply by charging someone with an offense carrying a mandatory sentence of ten to fifteen years or life, prosecutors are able to force people to plead guilty”</w:t>
      </w:r>
      <w:r w:rsidR="00536569">
        <w:rPr>
          <w:rFonts w:ascii="Palatino Linotype" w:hAnsi="Palatino Linotype"/>
          <w:kern w:val="24"/>
        </w:rPr>
        <w:t xml:space="preserve"> to lesser offenses</w:t>
      </w:r>
      <w:r w:rsidRPr="009D0C51">
        <w:rPr>
          <w:rFonts w:ascii="Palatino Linotype" w:hAnsi="Palatino Linotype"/>
          <w:kern w:val="24"/>
        </w:rPr>
        <w:t>, including “many innocent drug defendants.”</w:t>
      </w:r>
      <w:r w:rsidRPr="009D0C51">
        <w:rPr>
          <w:rStyle w:val="EndnoteReference"/>
          <w:rFonts w:ascii="Palatino Linotype" w:hAnsi="Palatino Linotype"/>
          <w:kern w:val="24"/>
        </w:rPr>
        <w:endnoteReference w:id="63"/>
      </w:r>
      <w:r w:rsidRPr="009D0C51">
        <w:rPr>
          <w:rFonts w:ascii="Palatino Linotype" w:hAnsi="Palatino Linotype"/>
          <w:kern w:val="24"/>
        </w:rPr>
        <w:t xml:space="preserve"> Empirical evidence suggests that the majority of innocent defendants will still go to </w:t>
      </w:r>
      <w:r w:rsidRPr="009D0C51">
        <w:rPr>
          <w:rFonts w:ascii="Palatino Linotype" w:hAnsi="Palatino Linotype"/>
          <w:kern w:val="24"/>
        </w:rPr>
        <w:lastRenderedPageBreak/>
        <w:t>trial.</w:t>
      </w:r>
      <w:r w:rsidRPr="009D0C51">
        <w:rPr>
          <w:rStyle w:val="EndnoteReference"/>
          <w:rFonts w:ascii="Palatino Linotype" w:hAnsi="Palatino Linotype"/>
          <w:kern w:val="24"/>
        </w:rPr>
        <w:endnoteReference w:id="64"/>
      </w:r>
      <w:r w:rsidRPr="009D0C51">
        <w:rPr>
          <w:rFonts w:ascii="Palatino Linotype" w:hAnsi="Palatino Linotype"/>
          <w:kern w:val="24"/>
        </w:rPr>
        <w:t xml:space="preserve"> </w:t>
      </w:r>
      <w:r>
        <w:rPr>
          <w:rFonts w:ascii="Palatino Linotype" w:hAnsi="Palatino Linotype"/>
          <w:kern w:val="24"/>
        </w:rPr>
        <w:t xml:space="preserve">Of those, many are convicted, and </w:t>
      </w:r>
      <w:r w:rsidRPr="009D0C51">
        <w:rPr>
          <w:rFonts w:ascii="Palatino Linotype" w:hAnsi="Palatino Linotype"/>
          <w:kern w:val="24"/>
        </w:rPr>
        <w:t xml:space="preserve">face severe </w:t>
      </w:r>
      <w:r>
        <w:rPr>
          <w:rFonts w:ascii="Palatino Linotype" w:hAnsi="Palatino Linotype"/>
          <w:kern w:val="24"/>
        </w:rPr>
        <w:t>mandatory minimums</w:t>
      </w:r>
      <w:r w:rsidRPr="009D0C51">
        <w:rPr>
          <w:rFonts w:ascii="Palatino Linotype" w:hAnsi="Palatino Linotype"/>
          <w:kern w:val="24"/>
        </w:rPr>
        <w:t xml:space="preserve">. In 1999 in Tulia, Texas, 43 innocent defendants were arrested for selling cocaine; the first two who refused </w:t>
      </w:r>
      <w:r>
        <w:rPr>
          <w:rFonts w:ascii="Palatino Linotype" w:hAnsi="Palatino Linotype"/>
          <w:kern w:val="24"/>
        </w:rPr>
        <w:t xml:space="preserve">plea bargains </w:t>
      </w:r>
      <w:r w:rsidRPr="009D0C51">
        <w:rPr>
          <w:rFonts w:ascii="Palatino Linotype" w:hAnsi="Palatino Linotype"/>
          <w:kern w:val="24"/>
        </w:rPr>
        <w:t>were tried, convicted, and sentenced to 99 and 434 years of imprisonment</w:t>
      </w:r>
      <w:r>
        <w:rPr>
          <w:rFonts w:ascii="Palatino Linotype" w:hAnsi="Palatino Linotype"/>
          <w:kern w:val="24"/>
        </w:rPr>
        <w:t>,</w:t>
      </w:r>
      <w:r w:rsidRPr="009D0C51">
        <w:rPr>
          <w:rFonts w:ascii="Palatino Linotype" w:hAnsi="Palatino Linotype"/>
          <w:kern w:val="24"/>
        </w:rPr>
        <w:t xml:space="preserve"> respectively.</w:t>
      </w:r>
      <w:r w:rsidRPr="009D0C51">
        <w:rPr>
          <w:rStyle w:val="EndnoteReference"/>
          <w:rFonts w:ascii="Palatino Linotype" w:hAnsi="Palatino Linotype"/>
          <w:kern w:val="24"/>
        </w:rPr>
        <w:endnoteReference w:id="65"/>
      </w:r>
      <w:r w:rsidRPr="009D0C51">
        <w:rPr>
          <w:rFonts w:ascii="Palatino Linotype" w:hAnsi="Palatino Linotype"/>
          <w:kern w:val="24"/>
        </w:rPr>
        <w:t xml:space="preserve"> The threatened use of mandatory minimums thus results in the unjust punishment of the innocent via </w:t>
      </w:r>
      <w:r>
        <w:rPr>
          <w:rFonts w:ascii="Palatino Linotype" w:hAnsi="Palatino Linotype"/>
          <w:kern w:val="24"/>
        </w:rPr>
        <w:t xml:space="preserve">compelling </w:t>
      </w:r>
      <w:r w:rsidRPr="009D0C51">
        <w:rPr>
          <w:rFonts w:ascii="Palatino Linotype" w:hAnsi="Palatino Linotype"/>
          <w:kern w:val="24"/>
        </w:rPr>
        <w:t xml:space="preserve">innocent defendants </w:t>
      </w:r>
      <w:r>
        <w:rPr>
          <w:rFonts w:ascii="Palatino Linotype" w:hAnsi="Palatino Linotype"/>
          <w:kern w:val="24"/>
        </w:rPr>
        <w:t>to plead</w:t>
      </w:r>
      <w:r w:rsidRPr="009D0C51">
        <w:rPr>
          <w:rFonts w:ascii="Palatino Linotype" w:hAnsi="Palatino Linotype"/>
          <w:kern w:val="24"/>
        </w:rPr>
        <w:t xml:space="preserve"> guilty </w:t>
      </w:r>
      <w:r w:rsidR="00536569">
        <w:rPr>
          <w:rFonts w:ascii="Palatino Linotype" w:hAnsi="Palatino Linotype"/>
          <w:kern w:val="24"/>
        </w:rPr>
        <w:t xml:space="preserve">(to lesser offenses) </w:t>
      </w:r>
      <w:r>
        <w:rPr>
          <w:rFonts w:ascii="Palatino Linotype" w:hAnsi="Palatino Linotype"/>
          <w:kern w:val="24"/>
        </w:rPr>
        <w:t xml:space="preserve">and penalizing </w:t>
      </w:r>
      <w:r w:rsidRPr="009D0C51">
        <w:rPr>
          <w:rFonts w:ascii="Palatino Linotype" w:hAnsi="Palatino Linotype"/>
          <w:kern w:val="24"/>
        </w:rPr>
        <w:t xml:space="preserve">innocent defendants who </w:t>
      </w:r>
      <w:r>
        <w:rPr>
          <w:rFonts w:ascii="Palatino Linotype" w:hAnsi="Palatino Linotype"/>
          <w:kern w:val="24"/>
        </w:rPr>
        <w:t xml:space="preserve">use their right to trial but </w:t>
      </w:r>
      <w:r w:rsidRPr="009D0C51">
        <w:rPr>
          <w:rFonts w:ascii="Palatino Linotype" w:hAnsi="Palatino Linotype"/>
          <w:kern w:val="24"/>
        </w:rPr>
        <w:t>are wrongfully convicted</w:t>
      </w:r>
      <w:r w:rsidR="00536569">
        <w:rPr>
          <w:rFonts w:ascii="Palatino Linotype" w:hAnsi="Palatino Linotype"/>
          <w:kern w:val="24"/>
        </w:rPr>
        <w:t xml:space="preserve"> (of more severe offenses)</w:t>
      </w:r>
      <w:r w:rsidRPr="009D0C51">
        <w:rPr>
          <w:rFonts w:ascii="Palatino Linotype" w:hAnsi="Palatino Linotype"/>
          <w:kern w:val="24"/>
        </w:rPr>
        <w:t xml:space="preserve">. </w:t>
      </w:r>
      <w:r>
        <w:rPr>
          <w:rFonts w:ascii="Palatino Linotype" w:hAnsi="Palatino Linotype"/>
          <w:kern w:val="24"/>
        </w:rPr>
        <w:t>Defending t</w:t>
      </w:r>
      <w:r w:rsidRPr="009D0C51">
        <w:rPr>
          <w:rFonts w:ascii="Palatino Linotype" w:hAnsi="Palatino Linotype"/>
          <w:kern w:val="24"/>
        </w:rPr>
        <w:t xml:space="preserve">he use of drug-related mandatory minimums </w:t>
      </w:r>
      <w:r>
        <w:rPr>
          <w:rFonts w:ascii="Palatino Linotype" w:hAnsi="Palatino Linotype"/>
          <w:kern w:val="24"/>
        </w:rPr>
        <w:t>requires a cavalier stance towards</w:t>
      </w:r>
      <w:r w:rsidRPr="009D0C51">
        <w:rPr>
          <w:rFonts w:ascii="Palatino Linotype" w:hAnsi="Palatino Linotype"/>
          <w:kern w:val="24"/>
        </w:rPr>
        <w:t xml:space="preserve"> punishing the innocent. </w:t>
      </w:r>
    </w:p>
    <w:p w14:paraId="2F9286D2" w14:textId="77777777" w:rsidR="00B26E96" w:rsidRPr="009D0C51" w:rsidRDefault="00B26E96" w:rsidP="00DD7808">
      <w:pPr>
        <w:spacing w:line="276" w:lineRule="auto"/>
        <w:rPr>
          <w:rFonts w:ascii="Palatino Linotype" w:hAnsi="Palatino Linotype"/>
        </w:rPr>
      </w:pPr>
    </w:p>
    <w:p w14:paraId="02F99165" w14:textId="79F1116D" w:rsidR="00B26E96" w:rsidRPr="009D0C51" w:rsidRDefault="00B26E96" w:rsidP="00DD7808">
      <w:pPr>
        <w:spacing w:line="276" w:lineRule="auto"/>
        <w:rPr>
          <w:rFonts w:ascii="Palatino Linotype" w:hAnsi="Palatino Linotype"/>
        </w:rPr>
      </w:pPr>
      <w:r w:rsidRPr="009D0C51">
        <w:rPr>
          <w:rFonts w:ascii="Palatino Linotype" w:hAnsi="Palatino Linotype"/>
        </w:rPr>
        <w:t xml:space="preserve">A final problem with this appeal to efficiency </w:t>
      </w:r>
      <w:r>
        <w:rPr>
          <w:rFonts w:ascii="Palatino Linotype" w:hAnsi="Palatino Linotype"/>
        </w:rPr>
        <w:t xml:space="preserve">concerns the usefulness of compelled </w:t>
      </w:r>
      <w:r w:rsidRPr="009D0C51">
        <w:rPr>
          <w:rFonts w:ascii="Palatino Linotype" w:hAnsi="Palatino Linotype"/>
        </w:rPr>
        <w:t xml:space="preserve">cooperation. </w:t>
      </w:r>
      <w:r>
        <w:rPr>
          <w:rFonts w:ascii="Palatino Linotype" w:hAnsi="Palatino Linotype"/>
        </w:rPr>
        <w:t>In many cases, p</w:t>
      </w:r>
      <w:r w:rsidRPr="009D0C51">
        <w:rPr>
          <w:rFonts w:ascii="Palatino Linotype" w:hAnsi="Palatino Linotype"/>
        </w:rPr>
        <w:t xml:space="preserve">rosecutors </w:t>
      </w:r>
      <w:r w:rsidRPr="009E143B">
        <w:rPr>
          <w:rFonts w:ascii="Palatino Linotype" w:hAnsi="Palatino Linotype"/>
        </w:rPr>
        <w:t xml:space="preserve">do </w:t>
      </w:r>
      <w:r>
        <w:rPr>
          <w:rFonts w:ascii="Palatino Linotype" w:hAnsi="Palatino Linotype"/>
        </w:rPr>
        <w:t xml:space="preserve">not </w:t>
      </w:r>
      <w:r w:rsidRPr="009D0C51">
        <w:rPr>
          <w:rFonts w:ascii="Palatino Linotype" w:hAnsi="Palatino Linotype"/>
        </w:rPr>
        <w:t xml:space="preserve">use threats against “lesser distributors” to </w:t>
      </w:r>
      <w:r>
        <w:rPr>
          <w:rFonts w:ascii="Palatino Linotype" w:hAnsi="Palatino Linotype"/>
        </w:rPr>
        <w:t xml:space="preserve">move </w:t>
      </w:r>
      <w:r w:rsidRPr="009E143B">
        <w:rPr>
          <w:rFonts w:ascii="Palatino Linotype" w:hAnsi="Palatino Linotype"/>
          <w:i/>
        </w:rPr>
        <w:t>up</w:t>
      </w:r>
      <w:r w:rsidRPr="009D0C51">
        <w:rPr>
          <w:rFonts w:ascii="Palatino Linotype" w:hAnsi="Palatino Linotype"/>
        </w:rPr>
        <w:t xml:space="preserve"> the </w:t>
      </w:r>
      <w:r>
        <w:rPr>
          <w:rFonts w:ascii="Palatino Linotype" w:hAnsi="Palatino Linotype"/>
        </w:rPr>
        <w:t xml:space="preserve">chain of supply </w:t>
      </w:r>
      <w:r w:rsidRPr="009D0C51">
        <w:rPr>
          <w:rFonts w:ascii="Palatino Linotype" w:hAnsi="Palatino Linotype"/>
        </w:rPr>
        <w:t xml:space="preserve">“to prosecute the more serious dealers and their leaders and suppliers.” </w:t>
      </w:r>
      <w:r>
        <w:rPr>
          <w:rFonts w:ascii="Palatino Linotype" w:hAnsi="Palatino Linotype"/>
        </w:rPr>
        <w:t>If anything, they do the opposite</w:t>
      </w:r>
      <w:r w:rsidRPr="009D0C51">
        <w:rPr>
          <w:rFonts w:ascii="Palatino Linotype" w:hAnsi="Palatino Linotype"/>
        </w:rPr>
        <w:t xml:space="preserve">: prosecutors offer reduced sentences to </w:t>
      </w:r>
      <w:r>
        <w:rPr>
          <w:rFonts w:ascii="Palatino Linotype" w:hAnsi="Palatino Linotype"/>
        </w:rPr>
        <w:t xml:space="preserve">more serious offenders who have valuable information to gain evidence against </w:t>
      </w:r>
      <w:r w:rsidRPr="009D0C51">
        <w:rPr>
          <w:rFonts w:ascii="Palatino Linotype" w:hAnsi="Palatino Linotype"/>
        </w:rPr>
        <w:t xml:space="preserve">lesser distributors. Consider </w:t>
      </w:r>
      <w:r w:rsidRPr="009D0C51">
        <w:rPr>
          <w:rFonts w:ascii="Palatino Linotype" w:hAnsi="Palatino Linotype"/>
          <w:i/>
        </w:rPr>
        <w:t>United States v. Brigham</w:t>
      </w:r>
      <w:r w:rsidRPr="009D0C51">
        <w:rPr>
          <w:rFonts w:ascii="Palatino Linotype" w:hAnsi="Palatino Linotype"/>
        </w:rPr>
        <w:t xml:space="preserve">, where a driver received a 10-year mandatory minimum while a drug kingpin </w:t>
      </w:r>
      <w:r>
        <w:rPr>
          <w:rFonts w:ascii="Palatino Linotype" w:hAnsi="Palatino Linotype"/>
        </w:rPr>
        <w:t xml:space="preserve">received </w:t>
      </w:r>
      <w:r w:rsidRPr="009D0C51">
        <w:rPr>
          <w:rFonts w:ascii="Palatino Linotype" w:hAnsi="Palatino Linotype"/>
        </w:rPr>
        <w:t xml:space="preserve">a reduced sentence (84 months) for providing “substantial assistance.” Judge Easterbrook, while affirming this sentence </w:t>
      </w:r>
      <w:r>
        <w:rPr>
          <w:rFonts w:ascii="Palatino Linotype" w:hAnsi="Palatino Linotype"/>
        </w:rPr>
        <w:t>on appeal</w:t>
      </w:r>
      <w:r w:rsidRPr="009D0C51">
        <w:rPr>
          <w:rFonts w:ascii="Palatino Linotype" w:hAnsi="Palatino Linotype"/>
        </w:rPr>
        <w:t>, wrote</w:t>
      </w:r>
      <w:r>
        <w:rPr>
          <w:rFonts w:ascii="Palatino Linotype" w:hAnsi="Palatino Linotype"/>
        </w:rPr>
        <w:t xml:space="preserve"> that</w:t>
      </w:r>
      <w:r w:rsidRPr="009D0C51">
        <w:rPr>
          <w:rFonts w:ascii="Palatino Linotype" w:hAnsi="Palatino Linotype"/>
        </w:rPr>
        <w:t>:</w:t>
      </w:r>
    </w:p>
    <w:p w14:paraId="3424F4AF" w14:textId="2A1953F6" w:rsidR="00B26E96" w:rsidRPr="009D0C51" w:rsidRDefault="00B26E96" w:rsidP="00F1074C">
      <w:pPr>
        <w:ind w:left="720"/>
        <w:rPr>
          <w:rFonts w:ascii="Palatino Linotype" w:hAnsi="Palatino Linotype"/>
        </w:rPr>
      </w:pPr>
      <w:r w:rsidRPr="009D0C51">
        <w:rPr>
          <w:rFonts w:ascii="Palatino Linotype" w:hAnsi="Palatino Linotype"/>
        </w:rPr>
        <w:t>Mandatory minimum penalties, combined with a power to grant exemptions, create a prospect of inverted sentencing. The more serious the defendant’s crimes, the lower the sentence—because the greater his wrongs, the more information and assistance he has to offer to a prosecutor.</w:t>
      </w:r>
      <w:r w:rsidRPr="009D0C51">
        <w:rPr>
          <w:rStyle w:val="EndnoteReference"/>
          <w:rFonts w:ascii="Palatino Linotype" w:hAnsi="Palatino Linotype"/>
          <w:kern w:val="24"/>
        </w:rPr>
        <w:endnoteReference w:id="66"/>
      </w:r>
      <w:r w:rsidRPr="009D0C51">
        <w:rPr>
          <w:rFonts w:ascii="Palatino Linotype" w:hAnsi="Palatino Linotype"/>
        </w:rPr>
        <w:t xml:space="preserve"> </w:t>
      </w:r>
    </w:p>
    <w:p w14:paraId="66BE60FD" w14:textId="3036802E" w:rsidR="00981610" w:rsidRPr="00281249" w:rsidRDefault="00B26E96" w:rsidP="007A633A">
      <w:pPr>
        <w:spacing w:line="276" w:lineRule="auto"/>
        <w:rPr>
          <w:rFonts w:ascii="Palatino Linotype" w:hAnsi="Palatino Linotype"/>
        </w:rPr>
      </w:pPr>
      <w:r>
        <w:rPr>
          <w:rFonts w:ascii="Palatino Linotype" w:hAnsi="Palatino Linotype"/>
        </w:rPr>
        <w:t>I</w:t>
      </w:r>
      <w:r w:rsidRPr="009D0C51">
        <w:rPr>
          <w:rFonts w:ascii="Palatino Linotype" w:hAnsi="Palatino Linotype"/>
        </w:rPr>
        <w:t xml:space="preserve">nverted sentencing </w:t>
      </w:r>
      <w:r>
        <w:rPr>
          <w:rFonts w:ascii="Palatino Linotype" w:hAnsi="Palatino Linotype"/>
        </w:rPr>
        <w:t xml:space="preserve">not only </w:t>
      </w:r>
      <w:r w:rsidRPr="009D0C51">
        <w:rPr>
          <w:rFonts w:ascii="Palatino Linotype" w:hAnsi="Palatino Linotype"/>
        </w:rPr>
        <w:t>involves disproportionate punishments</w:t>
      </w:r>
      <w:r>
        <w:rPr>
          <w:rFonts w:ascii="Palatino Linotype" w:hAnsi="Palatino Linotype"/>
        </w:rPr>
        <w:t>, but undermines the claim that mandatory minimums are vital to the war on drugs</w:t>
      </w:r>
      <w:r w:rsidRPr="009D0C51">
        <w:rPr>
          <w:rFonts w:ascii="Palatino Linotype" w:hAnsi="Palatino Linotype"/>
        </w:rPr>
        <w:t xml:space="preserve">. </w:t>
      </w:r>
      <w:r>
        <w:rPr>
          <w:rFonts w:ascii="Palatino Linotype" w:hAnsi="Palatino Linotype"/>
        </w:rPr>
        <w:t xml:space="preserve">For </w:t>
      </w:r>
      <w:r w:rsidRPr="009D0C51">
        <w:rPr>
          <w:rFonts w:ascii="Palatino Linotype" w:hAnsi="Palatino Linotype"/>
        </w:rPr>
        <w:t xml:space="preserve">prosecutors </w:t>
      </w:r>
      <w:r>
        <w:rPr>
          <w:rFonts w:ascii="Palatino Linotype" w:hAnsi="Palatino Linotype"/>
        </w:rPr>
        <w:t xml:space="preserve">to give lower sentences to kingpins in order to fry the smaller fish hardly helps </w:t>
      </w:r>
      <w:r w:rsidRPr="009D0C51">
        <w:rPr>
          <w:rFonts w:ascii="Palatino Linotype" w:hAnsi="Palatino Linotype"/>
        </w:rPr>
        <w:t>rid society of</w:t>
      </w:r>
      <w:r>
        <w:rPr>
          <w:rFonts w:ascii="Palatino Linotype" w:hAnsi="Palatino Linotype"/>
        </w:rPr>
        <w:t xml:space="preserve"> drug trafficking networks.</w:t>
      </w:r>
      <w:r w:rsidRPr="009D0C51">
        <w:rPr>
          <w:rStyle w:val="EndnoteReference"/>
          <w:rFonts w:ascii="Palatino Linotype" w:hAnsi="Palatino Linotype"/>
          <w:kern w:val="24"/>
        </w:rPr>
        <w:endnoteReference w:id="67"/>
      </w:r>
      <w:r w:rsidRPr="009D0C51">
        <w:rPr>
          <w:rFonts w:ascii="Palatino Linotype" w:hAnsi="Palatino Linotype"/>
        </w:rPr>
        <w:t xml:space="preserve"> </w:t>
      </w:r>
      <w:r>
        <w:rPr>
          <w:rFonts w:ascii="Palatino Linotype" w:hAnsi="Palatino Linotype"/>
        </w:rPr>
        <w:t xml:space="preserve">It makes it harder to achieve that goal because the </w:t>
      </w:r>
      <w:r w:rsidRPr="009D0C51">
        <w:rPr>
          <w:rFonts w:ascii="Palatino Linotype" w:hAnsi="Palatino Linotype"/>
        </w:rPr>
        <w:t xml:space="preserve">perception of unfair and overly punitive sentencing practices generates a “cooperation backlash”: it </w:t>
      </w:r>
      <w:r w:rsidRPr="009D0C51">
        <w:rPr>
          <w:rFonts w:ascii="Palatino Linotype" w:hAnsi="Palatino Linotype"/>
          <w:kern w:val="24"/>
        </w:rPr>
        <w:t>“leads victims and witnesses of crime to think twice before cooperating with law enforcement”.</w:t>
      </w:r>
      <w:r w:rsidRPr="009D0C51">
        <w:rPr>
          <w:rStyle w:val="EndnoteReference"/>
          <w:rFonts w:ascii="Palatino Linotype" w:hAnsi="Palatino Linotype"/>
          <w:kern w:val="24"/>
        </w:rPr>
        <w:endnoteReference w:id="68"/>
      </w:r>
      <w:r w:rsidRPr="009D0C51">
        <w:rPr>
          <w:rFonts w:ascii="Palatino Linotype" w:hAnsi="Palatino Linotype"/>
          <w:kern w:val="24"/>
        </w:rPr>
        <w:t xml:space="preserve"> </w:t>
      </w:r>
      <w:r>
        <w:rPr>
          <w:rFonts w:ascii="Palatino Linotype" w:hAnsi="Palatino Linotype"/>
          <w:kern w:val="24"/>
        </w:rPr>
        <w:t>V</w:t>
      </w:r>
      <w:r w:rsidRPr="009D0C51">
        <w:rPr>
          <w:rFonts w:ascii="Palatino Linotype" w:hAnsi="Palatino Linotype"/>
          <w:kern w:val="24"/>
        </w:rPr>
        <w:t xml:space="preserve">ictims and witnesses </w:t>
      </w:r>
      <w:r>
        <w:rPr>
          <w:rFonts w:ascii="Palatino Linotype" w:hAnsi="Palatino Linotype"/>
          <w:kern w:val="24"/>
        </w:rPr>
        <w:t xml:space="preserve">would </w:t>
      </w:r>
      <w:r w:rsidRPr="009D0C51">
        <w:rPr>
          <w:rFonts w:ascii="Palatino Linotype" w:hAnsi="Palatino Linotype"/>
          <w:kern w:val="24"/>
        </w:rPr>
        <w:t xml:space="preserve">provide more reliable evidence. “Who among us”, Alexander </w:t>
      </w:r>
      <w:r>
        <w:rPr>
          <w:rFonts w:ascii="Palatino Linotype" w:hAnsi="Palatino Linotype"/>
          <w:kern w:val="24"/>
        </w:rPr>
        <w:t>asks</w:t>
      </w:r>
      <w:r w:rsidRPr="009D0C51">
        <w:rPr>
          <w:rFonts w:ascii="Palatino Linotype" w:hAnsi="Palatino Linotype"/>
          <w:kern w:val="24"/>
        </w:rPr>
        <w:t xml:space="preserve">, “would not be </w:t>
      </w:r>
      <w:r w:rsidRPr="009D0C51">
        <w:rPr>
          <w:rFonts w:ascii="Palatino Linotype" w:hAnsi="Palatino Linotype"/>
          <w:kern w:val="24"/>
        </w:rPr>
        <w:lastRenderedPageBreak/>
        <w:t>tempted to lie if it was the only way to avoid a forty-year sentence for a minor drug crime?”</w:t>
      </w:r>
      <w:r w:rsidRPr="009D0C51">
        <w:rPr>
          <w:rStyle w:val="EndnoteReference"/>
          <w:rFonts w:ascii="Palatino Linotype" w:hAnsi="Palatino Linotype"/>
          <w:kern w:val="24"/>
        </w:rPr>
        <w:endnoteReference w:id="69"/>
      </w:r>
      <w:r>
        <w:rPr>
          <w:rFonts w:ascii="Palatino Linotype" w:hAnsi="Palatino Linotype"/>
          <w:kern w:val="24"/>
        </w:rPr>
        <w:t xml:space="preserve"> </w:t>
      </w:r>
      <w:r w:rsidR="008F396D">
        <w:rPr>
          <w:rFonts w:ascii="Palatino Linotype" w:hAnsi="Palatino Linotype"/>
          <w:kern w:val="24"/>
        </w:rPr>
        <w:t xml:space="preserve">A policy that </w:t>
      </w:r>
      <w:r w:rsidR="005F1967">
        <w:rPr>
          <w:rFonts w:ascii="Palatino Linotype" w:hAnsi="Palatino Linotype"/>
          <w:kern w:val="24"/>
        </w:rPr>
        <w:t xml:space="preserve">trades sources of </w:t>
      </w:r>
      <w:r w:rsidR="008F396D">
        <w:rPr>
          <w:rFonts w:ascii="Palatino Linotype" w:hAnsi="Palatino Linotype"/>
          <w:kern w:val="24"/>
        </w:rPr>
        <w:t xml:space="preserve">good information </w:t>
      </w:r>
      <w:r w:rsidR="005F1967">
        <w:rPr>
          <w:rFonts w:ascii="Palatino Linotype" w:hAnsi="Palatino Linotype"/>
          <w:kern w:val="24"/>
        </w:rPr>
        <w:t xml:space="preserve">for sources of </w:t>
      </w:r>
      <w:r w:rsidR="0032615A">
        <w:rPr>
          <w:rFonts w:ascii="Palatino Linotype" w:hAnsi="Palatino Linotype"/>
          <w:kern w:val="24"/>
        </w:rPr>
        <w:t xml:space="preserve">bad </w:t>
      </w:r>
      <w:r w:rsidR="008F396D">
        <w:rPr>
          <w:rFonts w:ascii="Palatino Linotype" w:hAnsi="Palatino Linotype"/>
          <w:kern w:val="24"/>
        </w:rPr>
        <w:t xml:space="preserve">information is </w:t>
      </w:r>
      <w:r w:rsidR="00281249">
        <w:rPr>
          <w:rFonts w:ascii="Palatino Linotype" w:hAnsi="Palatino Linotype"/>
          <w:kern w:val="24"/>
        </w:rPr>
        <w:t xml:space="preserve">hard </w:t>
      </w:r>
      <w:r w:rsidR="008F396D">
        <w:rPr>
          <w:rFonts w:ascii="Palatino Linotype" w:hAnsi="Palatino Linotype"/>
          <w:kern w:val="24"/>
        </w:rPr>
        <w:t>to justify on utilitarian grounds.</w:t>
      </w:r>
    </w:p>
    <w:p w14:paraId="58A2866D" w14:textId="77777777" w:rsidR="00E519B1" w:rsidRPr="009D0C51" w:rsidRDefault="00E519B1" w:rsidP="00683523">
      <w:pPr>
        <w:spacing w:line="276" w:lineRule="auto"/>
        <w:rPr>
          <w:rFonts w:ascii="Palatino Linotype" w:hAnsi="Palatino Linotype"/>
        </w:rPr>
      </w:pPr>
    </w:p>
    <w:p w14:paraId="45A2E16B" w14:textId="789276F1" w:rsidR="003943C7" w:rsidRPr="009D0C51" w:rsidRDefault="00586DE7" w:rsidP="00002505">
      <w:pPr>
        <w:spacing w:line="276" w:lineRule="auto"/>
        <w:jc w:val="center"/>
        <w:outlineLvl w:val="0"/>
        <w:rPr>
          <w:rFonts w:ascii="Palatino Linotype" w:hAnsi="Palatino Linotype"/>
          <w:b/>
          <w:kern w:val="24"/>
        </w:rPr>
      </w:pPr>
      <w:r>
        <w:rPr>
          <w:rFonts w:ascii="Palatino Linotype" w:hAnsi="Palatino Linotype"/>
          <w:b/>
          <w:kern w:val="24"/>
        </w:rPr>
        <w:t>I</w:t>
      </w:r>
      <w:r w:rsidR="003943C7" w:rsidRPr="009D0C51">
        <w:rPr>
          <w:rFonts w:ascii="Palatino Linotype" w:hAnsi="Palatino Linotype"/>
          <w:b/>
          <w:kern w:val="24"/>
        </w:rPr>
        <w:t>V—Conclusion</w:t>
      </w:r>
    </w:p>
    <w:p w14:paraId="1C495DDE" w14:textId="77777777" w:rsidR="003943C7" w:rsidRPr="009D0C51" w:rsidRDefault="003943C7" w:rsidP="00683523">
      <w:pPr>
        <w:spacing w:line="276" w:lineRule="auto"/>
        <w:rPr>
          <w:rFonts w:ascii="Palatino Linotype" w:hAnsi="Palatino Linotype"/>
        </w:rPr>
      </w:pPr>
    </w:p>
    <w:p w14:paraId="51E05EE4" w14:textId="21418415" w:rsidR="001F6164" w:rsidRPr="00B26E96" w:rsidRDefault="00AB21C3" w:rsidP="00B26E96">
      <w:pPr>
        <w:spacing w:line="276" w:lineRule="auto"/>
        <w:rPr>
          <w:rFonts w:ascii="Palatino Linotype" w:hAnsi="Palatino Linotype"/>
          <w:kern w:val="24"/>
        </w:rPr>
      </w:pPr>
      <w:r w:rsidRPr="009D0C51">
        <w:rPr>
          <w:rFonts w:ascii="Palatino Linotype" w:hAnsi="Palatino Linotype"/>
          <w:kern w:val="24"/>
        </w:rPr>
        <w:t xml:space="preserve">In this chapter I have explored three common arguments regarding the use of mandatory minimums in the war on drugs. </w:t>
      </w:r>
      <w:r w:rsidR="00D86BDB" w:rsidRPr="009D0C51">
        <w:rPr>
          <w:rFonts w:ascii="Palatino Linotype" w:hAnsi="Palatino Linotype"/>
          <w:kern w:val="24"/>
        </w:rPr>
        <w:t>B</w:t>
      </w:r>
      <w:r w:rsidRPr="009D0C51">
        <w:rPr>
          <w:rFonts w:ascii="Palatino Linotype" w:hAnsi="Palatino Linotype"/>
          <w:kern w:val="24"/>
        </w:rPr>
        <w:t xml:space="preserve">ecause </w:t>
      </w:r>
      <w:r w:rsidR="000807A1" w:rsidRPr="009D0C51">
        <w:rPr>
          <w:rFonts w:ascii="Palatino Linotype" w:hAnsi="Palatino Linotype"/>
          <w:kern w:val="24"/>
        </w:rPr>
        <w:t xml:space="preserve">mandatory minimums transfer the determination of sentences from fine-grained </w:t>
      </w:r>
      <w:r w:rsidRPr="009D0C51">
        <w:rPr>
          <w:rFonts w:ascii="Palatino Linotype" w:hAnsi="Palatino Linotype"/>
          <w:kern w:val="24"/>
        </w:rPr>
        <w:t xml:space="preserve">sentencing guidelines to coarse-grained system mandatory minimums, they </w:t>
      </w:r>
      <w:r w:rsidR="00A703E8">
        <w:rPr>
          <w:rFonts w:ascii="Palatino Linotype" w:hAnsi="Palatino Linotype"/>
          <w:kern w:val="24"/>
        </w:rPr>
        <w:t>generate</w:t>
      </w:r>
      <w:r w:rsidR="00D86BDB" w:rsidRPr="009D0C51">
        <w:rPr>
          <w:rFonts w:ascii="Palatino Linotype" w:hAnsi="Palatino Linotype"/>
          <w:kern w:val="24"/>
        </w:rPr>
        <w:t xml:space="preserve"> disproportionate punishments. And because mandatory minimums transfer discretion from accountable judges to unaccountable prosecutors, and transfer resources from </w:t>
      </w:r>
      <w:r w:rsidR="00FD3833" w:rsidRPr="009D0C51">
        <w:rPr>
          <w:rFonts w:ascii="Palatino Linotype" w:hAnsi="Palatino Linotype"/>
          <w:kern w:val="24"/>
        </w:rPr>
        <w:t xml:space="preserve">police to prisons, they are difficult to justify on the grounds of consistency or efficiency. For these reasons, </w:t>
      </w:r>
      <w:r w:rsidR="000807A1" w:rsidRPr="009D0C51">
        <w:rPr>
          <w:rFonts w:ascii="Palatino Linotype" w:hAnsi="Palatino Linotype"/>
          <w:kern w:val="24"/>
        </w:rPr>
        <w:t xml:space="preserve">the use of mandatory minimums in the war on drugs is unjust. </w:t>
      </w:r>
    </w:p>
    <w:p w14:paraId="52254752" w14:textId="50BEE86F" w:rsidR="00D42F28" w:rsidRPr="009D0C51" w:rsidRDefault="00D42F28" w:rsidP="00D42F28">
      <w:pPr>
        <w:spacing w:line="276" w:lineRule="auto"/>
        <w:rPr>
          <w:rFonts w:ascii="Palatino Linotype" w:hAnsi="Palatino Linotype"/>
        </w:rPr>
      </w:pPr>
    </w:p>
    <w:sectPr w:rsidR="00D42F28" w:rsidRPr="009D0C51" w:rsidSect="003D0050">
      <w:footerReference w:type="even" r:id="rId8"/>
      <w:footerReference w:type="default" r:id="rId9"/>
      <w:endnotePr>
        <w:numFmt w:val="decimal"/>
      </w:endnotePr>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A8CC" w14:textId="77777777" w:rsidR="00BC4A23" w:rsidRDefault="00BC4A23" w:rsidP="003D0050">
      <w:r>
        <w:separator/>
      </w:r>
    </w:p>
  </w:endnote>
  <w:endnote w:type="continuationSeparator" w:id="0">
    <w:p w14:paraId="62A0804E" w14:textId="77777777" w:rsidR="00BC4A23" w:rsidRDefault="00BC4A23" w:rsidP="003D0050">
      <w:r>
        <w:continuationSeparator/>
      </w:r>
    </w:p>
  </w:endnote>
  <w:endnote w:id="1">
    <w:p w14:paraId="42DB0ABA" w14:textId="3151E12D" w:rsidR="00B26E96" w:rsidRPr="005003F1" w:rsidRDefault="00B26E96" w:rsidP="00E5316E">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U.S. Sentencing Commission, </w:t>
      </w:r>
      <w:r w:rsidRPr="00B26E96">
        <w:rPr>
          <w:rFonts w:ascii="Palatino Linotype" w:hAnsi="Palatino Linotype"/>
          <w:i/>
          <w:sz w:val="20"/>
          <w:szCs w:val="20"/>
        </w:rPr>
        <w:t>2011 Report to the Congress: Mandatory Minimum Penalties in the Federal Criminal Justice System</w:t>
      </w:r>
      <w:r w:rsidRPr="00B26E96">
        <w:rPr>
          <w:rFonts w:ascii="Palatino Linotype" w:hAnsi="Palatino Linotype"/>
          <w:sz w:val="20"/>
          <w:szCs w:val="20"/>
        </w:rPr>
        <w:t xml:space="preserve"> (Washington D.C.: USSC, 2011)</w:t>
      </w:r>
      <w:r>
        <w:rPr>
          <w:rFonts w:ascii="Palatino Linotype" w:hAnsi="Palatino Linotype"/>
          <w:sz w:val="20"/>
          <w:szCs w:val="20"/>
        </w:rPr>
        <w:t xml:space="preserve">, </w:t>
      </w:r>
      <w:r w:rsidRPr="005003F1">
        <w:rPr>
          <w:rFonts w:ascii="Palatino Linotype" w:hAnsi="Palatino Linotype"/>
          <w:sz w:val="20"/>
          <w:szCs w:val="20"/>
        </w:rPr>
        <w:t xml:space="preserve">ch. 2. </w:t>
      </w:r>
    </w:p>
  </w:endnote>
  <w:endnote w:id="2">
    <w:p w14:paraId="45A4FB0C" w14:textId="2695AE5B"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Naomi Murakawa, </w:t>
      </w:r>
      <w:r w:rsidRPr="00B26E96">
        <w:rPr>
          <w:rFonts w:ascii="Palatino Linotype" w:hAnsi="Palatino Linotype"/>
          <w:i/>
          <w:sz w:val="20"/>
          <w:szCs w:val="20"/>
        </w:rPr>
        <w:t>The First Civil Right: How Liberals Built Prison America</w:t>
      </w:r>
      <w:r w:rsidRPr="00B26E96">
        <w:rPr>
          <w:rFonts w:ascii="Palatino Linotype" w:hAnsi="Palatino Linotype"/>
          <w:sz w:val="20"/>
          <w:szCs w:val="20"/>
        </w:rPr>
        <w:t xml:space="preserve"> </w:t>
      </w:r>
      <w:r>
        <w:rPr>
          <w:rFonts w:ascii="Palatino Linotype" w:hAnsi="Palatino Linotype"/>
          <w:sz w:val="20"/>
          <w:szCs w:val="20"/>
        </w:rPr>
        <w:t>(Oxford University Press,</w:t>
      </w:r>
      <w:r w:rsidRPr="00B26E96">
        <w:rPr>
          <w:rFonts w:ascii="Palatino Linotype" w:hAnsi="Palatino Linotype"/>
          <w:sz w:val="20"/>
          <w:szCs w:val="20"/>
        </w:rPr>
        <w:t xml:space="preserve"> 2014</w:t>
      </w:r>
      <w:r>
        <w:rPr>
          <w:rFonts w:ascii="Palatino Linotype" w:hAnsi="Palatino Linotype"/>
          <w:sz w:val="20"/>
          <w:szCs w:val="20"/>
        </w:rPr>
        <w:t xml:space="preserve">), </w:t>
      </w:r>
      <w:r w:rsidRPr="005003F1">
        <w:rPr>
          <w:rFonts w:ascii="Palatino Linotype" w:hAnsi="Palatino Linotype"/>
          <w:sz w:val="20"/>
          <w:szCs w:val="20"/>
        </w:rPr>
        <w:t xml:space="preserve">116. As </w:t>
      </w:r>
      <w:r>
        <w:rPr>
          <w:rFonts w:ascii="Palatino Linotype" w:hAnsi="Palatino Linotype"/>
          <w:sz w:val="20"/>
          <w:szCs w:val="20"/>
        </w:rPr>
        <w:t>Murakawa notes (</w:t>
      </w:r>
      <w:r w:rsidRPr="005003F1">
        <w:rPr>
          <w:rFonts w:ascii="Palatino Linotype" w:hAnsi="Palatino Linotype"/>
          <w:sz w:val="20"/>
          <w:szCs w:val="20"/>
        </w:rPr>
        <w:t xml:space="preserve">242), in 1914 ‘Congress enacted a five-year mandatory minimum for opium manufacture’; this was the only drug-related federal mandatory minimum passed until the </w:t>
      </w:r>
      <w:r w:rsidRPr="005003F1">
        <w:rPr>
          <w:rFonts w:ascii="Palatino Linotype" w:hAnsi="Palatino Linotype"/>
          <w:i/>
          <w:sz w:val="20"/>
          <w:szCs w:val="20"/>
        </w:rPr>
        <w:t>Boggs Act</w:t>
      </w:r>
      <w:r w:rsidRPr="005003F1">
        <w:rPr>
          <w:rFonts w:ascii="Palatino Linotype" w:hAnsi="Palatino Linotype"/>
          <w:sz w:val="20"/>
          <w:szCs w:val="20"/>
        </w:rPr>
        <w:t xml:space="preserve"> in 1951.</w:t>
      </w:r>
    </w:p>
  </w:endnote>
  <w:endnote w:id="3">
    <w:p w14:paraId="799B6F6A" w14:textId="75E4AE37"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Murakawa, </w:t>
      </w:r>
      <w:r w:rsidRPr="00B26E96">
        <w:rPr>
          <w:rFonts w:ascii="Palatino Linotype" w:hAnsi="Palatino Linotype"/>
          <w:i/>
          <w:sz w:val="20"/>
          <w:szCs w:val="20"/>
        </w:rPr>
        <w:t>The First Civil Right</w:t>
      </w:r>
      <w:r>
        <w:rPr>
          <w:rFonts w:ascii="Palatino Linotype" w:hAnsi="Palatino Linotype"/>
          <w:sz w:val="20"/>
          <w:szCs w:val="20"/>
        </w:rPr>
        <w:t>,</w:t>
      </w:r>
      <w:r w:rsidRPr="005003F1">
        <w:rPr>
          <w:rFonts w:ascii="Palatino Linotype" w:hAnsi="Palatino Linotype"/>
          <w:sz w:val="20"/>
          <w:szCs w:val="20"/>
        </w:rPr>
        <w:t xml:space="preserve"> 119. </w:t>
      </w:r>
    </w:p>
  </w:endnote>
  <w:endnote w:id="4">
    <w:p w14:paraId="220B1567" w14:textId="3CB45A9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Murakawa</w:t>
      </w:r>
      <w:r>
        <w:rPr>
          <w:rFonts w:ascii="Palatino Linotype" w:hAnsi="Palatino Linotype"/>
          <w:sz w:val="20"/>
          <w:szCs w:val="20"/>
        </w:rPr>
        <w:t xml:space="preserve"> quantifies this: </w:t>
      </w:r>
      <w:r w:rsidRPr="00B26E96">
        <w:rPr>
          <w:rFonts w:ascii="Palatino Linotype" w:hAnsi="Palatino Linotype"/>
          <w:i/>
          <w:sz w:val="20"/>
          <w:szCs w:val="20"/>
        </w:rPr>
        <w:t>The First Civil Right</w:t>
      </w:r>
      <w:r>
        <w:rPr>
          <w:rFonts w:ascii="Palatino Linotype" w:hAnsi="Palatino Linotype"/>
          <w:sz w:val="20"/>
          <w:szCs w:val="20"/>
        </w:rPr>
        <w:t xml:space="preserve">, </w:t>
      </w:r>
      <w:r w:rsidRPr="005003F1">
        <w:rPr>
          <w:rFonts w:ascii="Palatino Linotype" w:hAnsi="Palatino Linotype"/>
          <w:sz w:val="20"/>
          <w:szCs w:val="20"/>
        </w:rPr>
        <w:t xml:space="preserve">24, 116, 241. </w:t>
      </w:r>
    </w:p>
  </w:endnote>
  <w:endnote w:id="5">
    <w:p w14:paraId="462F8159" w14:textId="6CD36990"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U.S. Sentencing Commission, Quick Facts on Mandatory Minimums (Washington D.C.: USSC, 2017a)</w:t>
      </w:r>
      <w:r>
        <w:rPr>
          <w:rFonts w:ascii="Palatino Linotype" w:hAnsi="Palatino Linotype"/>
          <w:sz w:val="20"/>
          <w:szCs w:val="20"/>
        </w:rPr>
        <w:t>.</w:t>
      </w:r>
    </w:p>
  </w:endnote>
  <w:endnote w:id="6">
    <w:p w14:paraId="451AC9AC" w14:textId="33A08106" w:rsidR="00B26E96" w:rsidRPr="005003F1" w:rsidRDefault="00B26E96" w:rsidP="00B26E96">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Close to </w:t>
      </w:r>
      <w:r>
        <w:rPr>
          <w:rFonts w:ascii="Palatino Linotype" w:hAnsi="Palatino Linotype"/>
          <w:sz w:val="20"/>
          <w:szCs w:val="20"/>
        </w:rPr>
        <w:t xml:space="preserve">50% </w:t>
      </w:r>
      <w:r w:rsidRPr="005003F1">
        <w:rPr>
          <w:rFonts w:ascii="Palatino Linotype" w:hAnsi="Palatino Linotype"/>
          <w:sz w:val="20"/>
          <w:szCs w:val="20"/>
        </w:rPr>
        <w:t>of the offenders convicted under §924(c) were convicted of carrying a firearm in the commissi</w:t>
      </w:r>
      <w:r>
        <w:rPr>
          <w:rFonts w:ascii="Palatino Linotype" w:hAnsi="Palatino Linotype"/>
          <w:sz w:val="20"/>
          <w:szCs w:val="20"/>
        </w:rPr>
        <w:t>on of a drug trafficking felony, and over 75%</w:t>
      </w:r>
      <w:r w:rsidRPr="005003F1">
        <w:rPr>
          <w:rFonts w:ascii="Palatino Linotype" w:hAnsi="Palatino Linotype"/>
          <w:sz w:val="20"/>
          <w:szCs w:val="20"/>
        </w:rPr>
        <w:t xml:space="preserve"> of career offenders convicted under §924(e) were sentenced for a drug trafficking offense</w:t>
      </w:r>
      <w:r>
        <w:rPr>
          <w:rFonts w:ascii="Palatino Linotype" w:hAnsi="Palatino Linotype"/>
          <w:sz w:val="20"/>
          <w:szCs w:val="20"/>
        </w:rPr>
        <w:t xml:space="preserve"> </w:t>
      </w:r>
      <w:r w:rsidRPr="005003F1">
        <w:rPr>
          <w:rFonts w:ascii="Palatino Linotype" w:hAnsi="Palatino Linotype"/>
          <w:sz w:val="20"/>
          <w:szCs w:val="20"/>
        </w:rPr>
        <w:t>(</w:t>
      </w:r>
      <w:r>
        <w:rPr>
          <w:rFonts w:ascii="Palatino Linotype" w:hAnsi="Palatino Linotype"/>
          <w:sz w:val="20"/>
          <w:szCs w:val="20"/>
        </w:rPr>
        <w:t xml:space="preserve">see </w:t>
      </w:r>
      <w:r w:rsidRPr="00B26E96">
        <w:rPr>
          <w:rFonts w:ascii="Palatino Linotype" w:hAnsi="Palatino Linotype"/>
          <w:sz w:val="20"/>
          <w:szCs w:val="20"/>
        </w:rPr>
        <w:t>U.S. Sentencing Commission, Quick Facts on §924(c) Firearms Offenses (Washington D.C.: USSC, 2017b)</w:t>
      </w:r>
      <w:r>
        <w:rPr>
          <w:rFonts w:ascii="Palatino Linotype" w:hAnsi="Palatino Linotype"/>
          <w:sz w:val="20"/>
          <w:szCs w:val="20"/>
        </w:rPr>
        <w:t xml:space="preserve"> and </w:t>
      </w:r>
      <w:r w:rsidRPr="00B26E96">
        <w:rPr>
          <w:rFonts w:ascii="Palatino Linotype" w:hAnsi="Palatino Linotype"/>
          <w:sz w:val="20"/>
          <w:szCs w:val="20"/>
        </w:rPr>
        <w:t>Quick Facts on Career Offenders (Washington D.C.: USSC, 2017c)</w:t>
      </w:r>
      <w:r>
        <w:rPr>
          <w:rFonts w:ascii="Palatino Linotype" w:hAnsi="Palatino Linotype"/>
          <w:sz w:val="20"/>
          <w:szCs w:val="20"/>
        </w:rPr>
        <w:t>)</w:t>
      </w:r>
      <w:r w:rsidRPr="005003F1">
        <w:rPr>
          <w:rFonts w:ascii="Palatino Linotype" w:hAnsi="Palatino Linotype"/>
          <w:sz w:val="20"/>
          <w:szCs w:val="20"/>
        </w:rPr>
        <w:t xml:space="preserve">. The latter figure does not count cases where past drug convictions are what cause a future conviction to trigger a career offender enhancement: see </w:t>
      </w:r>
      <w:r w:rsidRPr="00B26E96">
        <w:rPr>
          <w:rFonts w:ascii="Palatino Linotype" w:hAnsi="Palatino Linotype"/>
          <w:sz w:val="20"/>
          <w:szCs w:val="20"/>
        </w:rPr>
        <w:t xml:space="preserve">John Pfaff, </w:t>
      </w:r>
      <w:r w:rsidRPr="00B26E96">
        <w:rPr>
          <w:rFonts w:ascii="Palatino Linotype" w:hAnsi="Palatino Linotype"/>
          <w:i/>
          <w:sz w:val="20"/>
          <w:szCs w:val="20"/>
        </w:rPr>
        <w:t>Locked In: The True Causes of Mass Incarceration and How to Achieve Real Reform</w:t>
      </w:r>
      <w:r w:rsidRPr="00B26E96">
        <w:rPr>
          <w:rFonts w:ascii="Palatino Linotype" w:hAnsi="Palatino Linotype"/>
          <w:sz w:val="20"/>
          <w:szCs w:val="20"/>
        </w:rPr>
        <w:t xml:space="preserve"> </w:t>
      </w:r>
      <w:r>
        <w:rPr>
          <w:rFonts w:ascii="Palatino Linotype" w:hAnsi="Palatino Linotype"/>
          <w:sz w:val="20"/>
          <w:szCs w:val="20"/>
        </w:rPr>
        <w:t>(</w:t>
      </w:r>
      <w:r w:rsidRPr="00B26E96">
        <w:rPr>
          <w:rFonts w:ascii="Palatino Linotype" w:hAnsi="Palatino Linotype"/>
          <w:sz w:val="20"/>
          <w:szCs w:val="20"/>
        </w:rPr>
        <w:t>Basic Books, 2017</w:t>
      </w:r>
      <w:r>
        <w:rPr>
          <w:rFonts w:ascii="Palatino Linotype" w:hAnsi="Palatino Linotype"/>
          <w:sz w:val="20"/>
          <w:szCs w:val="20"/>
        </w:rPr>
        <w:t xml:space="preserve">), </w:t>
      </w:r>
      <w:r w:rsidRPr="005003F1">
        <w:rPr>
          <w:rFonts w:ascii="Palatino Linotype" w:hAnsi="Palatino Linotype"/>
          <w:sz w:val="20"/>
          <w:szCs w:val="20"/>
        </w:rPr>
        <w:t xml:space="preserve">41. </w:t>
      </w:r>
    </w:p>
  </w:endnote>
  <w:endnote w:id="7">
    <w:p w14:paraId="2646F7B4" w14:textId="1987FF56"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 xml:space="preserve">13. </w:t>
      </w:r>
    </w:p>
  </w:endnote>
  <w:endnote w:id="8">
    <w:p w14:paraId="3BAC8BE6" w14:textId="0937F17D"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See, e.g., Murakawa, </w:t>
      </w:r>
      <w:r w:rsidRPr="00B26E96">
        <w:rPr>
          <w:rFonts w:ascii="Palatino Linotype" w:hAnsi="Palatino Linotype"/>
          <w:i/>
          <w:sz w:val="20"/>
          <w:szCs w:val="20"/>
        </w:rPr>
        <w:t>The First Civil Right</w:t>
      </w:r>
      <w:r>
        <w:rPr>
          <w:rFonts w:ascii="Palatino Linotype" w:hAnsi="Palatino Linotype"/>
          <w:sz w:val="20"/>
          <w:szCs w:val="20"/>
        </w:rPr>
        <w:t xml:space="preserve">, </w:t>
      </w:r>
      <w:r w:rsidRPr="005003F1">
        <w:rPr>
          <w:rFonts w:ascii="Palatino Linotype" w:hAnsi="Palatino Linotype"/>
          <w:sz w:val="20"/>
          <w:szCs w:val="20"/>
        </w:rPr>
        <w:t>64.</w:t>
      </w:r>
    </w:p>
  </w:endnote>
  <w:endnote w:id="9">
    <w:p w14:paraId="2E3DF96A" w14:textId="136C1AB0"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Pr>
          <w:rFonts w:ascii="Palatino Linotype" w:hAnsi="Palatino Linotype"/>
          <w:sz w:val="20"/>
          <w:szCs w:val="20"/>
        </w:rPr>
        <w:t xml:space="preserve">6, 13, 22. </w:t>
      </w:r>
    </w:p>
  </w:endnote>
  <w:endnote w:id="10">
    <w:p w14:paraId="519B04DA" w14:textId="642267F7"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Murakawa, </w:t>
      </w:r>
      <w:r w:rsidRPr="00B26E96">
        <w:rPr>
          <w:rFonts w:ascii="Palatino Linotype" w:hAnsi="Palatino Linotype"/>
          <w:i/>
          <w:sz w:val="20"/>
          <w:szCs w:val="20"/>
        </w:rPr>
        <w:t>The First Civil Right</w:t>
      </w:r>
      <w:r>
        <w:rPr>
          <w:rFonts w:ascii="Palatino Linotype" w:hAnsi="Palatino Linotype"/>
          <w:sz w:val="20"/>
          <w:szCs w:val="20"/>
        </w:rPr>
        <w:t xml:space="preserve">, </w:t>
      </w:r>
      <w:r w:rsidRPr="005003F1">
        <w:rPr>
          <w:rFonts w:ascii="Palatino Linotype" w:hAnsi="Palatino Linotype"/>
          <w:sz w:val="20"/>
          <w:szCs w:val="20"/>
        </w:rPr>
        <w:t xml:space="preserve">115. </w:t>
      </w:r>
      <w:r>
        <w:rPr>
          <w:rFonts w:ascii="Palatino Linotype" w:hAnsi="Palatino Linotype"/>
          <w:sz w:val="20"/>
          <w:szCs w:val="20"/>
        </w:rPr>
        <w:t xml:space="preserve">This is </w:t>
      </w:r>
      <w:r w:rsidRPr="005003F1">
        <w:rPr>
          <w:rFonts w:ascii="Palatino Linotype" w:hAnsi="Palatino Linotype"/>
          <w:sz w:val="20"/>
          <w:szCs w:val="20"/>
        </w:rPr>
        <w:t xml:space="preserve">part of what </w:t>
      </w:r>
      <w:r>
        <w:rPr>
          <w:rFonts w:ascii="Palatino Linotype" w:hAnsi="Palatino Linotype"/>
          <w:sz w:val="20"/>
          <w:szCs w:val="20"/>
        </w:rPr>
        <w:t xml:space="preserve">Pfaff calls the “Standard Story”. </w:t>
      </w:r>
    </w:p>
  </w:endnote>
  <w:endnote w:id="11">
    <w:p w14:paraId="77C9CFE9" w14:textId="7CB292F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I</w:t>
      </w:r>
      <w:r w:rsidRPr="005003F1">
        <w:rPr>
          <w:rFonts w:ascii="Palatino Linotype" w:hAnsi="Palatino Linotype"/>
          <w:sz w:val="20"/>
          <w:szCs w:val="20"/>
        </w:rPr>
        <w:t>n 2013, Senators Durbin (D-IL), Leahy (D-VT)</w:t>
      </w:r>
      <w:r>
        <w:rPr>
          <w:rFonts w:ascii="Palatino Linotype" w:hAnsi="Palatino Linotype"/>
          <w:sz w:val="20"/>
          <w:szCs w:val="20"/>
        </w:rPr>
        <w:t>,</w:t>
      </w:r>
      <w:r w:rsidRPr="005003F1">
        <w:rPr>
          <w:rFonts w:ascii="Palatino Linotype" w:hAnsi="Palatino Linotype"/>
          <w:sz w:val="20"/>
          <w:szCs w:val="20"/>
        </w:rPr>
        <w:t xml:space="preserve"> and Lee (R-UT) proposed the Smarter Sentencing Act, </w:t>
      </w:r>
      <w:r>
        <w:rPr>
          <w:rFonts w:ascii="Palatino Linotype" w:hAnsi="Palatino Linotype"/>
          <w:sz w:val="20"/>
          <w:szCs w:val="20"/>
        </w:rPr>
        <w:t xml:space="preserve">and </w:t>
      </w:r>
      <w:r w:rsidRPr="005003F1">
        <w:rPr>
          <w:rFonts w:ascii="Palatino Linotype" w:hAnsi="Palatino Linotype"/>
          <w:sz w:val="20"/>
          <w:szCs w:val="20"/>
        </w:rPr>
        <w:t xml:space="preserve">Leahy and Paul (R-KY) proposed the Judicial Safety Valve Act. </w:t>
      </w:r>
    </w:p>
  </w:endnote>
  <w:endnote w:id="12">
    <w:p w14:paraId="5FFB4D7A" w14:textId="77EBE5F6"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"Drug Deaths in America Are Rising Faster Than Ever", </w:t>
      </w:r>
      <w:r w:rsidRPr="005003F1">
        <w:rPr>
          <w:rFonts w:ascii="Palatino Linotype" w:hAnsi="Palatino Linotype"/>
          <w:i/>
          <w:iCs/>
          <w:sz w:val="20"/>
          <w:szCs w:val="20"/>
        </w:rPr>
        <w:t>New York Times</w:t>
      </w:r>
      <w:r w:rsidRPr="005003F1">
        <w:rPr>
          <w:rFonts w:ascii="Palatino Linotype" w:hAnsi="Palatino Linotype"/>
          <w:sz w:val="20"/>
          <w:szCs w:val="20"/>
        </w:rPr>
        <w:t>, June 5, 2017</w:t>
      </w:r>
    </w:p>
  </w:endnote>
  <w:endnote w:id="13">
    <w:p w14:paraId="46D81FF4" w14:textId="77777777" w:rsidR="00B26E96" w:rsidRPr="005003F1" w:rsidRDefault="00B26E96" w:rsidP="00BC1DC8">
      <w:pPr>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See, e.g., “Grand Jury Calls for Mandatory Minimums to Fight Opioids”, </w:t>
      </w:r>
      <w:r w:rsidRPr="005003F1">
        <w:rPr>
          <w:rFonts w:ascii="Palatino Linotype" w:hAnsi="Palatino Linotype"/>
          <w:i/>
          <w:sz w:val="20"/>
          <w:szCs w:val="20"/>
        </w:rPr>
        <w:t>U.S. News</w:t>
      </w:r>
      <w:r w:rsidRPr="005003F1">
        <w:rPr>
          <w:rFonts w:ascii="Palatino Linotype" w:hAnsi="Palatino Linotype"/>
          <w:sz w:val="20"/>
          <w:szCs w:val="20"/>
        </w:rPr>
        <w:t xml:space="preserve">, May 18 2017. </w:t>
      </w:r>
    </w:p>
  </w:endnote>
  <w:endnote w:id="14">
    <w:p w14:paraId="6C4EBD4A" w14:textId="77777777" w:rsidR="00B26E96" w:rsidRPr="005003F1" w:rsidRDefault="00B26E96" w:rsidP="00BC1DC8">
      <w:pPr>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“Rick Scott signs tough new mandatory minimums for fentanyl into law”, </w:t>
      </w:r>
      <w:r w:rsidRPr="005003F1">
        <w:rPr>
          <w:rFonts w:ascii="Palatino Linotype" w:hAnsi="Palatino Linotype"/>
          <w:i/>
          <w:sz w:val="20"/>
          <w:szCs w:val="20"/>
        </w:rPr>
        <w:t>Miami Herald</w:t>
      </w:r>
      <w:r w:rsidRPr="005003F1">
        <w:rPr>
          <w:rFonts w:ascii="Palatino Linotype" w:hAnsi="Palatino Linotype"/>
          <w:sz w:val="20"/>
          <w:szCs w:val="20"/>
        </w:rPr>
        <w:t xml:space="preserve">, June 14, 2017. </w:t>
      </w:r>
    </w:p>
  </w:endnote>
  <w:endnote w:id="15">
    <w:p w14:paraId="53E45DCD" w14:textId="395ED0C4"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See, e.g., </w:t>
      </w:r>
      <w:r w:rsidRPr="00B26E96">
        <w:rPr>
          <w:rFonts w:ascii="Palatino Linotype" w:hAnsi="Palatino Linotype"/>
          <w:sz w:val="20"/>
          <w:szCs w:val="20"/>
        </w:rPr>
        <w:t xml:space="preserve">Antony </w:t>
      </w:r>
      <w:r>
        <w:rPr>
          <w:rFonts w:ascii="Palatino Linotype" w:hAnsi="Palatino Linotype"/>
          <w:sz w:val="20"/>
          <w:szCs w:val="20"/>
        </w:rPr>
        <w:t xml:space="preserve">Duff </w:t>
      </w:r>
      <w:r w:rsidRPr="00B26E96">
        <w:rPr>
          <w:rFonts w:ascii="Palatino Linotype" w:hAnsi="Palatino Linotype"/>
          <w:sz w:val="20"/>
          <w:szCs w:val="20"/>
        </w:rPr>
        <w:t xml:space="preserve">and </w:t>
      </w:r>
      <w:r>
        <w:rPr>
          <w:rFonts w:ascii="Palatino Linotype" w:hAnsi="Palatino Linotype"/>
          <w:sz w:val="20"/>
          <w:szCs w:val="20"/>
        </w:rPr>
        <w:t xml:space="preserve">Zachary </w:t>
      </w:r>
      <w:r w:rsidRPr="00B26E96">
        <w:rPr>
          <w:rFonts w:ascii="Palatino Linotype" w:hAnsi="Palatino Linotype"/>
          <w:sz w:val="20"/>
          <w:szCs w:val="20"/>
        </w:rPr>
        <w:t>Hoskins</w:t>
      </w:r>
      <w:r>
        <w:rPr>
          <w:rFonts w:ascii="Palatino Linotype" w:hAnsi="Palatino Linotype"/>
          <w:sz w:val="20"/>
          <w:szCs w:val="20"/>
        </w:rPr>
        <w:t>, ‘</w:t>
      </w:r>
      <w:r w:rsidRPr="00B26E96">
        <w:rPr>
          <w:rFonts w:ascii="Palatino Linotype" w:hAnsi="Palatino Linotype"/>
          <w:sz w:val="20"/>
          <w:szCs w:val="20"/>
        </w:rPr>
        <w:t>Legal P</w:t>
      </w:r>
      <w:r>
        <w:rPr>
          <w:rFonts w:ascii="Palatino Linotype" w:hAnsi="Palatino Linotype"/>
          <w:sz w:val="20"/>
          <w:szCs w:val="20"/>
        </w:rPr>
        <w:t>unishment’</w:t>
      </w:r>
      <w:r w:rsidRPr="00B26E96">
        <w:rPr>
          <w:rFonts w:ascii="Palatino Linotype" w:hAnsi="Palatino Linotype"/>
          <w:sz w:val="20"/>
          <w:szCs w:val="20"/>
        </w:rPr>
        <w:t>,</w:t>
      </w:r>
      <w:r>
        <w:rPr>
          <w:rFonts w:ascii="Palatino Linotype" w:hAnsi="Palatino Linotype"/>
          <w:sz w:val="20"/>
          <w:szCs w:val="20"/>
        </w:rPr>
        <w:t xml:space="preserve"> in </w:t>
      </w:r>
      <w:r w:rsidRPr="00B26E96">
        <w:rPr>
          <w:rFonts w:ascii="Palatino Linotype" w:hAnsi="Palatino Linotype"/>
          <w:sz w:val="20"/>
          <w:szCs w:val="20"/>
        </w:rPr>
        <w:t>Edward N. Zalta (ed.)</w:t>
      </w:r>
      <w:r>
        <w:rPr>
          <w:rFonts w:ascii="Palatino Linotype" w:hAnsi="Palatino Linotype"/>
          <w:sz w:val="20"/>
          <w:szCs w:val="20"/>
        </w:rPr>
        <w:t xml:space="preserve"> </w:t>
      </w:r>
      <w:r w:rsidRPr="00B26E96">
        <w:rPr>
          <w:rFonts w:ascii="Palatino Linotype" w:hAnsi="Palatino Linotype"/>
          <w:sz w:val="20"/>
          <w:szCs w:val="20"/>
        </w:rPr>
        <w:t xml:space="preserve"> </w:t>
      </w:r>
      <w:r w:rsidRPr="00B26E96">
        <w:rPr>
          <w:rFonts w:ascii="Palatino Linotype" w:hAnsi="Palatino Linotype"/>
          <w:i/>
          <w:sz w:val="20"/>
          <w:szCs w:val="20"/>
        </w:rPr>
        <w:t>The Stanford Encyclopedia of Philosophy</w:t>
      </w:r>
      <w:r w:rsidRPr="00B26E96">
        <w:rPr>
          <w:rFonts w:ascii="Palatino Linotype" w:hAnsi="Palatino Linotype"/>
          <w:sz w:val="20"/>
          <w:szCs w:val="20"/>
        </w:rPr>
        <w:t xml:space="preserve"> (2017</w:t>
      </w:r>
      <w:r>
        <w:rPr>
          <w:rFonts w:ascii="Palatino Linotype" w:hAnsi="Palatino Linotype"/>
          <w:sz w:val="20"/>
          <w:szCs w:val="20"/>
        </w:rPr>
        <w:t>).</w:t>
      </w:r>
      <w:r w:rsidRPr="005003F1">
        <w:rPr>
          <w:rFonts w:ascii="Palatino Linotype" w:hAnsi="Palatino Linotype"/>
          <w:sz w:val="20"/>
          <w:szCs w:val="20"/>
        </w:rPr>
        <w:t xml:space="preserve"> </w:t>
      </w:r>
    </w:p>
  </w:endnote>
  <w:endnote w:id="16">
    <w:p w14:paraId="62932FA5" w14:textId="1F745E0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Hatch, cited by </w:t>
      </w:r>
      <w:r w:rsidRPr="00B26E96">
        <w:rPr>
          <w:rFonts w:ascii="Palatino Linotype" w:hAnsi="Palatino Linotype"/>
          <w:sz w:val="20"/>
          <w:szCs w:val="20"/>
        </w:rPr>
        <w:t xml:space="preserve">Paul Cassell, </w:t>
      </w:r>
      <w:r>
        <w:rPr>
          <w:rFonts w:ascii="Palatino Linotype" w:hAnsi="Palatino Linotype"/>
          <w:sz w:val="20"/>
          <w:szCs w:val="20"/>
        </w:rPr>
        <w:t>‘</w:t>
      </w:r>
      <w:r w:rsidRPr="00B26E96">
        <w:rPr>
          <w:rFonts w:ascii="Palatino Linotype" w:hAnsi="Palatino Linotype"/>
          <w:sz w:val="20"/>
          <w:szCs w:val="20"/>
        </w:rPr>
        <w:t>Too Severe?  A Defense of the Federal Sentencing Guidelines (And a Critique of the Federal Mandatory Minimums</w:t>
      </w:r>
      <w:r>
        <w:rPr>
          <w:rFonts w:ascii="Palatino Linotype" w:hAnsi="Palatino Linotype"/>
          <w:sz w:val="20"/>
          <w:szCs w:val="20"/>
        </w:rPr>
        <w:t>)</w:t>
      </w:r>
      <w:r w:rsidRPr="00B26E96">
        <w:rPr>
          <w:rFonts w:ascii="Palatino Linotype" w:hAnsi="Palatino Linotype"/>
          <w:sz w:val="20"/>
          <w:szCs w:val="20"/>
        </w:rPr>
        <w:t xml:space="preserve">, </w:t>
      </w:r>
      <w:r w:rsidRPr="00B26E96">
        <w:rPr>
          <w:rFonts w:ascii="Palatino Linotype" w:hAnsi="Palatino Linotype"/>
          <w:i/>
          <w:sz w:val="20"/>
          <w:szCs w:val="20"/>
        </w:rPr>
        <w:t>Stanford Law Review</w:t>
      </w:r>
      <w:r>
        <w:rPr>
          <w:rFonts w:ascii="Palatino Linotype" w:hAnsi="Palatino Linotype"/>
          <w:sz w:val="20"/>
          <w:szCs w:val="20"/>
        </w:rPr>
        <w:t xml:space="preserve"> 56</w:t>
      </w:r>
      <w:r w:rsidRPr="00B26E96">
        <w:rPr>
          <w:rFonts w:ascii="Palatino Linotype" w:hAnsi="Palatino Linotype"/>
          <w:sz w:val="20"/>
          <w:szCs w:val="20"/>
        </w:rPr>
        <w:t xml:space="preserve"> </w:t>
      </w:r>
      <w:r>
        <w:rPr>
          <w:rFonts w:ascii="Palatino Linotype" w:hAnsi="Palatino Linotype"/>
          <w:sz w:val="20"/>
          <w:szCs w:val="20"/>
        </w:rPr>
        <w:t xml:space="preserve">(2004), </w:t>
      </w:r>
      <w:r w:rsidRPr="005003F1">
        <w:rPr>
          <w:rFonts w:ascii="Palatino Linotype" w:hAnsi="Palatino Linotype"/>
          <w:sz w:val="20"/>
          <w:szCs w:val="20"/>
        </w:rPr>
        <w:t xml:space="preserve">1045. See also </w:t>
      </w:r>
      <w:r w:rsidRPr="005003F1">
        <w:rPr>
          <w:rFonts w:ascii="Palatino Linotype" w:hAnsi="Palatino Linotype"/>
          <w:i/>
          <w:sz w:val="20"/>
          <w:szCs w:val="20"/>
        </w:rPr>
        <w:t>United States v.  Harris</w:t>
      </w:r>
      <w:r w:rsidRPr="005003F1">
        <w:rPr>
          <w:rFonts w:ascii="Palatino Linotype" w:hAnsi="Palatino Linotype"/>
          <w:sz w:val="20"/>
          <w:szCs w:val="20"/>
        </w:rPr>
        <w:t xml:space="preserve">, 536 U.S. 545, 570 (2002) (Breyer, J., concurring) (“Mandatory minimum statutes are fundamentally inconsistent with Congress’ simultaneous effort to create a fair, honest, and rational sentencing system through the use of Sentencing Guidelines”). </w:t>
      </w:r>
    </w:p>
  </w:endnote>
  <w:endnote w:id="17">
    <w:p w14:paraId="119E3D89" w14:textId="1FFE983C"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Lauren</w:t>
      </w:r>
      <w:r>
        <w:rPr>
          <w:rFonts w:ascii="Palatino Linotype" w:hAnsi="Palatino Linotype"/>
          <w:sz w:val="20"/>
          <w:szCs w:val="20"/>
        </w:rPr>
        <w:t xml:space="preserve"> Krisai</w:t>
      </w:r>
      <w:r w:rsidRPr="00B26E96">
        <w:rPr>
          <w:rFonts w:ascii="Palatino Linotype" w:hAnsi="Palatino Linotype"/>
          <w:sz w:val="20"/>
          <w:szCs w:val="20"/>
        </w:rPr>
        <w:t>, ‘Smart on Sentencing: Safety Valve for Florida’s Drug Trafficking Offenses’, James Madison Institute (March 20, 2017)</w:t>
      </w:r>
      <w:r>
        <w:rPr>
          <w:rFonts w:ascii="Palatino Linotype" w:hAnsi="Palatino Linotype"/>
          <w:sz w:val="20"/>
          <w:szCs w:val="20"/>
        </w:rPr>
        <w:t xml:space="preserve">, </w:t>
      </w:r>
      <w:r w:rsidRPr="005003F1">
        <w:rPr>
          <w:rFonts w:ascii="Palatino Linotype" w:hAnsi="Palatino Linotype"/>
          <w:sz w:val="20"/>
          <w:szCs w:val="20"/>
        </w:rPr>
        <w:t>6.</w:t>
      </w:r>
    </w:p>
  </w:endnote>
  <w:endnote w:id="18">
    <w:p w14:paraId="226B09C7" w14:textId="495467A5" w:rsidR="00B26E96" w:rsidRPr="005003F1" w:rsidRDefault="00B26E96" w:rsidP="00BC1DC8">
      <w:pPr>
        <w:pStyle w:val="EndnoteText"/>
        <w:rPr>
          <w:rFonts w:ascii="Palatino Linotype" w:hAnsi="Palatino Linotype"/>
          <w:bCs/>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See </w:t>
      </w:r>
      <w:r w:rsidRPr="005003F1">
        <w:rPr>
          <w:rFonts w:ascii="Palatino Linotype" w:hAnsi="Palatino Linotype"/>
          <w:i/>
          <w:sz w:val="20"/>
          <w:szCs w:val="20"/>
        </w:rPr>
        <w:t xml:space="preserve">Davis </w:t>
      </w:r>
      <w:r w:rsidRPr="005003F1">
        <w:rPr>
          <w:rFonts w:ascii="Palatino Linotype" w:hAnsi="Palatino Linotype"/>
          <w:bCs/>
          <w:i/>
          <w:sz w:val="20"/>
          <w:szCs w:val="20"/>
        </w:rPr>
        <w:t>v. State of Tennessee</w:t>
      </w:r>
      <w:r w:rsidRPr="005003F1">
        <w:rPr>
          <w:rFonts w:ascii="Palatino Linotype" w:hAnsi="Palatino Linotype"/>
          <w:bCs/>
          <w:sz w:val="20"/>
          <w:szCs w:val="20"/>
        </w:rPr>
        <w:t>, No. M2009-00011-SC-R11-HC. (2010)</w:t>
      </w:r>
      <w:r>
        <w:rPr>
          <w:rFonts w:ascii="Palatino Linotype" w:hAnsi="Palatino Linotype"/>
          <w:sz w:val="20"/>
          <w:szCs w:val="20"/>
        </w:rPr>
        <w:t>.</w:t>
      </w:r>
    </w:p>
  </w:endnote>
  <w:endnote w:id="19">
    <w:p w14:paraId="2244BA30" w14:textId="5812CEC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U.S. Sentencing Commission, </w:t>
      </w:r>
      <w:r w:rsidRPr="00B26E96">
        <w:rPr>
          <w:rFonts w:ascii="Palatino Linotype" w:hAnsi="Palatino Linotype"/>
          <w:i/>
          <w:sz w:val="20"/>
          <w:szCs w:val="20"/>
        </w:rPr>
        <w:t>Special Report to the Congress: Mandatory Minimum Penalties in the Federal Criminal Justice System</w:t>
      </w:r>
      <w:r w:rsidRPr="00B26E96">
        <w:rPr>
          <w:rFonts w:ascii="Palatino Linotype" w:hAnsi="Palatino Linotype"/>
          <w:sz w:val="20"/>
          <w:szCs w:val="20"/>
        </w:rPr>
        <w:t xml:space="preserve"> (Washington D.C.: USSC, 1991)</w:t>
      </w:r>
      <w:r>
        <w:rPr>
          <w:rFonts w:ascii="Palatino Linotype" w:hAnsi="Palatino Linotype"/>
          <w:sz w:val="20"/>
          <w:szCs w:val="20"/>
        </w:rPr>
        <w:t>,</w:t>
      </w:r>
      <w:r w:rsidRPr="005003F1">
        <w:rPr>
          <w:rFonts w:ascii="Palatino Linotype" w:hAnsi="Palatino Linotype"/>
          <w:sz w:val="20"/>
          <w:szCs w:val="20"/>
        </w:rPr>
        <w:t xml:space="preserve"> 31;</w:t>
      </w:r>
      <w:r>
        <w:rPr>
          <w:rFonts w:ascii="Palatino Linotype" w:hAnsi="Palatino Linotype"/>
          <w:iCs/>
          <w:sz w:val="20"/>
          <w:szCs w:val="20"/>
        </w:rPr>
        <w:t xml:space="preserve"> </w:t>
      </w:r>
      <w:r w:rsidRPr="00B26E96">
        <w:rPr>
          <w:rFonts w:ascii="Palatino Linotype" w:hAnsi="Palatino Linotype"/>
          <w:iCs/>
          <w:sz w:val="20"/>
          <w:szCs w:val="20"/>
        </w:rPr>
        <w:t>Jonathan P.</w:t>
      </w:r>
      <w:r>
        <w:rPr>
          <w:rFonts w:ascii="Palatino Linotype" w:hAnsi="Palatino Linotype"/>
          <w:iCs/>
          <w:sz w:val="20"/>
          <w:szCs w:val="20"/>
        </w:rPr>
        <w:t xml:space="preserve"> </w:t>
      </w:r>
      <w:r w:rsidRPr="00B26E96">
        <w:rPr>
          <w:rFonts w:ascii="Palatino Linotype" w:hAnsi="Palatino Linotype"/>
          <w:iCs/>
          <w:sz w:val="20"/>
          <w:szCs w:val="20"/>
        </w:rPr>
        <w:t>Caulkins, Peter Rydell, and William L.</w:t>
      </w:r>
      <w:r>
        <w:rPr>
          <w:rFonts w:ascii="Palatino Linotype" w:hAnsi="Palatino Linotype"/>
          <w:iCs/>
          <w:sz w:val="20"/>
          <w:szCs w:val="20"/>
        </w:rPr>
        <w:t xml:space="preserve"> Schwabe</w:t>
      </w:r>
      <w:r w:rsidRPr="00B26E96">
        <w:rPr>
          <w:rFonts w:ascii="Palatino Linotype" w:hAnsi="Palatino Linotype"/>
          <w:iCs/>
          <w:sz w:val="20"/>
          <w:szCs w:val="20"/>
        </w:rPr>
        <w:t>, ‘Mandatory Minimum Drug Sentences: Throwing Away the Key or the Taxpayers' Money?’ (Santa Moni</w:t>
      </w:r>
      <w:r>
        <w:rPr>
          <w:rFonts w:ascii="Palatino Linotype" w:hAnsi="Palatino Linotype"/>
          <w:iCs/>
          <w:sz w:val="20"/>
          <w:szCs w:val="20"/>
        </w:rPr>
        <w:t>ca, CA: RAND Corporation, 1997),</w:t>
      </w:r>
      <w:r w:rsidRPr="00B26E96">
        <w:rPr>
          <w:rFonts w:ascii="Palatino Linotype" w:hAnsi="Palatino Linotype"/>
          <w:iCs/>
          <w:sz w:val="20"/>
          <w:szCs w:val="20"/>
        </w:rPr>
        <w:t xml:space="preserve"> </w:t>
      </w:r>
      <w:r w:rsidRPr="005003F1">
        <w:rPr>
          <w:rFonts w:ascii="Palatino Linotype" w:hAnsi="Palatino Linotype"/>
          <w:iCs/>
          <w:sz w:val="20"/>
          <w:szCs w:val="20"/>
        </w:rPr>
        <w:t>16.</w:t>
      </w:r>
    </w:p>
  </w:endnote>
  <w:endnote w:id="20">
    <w:p w14:paraId="4ED13281" w14:textId="7A83E498"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Murakawa, </w:t>
      </w:r>
      <w:r w:rsidRPr="00B26E96">
        <w:rPr>
          <w:rFonts w:ascii="Palatino Linotype" w:hAnsi="Palatino Linotype"/>
          <w:i/>
          <w:sz w:val="20"/>
          <w:szCs w:val="20"/>
        </w:rPr>
        <w:t>The First Civil Right</w:t>
      </w:r>
      <w:r>
        <w:rPr>
          <w:rFonts w:ascii="Palatino Linotype" w:hAnsi="Palatino Linotype"/>
          <w:sz w:val="20"/>
          <w:szCs w:val="20"/>
        </w:rPr>
        <w:t xml:space="preserve">, 241. </w:t>
      </w:r>
    </w:p>
  </w:endnote>
  <w:endnote w:id="21">
    <w:p w14:paraId="3A7E273A" w14:textId="385C8BD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Stephen J. Schulhofer, ‘Rethinking Mandatory Minimums’, 28 </w:t>
      </w:r>
      <w:r w:rsidRPr="00B26E96">
        <w:rPr>
          <w:rFonts w:ascii="Palatino Linotype" w:hAnsi="Palatino Linotype"/>
          <w:i/>
          <w:sz w:val="20"/>
          <w:szCs w:val="20"/>
        </w:rPr>
        <w:t>Wake Forest Law Review</w:t>
      </w:r>
      <w:r>
        <w:rPr>
          <w:rFonts w:ascii="Palatino Linotype" w:hAnsi="Palatino Linotype"/>
          <w:sz w:val="20"/>
          <w:szCs w:val="20"/>
        </w:rPr>
        <w:t xml:space="preserve"> 207 (1993), </w:t>
      </w:r>
      <w:r w:rsidRPr="005003F1">
        <w:rPr>
          <w:rFonts w:ascii="Palatino Linotype" w:hAnsi="Palatino Linotype"/>
          <w:sz w:val="20"/>
          <w:szCs w:val="20"/>
        </w:rPr>
        <w:t>212.</w:t>
      </w:r>
    </w:p>
  </w:endnote>
  <w:endnote w:id="22">
    <w:p w14:paraId="599967D4" w14:textId="4AFBBBF7"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See </w:t>
      </w:r>
      <w:r w:rsidRPr="00B26E96">
        <w:rPr>
          <w:rFonts w:ascii="Palatino Linotype" w:hAnsi="Palatino Linotype"/>
          <w:sz w:val="20"/>
          <w:szCs w:val="20"/>
        </w:rPr>
        <w:t xml:space="preserve">Alexander </w:t>
      </w:r>
      <w:r>
        <w:rPr>
          <w:rFonts w:ascii="Palatino Linotype" w:hAnsi="Palatino Linotype"/>
          <w:sz w:val="20"/>
          <w:szCs w:val="20"/>
        </w:rPr>
        <w:t>Sarch</w:t>
      </w:r>
      <w:r w:rsidRPr="00B26E96">
        <w:rPr>
          <w:rFonts w:ascii="Palatino Linotype" w:hAnsi="Palatino Linotype"/>
          <w:sz w:val="20"/>
          <w:szCs w:val="20"/>
        </w:rPr>
        <w:t xml:space="preserve"> and Daniel </w:t>
      </w:r>
      <w:r>
        <w:rPr>
          <w:rFonts w:ascii="Palatino Linotype" w:hAnsi="Palatino Linotype"/>
          <w:sz w:val="20"/>
          <w:szCs w:val="20"/>
        </w:rPr>
        <w:t>Wodak</w:t>
      </w:r>
      <w:r w:rsidRPr="00B26E96">
        <w:rPr>
          <w:rFonts w:ascii="Palatino Linotype" w:hAnsi="Palatino Linotype"/>
          <w:sz w:val="20"/>
          <w:szCs w:val="20"/>
        </w:rPr>
        <w:t xml:space="preserve">, ‘Resolving Judicial Dilemmas’, </w:t>
      </w:r>
      <w:r w:rsidRPr="00B26E96">
        <w:rPr>
          <w:rFonts w:ascii="Palatino Linotype" w:hAnsi="Palatino Linotype"/>
          <w:i/>
          <w:sz w:val="20"/>
          <w:szCs w:val="20"/>
        </w:rPr>
        <w:t xml:space="preserve">Virginia Journal of Criminal Law </w:t>
      </w:r>
      <w:r w:rsidRPr="00B26E96">
        <w:rPr>
          <w:rFonts w:ascii="Palatino Linotype" w:hAnsi="Palatino Linotype"/>
          <w:sz w:val="20"/>
          <w:szCs w:val="20"/>
        </w:rPr>
        <w:t>(forthcoming)</w:t>
      </w:r>
      <w:r>
        <w:rPr>
          <w:rFonts w:ascii="Palatino Linotype" w:hAnsi="Palatino Linotype"/>
          <w:sz w:val="20"/>
          <w:szCs w:val="20"/>
        </w:rPr>
        <w:t>.</w:t>
      </w:r>
    </w:p>
  </w:endnote>
  <w:endnote w:id="23">
    <w:p w14:paraId="65C700B2" w14:textId="31A6C88B"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William Austin and</w:t>
      </w:r>
      <w:r w:rsidRPr="00B26E96">
        <w:rPr>
          <w:rFonts w:ascii="Palatino Linotype" w:hAnsi="Palatino Linotype"/>
          <w:sz w:val="20"/>
          <w:szCs w:val="20"/>
        </w:rPr>
        <w:t xml:space="preserve"> Thomas A.</w:t>
      </w:r>
      <w:r>
        <w:rPr>
          <w:rFonts w:ascii="Palatino Linotype" w:hAnsi="Palatino Linotype"/>
          <w:sz w:val="20"/>
          <w:szCs w:val="20"/>
        </w:rPr>
        <w:t xml:space="preserve"> </w:t>
      </w:r>
      <w:r w:rsidRPr="00B26E96">
        <w:rPr>
          <w:rFonts w:ascii="Palatino Linotype" w:hAnsi="Palatino Linotype"/>
          <w:sz w:val="20"/>
          <w:szCs w:val="20"/>
        </w:rPr>
        <w:t xml:space="preserve">Williams III, ‘A Survey of Judges’ Responses to Simulated Legal Cases: Research Note on Sentencing Disparity’, 68 </w:t>
      </w:r>
      <w:r w:rsidRPr="00B26E96">
        <w:rPr>
          <w:rFonts w:ascii="Palatino Linotype" w:hAnsi="Palatino Linotype"/>
          <w:i/>
          <w:sz w:val="20"/>
          <w:szCs w:val="20"/>
        </w:rPr>
        <w:t>Journal</w:t>
      </w:r>
      <w:r w:rsidRPr="00B26E96">
        <w:rPr>
          <w:rFonts w:ascii="Palatino Linotype" w:hAnsi="Palatino Linotype"/>
          <w:sz w:val="20"/>
          <w:szCs w:val="20"/>
        </w:rPr>
        <w:t xml:space="preserve"> </w:t>
      </w:r>
      <w:r w:rsidRPr="00B26E96">
        <w:rPr>
          <w:rFonts w:ascii="Palatino Linotype" w:hAnsi="Palatino Linotype"/>
          <w:i/>
          <w:sz w:val="20"/>
          <w:szCs w:val="20"/>
        </w:rPr>
        <w:t>of Criminal Law and Criminology</w:t>
      </w:r>
      <w:r>
        <w:rPr>
          <w:rFonts w:ascii="Palatino Linotype" w:hAnsi="Palatino Linotype"/>
          <w:sz w:val="20"/>
          <w:szCs w:val="20"/>
        </w:rPr>
        <w:t xml:space="preserve"> 306 (1977), </w:t>
      </w:r>
      <w:r w:rsidRPr="005003F1">
        <w:rPr>
          <w:rFonts w:ascii="Palatino Linotype" w:hAnsi="Palatino Linotype"/>
          <w:sz w:val="20"/>
          <w:szCs w:val="20"/>
        </w:rPr>
        <w:t xml:space="preserve">308. </w:t>
      </w:r>
    </w:p>
  </w:endnote>
  <w:endnote w:id="24">
    <w:p w14:paraId="18672EB2" w14:textId="37F10F7E" w:rsidR="00B26E96" w:rsidRPr="00B26E96" w:rsidRDefault="00B26E96" w:rsidP="00BC1DC8">
      <w:pPr>
        <w:pStyle w:val="EndnoteText"/>
        <w:rPr>
          <w:rFonts w:ascii="Palatino Linotype" w:hAnsi="Palatino Linotype"/>
          <w:sz w:val="20"/>
          <w:szCs w:val="20"/>
        </w:rPr>
      </w:pPr>
      <w:r w:rsidRPr="00B26E96">
        <w:rPr>
          <w:rStyle w:val="EndnoteReference"/>
          <w:rFonts w:ascii="Palatino Linotype" w:hAnsi="Palatino Linotype"/>
          <w:sz w:val="20"/>
          <w:szCs w:val="20"/>
        </w:rPr>
        <w:endnoteRef/>
      </w:r>
      <w:r w:rsidRPr="00B26E96">
        <w:rPr>
          <w:rFonts w:ascii="Palatino Linotype" w:hAnsi="Palatino Linotype"/>
          <w:sz w:val="20"/>
          <w:szCs w:val="20"/>
        </w:rPr>
        <w:t xml:space="preserve"> Kate Stith, and Steve Y. Yoh, ‘The Politics of Sentencing Reform: The Legislative History of the Federal Sentencing Guidelines’, 28 </w:t>
      </w:r>
      <w:r w:rsidRPr="00B26E96">
        <w:rPr>
          <w:rFonts w:ascii="Palatino Linotype" w:hAnsi="Palatino Linotype"/>
          <w:i/>
          <w:sz w:val="20"/>
          <w:szCs w:val="20"/>
        </w:rPr>
        <w:t>Wake Forest Law Review</w:t>
      </w:r>
      <w:r w:rsidRPr="00B26E96">
        <w:rPr>
          <w:rFonts w:ascii="Palatino Linotype" w:hAnsi="Palatino Linotype"/>
          <w:sz w:val="20"/>
          <w:szCs w:val="20"/>
        </w:rPr>
        <w:t xml:space="preserve"> 223 (1993)</w:t>
      </w:r>
      <w:r>
        <w:rPr>
          <w:rFonts w:ascii="Palatino Linotype" w:hAnsi="Palatino Linotype"/>
          <w:sz w:val="20"/>
          <w:szCs w:val="20"/>
        </w:rPr>
        <w:t>.</w:t>
      </w:r>
    </w:p>
  </w:endnote>
  <w:endnote w:id="25">
    <w:p w14:paraId="30CF761C" w14:textId="5E9DAA0D"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James</w:t>
      </w:r>
      <w:r w:rsidRPr="00B26E96">
        <w:rPr>
          <w:rFonts w:ascii="Palatino Linotype" w:hAnsi="Palatino Linotype"/>
          <w:sz w:val="20"/>
          <w:szCs w:val="20"/>
        </w:rPr>
        <w:t xml:space="preserve"> Forman Jr., </w:t>
      </w:r>
      <w:r w:rsidRPr="00B26E96">
        <w:rPr>
          <w:rFonts w:ascii="Palatino Linotype" w:hAnsi="Palatino Linotype"/>
          <w:i/>
          <w:sz w:val="20"/>
          <w:szCs w:val="20"/>
        </w:rPr>
        <w:t>Locking Up Our Own: Crime and Punishment in Black America</w:t>
      </w:r>
      <w:r>
        <w:rPr>
          <w:rFonts w:ascii="Palatino Linotype" w:hAnsi="Palatino Linotype"/>
          <w:sz w:val="20"/>
          <w:szCs w:val="20"/>
        </w:rPr>
        <w:t xml:space="preserve"> (Farrar, Straus and Giroux, </w:t>
      </w:r>
      <w:r w:rsidRPr="00B26E96">
        <w:rPr>
          <w:rFonts w:ascii="Palatino Linotype" w:hAnsi="Palatino Linotype"/>
          <w:sz w:val="20"/>
          <w:szCs w:val="20"/>
        </w:rPr>
        <w:t>2017</w:t>
      </w:r>
      <w:r>
        <w:rPr>
          <w:rFonts w:ascii="Palatino Linotype" w:hAnsi="Palatino Linotype"/>
          <w:sz w:val="20"/>
          <w:szCs w:val="20"/>
        </w:rPr>
        <w:t xml:space="preserve">), 133. </w:t>
      </w:r>
    </w:p>
  </w:endnote>
  <w:endnote w:id="26">
    <w:p w14:paraId="1CC0BDB6" w14:textId="0F2CAECB"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5003F1">
        <w:rPr>
          <w:rFonts w:ascii="Palatino Linotype" w:hAnsi="Palatino Linotype"/>
          <w:i/>
          <w:sz w:val="20"/>
          <w:szCs w:val="20"/>
        </w:rPr>
        <w:t>United States v. Booker</w:t>
      </w:r>
      <w:r w:rsidRPr="005003F1">
        <w:rPr>
          <w:rFonts w:ascii="Palatino Linotype" w:hAnsi="Palatino Linotype"/>
          <w:sz w:val="20"/>
          <w:szCs w:val="20"/>
        </w:rPr>
        <w:t xml:space="preserve">, 543 U.S. 220 (2005). </w:t>
      </w:r>
    </w:p>
  </w:endnote>
  <w:endnote w:id="27">
    <w:p w14:paraId="7B3C4A9E" w14:textId="4C883B83"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See </w:t>
      </w:r>
      <w:r w:rsidRPr="00B26E96">
        <w:rPr>
          <w:rFonts w:ascii="Palatino Linotype" w:hAnsi="Palatino Linotype"/>
          <w:sz w:val="20"/>
          <w:szCs w:val="20"/>
        </w:rPr>
        <w:t xml:space="preserve">U.S. Sentencing Commission, </w:t>
      </w:r>
      <w:r w:rsidRPr="00B26E96">
        <w:rPr>
          <w:rFonts w:ascii="Palatino Linotype" w:hAnsi="Palatino Linotype"/>
          <w:i/>
          <w:sz w:val="20"/>
          <w:szCs w:val="20"/>
        </w:rPr>
        <w:t>2012 Report to The Congress: Continuing Impact of United States v. Booker on Federal Sentencing</w:t>
      </w:r>
      <w:r w:rsidRPr="00B26E96">
        <w:rPr>
          <w:rFonts w:ascii="Palatino Linotype" w:hAnsi="Palatino Linotype"/>
          <w:sz w:val="20"/>
          <w:szCs w:val="20"/>
        </w:rPr>
        <w:t xml:space="preserve"> (Washington D.C.: USSC, 2012)</w:t>
      </w:r>
      <w:r>
        <w:rPr>
          <w:rFonts w:ascii="Palatino Linotype" w:hAnsi="Palatino Linotype"/>
          <w:sz w:val="20"/>
          <w:szCs w:val="20"/>
        </w:rPr>
        <w:t>.</w:t>
      </w:r>
    </w:p>
  </w:endnote>
  <w:endnote w:id="28">
    <w:p w14:paraId="138B5019" w14:textId="5F6B98B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See, e.g., Forbes, quoted in </w:t>
      </w:r>
      <w:r w:rsidRPr="00B26E96">
        <w:rPr>
          <w:rFonts w:ascii="Palatino Linotype" w:hAnsi="Palatino Linotype"/>
          <w:sz w:val="20"/>
          <w:szCs w:val="20"/>
        </w:rPr>
        <w:t xml:space="preserve">Margaret Haerens (ed.), </w:t>
      </w:r>
      <w:r w:rsidRPr="00B26E96">
        <w:rPr>
          <w:rFonts w:ascii="Palatino Linotype" w:hAnsi="Palatino Linotype"/>
          <w:i/>
          <w:sz w:val="20"/>
          <w:szCs w:val="20"/>
        </w:rPr>
        <w:t>Mandatory Minimum Sentencing: Opposing Viewpoints</w:t>
      </w:r>
      <w:r w:rsidRPr="00B26E96">
        <w:rPr>
          <w:rFonts w:ascii="Palatino Linotype" w:hAnsi="Palatino Linotype"/>
          <w:sz w:val="20"/>
          <w:szCs w:val="20"/>
        </w:rPr>
        <w:t>, Greenhaven Press (2010),</w:t>
      </w:r>
      <w:r>
        <w:rPr>
          <w:rFonts w:ascii="Palatino Linotype" w:hAnsi="Palatino Linotype"/>
          <w:sz w:val="20"/>
          <w:szCs w:val="20"/>
        </w:rPr>
        <w:t xml:space="preserve"> </w:t>
      </w:r>
      <w:r w:rsidRPr="005003F1">
        <w:rPr>
          <w:rFonts w:ascii="Palatino Linotype" w:hAnsi="Palatino Linotype"/>
          <w:sz w:val="20"/>
          <w:szCs w:val="20"/>
        </w:rPr>
        <w:t>21-22.</w:t>
      </w:r>
    </w:p>
  </w:endnote>
  <w:endnote w:id="29">
    <w:p w14:paraId="7A1BB760" w14:textId="2C4C8212"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Hatch, cited by Cassell, ‘Too Severe?’</w:t>
      </w:r>
      <w:r w:rsidRPr="005003F1">
        <w:rPr>
          <w:rFonts w:ascii="Palatino Linotype" w:hAnsi="Palatino Linotype"/>
          <w:sz w:val="20"/>
          <w:szCs w:val="20"/>
        </w:rPr>
        <w:t xml:space="preserve">, 1045. </w:t>
      </w:r>
    </w:p>
  </w:endnote>
  <w:endnote w:id="30">
    <w:p w14:paraId="02875989" w14:textId="45FE4274"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 xml:space="preserve">131. </w:t>
      </w:r>
    </w:p>
  </w:endnote>
  <w:endnote w:id="31">
    <w:p w14:paraId="4C518442" w14:textId="5A2999A7"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Ibid, quoting Newburn. </w:t>
      </w:r>
      <w:r>
        <w:rPr>
          <w:rFonts w:ascii="Palatino Linotype" w:hAnsi="Palatino Linotype"/>
          <w:sz w:val="20"/>
          <w:szCs w:val="20"/>
        </w:rPr>
        <w:t xml:space="preserve">See also </w:t>
      </w:r>
      <w:r w:rsidRPr="00B26E96">
        <w:rPr>
          <w:rFonts w:ascii="Palatino Linotype" w:hAnsi="Palatino Linotype"/>
          <w:sz w:val="20"/>
          <w:szCs w:val="20"/>
        </w:rPr>
        <w:t>Jeffrey T.</w:t>
      </w:r>
      <w:r>
        <w:rPr>
          <w:rFonts w:ascii="Palatino Linotype" w:hAnsi="Palatino Linotype"/>
          <w:sz w:val="20"/>
          <w:szCs w:val="20"/>
        </w:rPr>
        <w:t xml:space="preserve"> </w:t>
      </w:r>
      <w:r w:rsidRPr="00B26E96">
        <w:rPr>
          <w:rFonts w:ascii="Palatino Linotype" w:hAnsi="Palatino Linotype"/>
          <w:sz w:val="20"/>
          <w:szCs w:val="20"/>
        </w:rPr>
        <w:t xml:space="preserve">Ulmer, Megan C. Kurlychek, &amp; John H. Kramer, ‘Prosecutorial Discretion and the Imposition of Mandatory Minimum Sentences’, 44 </w:t>
      </w:r>
      <w:r w:rsidRPr="00B26E96">
        <w:rPr>
          <w:rFonts w:ascii="Palatino Linotype" w:hAnsi="Palatino Linotype"/>
          <w:i/>
          <w:sz w:val="20"/>
          <w:szCs w:val="20"/>
        </w:rPr>
        <w:t>Journal of Research in Crime and Delinquency</w:t>
      </w:r>
      <w:r w:rsidRPr="00B26E96">
        <w:rPr>
          <w:rFonts w:ascii="Palatino Linotype" w:hAnsi="Palatino Linotype"/>
          <w:sz w:val="20"/>
          <w:szCs w:val="20"/>
        </w:rPr>
        <w:t xml:space="preserve"> 427 (2007)</w:t>
      </w:r>
      <w:r>
        <w:rPr>
          <w:rFonts w:ascii="Palatino Linotype" w:hAnsi="Palatino Linotype"/>
          <w:sz w:val="20"/>
          <w:szCs w:val="20"/>
        </w:rPr>
        <w:t xml:space="preserve">, </w:t>
      </w:r>
      <w:r w:rsidRPr="00B26E96">
        <w:rPr>
          <w:rFonts w:ascii="Palatino Linotype" w:hAnsi="Palatino Linotype"/>
          <w:sz w:val="20"/>
          <w:szCs w:val="20"/>
        </w:rPr>
        <w:t xml:space="preserve">Angela Davis, ‘The American Prosecutor: Independence, Power, and the Threat of Tyranny’, 86 </w:t>
      </w:r>
      <w:r w:rsidRPr="00B26E96">
        <w:rPr>
          <w:rFonts w:ascii="Palatino Linotype" w:hAnsi="Palatino Linotype"/>
          <w:i/>
          <w:sz w:val="20"/>
          <w:szCs w:val="20"/>
        </w:rPr>
        <w:t>Iowa Law Review</w:t>
      </w:r>
      <w:r w:rsidRPr="00B26E96">
        <w:rPr>
          <w:rFonts w:ascii="Palatino Linotype" w:hAnsi="Palatino Linotype"/>
          <w:sz w:val="20"/>
          <w:szCs w:val="20"/>
        </w:rPr>
        <w:t xml:space="preserve"> 393 (2001)</w:t>
      </w:r>
      <w:r>
        <w:rPr>
          <w:rFonts w:ascii="Palatino Linotype" w:hAnsi="Palatino Linotype"/>
          <w:sz w:val="20"/>
          <w:szCs w:val="20"/>
        </w:rPr>
        <w:t>,</w:t>
      </w:r>
      <w:r w:rsidRPr="005003F1">
        <w:rPr>
          <w:rFonts w:ascii="Palatino Linotype" w:hAnsi="Palatino Linotype"/>
          <w:sz w:val="20"/>
          <w:szCs w:val="20"/>
        </w:rPr>
        <w:t xml:space="preserve"> </w:t>
      </w:r>
      <w:r w:rsidRPr="00B26E96">
        <w:rPr>
          <w:rFonts w:ascii="Palatino Linotype" w:hAnsi="Palatino Linotype"/>
          <w:sz w:val="20"/>
          <w:szCs w:val="20"/>
        </w:rPr>
        <w:t xml:space="preserve">David Bjerk, ‘Making the Crime Fit the Penalty: The Role of Prosecutorial Discretion Under Mandatory Minimum Sentencing’, 48 </w:t>
      </w:r>
      <w:r w:rsidRPr="00B26E96">
        <w:rPr>
          <w:rFonts w:ascii="Palatino Linotype" w:hAnsi="Palatino Linotype"/>
          <w:i/>
          <w:sz w:val="20"/>
          <w:szCs w:val="20"/>
        </w:rPr>
        <w:t>Journal of Law and Economics</w:t>
      </w:r>
      <w:r w:rsidRPr="00B26E96">
        <w:rPr>
          <w:rFonts w:ascii="Palatino Linotype" w:hAnsi="Palatino Linotype"/>
          <w:sz w:val="20"/>
          <w:szCs w:val="20"/>
        </w:rPr>
        <w:t xml:space="preserve"> 591 (2005)</w:t>
      </w:r>
      <w:r>
        <w:rPr>
          <w:rFonts w:ascii="Palatino Linotype" w:hAnsi="Palatino Linotype"/>
          <w:sz w:val="20"/>
          <w:szCs w:val="20"/>
        </w:rPr>
        <w:t xml:space="preserve">. </w:t>
      </w:r>
    </w:p>
  </w:endnote>
  <w:endnote w:id="32">
    <w:p w14:paraId="0C35AFCD" w14:textId="40841998"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S</w:t>
      </w:r>
      <w:r w:rsidRPr="005003F1">
        <w:rPr>
          <w:rFonts w:ascii="Palatino Linotype" w:hAnsi="Palatino Linotype"/>
          <w:sz w:val="20"/>
          <w:szCs w:val="20"/>
        </w:rPr>
        <w:t xml:space="preserve">ee </w:t>
      </w:r>
      <w:r>
        <w:rPr>
          <w:rFonts w:ascii="Palatino Linotype" w:hAnsi="Palatino Linotype"/>
          <w:sz w:val="20"/>
          <w:szCs w:val="20"/>
        </w:rPr>
        <w:t xml:space="preserve">USSC </w:t>
      </w:r>
      <w:r w:rsidRPr="005003F1">
        <w:rPr>
          <w:rFonts w:ascii="Palatino Linotype" w:hAnsi="Palatino Linotype"/>
          <w:sz w:val="20"/>
          <w:szCs w:val="20"/>
        </w:rPr>
        <w:t>(2011), 109-114.</w:t>
      </w:r>
    </w:p>
  </w:endnote>
  <w:endnote w:id="33">
    <w:p w14:paraId="3C88FF9D" w14:textId="4C3B4168"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55.</w:t>
      </w:r>
    </w:p>
  </w:endnote>
  <w:endnote w:id="34">
    <w:p w14:paraId="5305136A" w14:textId="46203DA2"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Id., p. 149.</w:t>
      </w:r>
    </w:p>
  </w:endnote>
  <w:endnote w:id="35">
    <w:p w14:paraId="26265886" w14:textId="1DA66BEA"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Michelle</w:t>
      </w:r>
      <w:r>
        <w:rPr>
          <w:rFonts w:ascii="Palatino Linotype" w:hAnsi="Palatino Linotype"/>
          <w:sz w:val="20"/>
          <w:szCs w:val="20"/>
        </w:rPr>
        <w:t xml:space="preserve"> Alexander,</w:t>
      </w:r>
      <w:r w:rsidRPr="00B26E96">
        <w:rPr>
          <w:rFonts w:ascii="Palatino Linotype" w:hAnsi="Palatino Linotype"/>
          <w:sz w:val="20"/>
          <w:szCs w:val="20"/>
        </w:rPr>
        <w:t xml:space="preserve"> </w:t>
      </w:r>
      <w:r w:rsidRPr="00B26E96">
        <w:rPr>
          <w:rFonts w:ascii="Palatino Linotype" w:hAnsi="Palatino Linotype"/>
          <w:i/>
          <w:sz w:val="20"/>
          <w:szCs w:val="20"/>
        </w:rPr>
        <w:t>The New Jim Crow: Mass Incarceration in the Age of Colorblindness</w:t>
      </w:r>
      <w:r>
        <w:rPr>
          <w:rFonts w:ascii="Palatino Linotype" w:hAnsi="Palatino Linotype"/>
          <w:sz w:val="20"/>
          <w:szCs w:val="20"/>
        </w:rPr>
        <w:t xml:space="preserve"> (revised edition, </w:t>
      </w:r>
      <w:r w:rsidRPr="00B26E96">
        <w:rPr>
          <w:rFonts w:ascii="Palatino Linotype" w:hAnsi="Palatino Linotype"/>
          <w:sz w:val="20"/>
          <w:szCs w:val="20"/>
        </w:rPr>
        <w:t>The New Press, 2012</w:t>
      </w:r>
      <w:r>
        <w:rPr>
          <w:rFonts w:ascii="Palatino Linotype" w:hAnsi="Palatino Linotype"/>
          <w:sz w:val="20"/>
          <w:szCs w:val="20"/>
        </w:rPr>
        <w:t xml:space="preserve">) 114. See also </w:t>
      </w:r>
      <w:r w:rsidRPr="00B26E96">
        <w:rPr>
          <w:rFonts w:ascii="Palatino Linotype" w:hAnsi="Palatino Linotype"/>
          <w:sz w:val="20"/>
          <w:szCs w:val="20"/>
        </w:rPr>
        <w:t xml:space="preserve">Barbara S. Vincent, &amp; Paul J. </w:t>
      </w:r>
      <w:r>
        <w:rPr>
          <w:rFonts w:ascii="Palatino Linotype" w:hAnsi="Palatino Linotype"/>
          <w:sz w:val="20"/>
          <w:szCs w:val="20"/>
        </w:rPr>
        <w:t xml:space="preserve">Hofer,, </w:t>
      </w:r>
      <w:r w:rsidRPr="00B26E96">
        <w:rPr>
          <w:rFonts w:ascii="Palatino Linotype" w:hAnsi="Palatino Linotype"/>
          <w:sz w:val="20"/>
          <w:szCs w:val="20"/>
        </w:rPr>
        <w:t>Federal Judicial Center, ‘The Consequences of Mandatory Minimum Prison Terms: A Summa</w:t>
      </w:r>
      <w:r>
        <w:rPr>
          <w:rFonts w:ascii="Palatino Linotype" w:hAnsi="Palatino Linotype"/>
          <w:sz w:val="20"/>
          <w:szCs w:val="20"/>
        </w:rPr>
        <w:t>ry of Recent Findings’ 3 (1994),</w:t>
      </w:r>
      <w:r w:rsidRPr="00B26E96">
        <w:rPr>
          <w:rFonts w:ascii="Palatino Linotype" w:hAnsi="Palatino Linotype"/>
          <w:sz w:val="20"/>
          <w:szCs w:val="20"/>
        </w:rPr>
        <w:t xml:space="preserve"> </w:t>
      </w:r>
      <w:r w:rsidRPr="005003F1">
        <w:rPr>
          <w:rFonts w:ascii="Palatino Linotype" w:hAnsi="Palatino Linotype"/>
          <w:sz w:val="20"/>
          <w:szCs w:val="20"/>
        </w:rPr>
        <w:t xml:space="preserve">23. </w:t>
      </w:r>
    </w:p>
  </w:endnote>
  <w:endnote w:id="36">
    <w:p w14:paraId="2AEC774C" w14:textId="543BAB5B"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Erik Luna, and </w:t>
      </w:r>
      <w:r>
        <w:rPr>
          <w:rFonts w:ascii="Palatino Linotype" w:hAnsi="Palatino Linotype"/>
          <w:sz w:val="20"/>
          <w:szCs w:val="20"/>
        </w:rPr>
        <w:t xml:space="preserve">Paul </w:t>
      </w:r>
      <w:r w:rsidRPr="00B26E96">
        <w:rPr>
          <w:rFonts w:ascii="Palatino Linotype" w:hAnsi="Palatino Linotype"/>
          <w:sz w:val="20"/>
          <w:szCs w:val="20"/>
        </w:rPr>
        <w:t xml:space="preserve">Cassell, ‘Mandatory Minimalism’, 32 </w:t>
      </w:r>
      <w:r w:rsidRPr="00B26E96">
        <w:rPr>
          <w:rFonts w:ascii="Palatino Linotype" w:hAnsi="Palatino Linotype"/>
          <w:i/>
          <w:sz w:val="20"/>
          <w:szCs w:val="20"/>
        </w:rPr>
        <w:t>Cardozo Law Review.</w:t>
      </w:r>
      <w:r>
        <w:rPr>
          <w:rFonts w:ascii="Palatino Linotype" w:hAnsi="Palatino Linotype"/>
          <w:sz w:val="20"/>
          <w:szCs w:val="20"/>
        </w:rPr>
        <w:t xml:space="preserve"> 1 (2010), </w:t>
      </w:r>
      <w:r w:rsidRPr="005003F1">
        <w:rPr>
          <w:rFonts w:ascii="Palatino Linotype" w:hAnsi="Palatino Linotype"/>
          <w:sz w:val="20"/>
          <w:szCs w:val="20"/>
        </w:rPr>
        <w:t>70</w:t>
      </w:r>
      <w:r>
        <w:rPr>
          <w:rFonts w:ascii="Palatino Linotype" w:hAnsi="Palatino Linotype"/>
          <w:sz w:val="20"/>
          <w:szCs w:val="20"/>
        </w:rPr>
        <w:t xml:space="preserve">. See also references therein. </w:t>
      </w:r>
      <w:r w:rsidRPr="005003F1">
        <w:rPr>
          <w:rFonts w:ascii="Palatino Linotype" w:hAnsi="Palatino Linotype"/>
          <w:sz w:val="20"/>
          <w:szCs w:val="20"/>
        </w:rPr>
        <w:t xml:space="preserve"> </w:t>
      </w:r>
    </w:p>
  </w:endnote>
  <w:endnote w:id="37">
    <w:p w14:paraId="3B9CD7BC" w14:textId="457041B1"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Pr>
          <w:rFonts w:ascii="Palatino Linotype" w:hAnsi="Palatino Linotype"/>
          <w:sz w:val="20"/>
          <w:szCs w:val="20"/>
        </w:rPr>
        <w:t>70</w:t>
      </w:r>
      <w:r w:rsidRPr="005003F1">
        <w:rPr>
          <w:rFonts w:ascii="Palatino Linotype" w:hAnsi="Palatino Linotype"/>
          <w:sz w:val="20"/>
          <w:szCs w:val="20"/>
        </w:rPr>
        <w:t xml:space="preserve">. </w:t>
      </w:r>
    </w:p>
  </w:endnote>
  <w:endnote w:id="38">
    <w:p w14:paraId="51ACD110" w14:textId="35EB124D"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 xml:space="preserve">17, 42. </w:t>
      </w:r>
    </w:p>
  </w:endnote>
  <w:endnote w:id="39">
    <w:p w14:paraId="44F45624" w14:textId="608CA221"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NAAUSA, </w:t>
      </w:r>
      <w:r>
        <w:rPr>
          <w:rFonts w:ascii="Palatino Linotype" w:hAnsi="Palatino Linotype"/>
          <w:sz w:val="20"/>
          <w:szCs w:val="20"/>
        </w:rPr>
        <w:t xml:space="preserve">quoted </w:t>
      </w:r>
      <w:r w:rsidRPr="005003F1">
        <w:rPr>
          <w:rFonts w:ascii="Palatino Linotype" w:hAnsi="Palatino Linotype"/>
          <w:sz w:val="20"/>
          <w:szCs w:val="20"/>
        </w:rPr>
        <w:t xml:space="preserve">by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 xml:space="preserve">132. </w:t>
      </w:r>
    </w:p>
  </w:endnote>
  <w:endnote w:id="40">
    <w:p w14:paraId="6C997B44" w14:textId="20FDBB19"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A similar point holds for “safety valves” under</w:t>
      </w:r>
      <w:r w:rsidRPr="005003F1">
        <w:rPr>
          <w:rFonts w:ascii="Palatino Linotype" w:hAnsi="Palatino Linotype"/>
          <w:sz w:val="20"/>
          <w:szCs w:val="20"/>
        </w:rPr>
        <w:t xml:space="preserve"> U.S.C. §3553(f). Senator Hatch, who proposed this provision, explained it as a “narrow reform needed to return a small degree of discretion to the courts for a small percentage of nonviolent drug cases” (139 Cong. Rec. 27,842 (Nov. 8, 1993) (statement of Sen. Hatch). </w:t>
      </w:r>
    </w:p>
  </w:endnote>
  <w:endnote w:id="41">
    <w:p w14:paraId="2B6295F4" w14:textId="2587C9A3"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USSC (</w:t>
      </w:r>
      <w:r w:rsidRPr="005003F1">
        <w:rPr>
          <w:rFonts w:ascii="Palatino Linotype" w:hAnsi="Palatino Linotype"/>
          <w:sz w:val="20"/>
          <w:szCs w:val="20"/>
        </w:rPr>
        <w:t>2017</w:t>
      </w:r>
      <w:r>
        <w:rPr>
          <w:rFonts w:ascii="Palatino Linotype" w:hAnsi="Palatino Linotype"/>
          <w:sz w:val="20"/>
          <w:szCs w:val="20"/>
        </w:rPr>
        <w:t>a)</w:t>
      </w:r>
      <w:r w:rsidRPr="005003F1">
        <w:rPr>
          <w:rFonts w:ascii="Palatino Linotype" w:hAnsi="Palatino Linotype"/>
          <w:sz w:val="20"/>
          <w:szCs w:val="20"/>
        </w:rPr>
        <w:t>.</w:t>
      </w:r>
    </w:p>
  </w:endnote>
  <w:endnote w:id="42">
    <w:p w14:paraId="66B2CDFB" w14:textId="0100CA51"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U.S. Sentencing Commission, </w:t>
      </w:r>
      <w:r w:rsidRPr="00B26E96">
        <w:rPr>
          <w:rFonts w:ascii="Palatino Linotype" w:hAnsi="Palatino Linotype"/>
          <w:i/>
          <w:sz w:val="20"/>
          <w:szCs w:val="20"/>
        </w:rPr>
        <w:t>Overview of Mandatory Minimum Penalties in the federal Criminal Justice System</w:t>
      </w:r>
      <w:r w:rsidRPr="00B26E96">
        <w:rPr>
          <w:rFonts w:ascii="Palatino Linotype" w:hAnsi="Palatino Linotype"/>
          <w:sz w:val="20"/>
          <w:szCs w:val="20"/>
        </w:rPr>
        <w:t xml:space="preserve"> (Washington D.C.: USSC, 2017d)</w:t>
      </w:r>
      <w:r>
        <w:rPr>
          <w:rFonts w:ascii="Palatino Linotype" w:hAnsi="Palatino Linotype"/>
          <w:sz w:val="20"/>
          <w:szCs w:val="20"/>
        </w:rPr>
        <w:t>,</w:t>
      </w:r>
      <w:r w:rsidRPr="005003F1">
        <w:rPr>
          <w:rFonts w:ascii="Palatino Linotype" w:hAnsi="Palatino Linotype"/>
          <w:sz w:val="20"/>
          <w:szCs w:val="20"/>
        </w:rPr>
        <w:t xml:space="preserve"> 38. </w:t>
      </w:r>
    </w:p>
  </w:endnote>
  <w:endnote w:id="43">
    <w:p w14:paraId="0593E43A" w14:textId="6AE599D3"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See </w:t>
      </w:r>
      <w:r w:rsidRPr="00B26E96">
        <w:rPr>
          <w:rFonts w:ascii="Palatino Linotype" w:hAnsi="Palatino Linotype" w:cstheme="minorBidi"/>
          <w:sz w:val="20"/>
          <w:szCs w:val="20"/>
        </w:rPr>
        <w:t xml:space="preserve">Hugo Adam </w:t>
      </w:r>
      <w:r>
        <w:rPr>
          <w:rFonts w:ascii="Palatino Linotype" w:hAnsi="Palatino Linotype" w:cstheme="minorBidi"/>
          <w:sz w:val="20"/>
          <w:szCs w:val="20"/>
        </w:rPr>
        <w:t xml:space="preserve">Bedau </w:t>
      </w:r>
      <w:r w:rsidRPr="00B26E96">
        <w:rPr>
          <w:rFonts w:ascii="Palatino Linotype" w:hAnsi="Palatino Linotype" w:cstheme="minorBidi"/>
          <w:sz w:val="20"/>
          <w:szCs w:val="20"/>
        </w:rPr>
        <w:t xml:space="preserve">and </w:t>
      </w:r>
      <w:r>
        <w:rPr>
          <w:rFonts w:ascii="Palatino Linotype" w:hAnsi="Palatino Linotype" w:cstheme="minorBidi"/>
          <w:sz w:val="20"/>
          <w:szCs w:val="20"/>
        </w:rPr>
        <w:t xml:space="preserve">Erin </w:t>
      </w:r>
      <w:r w:rsidRPr="00B26E96">
        <w:rPr>
          <w:rFonts w:ascii="Palatino Linotype" w:hAnsi="Palatino Linotype" w:cstheme="minorBidi"/>
          <w:sz w:val="20"/>
          <w:szCs w:val="20"/>
        </w:rPr>
        <w:t xml:space="preserve">Kelly, </w:t>
      </w:r>
      <w:r>
        <w:rPr>
          <w:rFonts w:ascii="Palatino Linotype" w:hAnsi="Palatino Linotype" w:cstheme="minorBidi"/>
          <w:sz w:val="20"/>
          <w:szCs w:val="20"/>
        </w:rPr>
        <w:t>‘Punishment’</w:t>
      </w:r>
      <w:r w:rsidRPr="00B26E96">
        <w:rPr>
          <w:rFonts w:ascii="Palatino Linotype" w:hAnsi="Palatino Linotype" w:cstheme="minorBidi"/>
          <w:sz w:val="20"/>
          <w:szCs w:val="20"/>
        </w:rPr>
        <w:t>,</w:t>
      </w:r>
      <w:r>
        <w:rPr>
          <w:rFonts w:ascii="Palatino Linotype" w:hAnsi="Palatino Linotype" w:cstheme="minorBidi"/>
          <w:sz w:val="20"/>
          <w:szCs w:val="20"/>
        </w:rPr>
        <w:t xml:space="preserve"> in Edward N. Zalta (ed.),</w:t>
      </w:r>
      <w:r w:rsidRPr="00B26E96">
        <w:rPr>
          <w:rFonts w:ascii="Palatino Linotype" w:hAnsi="Palatino Linotype" w:cstheme="minorBidi"/>
          <w:sz w:val="20"/>
          <w:szCs w:val="20"/>
        </w:rPr>
        <w:t xml:space="preserve"> </w:t>
      </w:r>
      <w:r w:rsidRPr="00B26E96">
        <w:rPr>
          <w:rFonts w:ascii="Palatino Linotype" w:hAnsi="Palatino Linotype" w:cstheme="minorBidi"/>
          <w:i/>
          <w:sz w:val="20"/>
          <w:szCs w:val="20"/>
        </w:rPr>
        <w:t>The Stanford Encyclopedia of Philosophy</w:t>
      </w:r>
      <w:r w:rsidRPr="00B26E96">
        <w:rPr>
          <w:rFonts w:ascii="Palatino Linotype" w:hAnsi="Palatino Linotype" w:cstheme="minorBidi"/>
          <w:sz w:val="20"/>
          <w:szCs w:val="20"/>
        </w:rPr>
        <w:t xml:space="preserve"> (Fall 2015 Edition), </w:t>
      </w:r>
      <w:r w:rsidRPr="005003F1">
        <w:rPr>
          <w:rFonts w:ascii="Palatino Linotype" w:hAnsi="Palatino Linotype"/>
          <w:sz w:val="20"/>
          <w:szCs w:val="20"/>
        </w:rPr>
        <w:t xml:space="preserve">§3. </w:t>
      </w:r>
    </w:p>
  </w:endnote>
  <w:endnote w:id="44">
    <w:p w14:paraId="15A73B65" w14:textId="09B2BDBB" w:rsidR="00B26E96" w:rsidRPr="005003F1" w:rsidRDefault="00B26E96" w:rsidP="00BC1DC8">
      <w:pPr>
        <w:widowControl w:val="0"/>
        <w:autoSpaceDE w:val="0"/>
        <w:autoSpaceDN w:val="0"/>
        <w:adjustRightInd w:val="0"/>
        <w:contextualSpacing/>
        <w:jc w:val="both"/>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5003F1">
        <w:rPr>
          <w:rFonts w:ascii="Palatino Linotype" w:hAnsi="Palatino Linotype"/>
          <w:i/>
          <w:sz w:val="20"/>
          <w:szCs w:val="20"/>
        </w:rPr>
        <w:t>Graham v. Florida</w:t>
      </w:r>
      <w:r w:rsidRPr="005003F1">
        <w:rPr>
          <w:rFonts w:ascii="Palatino Linotype" w:hAnsi="Palatino Linotype"/>
          <w:sz w:val="20"/>
          <w:szCs w:val="20"/>
        </w:rPr>
        <w:t xml:space="preserve">, 130 S. Ct. 2011, 2036-2037 (2010) (Roberts, C.J., concurring). </w:t>
      </w:r>
    </w:p>
  </w:endnote>
  <w:endnote w:id="45">
    <w:p w14:paraId="4B9E5F9E" w14:textId="2F1E5867" w:rsidR="00B26E96" w:rsidRPr="005003F1" w:rsidRDefault="00B26E96" w:rsidP="00BC1DC8">
      <w:pPr>
        <w:widowControl w:val="0"/>
        <w:autoSpaceDE w:val="0"/>
        <w:autoSpaceDN w:val="0"/>
        <w:adjustRightInd w:val="0"/>
        <w:contextualSpacing/>
        <w:jc w:val="both"/>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5003F1">
        <w:rPr>
          <w:rFonts w:ascii="Palatino Linotype" w:hAnsi="Palatino Linotype"/>
          <w:i/>
          <w:iCs/>
          <w:sz w:val="20"/>
          <w:szCs w:val="20"/>
        </w:rPr>
        <w:t>Harmelin v. Michigan</w:t>
      </w:r>
      <w:r w:rsidRPr="005003F1">
        <w:rPr>
          <w:rFonts w:ascii="Palatino Linotype" w:hAnsi="Palatino Linotype"/>
          <w:iCs/>
          <w:sz w:val="20"/>
          <w:szCs w:val="20"/>
        </w:rPr>
        <w:t>,</w:t>
      </w:r>
      <w:r w:rsidRPr="005003F1">
        <w:rPr>
          <w:rFonts w:ascii="Palatino Linotype" w:hAnsi="Palatino Linotype"/>
          <w:sz w:val="20"/>
          <w:szCs w:val="20"/>
        </w:rPr>
        <w:t xml:space="preserve"> 111 S. Ct. 2680 (1991). See </w:t>
      </w:r>
      <w:r>
        <w:rPr>
          <w:rFonts w:ascii="Palatino Linotype" w:hAnsi="Palatino Linotype"/>
          <w:sz w:val="20"/>
          <w:szCs w:val="20"/>
        </w:rPr>
        <w:t xml:space="preserve">also Sarch and Wodak, ‘Resolving Judicial Dilemmas’. </w:t>
      </w:r>
    </w:p>
  </w:endnote>
  <w:endnote w:id="46">
    <w:p w14:paraId="037026E0" w14:textId="71C59521" w:rsidR="00B26E96" w:rsidRPr="005003F1" w:rsidRDefault="00B26E96" w:rsidP="00803D9C">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00803D9C">
        <w:rPr>
          <w:rFonts w:ascii="Palatino Linotype" w:hAnsi="Palatino Linotype"/>
          <w:sz w:val="20"/>
          <w:szCs w:val="20"/>
        </w:rPr>
        <w:t xml:space="preserve">Adam </w:t>
      </w:r>
      <w:r w:rsidRPr="00803D9C">
        <w:rPr>
          <w:rFonts w:ascii="Palatino Linotype" w:hAnsi="Palatino Linotype"/>
          <w:sz w:val="20"/>
          <w:szCs w:val="20"/>
        </w:rPr>
        <w:t>Kolber</w:t>
      </w:r>
      <w:r w:rsidR="00803D9C">
        <w:rPr>
          <w:rFonts w:ascii="Palatino Linotype" w:hAnsi="Palatino Linotype"/>
          <w:b/>
          <w:sz w:val="20"/>
          <w:szCs w:val="20"/>
        </w:rPr>
        <w:t>, ‘</w:t>
      </w:r>
      <w:r w:rsidR="00803D9C" w:rsidRPr="00803D9C">
        <w:rPr>
          <w:rFonts w:ascii="Palatino Linotype" w:hAnsi="Palatino Linotype"/>
          <w:sz w:val="20"/>
          <w:szCs w:val="20"/>
        </w:rPr>
        <w:t>The Comparative Nature of Punishment</w:t>
      </w:r>
      <w:r w:rsidR="00803D9C">
        <w:rPr>
          <w:rFonts w:ascii="Palatino Linotype" w:hAnsi="Palatino Linotype"/>
          <w:sz w:val="20"/>
          <w:szCs w:val="20"/>
        </w:rPr>
        <w:t xml:space="preserve">’, </w:t>
      </w:r>
      <w:r w:rsidR="00803D9C" w:rsidRPr="00803D9C">
        <w:rPr>
          <w:rFonts w:ascii="Palatino Linotype" w:hAnsi="Palatino Linotype"/>
          <w:i/>
          <w:sz w:val="20"/>
          <w:szCs w:val="20"/>
        </w:rPr>
        <w:t>Boston University Law Review</w:t>
      </w:r>
      <w:r w:rsidR="00803D9C" w:rsidRPr="00803D9C">
        <w:rPr>
          <w:rFonts w:ascii="Palatino Linotype" w:hAnsi="Palatino Linotype"/>
          <w:sz w:val="20"/>
          <w:szCs w:val="20"/>
        </w:rPr>
        <w:t xml:space="preserve">, </w:t>
      </w:r>
      <w:r w:rsidR="00803D9C">
        <w:rPr>
          <w:rFonts w:ascii="Palatino Linotype" w:hAnsi="Palatino Linotype"/>
          <w:sz w:val="20"/>
          <w:szCs w:val="20"/>
        </w:rPr>
        <w:t>89</w:t>
      </w:r>
      <w:r w:rsidR="00803D9C" w:rsidRPr="00803D9C">
        <w:rPr>
          <w:rFonts w:ascii="Palatino Linotype" w:hAnsi="Palatino Linotype"/>
          <w:sz w:val="20"/>
          <w:szCs w:val="20"/>
        </w:rPr>
        <w:t xml:space="preserve"> </w:t>
      </w:r>
      <w:r w:rsidRPr="00803D9C">
        <w:rPr>
          <w:rFonts w:ascii="Palatino Linotype" w:hAnsi="Palatino Linotype"/>
          <w:sz w:val="20"/>
          <w:szCs w:val="20"/>
        </w:rPr>
        <w:t>(2009),</w:t>
      </w:r>
      <w:r w:rsidRPr="005003F1">
        <w:rPr>
          <w:rFonts w:ascii="Palatino Linotype" w:hAnsi="Palatino Linotype"/>
          <w:sz w:val="20"/>
          <w:szCs w:val="20"/>
        </w:rPr>
        <w:t xml:space="preserve">1606. </w:t>
      </w:r>
    </w:p>
  </w:endnote>
  <w:endnote w:id="47">
    <w:p w14:paraId="00901BEC" w14:textId="39875327"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See, e.g., </w:t>
      </w:r>
      <w:r w:rsidRPr="00B26E96">
        <w:rPr>
          <w:rFonts w:ascii="Palatino Linotype" w:hAnsi="Palatino Linotype"/>
          <w:sz w:val="20"/>
          <w:szCs w:val="20"/>
        </w:rPr>
        <w:t xml:space="preserve">H.J. McCloskey, </w:t>
      </w:r>
      <w:r>
        <w:rPr>
          <w:rFonts w:ascii="Palatino Linotype" w:hAnsi="Palatino Linotype"/>
          <w:sz w:val="20"/>
          <w:szCs w:val="20"/>
        </w:rPr>
        <w:t>‘</w:t>
      </w:r>
      <w:r w:rsidRPr="00B26E96">
        <w:rPr>
          <w:rFonts w:ascii="Palatino Linotype" w:hAnsi="Palatino Linotype"/>
          <w:sz w:val="20"/>
          <w:szCs w:val="20"/>
        </w:rPr>
        <w:t>A Non-Util</w:t>
      </w:r>
      <w:r>
        <w:rPr>
          <w:rFonts w:ascii="Palatino Linotype" w:hAnsi="Palatino Linotype"/>
          <w:sz w:val="20"/>
          <w:szCs w:val="20"/>
        </w:rPr>
        <w:t xml:space="preserve">itarian Approach to Punishment’, in </w:t>
      </w:r>
      <w:r w:rsidRPr="00B26E96">
        <w:rPr>
          <w:rFonts w:ascii="Palatino Linotype" w:hAnsi="Palatino Linotype"/>
          <w:sz w:val="20"/>
          <w:szCs w:val="20"/>
        </w:rPr>
        <w:t>Gertrude Ezorsky</w:t>
      </w:r>
      <w:r>
        <w:rPr>
          <w:rFonts w:ascii="Palatino Linotype" w:hAnsi="Palatino Linotype"/>
          <w:sz w:val="20"/>
          <w:szCs w:val="20"/>
        </w:rPr>
        <w:t xml:space="preserve"> (ed.) </w:t>
      </w:r>
      <w:r w:rsidRPr="00B26E96">
        <w:rPr>
          <w:rFonts w:ascii="Palatino Linotype" w:hAnsi="Palatino Linotype"/>
          <w:i/>
          <w:sz w:val="20"/>
          <w:szCs w:val="20"/>
        </w:rPr>
        <w:t>Philosophical Perspectives on Punishment</w:t>
      </w:r>
      <w:r w:rsidRPr="00B26E96">
        <w:rPr>
          <w:rFonts w:ascii="Palatino Linotype" w:hAnsi="Palatino Linotype"/>
          <w:sz w:val="20"/>
          <w:szCs w:val="20"/>
        </w:rPr>
        <w:t xml:space="preserve"> </w:t>
      </w:r>
      <w:r>
        <w:rPr>
          <w:rFonts w:ascii="Palatino Linotype" w:hAnsi="Palatino Linotype"/>
          <w:sz w:val="20"/>
          <w:szCs w:val="20"/>
        </w:rPr>
        <w:t>(</w:t>
      </w:r>
      <w:r w:rsidRPr="00B26E96">
        <w:rPr>
          <w:rFonts w:ascii="Palatino Linotype" w:hAnsi="Palatino Linotype"/>
          <w:sz w:val="20"/>
          <w:szCs w:val="20"/>
        </w:rPr>
        <w:t>State University of New York Press, 1972</w:t>
      </w:r>
      <w:r>
        <w:rPr>
          <w:rFonts w:ascii="Palatino Linotype" w:hAnsi="Palatino Linotype"/>
          <w:sz w:val="20"/>
          <w:szCs w:val="20"/>
        </w:rPr>
        <w:t>),</w:t>
      </w:r>
      <w:r w:rsidRPr="00B26E96">
        <w:rPr>
          <w:rFonts w:ascii="Palatino Linotype" w:hAnsi="Palatino Linotype"/>
          <w:sz w:val="20"/>
          <w:szCs w:val="20"/>
        </w:rPr>
        <w:t xml:space="preserve"> </w:t>
      </w:r>
      <w:r w:rsidRPr="005003F1">
        <w:rPr>
          <w:rFonts w:ascii="Palatino Linotype" w:hAnsi="Palatino Linotype"/>
          <w:sz w:val="20"/>
          <w:szCs w:val="20"/>
        </w:rPr>
        <w:t xml:space="preserve">129. </w:t>
      </w:r>
    </w:p>
  </w:endnote>
  <w:endnote w:id="48">
    <w:p w14:paraId="07E6BA33" w14:textId="31A2F313"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See the USSC (1991)’s stance on “</w:t>
      </w:r>
      <w:r w:rsidRPr="00BC1DC8">
        <w:rPr>
          <w:rFonts w:ascii="Palatino Linotype" w:hAnsi="Palatino Linotype"/>
          <w:sz w:val="20"/>
          <w:szCs w:val="20"/>
        </w:rPr>
        <w:t>unwarranted</w:t>
      </w:r>
      <w:r w:rsidRPr="005003F1">
        <w:rPr>
          <w:rFonts w:ascii="Palatino Linotype" w:hAnsi="Palatino Linotype"/>
          <w:sz w:val="20"/>
          <w:szCs w:val="20"/>
        </w:rPr>
        <w:t xml:space="preserve"> sentencing uniformity</w:t>
      </w:r>
      <w:r>
        <w:rPr>
          <w:rFonts w:ascii="Palatino Linotype" w:hAnsi="Palatino Linotype"/>
          <w:sz w:val="20"/>
          <w:szCs w:val="20"/>
        </w:rPr>
        <w:t xml:space="preserve">”. </w:t>
      </w:r>
    </w:p>
  </w:endnote>
  <w:endnote w:id="49">
    <w:p w14:paraId="4A4B1F65" w14:textId="6BC239DF"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Ronald </w:t>
      </w:r>
      <w:r>
        <w:rPr>
          <w:rFonts w:ascii="Palatino Linotype" w:hAnsi="Palatino Linotype"/>
          <w:sz w:val="20"/>
          <w:szCs w:val="20"/>
        </w:rPr>
        <w:t>Dworkin</w:t>
      </w:r>
      <w:r w:rsidRPr="00B26E96">
        <w:rPr>
          <w:rFonts w:ascii="Palatino Linotype" w:hAnsi="Palatino Linotype"/>
          <w:sz w:val="20"/>
          <w:szCs w:val="20"/>
        </w:rPr>
        <w:t xml:space="preserve">, </w:t>
      </w:r>
      <w:r w:rsidRPr="00B26E96">
        <w:rPr>
          <w:rFonts w:ascii="Palatino Linotype" w:hAnsi="Palatino Linotype"/>
          <w:i/>
          <w:sz w:val="20"/>
          <w:szCs w:val="20"/>
        </w:rPr>
        <w:t>Taking Rights Seriously</w:t>
      </w:r>
      <w:r>
        <w:rPr>
          <w:rFonts w:ascii="Palatino Linotype" w:hAnsi="Palatino Linotype"/>
          <w:sz w:val="20"/>
          <w:szCs w:val="20"/>
        </w:rPr>
        <w:t xml:space="preserve"> (</w:t>
      </w:r>
      <w:r w:rsidRPr="00B26E96">
        <w:rPr>
          <w:rFonts w:ascii="Palatino Linotype" w:hAnsi="Palatino Linotype"/>
          <w:sz w:val="20"/>
          <w:szCs w:val="20"/>
        </w:rPr>
        <w:t>Harvard University Press, 1977</w:t>
      </w:r>
      <w:r>
        <w:rPr>
          <w:rFonts w:ascii="Palatino Linotype" w:hAnsi="Palatino Linotype"/>
          <w:sz w:val="20"/>
          <w:szCs w:val="20"/>
        </w:rPr>
        <w:t>),</w:t>
      </w:r>
      <w:r w:rsidRPr="005003F1">
        <w:rPr>
          <w:rFonts w:ascii="Palatino Linotype" w:hAnsi="Palatino Linotype"/>
          <w:sz w:val="20"/>
          <w:szCs w:val="20"/>
        </w:rPr>
        <w:t xml:space="preserve"> 370.</w:t>
      </w:r>
    </w:p>
  </w:endnote>
  <w:endnote w:id="50">
    <w:p w14:paraId="4FFB8C54" w14:textId="463F069C"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USSC, quoted by Alexander, </w:t>
      </w:r>
      <w:r>
        <w:rPr>
          <w:rFonts w:ascii="Palatino Linotype" w:hAnsi="Palatino Linotype"/>
          <w:i/>
          <w:sz w:val="20"/>
          <w:szCs w:val="20"/>
        </w:rPr>
        <w:t>The New Jim Crow</w:t>
      </w:r>
      <w:r>
        <w:rPr>
          <w:rFonts w:ascii="Palatino Linotype" w:hAnsi="Palatino Linotype"/>
          <w:sz w:val="20"/>
          <w:szCs w:val="20"/>
        </w:rPr>
        <w:t>,</w:t>
      </w:r>
      <w:r w:rsidRPr="005003F1">
        <w:rPr>
          <w:rFonts w:ascii="Palatino Linotype" w:hAnsi="Palatino Linotype"/>
          <w:sz w:val="20"/>
          <w:szCs w:val="20"/>
        </w:rPr>
        <w:t xml:space="preserve"> 88. </w:t>
      </w:r>
    </w:p>
  </w:endnote>
  <w:endnote w:id="51">
    <w:p w14:paraId="034520E3" w14:textId="29D5E85D"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On the general paucity of data about supporting the view that harsher sentences reduce crime through general deterrence, see </w:t>
      </w:r>
      <w:r w:rsidRPr="00B26E96">
        <w:rPr>
          <w:rFonts w:ascii="Palatino Linotype" w:hAnsi="Palatino Linotype"/>
          <w:sz w:val="20"/>
          <w:szCs w:val="20"/>
        </w:rPr>
        <w:t xml:space="preserve">Anthony N. Doob, &amp; Cheryl Marie Webster, ‘Sentence Severity and Crime: Accepting the Null Hypothesis’, 30 </w:t>
      </w:r>
      <w:r w:rsidRPr="00B26E96">
        <w:rPr>
          <w:rFonts w:ascii="Palatino Linotype" w:hAnsi="Palatino Linotype"/>
          <w:i/>
          <w:sz w:val="20"/>
          <w:szCs w:val="20"/>
        </w:rPr>
        <w:t>Crime and Justice</w:t>
      </w:r>
      <w:r w:rsidRPr="00B26E96">
        <w:rPr>
          <w:rFonts w:ascii="Palatino Linotype" w:hAnsi="Palatino Linotype"/>
          <w:sz w:val="20"/>
          <w:szCs w:val="20"/>
        </w:rPr>
        <w:t xml:space="preserve"> 143 (2003)</w:t>
      </w:r>
      <w:r w:rsidRPr="005003F1">
        <w:rPr>
          <w:rFonts w:ascii="Palatino Linotype" w:hAnsi="Palatino Linotype"/>
          <w:sz w:val="20"/>
          <w:szCs w:val="20"/>
        </w:rPr>
        <w:t>. On the evidence of drug-related mandatory minimums</w:t>
      </w:r>
      <w:r>
        <w:rPr>
          <w:rFonts w:ascii="Palatino Linotype" w:hAnsi="Palatino Linotype"/>
          <w:sz w:val="20"/>
          <w:szCs w:val="20"/>
        </w:rPr>
        <w:t>’</w:t>
      </w:r>
      <w:r w:rsidRPr="005003F1">
        <w:rPr>
          <w:rFonts w:ascii="Palatino Linotype" w:hAnsi="Palatino Linotype"/>
          <w:sz w:val="20"/>
          <w:szCs w:val="20"/>
        </w:rPr>
        <w:t xml:space="preserve"> low deterrent value, see </w:t>
      </w:r>
      <w:r w:rsidRPr="00B26E96">
        <w:rPr>
          <w:rFonts w:ascii="Palatino Linotype" w:hAnsi="Palatino Linotype"/>
          <w:sz w:val="20"/>
          <w:szCs w:val="20"/>
        </w:rPr>
        <w:t xml:space="preserve">Christopher Mascharka, ‘Mandatory Minimum Sentences: Exemplifying the Law of Unintended Consequences’ 28 </w:t>
      </w:r>
      <w:r w:rsidRPr="00B26E96">
        <w:rPr>
          <w:rFonts w:ascii="Palatino Linotype" w:hAnsi="Palatino Linotype"/>
          <w:i/>
          <w:sz w:val="20"/>
          <w:szCs w:val="20"/>
        </w:rPr>
        <w:t>Florida State University Law Review</w:t>
      </w:r>
      <w:r w:rsidRPr="00B26E96">
        <w:rPr>
          <w:rFonts w:ascii="Palatino Linotype" w:hAnsi="Palatino Linotype"/>
          <w:sz w:val="20"/>
          <w:szCs w:val="20"/>
        </w:rPr>
        <w:t xml:space="preserve"> 2001</w:t>
      </w:r>
      <w:r>
        <w:rPr>
          <w:rFonts w:ascii="Palatino Linotype" w:hAnsi="Palatino Linotype"/>
          <w:sz w:val="20"/>
          <w:szCs w:val="20"/>
        </w:rPr>
        <w:t xml:space="preserve">, 946. </w:t>
      </w:r>
      <w:r w:rsidRPr="00B26E96">
        <w:rPr>
          <w:rFonts w:ascii="Palatino Linotype" w:hAnsi="Palatino Linotype"/>
          <w:sz w:val="20"/>
          <w:szCs w:val="20"/>
        </w:rPr>
        <w:t>Michael Tonry</w:t>
      </w:r>
      <w:r>
        <w:rPr>
          <w:rFonts w:ascii="Palatino Linotype" w:hAnsi="Palatino Linotype"/>
          <w:sz w:val="20"/>
          <w:szCs w:val="20"/>
        </w:rPr>
        <w:t xml:space="preserve"> </w:t>
      </w:r>
      <w:r w:rsidRPr="005003F1">
        <w:rPr>
          <w:rFonts w:ascii="Palatino Linotype" w:hAnsi="Palatino Linotype"/>
          <w:sz w:val="20"/>
          <w:szCs w:val="20"/>
        </w:rPr>
        <w:t>reviewed several decades of research on drug- and firearm-related mandatory minimums and found that “the weight of the evidence clearly shows that enactment of mandatory penalties has either no demonstrable marginal deterrent effects or short-term ef</w:t>
      </w:r>
      <w:r>
        <w:rPr>
          <w:rFonts w:ascii="Palatino Linotype" w:hAnsi="Palatino Linotype"/>
          <w:sz w:val="20"/>
          <w:szCs w:val="20"/>
        </w:rPr>
        <w:t>fects that rapidly waste away” (</w:t>
      </w:r>
      <w:r w:rsidRPr="00B26E96">
        <w:rPr>
          <w:rFonts w:ascii="Palatino Linotype" w:hAnsi="Palatino Linotype"/>
          <w:sz w:val="20"/>
          <w:szCs w:val="20"/>
        </w:rPr>
        <w:t xml:space="preserve">‘Mandatory Penalties’, </w:t>
      </w:r>
      <w:r>
        <w:rPr>
          <w:rFonts w:ascii="Palatino Linotype" w:hAnsi="Palatino Linotype"/>
          <w:sz w:val="20"/>
          <w:szCs w:val="20"/>
        </w:rPr>
        <w:t xml:space="preserve">in Michael Tonry (ed.) </w:t>
      </w:r>
      <w:r w:rsidRPr="00B26E96">
        <w:rPr>
          <w:rFonts w:ascii="Palatino Linotype" w:hAnsi="Palatino Linotype"/>
          <w:i/>
          <w:sz w:val="20"/>
          <w:szCs w:val="20"/>
        </w:rPr>
        <w:t>Crime &amp; Justice: A Review of Research</w:t>
      </w:r>
      <w:r w:rsidRPr="00B26E96">
        <w:rPr>
          <w:rFonts w:ascii="Palatino Linotype" w:hAnsi="Palatino Linotype"/>
          <w:sz w:val="20"/>
          <w:szCs w:val="20"/>
        </w:rPr>
        <w:t>,</w:t>
      </w:r>
      <w:r>
        <w:rPr>
          <w:rFonts w:ascii="Palatino Linotype" w:hAnsi="Palatino Linotype"/>
          <w:sz w:val="20"/>
          <w:szCs w:val="20"/>
        </w:rPr>
        <w:t xml:space="preserve"> 1990, </w:t>
      </w:r>
      <w:r w:rsidRPr="005003F1">
        <w:rPr>
          <w:rFonts w:ascii="Palatino Linotype" w:hAnsi="Palatino Linotype"/>
          <w:sz w:val="20"/>
          <w:szCs w:val="20"/>
        </w:rPr>
        <w:t>243-244</w:t>
      </w:r>
      <w:r>
        <w:rPr>
          <w:rFonts w:ascii="Palatino Linotype" w:hAnsi="Palatino Linotype"/>
          <w:sz w:val="20"/>
          <w:szCs w:val="20"/>
        </w:rPr>
        <w:t xml:space="preserve">). See also Schulhofer, ‘Rethinking Mandatory Minimums’. </w:t>
      </w:r>
    </w:p>
  </w:endnote>
  <w:endnote w:id="52">
    <w:p w14:paraId="7D59905D" w14:textId="3D355431"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B26E96">
        <w:rPr>
          <w:rFonts w:ascii="Palatino Linotype" w:hAnsi="Palatino Linotype"/>
          <w:sz w:val="20"/>
          <w:szCs w:val="20"/>
        </w:rPr>
        <w:t xml:space="preserve"> William</w:t>
      </w:r>
      <w:r>
        <w:rPr>
          <w:rFonts w:ascii="Palatino Linotype" w:hAnsi="Palatino Linotype"/>
          <w:sz w:val="20"/>
          <w:szCs w:val="20"/>
        </w:rPr>
        <w:t xml:space="preserve"> Stuntz</w:t>
      </w:r>
      <w:r w:rsidRPr="00B26E96">
        <w:rPr>
          <w:rFonts w:ascii="Palatino Linotype" w:hAnsi="Palatino Linotype"/>
          <w:sz w:val="20"/>
          <w:szCs w:val="20"/>
        </w:rPr>
        <w:t xml:space="preserve">, </w:t>
      </w:r>
      <w:r w:rsidRPr="00B26E96">
        <w:rPr>
          <w:rFonts w:ascii="Palatino Linotype" w:hAnsi="Palatino Linotype"/>
          <w:i/>
          <w:sz w:val="20"/>
          <w:szCs w:val="20"/>
        </w:rPr>
        <w:t>The Collapse of American Criminal Justice</w:t>
      </w:r>
      <w:r>
        <w:rPr>
          <w:rFonts w:ascii="Palatino Linotype" w:hAnsi="Palatino Linotype"/>
          <w:sz w:val="20"/>
          <w:szCs w:val="20"/>
        </w:rPr>
        <w:t xml:space="preserve"> (</w:t>
      </w:r>
      <w:r w:rsidRPr="00B26E96">
        <w:rPr>
          <w:rFonts w:ascii="Palatino Linotype" w:hAnsi="Palatino Linotype"/>
          <w:sz w:val="20"/>
          <w:szCs w:val="20"/>
        </w:rPr>
        <w:t>Harvard Un</w:t>
      </w:r>
      <w:r>
        <w:rPr>
          <w:rFonts w:ascii="Palatino Linotype" w:hAnsi="Palatino Linotype"/>
          <w:sz w:val="20"/>
          <w:szCs w:val="20"/>
        </w:rPr>
        <w:t xml:space="preserve">iversity Press, </w:t>
      </w:r>
      <w:r w:rsidRPr="00B26E96">
        <w:rPr>
          <w:rFonts w:ascii="Palatino Linotype" w:hAnsi="Palatino Linotype"/>
          <w:sz w:val="20"/>
          <w:szCs w:val="20"/>
        </w:rPr>
        <w:t>2011</w:t>
      </w:r>
      <w:r>
        <w:rPr>
          <w:rFonts w:ascii="Palatino Linotype" w:hAnsi="Palatino Linotype"/>
          <w:sz w:val="20"/>
          <w:szCs w:val="20"/>
        </w:rPr>
        <w:t xml:space="preserve">), </w:t>
      </w:r>
      <w:r w:rsidRPr="005003F1">
        <w:rPr>
          <w:rFonts w:ascii="Palatino Linotype" w:hAnsi="Palatino Linotype"/>
          <w:sz w:val="20"/>
          <w:szCs w:val="20"/>
        </w:rPr>
        <w:t>82.</w:t>
      </w:r>
    </w:p>
  </w:endnote>
  <w:endnote w:id="53">
    <w:p w14:paraId="47D36717" w14:textId="19CC8E03"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 xml:space="preserve">132. </w:t>
      </w:r>
    </w:p>
  </w:endnote>
  <w:endnote w:id="54">
    <w:p w14:paraId="40B3575A" w14:textId="2A959396"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Pr>
          <w:rFonts w:ascii="Palatino Linotype" w:hAnsi="Palatino Linotype"/>
          <w:sz w:val="20"/>
          <w:szCs w:val="20"/>
        </w:rPr>
        <w:t xml:space="preserve">USSC </w:t>
      </w:r>
      <w:r w:rsidRPr="005003F1">
        <w:rPr>
          <w:rFonts w:ascii="Palatino Linotype" w:hAnsi="Palatino Linotype"/>
          <w:sz w:val="20"/>
          <w:szCs w:val="20"/>
        </w:rPr>
        <w:t>(2017</w:t>
      </w:r>
      <w:r>
        <w:rPr>
          <w:rFonts w:ascii="Palatino Linotype" w:hAnsi="Palatino Linotype"/>
          <w:sz w:val="20"/>
          <w:szCs w:val="20"/>
        </w:rPr>
        <w:t>a) and</w:t>
      </w:r>
      <w:r w:rsidRPr="00B26E96">
        <w:rPr>
          <w:rFonts w:ascii="Palatino Linotype" w:hAnsi="Palatino Linotype"/>
          <w:sz w:val="20"/>
          <w:szCs w:val="20"/>
        </w:rPr>
        <w:t xml:space="preserve"> Quick Facts on Drug Traffic</w:t>
      </w:r>
      <w:r>
        <w:rPr>
          <w:rFonts w:ascii="Palatino Linotype" w:hAnsi="Palatino Linotype"/>
          <w:sz w:val="20"/>
          <w:szCs w:val="20"/>
        </w:rPr>
        <w:t xml:space="preserve">king Offenses (Washington D.C., </w:t>
      </w:r>
      <w:r w:rsidRPr="00B26E96">
        <w:rPr>
          <w:rFonts w:ascii="Palatino Linotype" w:hAnsi="Palatino Linotype"/>
          <w:sz w:val="20"/>
          <w:szCs w:val="20"/>
        </w:rPr>
        <w:t>2017e)</w:t>
      </w:r>
      <w:r>
        <w:rPr>
          <w:rFonts w:ascii="Palatino Linotype" w:hAnsi="Palatino Linotype"/>
          <w:sz w:val="20"/>
          <w:szCs w:val="20"/>
        </w:rPr>
        <w:t>.</w:t>
      </w:r>
      <w:r w:rsidRPr="005003F1">
        <w:rPr>
          <w:rFonts w:ascii="Palatino Linotype" w:hAnsi="Palatino Linotype"/>
          <w:sz w:val="20"/>
          <w:szCs w:val="20"/>
        </w:rPr>
        <w:t xml:space="preserve"> </w:t>
      </w:r>
    </w:p>
  </w:endnote>
  <w:endnote w:id="55">
    <w:p w14:paraId="18CDA8AF" w14:textId="0CA55748"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Avergun, in Haerens (ed.)</w:t>
      </w:r>
      <w:r w:rsidRPr="005003F1">
        <w:rPr>
          <w:rFonts w:ascii="Palatino Linotype" w:hAnsi="Palatino Linotype"/>
          <w:sz w:val="20"/>
          <w:szCs w:val="20"/>
        </w:rPr>
        <w:t xml:space="preserve">, </w:t>
      </w:r>
      <w:r w:rsidRPr="00B26E96">
        <w:rPr>
          <w:rFonts w:ascii="Palatino Linotype" w:hAnsi="Palatino Linotype"/>
          <w:i/>
          <w:sz w:val="20"/>
          <w:szCs w:val="20"/>
        </w:rPr>
        <w:t>Mandatory Minimum Sentencing</w:t>
      </w:r>
      <w:r>
        <w:rPr>
          <w:rFonts w:ascii="Palatino Linotype" w:hAnsi="Palatino Linotype"/>
          <w:sz w:val="20"/>
          <w:szCs w:val="20"/>
        </w:rPr>
        <w:t xml:space="preserve">, </w:t>
      </w:r>
      <w:r w:rsidRPr="005003F1">
        <w:rPr>
          <w:rFonts w:ascii="Palatino Linotype" w:hAnsi="Palatino Linotype"/>
          <w:sz w:val="20"/>
          <w:szCs w:val="20"/>
        </w:rPr>
        <w:t>50-1</w:t>
      </w:r>
    </w:p>
  </w:endnote>
  <w:endnote w:id="56">
    <w:p w14:paraId="129327C0" w14:textId="6642208C"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Stuntz, </w:t>
      </w:r>
      <w:r w:rsidRPr="00B26E96">
        <w:rPr>
          <w:rFonts w:ascii="Palatino Linotype" w:hAnsi="Palatino Linotype"/>
          <w:i/>
          <w:sz w:val="20"/>
          <w:szCs w:val="20"/>
        </w:rPr>
        <w:t>The Collapse of American Criminal Justice</w:t>
      </w:r>
      <w:r>
        <w:rPr>
          <w:rFonts w:ascii="Palatino Linotype" w:hAnsi="Palatino Linotype"/>
          <w:i/>
          <w:sz w:val="20"/>
          <w:szCs w:val="20"/>
        </w:rPr>
        <w:t xml:space="preserve">, </w:t>
      </w:r>
      <w:r w:rsidRPr="005003F1">
        <w:rPr>
          <w:rFonts w:ascii="Palatino Linotype" w:hAnsi="Palatino Linotype"/>
          <w:sz w:val="20"/>
          <w:szCs w:val="20"/>
        </w:rPr>
        <w:t>47. A similar position is def</w:t>
      </w:r>
      <w:r>
        <w:rPr>
          <w:rFonts w:ascii="Palatino Linotype" w:hAnsi="Palatino Linotype"/>
          <w:sz w:val="20"/>
          <w:szCs w:val="20"/>
        </w:rPr>
        <w:t xml:space="preserve">ended at length by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70-76</w:t>
      </w:r>
      <w:r>
        <w:rPr>
          <w:rFonts w:ascii="Palatino Linotype" w:hAnsi="Palatino Linotype"/>
          <w:sz w:val="20"/>
          <w:szCs w:val="20"/>
        </w:rPr>
        <w:t>.</w:t>
      </w:r>
      <w:r w:rsidRPr="005003F1">
        <w:rPr>
          <w:rFonts w:ascii="Palatino Linotype" w:hAnsi="Palatino Linotype"/>
          <w:sz w:val="20"/>
          <w:szCs w:val="20"/>
        </w:rPr>
        <w:t xml:space="preserve"> </w:t>
      </w:r>
    </w:p>
  </w:endnote>
  <w:endnote w:id="57">
    <w:p w14:paraId="738BB0ED" w14:textId="0E340046"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Haerens, </w:t>
      </w:r>
      <w:r w:rsidRPr="00B26E96">
        <w:rPr>
          <w:rFonts w:ascii="Palatino Linotype" w:hAnsi="Palatino Linotype"/>
          <w:i/>
          <w:sz w:val="20"/>
          <w:szCs w:val="20"/>
        </w:rPr>
        <w:t>Mandatory Minimum Sentencing</w:t>
      </w:r>
      <w:r>
        <w:rPr>
          <w:rFonts w:ascii="Palatino Linotype" w:hAnsi="Palatino Linotype"/>
          <w:sz w:val="20"/>
          <w:szCs w:val="20"/>
        </w:rPr>
        <w:t>,</w:t>
      </w:r>
      <w:r w:rsidRPr="005003F1">
        <w:rPr>
          <w:rFonts w:ascii="Palatino Linotype" w:hAnsi="Palatino Linotype"/>
          <w:sz w:val="20"/>
          <w:szCs w:val="20"/>
        </w:rPr>
        <w:t xml:space="preserve"> 147.</w:t>
      </w:r>
    </w:p>
  </w:endnote>
  <w:endnote w:id="58">
    <w:p w14:paraId="4A8EC7D2" w14:textId="50F2C8E4" w:rsidR="00B26E96" w:rsidRPr="002E615E" w:rsidRDefault="00B26E96" w:rsidP="00BC1DC8">
      <w:pPr>
        <w:pStyle w:val="EndnoteText"/>
        <w:rPr>
          <w:rFonts w:ascii="Palatino Linotype" w:hAnsi="Palatino Linotype"/>
          <w:sz w:val="20"/>
          <w:szCs w:val="20"/>
        </w:rPr>
      </w:pPr>
      <w:r w:rsidRPr="002E615E">
        <w:rPr>
          <w:rStyle w:val="EndnoteReference"/>
          <w:rFonts w:ascii="Palatino Linotype" w:hAnsi="Palatino Linotype"/>
          <w:sz w:val="20"/>
          <w:szCs w:val="20"/>
        </w:rPr>
        <w:endnoteRef/>
      </w:r>
      <w:r w:rsidRPr="002E615E">
        <w:rPr>
          <w:rFonts w:ascii="Palatino Linotype" w:hAnsi="Palatino Linotype"/>
          <w:sz w:val="20"/>
          <w:szCs w:val="20"/>
        </w:rPr>
        <w:t xml:space="preserve"> See </w:t>
      </w:r>
      <w:r>
        <w:rPr>
          <w:rFonts w:ascii="Palatino Linotype" w:hAnsi="Palatino Linotype"/>
          <w:sz w:val="20"/>
          <w:szCs w:val="20"/>
        </w:rPr>
        <w:t>Families Against Mandatory Minimums, ‘</w:t>
      </w:r>
      <w:r w:rsidRPr="002E615E">
        <w:rPr>
          <w:rFonts w:ascii="Palatino Linotype" w:hAnsi="Palatino Linotype"/>
          <w:sz w:val="20"/>
          <w:szCs w:val="20"/>
        </w:rPr>
        <w:t>How Federal Mandatory Minimums for Nonviolent Drug Offenders Make Us Less Safe</w:t>
      </w:r>
      <w:r>
        <w:rPr>
          <w:rFonts w:ascii="Palatino Linotype" w:hAnsi="Palatino Linotype"/>
          <w:sz w:val="20"/>
          <w:szCs w:val="20"/>
        </w:rPr>
        <w:t xml:space="preserve">’: </w:t>
      </w:r>
      <w:r w:rsidRPr="002E615E">
        <w:rPr>
          <w:rFonts w:ascii="Palatino Linotype" w:hAnsi="Palatino Linotype"/>
          <w:sz w:val="20"/>
          <w:szCs w:val="20"/>
        </w:rPr>
        <w:t>http://famm.org/how-federal-mandatory-minimums-for-nonviolent-drug-offenders-make-us-less-safe/</w:t>
      </w:r>
    </w:p>
  </w:endnote>
  <w:endnote w:id="59">
    <w:p w14:paraId="0F1BD81B" w14:textId="5A21BA8B"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11, citing Steven Levitt.</w:t>
      </w:r>
    </w:p>
  </w:endnote>
  <w:endnote w:id="60">
    <w:p w14:paraId="36954DC4" w14:textId="6FEE9112"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434 U.S. 357 (1978)</w:t>
      </w:r>
    </w:p>
  </w:endnote>
  <w:endnote w:id="61">
    <w:p w14:paraId="05DAA87F" w14:textId="64943552"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Pr="00B26E96">
        <w:rPr>
          <w:rFonts w:ascii="Palatino Linotype" w:hAnsi="Palatino Linotype"/>
          <w:sz w:val="20"/>
          <w:szCs w:val="20"/>
        </w:rPr>
        <w:t xml:space="preserve">Pfaff, </w:t>
      </w:r>
      <w:r w:rsidRPr="00B26E96">
        <w:rPr>
          <w:rFonts w:ascii="Palatino Linotype" w:hAnsi="Palatino Linotype"/>
          <w:i/>
          <w:sz w:val="20"/>
          <w:szCs w:val="20"/>
        </w:rPr>
        <w:t>Locked In</w:t>
      </w:r>
      <w:r w:rsidRPr="00B26E96">
        <w:rPr>
          <w:rFonts w:ascii="Palatino Linotype" w:hAnsi="Palatino Linotype"/>
          <w:sz w:val="20"/>
          <w:szCs w:val="20"/>
        </w:rPr>
        <w:t xml:space="preserve">, </w:t>
      </w:r>
      <w:r w:rsidRPr="005003F1">
        <w:rPr>
          <w:rFonts w:ascii="Palatino Linotype" w:hAnsi="Palatino Linotype"/>
          <w:sz w:val="20"/>
          <w:szCs w:val="20"/>
        </w:rPr>
        <w:t>137, 133.</w:t>
      </w:r>
    </w:p>
  </w:endnote>
  <w:endnote w:id="62">
    <w:p w14:paraId="10B988A8" w14:textId="1EDEBF5B"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w:t>
      </w:r>
      <w:r w:rsidR="000420FE">
        <w:rPr>
          <w:rFonts w:ascii="Palatino Linotype" w:hAnsi="Palatino Linotype"/>
          <w:sz w:val="20"/>
          <w:szCs w:val="20"/>
        </w:rPr>
        <w:t xml:space="preserve">Angela Davis, </w:t>
      </w:r>
      <w:r w:rsidR="000420FE">
        <w:rPr>
          <w:rFonts w:ascii="Palatino Linotype" w:hAnsi="Palatino Linotype"/>
          <w:i/>
          <w:sz w:val="20"/>
          <w:szCs w:val="20"/>
        </w:rPr>
        <w:t xml:space="preserve">Arbitrary Justice: The Power of the American Prosecutor </w:t>
      </w:r>
      <w:r w:rsidRPr="000420FE">
        <w:rPr>
          <w:rFonts w:ascii="Palatino Linotype" w:hAnsi="Palatino Linotype"/>
          <w:sz w:val="20"/>
          <w:szCs w:val="20"/>
        </w:rPr>
        <w:t>(</w:t>
      </w:r>
      <w:r w:rsidR="000420FE">
        <w:rPr>
          <w:rFonts w:ascii="Palatino Linotype" w:hAnsi="Palatino Linotype"/>
          <w:sz w:val="20"/>
          <w:szCs w:val="20"/>
        </w:rPr>
        <w:t xml:space="preserve">Oxford University Press, </w:t>
      </w:r>
      <w:r w:rsidRPr="000420FE">
        <w:rPr>
          <w:rFonts w:ascii="Palatino Linotype" w:hAnsi="Palatino Linotype"/>
          <w:sz w:val="20"/>
          <w:szCs w:val="20"/>
        </w:rPr>
        <w:t>2007),</w:t>
      </w:r>
      <w:r w:rsidRPr="005003F1">
        <w:rPr>
          <w:rFonts w:ascii="Palatino Linotype" w:hAnsi="Palatino Linotype"/>
          <w:sz w:val="20"/>
          <w:szCs w:val="20"/>
        </w:rPr>
        <w:t xml:space="preserve"> 31-33.</w:t>
      </w:r>
    </w:p>
  </w:endnote>
  <w:endnote w:id="63">
    <w:p w14:paraId="62DB3F81" w14:textId="0E2CB7CF"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Alexander, </w:t>
      </w:r>
      <w:r>
        <w:rPr>
          <w:rFonts w:ascii="Palatino Linotype" w:hAnsi="Palatino Linotype"/>
          <w:i/>
          <w:sz w:val="20"/>
          <w:szCs w:val="20"/>
        </w:rPr>
        <w:t>The New Jim Crow</w:t>
      </w:r>
      <w:r>
        <w:rPr>
          <w:rFonts w:ascii="Palatino Linotype" w:hAnsi="Palatino Linotype"/>
          <w:sz w:val="20"/>
          <w:szCs w:val="20"/>
        </w:rPr>
        <w:t xml:space="preserve">, </w:t>
      </w:r>
      <w:r w:rsidRPr="005003F1">
        <w:rPr>
          <w:rFonts w:ascii="Palatino Linotype" w:hAnsi="Palatino Linotype"/>
          <w:sz w:val="20"/>
          <w:szCs w:val="20"/>
        </w:rPr>
        <w:t xml:space="preserve">88. </w:t>
      </w:r>
    </w:p>
  </w:endnote>
  <w:endnote w:id="64">
    <w:p w14:paraId="02FB3553" w14:textId="668A8A4A"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See </w:t>
      </w:r>
      <w:r w:rsidRPr="00B26E96">
        <w:rPr>
          <w:rFonts w:ascii="Palatino Linotype" w:hAnsi="Palatino Linotype"/>
          <w:sz w:val="20"/>
          <w:szCs w:val="20"/>
        </w:rPr>
        <w:t>Avishalom</w:t>
      </w:r>
      <w:r>
        <w:rPr>
          <w:rFonts w:ascii="Palatino Linotype" w:hAnsi="Palatino Linotype"/>
          <w:sz w:val="20"/>
          <w:szCs w:val="20"/>
        </w:rPr>
        <w:t xml:space="preserve"> </w:t>
      </w:r>
      <w:r w:rsidRPr="00B26E96">
        <w:rPr>
          <w:rFonts w:ascii="Palatino Linotype" w:hAnsi="Palatino Linotype"/>
          <w:sz w:val="20"/>
          <w:szCs w:val="20"/>
        </w:rPr>
        <w:t xml:space="preserve">Tor, Oren Gazal-Ayal, and Stephen M. Garcia, ‘Fairness and the Willingness to Accept Plea Bargain Offers’, 7 </w:t>
      </w:r>
      <w:r w:rsidRPr="00B26E96">
        <w:rPr>
          <w:rFonts w:ascii="Palatino Linotype" w:hAnsi="Palatino Linotype"/>
          <w:i/>
          <w:sz w:val="20"/>
          <w:szCs w:val="20"/>
        </w:rPr>
        <w:t>Journal of Empirical Legal Studies</w:t>
      </w:r>
      <w:r w:rsidRPr="00B26E96">
        <w:rPr>
          <w:rFonts w:ascii="Palatino Linotype" w:hAnsi="Palatino Linotype"/>
          <w:sz w:val="20"/>
          <w:szCs w:val="20"/>
        </w:rPr>
        <w:t xml:space="preserve"> 2010</w:t>
      </w:r>
      <w:r>
        <w:rPr>
          <w:rFonts w:ascii="Palatino Linotype" w:hAnsi="Palatino Linotype"/>
          <w:sz w:val="20"/>
          <w:szCs w:val="20"/>
        </w:rPr>
        <w:t xml:space="preserve">, </w:t>
      </w:r>
      <w:r w:rsidRPr="005003F1">
        <w:rPr>
          <w:rFonts w:ascii="Palatino Linotype" w:hAnsi="Palatino Linotype"/>
          <w:sz w:val="20"/>
          <w:szCs w:val="20"/>
        </w:rPr>
        <w:t xml:space="preserve">99-100, and citations therein. </w:t>
      </w:r>
    </w:p>
  </w:endnote>
  <w:endnote w:id="65">
    <w:p w14:paraId="66DDE0C9" w14:textId="610D0A4A"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Ibid. </w:t>
      </w:r>
    </w:p>
  </w:endnote>
  <w:endnote w:id="66">
    <w:p w14:paraId="7CF33174" w14:textId="309C8FB8"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977 F.2d 317 (7th Cir. 1992) at 318.</w:t>
      </w:r>
      <w:r w:rsidRPr="006325AC">
        <w:t xml:space="preserve"> </w:t>
      </w:r>
    </w:p>
  </w:endnote>
  <w:endnote w:id="67">
    <w:p w14:paraId="252F8C41" w14:textId="7EA4242A"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Anecdotal evidence suggests that there are plenty of examples of this practice that do not receive much media attention.</w:t>
      </w:r>
      <w:r>
        <w:rPr>
          <w:rFonts w:ascii="Palatino Linotype" w:hAnsi="Palatino Linotype"/>
          <w:sz w:val="20"/>
          <w:szCs w:val="20"/>
        </w:rPr>
        <w:t xml:space="preserve"> See John S.</w:t>
      </w:r>
      <w:r w:rsidRPr="00B26E96">
        <w:rPr>
          <w:rFonts w:ascii="Palatino Linotype" w:hAnsi="Palatino Linotype"/>
          <w:sz w:val="20"/>
          <w:szCs w:val="20"/>
        </w:rPr>
        <w:t xml:space="preserve"> Martin Jr., ‘Why Mandatory Minimums Make No Sense’, 18 </w:t>
      </w:r>
      <w:r w:rsidRPr="00B26E96">
        <w:rPr>
          <w:rFonts w:ascii="Palatino Linotype" w:hAnsi="Palatino Linotype"/>
          <w:i/>
          <w:sz w:val="20"/>
          <w:szCs w:val="20"/>
        </w:rPr>
        <w:t>Notre Dame Journal of Law, Ethics and Public Policy</w:t>
      </w:r>
      <w:r>
        <w:rPr>
          <w:rFonts w:ascii="Palatino Linotype" w:hAnsi="Palatino Linotype"/>
          <w:sz w:val="20"/>
          <w:szCs w:val="20"/>
        </w:rPr>
        <w:t>, 2004,</w:t>
      </w:r>
      <w:r w:rsidRPr="00B26E96">
        <w:rPr>
          <w:rFonts w:ascii="Palatino Linotype" w:hAnsi="Palatino Linotype"/>
          <w:sz w:val="20"/>
          <w:szCs w:val="20"/>
        </w:rPr>
        <w:t xml:space="preserve"> </w:t>
      </w:r>
      <w:r w:rsidRPr="005003F1">
        <w:rPr>
          <w:rFonts w:ascii="Palatino Linotype" w:hAnsi="Palatino Linotype"/>
          <w:sz w:val="20"/>
          <w:szCs w:val="20"/>
        </w:rPr>
        <w:t>315-316.</w:t>
      </w:r>
    </w:p>
  </w:endnote>
  <w:endnote w:id="68">
    <w:p w14:paraId="631A194C" w14:textId="59C24AEF"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sidRPr="005003F1">
        <w:rPr>
          <w:rFonts w:ascii="Palatino Linotype" w:hAnsi="Palatino Linotype"/>
          <w:sz w:val="20"/>
          <w:szCs w:val="20"/>
        </w:rPr>
        <w:t xml:space="preserve"> Holder, in </w:t>
      </w:r>
      <w:r w:rsidRPr="00B26E96">
        <w:rPr>
          <w:rFonts w:ascii="Palatino Linotype" w:hAnsi="Palatino Linotype"/>
          <w:i/>
          <w:sz w:val="20"/>
          <w:szCs w:val="20"/>
        </w:rPr>
        <w:t>Mandatory Minimum Sentencing</w:t>
      </w:r>
      <w:r>
        <w:rPr>
          <w:rFonts w:ascii="Palatino Linotype" w:hAnsi="Palatino Linotype"/>
          <w:sz w:val="20"/>
          <w:szCs w:val="20"/>
        </w:rPr>
        <w:t>,</w:t>
      </w:r>
      <w:r w:rsidRPr="005003F1">
        <w:rPr>
          <w:rFonts w:ascii="Palatino Linotype" w:hAnsi="Palatino Linotype"/>
          <w:sz w:val="20"/>
          <w:szCs w:val="20"/>
        </w:rPr>
        <w:t xml:space="preserve"> 91.</w:t>
      </w:r>
    </w:p>
  </w:endnote>
  <w:endnote w:id="69">
    <w:p w14:paraId="5444CA1A" w14:textId="7DA49880" w:rsidR="00B26E96" w:rsidRPr="005003F1" w:rsidRDefault="00B26E96" w:rsidP="00BC1DC8">
      <w:pPr>
        <w:pStyle w:val="EndnoteText"/>
        <w:rPr>
          <w:rFonts w:ascii="Palatino Linotype" w:hAnsi="Palatino Linotype"/>
          <w:sz w:val="20"/>
          <w:szCs w:val="20"/>
        </w:rPr>
      </w:pPr>
      <w:r w:rsidRPr="005003F1">
        <w:rPr>
          <w:rStyle w:val="EndnoteReference"/>
          <w:rFonts w:ascii="Palatino Linotype" w:hAnsi="Palatino Linotype"/>
          <w:sz w:val="20"/>
          <w:szCs w:val="20"/>
        </w:rPr>
        <w:endnoteRef/>
      </w:r>
      <w:r>
        <w:rPr>
          <w:rFonts w:ascii="Palatino Linotype" w:hAnsi="Palatino Linotype"/>
          <w:sz w:val="20"/>
          <w:szCs w:val="20"/>
        </w:rPr>
        <w:t xml:space="preserve"> Alexander, </w:t>
      </w:r>
      <w:r>
        <w:rPr>
          <w:rFonts w:ascii="Palatino Linotype" w:hAnsi="Palatino Linotype"/>
          <w:i/>
          <w:sz w:val="20"/>
          <w:szCs w:val="20"/>
        </w:rPr>
        <w:t xml:space="preserve">The New Jim </w:t>
      </w:r>
      <w:r w:rsidRPr="00B26E96">
        <w:rPr>
          <w:rFonts w:ascii="Palatino Linotype" w:hAnsi="Palatino Linotype"/>
          <w:i/>
          <w:sz w:val="20"/>
          <w:szCs w:val="20"/>
        </w:rPr>
        <w:t>Crow</w:t>
      </w:r>
      <w:r>
        <w:rPr>
          <w:rFonts w:ascii="Palatino Linotype" w:hAnsi="Palatino Linotype"/>
          <w:sz w:val="20"/>
          <w:szCs w:val="20"/>
        </w:rPr>
        <w:t xml:space="preserve">, </w:t>
      </w:r>
      <w:r w:rsidRPr="00B26E96">
        <w:rPr>
          <w:rFonts w:ascii="Palatino Linotype" w:hAnsi="Palatino Linotype"/>
          <w:sz w:val="20"/>
          <w:szCs w:val="20"/>
        </w:rPr>
        <w:t>88</w:t>
      </w:r>
      <w:r w:rsidRPr="005003F1">
        <w:rPr>
          <w:rFonts w:ascii="Palatino Linotype" w:hAnsi="Palatino Linotype"/>
          <w:sz w:val="20"/>
          <w:szCs w:val="20"/>
        </w:rPr>
        <w:t xml:space="preserve">, </w:t>
      </w:r>
      <w:r>
        <w:rPr>
          <w:rFonts w:ascii="Palatino Linotype" w:hAnsi="Palatino Linotype"/>
          <w:sz w:val="20"/>
          <w:szCs w:val="20"/>
        </w:rPr>
        <w:t xml:space="preserve">discusses </w:t>
      </w:r>
      <w:r w:rsidRPr="005003F1">
        <w:rPr>
          <w:rFonts w:ascii="Palatino Linotype" w:hAnsi="Palatino Linotype"/>
          <w:sz w:val="20"/>
          <w:szCs w:val="20"/>
        </w:rPr>
        <w:t xml:space="preserve">the “notorious unreliability” of snitches.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F220" w14:textId="77777777" w:rsidR="00163AA8" w:rsidRDefault="00163AA8" w:rsidP="004002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1ACFC" w14:textId="77777777" w:rsidR="00163AA8" w:rsidRDefault="00163AA8">
    <w:pPr>
      <w:pStyle w:val="Footer"/>
    </w:pPr>
  </w:p>
  <w:p w14:paraId="6E7EBD8F" w14:textId="77777777" w:rsidR="00163AA8" w:rsidRDefault="00163AA8"/>
  <w:p w14:paraId="0BB81CC5" w14:textId="77777777" w:rsidR="00163AA8" w:rsidRDefault="00163AA8"/>
  <w:p w14:paraId="735AD741" w14:textId="77777777" w:rsidR="00163AA8" w:rsidRDefault="00163A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E52C" w14:textId="77777777" w:rsidR="00163AA8" w:rsidRDefault="00163AA8" w:rsidP="004002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0FE">
      <w:rPr>
        <w:rStyle w:val="PageNumber"/>
        <w:noProof/>
      </w:rPr>
      <w:t>16</w:t>
    </w:r>
    <w:r>
      <w:rPr>
        <w:rStyle w:val="PageNumber"/>
      </w:rPr>
      <w:fldChar w:fldCharType="end"/>
    </w:r>
  </w:p>
  <w:p w14:paraId="453DBA8F" w14:textId="77777777" w:rsidR="00163AA8" w:rsidRDefault="00163A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E21F" w14:textId="77777777" w:rsidR="00BC4A23" w:rsidRDefault="00BC4A23" w:rsidP="003D0050">
      <w:r>
        <w:separator/>
      </w:r>
    </w:p>
  </w:footnote>
  <w:footnote w:type="continuationSeparator" w:id="0">
    <w:p w14:paraId="58D6F94A" w14:textId="77777777" w:rsidR="00BC4A23" w:rsidRDefault="00BC4A23" w:rsidP="003D0050">
      <w:r>
        <w:continuationSeparator/>
      </w:r>
    </w:p>
  </w:footnote>
  <w:footnote w:id="1">
    <w:p w14:paraId="75DBECB7" w14:textId="426A6DCE" w:rsidR="00536569" w:rsidRPr="00536569" w:rsidRDefault="00536569">
      <w:pPr>
        <w:pStyle w:val="FootnoteText"/>
        <w:rPr>
          <w:rFonts w:ascii="Palatino Linotype" w:hAnsi="Palatino Linotype"/>
          <w:sz w:val="20"/>
          <w:szCs w:val="20"/>
        </w:rPr>
      </w:pPr>
      <w:r w:rsidRPr="00536569">
        <w:rPr>
          <w:rStyle w:val="FootnoteReference"/>
          <w:rFonts w:ascii="Palatino Linotype" w:hAnsi="Palatino Linotype"/>
          <w:sz w:val="20"/>
          <w:szCs w:val="20"/>
        </w:rPr>
        <w:t>*</w:t>
      </w:r>
      <w:r w:rsidRPr="00536569">
        <w:rPr>
          <w:rFonts w:ascii="Palatino Linotype" w:hAnsi="Palatino Linotype"/>
          <w:sz w:val="20"/>
          <w:szCs w:val="20"/>
        </w:rPr>
        <w:t xml:space="preserve"> </w:t>
      </w:r>
      <w:r>
        <w:rPr>
          <w:rFonts w:ascii="Palatino Linotype" w:hAnsi="Palatino Linotype"/>
          <w:sz w:val="20"/>
          <w:szCs w:val="20"/>
        </w:rPr>
        <w:t>Thanks to David Boonin, Alex Sarch, and Andrew Sepielli</w:t>
      </w:r>
      <w:r w:rsidR="008C2F8E">
        <w:rPr>
          <w:rFonts w:ascii="Palatino Linotype" w:hAnsi="Palatino Linotype"/>
          <w:sz w:val="20"/>
          <w:szCs w:val="20"/>
        </w:rPr>
        <w:t>, for their helpful comments</w:t>
      </w:r>
      <w:bookmarkStart w:id="0" w:name="_GoBack"/>
      <w:bookmarkEnd w:id="0"/>
      <w:r>
        <w:rPr>
          <w:rFonts w:ascii="Palatino Linotype" w:hAnsi="Palatino Linotype"/>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590DC5"/>
    <w:multiLevelType w:val="hybridMultilevel"/>
    <w:tmpl w:val="80C23A38"/>
    <w:lvl w:ilvl="0" w:tplc="14764542">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A3B"/>
    <w:multiLevelType w:val="hybridMultilevel"/>
    <w:tmpl w:val="FB02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B4280"/>
    <w:multiLevelType w:val="multilevel"/>
    <w:tmpl w:val="D92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80CB2"/>
    <w:multiLevelType w:val="multilevel"/>
    <w:tmpl w:val="6A7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C904B3"/>
    <w:multiLevelType w:val="multilevel"/>
    <w:tmpl w:val="D38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A16DE"/>
    <w:multiLevelType w:val="multilevel"/>
    <w:tmpl w:val="FA04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C0"/>
    <w:rsid w:val="00000302"/>
    <w:rsid w:val="00000EF2"/>
    <w:rsid w:val="00001637"/>
    <w:rsid w:val="00002505"/>
    <w:rsid w:val="00004EEA"/>
    <w:rsid w:val="00005189"/>
    <w:rsid w:val="0001569B"/>
    <w:rsid w:val="000169B0"/>
    <w:rsid w:val="0002077A"/>
    <w:rsid w:val="000224A4"/>
    <w:rsid w:val="000237B4"/>
    <w:rsid w:val="00024C42"/>
    <w:rsid w:val="00026187"/>
    <w:rsid w:val="00033DE8"/>
    <w:rsid w:val="000341BB"/>
    <w:rsid w:val="00034BE5"/>
    <w:rsid w:val="00035AD7"/>
    <w:rsid w:val="000363BA"/>
    <w:rsid w:val="00036C75"/>
    <w:rsid w:val="00041779"/>
    <w:rsid w:val="000420FE"/>
    <w:rsid w:val="00043089"/>
    <w:rsid w:val="00043100"/>
    <w:rsid w:val="00044ABA"/>
    <w:rsid w:val="00045069"/>
    <w:rsid w:val="00050C36"/>
    <w:rsid w:val="00052F59"/>
    <w:rsid w:val="00057CC8"/>
    <w:rsid w:val="000600A0"/>
    <w:rsid w:val="00060DC9"/>
    <w:rsid w:val="00062760"/>
    <w:rsid w:val="0006433B"/>
    <w:rsid w:val="0006610A"/>
    <w:rsid w:val="000712D7"/>
    <w:rsid w:val="000777B3"/>
    <w:rsid w:val="000807A1"/>
    <w:rsid w:val="00082549"/>
    <w:rsid w:val="00085E6E"/>
    <w:rsid w:val="00086388"/>
    <w:rsid w:val="00086C3E"/>
    <w:rsid w:val="00086CEC"/>
    <w:rsid w:val="00087075"/>
    <w:rsid w:val="0008740B"/>
    <w:rsid w:val="00087B18"/>
    <w:rsid w:val="00090C72"/>
    <w:rsid w:val="000916EF"/>
    <w:rsid w:val="000922E7"/>
    <w:rsid w:val="00096821"/>
    <w:rsid w:val="000A1214"/>
    <w:rsid w:val="000A7A49"/>
    <w:rsid w:val="000B0246"/>
    <w:rsid w:val="000B0767"/>
    <w:rsid w:val="000B0A2B"/>
    <w:rsid w:val="000C5B03"/>
    <w:rsid w:val="000D1A30"/>
    <w:rsid w:val="000F1A76"/>
    <w:rsid w:val="000F603E"/>
    <w:rsid w:val="000F62C9"/>
    <w:rsid w:val="00102957"/>
    <w:rsid w:val="00102E79"/>
    <w:rsid w:val="00104045"/>
    <w:rsid w:val="00104CC4"/>
    <w:rsid w:val="00106426"/>
    <w:rsid w:val="00111160"/>
    <w:rsid w:val="00114355"/>
    <w:rsid w:val="00117253"/>
    <w:rsid w:val="00120DF5"/>
    <w:rsid w:val="00122DD4"/>
    <w:rsid w:val="001242D4"/>
    <w:rsid w:val="00124D2F"/>
    <w:rsid w:val="0012553C"/>
    <w:rsid w:val="001265AC"/>
    <w:rsid w:val="00131116"/>
    <w:rsid w:val="00131CF2"/>
    <w:rsid w:val="00131E64"/>
    <w:rsid w:val="00132A2E"/>
    <w:rsid w:val="00141307"/>
    <w:rsid w:val="00143FBA"/>
    <w:rsid w:val="001475A9"/>
    <w:rsid w:val="00151F40"/>
    <w:rsid w:val="00156EC2"/>
    <w:rsid w:val="00162AD3"/>
    <w:rsid w:val="00163AA8"/>
    <w:rsid w:val="0016426C"/>
    <w:rsid w:val="001654A5"/>
    <w:rsid w:val="0017216C"/>
    <w:rsid w:val="00172E3B"/>
    <w:rsid w:val="00175335"/>
    <w:rsid w:val="00176C9D"/>
    <w:rsid w:val="00183097"/>
    <w:rsid w:val="001872B2"/>
    <w:rsid w:val="00193A5C"/>
    <w:rsid w:val="00195A81"/>
    <w:rsid w:val="00196C21"/>
    <w:rsid w:val="001A1A54"/>
    <w:rsid w:val="001A4259"/>
    <w:rsid w:val="001A4F82"/>
    <w:rsid w:val="001A6AAF"/>
    <w:rsid w:val="001A7E26"/>
    <w:rsid w:val="001B0935"/>
    <w:rsid w:val="001B13B3"/>
    <w:rsid w:val="001B1B90"/>
    <w:rsid w:val="001B66D7"/>
    <w:rsid w:val="001B76FC"/>
    <w:rsid w:val="001C02BD"/>
    <w:rsid w:val="001C310B"/>
    <w:rsid w:val="001C3BB1"/>
    <w:rsid w:val="001C4C54"/>
    <w:rsid w:val="001D49BF"/>
    <w:rsid w:val="001D51D0"/>
    <w:rsid w:val="001E0685"/>
    <w:rsid w:val="001E157C"/>
    <w:rsid w:val="001E5ADC"/>
    <w:rsid w:val="001E5DA6"/>
    <w:rsid w:val="001F6164"/>
    <w:rsid w:val="00206E69"/>
    <w:rsid w:val="002118F8"/>
    <w:rsid w:val="002122F0"/>
    <w:rsid w:val="00213C36"/>
    <w:rsid w:val="00217172"/>
    <w:rsid w:val="00221C22"/>
    <w:rsid w:val="002237EC"/>
    <w:rsid w:val="00224FF5"/>
    <w:rsid w:val="0022569E"/>
    <w:rsid w:val="0023023F"/>
    <w:rsid w:val="00232ED6"/>
    <w:rsid w:val="00236800"/>
    <w:rsid w:val="00237C5D"/>
    <w:rsid w:val="00246CC3"/>
    <w:rsid w:val="00250127"/>
    <w:rsid w:val="002504DF"/>
    <w:rsid w:val="00251030"/>
    <w:rsid w:val="00252C96"/>
    <w:rsid w:val="00256043"/>
    <w:rsid w:val="0026153D"/>
    <w:rsid w:val="0026589E"/>
    <w:rsid w:val="0027380C"/>
    <w:rsid w:val="00281249"/>
    <w:rsid w:val="00281F26"/>
    <w:rsid w:val="00287DD5"/>
    <w:rsid w:val="00287DE4"/>
    <w:rsid w:val="00287EEB"/>
    <w:rsid w:val="00291615"/>
    <w:rsid w:val="00293070"/>
    <w:rsid w:val="002962AB"/>
    <w:rsid w:val="0029637C"/>
    <w:rsid w:val="002A310B"/>
    <w:rsid w:val="002A3DD3"/>
    <w:rsid w:val="002B20EF"/>
    <w:rsid w:val="002B2294"/>
    <w:rsid w:val="002B280B"/>
    <w:rsid w:val="002B57F5"/>
    <w:rsid w:val="002B58E9"/>
    <w:rsid w:val="002B6813"/>
    <w:rsid w:val="002C58F7"/>
    <w:rsid w:val="002C6418"/>
    <w:rsid w:val="002C6CF0"/>
    <w:rsid w:val="002E5E19"/>
    <w:rsid w:val="002E615E"/>
    <w:rsid w:val="002E6B00"/>
    <w:rsid w:val="002F447B"/>
    <w:rsid w:val="002F4496"/>
    <w:rsid w:val="002F7E95"/>
    <w:rsid w:val="00301000"/>
    <w:rsid w:val="003038C0"/>
    <w:rsid w:val="00310906"/>
    <w:rsid w:val="00313941"/>
    <w:rsid w:val="00314F70"/>
    <w:rsid w:val="00315ECF"/>
    <w:rsid w:val="00321216"/>
    <w:rsid w:val="00325242"/>
    <w:rsid w:val="0032615A"/>
    <w:rsid w:val="003264FC"/>
    <w:rsid w:val="00331DC8"/>
    <w:rsid w:val="00333813"/>
    <w:rsid w:val="00334ABC"/>
    <w:rsid w:val="00340A96"/>
    <w:rsid w:val="00344E01"/>
    <w:rsid w:val="0034658B"/>
    <w:rsid w:val="00347938"/>
    <w:rsid w:val="0035060E"/>
    <w:rsid w:val="003574FF"/>
    <w:rsid w:val="00357638"/>
    <w:rsid w:val="00367F42"/>
    <w:rsid w:val="003808CC"/>
    <w:rsid w:val="00384001"/>
    <w:rsid w:val="003842FE"/>
    <w:rsid w:val="00387C61"/>
    <w:rsid w:val="003943C7"/>
    <w:rsid w:val="003945A2"/>
    <w:rsid w:val="003A20E4"/>
    <w:rsid w:val="003A28C6"/>
    <w:rsid w:val="003A2D58"/>
    <w:rsid w:val="003A3F00"/>
    <w:rsid w:val="003A5006"/>
    <w:rsid w:val="003A56BC"/>
    <w:rsid w:val="003A58D4"/>
    <w:rsid w:val="003A646F"/>
    <w:rsid w:val="003A722E"/>
    <w:rsid w:val="003B5CD7"/>
    <w:rsid w:val="003C30A3"/>
    <w:rsid w:val="003C535A"/>
    <w:rsid w:val="003C5D6D"/>
    <w:rsid w:val="003D0050"/>
    <w:rsid w:val="003D1B7F"/>
    <w:rsid w:val="003D405A"/>
    <w:rsid w:val="003D4FC6"/>
    <w:rsid w:val="003E249E"/>
    <w:rsid w:val="003E3A5E"/>
    <w:rsid w:val="003E4CEE"/>
    <w:rsid w:val="003E6045"/>
    <w:rsid w:val="003F0EAC"/>
    <w:rsid w:val="003F15CC"/>
    <w:rsid w:val="003F2847"/>
    <w:rsid w:val="003F560D"/>
    <w:rsid w:val="003F64D9"/>
    <w:rsid w:val="0040023B"/>
    <w:rsid w:val="00403B2E"/>
    <w:rsid w:val="00407FD9"/>
    <w:rsid w:val="004102E3"/>
    <w:rsid w:val="00411118"/>
    <w:rsid w:val="00411824"/>
    <w:rsid w:val="00411940"/>
    <w:rsid w:val="00416795"/>
    <w:rsid w:val="004245A4"/>
    <w:rsid w:val="00424E03"/>
    <w:rsid w:val="00426074"/>
    <w:rsid w:val="004267D7"/>
    <w:rsid w:val="004278F0"/>
    <w:rsid w:val="00430821"/>
    <w:rsid w:val="00430F50"/>
    <w:rsid w:val="00431703"/>
    <w:rsid w:val="00434CD6"/>
    <w:rsid w:val="00435F5C"/>
    <w:rsid w:val="00446D7E"/>
    <w:rsid w:val="004520E7"/>
    <w:rsid w:val="00452649"/>
    <w:rsid w:val="00453245"/>
    <w:rsid w:val="004537C1"/>
    <w:rsid w:val="00454293"/>
    <w:rsid w:val="00455542"/>
    <w:rsid w:val="00457DC0"/>
    <w:rsid w:val="00461CE8"/>
    <w:rsid w:val="00463A2F"/>
    <w:rsid w:val="0046425F"/>
    <w:rsid w:val="004642E8"/>
    <w:rsid w:val="00464F29"/>
    <w:rsid w:val="00466236"/>
    <w:rsid w:val="00466511"/>
    <w:rsid w:val="00466846"/>
    <w:rsid w:val="00466E3E"/>
    <w:rsid w:val="00470233"/>
    <w:rsid w:val="00471355"/>
    <w:rsid w:val="004722F3"/>
    <w:rsid w:val="00472904"/>
    <w:rsid w:val="0047359B"/>
    <w:rsid w:val="00474DE3"/>
    <w:rsid w:val="00476791"/>
    <w:rsid w:val="00480443"/>
    <w:rsid w:val="004807A8"/>
    <w:rsid w:val="00481D02"/>
    <w:rsid w:val="00481DA8"/>
    <w:rsid w:val="004921F5"/>
    <w:rsid w:val="004934F0"/>
    <w:rsid w:val="00493982"/>
    <w:rsid w:val="00493C5C"/>
    <w:rsid w:val="00494729"/>
    <w:rsid w:val="00496581"/>
    <w:rsid w:val="004A03C6"/>
    <w:rsid w:val="004A1001"/>
    <w:rsid w:val="004A10CC"/>
    <w:rsid w:val="004A238C"/>
    <w:rsid w:val="004A4697"/>
    <w:rsid w:val="004A4A79"/>
    <w:rsid w:val="004B4557"/>
    <w:rsid w:val="004B7544"/>
    <w:rsid w:val="004C0669"/>
    <w:rsid w:val="004C144C"/>
    <w:rsid w:val="004C532C"/>
    <w:rsid w:val="004C7154"/>
    <w:rsid w:val="004D42AF"/>
    <w:rsid w:val="004D5C27"/>
    <w:rsid w:val="004D5FAD"/>
    <w:rsid w:val="004E2C0B"/>
    <w:rsid w:val="004E5BFD"/>
    <w:rsid w:val="004E5F27"/>
    <w:rsid w:val="005003F1"/>
    <w:rsid w:val="0050040D"/>
    <w:rsid w:val="005004DB"/>
    <w:rsid w:val="005006B4"/>
    <w:rsid w:val="00502223"/>
    <w:rsid w:val="005041A1"/>
    <w:rsid w:val="00511B78"/>
    <w:rsid w:val="005130BE"/>
    <w:rsid w:val="00514703"/>
    <w:rsid w:val="005164A7"/>
    <w:rsid w:val="005169E7"/>
    <w:rsid w:val="005206BF"/>
    <w:rsid w:val="0052568E"/>
    <w:rsid w:val="00527C03"/>
    <w:rsid w:val="005322AE"/>
    <w:rsid w:val="00536569"/>
    <w:rsid w:val="00536C67"/>
    <w:rsid w:val="00537B39"/>
    <w:rsid w:val="00540312"/>
    <w:rsid w:val="00541037"/>
    <w:rsid w:val="00544E41"/>
    <w:rsid w:val="00545317"/>
    <w:rsid w:val="0054595D"/>
    <w:rsid w:val="005470C8"/>
    <w:rsid w:val="00547BF6"/>
    <w:rsid w:val="005503DF"/>
    <w:rsid w:val="0055078E"/>
    <w:rsid w:val="00550C9E"/>
    <w:rsid w:val="005520C9"/>
    <w:rsid w:val="005540F2"/>
    <w:rsid w:val="00554732"/>
    <w:rsid w:val="00554B43"/>
    <w:rsid w:val="005575A8"/>
    <w:rsid w:val="005732E5"/>
    <w:rsid w:val="0057610C"/>
    <w:rsid w:val="005857CC"/>
    <w:rsid w:val="00586DE7"/>
    <w:rsid w:val="00595AE0"/>
    <w:rsid w:val="00596DB9"/>
    <w:rsid w:val="005A03AA"/>
    <w:rsid w:val="005B265C"/>
    <w:rsid w:val="005B4F72"/>
    <w:rsid w:val="005B5C0B"/>
    <w:rsid w:val="005B7A2E"/>
    <w:rsid w:val="005C2B06"/>
    <w:rsid w:val="005C2BFB"/>
    <w:rsid w:val="005C415E"/>
    <w:rsid w:val="005D3CC4"/>
    <w:rsid w:val="005D4F83"/>
    <w:rsid w:val="005D7DE6"/>
    <w:rsid w:val="005E539A"/>
    <w:rsid w:val="005E53C2"/>
    <w:rsid w:val="005E5425"/>
    <w:rsid w:val="005E5DB4"/>
    <w:rsid w:val="005F1967"/>
    <w:rsid w:val="005F3444"/>
    <w:rsid w:val="005F64DA"/>
    <w:rsid w:val="00600A5C"/>
    <w:rsid w:val="0060257F"/>
    <w:rsid w:val="00607001"/>
    <w:rsid w:val="006143FB"/>
    <w:rsid w:val="00614761"/>
    <w:rsid w:val="00614C11"/>
    <w:rsid w:val="0061514A"/>
    <w:rsid w:val="006172CE"/>
    <w:rsid w:val="006244D0"/>
    <w:rsid w:val="00627CFC"/>
    <w:rsid w:val="0063031F"/>
    <w:rsid w:val="006325AC"/>
    <w:rsid w:val="00637DA3"/>
    <w:rsid w:val="00637E8C"/>
    <w:rsid w:val="00644E70"/>
    <w:rsid w:val="006518AA"/>
    <w:rsid w:val="00652364"/>
    <w:rsid w:val="006567F5"/>
    <w:rsid w:val="00662BC0"/>
    <w:rsid w:val="00667DF8"/>
    <w:rsid w:val="00667E7F"/>
    <w:rsid w:val="00670159"/>
    <w:rsid w:val="006723A4"/>
    <w:rsid w:val="00676EA4"/>
    <w:rsid w:val="00680092"/>
    <w:rsid w:val="00680213"/>
    <w:rsid w:val="00683523"/>
    <w:rsid w:val="006836E8"/>
    <w:rsid w:val="00684919"/>
    <w:rsid w:val="00697F14"/>
    <w:rsid w:val="006A1A9B"/>
    <w:rsid w:val="006A38C5"/>
    <w:rsid w:val="006A7309"/>
    <w:rsid w:val="006B09CE"/>
    <w:rsid w:val="006B59C2"/>
    <w:rsid w:val="006B5FEA"/>
    <w:rsid w:val="006C133B"/>
    <w:rsid w:val="006C652B"/>
    <w:rsid w:val="006C6DC0"/>
    <w:rsid w:val="006D00A6"/>
    <w:rsid w:val="006D0C3B"/>
    <w:rsid w:val="006D3E57"/>
    <w:rsid w:val="006D581D"/>
    <w:rsid w:val="006D707E"/>
    <w:rsid w:val="006E6F29"/>
    <w:rsid w:val="006F310C"/>
    <w:rsid w:val="006F37D7"/>
    <w:rsid w:val="00702169"/>
    <w:rsid w:val="0070315F"/>
    <w:rsid w:val="00710E00"/>
    <w:rsid w:val="00711398"/>
    <w:rsid w:val="00711999"/>
    <w:rsid w:val="00713C4D"/>
    <w:rsid w:val="00722CE4"/>
    <w:rsid w:val="007255CB"/>
    <w:rsid w:val="007267AA"/>
    <w:rsid w:val="007336B3"/>
    <w:rsid w:val="00735EED"/>
    <w:rsid w:val="007378FE"/>
    <w:rsid w:val="0074037F"/>
    <w:rsid w:val="007433D5"/>
    <w:rsid w:val="007452D9"/>
    <w:rsid w:val="00752531"/>
    <w:rsid w:val="007528F9"/>
    <w:rsid w:val="00762D5D"/>
    <w:rsid w:val="007634D7"/>
    <w:rsid w:val="00766537"/>
    <w:rsid w:val="00766D2C"/>
    <w:rsid w:val="00770AF0"/>
    <w:rsid w:val="0077142B"/>
    <w:rsid w:val="007863EE"/>
    <w:rsid w:val="007876BD"/>
    <w:rsid w:val="00787C42"/>
    <w:rsid w:val="00792956"/>
    <w:rsid w:val="00792FA1"/>
    <w:rsid w:val="007935A8"/>
    <w:rsid w:val="007944FD"/>
    <w:rsid w:val="007960A7"/>
    <w:rsid w:val="007966A5"/>
    <w:rsid w:val="00797851"/>
    <w:rsid w:val="007979A8"/>
    <w:rsid w:val="007A106E"/>
    <w:rsid w:val="007A1164"/>
    <w:rsid w:val="007A633A"/>
    <w:rsid w:val="007A7636"/>
    <w:rsid w:val="007B01A1"/>
    <w:rsid w:val="007B1231"/>
    <w:rsid w:val="007B1D15"/>
    <w:rsid w:val="007B4609"/>
    <w:rsid w:val="007B7A98"/>
    <w:rsid w:val="007B7F55"/>
    <w:rsid w:val="007C1E58"/>
    <w:rsid w:val="007C6227"/>
    <w:rsid w:val="007C6335"/>
    <w:rsid w:val="007D1247"/>
    <w:rsid w:val="007D182A"/>
    <w:rsid w:val="007D1C46"/>
    <w:rsid w:val="007D263A"/>
    <w:rsid w:val="007D2BC9"/>
    <w:rsid w:val="007D38E6"/>
    <w:rsid w:val="007D5E78"/>
    <w:rsid w:val="007D7902"/>
    <w:rsid w:val="007E0ABB"/>
    <w:rsid w:val="007E2DBC"/>
    <w:rsid w:val="007E3968"/>
    <w:rsid w:val="007E4E57"/>
    <w:rsid w:val="007E78F4"/>
    <w:rsid w:val="007F3E23"/>
    <w:rsid w:val="007F6DAC"/>
    <w:rsid w:val="008007FD"/>
    <w:rsid w:val="0080281A"/>
    <w:rsid w:val="00803D9C"/>
    <w:rsid w:val="00807AEB"/>
    <w:rsid w:val="008125AD"/>
    <w:rsid w:val="008159CC"/>
    <w:rsid w:val="00815FAA"/>
    <w:rsid w:val="0081733B"/>
    <w:rsid w:val="00817574"/>
    <w:rsid w:val="00823FF3"/>
    <w:rsid w:val="008253CF"/>
    <w:rsid w:val="008364F1"/>
    <w:rsid w:val="0084267D"/>
    <w:rsid w:val="00843BC8"/>
    <w:rsid w:val="00845EA3"/>
    <w:rsid w:val="00846403"/>
    <w:rsid w:val="00846776"/>
    <w:rsid w:val="00847CFD"/>
    <w:rsid w:val="008523B3"/>
    <w:rsid w:val="00853329"/>
    <w:rsid w:val="008540AB"/>
    <w:rsid w:val="0085483D"/>
    <w:rsid w:val="0086026B"/>
    <w:rsid w:val="00860413"/>
    <w:rsid w:val="00865A71"/>
    <w:rsid w:val="00865AD6"/>
    <w:rsid w:val="00870336"/>
    <w:rsid w:val="00871438"/>
    <w:rsid w:val="008719F4"/>
    <w:rsid w:val="0087256C"/>
    <w:rsid w:val="00872CD8"/>
    <w:rsid w:val="00880632"/>
    <w:rsid w:val="0088071C"/>
    <w:rsid w:val="00882D63"/>
    <w:rsid w:val="008853F7"/>
    <w:rsid w:val="0088731C"/>
    <w:rsid w:val="0088736E"/>
    <w:rsid w:val="00890CC3"/>
    <w:rsid w:val="0089252D"/>
    <w:rsid w:val="00895787"/>
    <w:rsid w:val="00897FE3"/>
    <w:rsid w:val="008A1A4E"/>
    <w:rsid w:val="008A35C8"/>
    <w:rsid w:val="008A3A9B"/>
    <w:rsid w:val="008A4FAF"/>
    <w:rsid w:val="008A631B"/>
    <w:rsid w:val="008A7274"/>
    <w:rsid w:val="008B14C2"/>
    <w:rsid w:val="008B213F"/>
    <w:rsid w:val="008B2C3C"/>
    <w:rsid w:val="008B2E7F"/>
    <w:rsid w:val="008B3953"/>
    <w:rsid w:val="008B423B"/>
    <w:rsid w:val="008B4535"/>
    <w:rsid w:val="008B6B50"/>
    <w:rsid w:val="008C2F8E"/>
    <w:rsid w:val="008D04FA"/>
    <w:rsid w:val="008D171F"/>
    <w:rsid w:val="008D1B11"/>
    <w:rsid w:val="008D4E8B"/>
    <w:rsid w:val="008E0090"/>
    <w:rsid w:val="008E637A"/>
    <w:rsid w:val="008F2D3C"/>
    <w:rsid w:val="008F336E"/>
    <w:rsid w:val="008F3865"/>
    <w:rsid w:val="008F396D"/>
    <w:rsid w:val="008F4573"/>
    <w:rsid w:val="008F5A2F"/>
    <w:rsid w:val="008F67D7"/>
    <w:rsid w:val="008F7063"/>
    <w:rsid w:val="009019C1"/>
    <w:rsid w:val="00907844"/>
    <w:rsid w:val="00910EA1"/>
    <w:rsid w:val="00923A07"/>
    <w:rsid w:val="00924200"/>
    <w:rsid w:val="00924F8E"/>
    <w:rsid w:val="00925FB7"/>
    <w:rsid w:val="0093022A"/>
    <w:rsid w:val="00930F1D"/>
    <w:rsid w:val="009310CB"/>
    <w:rsid w:val="0093123E"/>
    <w:rsid w:val="00941634"/>
    <w:rsid w:val="00941FC3"/>
    <w:rsid w:val="00944094"/>
    <w:rsid w:val="009455D0"/>
    <w:rsid w:val="00945A50"/>
    <w:rsid w:val="00947869"/>
    <w:rsid w:val="009522BE"/>
    <w:rsid w:val="009544B8"/>
    <w:rsid w:val="00954E3A"/>
    <w:rsid w:val="00955D94"/>
    <w:rsid w:val="00956C3E"/>
    <w:rsid w:val="00957B21"/>
    <w:rsid w:val="009628E4"/>
    <w:rsid w:val="009637F1"/>
    <w:rsid w:val="00964E02"/>
    <w:rsid w:val="009658E6"/>
    <w:rsid w:val="009663CB"/>
    <w:rsid w:val="00970955"/>
    <w:rsid w:val="009714CF"/>
    <w:rsid w:val="00973763"/>
    <w:rsid w:val="00976A36"/>
    <w:rsid w:val="00977B1D"/>
    <w:rsid w:val="00981610"/>
    <w:rsid w:val="00981F47"/>
    <w:rsid w:val="00982FDB"/>
    <w:rsid w:val="009861D0"/>
    <w:rsid w:val="0098640B"/>
    <w:rsid w:val="00986427"/>
    <w:rsid w:val="00990B7B"/>
    <w:rsid w:val="0099303D"/>
    <w:rsid w:val="00994C95"/>
    <w:rsid w:val="00995A2A"/>
    <w:rsid w:val="00995FCD"/>
    <w:rsid w:val="00997776"/>
    <w:rsid w:val="00997FE9"/>
    <w:rsid w:val="009A0219"/>
    <w:rsid w:val="009A38B6"/>
    <w:rsid w:val="009A74EA"/>
    <w:rsid w:val="009A7E26"/>
    <w:rsid w:val="009B0339"/>
    <w:rsid w:val="009B2794"/>
    <w:rsid w:val="009B4EB5"/>
    <w:rsid w:val="009B593A"/>
    <w:rsid w:val="009C142F"/>
    <w:rsid w:val="009C2FC0"/>
    <w:rsid w:val="009C6DB7"/>
    <w:rsid w:val="009D0C51"/>
    <w:rsid w:val="009D5E86"/>
    <w:rsid w:val="009E143B"/>
    <w:rsid w:val="009E197B"/>
    <w:rsid w:val="009E1BA9"/>
    <w:rsid w:val="009E516D"/>
    <w:rsid w:val="009F1039"/>
    <w:rsid w:val="009F475E"/>
    <w:rsid w:val="009F5BAC"/>
    <w:rsid w:val="009F6F7D"/>
    <w:rsid w:val="00A000E2"/>
    <w:rsid w:val="00A02B8B"/>
    <w:rsid w:val="00A046E0"/>
    <w:rsid w:val="00A07154"/>
    <w:rsid w:val="00A16C6A"/>
    <w:rsid w:val="00A26FC0"/>
    <w:rsid w:val="00A30BB1"/>
    <w:rsid w:val="00A33468"/>
    <w:rsid w:val="00A350F8"/>
    <w:rsid w:val="00A365D3"/>
    <w:rsid w:val="00A36B49"/>
    <w:rsid w:val="00A37EE3"/>
    <w:rsid w:val="00A41667"/>
    <w:rsid w:val="00A43447"/>
    <w:rsid w:val="00A44525"/>
    <w:rsid w:val="00A46CF1"/>
    <w:rsid w:val="00A51DAC"/>
    <w:rsid w:val="00A51DE0"/>
    <w:rsid w:val="00A54721"/>
    <w:rsid w:val="00A63ACF"/>
    <w:rsid w:val="00A6585A"/>
    <w:rsid w:val="00A703E8"/>
    <w:rsid w:val="00A719A8"/>
    <w:rsid w:val="00A71C1F"/>
    <w:rsid w:val="00A73F78"/>
    <w:rsid w:val="00A83CA6"/>
    <w:rsid w:val="00A8555B"/>
    <w:rsid w:val="00A87762"/>
    <w:rsid w:val="00A87840"/>
    <w:rsid w:val="00A87D6D"/>
    <w:rsid w:val="00A904D1"/>
    <w:rsid w:val="00A94F48"/>
    <w:rsid w:val="00A97948"/>
    <w:rsid w:val="00AA1DDF"/>
    <w:rsid w:val="00AA4252"/>
    <w:rsid w:val="00AA52FE"/>
    <w:rsid w:val="00AA7336"/>
    <w:rsid w:val="00AB02B2"/>
    <w:rsid w:val="00AB1AA3"/>
    <w:rsid w:val="00AB1B0E"/>
    <w:rsid w:val="00AB21C3"/>
    <w:rsid w:val="00AB3E68"/>
    <w:rsid w:val="00AB52DB"/>
    <w:rsid w:val="00AC24E9"/>
    <w:rsid w:val="00AC29A1"/>
    <w:rsid w:val="00AD013F"/>
    <w:rsid w:val="00AD068C"/>
    <w:rsid w:val="00AD252B"/>
    <w:rsid w:val="00AD65A4"/>
    <w:rsid w:val="00AD7FE6"/>
    <w:rsid w:val="00AE1590"/>
    <w:rsid w:val="00AE16C3"/>
    <w:rsid w:val="00AE1B81"/>
    <w:rsid w:val="00AE1E5D"/>
    <w:rsid w:val="00AE26DB"/>
    <w:rsid w:val="00AE3E0A"/>
    <w:rsid w:val="00AE47A1"/>
    <w:rsid w:val="00AE614F"/>
    <w:rsid w:val="00AE7A59"/>
    <w:rsid w:val="00AF353E"/>
    <w:rsid w:val="00B04D5D"/>
    <w:rsid w:val="00B06FD5"/>
    <w:rsid w:val="00B100DF"/>
    <w:rsid w:val="00B102B3"/>
    <w:rsid w:val="00B11558"/>
    <w:rsid w:val="00B12E78"/>
    <w:rsid w:val="00B13004"/>
    <w:rsid w:val="00B147AB"/>
    <w:rsid w:val="00B1583C"/>
    <w:rsid w:val="00B158D9"/>
    <w:rsid w:val="00B1766E"/>
    <w:rsid w:val="00B17A82"/>
    <w:rsid w:val="00B206F1"/>
    <w:rsid w:val="00B24873"/>
    <w:rsid w:val="00B26E96"/>
    <w:rsid w:val="00B31FF6"/>
    <w:rsid w:val="00B35781"/>
    <w:rsid w:val="00B369AA"/>
    <w:rsid w:val="00B42C4A"/>
    <w:rsid w:val="00B511E5"/>
    <w:rsid w:val="00B5143C"/>
    <w:rsid w:val="00B526BB"/>
    <w:rsid w:val="00B5765F"/>
    <w:rsid w:val="00B60E18"/>
    <w:rsid w:val="00B61746"/>
    <w:rsid w:val="00B65172"/>
    <w:rsid w:val="00B73971"/>
    <w:rsid w:val="00B80911"/>
    <w:rsid w:val="00B843C3"/>
    <w:rsid w:val="00B90891"/>
    <w:rsid w:val="00B92E56"/>
    <w:rsid w:val="00BA1B09"/>
    <w:rsid w:val="00BA26B2"/>
    <w:rsid w:val="00BA2759"/>
    <w:rsid w:val="00BA3A07"/>
    <w:rsid w:val="00BA6E60"/>
    <w:rsid w:val="00BA7479"/>
    <w:rsid w:val="00BB10E2"/>
    <w:rsid w:val="00BB35BA"/>
    <w:rsid w:val="00BC1CE4"/>
    <w:rsid w:val="00BC1DC8"/>
    <w:rsid w:val="00BC3FEF"/>
    <w:rsid w:val="00BC4A23"/>
    <w:rsid w:val="00BC5BF9"/>
    <w:rsid w:val="00BC5E34"/>
    <w:rsid w:val="00BD0E62"/>
    <w:rsid w:val="00BD17D9"/>
    <w:rsid w:val="00BD6D34"/>
    <w:rsid w:val="00BE0B98"/>
    <w:rsid w:val="00BE24CD"/>
    <w:rsid w:val="00BE468E"/>
    <w:rsid w:val="00BE57A0"/>
    <w:rsid w:val="00BF03B8"/>
    <w:rsid w:val="00BF12D6"/>
    <w:rsid w:val="00BF1866"/>
    <w:rsid w:val="00BF252A"/>
    <w:rsid w:val="00BF2A65"/>
    <w:rsid w:val="00BF5180"/>
    <w:rsid w:val="00BF56AA"/>
    <w:rsid w:val="00C006FD"/>
    <w:rsid w:val="00C037C7"/>
    <w:rsid w:val="00C0479B"/>
    <w:rsid w:val="00C05AB8"/>
    <w:rsid w:val="00C072E6"/>
    <w:rsid w:val="00C07FEA"/>
    <w:rsid w:val="00C10514"/>
    <w:rsid w:val="00C10B99"/>
    <w:rsid w:val="00C12F63"/>
    <w:rsid w:val="00C14D7E"/>
    <w:rsid w:val="00C20B07"/>
    <w:rsid w:val="00C2474C"/>
    <w:rsid w:val="00C27BDC"/>
    <w:rsid w:val="00C412E3"/>
    <w:rsid w:val="00C41327"/>
    <w:rsid w:val="00C45B6A"/>
    <w:rsid w:val="00C46F24"/>
    <w:rsid w:val="00C51648"/>
    <w:rsid w:val="00C51710"/>
    <w:rsid w:val="00C54DB5"/>
    <w:rsid w:val="00C56324"/>
    <w:rsid w:val="00C602CE"/>
    <w:rsid w:val="00C6090D"/>
    <w:rsid w:val="00C61B62"/>
    <w:rsid w:val="00C628D4"/>
    <w:rsid w:val="00C70369"/>
    <w:rsid w:val="00C718D8"/>
    <w:rsid w:val="00C72B0A"/>
    <w:rsid w:val="00C73584"/>
    <w:rsid w:val="00C74720"/>
    <w:rsid w:val="00C7601A"/>
    <w:rsid w:val="00C77053"/>
    <w:rsid w:val="00C81F8A"/>
    <w:rsid w:val="00C848A5"/>
    <w:rsid w:val="00C875E6"/>
    <w:rsid w:val="00C87BA7"/>
    <w:rsid w:val="00C9022D"/>
    <w:rsid w:val="00C90A08"/>
    <w:rsid w:val="00C913B0"/>
    <w:rsid w:val="00C9265E"/>
    <w:rsid w:val="00C929A3"/>
    <w:rsid w:val="00C92BF9"/>
    <w:rsid w:val="00C956ED"/>
    <w:rsid w:val="00C96CB2"/>
    <w:rsid w:val="00CA48AF"/>
    <w:rsid w:val="00CB10FA"/>
    <w:rsid w:val="00CB6C33"/>
    <w:rsid w:val="00CC452C"/>
    <w:rsid w:val="00CD198A"/>
    <w:rsid w:val="00CD7505"/>
    <w:rsid w:val="00CE5933"/>
    <w:rsid w:val="00CE6386"/>
    <w:rsid w:val="00CE7582"/>
    <w:rsid w:val="00CF2BA7"/>
    <w:rsid w:val="00CF3009"/>
    <w:rsid w:val="00CF43B8"/>
    <w:rsid w:val="00CF46AD"/>
    <w:rsid w:val="00CF6A26"/>
    <w:rsid w:val="00D012B2"/>
    <w:rsid w:val="00D051C7"/>
    <w:rsid w:val="00D106E7"/>
    <w:rsid w:val="00D13794"/>
    <w:rsid w:val="00D22D36"/>
    <w:rsid w:val="00D23DC4"/>
    <w:rsid w:val="00D2411F"/>
    <w:rsid w:val="00D2566C"/>
    <w:rsid w:val="00D26105"/>
    <w:rsid w:val="00D31D97"/>
    <w:rsid w:val="00D34EA0"/>
    <w:rsid w:val="00D4191E"/>
    <w:rsid w:val="00D42F28"/>
    <w:rsid w:val="00D434DB"/>
    <w:rsid w:val="00D446FD"/>
    <w:rsid w:val="00D45325"/>
    <w:rsid w:val="00D475F4"/>
    <w:rsid w:val="00D50139"/>
    <w:rsid w:val="00D50A5C"/>
    <w:rsid w:val="00D515B6"/>
    <w:rsid w:val="00D51D99"/>
    <w:rsid w:val="00D56562"/>
    <w:rsid w:val="00D600E9"/>
    <w:rsid w:val="00D612B6"/>
    <w:rsid w:val="00D635F1"/>
    <w:rsid w:val="00D63865"/>
    <w:rsid w:val="00D66150"/>
    <w:rsid w:val="00D66DED"/>
    <w:rsid w:val="00D725B7"/>
    <w:rsid w:val="00D72AC8"/>
    <w:rsid w:val="00D74932"/>
    <w:rsid w:val="00D77E38"/>
    <w:rsid w:val="00D82150"/>
    <w:rsid w:val="00D86BDB"/>
    <w:rsid w:val="00D87C9C"/>
    <w:rsid w:val="00D94139"/>
    <w:rsid w:val="00D94A2B"/>
    <w:rsid w:val="00D956AD"/>
    <w:rsid w:val="00D96400"/>
    <w:rsid w:val="00D9745B"/>
    <w:rsid w:val="00DA18F2"/>
    <w:rsid w:val="00DA24F7"/>
    <w:rsid w:val="00DA7293"/>
    <w:rsid w:val="00DB0872"/>
    <w:rsid w:val="00DB22A3"/>
    <w:rsid w:val="00DB559E"/>
    <w:rsid w:val="00DB58C1"/>
    <w:rsid w:val="00DC2B64"/>
    <w:rsid w:val="00DC2D85"/>
    <w:rsid w:val="00DC38BB"/>
    <w:rsid w:val="00DC7BBF"/>
    <w:rsid w:val="00DD18FE"/>
    <w:rsid w:val="00DD447C"/>
    <w:rsid w:val="00DD54B5"/>
    <w:rsid w:val="00DD5711"/>
    <w:rsid w:val="00DD66BD"/>
    <w:rsid w:val="00DD7808"/>
    <w:rsid w:val="00DE04E8"/>
    <w:rsid w:val="00DE06B3"/>
    <w:rsid w:val="00DE46E0"/>
    <w:rsid w:val="00DF7152"/>
    <w:rsid w:val="00DF75A6"/>
    <w:rsid w:val="00E00273"/>
    <w:rsid w:val="00E01100"/>
    <w:rsid w:val="00E02146"/>
    <w:rsid w:val="00E07718"/>
    <w:rsid w:val="00E11D8B"/>
    <w:rsid w:val="00E129A6"/>
    <w:rsid w:val="00E13A22"/>
    <w:rsid w:val="00E179F7"/>
    <w:rsid w:val="00E2607F"/>
    <w:rsid w:val="00E34BD0"/>
    <w:rsid w:val="00E4301A"/>
    <w:rsid w:val="00E438D8"/>
    <w:rsid w:val="00E44205"/>
    <w:rsid w:val="00E519B1"/>
    <w:rsid w:val="00E52133"/>
    <w:rsid w:val="00E5316E"/>
    <w:rsid w:val="00E54D7C"/>
    <w:rsid w:val="00E56A10"/>
    <w:rsid w:val="00E56B17"/>
    <w:rsid w:val="00E57AAB"/>
    <w:rsid w:val="00E61FB3"/>
    <w:rsid w:val="00E63A38"/>
    <w:rsid w:val="00E64501"/>
    <w:rsid w:val="00E719CD"/>
    <w:rsid w:val="00E73063"/>
    <w:rsid w:val="00E74D7E"/>
    <w:rsid w:val="00E81636"/>
    <w:rsid w:val="00E83B38"/>
    <w:rsid w:val="00E83EA8"/>
    <w:rsid w:val="00E846FA"/>
    <w:rsid w:val="00E86E88"/>
    <w:rsid w:val="00E876EC"/>
    <w:rsid w:val="00E87753"/>
    <w:rsid w:val="00E9205A"/>
    <w:rsid w:val="00E922A2"/>
    <w:rsid w:val="00EA11CD"/>
    <w:rsid w:val="00EA2656"/>
    <w:rsid w:val="00EA34C8"/>
    <w:rsid w:val="00EA6938"/>
    <w:rsid w:val="00EB0328"/>
    <w:rsid w:val="00EB1166"/>
    <w:rsid w:val="00EB17D5"/>
    <w:rsid w:val="00EB2151"/>
    <w:rsid w:val="00EB27E7"/>
    <w:rsid w:val="00EC24A4"/>
    <w:rsid w:val="00EC40CD"/>
    <w:rsid w:val="00EC4F55"/>
    <w:rsid w:val="00ED3039"/>
    <w:rsid w:val="00ED452A"/>
    <w:rsid w:val="00ED5CAE"/>
    <w:rsid w:val="00ED730F"/>
    <w:rsid w:val="00EE1EC1"/>
    <w:rsid w:val="00EE24E5"/>
    <w:rsid w:val="00EE32CE"/>
    <w:rsid w:val="00EE4EA3"/>
    <w:rsid w:val="00EF2CAF"/>
    <w:rsid w:val="00EF3741"/>
    <w:rsid w:val="00EF5F1E"/>
    <w:rsid w:val="00EF67DC"/>
    <w:rsid w:val="00EF71ED"/>
    <w:rsid w:val="00EF7B42"/>
    <w:rsid w:val="00F03291"/>
    <w:rsid w:val="00F0484B"/>
    <w:rsid w:val="00F10387"/>
    <w:rsid w:val="00F10490"/>
    <w:rsid w:val="00F105B0"/>
    <w:rsid w:val="00F1074C"/>
    <w:rsid w:val="00F11865"/>
    <w:rsid w:val="00F118E2"/>
    <w:rsid w:val="00F12F20"/>
    <w:rsid w:val="00F13E25"/>
    <w:rsid w:val="00F16254"/>
    <w:rsid w:val="00F24BA9"/>
    <w:rsid w:val="00F3103C"/>
    <w:rsid w:val="00F3713E"/>
    <w:rsid w:val="00F4070C"/>
    <w:rsid w:val="00F412FC"/>
    <w:rsid w:val="00F41DD7"/>
    <w:rsid w:val="00F435EB"/>
    <w:rsid w:val="00F43650"/>
    <w:rsid w:val="00F45516"/>
    <w:rsid w:val="00F50280"/>
    <w:rsid w:val="00F541E9"/>
    <w:rsid w:val="00F55C2E"/>
    <w:rsid w:val="00F601F3"/>
    <w:rsid w:val="00F65416"/>
    <w:rsid w:val="00F65439"/>
    <w:rsid w:val="00F670FB"/>
    <w:rsid w:val="00F6763B"/>
    <w:rsid w:val="00F67713"/>
    <w:rsid w:val="00F75586"/>
    <w:rsid w:val="00F77C9D"/>
    <w:rsid w:val="00F77FC0"/>
    <w:rsid w:val="00F80B0C"/>
    <w:rsid w:val="00F834D3"/>
    <w:rsid w:val="00F915A4"/>
    <w:rsid w:val="00FA0C27"/>
    <w:rsid w:val="00FA6AFA"/>
    <w:rsid w:val="00FA7781"/>
    <w:rsid w:val="00FB41A1"/>
    <w:rsid w:val="00FB71CC"/>
    <w:rsid w:val="00FC1E8D"/>
    <w:rsid w:val="00FC2D6C"/>
    <w:rsid w:val="00FC34BB"/>
    <w:rsid w:val="00FC60CA"/>
    <w:rsid w:val="00FC76BA"/>
    <w:rsid w:val="00FD1950"/>
    <w:rsid w:val="00FD2EE6"/>
    <w:rsid w:val="00FD339D"/>
    <w:rsid w:val="00FD3833"/>
    <w:rsid w:val="00FD75FC"/>
    <w:rsid w:val="00FE03CB"/>
    <w:rsid w:val="00FE1DA4"/>
    <w:rsid w:val="00FE313A"/>
    <w:rsid w:val="00FE32BA"/>
    <w:rsid w:val="00FE6B46"/>
    <w:rsid w:val="00FE7EA4"/>
    <w:rsid w:val="00FF0F84"/>
    <w:rsid w:val="00FF30E1"/>
    <w:rsid w:val="00FF744E"/>
    <w:rsid w:val="00FF7472"/>
    <w:rsid w:val="00FF7768"/>
    <w:rsid w:val="00FF7981"/>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1D1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57F"/>
    <w:rPr>
      <w:rFonts w:ascii="Times New Roman" w:hAnsi="Times New Roman" w:cs="Times New Roman"/>
    </w:rPr>
  </w:style>
  <w:style w:type="paragraph" w:styleId="Heading1">
    <w:name w:val="heading 1"/>
    <w:basedOn w:val="Normal"/>
    <w:link w:val="Heading1Char"/>
    <w:uiPriority w:val="9"/>
    <w:qFormat/>
    <w:rsid w:val="006836E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D1A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256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865"/>
  </w:style>
  <w:style w:type="paragraph" w:styleId="Header">
    <w:name w:val="header"/>
    <w:basedOn w:val="Normal"/>
    <w:link w:val="HeaderChar"/>
    <w:uiPriority w:val="99"/>
    <w:unhideWhenUsed/>
    <w:rsid w:val="003D0050"/>
    <w:pPr>
      <w:tabs>
        <w:tab w:val="center" w:pos="4680"/>
        <w:tab w:val="right" w:pos="9360"/>
      </w:tabs>
    </w:pPr>
  </w:style>
  <w:style w:type="character" w:customStyle="1" w:styleId="HeaderChar">
    <w:name w:val="Header Char"/>
    <w:basedOn w:val="DefaultParagraphFont"/>
    <w:link w:val="Header"/>
    <w:uiPriority w:val="99"/>
    <w:rsid w:val="003D0050"/>
  </w:style>
  <w:style w:type="paragraph" w:styleId="Footer">
    <w:name w:val="footer"/>
    <w:basedOn w:val="Normal"/>
    <w:link w:val="FooterChar"/>
    <w:uiPriority w:val="99"/>
    <w:unhideWhenUsed/>
    <w:rsid w:val="003D0050"/>
    <w:pPr>
      <w:tabs>
        <w:tab w:val="center" w:pos="4680"/>
        <w:tab w:val="right" w:pos="9360"/>
      </w:tabs>
    </w:pPr>
  </w:style>
  <w:style w:type="character" w:customStyle="1" w:styleId="FooterChar">
    <w:name w:val="Footer Char"/>
    <w:basedOn w:val="DefaultParagraphFont"/>
    <w:link w:val="Footer"/>
    <w:uiPriority w:val="99"/>
    <w:rsid w:val="003D0050"/>
  </w:style>
  <w:style w:type="character" w:styleId="Hyperlink">
    <w:name w:val="Hyperlink"/>
    <w:basedOn w:val="DefaultParagraphFont"/>
    <w:uiPriority w:val="99"/>
    <w:unhideWhenUsed/>
    <w:rsid w:val="00AC24E9"/>
    <w:rPr>
      <w:color w:val="0563C1" w:themeColor="hyperlink"/>
      <w:u w:val="single"/>
    </w:rPr>
  </w:style>
  <w:style w:type="character" w:styleId="PageNumber">
    <w:name w:val="page number"/>
    <w:basedOn w:val="DefaultParagraphFont"/>
    <w:uiPriority w:val="99"/>
    <w:semiHidden/>
    <w:unhideWhenUsed/>
    <w:rsid w:val="008A35C8"/>
  </w:style>
  <w:style w:type="paragraph" w:styleId="FootnoteText">
    <w:name w:val="footnote text"/>
    <w:basedOn w:val="Normal"/>
    <w:link w:val="FootnoteTextChar"/>
    <w:uiPriority w:val="99"/>
    <w:unhideWhenUsed/>
    <w:rsid w:val="00B369AA"/>
  </w:style>
  <w:style w:type="character" w:customStyle="1" w:styleId="FootnoteTextChar">
    <w:name w:val="Footnote Text Char"/>
    <w:basedOn w:val="DefaultParagraphFont"/>
    <w:link w:val="FootnoteText"/>
    <w:uiPriority w:val="99"/>
    <w:rsid w:val="00B369AA"/>
  </w:style>
  <w:style w:type="character" w:styleId="FootnoteReference">
    <w:name w:val="footnote reference"/>
    <w:basedOn w:val="DefaultParagraphFont"/>
    <w:uiPriority w:val="99"/>
    <w:unhideWhenUsed/>
    <w:rsid w:val="00B369AA"/>
    <w:rPr>
      <w:vertAlign w:val="superscript"/>
    </w:rPr>
  </w:style>
  <w:style w:type="character" w:customStyle="1" w:styleId="li-author">
    <w:name w:val="li-author"/>
    <w:basedOn w:val="DefaultParagraphFont"/>
    <w:rsid w:val="00683523"/>
  </w:style>
  <w:style w:type="character" w:customStyle="1" w:styleId="li-publisher">
    <w:name w:val="li-publisher"/>
    <w:basedOn w:val="DefaultParagraphFont"/>
    <w:rsid w:val="00683523"/>
  </w:style>
  <w:style w:type="character" w:customStyle="1" w:styleId="librarian-tip">
    <w:name w:val="librarian-tip"/>
    <w:basedOn w:val="DefaultParagraphFont"/>
    <w:rsid w:val="00683523"/>
  </w:style>
  <w:style w:type="character" w:customStyle="1" w:styleId="icon">
    <w:name w:val="icon"/>
    <w:basedOn w:val="DefaultParagraphFont"/>
    <w:rsid w:val="00683523"/>
  </w:style>
  <w:style w:type="character" w:customStyle="1" w:styleId="Heading1Char">
    <w:name w:val="Heading 1 Char"/>
    <w:basedOn w:val="DefaultParagraphFont"/>
    <w:link w:val="Heading1"/>
    <w:uiPriority w:val="9"/>
    <w:rsid w:val="006836E8"/>
    <w:rPr>
      <w:rFonts w:ascii="Times New Roman" w:hAnsi="Times New Roman" w:cs="Times New Roman"/>
      <w:b/>
      <w:bCs/>
      <w:kern w:val="36"/>
      <w:sz w:val="48"/>
      <w:szCs w:val="48"/>
    </w:rPr>
  </w:style>
  <w:style w:type="character" w:customStyle="1" w:styleId="a-size-large">
    <w:name w:val="a-size-large"/>
    <w:basedOn w:val="DefaultParagraphFont"/>
    <w:rsid w:val="006836E8"/>
  </w:style>
  <w:style w:type="paragraph" w:styleId="ListParagraph">
    <w:name w:val="List Paragraph"/>
    <w:basedOn w:val="Normal"/>
    <w:uiPriority w:val="34"/>
    <w:qFormat/>
    <w:rsid w:val="00B12E78"/>
    <w:pPr>
      <w:ind w:left="720"/>
      <w:contextualSpacing/>
    </w:pPr>
  </w:style>
  <w:style w:type="character" w:styleId="FollowedHyperlink">
    <w:name w:val="FollowedHyperlink"/>
    <w:basedOn w:val="DefaultParagraphFont"/>
    <w:uiPriority w:val="99"/>
    <w:semiHidden/>
    <w:unhideWhenUsed/>
    <w:rsid w:val="007A106E"/>
    <w:rPr>
      <w:color w:val="954F72" w:themeColor="followedHyperlink"/>
      <w:u w:val="single"/>
    </w:rPr>
  </w:style>
  <w:style w:type="character" w:styleId="Emphasis">
    <w:name w:val="Emphasis"/>
    <w:basedOn w:val="DefaultParagraphFont"/>
    <w:uiPriority w:val="20"/>
    <w:qFormat/>
    <w:rsid w:val="00AB1B0E"/>
    <w:rPr>
      <w:i/>
      <w:iCs/>
    </w:rPr>
  </w:style>
  <w:style w:type="character" w:customStyle="1" w:styleId="Heading4Char">
    <w:name w:val="Heading 4 Char"/>
    <w:basedOn w:val="DefaultParagraphFont"/>
    <w:link w:val="Heading4"/>
    <w:uiPriority w:val="9"/>
    <w:semiHidden/>
    <w:rsid w:val="0052568E"/>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0D1A30"/>
    <w:rPr>
      <w:rFonts w:asciiTheme="majorHAnsi" w:eastAsiaTheme="majorEastAsia" w:hAnsiTheme="majorHAnsi" w:cstheme="majorBidi"/>
      <w:color w:val="2F5496" w:themeColor="accent1" w:themeShade="BF"/>
      <w:sz w:val="26"/>
      <w:szCs w:val="26"/>
    </w:rPr>
  </w:style>
  <w:style w:type="character" w:customStyle="1" w:styleId="i">
    <w:name w:val="i"/>
    <w:basedOn w:val="DefaultParagraphFont"/>
    <w:rsid w:val="00982FDB"/>
  </w:style>
  <w:style w:type="paragraph" w:styleId="EndnoteText">
    <w:name w:val="endnote text"/>
    <w:basedOn w:val="Normal"/>
    <w:link w:val="EndnoteTextChar"/>
    <w:uiPriority w:val="99"/>
    <w:unhideWhenUsed/>
    <w:rsid w:val="00B26E96"/>
  </w:style>
  <w:style w:type="character" w:customStyle="1" w:styleId="EndnoteTextChar">
    <w:name w:val="Endnote Text Char"/>
    <w:basedOn w:val="DefaultParagraphFont"/>
    <w:link w:val="EndnoteText"/>
    <w:uiPriority w:val="99"/>
    <w:rsid w:val="00B26E96"/>
    <w:rPr>
      <w:rFonts w:ascii="Times New Roman" w:hAnsi="Times New Roman" w:cs="Times New Roman"/>
    </w:rPr>
  </w:style>
  <w:style w:type="character" w:styleId="EndnoteReference">
    <w:name w:val="endnote reference"/>
    <w:basedOn w:val="DefaultParagraphFont"/>
    <w:uiPriority w:val="99"/>
    <w:unhideWhenUsed/>
    <w:rsid w:val="00B26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94">
      <w:bodyDiv w:val="1"/>
      <w:marLeft w:val="0"/>
      <w:marRight w:val="0"/>
      <w:marTop w:val="0"/>
      <w:marBottom w:val="0"/>
      <w:divBdr>
        <w:top w:val="none" w:sz="0" w:space="0" w:color="auto"/>
        <w:left w:val="none" w:sz="0" w:space="0" w:color="auto"/>
        <w:bottom w:val="none" w:sz="0" w:space="0" w:color="auto"/>
        <w:right w:val="none" w:sz="0" w:space="0" w:color="auto"/>
      </w:divBdr>
      <w:divsChild>
        <w:div w:id="291638685">
          <w:marLeft w:val="0"/>
          <w:marRight w:val="0"/>
          <w:marTop w:val="0"/>
          <w:marBottom w:val="0"/>
          <w:divBdr>
            <w:top w:val="none" w:sz="0" w:space="0" w:color="auto"/>
            <w:left w:val="none" w:sz="0" w:space="0" w:color="auto"/>
            <w:bottom w:val="none" w:sz="0" w:space="0" w:color="auto"/>
            <w:right w:val="none" w:sz="0" w:space="0" w:color="auto"/>
          </w:divBdr>
        </w:div>
        <w:div w:id="1259755369">
          <w:marLeft w:val="0"/>
          <w:marRight w:val="0"/>
          <w:marTop w:val="0"/>
          <w:marBottom w:val="0"/>
          <w:divBdr>
            <w:top w:val="none" w:sz="0" w:space="0" w:color="auto"/>
            <w:left w:val="none" w:sz="0" w:space="0" w:color="auto"/>
            <w:bottom w:val="none" w:sz="0" w:space="0" w:color="auto"/>
            <w:right w:val="none" w:sz="0" w:space="0" w:color="auto"/>
          </w:divBdr>
        </w:div>
        <w:div w:id="2040427303">
          <w:marLeft w:val="0"/>
          <w:marRight w:val="0"/>
          <w:marTop w:val="0"/>
          <w:marBottom w:val="0"/>
          <w:divBdr>
            <w:top w:val="none" w:sz="0" w:space="0" w:color="auto"/>
            <w:left w:val="none" w:sz="0" w:space="0" w:color="auto"/>
            <w:bottom w:val="none" w:sz="0" w:space="0" w:color="auto"/>
            <w:right w:val="none" w:sz="0" w:space="0" w:color="auto"/>
          </w:divBdr>
        </w:div>
        <w:div w:id="1414668457">
          <w:marLeft w:val="0"/>
          <w:marRight w:val="0"/>
          <w:marTop w:val="0"/>
          <w:marBottom w:val="0"/>
          <w:divBdr>
            <w:top w:val="none" w:sz="0" w:space="0" w:color="auto"/>
            <w:left w:val="none" w:sz="0" w:space="0" w:color="auto"/>
            <w:bottom w:val="none" w:sz="0" w:space="0" w:color="auto"/>
            <w:right w:val="none" w:sz="0" w:space="0" w:color="auto"/>
          </w:divBdr>
        </w:div>
        <w:div w:id="2068717768">
          <w:marLeft w:val="0"/>
          <w:marRight w:val="0"/>
          <w:marTop w:val="0"/>
          <w:marBottom w:val="0"/>
          <w:divBdr>
            <w:top w:val="none" w:sz="0" w:space="0" w:color="auto"/>
            <w:left w:val="none" w:sz="0" w:space="0" w:color="auto"/>
            <w:bottom w:val="none" w:sz="0" w:space="0" w:color="auto"/>
            <w:right w:val="none" w:sz="0" w:space="0" w:color="auto"/>
          </w:divBdr>
        </w:div>
        <w:div w:id="795100960">
          <w:marLeft w:val="0"/>
          <w:marRight w:val="0"/>
          <w:marTop w:val="0"/>
          <w:marBottom w:val="0"/>
          <w:divBdr>
            <w:top w:val="none" w:sz="0" w:space="0" w:color="auto"/>
            <w:left w:val="none" w:sz="0" w:space="0" w:color="auto"/>
            <w:bottom w:val="none" w:sz="0" w:space="0" w:color="auto"/>
            <w:right w:val="none" w:sz="0" w:space="0" w:color="auto"/>
          </w:divBdr>
        </w:div>
        <w:div w:id="701058755">
          <w:marLeft w:val="0"/>
          <w:marRight w:val="0"/>
          <w:marTop w:val="0"/>
          <w:marBottom w:val="0"/>
          <w:divBdr>
            <w:top w:val="none" w:sz="0" w:space="0" w:color="auto"/>
            <w:left w:val="none" w:sz="0" w:space="0" w:color="auto"/>
            <w:bottom w:val="none" w:sz="0" w:space="0" w:color="auto"/>
            <w:right w:val="none" w:sz="0" w:space="0" w:color="auto"/>
          </w:divBdr>
        </w:div>
        <w:div w:id="688484433">
          <w:marLeft w:val="0"/>
          <w:marRight w:val="0"/>
          <w:marTop w:val="0"/>
          <w:marBottom w:val="0"/>
          <w:divBdr>
            <w:top w:val="none" w:sz="0" w:space="0" w:color="auto"/>
            <w:left w:val="none" w:sz="0" w:space="0" w:color="auto"/>
            <w:bottom w:val="none" w:sz="0" w:space="0" w:color="auto"/>
            <w:right w:val="none" w:sz="0" w:space="0" w:color="auto"/>
          </w:divBdr>
        </w:div>
        <w:div w:id="2060128847">
          <w:marLeft w:val="0"/>
          <w:marRight w:val="0"/>
          <w:marTop w:val="0"/>
          <w:marBottom w:val="0"/>
          <w:divBdr>
            <w:top w:val="none" w:sz="0" w:space="0" w:color="auto"/>
            <w:left w:val="none" w:sz="0" w:space="0" w:color="auto"/>
            <w:bottom w:val="none" w:sz="0" w:space="0" w:color="auto"/>
            <w:right w:val="none" w:sz="0" w:space="0" w:color="auto"/>
          </w:divBdr>
        </w:div>
        <w:div w:id="1730155353">
          <w:marLeft w:val="0"/>
          <w:marRight w:val="0"/>
          <w:marTop w:val="0"/>
          <w:marBottom w:val="0"/>
          <w:divBdr>
            <w:top w:val="none" w:sz="0" w:space="0" w:color="auto"/>
            <w:left w:val="none" w:sz="0" w:space="0" w:color="auto"/>
            <w:bottom w:val="none" w:sz="0" w:space="0" w:color="auto"/>
            <w:right w:val="none" w:sz="0" w:space="0" w:color="auto"/>
          </w:divBdr>
        </w:div>
        <w:div w:id="1105348778">
          <w:marLeft w:val="0"/>
          <w:marRight w:val="0"/>
          <w:marTop w:val="0"/>
          <w:marBottom w:val="0"/>
          <w:divBdr>
            <w:top w:val="none" w:sz="0" w:space="0" w:color="auto"/>
            <w:left w:val="none" w:sz="0" w:space="0" w:color="auto"/>
            <w:bottom w:val="none" w:sz="0" w:space="0" w:color="auto"/>
            <w:right w:val="none" w:sz="0" w:space="0" w:color="auto"/>
          </w:divBdr>
        </w:div>
        <w:div w:id="1228225256">
          <w:marLeft w:val="0"/>
          <w:marRight w:val="0"/>
          <w:marTop w:val="0"/>
          <w:marBottom w:val="0"/>
          <w:divBdr>
            <w:top w:val="none" w:sz="0" w:space="0" w:color="auto"/>
            <w:left w:val="none" w:sz="0" w:space="0" w:color="auto"/>
            <w:bottom w:val="none" w:sz="0" w:space="0" w:color="auto"/>
            <w:right w:val="none" w:sz="0" w:space="0" w:color="auto"/>
          </w:divBdr>
        </w:div>
        <w:div w:id="31927963">
          <w:marLeft w:val="0"/>
          <w:marRight w:val="0"/>
          <w:marTop w:val="0"/>
          <w:marBottom w:val="0"/>
          <w:divBdr>
            <w:top w:val="none" w:sz="0" w:space="0" w:color="auto"/>
            <w:left w:val="none" w:sz="0" w:space="0" w:color="auto"/>
            <w:bottom w:val="none" w:sz="0" w:space="0" w:color="auto"/>
            <w:right w:val="none" w:sz="0" w:space="0" w:color="auto"/>
          </w:divBdr>
        </w:div>
        <w:div w:id="2069188132">
          <w:marLeft w:val="0"/>
          <w:marRight w:val="0"/>
          <w:marTop w:val="0"/>
          <w:marBottom w:val="0"/>
          <w:divBdr>
            <w:top w:val="none" w:sz="0" w:space="0" w:color="auto"/>
            <w:left w:val="none" w:sz="0" w:space="0" w:color="auto"/>
            <w:bottom w:val="none" w:sz="0" w:space="0" w:color="auto"/>
            <w:right w:val="none" w:sz="0" w:space="0" w:color="auto"/>
          </w:divBdr>
        </w:div>
        <w:div w:id="1289045106">
          <w:marLeft w:val="0"/>
          <w:marRight w:val="0"/>
          <w:marTop w:val="0"/>
          <w:marBottom w:val="0"/>
          <w:divBdr>
            <w:top w:val="none" w:sz="0" w:space="0" w:color="auto"/>
            <w:left w:val="none" w:sz="0" w:space="0" w:color="auto"/>
            <w:bottom w:val="none" w:sz="0" w:space="0" w:color="auto"/>
            <w:right w:val="none" w:sz="0" w:space="0" w:color="auto"/>
          </w:divBdr>
        </w:div>
        <w:div w:id="1815023394">
          <w:marLeft w:val="0"/>
          <w:marRight w:val="0"/>
          <w:marTop w:val="0"/>
          <w:marBottom w:val="0"/>
          <w:divBdr>
            <w:top w:val="none" w:sz="0" w:space="0" w:color="auto"/>
            <w:left w:val="none" w:sz="0" w:space="0" w:color="auto"/>
            <w:bottom w:val="none" w:sz="0" w:space="0" w:color="auto"/>
            <w:right w:val="none" w:sz="0" w:space="0" w:color="auto"/>
          </w:divBdr>
        </w:div>
        <w:div w:id="657854188">
          <w:marLeft w:val="0"/>
          <w:marRight w:val="0"/>
          <w:marTop w:val="0"/>
          <w:marBottom w:val="0"/>
          <w:divBdr>
            <w:top w:val="none" w:sz="0" w:space="0" w:color="auto"/>
            <w:left w:val="none" w:sz="0" w:space="0" w:color="auto"/>
            <w:bottom w:val="none" w:sz="0" w:space="0" w:color="auto"/>
            <w:right w:val="none" w:sz="0" w:space="0" w:color="auto"/>
          </w:divBdr>
        </w:div>
      </w:divsChild>
    </w:div>
    <w:div w:id="20129215">
      <w:bodyDiv w:val="1"/>
      <w:marLeft w:val="0"/>
      <w:marRight w:val="0"/>
      <w:marTop w:val="0"/>
      <w:marBottom w:val="0"/>
      <w:divBdr>
        <w:top w:val="none" w:sz="0" w:space="0" w:color="auto"/>
        <w:left w:val="none" w:sz="0" w:space="0" w:color="auto"/>
        <w:bottom w:val="none" w:sz="0" w:space="0" w:color="auto"/>
        <w:right w:val="none" w:sz="0" w:space="0" w:color="auto"/>
      </w:divBdr>
    </w:div>
    <w:div w:id="47343735">
      <w:bodyDiv w:val="1"/>
      <w:marLeft w:val="0"/>
      <w:marRight w:val="0"/>
      <w:marTop w:val="0"/>
      <w:marBottom w:val="0"/>
      <w:divBdr>
        <w:top w:val="none" w:sz="0" w:space="0" w:color="auto"/>
        <w:left w:val="none" w:sz="0" w:space="0" w:color="auto"/>
        <w:bottom w:val="none" w:sz="0" w:space="0" w:color="auto"/>
        <w:right w:val="none" w:sz="0" w:space="0" w:color="auto"/>
      </w:divBdr>
    </w:div>
    <w:div w:id="66349144">
      <w:bodyDiv w:val="1"/>
      <w:marLeft w:val="0"/>
      <w:marRight w:val="0"/>
      <w:marTop w:val="0"/>
      <w:marBottom w:val="0"/>
      <w:divBdr>
        <w:top w:val="none" w:sz="0" w:space="0" w:color="auto"/>
        <w:left w:val="none" w:sz="0" w:space="0" w:color="auto"/>
        <w:bottom w:val="none" w:sz="0" w:space="0" w:color="auto"/>
        <w:right w:val="none" w:sz="0" w:space="0" w:color="auto"/>
      </w:divBdr>
    </w:div>
    <w:div w:id="71630986">
      <w:bodyDiv w:val="1"/>
      <w:marLeft w:val="0"/>
      <w:marRight w:val="0"/>
      <w:marTop w:val="0"/>
      <w:marBottom w:val="0"/>
      <w:divBdr>
        <w:top w:val="none" w:sz="0" w:space="0" w:color="auto"/>
        <w:left w:val="none" w:sz="0" w:space="0" w:color="auto"/>
        <w:bottom w:val="none" w:sz="0" w:space="0" w:color="auto"/>
        <w:right w:val="none" w:sz="0" w:space="0" w:color="auto"/>
      </w:divBdr>
      <w:divsChild>
        <w:div w:id="354618578">
          <w:marLeft w:val="240"/>
          <w:marRight w:val="0"/>
          <w:marTop w:val="60"/>
          <w:marBottom w:val="60"/>
          <w:divBdr>
            <w:top w:val="none" w:sz="0" w:space="0" w:color="auto"/>
            <w:left w:val="none" w:sz="0" w:space="0" w:color="auto"/>
            <w:bottom w:val="none" w:sz="0" w:space="0" w:color="auto"/>
            <w:right w:val="none" w:sz="0" w:space="0" w:color="auto"/>
          </w:divBdr>
          <w:divsChild>
            <w:div w:id="880021256">
              <w:marLeft w:val="240"/>
              <w:marRight w:val="0"/>
              <w:marTop w:val="60"/>
              <w:marBottom w:val="60"/>
              <w:divBdr>
                <w:top w:val="none" w:sz="0" w:space="0" w:color="auto"/>
                <w:left w:val="none" w:sz="0" w:space="0" w:color="auto"/>
                <w:bottom w:val="none" w:sz="0" w:space="0" w:color="auto"/>
                <w:right w:val="none" w:sz="0" w:space="0" w:color="auto"/>
              </w:divBdr>
              <w:divsChild>
                <w:div w:id="720178031">
                  <w:marLeft w:val="0"/>
                  <w:marRight w:val="0"/>
                  <w:marTop w:val="0"/>
                  <w:marBottom w:val="0"/>
                  <w:divBdr>
                    <w:top w:val="none" w:sz="0" w:space="0" w:color="auto"/>
                    <w:left w:val="none" w:sz="0" w:space="0" w:color="auto"/>
                    <w:bottom w:val="none" w:sz="0" w:space="0" w:color="auto"/>
                    <w:right w:val="none" w:sz="0" w:space="0" w:color="auto"/>
                  </w:divBdr>
                </w:div>
              </w:divsChild>
            </w:div>
            <w:div w:id="1129395639">
              <w:marLeft w:val="240"/>
              <w:marRight w:val="0"/>
              <w:marTop w:val="60"/>
              <w:marBottom w:val="60"/>
              <w:divBdr>
                <w:top w:val="none" w:sz="0" w:space="0" w:color="auto"/>
                <w:left w:val="none" w:sz="0" w:space="0" w:color="auto"/>
                <w:bottom w:val="none" w:sz="0" w:space="0" w:color="auto"/>
                <w:right w:val="none" w:sz="0" w:space="0" w:color="auto"/>
              </w:divBdr>
              <w:divsChild>
                <w:div w:id="522861233">
                  <w:marLeft w:val="0"/>
                  <w:marRight w:val="0"/>
                  <w:marTop w:val="0"/>
                  <w:marBottom w:val="0"/>
                  <w:divBdr>
                    <w:top w:val="none" w:sz="0" w:space="0" w:color="auto"/>
                    <w:left w:val="none" w:sz="0" w:space="0" w:color="auto"/>
                    <w:bottom w:val="none" w:sz="0" w:space="0" w:color="auto"/>
                    <w:right w:val="none" w:sz="0" w:space="0" w:color="auto"/>
                  </w:divBdr>
                </w:div>
              </w:divsChild>
            </w:div>
            <w:div w:id="677316779">
              <w:marLeft w:val="240"/>
              <w:marRight w:val="0"/>
              <w:marTop w:val="60"/>
              <w:marBottom w:val="60"/>
              <w:divBdr>
                <w:top w:val="none" w:sz="0" w:space="0" w:color="auto"/>
                <w:left w:val="none" w:sz="0" w:space="0" w:color="auto"/>
                <w:bottom w:val="none" w:sz="0" w:space="0" w:color="auto"/>
                <w:right w:val="none" w:sz="0" w:space="0" w:color="auto"/>
              </w:divBdr>
              <w:divsChild>
                <w:div w:id="1068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9078">
          <w:marLeft w:val="240"/>
          <w:marRight w:val="0"/>
          <w:marTop w:val="60"/>
          <w:marBottom w:val="60"/>
          <w:divBdr>
            <w:top w:val="none" w:sz="0" w:space="0" w:color="auto"/>
            <w:left w:val="none" w:sz="0" w:space="0" w:color="auto"/>
            <w:bottom w:val="none" w:sz="0" w:space="0" w:color="auto"/>
            <w:right w:val="none" w:sz="0" w:space="0" w:color="auto"/>
          </w:divBdr>
          <w:divsChild>
            <w:div w:id="324865070">
              <w:marLeft w:val="240"/>
              <w:marRight w:val="0"/>
              <w:marTop w:val="60"/>
              <w:marBottom w:val="60"/>
              <w:divBdr>
                <w:top w:val="none" w:sz="0" w:space="0" w:color="auto"/>
                <w:left w:val="none" w:sz="0" w:space="0" w:color="auto"/>
                <w:bottom w:val="none" w:sz="0" w:space="0" w:color="auto"/>
                <w:right w:val="none" w:sz="0" w:space="0" w:color="auto"/>
              </w:divBdr>
              <w:divsChild>
                <w:div w:id="1418594528">
                  <w:marLeft w:val="0"/>
                  <w:marRight w:val="0"/>
                  <w:marTop w:val="0"/>
                  <w:marBottom w:val="0"/>
                  <w:divBdr>
                    <w:top w:val="none" w:sz="0" w:space="0" w:color="auto"/>
                    <w:left w:val="none" w:sz="0" w:space="0" w:color="auto"/>
                    <w:bottom w:val="none" w:sz="0" w:space="0" w:color="auto"/>
                    <w:right w:val="none" w:sz="0" w:space="0" w:color="auto"/>
                  </w:divBdr>
                </w:div>
              </w:divsChild>
            </w:div>
            <w:div w:id="1025399552">
              <w:marLeft w:val="240"/>
              <w:marRight w:val="0"/>
              <w:marTop w:val="60"/>
              <w:marBottom w:val="60"/>
              <w:divBdr>
                <w:top w:val="none" w:sz="0" w:space="0" w:color="auto"/>
                <w:left w:val="none" w:sz="0" w:space="0" w:color="auto"/>
                <w:bottom w:val="none" w:sz="0" w:space="0" w:color="auto"/>
                <w:right w:val="none" w:sz="0" w:space="0" w:color="auto"/>
              </w:divBdr>
              <w:divsChild>
                <w:div w:id="1152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6616">
          <w:marLeft w:val="240"/>
          <w:marRight w:val="0"/>
          <w:marTop w:val="60"/>
          <w:marBottom w:val="60"/>
          <w:divBdr>
            <w:top w:val="none" w:sz="0" w:space="0" w:color="auto"/>
            <w:left w:val="none" w:sz="0" w:space="0" w:color="auto"/>
            <w:bottom w:val="none" w:sz="0" w:space="0" w:color="auto"/>
            <w:right w:val="none" w:sz="0" w:space="0" w:color="auto"/>
          </w:divBdr>
          <w:divsChild>
            <w:div w:id="1380127087">
              <w:marLeft w:val="240"/>
              <w:marRight w:val="0"/>
              <w:marTop w:val="60"/>
              <w:marBottom w:val="60"/>
              <w:divBdr>
                <w:top w:val="none" w:sz="0" w:space="0" w:color="auto"/>
                <w:left w:val="none" w:sz="0" w:space="0" w:color="auto"/>
                <w:bottom w:val="none" w:sz="0" w:space="0" w:color="auto"/>
                <w:right w:val="none" w:sz="0" w:space="0" w:color="auto"/>
              </w:divBdr>
              <w:divsChild>
                <w:div w:id="2145925356">
                  <w:marLeft w:val="0"/>
                  <w:marRight w:val="0"/>
                  <w:marTop w:val="0"/>
                  <w:marBottom w:val="0"/>
                  <w:divBdr>
                    <w:top w:val="none" w:sz="0" w:space="0" w:color="auto"/>
                    <w:left w:val="none" w:sz="0" w:space="0" w:color="auto"/>
                    <w:bottom w:val="none" w:sz="0" w:space="0" w:color="auto"/>
                    <w:right w:val="none" w:sz="0" w:space="0" w:color="auto"/>
                  </w:divBdr>
                </w:div>
              </w:divsChild>
            </w:div>
            <w:div w:id="1796753266">
              <w:marLeft w:val="240"/>
              <w:marRight w:val="0"/>
              <w:marTop w:val="60"/>
              <w:marBottom w:val="60"/>
              <w:divBdr>
                <w:top w:val="none" w:sz="0" w:space="0" w:color="auto"/>
                <w:left w:val="none" w:sz="0" w:space="0" w:color="auto"/>
                <w:bottom w:val="none" w:sz="0" w:space="0" w:color="auto"/>
                <w:right w:val="none" w:sz="0" w:space="0" w:color="auto"/>
              </w:divBdr>
              <w:divsChild>
                <w:div w:id="1562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045">
          <w:marLeft w:val="240"/>
          <w:marRight w:val="0"/>
          <w:marTop w:val="60"/>
          <w:marBottom w:val="60"/>
          <w:divBdr>
            <w:top w:val="none" w:sz="0" w:space="0" w:color="auto"/>
            <w:left w:val="none" w:sz="0" w:space="0" w:color="auto"/>
            <w:bottom w:val="none" w:sz="0" w:space="0" w:color="auto"/>
            <w:right w:val="none" w:sz="0" w:space="0" w:color="auto"/>
          </w:divBdr>
          <w:divsChild>
            <w:div w:id="2104105562">
              <w:marLeft w:val="240"/>
              <w:marRight w:val="0"/>
              <w:marTop w:val="60"/>
              <w:marBottom w:val="60"/>
              <w:divBdr>
                <w:top w:val="none" w:sz="0" w:space="0" w:color="auto"/>
                <w:left w:val="none" w:sz="0" w:space="0" w:color="auto"/>
                <w:bottom w:val="none" w:sz="0" w:space="0" w:color="auto"/>
                <w:right w:val="none" w:sz="0" w:space="0" w:color="auto"/>
              </w:divBdr>
              <w:divsChild>
                <w:div w:id="1186482905">
                  <w:marLeft w:val="0"/>
                  <w:marRight w:val="0"/>
                  <w:marTop w:val="0"/>
                  <w:marBottom w:val="0"/>
                  <w:divBdr>
                    <w:top w:val="none" w:sz="0" w:space="0" w:color="auto"/>
                    <w:left w:val="none" w:sz="0" w:space="0" w:color="auto"/>
                    <w:bottom w:val="none" w:sz="0" w:space="0" w:color="auto"/>
                    <w:right w:val="none" w:sz="0" w:space="0" w:color="auto"/>
                  </w:divBdr>
                </w:div>
              </w:divsChild>
            </w:div>
            <w:div w:id="654839893">
              <w:marLeft w:val="240"/>
              <w:marRight w:val="0"/>
              <w:marTop w:val="60"/>
              <w:marBottom w:val="60"/>
              <w:divBdr>
                <w:top w:val="none" w:sz="0" w:space="0" w:color="auto"/>
                <w:left w:val="none" w:sz="0" w:space="0" w:color="auto"/>
                <w:bottom w:val="none" w:sz="0" w:space="0" w:color="auto"/>
                <w:right w:val="none" w:sz="0" w:space="0" w:color="auto"/>
              </w:divBdr>
              <w:divsChild>
                <w:div w:id="1954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223">
      <w:bodyDiv w:val="1"/>
      <w:marLeft w:val="0"/>
      <w:marRight w:val="0"/>
      <w:marTop w:val="0"/>
      <w:marBottom w:val="0"/>
      <w:divBdr>
        <w:top w:val="none" w:sz="0" w:space="0" w:color="auto"/>
        <w:left w:val="none" w:sz="0" w:space="0" w:color="auto"/>
        <w:bottom w:val="none" w:sz="0" w:space="0" w:color="auto"/>
        <w:right w:val="none" w:sz="0" w:space="0" w:color="auto"/>
      </w:divBdr>
    </w:div>
    <w:div w:id="80956777">
      <w:bodyDiv w:val="1"/>
      <w:marLeft w:val="0"/>
      <w:marRight w:val="0"/>
      <w:marTop w:val="0"/>
      <w:marBottom w:val="0"/>
      <w:divBdr>
        <w:top w:val="none" w:sz="0" w:space="0" w:color="auto"/>
        <w:left w:val="none" w:sz="0" w:space="0" w:color="auto"/>
        <w:bottom w:val="none" w:sz="0" w:space="0" w:color="auto"/>
        <w:right w:val="none" w:sz="0" w:space="0" w:color="auto"/>
      </w:divBdr>
    </w:div>
    <w:div w:id="114446473">
      <w:bodyDiv w:val="1"/>
      <w:marLeft w:val="0"/>
      <w:marRight w:val="0"/>
      <w:marTop w:val="0"/>
      <w:marBottom w:val="0"/>
      <w:divBdr>
        <w:top w:val="none" w:sz="0" w:space="0" w:color="auto"/>
        <w:left w:val="none" w:sz="0" w:space="0" w:color="auto"/>
        <w:bottom w:val="none" w:sz="0" w:space="0" w:color="auto"/>
        <w:right w:val="none" w:sz="0" w:space="0" w:color="auto"/>
      </w:divBdr>
    </w:div>
    <w:div w:id="222835147">
      <w:bodyDiv w:val="1"/>
      <w:marLeft w:val="0"/>
      <w:marRight w:val="0"/>
      <w:marTop w:val="0"/>
      <w:marBottom w:val="0"/>
      <w:divBdr>
        <w:top w:val="none" w:sz="0" w:space="0" w:color="auto"/>
        <w:left w:val="none" w:sz="0" w:space="0" w:color="auto"/>
        <w:bottom w:val="none" w:sz="0" w:space="0" w:color="auto"/>
        <w:right w:val="none" w:sz="0" w:space="0" w:color="auto"/>
      </w:divBdr>
    </w:div>
    <w:div w:id="226381002">
      <w:bodyDiv w:val="1"/>
      <w:marLeft w:val="0"/>
      <w:marRight w:val="0"/>
      <w:marTop w:val="0"/>
      <w:marBottom w:val="0"/>
      <w:divBdr>
        <w:top w:val="none" w:sz="0" w:space="0" w:color="auto"/>
        <w:left w:val="none" w:sz="0" w:space="0" w:color="auto"/>
        <w:bottom w:val="none" w:sz="0" w:space="0" w:color="auto"/>
        <w:right w:val="none" w:sz="0" w:space="0" w:color="auto"/>
      </w:divBdr>
    </w:div>
    <w:div w:id="227226750">
      <w:bodyDiv w:val="1"/>
      <w:marLeft w:val="0"/>
      <w:marRight w:val="0"/>
      <w:marTop w:val="0"/>
      <w:marBottom w:val="0"/>
      <w:divBdr>
        <w:top w:val="none" w:sz="0" w:space="0" w:color="auto"/>
        <w:left w:val="none" w:sz="0" w:space="0" w:color="auto"/>
        <w:bottom w:val="none" w:sz="0" w:space="0" w:color="auto"/>
        <w:right w:val="none" w:sz="0" w:space="0" w:color="auto"/>
      </w:divBdr>
    </w:div>
    <w:div w:id="236289829">
      <w:bodyDiv w:val="1"/>
      <w:marLeft w:val="0"/>
      <w:marRight w:val="0"/>
      <w:marTop w:val="0"/>
      <w:marBottom w:val="0"/>
      <w:divBdr>
        <w:top w:val="none" w:sz="0" w:space="0" w:color="auto"/>
        <w:left w:val="none" w:sz="0" w:space="0" w:color="auto"/>
        <w:bottom w:val="none" w:sz="0" w:space="0" w:color="auto"/>
        <w:right w:val="none" w:sz="0" w:space="0" w:color="auto"/>
      </w:divBdr>
    </w:div>
    <w:div w:id="258952786">
      <w:bodyDiv w:val="1"/>
      <w:marLeft w:val="0"/>
      <w:marRight w:val="0"/>
      <w:marTop w:val="0"/>
      <w:marBottom w:val="0"/>
      <w:divBdr>
        <w:top w:val="none" w:sz="0" w:space="0" w:color="auto"/>
        <w:left w:val="none" w:sz="0" w:space="0" w:color="auto"/>
        <w:bottom w:val="none" w:sz="0" w:space="0" w:color="auto"/>
        <w:right w:val="none" w:sz="0" w:space="0" w:color="auto"/>
      </w:divBdr>
    </w:div>
    <w:div w:id="288054956">
      <w:bodyDiv w:val="1"/>
      <w:marLeft w:val="0"/>
      <w:marRight w:val="0"/>
      <w:marTop w:val="0"/>
      <w:marBottom w:val="0"/>
      <w:divBdr>
        <w:top w:val="none" w:sz="0" w:space="0" w:color="auto"/>
        <w:left w:val="none" w:sz="0" w:space="0" w:color="auto"/>
        <w:bottom w:val="none" w:sz="0" w:space="0" w:color="auto"/>
        <w:right w:val="none" w:sz="0" w:space="0" w:color="auto"/>
      </w:divBdr>
    </w:div>
    <w:div w:id="296953027">
      <w:bodyDiv w:val="1"/>
      <w:marLeft w:val="0"/>
      <w:marRight w:val="0"/>
      <w:marTop w:val="0"/>
      <w:marBottom w:val="0"/>
      <w:divBdr>
        <w:top w:val="none" w:sz="0" w:space="0" w:color="auto"/>
        <w:left w:val="none" w:sz="0" w:space="0" w:color="auto"/>
        <w:bottom w:val="none" w:sz="0" w:space="0" w:color="auto"/>
        <w:right w:val="none" w:sz="0" w:space="0" w:color="auto"/>
      </w:divBdr>
    </w:div>
    <w:div w:id="325285303">
      <w:bodyDiv w:val="1"/>
      <w:marLeft w:val="0"/>
      <w:marRight w:val="0"/>
      <w:marTop w:val="0"/>
      <w:marBottom w:val="0"/>
      <w:divBdr>
        <w:top w:val="none" w:sz="0" w:space="0" w:color="auto"/>
        <w:left w:val="none" w:sz="0" w:space="0" w:color="auto"/>
        <w:bottom w:val="none" w:sz="0" w:space="0" w:color="auto"/>
        <w:right w:val="none" w:sz="0" w:space="0" w:color="auto"/>
      </w:divBdr>
    </w:div>
    <w:div w:id="332220090">
      <w:bodyDiv w:val="1"/>
      <w:marLeft w:val="0"/>
      <w:marRight w:val="0"/>
      <w:marTop w:val="0"/>
      <w:marBottom w:val="0"/>
      <w:divBdr>
        <w:top w:val="none" w:sz="0" w:space="0" w:color="auto"/>
        <w:left w:val="none" w:sz="0" w:space="0" w:color="auto"/>
        <w:bottom w:val="none" w:sz="0" w:space="0" w:color="auto"/>
        <w:right w:val="none" w:sz="0" w:space="0" w:color="auto"/>
      </w:divBdr>
    </w:div>
    <w:div w:id="369763784">
      <w:bodyDiv w:val="1"/>
      <w:marLeft w:val="0"/>
      <w:marRight w:val="0"/>
      <w:marTop w:val="0"/>
      <w:marBottom w:val="0"/>
      <w:divBdr>
        <w:top w:val="none" w:sz="0" w:space="0" w:color="auto"/>
        <w:left w:val="none" w:sz="0" w:space="0" w:color="auto"/>
        <w:bottom w:val="none" w:sz="0" w:space="0" w:color="auto"/>
        <w:right w:val="none" w:sz="0" w:space="0" w:color="auto"/>
      </w:divBdr>
    </w:div>
    <w:div w:id="372194520">
      <w:bodyDiv w:val="1"/>
      <w:marLeft w:val="0"/>
      <w:marRight w:val="0"/>
      <w:marTop w:val="0"/>
      <w:marBottom w:val="0"/>
      <w:divBdr>
        <w:top w:val="none" w:sz="0" w:space="0" w:color="auto"/>
        <w:left w:val="none" w:sz="0" w:space="0" w:color="auto"/>
        <w:bottom w:val="none" w:sz="0" w:space="0" w:color="auto"/>
        <w:right w:val="none" w:sz="0" w:space="0" w:color="auto"/>
      </w:divBdr>
    </w:div>
    <w:div w:id="404494703">
      <w:bodyDiv w:val="1"/>
      <w:marLeft w:val="0"/>
      <w:marRight w:val="0"/>
      <w:marTop w:val="0"/>
      <w:marBottom w:val="0"/>
      <w:divBdr>
        <w:top w:val="none" w:sz="0" w:space="0" w:color="auto"/>
        <w:left w:val="none" w:sz="0" w:space="0" w:color="auto"/>
        <w:bottom w:val="none" w:sz="0" w:space="0" w:color="auto"/>
        <w:right w:val="none" w:sz="0" w:space="0" w:color="auto"/>
      </w:divBdr>
    </w:div>
    <w:div w:id="407503348">
      <w:bodyDiv w:val="1"/>
      <w:marLeft w:val="0"/>
      <w:marRight w:val="0"/>
      <w:marTop w:val="0"/>
      <w:marBottom w:val="0"/>
      <w:divBdr>
        <w:top w:val="none" w:sz="0" w:space="0" w:color="auto"/>
        <w:left w:val="none" w:sz="0" w:space="0" w:color="auto"/>
        <w:bottom w:val="none" w:sz="0" w:space="0" w:color="auto"/>
        <w:right w:val="none" w:sz="0" w:space="0" w:color="auto"/>
      </w:divBdr>
    </w:div>
    <w:div w:id="407576576">
      <w:bodyDiv w:val="1"/>
      <w:marLeft w:val="0"/>
      <w:marRight w:val="0"/>
      <w:marTop w:val="0"/>
      <w:marBottom w:val="0"/>
      <w:divBdr>
        <w:top w:val="none" w:sz="0" w:space="0" w:color="auto"/>
        <w:left w:val="none" w:sz="0" w:space="0" w:color="auto"/>
        <w:bottom w:val="none" w:sz="0" w:space="0" w:color="auto"/>
        <w:right w:val="none" w:sz="0" w:space="0" w:color="auto"/>
      </w:divBdr>
    </w:div>
    <w:div w:id="426581370">
      <w:bodyDiv w:val="1"/>
      <w:marLeft w:val="0"/>
      <w:marRight w:val="0"/>
      <w:marTop w:val="0"/>
      <w:marBottom w:val="0"/>
      <w:divBdr>
        <w:top w:val="none" w:sz="0" w:space="0" w:color="auto"/>
        <w:left w:val="none" w:sz="0" w:space="0" w:color="auto"/>
        <w:bottom w:val="none" w:sz="0" w:space="0" w:color="auto"/>
        <w:right w:val="none" w:sz="0" w:space="0" w:color="auto"/>
      </w:divBdr>
    </w:div>
    <w:div w:id="433791356">
      <w:bodyDiv w:val="1"/>
      <w:marLeft w:val="0"/>
      <w:marRight w:val="0"/>
      <w:marTop w:val="0"/>
      <w:marBottom w:val="0"/>
      <w:divBdr>
        <w:top w:val="none" w:sz="0" w:space="0" w:color="auto"/>
        <w:left w:val="none" w:sz="0" w:space="0" w:color="auto"/>
        <w:bottom w:val="none" w:sz="0" w:space="0" w:color="auto"/>
        <w:right w:val="none" w:sz="0" w:space="0" w:color="auto"/>
      </w:divBdr>
    </w:div>
    <w:div w:id="436339735">
      <w:bodyDiv w:val="1"/>
      <w:marLeft w:val="0"/>
      <w:marRight w:val="0"/>
      <w:marTop w:val="0"/>
      <w:marBottom w:val="0"/>
      <w:divBdr>
        <w:top w:val="none" w:sz="0" w:space="0" w:color="auto"/>
        <w:left w:val="none" w:sz="0" w:space="0" w:color="auto"/>
        <w:bottom w:val="none" w:sz="0" w:space="0" w:color="auto"/>
        <w:right w:val="none" w:sz="0" w:space="0" w:color="auto"/>
      </w:divBdr>
      <w:divsChild>
        <w:div w:id="1585142450">
          <w:marLeft w:val="240"/>
          <w:marRight w:val="0"/>
          <w:marTop w:val="60"/>
          <w:marBottom w:val="60"/>
          <w:divBdr>
            <w:top w:val="none" w:sz="0" w:space="0" w:color="auto"/>
            <w:left w:val="none" w:sz="0" w:space="0" w:color="auto"/>
            <w:bottom w:val="none" w:sz="0" w:space="0" w:color="auto"/>
            <w:right w:val="none" w:sz="0" w:space="0" w:color="auto"/>
          </w:divBdr>
          <w:divsChild>
            <w:div w:id="860506559">
              <w:marLeft w:val="240"/>
              <w:marRight w:val="0"/>
              <w:marTop w:val="60"/>
              <w:marBottom w:val="60"/>
              <w:divBdr>
                <w:top w:val="none" w:sz="0" w:space="0" w:color="auto"/>
                <w:left w:val="none" w:sz="0" w:space="0" w:color="auto"/>
                <w:bottom w:val="none" w:sz="0" w:space="0" w:color="auto"/>
                <w:right w:val="none" w:sz="0" w:space="0" w:color="auto"/>
              </w:divBdr>
              <w:divsChild>
                <w:div w:id="551891646">
                  <w:marLeft w:val="0"/>
                  <w:marRight w:val="0"/>
                  <w:marTop w:val="0"/>
                  <w:marBottom w:val="0"/>
                  <w:divBdr>
                    <w:top w:val="none" w:sz="0" w:space="0" w:color="auto"/>
                    <w:left w:val="none" w:sz="0" w:space="0" w:color="auto"/>
                    <w:bottom w:val="none" w:sz="0" w:space="0" w:color="auto"/>
                    <w:right w:val="none" w:sz="0" w:space="0" w:color="auto"/>
                  </w:divBdr>
                </w:div>
              </w:divsChild>
            </w:div>
            <w:div w:id="1229808887">
              <w:marLeft w:val="240"/>
              <w:marRight w:val="0"/>
              <w:marTop w:val="60"/>
              <w:marBottom w:val="60"/>
              <w:divBdr>
                <w:top w:val="none" w:sz="0" w:space="0" w:color="auto"/>
                <w:left w:val="none" w:sz="0" w:space="0" w:color="auto"/>
                <w:bottom w:val="none" w:sz="0" w:space="0" w:color="auto"/>
                <w:right w:val="none" w:sz="0" w:space="0" w:color="auto"/>
              </w:divBdr>
              <w:divsChild>
                <w:div w:id="874121348">
                  <w:marLeft w:val="0"/>
                  <w:marRight w:val="0"/>
                  <w:marTop w:val="0"/>
                  <w:marBottom w:val="0"/>
                  <w:divBdr>
                    <w:top w:val="none" w:sz="0" w:space="0" w:color="auto"/>
                    <w:left w:val="none" w:sz="0" w:space="0" w:color="auto"/>
                    <w:bottom w:val="none" w:sz="0" w:space="0" w:color="auto"/>
                    <w:right w:val="none" w:sz="0" w:space="0" w:color="auto"/>
                  </w:divBdr>
                </w:div>
              </w:divsChild>
            </w:div>
            <w:div w:id="1262301263">
              <w:marLeft w:val="240"/>
              <w:marRight w:val="0"/>
              <w:marTop w:val="60"/>
              <w:marBottom w:val="60"/>
              <w:divBdr>
                <w:top w:val="none" w:sz="0" w:space="0" w:color="auto"/>
                <w:left w:val="none" w:sz="0" w:space="0" w:color="auto"/>
                <w:bottom w:val="none" w:sz="0" w:space="0" w:color="auto"/>
                <w:right w:val="none" w:sz="0" w:space="0" w:color="auto"/>
              </w:divBdr>
              <w:divsChild>
                <w:div w:id="163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9872">
          <w:marLeft w:val="240"/>
          <w:marRight w:val="0"/>
          <w:marTop w:val="60"/>
          <w:marBottom w:val="60"/>
          <w:divBdr>
            <w:top w:val="none" w:sz="0" w:space="0" w:color="auto"/>
            <w:left w:val="none" w:sz="0" w:space="0" w:color="auto"/>
            <w:bottom w:val="none" w:sz="0" w:space="0" w:color="auto"/>
            <w:right w:val="none" w:sz="0" w:space="0" w:color="auto"/>
          </w:divBdr>
          <w:divsChild>
            <w:div w:id="874461673">
              <w:marLeft w:val="240"/>
              <w:marRight w:val="0"/>
              <w:marTop w:val="60"/>
              <w:marBottom w:val="60"/>
              <w:divBdr>
                <w:top w:val="none" w:sz="0" w:space="0" w:color="auto"/>
                <w:left w:val="none" w:sz="0" w:space="0" w:color="auto"/>
                <w:bottom w:val="none" w:sz="0" w:space="0" w:color="auto"/>
                <w:right w:val="none" w:sz="0" w:space="0" w:color="auto"/>
              </w:divBdr>
              <w:divsChild>
                <w:div w:id="31660348">
                  <w:marLeft w:val="0"/>
                  <w:marRight w:val="0"/>
                  <w:marTop w:val="0"/>
                  <w:marBottom w:val="0"/>
                  <w:divBdr>
                    <w:top w:val="none" w:sz="0" w:space="0" w:color="auto"/>
                    <w:left w:val="none" w:sz="0" w:space="0" w:color="auto"/>
                    <w:bottom w:val="none" w:sz="0" w:space="0" w:color="auto"/>
                    <w:right w:val="none" w:sz="0" w:space="0" w:color="auto"/>
                  </w:divBdr>
                </w:div>
              </w:divsChild>
            </w:div>
            <w:div w:id="469518659">
              <w:marLeft w:val="240"/>
              <w:marRight w:val="0"/>
              <w:marTop w:val="60"/>
              <w:marBottom w:val="60"/>
              <w:divBdr>
                <w:top w:val="none" w:sz="0" w:space="0" w:color="auto"/>
                <w:left w:val="none" w:sz="0" w:space="0" w:color="auto"/>
                <w:bottom w:val="none" w:sz="0" w:space="0" w:color="auto"/>
                <w:right w:val="none" w:sz="0" w:space="0" w:color="auto"/>
              </w:divBdr>
              <w:divsChild>
                <w:div w:id="1086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7616">
          <w:marLeft w:val="240"/>
          <w:marRight w:val="0"/>
          <w:marTop w:val="60"/>
          <w:marBottom w:val="60"/>
          <w:divBdr>
            <w:top w:val="none" w:sz="0" w:space="0" w:color="auto"/>
            <w:left w:val="none" w:sz="0" w:space="0" w:color="auto"/>
            <w:bottom w:val="none" w:sz="0" w:space="0" w:color="auto"/>
            <w:right w:val="none" w:sz="0" w:space="0" w:color="auto"/>
          </w:divBdr>
          <w:divsChild>
            <w:div w:id="116721417">
              <w:marLeft w:val="240"/>
              <w:marRight w:val="0"/>
              <w:marTop w:val="60"/>
              <w:marBottom w:val="60"/>
              <w:divBdr>
                <w:top w:val="none" w:sz="0" w:space="0" w:color="auto"/>
                <w:left w:val="none" w:sz="0" w:space="0" w:color="auto"/>
                <w:bottom w:val="none" w:sz="0" w:space="0" w:color="auto"/>
                <w:right w:val="none" w:sz="0" w:space="0" w:color="auto"/>
              </w:divBdr>
              <w:divsChild>
                <w:div w:id="1591625326">
                  <w:marLeft w:val="0"/>
                  <w:marRight w:val="0"/>
                  <w:marTop w:val="0"/>
                  <w:marBottom w:val="0"/>
                  <w:divBdr>
                    <w:top w:val="none" w:sz="0" w:space="0" w:color="auto"/>
                    <w:left w:val="none" w:sz="0" w:space="0" w:color="auto"/>
                    <w:bottom w:val="none" w:sz="0" w:space="0" w:color="auto"/>
                    <w:right w:val="none" w:sz="0" w:space="0" w:color="auto"/>
                  </w:divBdr>
                </w:div>
              </w:divsChild>
            </w:div>
            <w:div w:id="1721705785">
              <w:marLeft w:val="240"/>
              <w:marRight w:val="0"/>
              <w:marTop w:val="60"/>
              <w:marBottom w:val="60"/>
              <w:divBdr>
                <w:top w:val="none" w:sz="0" w:space="0" w:color="auto"/>
                <w:left w:val="none" w:sz="0" w:space="0" w:color="auto"/>
                <w:bottom w:val="none" w:sz="0" w:space="0" w:color="auto"/>
                <w:right w:val="none" w:sz="0" w:space="0" w:color="auto"/>
              </w:divBdr>
              <w:divsChild>
                <w:div w:id="2138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6637">
          <w:marLeft w:val="240"/>
          <w:marRight w:val="0"/>
          <w:marTop w:val="60"/>
          <w:marBottom w:val="60"/>
          <w:divBdr>
            <w:top w:val="none" w:sz="0" w:space="0" w:color="auto"/>
            <w:left w:val="none" w:sz="0" w:space="0" w:color="auto"/>
            <w:bottom w:val="none" w:sz="0" w:space="0" w:color="auto"/>
            <w:right w:val="none" w:sz="0" w:space="0" w:color="auto"/>
          </w:divBdr>
          <w:divsChild>
            <w:div w:id="1177574725">
              <w:marLeft w:val="240"/>
              <w:marRight w:val="0"/>
              <w:marTop w:val="60"/>
              <w:marBottom w:val="60"/>
              <w:divBdr>
                <w:top w:val="none" w:sz="0" w:space="0" w:color="auto"/>
                <w:left w:val="none" w:sz="0" w:space="0" w:color="auto"/>
                <w:bottom w:val="none" w:sz="0" w:space="0" w:color="auto"/>
                <w:right w:val="none" w:sz="0" w:space="0" w:color="auto"/>
              </w:divBdr>
              <w:divsChild>
                <w:div w:id="1339578549">
                  <w:marLeft w:val="0"/>
                  <w:marRight w:val="0"/>
                  <w:marTop w:val="0"/>
                  <w:marBottom w:val="0"/>
                  <w:divBdr>
                    <w:top w:val="none" w:sz="0" w:space="0" w:color="auto"/>
                    <w:left w:val="none" w:sz="0" w:space="0" w:color="auto"/>
                    <w:bottom w:val="none" w:sz="0" w:space="0" w:color="auto"/>
                    <w:right w:val="none" w:sz="0" w:space="0" w:color="auto"/>
                  </w:divBdr>
                </w:div>
              </w:divsChild>
            </w:div>
            <w:div w:id="1177886884">
              <w:marLeft w:val="240"/>
              <w:marRight w:val="0"/>
              <w:marTop w:val="60"/>
              <w:marBottom w:val="60"/>
              <w:divBdr>
                <w:top w:val="none" w:sz="0" w:space="0" w:color="auto"/>
                <w:left w:val="none" w:sz="0" w:space="0" w:color="auto"/>
                <w:bottom w:val="none" w:sz="0" w:space="0" w:color="auto"/>
                <w:right w:val="none" w:sz="0" w:space="0" w:color="auto"/>
              </w:divBdr>
              <w:divsChild>
                <w:div w:id="1255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76483">
      <w:bodyDiv w:val="1"/>
      <w:marLeft w:val="0"/>
      <w:marRight w:val="0"/>
      <w:marTop w:val="0"/>
      <w:marBottom w:val="0"/>
      <w:divBdr>
        <w:top w:val="none" w:sz="0" w:space="0" w:color="auto"/>
        <w:left w:val="none" w:sz="0" w:space="0" w:color="auto"/>
        <w:bottom w:val="none" w:sz="0" w:space="0" w:color="auto"/>
        <w:right w:val="none" w:sz="0" w:space="0" w:color="auto"/>
      </w:divBdr>
      <w:divsChild>
        <w:div w:id="606038688">
          <w:marLeft w:val="0"/>
          <w:marRight w:val="0"/>
          <w:marTop w:val="0"/>
          <w:marBottom w:val="195"/>
          <w:divBdr>
            <w:top w:val="none" w:sz="0" w:space="0" w:color="auto"/>
            <w:left w:val="none" w:sz="0" w:space="0" w:color="auto"/>
            <w:bottom w:val="none" w:sz="0" w:space="0" w:color="auto"/>
            <w:right w:val="none" w:sz="0" w:space="0" w:color="auto"/>
          </w:divBdr>
        </w:div>
      </w:divsChild>
    </w:div>
    <w:div w:id="492987312">
      <w:bodyDiv w:val="1"/>
      <w:marLeft w:val="0"/>
      <w:marRight w:val="0"/>
      <w:marTop w:val="0"/>
      <w:marBottom w:val="0"/>
      <w:divBdr>
        <w:top w:val="none" w:sz="0" w:space="0" w:color="auto"/>
        <w:left w:val="none" w:sz="0" w:space="0" w:color="auto"/>
        <w:bottom w:val="none" w:sz="0" w:space="0" w:color="auto"/>
        <w:right w:val="none" w:sz="0" w:space="0" w:color="auto"/>
      </w:divBdr>
    </w:div>
    <w:div w:id="538326200">
      <w:bodyDiv w:val="1"/>
      <w:marLeft w:val="0"/>
      <w:marRight w:val="0"/>
      <w:marTop w:val="0"/>
      <w:marBottom w:val="0"/>
      <w:divBdr>
        <w:top w:val="none" w:sz="0" w:space="0" w:color="auto"/>
        <w:left w:val="none" w:sz="0" w:space="0" w:color="auto"/>
        <w:bottom w:val="none" w:sz="0" w:space="0" w:color="auto"/>
        <w:right w:val="none" w:sz="0" w:space="0" w:color="auto"/>
      </w:divBdr>
    </w:div>
    <w:div w:id="549682879">
      <w:bodyDiv w:val="1"/>
      <w:marLeft w:val="0"/>
      <w:marRight w:val="0"/>
      <w:marTop w:val="0"/>
      <w:marBottom w:val="0"/>
      <w:divBdr>
        <w:top w:val="none" w:sz="0" w:space="0" w:color="auto"/>
        <w:left w:val="none" w:sz="0" w:space="0" w:color="auto"/>
        <w:bottom w:val="none" w:sz="0" w:space="0" w:color="auto"/>
        <w:right w:val="none" w:sz="0" w:space="0" w:color="auto"/>
      </w:divBdr>
    </w:div>
    <w:div w:id="574170666">
      <w:bodyDiv w:val="1"/>
      <w:marLeft w:val="0"/>
      <w:marRight w:val="0"/>
      <w:marTop w:val="0"/>
      <w:marBottom w:val="0"/>
      <w:divBdr>
        <w:top w:val="none" w:sz="0" w:space="0" w:color="auto"/>
        <w:left w:val="none" w:sz="0" w:space="0" w:color="auto"/>
        <w:bottom w:val="none" w:sz="0" w:space="0" w:color="auto"/>
        <w:right w:val="none" w:sz="0" w:space="0" w:color="auto"/>
      </w:divBdr>
    </w:div>
    <w:div w:id="590041855">
      <w:bodyDiv w:val="1"/>
      <w:marLeft w:val="0"/>
      <w:marRight w:val="0"/>
      <w:marTop w:val="0"/>
      <w:marBottom w:val="0"/>
      <w:divBdr>
        <w:top w:val="none" w:sz="0" w:space="0" w:color="auto"/>
        <w:left w:val="none" w:sz="0" w:space="0" w:color="auto"/>
        <w:bottom w:val="none" w:sz="0" w:space="0" w:color="auto"/>
        <w:right w:val="none" w:sz="0" w:space="0" w:color="auto"/>
      </w:divBdr>
      <w:divsChild>
        <w:div w:id="1545363534">
          <w:marLeft w:val="0"/>
          <w:marRight w:val="0"/>
          <w:marTop w:val="0"/>
          <w:marBottom w:val="150"/>
          <w:divBdr>
            <w:top w:val="none" w:sz="0" w:space="0" w:color="auto"/>
            <w:left w:val="none" w:sz="0" w:space="0" w:color="auto"/>
            <w:bottom w:val="none" w:sz="0" w:space="0" w:color="auto"/>
            <w:right w:val="none" w:sz="0" w:space="0" w:color="auto"/>
          </w:divBdr>
          <w:divsChild>
            <w:div w:id="20682172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598876944">
      <w:bodyDiv w:val="1"/>
      <w:marLeft w:val="0"/>
      <w:marRight w:val="0"/>
      <w:marTop w:val="0"/>
      <w:marBottom w:val="0"/>
      <w:divBdr>
        <w:top w:val="none" w:sz="0" w:space="0" w:color="auto"/>
        <w:left w:val="none" w:sz="0" w:space="0" w:color="auto"/>
        <w:bottom w:val="none" w:sz="0" w:space="0" w:color="auto"/>
        <w:right w:val="none" w:sz="0" w:space="0" w:color="auto"/>
      </w:divBdr>
    </w:div>
    <w:div w:id="615991876">
      <w:bodyDiv w:val="1"/>
      <w:marLeft w:val="0"/>
      <w:marRight w:val="0"/>
      <w:marTop w:val="0"/>
      <w:marBottom w:val="0"/>
      <w:divBdr>
        <w:top w:val="none" w:sz="0" w:space="0" w:color="auto"/>
        <w:left w:val="none" w:sz="0" w:space="0" w:color="auto"/>
        <w:bottom w:val="none" w:sz="0" w:space="0" w:color="auto"/>
        <w:right w:val="none" w:sz="0" w:space="0" w:color="auto"/>
      </w:divBdr>
    </w:div>
    <w:div w:id="627667308">
      <w:bodyDiv w:val="1"/>
      <w:marLeft w:val="0"/>
      <w:marRight w:val="0"/>
      <w:marTop w:val="0"/>
      <w:marBottom w:val="0"/>
      <w:divBdr>
        <w:top w:val="none" w:sz="0" w:space="0" w:color="auto"/>
        <w:left w:val="none" w:sz="0" w:space="0" w:color="auto"/>
        <w:bottom w:val="none" w:sz="0" w:space="0" w:color="auto"/>
        <w:right w:val="none" w:sz="0" w:space="0" w:color="auto"/>
      </w:divBdr>
      <w:divsChild>
        <w:div w:id="341006250">
          <w:marLeft w:val="0"/>
          <w:marRight w:val="0"/>
          <w:marTop w:val="150"/>
          <w:marBottom w:val="0"/>
          <w:divBdr>
            <w:top w:val="none" w:sz="0" w:space="0" w:color="auto"/>
            <w:left w:val="none" w:sz="0" w:space="0" w:color="auto"/>
            <w:bottom w:val="none" w:sz="0" w:space="0" w:color="auto"/>
            <w:right w:val="none" w:sz="0" w:space="0" w:color="auto"/>
          </w:divBdr>
        </w:div>
      </w:divsChild>
    </w:div>
    <w:div w:id="640236679">
      <w:bodyDiv w:val="1"/>
      <w:marLeft w:val="0"/>
      <w:marRight w:val="0"/>
      <w:marTop w:val="0"/>
      <w:marBottom w:val="0"/>
      <w:divBdr>
        <w:top w:val="none" w:sz="0" w:space="0" w:color="auto"/>
        <w:left w:val="none" w:sz="0" w:space="0" w:color="auto"/>
        <w:bottom w:val="none" w:sz="0" w:space="0" w:color="auto"/>
        <w:right w:val="none" w:sz="0" w:space="0" w:color="auto"/>
      </w:divBdr>
    </w:div>
    <w:div w:id="643513380">
      <w:bodyDiv w:val="1"/>
      <w:marLeft w:val="0"/>
      <w:marRight w:val="0"/>
      <w:marTop w:val="0"/>
      <w:marBottom w:val="0"/>
      <w:divBdr>
        <w:top w:val="none" w:sz="0" w:space="0" w:color="auto"/>
        <w:left w:val="none" w:sz="0" w:space="0" w:color="auto"/>
        <w:bottom w:val="none" w:sz="0" w:space="0" w:color="auto"/>
        <w:right w:val="none" w:sz="0" w:space="0" w:color="auto"/>
      </w:divBdr>
    </w:div>
    <w:div w:id="649209359">
      <w:bodyDiv w:val="1"/>
      <w:marLeft w:val="0"/>
      <w:marRight w:val="0"/>
      <w:marTop w:val="0"/>
      <w:marBottom w:val="0"/>
      <w:divBdr>
        <w:top w:val="none" w:sz="0" w:space="0" w:color="auto"/>
        <w:left w:val="none" w:sz="0" w:space="0" w:color="auto"/>
        <w:bottom w:val="none" w:sz="0" w:space="0" w:color="auto"/>
        <w:right w:val="none" w:sz="0" w:space="0" w:color="auto"/>
      </w:divBdr>
    </w:div>
    <w:div w:id="667026351">
      <w:bodyDiv w:val="1"/>
      <w:marLeft w:val="0"/>
      <w:marRight w:val="0"/>
      <w:marTop w:val="0"/>
      <w:marBottom w:val="0"/>
      <w:divBdr>
        <w:top w:val="none" w:sz="0" w:space="0" w:color="auto"/>
        <w:left w:val="none" w:sz="0" w:space="0" w:color="auto"/>
        <w:bottom w:val="none" w:sz="0" w:space="0" w:color="auto"/>
        <w:right w:val="none" w:sz="0" w:space="0" w:color="auto"/>
      </w:divBdr>
    </w:div>
    <w:div w:id="714037824">
      <w:bodyDiv w:val="1"/>
      <w:marLeft w:val="0"/>
      <w:marRight w:val="0"/>
      <w:marTop w:val="0"/>
      <w:marBottom w:val="0"/>
      <w:divBdr>
        <w:top w:val="none" w:sz="0" w:space="0" w:color="auto"/>
        <w:left w:val="none" w:sz="0" w:space="0" w:color="auto"/>
        <w:bottom w:val="none" w:sz="0" w:space="0" w:color="auto"/>
        <w:right w:val="none" w:sz="0" w:space="0" w:color="auto"/>
      </w:divBdr>
    </w:div>
    <w:div w:id="729427120">
      <w:bodyDiv w:val="1"/>
      <w:marLeft w:val="0"/>
      <w:marRight w:val="0"/>
      <w:marTop w:val="0"/>
      <w:marBottom w:val="0"/>
      <w:divBdr>
        <w:top w:val="none" w:sz="0" w:space="0" w:color="auto"/>
        <w:left w:val="none" w:sz="0" w:space="0" w:color="auto"/>
        <w:bottom w:val="none" w:sz="0" w:space="0" w:color="auto"/>
        <w:right w:val="none" w:sz="0" w:space="0" w:color="auto"/>
      </w:divBdr>
    </w:div>
    <w:div w:id="761418582">
      <w:bodyDiv w:val="1"/>
      <w:marLeft w:val="0"/>
      <w:marRight w:val="0"/>
      <w:marTop w:val="0"/>
      <w:marBottom w:val="0"/>
      <w:divBdr>
        <w:top w:val="none" w:sz="0" w:space="0" w:color="auto"/>
        <w:left w:val="none" w:sz="0" w:space="0" w:color="auto"/>
        <w:bottom w:val="none" w:sz="0" w:space="0" w:color="auto"/>
        <w:right w:val="none" w:sz="0" w:space="0" w:color="auto"/>
      </w:divBdr>
    </w:div>
    <w:div w:id="805858404">
      <w:bodyDiv w:val="1"/>
      <w:marLeft w:val="0"/>
      <w:marRight w:val="0"/>
      <w:marTop w:val="0"/>
      <w:marBottom w:val="0"/>
      <w:divBdr>
        <w:top w:val="none" w:sz="0" w:space="0" w:color="auto"/>
        <w:left w:val="none" w:sz="0" w:space="0" w:color="auto"/>
        <w:bottom w:val="none" w:sz="0" w:space="0" w:color="auto"/>
        <w:right w:val="none" w:sz="0" w:space="0" w:color="auto"/>
      </w:divBdr>
    </w:div>
    <w:div w:id="819075021">
      <w:bodyDiv w:val="1"/>
      <w:marLeft w:val="0"/>
      <w:marRight w:val="0"/>
      <w:marTop w:val="0"/>
      <w:marBottom w:val="0"/>
      <w:divBdr>
        <w:top w:val="none" w:sz="0" w:space="0" w:color="auto"/>
        <w:left w:val="none" w:sz="0" w:space="0" w:color="auto"/>
        <w:bottom w:val="none" w:sz="0" w:space="0" w:color="auto"/>
        <w:right w:val="none" w:sz="0" w:space="0" w:color="auto"/>
      </w:divBdr>
    </w:div>
    <w:div w:id="822891234">
      <w:bodyDiv w:val="1"/>
      <w:marLeft w:val="0"/>
      <w:marRight w:val="0"/>
      <w:marTop w:val="0"/>
      <w:marBottom w:val="0"/>
      <w:divBdr>
        <w:top w:val="none" w:sz="0" w:space="0" w:color="auto"/>
        <w:left w:val="none" w:sz="0" w:space="0" w:color="auto"/>
        <w:bottom w:val="none" w:sz="0" w:space="0" w:color="auto"/>
        <w:right w:val="none" w:sz="0" w:space="0" w:color="auto"/>
      </w:divBdr>
    </w:div>
    <w:div w:id="852262640">
      <w:bodyDiv w:val="1"/>
      <w:marLeft w:val="0"/>
      <w:marRight w:val="0"/>
      <w:marTop w:val="0"/>
      <w:marBottom w:val="0"/>
      <w:divBdr>
        <w:top w:val="none" w:sz="0" w:space="0" w:color="auto"/>
        <w:left w:val="none" w:sz="0" w:space="0" w:color="auto"/>
        <w:bottom w:val="none" w:sz="0" w:space="0" w:color="auto"/>
        <w:right w:val="none" w:sz="0" w:space="0" w:color="auto"/>
      </w:divBdr>
    </w:div>
    <w:div w:id="852885686">
      <w:bodyDiv w:val="1"/>
      <w:marLeft w:val="0"/>
      <w:marRight w:val="0"/>
      <w:marTop w:val="0"/>
      <w:marBottom w:val="0"/>
      <w:divBdr>
        <w:top w:val="none" w:sz="0" w:space="0" w:color="auto"/>
        <w:left w:val="none" w:sz="0" w:space="0" w:color="auto"/>
        <w:bottom w:val="none" w:sz="0" w:space="0" w:color="auto"/>
        <w:right w:val="none" w:sz="0" w:space="0" w:color="auto"/>
      </w:divBdr>
    </w:div>
    <w:div w:id="852960362">
      <w:bodyDiv w:val="1"/>
      <w:marLeft w:val="0"/>
      <w:marRight w:val="0"/>
      <w:marTop w:val="0"/>
      <w:marBottom w:val="0"/>
      <w:divBdr>
        <w:top w:val="none" w:sz="0" w:space="0" w:color="auto"/>
        <w:left w:val="none" w:sz="0" w:space="0" w:color="auto"/>
        <w:bottom w:val="none" w:sz="0" w:space="0" w:color="auto"/>
        <w:right w:val="none" w:sz="0" w:space="0" w:color="auto"/>
      </w:divBdr>
    </w:div>
    <w:div w:id="864169922">
      <w:bodyDiv w:val="1"/>
      <w:marLeft w:val="0"/>
      <w:marRight w:val="0"/>
      <w:marTop w:val="0"/>
      <w:marBottom w:val="0"/>
      <w:divBdr>
        <w:top w:val="none" w:sz="0" w:space="0" w:color="auto"/>
        <w:left w:val="none" w:sz="0" w:space="0" w:color="auto"/>
        <w:bottom w:val="none" w:sz="0" w:space="0" w:color="auto"/>
        <w:right w:val="none" w:sz="0" w:space="0" w:color="auto"/>
      </w:divBdr>
    </w:div>
    <w:div w:id="881598136">
      <w:bodyDiv w:val="1"/>
      <w:marLeft w:val="0"/>
      <w:marRight w:val="0"/>
      <w:marTop w:val="0"/>
      <w:marBottom w:val="0"/>
      <w:divBdr>
        <w:top w:val="none" w:sz="0" w:space="0" w:color="auto"/>
        <w:left w:val="none" w:sz="0" w:space="0" w:color="auto"/>
        <w:bottom w:val="none" w:sz="0" w:space="0" w:color="auto"/>
        <w:right w:val="none" w:sz="0" w:space="0" w:color="auto"/>
      </w:divBdr>
    </w:div>
    <w:div w:id="934944634">
      <w:bodyDiv w:val="1"/>
      <w:marLeft w:val="0"/>
      <w:marRight w:val="0"/>
      <w:marTop w:val="0"/>
      <w:marBottom w:val="0"/>
      <w:divBdr>
        <w:top w:val="none" w:sz="0" w:space="0" w:color="auto"/>
        <w:left w:val="none" w:sz="0" w:space="0" w:color="auto"/>
        <w:bottom w:val="none" w:sz="0" w:space="0" w:color="auto"/>
        <w:right w:val="none" w:sz="0" w:space="0" w:color="auto"/>
      </w:divBdr>
    </w:div>
    <w:div w:id="947355144">
      <w:bodyDiv w:val="1"/>
      <w:marLeft w:val="0"/>
      <w:marRight w:val="0"/>
      <w:marTop w:val="0"/>
      <w:marBottom w:val="0"/>
      <w:divBdr>
        <w:top w:val="none" w:sz="0" w:space="0" w:color="auto"/>
        <w:left w:val="none" w:sz="0" w:space="0" w:color="auto"/>
        <w:bottom w:val="none" w:sz="0" w:space="0" w:color="auto"/>
        <w:right w:val="none" w:sz="0" w:space="0" w:color="auto"/>
      </w:divBdr>
    </w:div>
    <w:div w:id="958030575">
      <w:bodyDiv w:val="1"/>
      <w:marLeft w:val="0"/>
      <w:marRight w:val="0"/>
      <w:marTop w:val="0"/>
      <w:marBottom w:val="0"/>
      <w:divBdr>
        <w:top w:val="none" w:sz="0" w:space="0" w:color="auto"/>
        <w:left w:val="none" w:sz="0" w:space="0" w:color="auto"/>
        <w:bottom w:val="none" w:sz="0" w:space="0" w:color="auto"/>
        <w:right w:val="none" w:sz="0" w:space="0" w:color="auto"/>
      </w:divBdr>
    </w:div>
    <w:div w:id="980619899">
      <w:bodyDiv w:val="1"/>
      <w:marLeft w:val="0"/>
      <w:marRight w:val="0"/>
      <w:marTop w:val="0"/>
      <w:marBottom w:val="0"/>
      <w:divBdr>
        <w:top w:val="none" w:sz="0" w:space="0" w:color="auto"/>
        <w:left w:val="none" w:sz="0" w:space="0" w:color="auto"/>
        <w:bottom w:val="none" w:sz="0" w:space="0" w:color="auto"/>
        <w:right w:val="none" w:sz="0" w:space="0" w:color="auto"/>
      </w:divBdr>
    </w:div>
    <w:div w:id="1011837770">
      <w:bodyDiv w:val="1"/>
      <w:marLeft w:val="0"/>
      <w:marRight w:val="0"/>
      <w:marTop w:val="0"/>
      <w:marBottom w:val="0"/>
      <w:divBdr>
        <w:top w:val="none" w:sz="0" w:space="0" w:color="auto"/>
        <w:left w:val="none" w:sz="0" w:space="0" w:color="auto"/>
        <w:bottom w:val="none" w:sz="0" w:space="0" w:color="auto"/>
        <w:right w:val="none" w:sz="0" w:space="0" w:color="auto"/>
      </w:divBdr>
    </w:div>
    <w:div w:id="1012030825">
      <w:bodyDiv w:val="1"/>
      <w:marLeft w:val="0"/>
      <w:marRight w:val="0"/>
      <w:marTop w:val="0"/>
      <w:marBottom w:val="0"/>
      <w:divBdr>
        <w:top w:val="none" w:sz="0" w:space="0" w:color="auto"/>
        <w:left w:val="none" w:sz="0" w:space="0" w:color="auto"/>
        <w:bottom w:val="none" w:sz="0" w:space="0" w:color="auto"/>
        <w:right w:val="none" w:sz="0" w:space="0" w:color="auto"/>
      </w:divBdr>
    </w:div>
    <w:div w:id="1013646930">
      <w:bodyDiv w:val="1"/>
      <w:marLeft w:val="0"/>
      <w:marRight w:val="0"/>
      <w:marTop w:val="0"/>
      <w:marBottom w:val="0"/>
      <w:divBdr>
        <w:top w:val="none" w:sz="0" w:space="0" w:color="auto"/>
        <w:left w:val="none" w:sz="0" w:space="0" w:color="auto"/>
        <w:bottom w:val="none" w:sz="0" w:space="0" w:color="auto"/>
        <w:right w:val="none" w:sz="0" w:space="0" w:color="auto"/>
      </w:divBdr>
    </w:div>
    <w:div w:id="1026759446">
      <w:bodyDiv w:val="1"/>
      <w:marLeft w:val="0"/>
      <w:marRight w:val="0"/>
      <w:marTop w:val="0"/>
      <w:marBottom w:val="0"/>
      <w:divBdr>
        <w:top w:val="none" w:sz="0" w:space="0" w:color="auto"/>
        <w:left w:val="none" w:sz="0" w:space="0" w:color="auto"/>
        <w:bottom w:val="none" w:sz="0" w:space="0" w:color="auto"/>
        <w:right w:val="none" w:sz="0" w:space="0" w:color="auto"/>
      </w:divBdr>
    </w:div>
    <w:div w:id="1062676259">
      <w:bodyDiv w:val="1"/>
      <w:marLeft w:val="0"/>
      <w:marRight w:val="0"/>
      <w:marTop w:val="0"/>
      <w:marBottom w:val="0"/>
      <w:divBdr>
        <w:top w:val="none" w:sz="0" w:space="0" w:color="auto"/>
        <w:left w:val="none" w:sz="0" w:space="0" w:color="auto"/>
        <w:bottom w:val="none" w:sz="0" w:space="0" w:color="auto"/>
        <w:right w:val="none" w:sz="0" w:space="0" w:color="auto"/>
      </w:divBdr>
    </w:div>
    <w:div w:id="1073698992">
      <w:bodyDiv w:val="1"/>
      <w:marLeft w:val="0"/>
      <w:marRight w:val="0"/>
      <w:marTop w:val="0"/>
      <w:marBottom w:val="0"/>
      <w:divBdr>
        <w:top w:val="none" w:sz="0" w:space="0" w:color="auto"/>
        <w:left w:val="none" w:sz="0" w:space="0" w:color="auto"/>
        <w:bottom w:val="none" w:sz="0" w:space="0" w:color="auto"/>
        <w:right w:val="none" w:sz="0" w:space="0" w:color="auto"/>
      </w:divBdr>
    </w:div>
    <w:div w:id="1075976519">
      <w:bodyDiv w:val="1"/>
      <w:marLeft w:val="0"/>
      <w:marRight w:val="0"/>
      <w:marTop w:val="0"/>
      <w:marBottom w:val="0"/>
      <w:divBdr>
        <w:top w:val="none" w:sz="0" w:space="0" w:color="auto"/>
        <w:left w:val="none" w:sz="0" w:space="0" w:color="auto"/>
        <w:bottom w:val="none" w:sz="0" w:space="0" w:color="auto"/>
        <w:right w:val="none" w:sz="0" w:space="0" w:color="auto"/>
      </w:divBdr>
    </w:div>
    <w:div w:id="1100177117">
      <w:bodyDiv w:val="1"/>
      <w:marLeft w:val="0"/>
      <w:marRight w:val="0"/>
      <w:marTop w:val="0"/>
      <w:marBottom w:val="0"/>
      <w:divBdr>
        <w:top w:val="none" w:sz="0" w:space="0" w:color="auto"/>
        <w:left w:val="none" w:sz="0" w:space="0" w:color="auto"/>
        <w:bottom w:val="none" w:sz="0" w:space="0" w:color="auto"/>
        <w:right w:val="none" w:sz="0" w:space="0" w:color="auto"/>
      </w:divBdr>
    </w:div>
    <w:div w:id="1157916845">
      <w:bodyDiv w:val="1"/>
      <w:marLeft w:val="0"/>
      <w:marRight w:val="0"/>
      <w:marTop w:val="0"/>
      <w:marBottom w:val="0"/>
      <w:divBdr>
        <w:top w:val="none" w:sz="0" w:space="0" w:color="auto"/>
        <w:left w:val="none" w:sz="0" w:space="0" w:color="auto"/>
        <w:bottom w:val="none" w:sz="0" w:space="0" w:color="auto"/>
        <w:right w:val="none" w:sz="0" w:space="0" w:color="auto"/>
      </w:divBdr>
      <w:divsChild>
        <w:div w:id="1555505269">
          <w:marLeft w:val="0"/>
          <w:marRight w:val="0"/>
          <w:marTop w:val="0"/>
          <w:marBottom w:val="0"/>
          <w:divBdr>
            <w:top w:val="none" w:sz="0" w:space="0" w:color="auto"/>
            <w:left w:val="none" w:sz="0" w:space="0" w:color="auto"/>
            <w:bottom w:val="none" w:sz="0" w:space="0" w:color="auto"/>
            <w:right w:val="none" w:sz="0" w:space="0" w:color="auto"/>
          </w:divBdr>
        </w:div>
        <w:div w:id="878472910">
          <w:marLeft w:val="0"/>
          <w:marRight w:val="0"/>
          <w:marTop w:val="0"/>
          <w:marBottom w:val="0"/>
          <w:divBdr>
            <w:top w:val="none" w:sz="0" w:space="0" w:color="auto"/>
            <w:left w:val="none" w:sz="0" w:space="0" w:color="auto"/>
            <w:bottom w:val="none" w:sz="0" w:space="0" w:color="auto"/>
            <w:right w:val="none" w:sz="0" w:space="0" w:color="auto"/>
          </w:divBdr>
        </w:div>
        <w:div w:id="57870173">
          <w:marLeft w:val="0"/>
          <w:marRight w:val="0"/>
          <w:marTop w:val="0"/>
          <w:marBottom w:val="0"/>
          <w:divBdr>
            <w:top w:val="none" w:sz="0" w:space="0" w:color="auto"/>
            <w:left w:val="none" w:sz="0" w:space="0" w:color="auto"/>
            <w:bottom w:val="none" w:sz="0" w:space="0" w:color="auto"/>
            <w:right w:val="none" w:sz="0" w:space="0" w:color="auto"/>
          </w:divBdr>
        </w:div>
        <w:div w:id="321126443">
          <w:marLeft w:val="0"/>
          <w:marRight w:val="0"/>
          <w:marTop w:val="0"/>
          <w:marBottom w:val="0"/>
          <w:divBdr>
            <w:top w:val="none" w:sz="0" w:space="0" w:color="auto"/>
            <w:left w:val="none" w:sz="0" w:space="0" w:color="auto"/>
            <w:bottom w:val="none" w:sz="0" w:space="0" w:color="auto"/>
            <w:right w:val="none" w:sz="0" w:space="0" w:color="auto"/>
          </w:divBdr>
        </w:div>
        <w:div w:id="82653962">
          <w:marLeft w:val="0"/>
          <w:marRight w:val="0"/>
          <w:marTop w:val="0"/>
          <w:marBottom w:val="0"/>
          <w:divBdr>
            <w:top w:val="none" w:sz="0" w:space="0" w:color="auto"/>
            <w:left w:val="none" w:sz="0" w:space="0" w:color="auto"/>
            <w:bottom w:val="none" w:sz="0" w:space="0" w:color="auto"/>
            <w:right w:val="none" w:sz="0" w:space="0" w:color="auto"/>
          </w:divBdr>
        </w:div>
        <w:div w:id="534081251">
          <w:marLeft w:val="0"/>
          <w:marRight w:val="0"/>
          <w:marTop w:val="0"/>
          <w:marBottom w:val="0"/>
          <w:divBdr>
            <w:top w:val="none" w:sz="0" w:space="0" w:color="auto"/>
            <w:left w:val="none" w:sz="0" w:space="0" w:color="auto"/>
            <w:bottom w:val="none" w:sz="0" w:space="0" w:color="auto"/>
            <w:right w:val="none" w:sz="0" w:space="0" w:color="auto"/>
          </w:divBdr>
        </w:div>
        <w:div w:id="608900404">
          <w:marLeft w:val="0"/>
          <w:marRight w:val="0"/>
          <w:marTop w:val="0"/>
          <w:marBottom w:val="0"/>
          <w:divBdr>
            <w:top w:val="none" w:sz="0" w:space="0" w:color="auto"/>
            <w:left w:val="none" w:sz="0" w:space="0" w:color="auto"/>
            <w:bottom w:val="none" w:sz="0" w:space="0" w:color="auto"/>
            <w:right w:val="none" w:sz="0" w:space="0" w:color="auto"/>
          </w:divBdr>
        </w:div>
        <w:div w:id="48962706">
          <w:marLeft w:val="0"/>
          <w:marRight w:val="0"/>
          <w:marTop w:val="0"/>
          <w:marBottom w:val="0"/>
          <w:divBdr>
            <w:top w:val="none" w:sz="0" w:space="0" w:color="auto"/>
            <w:left w:val="none" w:sz="0" w:space="0" w:color="auto"/>
            <w:bottom w:val="none" w:sz="0" w:space="0" w:color="auto"/>
            <w:right w:val="none" w:sz="0" w:space="0" w:color="auto"/>
          </w:divBdr>
        </w:div>
        <w:div w:id="374283211">
          <w:marLeft w:val="0"/>
          <w:marRight w:val="0"/>
          <w:marTop w:val="0"/>
          <w:marBottom w:val="0"/>
          <w:divBdr>
            <w:top w:val="none" w:sz="0" w:space="0" w:color="auto"/>
            <w:left w:val="none" w:sz="0" w:space="0" w:color="auto"/>
            <w:bottom w:val="none" w:sz="0" w:space="0" w:color="auto"/>
            <w:right w:val="none" w:sz="0" w:space="0" w:color="auto"/>
          </w:divBdr>
        </w:div>
        <w:div w:id="1488862294">
          <w:marLeft w:val="0"/>
          <w:marRight w:val="0"/>
          <w:marTop w:val="0"/>
          <w:marBottom w:val="0"/>
          <w:divBdr>
            <w:top w:val="none" w:sz="0" w:space="0" w:color="auto"/>
            <w:left w:val="none" w:sz="0" w:space="0" w:color="auto"/>
            <w:bottom w:val="none" w:sz="0" w:space="0" w:color="auto"/>
            <w:right w:val="none" w:sz="0" w:space="0" w:color="auto"/>
          </w:divBdr>
        </w:div>
        <w:div w:id="951088100">
          <w:marLeft w:val="0"/>
          <w:marRight w:val="0"/>
          <w:marTop w:val="0"/>
          <w:marBottom w:val="0"/>
          <w:divBdr>
            <w:top w:val="none" w:sz="0" w:space="0" w:color="auto"/>
            <w:left w:val="none" w:sz="0" w:space="0" w:color="auto"/>
            <w:bottom w:val="none" w:sz="0" w:space="0" w:color="auto"/>
            <w:right w:val="none" w:sz="0" w:space="0" w:color="auto"/>
          </w:divBdr>
        </w:div>
        <w:div w:id="501432829">
          <w:marLeft w:val="0"/>
          <w:marRight w:val="0"/>
          <w:marTop w:val="0"/>
          <w:marBottom w:val="0"/>
          <w:divBdr>
            <w:top w:val="none" w:sz="0" w:space="0" w:color="auto"/>
            <w:left w:val="none" w:sz="0" w:space="0" w:color="auto"/>
            <w:bottom w:val="none" w:sz="0" w:space="0" w:color="auto"/>
            <w:right w:val="none" w:sz="0" w:space="0" w:color="auto"/>
          </w:divBdr>
        </w:div>
        <w:div w:id="880901297">
          <w:marLeft w:val="0"/>
          <w:marRight w:val="0"/>
          <w:marTop w:val="0"/>
          <w:marBottom w:val="0"/>
          <w:divBdr>
            <w:top w:val="none" w:sz="0" w:space="0" w:color="auto"/>
            <w:left w:val="none" w:sz="0" w:space="0" w:color="auto"/>
            <w:bottom w:val="none" w:sz="0" w:space="0" w:color="auto"/>
            <w:right w:val="none" w:sz="0" w:space="0" w:color="auto"/>
          </w:divBdr>
        </w:div>
        <w:div w:id="1149174668">
          <w:marLeft w:val="0"/>
          <w:marRight w:val="0"/>
          <w:marTop w:val="0"/>
          <w:marBottom w:val="0"/>
          <w:divBdr>
            <w:top w:val="none" w:sz="0" w:space="0" w:color="auto"/>
            <w:left w:val="none" w:sz="0" w:space="0" w:color="auto"/>
            <w:bottom w:val="none" w:sz="0" w:space="0" w:color="auto"/>
            <w:right w:val="none" w:sz="0" w:space="0" w:color="auto"/>
          </w:divBdr>
        </w:div>
        <w:div w:id="734015544">
          <w:marLeft w:val="0"/>
          <w:marRight w:val="0"/>
          <w:marTop w:val="0"/>
          <w:marBottom w:val="0"/>
          <w:divBdr>
            <w:top w:val="none" w:sz="0" w:space="0" w:color="auto"/>
            <w:left w:val="none" w:sz="0" w:space="0" w:color="auto"/>
            <w:bottom w:val="none" w:sz="0" w:space="0" w:color="auto"/>
            <w:right w:val="none" w:sz="0" w:space="0" w:color="auto"/>
          </w:divBdr>
        </w:div>
        <w:div w:id="1663001974">
          <w:marLeft w:val="0"/>
          <w:marRight w:val="0"/>
          <w:marTop w:val="0"/>
          <w:marBottom w:val="0"/>
          <w:divBdr>
            <w:top w:val="none" w:sz="0" w:space="0" w:color="auto"/>
            <w:left w:val="none" w:sz="0" w:space="0" w:color="auto"/>
            <w:bottom w:val="none" w:sz="0" w:space="0" w:color="auto"/>
            <w:right w:val="none" w:sz="0" w:space="0" w:color="auto"/>
          </w:divBdr>
        </w:div>
        <w:div w:id="2055034724">
          <w:marLeft w:val="0"/>
          <w:marRight w:val="0"/>
          <w:marTop w:val="0"/>
          <w:marBottom w:val="0"/>
          <w:divBdr>
            <w:top w:val="none" w:sz="0" w:space="0" w:color="auto"/>
            <w:left w:val="none" w:sz="0" w:space="0" w:color="auto"/>
            <w:bottom w:val="none" w:sz="0" w:space="0" w:color="auto"/>
            <w:right w:val="none" w:sz="0" w:space="0" w:color="auto"/>
          </w:divBdr>
        </w:div>
      </w:divsChild>
    </w:div>
    <w:div w:id="1195265899">
      <w:bodyDiv w:val="1"/>
      <w:marLeft w:val="0"/>
      <w:marRight w:val="0"/>
      <w:marTop w:val="0"/>
      <w:marBottom w:val="0"/>
      <w:divBdr>
        <w:top w:val="none" w:sz="0" w:space="0" w:color="auto"/>
        <w:left w:val="none" w:sz="0" w:space="0" w:color="auto"/>
        <w:bottom w:val="none" w:sz="0" w:space="0" w:color="auto"/>
        <w:right w:val="none" w:sz="0" w:space="0" w:color="auto"/>
      </w:divBdr>
    </w:div>
    <w:div w:id="1201241092">
      <w:bodyDiv w:val="1"/>
      <w:marLeft w:val="0"/>
      <w:marRight w:val="0"/>
      <w:marTop w:val="0"/>
      <w:marBottom w:val="0"/>
      <w:divBdr>
        <w:top w:val="none" w:sz="0" w:space="0" w:color="auto"/>
        <w:left w:val="none" w:sz="0" w:space="0" w:color="auto"/>
        <w:bottom w:val="none" w:sz="0" w:space="0" w:color="auto"/>
        <w:right w:val="none" w:sz="0" w:space="0" w:color="auto"/>
      </w:divBdr>
    </w:div>
    <w:div w:id="1203395792">
      <w:bodyDiv w:val="1"/>
      <w:marLeft w:val="0"/>
      <w:marRight w:val="0"/>
      <w:marTop w:val="0"/>
      <w:marBottom w:val="0"/>
      <w:divBdr>
        <w:top w:val="none" w:sz="0" w:space="0" w:color="auto"/>
        <w:left w:val="none" w:sz="0" w:space="0" w:color="auto"/>
        <w:bottom w:val="none" w:sz="0" w:space="0" w:color="auto"/>
        <w:right w:val="none" w:sz="0" w:space="0" w:color="auto"/>
      </w:divBdr>
    </w:div>
    <w:div w:id="1231499365">
      <w:bodyDiv w:val="1"/>
      <w:marLeft w:val="0"/>
      <w:marRight w:val="0"/>
      <w:marTop w:val="0"/>
      <w:marBottom w:val="0"/>
      <w:divBdr>
        <w:top w:val="none" w:sz="0" w:space="0" w:color="auto"/>
        <w:left w:val="none" w:sz="0" w:space="0" w:color="auto"/>
        <w:bottom w:val="none" w:sz="0" w:space="0" w:color="auto"/>
        <w:right w:val="none" w:sz="0" w:space="0" w:color="auto"/>
      </w:divBdr>
    </w:div>
    <w:div w:id="1292054673">
      <w:bodyDiv w:val="1"/>
      <w:marLeft w:val="0"/>
      <w:marRight w:val="0"/>
      <w:marTop w:val="0"/>
      <w:marBottom w:val="0"/>
      <w:divBdr>
        <w:top w:val="none" w:sz="0" w:space="0" w:color="auto"/>
        <w:left w:val="none" w:sz="0" w:space="0" w:color="auto"/>
        <w:bottom w:val="none" w:sz="0" w:space="0" w:color="auto"/>
        <w:right w:val="none" w:sz="0" w:space="0" w:color="auto"/>
      </w:divBdr>
    </w:div>
    <w:div w:id="1322856114">
      <w:bodyDiv w:val="1"/>
      <w:marLeft w:val="0"/>
      <w:marRight w:val="0"/>
      <w:marTop w:val="0"/>
      <w:marBottom w:val="0"/>
      <w:divBdr>
        <w:top w:val="none" w:sz="0" w:space="0" w:color="auto"/>
        <w:left w:val="none" w:sz="0" w:space="0" w:color="auto"/>
        <w:bottom w:val="none" w:sz="0" w:space="0" w:color="auto"/>
        <w:right w:val="none" w:sz="0" w:space="0" w:color="auto"/>
      </w:divBdr>
    </w:div>
    <w:div w:id="1327368737">
      <w:bodyDiv w:val="1"/>
      <w:marLeft w:val="0"/>
      <w:marRight w:val="0"/>
      <w:marTop w:val="0"/>
      <w:marBottom w:val="0"/>
      <w:divBdr>
        <w:top w:val="none" w:sz="0" w:space="0" w:color="auto"/>
        <w:left w:val="none" w:sz="0" w:space="0" w:color="auto"/>
        <w:bottom w:val="none" w:sz="0" w:space="0" w:color="auto"/>
        <w:right w:val="none" w:sz="0" w:space="0" w:color="auto"/>
      </w:divBdr>
    </w:div>
    <w:div w:id="1391341824">
      <w:bodyDiv w:val="1"/>
      <w:marLeft w:val="0"/>
      <w:marRight w:val="0"/>
      <w:marTop w:val="0"/>
      <w:marBottom w:val="0"/>
      <w:divBdr>
        <w:top w:val="none" w:sz="0" w:space="0" w:color="auto"/>
        <w:left w:val="none" w:sz="0" w:space="0" w:color="auto"/>
        <w:bottom w:val="none" w:sz="0" w:space="0" w:color="auto"/>
        <w:right w:val="none" w:sz="0" w:space="0" w:color="auto"/>
      </w:divBdr>
    </w:div>
    <w:div w:id="1429036867">
      <w:bodyDiv w:val="1"/>
      <w:marLeft w:val="0"/>
      <w:marRight w:val="0"/>
      <w:marTop w:val="0"/>
      <w:marBottom w:val="0"/>
      <w:divBdr>
        <w:top w:val="none" w:sz="0" w:space="0" w:color="auto"/>
        <w:left w:val="none" w:sz="0" w:space="0" w:color="auto"/>
        <w:bottom w:val="none" w:sz="0" w:space="0" w:color="auto"/>
        <w:right w:val="none" w:sz="0" w:space="0" w:color="auto"/>
      </w:divBdr>
    </w:div>
    <w:div w:id="1463575401">
      <w:bodyDiv w:val="1"/>
      <w:marLeft w:val="0"/>
      <w:marRight w:val="0"/>
      <w:marTop w:val="0"/>
      <w:marBottom w:val="0"/>
      <w:divBdr>
        <w:top w:val="none" w:sz="0" w:space="0" w:color="auto"/>
        <w:left w:val="none" w:sz="0" w:space="0" w:color="auto"/>
        <w:bottom w:val="none" w:sz="0" w:space="0" w:color="auto"/>
        <w:right w:val="none" w:sz="0" w:space="0" w:color="auto"/>
      </w:divBdr>
    </w:div>
    <w:div w:id="1477844514">
      <w:bodyDiv w:val="1"/>
      <w:marLeft w:val="0"/>
      <w:marRight w:val="0"/>
      <w:marTop w:val="0"/>
      <w:marBottom w:val="0"/>
      <w:divBdr>
        <w:top w:val="none" w:sz="0" w:space="0" w:color="auto"/>
        <w:left w:val="none" w:sz="0" w:space="0" w:color="auto"/>
        <w:bottom w:val="none" w:sz="0" w:space="0" w:color="auto"/>
        <w:right w:val="none" w:sz="0" w:space="0" w:color="auto"/>
      </w:divBdr>
    </w:div>
    <w:div w:id="1518929037">
      <w:bodyDiv w:val="1"/>
      <w:marLeft w:val="0"/>
      <w:marRight w:val="0"/>
      <w:marTop w:val="0"/>
      <w:marBottom w:val="0"/>
      <w:divBdr>
        <w:top w:val="none" w:sz="0" w:space="0" w:color="auto"/>
        <w:left w:val="none" w:sz="0" w:space="0" w:color="auto"/>
        <w:bottom w:val="none" w:sz="0" w:space="0" w:color="auto"/>
        <w:right w:val="none" w:sz="0" w:space="0" w:color="auto"/>
      </w:divBdr>
    </w:div>
    <w:div w:id="1595090442">
      <w:bodyDiv w:val="1"/>
      <w:marLeft w:val="0"/>
      <w:marRight w:val="0"/>
      <w:marTop w:val="0"/>
      <w:marBottom w:val="0"/>
      <w:divBdr>
        <w:top w:val="none" w:sz="0" w:space="0" w:color="auto"/>
        <w:left w:val="none" w:sz="0" w:space="0" w:color="auto"/>
        <w:bottom w:val="none" w:sz="0" w:space="0" w:color="auto"/>
        <w:right w:val="none" w:sz="0" w:space="0" w:color="auto"/>
      </w:divBdr>
    </w:div>
    <w:div w:id="1645890583">
      <w:bodyDiv w:val="1"/>
      <w:marLeft w:val="0"/>
      <w:marRight w:val="0"/>
      <w:marTop w:val="0"/>
      <w:marBottom w:val="0"/>
      <w:divBdr>
        <w:top w:val="none" w:sz="0" w:space="0" w:color="auto"/>
        <w:left w:val="none" w:sz="0" w:space="0" w:color="auto"/>
        <w:bottom w:val="none" w:sz="0" w:space="0" w:color="auto"/>
        <w:right w:val="none" w:sz="0" w:space="0" w:color="auto"/>
      </w:divBdr>
      <w:divsChild>
        <w:div w:id="163591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54599323">
      <w:bodyDiv w:val="1"/>
      <w:marLeft w:val="0"/>
      <w:marRight w:val="0"/>
      <w:marTop w:val="0"/>
      <w:marBottom w:val="0"/>
      <w:divBdr>
        <w:top w:val="none" w:sz="0" w:space="0" w:color="auto"/>
        <w:left w:val="none" w:sz="0" w:space="0" w:color="auto"/>
        <w:bottom w:val="none" w:sz="0" w:space="0" w:color="auto"/>
        <w:right w:val="none" w:sz="0" w:space="0" w:color="auto"/>
      </w:divBdr>
    </w:div>
    <w:div w:id="1671249224">
      <w:bodyDiv w:val="1"/>
      <w:marLeft w:val="0"/>
      <w:marRight w:val="0"/>
      <w:marTop w:val="0"/>
      <w:marBottom w:val="0"/>
      <w:divBdr>
        <w:top w:val="none" w:sz="0" w:space="0" w:color="auto"/>
        <w:left w:val="none" w:sz="0" w:space="0" w:color="auto"/>
        <w:bottom w:val="none" w:sz="0" w:space="0" w:color="auto"/>
        <w:right w:val="none" w:sz="0" w:space="0" w:color="auto"/>
      </w:divBdr>
    </w:div>
    <w:div w:id="1704670151">
      <w:bodyDiv w:val="1"/>
      <w:marLeft w:val="0"/>
      <w:marRight w:val="0"/>
      <w:marTop w:val="0"/>
      <w:marBottom w:val="0"/>
      <w:divBdr>
        <w:top w:val="none" w:sz="0" w:space="0" w:color="auto"/>
        <w:left w:val="none" w:sz="0" w:space="0" w:color="auto"/>
        <w:bottom w:val="none" w:sz="0" w:space="0" w:color="auto"/>
        <w:right w:val="none" w:sz="0" w:space="0" w:color="auto"/>
      </w:divBdr>
    </w:div>
    <w:div w:id="1705666552">
      <w:bodyDiv w:val="1"/>
      <w:marLeft w:val="0"/>
      <w:marRight w:val="0"/>
      <w:marTop w:val="0"/>
      <w:marBottom w:val="0"/>
      <w:divBdr>
        <w:top w:val="none" w:sz="0" w:space="0" w:color="auto"/>
        <w:left w:val="none" w:sz="0" w:space="0" w:color="auto"/>
        <w:bottom w:val="none" w:sz="0" w:space="0" w:color="auto"/>
        <w:right w:val="none" w:sz="0" w:space="0" w:color="auto"/>
      </w:divBdr>
    </w:div>
    <w:div w:id="1720397878">
      <w:bodyDiv w:val="1"/>
      <w:marLeft w:val="0"/>
      <w:marRight w:val="0"/>
      <w:marTop w:val="0"/>
      <w:marBottom w:val="0"/>
      <w:divBdr>
        <w:top w:val="none" w:sz="0" w:space="0" w:color="auto"/>
        <w:left w:val="none" w:sz="0" w:space="0" w:color="auto"/>
        <w:bottom w:val="none" w:sz="0" w:space="0" w:color="auto"/>
        <w:right w:val="none" w:sz="0" w:space="0" w:color="auto"/>
      </w:divBdr>
    </w:div>
    <w:div w:id="1738815720">
      <w:bodyDiv w:val="1"/>
      <w:marLeft w:val="0"/>
      <w:marRight w:val="0"/>
      <w:marTop w:val="0"/>
      <w:marBottom w:val="0"/>
      <w:divBdr>
        <w:top w:val="none" w:sz="0" w:space="0" w:color="auto"/>
        <w:left w:val="none" w:sz="0" w:space="0" w:color="auto"/>
        <w:bottom w:val="none" w:sz="0" w:space="0" w:color="auto"/>
        <w:right w:val="none" w:sz="0" w:space="0" w:color="auto"/>
      </w:divBdr>
    </w:div>
    <w:div w:id="1792481584">
      <w:bodyDiv w:val="1"/>
      <w:marLeft w:val="0"/>
      <w:marRight w:val="0"/>
      <w:marTop w:val="0"/>
      <w:marBottom w:val="0"/>
      <w:divBdr>
        <w:top w:val="none" w:sz="0" w:space="0" w:color="auto"/>
        <w:left w:val="none" w:sz="0" w:space="0" w:color="auto"/>
        <w:bottom w:val="none" w:sz="0" w:space="0" w:color="auto"/>
        <w:right w:val="none" w:sz="0" w:space="0" w:color="auto"/>
      </w:divBdr>
    </w:div>
    <w:div w:id="1847207681">
      <w:bodyDiv w:val="1"/>
      <w:marLeft w:val="0"/>
      <w:marRight w:val="0"/>
      <w:marTop w:val="0"/>
      <w:marBottom w:val="0"/>
      <w:divBdr>
        <w:top w:val="none" w:sz="0" w:space="0" w:color="auto"/>
        <w:left w:val="none" w:sz="0" w:space="0" w:color="auto"/>
        <w:bottom w:val="none" w:sz="0" w:space="0" w:color="auto"/>
        <w:right w:val="none" w:sz="0" w:space="0" w:color="auto"/>
      </w:divBdr>
      <w:divsChild>
        <w:div w:id="397091365">
          <w:marLeft w:val="0"/>
          <w:marRight w:val="0"/>
          <w:marTop w:val="150"/>
          <w:marBottom w:val="0"/>
          <w:divBdr>
            <w:top w:val="none" w:sz="0" w:space="0" w:color="auto"/>
            <w:left w:val="none" w:sz="0" w:space="0" w:color="auto"/>
            <w:bottom w:val="none" w:sz="0" w:space="0" w:color="auto"/>
            <w:right w:val="none" w:sz="0" w:space="0" w:color="auto"/>
          </w:divBdr>
        </w:div>
      </w:divsChild>
    </w:div>
    <w:div w:id="1901597063">
      <w:bodyDiv w:val="1"/>
      <w:marLeft w:val="0"/>
      <w:marRight w:val="0"/>
      <w:marTop w:val="0"/>
      <w:marBottom w:val="0"/>
      <w:divBdr>
        <w:top w:val="none" w:sz="0" w:space="0" w:color="auto"/>
        <w:left w:val="none" w:sz="0" w:space="0" w:color="auto"/>
        <w:bottom w:val="none" w:sz="0" w:space="0" w:color="auto"/>
        <w:right w:val="none" w:sz="0" w:space="0" w:color="auto"/>
      </w:divBdr>
    </w:div>
    <w:div w:id="1910069283">
      <w:bodyDiv w:val="1"/>
      <w:marLeft w:val="0"/>
      <w:marRight w:val="0"/>
      <w:marTop w:val="0"/>
      <w:marBottom w:val="0"/>
      <w:divBdr>
        <w:top w:val="none" w:sz="0" w:space="0" w:color="auto"/>
        <w:left w:val="none" w:sz="0" w:space="0" w:color="auto"/>
        <w:bottom w:val="none" w:sz="0" w:space="0" w:color="auto"/>
        <w:right w:val="none" w:sz="0" w:space="0" w:color="auto"/>
      </w:divBdr>
    </w:div>
    <w:div w:id="1966616108">
      <w:bodyDiv w:val="1"/>
      <w:marLeft w:val="0"/>
      <w:marRight w:val="0"/>
      <w:marTop w:val="0"/>
      <w:marBottom w:val="0"/>
      <w:divBdr>
        <w:top w:val="none" w:sz="0" w:space="0" w:color="auto"/>
        <w:left w:val="none" w:sz="0" w:space="0" w:color="auto"/>
        <w:bottom w:val="none" w:sz="0" w:space="0" w:color="auto"/>
        <w:right w:val="none" w:sz="0" w:space="0" w:color="auto"/>
      </w:divBdr>
    </w:div>
    <w:div w:id="1971588321">
      <w:bodyDiv w:val="1"/>
      <w:marLeft w:val="0"/>
      <w:marRight w:val="0"/>
      <w:marTop w:val="0"/>
      <w:marBottom w:val="0"/>
      <w:divBdr>
        <w:top w:val="none" w:sz="0" w:space="0" w:color="auto"/>
        <w:left w:val="none" w:sz="0" w:space="0" w:color="auto"/>
        <w:bottom w:val="none" w:sz="0" w:space="0" w:color="auto"/>
        <w:right w:val="none" w:sz="0" w:space="0" w:color="auto"/>
      </w:divBdr>
      <w:divsChild>
        <w:div w:id="329647037">
          <w:blockQuote w:val="1"/>
          <w:marLeft w:val="360"/>
          <w:marRight w:val="0"/>
          <w:marTop w:val="0"/>
          <w:marBottom w:val="360"/>
          <w:divBdr>
            <w:top w:val="none" w:sz="0" w:space="0" w:color="auto"/>
            <w:left w:val="none" w:sz="0" w:space="0" w:color="auto"/>
            <w:bottom w:val="none" w:sz="0" w:space="0" w:color="auto"/>
            <w:right w:val="none" w:sz="0" w:space="0" w:color="auto"/>
          </w:divBdr>
        </w:div>
      </w:divsChild>
    </w:div>
    <w:div w:id="1977443530">
      <w:bodyDiv w:val="1"/>
      <w:marLeft w:val="0"/>
      <w:marRight w:val="0"/>
      <w:marTop w:val="0"/>
      <w:marBottom w:val="0"/>
      <w:divBdr>
        <w:top w:val="none" w:sz="0" w:space="0" w:color="auto"/>
        <w:left w:val="none" w:sz="0" w:space="0" w:color="auto"/>
        <w:bottom w:val="none" w:sz="0" w:space="0" w:color="auto"/>
        <w:right w:val="none" w:sz="0" w:space="0" w:color="auto"/>
      </w:divBdr>
    </w:div>
    <w:div w:id="1978532474">
      <w:bodyDiv w:val="1"/>
      <w:marLeft w:val="0"/>
      <w:marRight w:val="0"/>
      <w:marTop w:val="0"/>
      <w:marBottom w:val="0"/>
      <w:divBdr>
        <w:top w:val="none" w:sz="0" w:space="0" w:color="auto"/>
        <w:left w:val="none" w:sz="0" w:space="0" w:color="auto"/>
        <w:bottom w:val="none" w:sz="0" w:space="0" w:color="auto"/>
        <w:right w:val="none" w:sz="0" w:space="0" w:color="auto"/>
      </w:divBdr>
    </w:div>
    <w:div w:id="1980450465">
      <w:bodyDiv w:val="1"/>
      <w:marLeft w:val="0"/>
      <w:marRight w:val="0"/>
      <w:marTop w:val="0"/>
      <w:marBottom w:val="0"/>
      <w:divBdr>
        <w:top w:val="none" w:sz="0" w:space="0" w:color="auto"/>
        <w:left w:val="none" w:sz="0" w:space="0" w:color="auto"/>
        <w:bottom w:val="none" w:sz="0" w:space="0" w:color="auto"/>
        <w:right w:val="none" w:sz="0" w:space="0" w:color="auto"/>
      </w:divBdr>
    </w:div>
    <w:div w:id="1983853441">
      <w:bodyDiv w:val="1"/>
      <w:marLeft w:val="0"/>
      <w:marRight w:val="0"/>
      <w:marTop w:val="0"/>
      <w:marBottom w:val="0"/>
      <w:divBdr>
        <w:top w:val="none" w:sz="0" w:space="0" w:color="auto"/>
        <w:left w:val="none" w:sz="0" w:space="0" w:color="auto"/>
        <w:bottom w:val="none" w:sz="0" w:space="0" w:color="auto"/>
        <w:right w:val="none" w:sz="0" w:space="0" w:color="auto"/>
      </w:divBdr>
    </w:div>
    <w:div w:id="1985892931">
      <w:bodyDiv w:val="1"/>
      <w:marLeft w:val="0"/>
      <w:marRight w:val="0"/>
      <w:marTop w:val="0"/>
      <w:marBottom w:val="0"/>
      <w:divBdr>
        <w:top w:val="none" w:sz="0" w:space="0" w:color="auto"/>
        <w:left w:val="none" w:sz="0" w:space="0" w:color="auto"/>
        <w:bottom w:val="none" w:sz="0" w:space="0" w:color="auto"/>
        <w:right w:val="none" w:sz="0" w:space="0" w:color="auto"/>
      </w:divBdr>
    </w:div>
    <w:div w:id="2055692279">
      <w:bodyDiv w:val="1"/>
      <w:marLeft w:val="0"/>
      <w:marRight w:val="0"/>
      <w:marTop w:val="0"/>
      <w:marBottom w:val="0"/>
      <w:divBdr>
        <w:top w:val="none" w:sz="0" w:space="0" w:color="auto"/>
        <w:left w:val="none" w:sz="0" w:space="0" w:color="auto"/>
        <w:bottom w:val="none" w:sz="0" w:space="0" w:color="auto"/>
        <w:right w:val="none" w:sz="0" w:space="0" w:color="auto"/>
      </w:divBdr>
    </w:div>
    <w:div w:id="2065060747">
      <w:bodyDiv w:val="1"/>
      <w:marLeft w:val="0"/>
      <w:marRight w:val="0"/>
      <w:marTop w:val="0"/>
      <w:marBottom w:val="0"/>
      <w:divBdr>
        <w:top w:val="none" w:sz="0" w:space="0" w:color="auto"/>
        <w:left w:val="none" w:sz="0" w:space="0" w:color="auto"/>
        <w:bottom w:val="none" w:sz="0" w:space="0" w:color="auto"/>
        <w:right w:val="none" w:sz="0" w:space="0" w:color="auto"/>
      </w:divBdr>
    </w:div>
    <w:div w:id="2077390258">
      <w:bodyDiv w:val="1"/>
      <w:marLeft w:val="0"/>
      <w:marRight w:val="0"/>
      <w:marTop w:val="0"/>
      <w:marBottom w:val="0"/>
      <w:divBdr>
        <w:top w:val="none" w:sz="0" w:space="0" w:color="auto"/>
        <w:left w:val="none" w:sz="0" w:space="0" w:color="auto"/>
        <w:bottom w:val="none" w:sz="0" w:space="0" w:color="auto"/>
        <w:right w:val="none" w:sz="0" w:space="0" w:color="auto"/>
      </w:divBdr>
    </w:div>
    <w:div w:id="2082673354">
      <w:bodyDiv w:val="1"/>
      <w:marLeft w:val="0"/>
      <w:marRight w:val="0"/>
      <w:marTop w:val="0"/>
      <w:marBottom w:val="0"/>
      <w:divBdr>
        <w:top w:val="none" w:sz="0" w:space="0" w:color="auto"/>
        <w:left w:val="none" w:sz="0" w:space="0" w:color="auto"/>
        <w:bottom w:val="none" w:sz="0" w:space="0" w:color="auto"/>
        <w:right w:val="none" w:sz="0" w:space="0" w:color="auto"/>
      </w:divBdr>
    </w:div>
    <w:div w:id="2142259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wodak/Library/Group%20Containers/UBF8T346G9.Office/User%20Content.localized/Templates.localized/Default%20Article%20Set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940A45-8DC7-B34F-A627-A1CEACBD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Article Settings.dotx</Template>
  <TotalTime>1174</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Wodak</dc:creator>
  <cp:keywords/>
  <dc:description/>
  <cp:lastModifiedBy>Daniel Wodak</cp:lastModifiedBy>
  <cp:revision>708</cp:revision>
  <cp:lastPrinted>2017-11-07T15:10:00Z</cp:lastPrinted>
  <dcterms:created xsi:type="dcterms:W3CDTF">2017-06-30T20:41:00Z</dcterms:created>
  <dcterms:modified xsi:type="dcterms:W3CDTF">2018-03-08T13:22:00Z</dcterms:modified>
</cp:coreProperties>
</file>