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D4C09" w14:textId="77777777" w:rsidR="00830AA2" w:rsidRPr="0006096F" w:rsidRDefault="00830AA2" w:rsidP="00B95D2D">
      <w:pPr>
        <w:pStyle w:val="Heading1"/>
      </w:pPr>
    </w:p>
    <w:p w14:paraId="732AC447" w14:textId="77777777" w:rsidR="00E94641" w:rsidRPr="0006096F" w:rsidRDefault="004E028C" w:rsidP="00B95D2D">
      <w:pPr>
        <w:pStyle w:val="Heading1"/>
      </w:pPr>
      <w:r w:rsidRPr="0006096F">
        <w:t xml:space="preserve">Husserl </w:t>
      </w:r>
      <w:r w:rsidR="00125D8F">
        <w:t>on</w:t>
      </w:r>
      <w:r w:rsidRPr="0006096F">
        <w:t xml:space="preserve"> </w:t>
      </w:r>
      <w:r w:rsidR="00A11A43">
        <w:t xml:space="preserve">the Overlap of </w:t>
      </w:r>
      <w:r w:rsidRPr="0006096F">
        <w:t xml:space="preserve">Pure </w:t>
      </w:r>
      <w:r w:rsidR="00125D8F">
        <w:t xml:space="preserve">and Empirical </w:t>
      </w:r>
      <w:r w:rsidRPr="0006096F">
        <w:t>Concepts</w:t>
      </w:r>
    </w:p>
    <w:p w14:paraId="4AB8D988" w14:textId="77777777" w:rsidR="004E028C" w:rsidRDefault="00F1747C" w:rsidP="009436FB">
      <w:pPr>
        <w:spacing w:line="240" w:lineRule="auto"/>
        <w:jc w:val="center"/>
      </w:pPr>
      <w:r>
        <w:t>W. Clark Wolf</w:t>
      </w:r>
    </w:p>
    <w:p w14:paraId="307E10B2" w14:textId="77777777" w:rsidR="00F1747C" w:rsidRDefault="00F1747C" w:rsidP="009436FB">
      <w:pPr>
        <w:spacing w:line="240" w:lineRule="auto"/>
        <w:jc w:val="center"/>
      </w:pPr>
      <w:r>
        <w:t>Department of Philosophy, Marquette University</w:t>
      </w:r>
    </w:p>
    <w:p w14:paraId="6F5351C8" w14:textId="77777777" w:rsidR="009436FB" w:rsidRDefault="009436FB" w:rsidP="009436FB">
      <w:pPr>
        <w:spacing w:line="240" w:lineRule="auto"/>
        <w:jc w:val="center"/>
      </w:pPr>
    </w:p>
    <w:p w14:paraId="6A754CAE" w14:textId="77777777" w:rsidR="00F1747C" w:rsidRDefault="00F1747C" w:rsidP="009436FB">
      <w:pPr>
        <w:spacing w:line="240" w:lineRule="auto"/>
        <w:jc w:val="center"/>
        <w:rPr>
          <w:b/>
          <w:bCs/>
        </w:rPr>
      </w:pPr>
      <w:r>
        <w:rPr>
          <w:b/>
          <w:bCs/>
        </w:rPr>
        <w:t>Correspondence:</w:t>
      </w:r>
    </w:p>
    <w:p w14:paraId="310BA620" w14:textId="77777777" w:rsidR="00F1747C" w:rsidRDefault="00F1747C" w:rsidP="009436FB">
      <w:pPr>
        <w:spacing w:line="240" w:lineRule="auto"/>
        <w:jc w:val="center"/>
      </w:pPr>
      <w:r>
        <w:t>w</w:t>
      </w:r>
      <w:r w:rsidRPr="00F1747C">
        <w:t>illiam.c.wolf@marquette.edu</w:t>
      </w:r>
    </w:p>
    <w:p w14:paraId="26F0D738" w14:textId="77777777" w:rsidR="009436FB" w:rsidRDefault="009436FB" w:rsidP="009436FB">
      <w:pPr>
        <w:spacing w:line="240" w:lineRule="auto"/>
        <w:jc w:val="center"/>
      </w:pPr>
    </w:p>
    <w:p w14:paraId="007D3EAA" w14:textId="77777777" w:rsidR="00F1747C" w:rsidRDefault="009436FB" w:rsidP="009436FB">
      <w:pPr>
        <w:pStyle w:val="Quote"/>
      </w:pPr>
      <w:r w:rsidRPr="009436FB">
        <w:rPr>
          <w:i/>
          <w:iCs/>
        </w:rPr>
        <w:t>Abstract:</w:t>
      </w:r>
      <w:r>
        <w:t xml:space="preserve"> </w:t>
      </w:r>
      <w:r w:rsidR="00F1747C">
        <w:t>This essay clarifies Edmund Husserl’s view of “pure” concepts, with a view to its contemporary metaphilosophical significance. It is argued that Husserl’s conception of pure concepts is unique in that he allows an overlap between pure and empirical concepts. This overlap leads to a potential for confusion between pure and empirical concepts which I label “amphiboly,” following Kant’s use of the term. The essay begins by clarifying Husserl’s view of the divergence in concept formation between empirical and pure concepts, and then articulates the specific properties of pure concepts that allow an empirical overlap. These properties include the modal</w:t>
      </w:r>
      <w:r>
        <w:t xml:space="preserve">ity and range of the </w:t>
      </w:r>
      <w:r w:rsidR="00F1747C">
        <w:t>extension of the concepts, the ordering of objects under the extension, and the mental faculty required to identify an object under the concept. Once we see the source of amphiboly on Husserl’s view, it can be observed that many concepts of interest to philosophy, even outside phenomenology</w:t>
      </w:r>
      <w:r w:rsidR="00A576FC">
        <w:t xml:space="preserve"> proper</w:t>
      </w:r>
      <w:r w:rsidR="00F1747C">
        <w:t>, are potentially subject to amphibolous</w:t>
      </w:r>
      <w:r>
        <w:t xml:space="preserve"> </w:t>
      </w:r>
      <w:r w:rsidR="00F1747C">
        <w:t xml:space="preserve">uses. Thus, Husserl’s view can be a general hermeneutical resource for clarifying the nature of philosophical concepts. </w:t>
      </w:r>
    </w:p>
    <w:p w14:paraId="5FD99F87" w14:textId="77777777" w:rsidR="00F1747C" w:rsidRPr="00F1747C" w:rsidRDefault="00F1747C" w:rsidP="009436FB">
      <w:pPr>
        <w:ind w:firstLine="0"/>
      </w:pPr>
    </w:p>
    <w:p w14:paraId="3AC9D87C" w14:textId="77777777" w:rsidR="002062B0" w:rsidRPr="0006096F" w:rsidRDefault="004E028C" w:rsidP="00B95D2D">
      <w:r w:rsidRPr="0006096F">
        <w:t xml:space="preserve">One of the most underappreciated ambitions of Husserl’s phenomenology is his hope to develop </w:t>
      </w:r>
      <w:r w:rsidR="008744D8" w:rsidRPr="0006096F">
        <w:t xml:space="preserve">the basis for </w:t>
      </w:r>
      <w:r w:rsidRPr="0006096F">
        <w:t>a system of science based on clear and rigorously justified concepts. According to this a</w:t>
      </w:r>
      <w:r w:rsidR="004F0E2D" w:rsidRPr="0006096F">
        <w:t>spect of his work</w:t>
      </w:r>
      <w:r w:rsidRPr="0006096F">
        <w:t xml:space="preserve">, phenomenology is not a </w:t>
      </w:r>
      <w:r w:rsidR="008744D8" w:rsidRPr="0006096F">
        <w:t xml:space="preserve">narrow </w:t>
      </w:r>
      <w:r w:rsidRPr="0006096F">
        <w:t xml:space="preserve">doctrine about consciousness or the mind, but a method with </w:t>
      </w:r>
      <w:r w:rsidR="004F0E2D" w:rsidRPr="0006096F">
        <w:t xml:space="preserve">general </w:t>
      </w:r>
      <w:r w:rsidRPr="0006096F">
        <w:t>implications for a</w:t>
      </w:r>
      <w:r w:rsidR="004F0E2D" w:rsidRPr="0006096F">
        <w:t>ny</w:t>
      </w:r>
      <w:r w:rsidRPr="0006096F">
        <w:t xml:space="preserve"> scien</w:t>
      </w:r>
      <w:r w:rsidR="004F0E2D" w:rsidRPr="0006096F">
        <w:t>tific discipline</w:t>
      </w:r>
      <w:r w:rsidRPr="0006096F">
        <w:t>.</w:t>
      </w:r>
      <w:r w:rsidR="00E35001" w:rsidRPr="0006096F">
        <w:rPr>
          <w:rStyle w:val="FootnoteReference"/>
        </w:rPr>
        <w:footnoteReference w:id="2"/>
      </w:r>
      <w:r w:rsidR="0055258E" w:rsidRPr="0006096F">
        <w:t xml:space="preserve"> </w:t>
      </w:r>
      <w:r w:rsidR="002F6C1F" w:rsidRPr="0006096F">
        <w:t>M</w:t>
      </w:r>
      <w:r w:rsidR="0055258E" w:rsidRPr="0006096F">
        <w:t>any sciences</w:t>
      </w:r>
      <w:r w:rsidR="007C5BBD" w:rsidRPr="0006096F">
        <w:t xml:space="preserve">, </w:t>
      </w:r>
      <w:r w:rsidR="0055258E" w:rsidRPr="0006096F">
        <w:t>to say nothing of ordinary life</w:t>
      </w:r>
      <w:r w:rsidR="007C5BBD" w:rsidRPr="0006096F">
        <w:t xml:space="preserve">, </w:t>
      </w:r>
      <w:r w:rsidR="002062B0" w:rsidRPr="0006096F">
        <w:t xml:space="preserve">employ </w:t>
      </w:r>
      <w:r w:rsidR="0055258E" w:rsidRPr="0006096F">
        <w:t xml:space="preserve">concepts </w:t>
      </w:r>
      <w:r w:rsidR="00D81CA6" w:rsidRPr="0006096F">
        <w:t>unreflectively</w:t>
      </w:r>
      <w:r w:rsidR="00D81CA6">
        <w:t xml:space="preserve">, and in some </w:t>
      </w:r>
      <w:r w:rsidR="00D81CA6">
        <w:lastRenderedPageBreak/>
        <w:t>cases these concepts may lack</w:t>
      </w:r>
      <w:r w:rsidR="00D81CA6" w:rsidRPr="0006096F">
        <w:t xml:space="preserve"> </w:t>
      </w:r>
      <w:r w:rsidR="00D81CA6">
        <w:t xml:space="preserve">a </w:t>
      </w:r>
      <w:r w:rsidR="0055258E" w:rsidRPr="0006096F">
        <w:t xml:space="preserve">clear or consistent sense. </w:t>
      </w:r>
      <w:r w:rsidRPr="0006096F">
        <w:t>Husserl believed that his phenomenology involved a method of concept formation</w:t>
      </w:r>
      <w:r w:rsidR="0055258E" w:rsidRPr="0006096F">
        <w:t xml:space="preserve"> that could address this scientific deficiency</w:t>
      </w:r>
      <w:r w:rsidRPr="0006096F">
        <w:t>.</w:t>
      </w:r>
      <w:r w:rsidR="0055258E" w:rsidRPr="0006096F">
        <w:t xml:space="preserve"> He was most interested in phenomenology’s role in constructing </w:t>
      </w:r>
      <w:r w:rsidR="00CB44A9">
        <w:t>“</w:t>
      </w:r>
      <w:r w:rsidR="0055258E" w:rsidRPr="0006096F">
        <w:t>pure</w:t>
      </w:r>
      <w:r w:rsidR="00CB44A9">
        <w:t>”</w:t>
      </w:r>
      <w:r w:rsidR="0055258E" w:rsidRPr="0006096F">
        <w:t xml:space="preserve"> or </w:t>
      </w:r>
      <w:r w:rsidR="00CB44A9">
        <w:t>“</w:t>
      </w:r>
      <w:r w:rsidR="0055258E" w:rsidRPr="0006096F">
        <w:t>eidetic</w:t>
      </w:r>
      <w:r w:rsidR="00CB44A9">
        <w:t>”</w:t>
      </w:r>
      <w:r w:rsidR="0055258E" w:rsidRPr="0006096F">
        <w:t xml:space="preserve"> concepts. Since these terms, as used by Husserl, seem foreign to contemporary </w:t>
      </w:r>
      <w:r w:rsidR="007D0D46" w:rsidRPr="0006096F">
        <w:t>philosophy</w:t>
      </w:r>
      <w:r w:rsidR="0055258E" w:rsidRPr="0006096F">
        <w:t xml:space="preserve">, Husserl’s project </w:t>
      </w:r>
      <w:r w:rsidR="007D0D46" w:rsidRPr="0006096F">
        <w:t>may be</w:t>
      </w:r>
      <w:r w:rsidR="0055258E" w:rsidRPr="0006096F">
        <w:t xml:space="preserve"> seen to be idiosyncratic or otherwise otiose. However, </w:t>
      </w:r>
      <w:r w:rsidR="00736258" w:rsidRPr="0006096F">
        <w:t>Husserl’s attention to the role of concepts in methodological issues of interest to philosophers is extensive</w:t>
      </w:r>
      <w:r w:rsidR="00125D8F">
        <w:t>,</w:t>
      </w:r>
      <w:r w:rsidR="00736258" w:rsidRPr="0006096F">
        <w:t xml:space="preserve"> </w:t>
      </w:r>
      <w:r w:rsidR="00B06AD9" w:rsidRPr="0006096F">
        <w:t>and its relevance does not demand adherence to phenomenology in a narrow sense</w:t>
      </w:r>
      <w:r w:rsidR="00736258" w:rsidRPr="0006096F">
        <w:t>.</w:t>
      </w:r>
      <w:r w:rsidR="00736258" w:rsidRPr="0006096F">
        <w:rPr>
          <w:rStyle w:val="FootnoteReference"/>
        </w:rPr>
        <w:footnoteReference w:id="3"/>
      </w:r>
      <w:r w:rsidR="00736258" w:rsidRPr="0006096F">
        <w:t xml:space="preserve"> Since </w:t>
      </w:r>
      <w:r w:rsidR="00B06AD9" w:rsidRPr="0006096F">
        <w:t xml:space="preserve">Husserl’s view of philosophical concepts </w:t>
      </w:r>
      <w:r w:rsidR="00736258" w:rsidRPr="0006096F">
        <w:t xml:space="preserve">has been largely eclipsed in </w:t>
      </w:r>
      <w:r w:rsidR="00B06AD9" w:rsidRPr="0006096F">
        <w:t xml:space="preserve">his </w:t>
      </w:r>
      <w:r w:rsidR="00736258" w:rsidRPr="0006096F">
        <w:t>reception, it is worth taking a second look.</w:t>
      </w:r>
    </w:p>
    <w:p w14:paraId="6C82D533" w14:textId="77777777" w:rsidR="002062B0" w:rsidRPr="0006096F" w:rsidRDefault="002062B0" w:rsidP="00B95D2D">
      <w:r w:rsidRPr="0006096F">
        <w:t>The relevance of Husserl’s view of concept formation is especially apparent given the turn in recent metaphilosophical literature from the traditional notion of conceptual analysis to more constructive methods such as conceptual engineering.</w:t>
      </w:r>
      <w:r w:rsidR="00D81CA6">
        <w:rPr>
          <w:rStyle w:val="FootnoteReference"/>
        </w:rPr>
        <w:footnoteReference w:id="4"/>
      </w:r>
      <w:r w:rsidRPr="0006096F">
        <w:t xml:space="preserve"> As I will shortly argue, Husserl claims that many concepts that result from constructive methods are </w:t>
      </w:r>
      <w:r w:rsidR="004E2CA1" w:rsidRPr="0006096F">
        <w:t>‘</w:t>
      </w:r>
      <w:r w:rsidRPr="0006096F">
        <w:t>pure</w:t>
      </w:r>
      <w:r w:rsidR="004E2CA1" w:rsidRPr="0006096F">
        <w:t>’</w:t>
      </w:r>
      <w:r w:rsidRPr="0006096F">
        <w:t xml:space="preserve"> concepts. Since he gives this term a potentially wider application than other philosophers </w:t>
      </w:r>
      <w:r w:rsidR="00E35001" w:rsidRPr="0006096F">
        <w:t>(</w:t>
      </w:r>
      <w:r w:rsidRPr="0006096F">
        <w:t>such as Kant</w:t>
      </w:r>
      <w:r w:rsidR="00E35001" w:rsidRPr="0006096F">
        <w:t>)</w:t>
      </w:r>
      <w:r w:rsidRPr="0006096F">
        <w:t xml:space="preserve">, this claim is not absurd on its face, as it may seem to be. </w:t>
      </w:r>
      <w:r w:rsidR="007A7D71" w:rsidRPr="0006096F">
        <w:t xml:space="preserve">Indeed, Husserl shows how pure concepts need not be as rare as they might be supposed to be, and that phenomenological concepts that correspond to mental terms are a particularly important class of pure concepts. </w:t>
      </w:r>
      <w:r w:rsidR="00F3559D" w:rsidRPr="0006096F">
        <w:t xml:space="preserve">However, the relation of Husserl’s project of phenomenology to his views on pure and empirical concepts formation is </w:t>
      </w:r>
      <w:r w:rsidR="00D81CA6">
        <w:t xml:space="preserve">typically ignored or misunderstood. </w:t>
      </w:r>
    </w:p>
    <w:p w14:paraId="723A02A8" w14:textId="77777777" w:rsidR="00F3559D" w:rsidRPr="0006096F" w:rsidRDefault="00F3559D" w:rsidP="00B95D2D">
      <w:r w:rsidRPr="0006096F">
        <w:lastRenderedPageBreak/>
        <w:t xml:space="preserve">I </w:t>
      </w:r>
      <w:r w:rsidR="00D81CA6">
        <w:t>hope to show that the</w:t>
      </w:r>
      <w:r w:rsidRPr="0006096F">
        <w:t xml:space="preserve"> most significant feature of Husserl’s conception of concept formation is his view of the way that pure and empirical concepts may </w:t>
      </w:r>
      <w:r w:rsidRPr="0006096F">
        <w:rPr>
          <w:i/>
        </w:rPr>
        <w:t>overlap</w:t>
      </w:r>
      <w:r w:rsidRPr="0006096F">
        <w:t xml:space="preserve"> in such a way that the distinction between </w:t>
      </w:r>
      <w:r w:rsidR="00D81CA6">
        <w:t>might be easily</w:t>
      </w:r>
      <w:r w:rsidRPr="0006096F">
        <w:t xml:space="preserve"> overlooked. The possibility of a pure/empirical conceptual overlap is</w:t>
      </w:r>
      <w:r w:rsidR="00D05A4D" w:rsidRPr="0006096F">
        <w:t xml:space="preserve"> nearly</w:t>
      </w:r>
      <w:r w:rsidRPr="0006096F">
        <w:t xml:space="preserve"> ever-present according to Husserl</w:t>
      </w:r>
      <w:r w:rsidR="00367DCB" w:rsidRPr="0006096F">
        <w:t xml:space="preserve">, so that overlooking the proper basis of this distinction leads to systematic conceptual ambiguities. </w:t>
      </w:r>
      <w:r w:rsidRPr="0006096F">
        <w:t xml:space="preserve">Accordingly, a problem I will call </w:t>
      </w:r>
      <w:r w:rsidR="00035621" w:rsidRPr="0006096F">
        <w:t>(</w:t>
      </w:r>
      <w:r w:rsidR="002F6C1F" w:rsidRPr="0006096F">
        <w:t>borrowing</w:t>
      </w:r>
      <w:r w:rsidR="00035621" w:rsidRPr="0006096F">
        <w:t xml:space="preserve"> </w:t>
      </w:r>
      <w:r w:rsidR="002F6C1F" w:rsidRPr="0006096F">
        <w:t>a</w:t>
      </w:r>
      <w:r w:rsidR="00035621" w:rsidRPr="0006096F">
        <w:t xml:space="preserve"> Kantian term) </w:t>
      </w:r>
      <w:r w:rsidR="00C662E6">
        <w:t>“</w:t>
      </w:r>
      <w:r w:rsidRPr="0006096F">
        <w:t>transcendental amphiboly</w:t>
      </w:r>
      <w:r w:rsidR="00C662E6">
        <w:t>”</w:t>
      </w:r>
      <w:r w:rsidRPr="0006096F">
        <w:t xml:space="preserve"> threatens any enterprise that endeavors to construct pure concepts. </w:t>
      </w:r>
      <w:r w:rsidR="00643278" w:rsidRPr="0006096F">
        <w:t>In short, a</w:t>
      </w:r>
      <w:r w:rsidR="003E1AA4" w:rsidRPr="0006096F">
        <w:t>lmost any</w:t>
      </w:r>
      <w:r w:rsidR="00643278" w:rsidRPr="0006096F">
        <w:t xml:space="preserve"> pure concept that has application can be interpreted as if it were an empirical concept</w:t>
      </w:r>
      <w:r w:rsidR="00035621" w:rsidRPr="0006096F">
        <w:t xml:space="preserve">, and </w:t>
      </w:r>
      <w:r w:rsidR="00035621" w:rsidRPr="0006096F">
        <w:rPr>
          <w:i/>
        </w:rPr>
        <w:t>vice versa</w:t>
      </w:r>
      <w:r w:rsidR="00643278" w:rsidRPr="0006096F">
        <w:t xml:space="preserve">. Yet Husserl shows that the difference between pure and empirical concepts is manifest both in the method of formation proper to each, but also in their respective modal or counterfactual content. Since Husserl’s way of distinguishing pure and empirical concepts does not depend on commitments peculiar to the phenomenological </w:t>
      </w:r>
      <w:r w:rsidR="005701CD" w:rsidRPr="0006096F">
        <w:t>tradition</w:t>
      </w:r>
      <w:r w:rsidR="00643278" w:rsidRPr="0006096F">
        <w:t xml:space="preserve">, the warning of transcendental amphiboly that can be found and mitigated in his work may </w:t>
      </w:r>
      <w:r w:rsidR="004F0E2D" w:rsidRPr="0006096F">
        <w:t>be instructive</w:t>
      </w:r>
      <w:r w:rsidR="00643278" w:rsidRPr="0006096F">
        <w:t xml:space="preserve"> to contemporary conceptual methods in philosophy. </w:t>
      </w:r>
      <w:r w:rsidR="002F6C1F" w:rsidRPr="0006096F">
        <w:t>I suspect that the new interest in conceptual engineering may have much to learn from Husse</w:t>
      </w:r>
      <w:r w:rsidR="00967CA8" w:rsidRPr="0006096F">
        <w:t>rl.</w:t>
      </w:r>
    </w:p>
    <w:p w14:paraId="3684CE0F" w14:textId="77777777" w:rsidR="004F0E2D" w:rsidRPr="0006096F" w:rsidRDefault="004F0E2D" w:rsidP="00B95D2D"/>
    <w:p w14:paraId="1FE1E600" w14:textId="77777777" w:rsidR="004F0E2D" w:rsidRPr="0006096F" w:rsidRDefault="009B6F9B" w:rsidP="00B95D2D">
      <w:pPr>
        <w:pStyle w:val="Heading2"/>
        <w:numPr>
          <w:ilvl w:val="0"/>
          <w:numId w:val="17"/>
        </w:numPr>
      </w:pPr>
      <w:r w:rsidRPr="0006096F">
        <w:t>Conceptual Types and Concept Formation</w:t>
      </w:r>
    </w:p>
    <w:p w14:paraId="38414B98" w14:textId="77777777" w:rsidR="00232642" w:rsidRPr="0006096F" w:rsidRDefault="004F0E2D" w:rsidP="00B95D2D">
      <w:r w:rsidRPr="0006096F">
        <w:t xml:space="preserve">Philosophers and psychologists often speak of concepts using single words as if they referred to a definite content and could be characterized by certain properties. For example, Kant said that </w:t>
      </w:r>
      <w:r w:rsidRPr="0006096F">
        <w:rPr>
          <w:i/>
        </w:rPr>
        <w:t>gold</w:t>
      </w:r>
      <w:r w:rsidRPr="0006096F">
        <w:t xml:space="preserve"> is an empirical concept</w:t>
      </w:r>
      <w:r w:rsidR="001A5C9B" w:rsidRPr="0006096F">
        <w:t xml:space="preserve"> </w:t>
      </w:r>
      <w:r w:rsidR="006D2390">
        <w:t>(</w:t>
      </w:r>
      <w:r w:rsidR="0047497E">
        <w:t xml:space="preserve">cf. </w:t>
      </w:r>
      <w:r w:rsidR="00FB4DD9">
        <w:t xml:space="preserve">1998, </w:t>
      </w:r>
      <w:r w:rsidR="006D2390">
        <w:t xml:space="preserve">A 721/B 749) </w:t>
      </w:r>
      <w:r w:rsidR="001A5C9B" w:rsidRPr="0006096F">
        <w:t xml:space="preserve">and </w:t>
      </w:r>
      <w:r w:rsidR="00795A85" w:rsidRPr="0006096F">
        <w:t xml:space="preserve">that </w:t>
      </w:r>
      <w:r w:rsidR="001A5C9B" w:rsidRPr="0006096F">
        <w:rPr>
          <w:i/>
        </w:rPr>
        <w:t>good</w:t>
      </w:r>
      <w:r w:rsidR="001A5C9B" w:rsidRPr="0006096F">
        <w:t xml:space="preserve"> is not. </w:t>
      </w:r>
      <w:r w:rsidR="00795A85" w:rsidRPr="0006096F">
        <w:t xml:space="preserve">Saul </w:t>
      </w:r>
      <w:proofErr w:type="spellStart"/>
      <w:r w:rsidR="00795A85" w:rsidRPr="0006096F">
        <w:t>Kripke</w:t>
      </w:r>
      <w:proofErr w:type="spellEnd"/>
      <w:r w:rsidR="001A5C9B" w:rsidRPr="0006096F">
        <w:t xml:space="preserve"> argued that </w:t>
      </w:r>
      <w:r w:rsidR="00647AA4">
        <w:rPr>
          <w:i/>
        </w:rPr>
        <w:t xml:space="preserve">heat </w:t>
      </w:r>
      <w:r w:rsidR="001A5C9B" w:rsidRPr="0006096F">
        <w:t xml:space="preserve">is a </w:t>
      </w:r>
      <w:r w:rsidR="00C662E6">
        <w:t>“</w:t>
      </w:r>
      <w:r w:rsidR="001A5C9B" w:rsidRPr="0006096F">
        <w:t>rigid designator</w:t>
      </w:r>
      <w:r w:rsidR="00C662E6">
        <w:t>”</w:t>
      </w:r>
      <w:r w:rsidR="00647AA4">
        <w:t xml:space="preserve"> (1980, </w:t>
      </w:r>
      <w:r w:rsidR="00176495">
        <w:t xml:space="preserve">p. </w:t>
      </w:r>
      <w:r w:rsidR="00647AA4">
        <w:t>152)</w:t>
      </w:r>
      <w:r w:rsidR="001A5C9B" w:rsidRPr="0006096F">
        <w:t xml:space="preserve">. Though these philosophers </w:t>
      </w:r>
      <w:r w:rsidR="006F465F" w:rsidRPr="0006096F">
        <w:t xml:space="preserve">may not </w:t>
      </w:r>
      <w:r w:rsidR="001A5C9B" w:rsidRPr="0006096F">
        <w:t xml:space="preserve">expect that everyone would attach the same meaning to these terms, they speak about </w:t>
      </w:r>
      <w:r w:rsidR="001A5C9B" w:rsidRPr="0006096F">
        <w:lastRenderedPageBreak/>
        <w:t xml:space="preserve">certain definite </w:t>
      </w:r>
      <w:r w:rsidR="00BD66AA">
        <w:t>“</w:t>
      </w:r>
      <w:r w:rsidR="001A5C9B" w:rsidRPr="0006096F">
        <w:t>properties</w:t>
      </w:r>
      <w:r w:rsidR="00BD66AA">
        <w:t>”</w:t>
      </w:r>
      <w:r w:rsidR="001A5C9B" w:rsidRPr="0006096F">
        <w:t xml:space="preserve"> of concepts</w:t>
      </w:r>
      <w:r w:rsidR="000F6CD8" w:rsidRPr="0006096F">
        <w:t xml:space="preserve"> o</w:t>
      </w:r>
      <w:r w:rsidR="00D81CA6">
        <w:t>r</w:t>
      </w:r>
      <w:r w:rsidR="000F6CD8" w:rsidRPr="0006096F">
        <w:t xml:space="preserve"> terms</w:t>
      </w:r>
      <w:r w:rsidR="001A5C9B" w:rsidRPr="0006096F">
        <w:t xml:space="preserve">. </w:t>
      </w:r>
      <w:r w:rsidR="00B723D4" w:rsidRPr="0006096F">
        <w:t>Perhaps they would admit that different properties can be attached to these concepts, but that if so, they would be different concepts altogether.</w:t>
      </w:r>
      <w:r w:rsidR="009B65EF">
        <w:t xml:space="preserve"> </w:t>
      </w:r>
      <w:r w:rsidR="003E1AA4" w:rsidRPr="0006096F">
        <w:t xml:space="preserve">I will call such predicates (like </w:t>
      </w:r>
      <w:r w:rsidR="00C662E6">
        <w:t>“</w:t>
      </w:r>
      <w:r w:rsidR="003E1AA4" w:rsidRPr="0006096F">
        <w:t>empirical</w:t>
      </w:r>
      <w:r w:rsidR="004E2CA1" w:rsidRPr="0006096F">
        <w:t>,</w:t>
      </w:r>
      <w:r w:rsidR="00C662E6">
        <w:t>”</w:t>
      </w:r>
      <w:r w:rsidR="003E1AA4" w:rsidRPr="0006096F">
        <w:t xml:space="preserve"> </w:t>
      </w:r>
      <w:r w:rsidR="00C662E6">
        <w:t>“</w:t>
      </w:r>
      <w:r w:rsidR="003E1AA4" w:rsidRPr="0006096F">
        <w:t>rigid,</w:t>
      </w:r>
      <w:r w:rsidR="00C662E6">
        <w:t>”</w:t>
      </w:r>
      <w:r w:rsidR="003E1AA4" w:rsidRPr="0006096F">
        <w:t xml:space="preserve"> </w:t>
      </w:r>
      <w:r w:rsidR="00C662E6">
        <w:t>“</w:t>
      </w:r>
      <w:r w:rsidR="003E1AA4" w:rsidRPr="0006096F">
        <w:t>singular</w:t>
      </w:r>
      <w:r w:rsidR="00C662E6">
        <w:t>,”</w:t>
      </w:r>
      <w:r w:rsidR="003E1AA4" w:rsidRPr="0006096F">
        <w:t xml:space="preserve"> </w:t>
      </w:r>
      <w:r w:rsidR="00C662E6">
        <w:t>“</w:t>
      </w:r>
      <w:r w:rsidR="003E1AA4" w:rsidRPr="0006096F">
        <w:t>general</w:t>
      </w:r>
      <w:r w:rsidR="00C662E6">
        <w:t>”</w:t>
      </w:r>
      <w:r w:rsidR="003E1AA4" w:rsidRPr="0006096F">
        <w:t xml:space="preserve">) attached to concepts or words </w:t>
      </w:r>
      <w:r w:rsidR="002F6C1F" w:rsidRPr="0006096F">
        <w:rPr>
          <w:i/>
        </w:rPr>
        <w:t>second-order</w:t>
      </w:r>
      <w:r w:rsidR="003E1AA4" w:rsidRPr="0006096F">
        <w:rPr>
          <w:i/>
        </w:rPr>
        <w:t xml:space="preserve"> attributes</w:t>
      </w:r>
      <w:r w:rsidR="006F465F" w:rsidRPr="0006096F">
        <w:rPr>
          <w:i/>
        </w:rPr>
        <w:t xml:space="preserve"> </w:t>
      </w:r>
      <w:r w:rsidR="006F465F" w:rsidRPr="0006096F">
        <w:t>or</w:t>
      </w:r>
      <w:r w:rsidR="006013D9">
        <w:t xml:space="preserve"> (in some cases)</w:t>
      </w:r>
      <w:r w:rsidR="006F465F" w:rsidRPr="0006096F">
        <w:t xml:space="preserve"> </w:t>
      </w:r>
      <w:r w:rsidR="006F465F" w:rsidRPr="0006096F">
        <w:rPr>
          <w:i/>
        </w:rPr>
        <w:t>types</w:t>
      </w:r>
      <w:r w:rsidR="003E1AA4" w:rsidRPr="0006096F">
        <w:t xml:space="preserve">. </w:t>
      </w:r>
      <w:r w:rsidR="00D81CA6">
        <w:t>Accordingly, t</w:t>
      </w:r>
      <w:r w:rsidR="004A2EA9" w:rsidRPr="0006096F">
        <w:t xml:space="preserve">his </w:t>
      </w:r>
      <w:r w:rsidR="006F465F" w:rsidRPr="0006096F">
        <w:t>essay</w:t>
      </w:r>
      <w:r w:rsidR="004A2EA9" w:rsidRPr="0006096F">
        <w:t xml:space="preserve"> is about what could lead us to think a concept has a non-empirical second-order typ</w:t>
      </w:r>
      <w:r w:rsidR="0054778C" w:rsidRPr="0006096F">
        <w:t>e</w:t>
      </w:r>
      <w:r w:rsidR="004A2EA9" w:rsidRPr="0006096F">
        <w:t xml:space="preserve">. </w:t>
      </w:r>
      <w:r w:rsidR="003E1AA4" w:rsidRPr="0006096F">
        <w:t>I</w:t>
      </w:r>
      <w:r w:rsidR="00B723D4" w:rsidRPr="0006096F">
        <w:t xml:space="preserve">t seems that the correctness of </w:t>
      </w:r>
      <w:r w:rsidR="002F6C1F" w:rsidRPr="0006096F">
        <w:t>second-order</w:t>
      </w:r>
      <w:r w:rsidR="00B723D4" w:rsidRPr="0006096F">
        <w:t xml:space="preserve"> </w:t>
      </w:r>
      <w:r w:rsidR="003E1AA4" w:rsidRPr="0006096F">
        <w:t>attribut</w:t>
      </w:r>
      <w:r w:rsidR="00B06AD9" w:rsidRPr="0006096F">
        <w:t>ion</w:t>
      </w:r>
      <w:r w:rsidR="003E1AA4" w:rsidRPr="0006096F">
        <w:t xml:space="preserve"> </w:t>
      </w:r>
      <w:r w:rsidR="00B723D4" w:rsidRPr="0006096F">
        <w:t xml:space="preserve">must be weighed by considering what is </w:t>
      </w:r>
      <w:r w:rsidR="00B723D4" w:rsidRPr="0006096F">
        <w:rPr>
          <w:i/>
        </w:rPr>
        <w:t>understood</w:t>
      </w:r>
      <w:r w:rsidR="00B723D4" w:rsidRPr="0006096F">
        <w:t xml:space="preserve"> by </w:t>
      </w:r>
      <w:r w:rsidR="00B06AD9" w:rsidRPr="0006096F">
        <w:t>a</w:t>
      </w:r>
      <w:r w:rsidR="00B723D4" w:rsidRPr="0006096F">
        <w:t xml:space="preserve"> term </w:t>
      </w:r>
      <w:r w:rsidR="00B06AD9" w:rsidRPr="0006096F">
        <w:t>for</w:t>
      </w:r>
      <w:r w:rsidR="00B723D4" w:rsidRPr="0006096F">
        <w:t xml:space="preserve"> a given speaker. I do not mean to advance a controversial view here that conceptual content can be individuated by </w:t>
      </w:r>
      <w:r w:rsidR="00C662E6">
        <w:t>“</w:t>
      </w:r>
      <w:r w:rsidR="00B723D4" w:rsidRPr="0006096F">
        <w:t>speaker meaning</w:t>
      </w:r>
      <w:r w:rsidR="00C662E6">
        <w:t>”</w:t>
      </w:r>
      <w:r w:rsidR="00B723D4" w:rsidRPr="0006096F">
        <w:t xml:space="preserve"> or other internalist notions. I simply suggest that if different </w:t>
      </w:r>
      <w:r w:rsidR="002F6C1F" w:rsidRPr="0006096F">
        <w:t>second-order</w:t>
      </w:r>
      <w:r w:rsidR="003E1AA4" w:rsidRPr="0006096F">
        <w:t xml:space="preserve"> attributes</w:t>
      </w:r>
      <w:r w:rsidR="00B723D4" w:rsidRPr="0006096F">
        <w:t xml:space="preserve"> are attached to the same word by different speakers, that difference must</w:t>
      </w:r>
      <w:r w:rsidR="00B06AD9" w:rsidRPr="0006096F">
        <w:t xml:space="preserve">, at least </w:t>
      </w:r>
      <w:r w:rsidR="00B723D4" w:rsidRPr="0006096F">
        <w:t>partly</w:t>
      </w:r>
      <w:r w:rsidR="00B06AD9" w:rsidRPr="0006096F">
        <w:t>,</w:t>
      </w:r>
      <w:r w:rsidR="00B723D4" w:rsidRPr="0006096F">
        <w:t xml:space="preserve"> consist in the way those speakers understand the term. When, for example, one philosophe</w:t>
      </w:r>
      <w:r w:rsidR="007D0D46" w:rsidRPr="0006096F">
        <w:t>r</w:t>
      </w:r>
      <w:r w:rsidR="00E35001" w:rsidRPr="0006096F">
        <w:t xml:space="preserve"> (e.g., </w:t>
      </w:r>
      <w:proofErr w:type="spellStart"/>
      <w:r w:rsidR="00E35001" w:rsidRPr="0006096F">
        <w:t>Kornblith</w:t>
      </w:r>
      <w:proofErr w:type="spellEnd"/>
      <w:r w:rsidR="00176495">
        <w:t>,</w:t>
      </w:r>
      <w:r w:rsidR="00E35001" w:rsidRPr="0006096F">
        <w:t xml:space="preserve"> </w:t>
      </w:r>
      <w:r w:rsidR="006924EF" w:rsidRPr="0006096F">
        <w:t>2002</w:t>
      </w:r>
      <w:r w:rsidR="00E35001" w:rsidRPr="0006096F">
        <w:t>)</w:t>
      </w:r>
      <w:r w:rsidR="00B723D4" w:rsidRPr="0006096F">
        <w:t xml:space="preserve"> claims that </w:t>
      </w:r>
      <w:r w:rsidR="00B723D4" w:rsidRPr="0006096F">
        <w:rPr>
          <w:i/>
        </w:rPr>
        <w:t>knowledge</w:t>
      </w:r>
      <w:r w:rsidR="00B723D4" w:rsidRPr="0006096F">
        <w:t xml:space="preserve"> is an empirical concept that can be studied in nature, and another</w:t>
      </w:r>
      <w:r w:rsidR="00E35001" w:rsidRPr="0006096F">
        <w:t xml:space="preserve"> (e.g., Sellars</w:t>
      </w:r>
      <w:r w:rsidR="00176495">
        <w:t>,</w:t>
      </w:r>
      <w:r w:rsidR="00E35001" w:rsidRPr="0006096F">
        <w:t xml:space="preserve"> 1956)</w:t>
      </w:r>
      <w:r w:rsidR="00B723D4" w:rsidRPr="0006096F">
        <w:t xml:space="preserve"> that it is an exclusively normative concept that cannot be picked out in nature, it is clear they ascribe different </w:t>
      </w:r>
      <w:r w:rsidR="003E1AA4" w:rsidRPr="0006096F">
        <w:t>attributes</w:t>
      </w:r>
      <w:r w:rsidR="00B723D4" w:rsidRPr="0006096F">
        <w:t xml:space="preserve"> to the concept</w:t>
      </w:r>
      <w:r w:rsidR="00232642" w:rsidRPr="0006096F">
        <w:t xml:space="preserve"> or concepts</w:t>
      </w:r>
      <w:r w:rsidR="00B723D4" w:rsidRPr="0006096F">
        <w:t xml:space="preserve">, and this must be because they understand </w:t>
      </w:r>
      <w:r w:rsidR="00232642" w:rsidRPr="0006096F">
        <w:t>the relevant</w:t>
      </w:r>
      <w:r w:rsidR="00B723D4" w:rsidRPr="0006096F">
        <w:t xml:space="preserve"> content quite differently. </w:t>
      </w:r>
      <w:r w:rsidR="003E1AA4" w:rsidRPr="0006096F">
        <w:t xml:space="preserve">This difference in understanding may be purely </w:t>
      </w:r>
      <w:r w:rsidR="003E1AA4" w:rsidRPr="0006096F">
        <w:rPr>
          <w:i/>
        </w:rPr>
        <w:t>extensional</w:t>
      </w:r>
      <w:r w:rsidR="0095667E">
        <w:t>—</w:t>
      </w:r>
      <w:r w:rsidR="003E1AA4" w:rsidRPr="0006096F">
        <w:t xml:space="preserve">they use the terms to classify a different set of </w:t>
      </w:r>
      <w:r w:rsidR="009B65EF">
        <w:t>“</w:t>
      </w:r>
      <w:r w:rsidR="003E1AA4" w:rsidRPr="0006096F">
        <w:t>objects</w:t>
      </w:r>
      <w:r w:rsidR="009B65EF">
        <w:t>”</w:t>
      </w:r>
      <w:r w:rsidR="0095667E">
        <w:t>—</w:t>
      </w:r>
      <w:r w:rsidR="003E1AA4" w:rsidRPr="0006096F">
        <w:t xml:space="preserve">or </w:t>
      </w:r>
      <w:r w:rsidR="003F2CE5" w:rsidRPr="0006096F">
        <w:rPr>
          <w:i/>
        </w:rPr>
        <w:t>intensional</w:t>
      </w:r>
      <w:r w:rsidR="0095667E">
        <w:t>—</w:t>
      </w:r>
      <w:r w:rsidR="003F2CE5" w:rsidRPr="0006096F">
        <w:t xml:space="preserve">they ascribe different definitions or conditions to the terms. But we cannot make sense of different </w:t>
      </w:r>
      <w:r w:rsidR="002F6C1F" w:rsidRPr="0006096F">
        <w:t xml:space="preserve">second-order </w:t>
      </w:r>
      <w:r w:rsidR="003F2CE5" w:rsidRPr="0006096F">
        <w:t xml:space="preserve">attributes unless some such difference in </w:t>
      </w:r>
      <w:r w:rsidR="002F6C1F" w:rsidRPr="0006096F">
        <w:t xml:space="preserve">(first-order) </w:t>
      </w:r>
      <w:r w:rsidR="003F2CE5" w:rsidRPr="0006096F">
        <w:t>understanding is claimed.</w:t>
      </w:r>
    </w:p>
    <w:p w14:paraId="3BFDC589" w14:textId="77777777" w:rsidR="00E35001" w:rsidRPr="0006096F" w:rsidRDefault="00E35001" w:rsidP="00B95D2D">
      <w:r w:rsidRPr="0006096F">
        <w:t xml:space="preserve">The notion of </w:t>
      </w:r>
      <w:r w:rsidR="009B65EF">
        <w:t>“</w:t>
      </w:r>
      <w:r w:rsidRPr="0006096F">
        <w:t>concept formation</w:t>
      </w:r>
      <w:r w:rsidR="009B65EF">
        <w:t>”</w:t>
      </w:r>
      <w:r w:rsidRPr="0006096F">
        <w:t xml:space="preserve"> </w:t>
      </w:r>
      <w:r w:rsidR="00967CA8" w:rsidRPr="0092300F">
        <w:t>is</w:t>
      </w:r>
      <w:r w:rsidR="00967CA8" w:rsidRPr="0006096F">
        <w:t xml:space="preserve"> largely out of currency</w:t>
      </w:r>
      <w:r w:rsidR="00D05A4D" w:rsidRPr="0006096F">
        <w:t>, but it will helpful to use thi</w:t>
      </w:r>
      <w:r w:rsidR="00BB77ED" w:rsidRPr="0006096F">
        <w:t xml:space="preserve">s </w:t>
      </w:r>
      <w:r w:rsidR="00D05A4D" w:rsidRPr="0006096F">
        <w:t>term to designate the way that a concept comes to be understood by someone</w:t>
      </w:r>
      <w:r w:rsidRPr="0006096F">
        <w:t xml:space="preserve">. </w:t>
      </w:r>
      <w:r w:rsidR="002F6C1F" w:rsidRPr="0006096F">
        <w:t xml:space="preserve">For Husserl, concept formation </w:t>
      </w:r>
      <w:r w:rsidR="00D36FC2">
        <w:t>(</w:t>
      </w:r>
      <w:proofErr w:type="spellStart"/>
      <w:r w:rsidR="00D36FC2" w:rsidRPr="0092300F">
        <w:rPr>
          <w:i/>
          <w:iCs/>
        </w:rPr>
        <w:t>Begriffsbildung</w:t>
      </w:r>
      <w:proofErr w:type="spellEnd"/>
      <w:r w:rsidR="00D36FC2">
        <w:t xml:space="preserve">) </w:t>
      </w:r>
      <w:r w:rsidR="00E75DB0">
        <w:t xml:space="preserve">should </w:t>
      </w:r>
      <w:r w:rsidR="00D05A4D" w:rsidRPr="0006096F">
        <w:t>not be identified with</w:t>
      </w:r>
      <w:r w:rsidR="002F6C1F" w:rsidRPr="0006096F">
        <w:t xml:space="preserve"> concept acquisition, </w:t>
      </w:r>
      <w:r w:rsidR="002F6C1F" w:rsidRPr="0006096F">
        <w:lastRenderedPageBreak/>
        <w:t>which we might think of as an individual psychological process</w:t>
      </w:r>
      <w:r w:rsidR="00BC5568" w:rsidRPr="0006096F">
        <w:t>, even though the psychological acquisition may be relevant to concept formation</w:t>
      </w:r>
      <w:r w:rsidR="002F6C1F" w:rsidRPr="0006096F">
        <w:t>. Concept formation can be understood as an idealized genetic account of how a concept could acquire the content it has</w:t>
      </w:r>
      <w:r w:rsidR="00E75DB0">
        <w:t xml:space="preserve"> for an individual, but such that the content of the concept is shared by other thinkers</w:t>
      </w:r>
      <w:r w:rsidR="002F6C1F" w:rsidRPr="0006096F">
        <w:t xml:space="preserve">. </w:t>
      </w:r>
      <w:r w:rsidR="00E75DB0">
        <w:t xml:space="preserve">The account of concept formation, for example, could detail whether there are logical or conceptual prerequisites for the understanding of a concept, or how the concept relates to perceptual cases. </w:t>
      </w:r>
      <w:r w:rsidR="00BC5568" w:rsidRPr="0006096F">
        <w:t>Thus</w:t>
      </w:r>
      <w:r w:rsidRPr="0006096F">
        <w:t xml:space="preserve">, specifying a hypothetical account of how a concept is or can typically </w:t>
      </w:r>
      <w:r w:rsidR="003610C9" w:rsidRPr="0006096F">
        <w:t xml:space="preserve">be </w:t>
      </w:r>
      <w:r w:rsidRPr="0006096F">
        <w:t xml:space="preserve">formed seems like a reasonable method for clarifying type-distinctions between different conceptual attributes. </w:t>
      </w:r>
    </w:p>
    <w:p w14:paraId="118FDEE8" w14:textId="77777777" w:rsidR="00B723D4" w:rsidRPr="0006096F" w:rsidRDefault="00B723D4" w:rsidP="00B95D2D">
      <w:r w:rsidRPr="0006096F">
        <w:t xml:space="preserve">Our question for Husserl is how we should understand these differences in </w:t>
      </w:r>
      <w:r w:rsidR="00E35001" w:rsidRPr="0006096F">
        <w:t xml:space="preserve">modes </w:t>
      </w:r>
      <w:r w:rsidR="00850D8A" w:rsidRPr="0006096F">
        <w:t xml:space="preserve">of </w:t>
      </w:r>
      <w:r w:rsidR="00E35001" w:rsidRPr="0006096F">
        <w:t>formation,</w:t>
      </w:r>
      <w:r w:rsidRPr="0006096F">
        <w:t xml:space="preserve"> such that it can be correctly said that a concept C</w:t>
      </w:r>
      <w:r w:rsidR="006F465F" w:rsidRPr="0006096F">
        <w:t xml:space="preserve"> </w:t>
      </w:r>
      <w:r w:rsidRPr="0006096F">
        <w:t>is an empirical concept, whereas a concept C*</w:t>
      </w:r>
      <w:r w:rsidR="006F465F" w:rsidRPr="0006096F">
        <w:t xml:space="preserve"> </w:t>
      </w:r>
      <w:r w:rsidRPr="0006096F">
        <w:t>is a pure concept, even where C and C* are (or can be) expressed by the same word in the language (</w:t>
      </w:r>
      <w:r w:rsidR="003F2CE5" w:rsidRPr="0006096F">
        <w:t xml:space="preserve">e.g., </w:t>
      </w:r>
      <w:r w:rsidR="00C662E6">
        <w:t>“</w:t>
      </w:r>
      <w:r w:rsidRPr="0006096F">
        <w:t>knowledge</w:t>
      </w:r>
      <w:r w:rsidR="00C662E6">
        <w:t>”</w:t>
      </w:r>
      <w:r w:rsidRPr="0006096F">
        <w:t xml:space="preserve">). Obviously, I will have to go some way to argue on behalf of Husserl that the class of pure concepts is not empty if the discussion is to have any purchase. </w:t>
      </w:r>
      <w:r w:rsidR="009E5A54" w:rsidRPr="0006096F">
        <w:t>But first: what are concepts, and how are they formed at all?</w:t>
      </w:r>
    </w:p>
    <w:p w14:paraId="57671E5B" w14:textId="77777777" w:rsidR="00067630" w:rsidRPr="0006096F" w:rsidRDefault="001C092C" w:rsidP="00B95D2D">
      <w:r w:rsidRPr="0006096F">
        <w:t xml:space="preserve">For our purposes, Husserl’s </w:t>
      </w:r>
      <w:r w:rsidR="006924EF" w:rsidRPr="0006096F">
        <w:t xml:space="preserve">general </w:t>
      </w:r>
      <w:r w:rsidRPr="0006096F">
        <w:t>understanding of concepts can be simplified</w:t>
      </w:r>
      <w:r w:rsidR="004A2EA9" w:rsidRPr="0006096F">
        <w:t xml:space="preserve"> to some basic elements</w:t>
      </w:r>
      <w:r w:rsidRPr="0006096F">
        <w:t>.</w:t>
      </w:r>
      <w:r w:rsidR="004A2EA9" w:rsidRPr="0006096F">
        <w:rPr>
          <w:rStyle w:val="FootnoteReference"/>
        </w:rPr>
        <w:footnoteReference w:id="5"/>
      </w:r>
      <w:r w:rsidR="006924EF" w:rsidRPr="0006096F">
        <w:t xml:space="preserve"> </w:t>
      </w:r>
      <w:r w:rsidR="00B941E7" w:rsidRPr="0006096F">
        <w:t>First,</w:t>
      </w:r>
      <w:r w:rsidR="00BC5568" w:rsidRPr="0006096F">
        <w:t xml:space="preserve"> unlike now-dominant conceptions,</w:t>
      </w:r>
      <w:r w:rsidR="00B941E7" w:rsidRPr="0006096F">
        <w:t xml:space="preserve"> </w:t>
      </w:r>
      <w:r w:rsidRPr="0006096F">
        <w:t xml:space="preserve">Husserl does not believe that all ‘mental representations’ should be called concepts. Rather, concepts arise when our attitude toward experience is no longer (as it begins) purely passive and receptive, but when we take an explicitly </w:t>
      </w:r>
      <w:r w:rsidRPr="0006096F">
        <w:rPr>
          <w:i/>
        </w:rPr>
        <w:t>predicative</w:t>
      </w:r>
      <w:r w:rsidRPr="0006096F">
        <w:t xml:space="preserve"> stance</w:t>
      </w:r>
      <w:r w:rsidR="00067630" w:rsidRPr="0006096F">
        <w:t xml:space="preserve">: we treat </w:t>
      </w:r>
      <w:r w:rsidR="00B941E7" w:rsidRPr="0006096F">
        <w:t>something</w:t>
      </w:r>
      <w:r w:rsidR="00067630" w:rsidRPr="0006096F">
        <w:t xml:space="preserve"> </w:t>
      </w:r>
      <w:r w:rsidR="00B941E7" w:rsidRPr="0006096F">
        <w:t xml:space="preserve">determinately </w:t>
      </w:r>
      <w:r w:rsidR="00067630" w:rsidRPr="0006096F">
        <w:rPr>
          <w:i/>
        </w:rPr>
        <w:t>as something</w:t>
      </w:r>
      <w:r w:rsidR="00067630" w:rsidRPr="0006096F">
        <w:t xml:space="preserve"> or we claim </w:t>
      </w:r>
      <w:r w:rsidR="00B941E7" w:rsidRPr="0006096F">
        <w:lastRenderedPageBreak/>
        <w:t xml:space="preserve">something </w:t>
      </w:r>
      <w:r w:rsidR="00B941E7" w:rsidRPr="0006096F">
        <w:rPr>
          <w:i/>
        </w:rPr>
        <w:t>is something</w:t>
      </w:r>
      <w:r w:rsidR="00067630" w:rsidRPr="0006096F">
        <w:t xml:space="preserve">. Husserl uses </w:t>
      </w:r>
      <w:r w:rsidR="00C662E6">
        <w:t>“</w:t>
      </w:r>
      <w:r w:rsidR="00067630" w:rsidRPr="0006096F">
        <w:t>concept</w:t>
      </w:r>
      <w:r w:rsidR="00C662E6">
        <w:t>”</w:t>
      </w:r>
      <w:r w:rsidR="00067630" w:rsidRPr="0006096F">
        <w:t xml:space="preserve"> (</w:t>
      </w:r>
      <w:proofErr w:type="spellStart"/>
      <w:r w:rsidR="00067630" w:rsidRPr="0006096F">
        <w:rPr>
          <w:i/>
        </w:rPr>
        <w:t>Begriff</w:t>
      </w:r>
      <w:proofErr w:type="spellEnd"/>
      <w:r w:rsidR="00067630" w:rsidRPr="0006096F">
        <w:t xml:space="preserve">) or </w:t>
      </w:r>
      <w:r w:rsidR="00C662E6">
        <w:t>“</w:t>
      </w:r>
      <w:r w:rsidR="00067630" w:rsidRPr="0006096F">
        <w:t>comprehending</w:t>
      </w:r>
      <w:r w:rsidR="00C662E6">
        <w:t xml:space="preserve">” </w:t>
      </w:r>
      <w:r w:rsidR="00067630" w:rsidRPr="0006096F">
        <w:t>(</w:t>
      </w:r>
      <w:proofErr w:type="spellStart"/>
      <w:r w:rsidR="00067630" w:rsidRPr="0006096F">
        <w:rPr>
          <w:i/>
        </w:rPr>
        <w:t>Begreifen</w:t>
      </w:r>
      <w:proofErr w:type="spellEnd"/>
      <w:r w:rsidR="00067630" w:rsidRPr="0006096F">
        <w:t>), then, to distinguish an active mental attitude as opposed to a passive and receptive one</w:t>
      </w:r>
      <w:r w:rsidR="007446A0" w:rsidRPr="0006096F">
        <w:t xml:space="preserve"> </w:t>
      </w:r>
      <w:r w:rsidR="00067630" w:rsidRPr="0006096F">
        <w:t xml:space="preserve">which he sometimes calls </w:t>
      </w:r>
      <w:r w:rsidR="00C662E6">
        <w:t>“</w:t>
      </w:r>
      <w:r w:rsidR="00067630" w:rsidRPr="0006096F">
        <w:t>prelogical</w:t>
      </w:r>
      <w:r w:rsidR="00C662E6">
        <w:t>”</w:t>
      </w:r>
      <w:r w:rsidR="00067630" w:rsidRPr="0006096F">
        <w:t xml:space="preserve"> or </w:t>
      </w:r>
      <w:r w:rsidR="00C662E6">
        <w:t>“</w:t>
      </w:r>
      <w:proofErr w:type="spellStart"/>
      <w:r w:rsidR="00067630" w:rsidRPr="0006096F">
        <w:t>prepredicative</w:t>
      </w:r>
      <w:proofErr w:type="spellEnd"/>
      <w:r w:rsidR="004E2CA1" w:rsidRPr="0006096F">
        <w:t>.</w:t>
      </w:r>
      <w:r w:rsidR="00C662E6">
        <w:t>”</w:t>
      </w:r>
      <w:r w:rsidR="00067630" w:rsidRPr="0006096F">
        <w:t xml:space="preserve"> All of us are sometimes in a </w:t>
      </w:r>
      <w:proofErr w:type="spellStart"/>
      <w:r w:rsidR="00067630" w:rsidRPr="0006096F">
        <w:t>prepredicative</w:t>
      </w:r>
      <w:proofErr w:type="spellEnd"/>
      <w:r w:rsidR="00067630" w:rsidRPr="0006096F">
        <w:t xml:space="preserve"> state, for Husserl, and it is only by having a receptive</w:t>
      </w:r>
      <w:r w:rsidR="007446A0" w:rsidRPr="0006096F">
        <w:t xml:space="preserve"> or passive</w:t>
      </w:r>
      <w:r w:rsidR="00067630" w:rsidRPr="0006096F">
        <w:t xml:space="preserve"> layer in our experience that there is </w:t>
      </w:r>
      <w:r w:rsidR="00C662E6">
        <w:t>“</w:t>
      </w:r>
      <w:r w:rsidR="00067630" w:rsidRPr="0006096F">
        <w:t>material</w:t>
      </w:r>
      <w:r w:rsidR="00C662E6">
        <w:t>”</w:t>
      </w:r>
      <w:r w:rsidR="00067630" w:rsidRPr="0006096F">
        <w:t xml:space="preserve"> for us to conceptualize. For example, we might notice that the wrinkle we saw in our mother’s smile resembles that of our grandmother’s. Taking notice in this way is an activity that actively </w:t>
      </w:r>
      <w:r w:rsidR="00C662E6">
        <w:t>“</w:t>
      </w:r>
      <w:r w:rsidR="00067630" w:rsidRPr="0006096F">
        <w:t>synthesizes</w:t>
      </w:r>
      <w:r w:rsidR="00C662E6">
        <w:t>”</w:t>
      </w:r>
      <w:r w:rsidR="00067630" w:rsidRPr="0006096F">
        <w:t xml:space="preserve"> two disparate experiences, now treated as similar.</w:t>
      </w:r>
      <w:r w:rsidR="00542B5D" w:rsidRPr="0006096F">
        <w:rPr>
          <w:rStyle w:val="FootnoteReference"/>
        </w:rPr>
        <w:footnoteReference w:id="6"/>
      </w:r>
      <w:r w:rsidR="00067630" w:rsidRPr="0006096F">
        <w:t xml:space="preserve"> We did not have to do this; the similarity</w:t>
      </w:r>
      <w:r w:rsidR="00D1016C" w:rsidRPr="0006096F">
        <w:t xml:space="preserve"> might have escaped our notice. But t</w:t>
      </w:r>
      <w:r w:rsidR="00067630" w:rsidRPr="0006096F">
        <w:t>h</w:t>
      </w:r>
      <w:r w:rsidR="00D1016C" w:rsidRPr="0006096F">
        <w:t>e</w:t>
      </w:r>
      <w:r w:rsidR="00067630" w:rsidRPr="0006096F">
        <w:t xml:space="preserve"> treatment is an activity that may result in a concept</w:t>
      </w:r>
      <w:r w:rsidR="00067630" w:rsidRPr="0006096F">
        <w:rPr>
          <w:i/>
        </w:rPr>
        <w:t xml:space="preserve">. </w:t>
      </w:r>
      <w:r w:rsidR="00067630" w:rsidRPr="0006096F">
        <w:t xml:space="preserve">Since all conceptualizing is an activity, it is proper for Husserl to speak of </w:t>
      </w:r>
      <w:r w:rsidR="00C662E6">
        <w:t>“</w:t>
      </w:r>
      <w:r w:rsidR="00067630" w:rsidRPr="0006096F">
        <w:t>concept formation</w:t>
      </w:r>
      <w:r w:rsidR="00C662E6">
        <w:t>.”</w:t>
      </w:r>
      <w:r w:rsidR="00067630" w:rsidRPr="0006096F">
        <w:t xml:space="preserve"> </w:t>
      </w:r>
    </w:p>
    <w:p w14:paraId="2A046C1E" w14:textId="77777777" w:rsidR="001C092C" w:rsidRPr="0006096F" w:rsidRDefault="001C092C" w:rsidP="00B95D2D">
      <w:r w:rsidRPr="0006096F">
        <w:t>Since th</w:t>
      </w:r>
      <w:r w:rsidR="00067630" w:rsidRPr="0006096F">
        <w:t>e act</w:t>
      </w:r>
      <w:r w:rsidR="00D1016C" w:rsidRPr="0006096F">
        <w:t>ive side of concept formation often c</w:t>
      </w:r>
      <w:r w:rsidRPr="0006096F">
        <w:t>oincides with our ability to use language in describing our experience, there is for Husserl a close connection between concepts and words</w:t>
      </w:r>
      <w:r w:rsidR="00795A85" w:rsidRPr="0006096F">
        <w:t xml:space="preserve">, </w:t>
      </w:r>
      <w:r w:rsidR="00067630" w:rsidRPr="0006096F">
        <w:t xml:space="preserve">though concepts can be possessed without words, and </w:t>
      </w:r>
      <w:r w:rsidRPr="0006096F">
        <w:t xml:space="preserve">not all words correspond to concepts. For example, </w:t>
      </w:r>
      <w:r w:rsidR="00C662E6">
        <w:t>“</w:t>
      </w:r>
      <w:proofErr w:type="spellStart"/>
      <w:r w:rsidRPr="0006096F">
        <w:t>syncategoremic</w:t>
      </w:r>
      <w:proofErr w:type="spellEnd"/>
      <w:r w:rsidR="00C662E6">
        <w:t>”</w:t>
      </w:r>
      <w:r w:rsidRPr="0006096F">
        <w:t xml:space="preserve"> expressions (</w:t>
      </w:r>
      <w:r w:rsidR="00C662E6">
        <w:t>“</w:t>
      </w:r>
      <w:r w:rsidRPr="0006096F">
        <w:t>and</w:t>
      </w:r>
      <w:r w:rsidR="004E2CA1" w:rsidRPr="0006096F">
        <w:t>,</w:t>
      </w:r>
      <w:r w:rsidR="00C662E6">
        <w:t>”</w:t>
      </w:r>
      <w:r w:rsidRPr="0006096F">
        <w:t xml:space="preserve"> </w:t>
      </w:r>
      <w:r w:rsidR="00C662E6">
        <w:t>“</w:t>
      </w:r>
      <w:r w:rsidRPr="0006096F">
        <w:t>not</w:t>
      </w:r>
      <w:r w:rsidR="004E2CA1" w:rsidRPr="0006096F">
        <w:t>,</w:t>
      </w:r>
      <w:r w:rsidR="00C662E6">
        <w:t>”</w:t>
      </w:r>
      <w:r w:rsidRPr="0006096F">
        <w:t xml:space="preserve"> etc.) do not correspond to concepts, nor do singular terms such as proper names. As for Kant, concepts </w:t>
      </w:r>
      <w:r w:rsidR="00933AB5" w:rsidRPr="0006096F">
        <w:t xml:space="preserve">for Husserl </w:t>
      </w:r>
      <w:r w:rsidRPr="0006096F">
        <w:t xml:space="preserve">are </w:t>
      </w:r>
      <w:r w:rsidR="00933AB5" w:rsidRPr="0006096F">
        <w:t xml:space="preserve">exclusively </w:t>
      </w:r>
      <w:r w:rsidRPr="0006096F">
        <w:t>general representations or universals</w:t>
      </w:r>
      <w:r w:rsidR="006E5FAF" w:rsidRPr="0006096F">
        <w:t>,</w:t>
      </w:r>
      <w:r w:rsidR="008D3CD2" w:rsidRPr="0006096F">
        <w:rPr>
          <w:rStyle w:val="FootnoteReference"/>
        </w:rPr>
        <w:footnoteReference w:id="7"/>
      </w:r>
      <w:r w:rsidR="006E5FAF" w:rsidRPr="0006096F">
        <w:t xml:space="preserve"> and these especially as they figure in predicative expressions</w:t>
      </w:r>
      <w:r w:rsidRPr="0006096F">
        <w:t xml:space="preserve">. Nevertheless, Husserl thinks it proper to treat concepts as themselves having a singular, ideal being, which we represent by nominalizing them; they are </w:t>
      </w:r>
      <w:r w:rsidR="00850D8A" w:rsidRPr="0006096F">
        <w:t xml:space="preserve">then </w:t>
      </w:r>
      <w:r w:rsidR="00C662E6">
        <w:t>“</w:t>
      </w:r>
      <w:r w:rsidRPr="0006096F">
        <w:t>objectivities of the understanding</w:t>
      </w:r>
      <w:r w:rsidR="00C662E6">
        <w:t>”</w:t>
      </w:r>
      <w:r w:rsidR="004A2EA9" w:rsidRPr="0006096F">
        <w:t xml:space="preserve"> (</w:t>
      </w:r>
      <w:r w:rsidR="00176495" w:rsidRPr="0000066E">
        <w:t>EU</w:t>
      </w:r>
      <w:r w:rsidR="00112E91" w:rsidRPr="0000066E">
        <w:rPr>
          <w:i/>
        </w:rPr>
        <w:t xml:space="preserve"> </w:t>
      </w:r>
      <w:r w:rsidR="0000066E">
        <w:rPr>
          <w:iCs/>
        </w:rPr>
        <w:t>309</w:t>
      </w:r>
      <w:r w:rsidR="0000066E" w:rsidRPr="0006096F">
        <w:t>–</w:t>
      </w:r>
      <w:r w:rsidR="0000066E">
        <w:rPr>
          <w:iCs/>
        </w:rPr>
        <w:t>317</w:t>
      </w:r>
      <w:r w:rsidR="00BD66AA">
        <w:t xml:space="preserve">; </w:t>
      </w:r>
      <w:r w:rsidR="0000066E">
        <w:t xml:space="preserve">EJ </w:t>
      </w:r>
      <w:r w:rsidR="00BD66AA">
        <w:t>2</w:t>
      </w:r>
      <w:r w:rsidR="0000066E">
        <w:t>58-264</w:t>
      </w:r>
      <w:r w:rsidR="004A2EA9" w:rsidRPr="0006096F">
        <w:t>)</w:t>
      </w:r>
      <w:r w:rsidR="004E2CA1" w:rsidRPr="0006096F">
        <w:t>.</w:t>
      </w:r>
      <w:r w:rsidR="004A2EA9" w:rsidRPr="0006096F">
        <w:rPr>
          <w:vertAlign w:val="superscript"/>
        </w:rPr>
        <w:t xml:space="preserve"> </w:t>
      </w:r>
      <w:r w:rsidRPr="0006096F">
        <w:t xml:space="preserve">Even if the normal use of </w:t>
      </w:r>
      <w:r w:rsidRPr="0006096F">
        <w:lastRenderedPageBreak/>
        <w:t xml:space="preserve">the word </w:t>
      </w:r>
      <w:r w:rsidR="00C662E6">
        <w:t>“</w:t>
      </w:r>
      <w:r w:rsidRPr="0006096F">
        <w:t>green</w:t>
      </w:r>
      <w:r w:rsidR="00C662E6">
        <w:t>,”</w:t>
      </w:r>
      <w:r w:rsidRPr="0006096F">
        <w:t xml:space="preserve"> for example, is as a predicate</w:t>
      </w:r>
      <w:r w:rsidR="007C5BBD" w:rsidRPr="0006096F">
        <w:t xml:space="preserve">, </w:t>
      </w:r>
      <w:r w:rsidRPr="0006096F">
        <w:t>we represent its definite character as a concept through the nomi</w:t>
      </w:r>
      <w:r w:rsidR="00795A85" w:rsidRPr="0006096F">
        <w:t>na</w:t>
      </w:r>
      <w:r w:rsidRPr="0006096F">
        <w:t xml:space="preserve">lization </w:t>
      </w:r>
      <w:r w:rsidR="00C662E6">
        <w:t>“</w:t>
      </w:r>
      <w:r w:rsidRPr="0006096F">
        <w:t>greenness</w:t>
      </w:r>
      <w:r w:rsidR="00C662E6">
        <w:t xml:space="preserve">” </w:t>
      </w:r>
      <w:r w:rsidR="004A2EA9" w:rsidRPr="0006096F">
        <w:t xml:space="preserve">(cf. </w:t>
      </w:r>
      <w:r w:rsidR="00176495" w:rsidRPr="00176495">
        <w:t>EU</w:t>
      </w:r>
      <w:r w:rsidR="00112E91">
        <w:rPr>
          <w:i/>
        </w:rPr>
        <w:t xml:space="preserve"> </w:t>
      </w:r>
      <w:r w:rsidR="00112E91">
        <w:t>240-41</w:t>
      </w:r>
      <w:r w:rsidR="00176495">
        <w:t xml:space="preserve">; EJ </w:t>
      </w:r>
      <w:r w:rsidR="004A2EA9" w:rsidRPr="0006096F">
        <w:t>204).</w:t>
      </w:r>
      <w:r w:rsidRPr="0006096F">
        <w:t xml:space="preserve"> </w:t>
      </w:r>
      <w:r w:rsidR="00F5636C" w:rsidRPr="0006096F">
        <w:t>We can according</w:t>
      </w:r>
      <w:r w:rsidR="004A2EA9" w:rsidRPr="0006096F">
        <w:t>ly</w:t>
      </w:r>
      <w:r w:rsidR="00F5636C" w:rsidRPr="0006096F">
        <w:t xml:space="preserve"> speak of </w:t>
      </w:r>
      <w:r w:rsidR="00F5636C" w:rsidRPr="0006096F">
        <w:rPr>
          <w:i/>
        </w:rPr>
        <w:t xml:space="preserve">the </w:t>
      </w:r>
      <w:r w:rsidR="00F5636C" w:rsidRPr="0006096F">
        <w:t xml:space="preserve">concept </w:t>
      </w:r>
      <w:r w:rsidR="00F5636C" w:rsidRPr="0006096F">
        <w:rPr>
          <w:i/>
        </w:rPr>
        <w:t>green,</w:t>
      </w:r>
      <w:r w:rsidR="00F5636C" w:rsidRPr="0006096F">
        <w:t xml:space="preserve"> e.g., as something the same in every predication of greenness. The concept</w:t>
      </w:r>
      <w:r w:rsidR="00795A85" w:rsidRPr="0006096F">
        <w:t xml:space="preserve"> is then a </w:t>
      </w:r>
      <w:r w:rsidR="00C662E6">
        <w:t>“</w:t>
      </w:r>
      <w:r w:rsidR="00795A85" w:rsidRPr="0006096F">
        <w:t>one over many</w:t>
      </w:r>
      <w:r w:rsidR="00C662E6">
        <w:t>”</w:t>
      </w:r>
      <w:r w:rsidR="00795A85" w:rsidRPr="0006096F">
        <w:t xml:space="preserve"> (</w:t>
      </w:r>
      <w:r w:rsidR="00795A85" w:rsidRPr="0006096F">
        <w:rPr>
          <w:i/>
        </w:rPr>
        <w:t xml:space="preserve">hen epi </w:t>
      </w:r>
      <w:proofErr w:type="spellStart"/>
      <w:r w:rsidR="00795A85" w:rsidRPr="0006096F">
        <w:rPr>
          <w:i/>
        </w:rPr>
        <w:t>pollôn</w:t>
      </w:r>
      <w:proofErr w:type="spellEnd"/>
      <w:r w:rsidR="00795A85" w:rsidRPr="0006096F">
        <w:t>)</w:t>
      </w:r>
      <w:r w:rsidR="00AD1843" w:rsidRPr="0006096F">
        <w:t xml:space="preserve">, which can be considered </w:t>
      </w:r>
      <w:proofErr w:type="spellStart"/>
      <w:r w:rsidR="00AD1843" w:rsidRPr="0006096F">
        <w:t>contentful</w:t>
      </w:r>
      <w:proofErr w:type="spellEnd"/>
      <w:r w:rsidR="00AD1843" w:rsidRPr="0006096F">
        <w:t xml:space="preserve"> whether it applies to actual </w:t>
      </w:r>
      <w:r w:rsidR="00D05A4D" w:rsidRPr="0006096F">
        <w:t>ob</w:t>
      </w:r>
      <w:r w:rsidR="008D3CD2" w:rsidRPr="0006096F">
        <w:t>j</w:t>
      </w:r>
      <w:r w:rsidR="00D05A4D" w:rsidRPr="0006096F">
        <w:t>ects</w:t>
      </w:r>
      <w:r w:rsidR="003610C9" w:rsidRPr="0006096F">
        <w:t xml:space="preserve"> or not</w:t>
      </w:r>
      <w:r w:rsidR="00AD1843" w:rsidRPr="0006096F">
        <w:t>.</w:t>
      </w:r>
      <w:r w:rsidR="00AD1843" w:rsidRPr="0006096F">
        <w:rPr>
          <w:rStyle w:val="FootnoteReference"/>
        </w:rPr>
        <w:footnoteReference w:id="8"/>
      </w:r>
      <w:r w:rsidR="00795A85" w:rsidRPr="0006096F">
        <w:t xml:space="preserve"> </w:t>
      </w:r>
      <w:r w:rsidR="00850D8A" w:rsidRPr="0006096F">
        <w:t xml:space="preserve">It will be important later on to consider how Husserl sees the relation of this </w:t>
      </w:r>
      <w:r w:rsidR="00C662E6">
        <w:t>“</w:t>
      </w:r>
      <w:r w:rsidR="00850D8A" w:rsidRPr="0006096F">
        <w:t>one</w:t>
      </w:r>
      <w:r w:rsidR="00C662E6">
        <w:t>”</w:t>
      </w:r>
      <w:r w:rsidR="00850D8A" w:rsidRPr="0006096F">
        <w:t xml:space="preserve"> and </w:t>
      </w:r>
      <w:r w:rsidR="00C662E6">
        <w:t>“</w:t>
      </w:r>
      <w:r w:rsidR="00850D8A" w:rsidRPr="0006096F">
        <w:t>many</w:t>
      </w:r>
      <w:r w:rsidR="00C662E6">
        <w:t>”</w:t>
      </w:r>
      <w:r w:rsidR="00850D8A" w:rsidRPr="0006096F">
        <w:t xml:space="preserve"> to vary. </w:t>
      </w:r>
      <w:r w:rsidR="00D05A4D" w:rsidRPr="0006096F">
        <w:t xml:space="preserve">The ideality of concepts also means that concepts can be shared among individuals and are not localized to </w:t>
      </w:r>
      <w:r w:rsidR="003610C9" w:rsidRPr="0006096F">
        <w:t>individual</w:t>
      </w:r>
      <w:r w:rsidR="00D05A4D" w:rsidRPr="0006096F">
        <w:t xml:space="preserve"> minds</w:t>
      </w:r>
      <w:r w:rsidR="003610C9" w:rsidRPr="0006096F">
        <w:t xml:space="preserve"> in any strong sense</w:t>
      </w:r>
      <w:r w:rsidR="00D05A4D" w:rsidRPr="0006096F">
        <w:t xml:space="preserve">. </w:t>
      </w:r>
    </w:p>
    <w:p w14:paraId="06B47353" w14:textId="77777777" w:rsidR="00850D8A" w:rsidRPr="0006096F" w:rsidRDefault="00850D8A" w:rsidP="00B95D2D">
      <w:r w:rsidRPr="0006096F">
        <w:t xml:space="preserve">Finally, since all concepts are general, Husserl sees them as having open-ended and indeed potentially infinite extensions. He frequently expresses this point by saying that when enumerating the objects that fall under a concept, we can always say </w:t>
      </w:r>
      <w:r w:rsidR="00C662E6">
        <w:t>“</w:t>
      </w:r>
      <w:r w:rsidRPr="0006096F">
        <w:t>and so on</w:t>
      </w:r>
      <w:r w:rsidR="00C662E6">
        <w:t>”</w:t>
      </w:r>
      <w:r w:rsidRPr="0006096F">
        <w:t xml:space="preserve"> (</w:t>
      </w:r>
      <w:r w:rsidRPr="0006096F">
        <w:rPr>
          <w:i/>
        </w:rPr>
        <w:t xml:space="preserve">und so </w:t>
      </w:r>
      <w:proofErr w:type="spellStart"/>
      <w:r w:rsidRPr="0006096F">
        <w:rPr>
          <w:i/>
        </w:rPr>
        <w:t>weiter</w:t>
      </w:r>
      <w:proofErr w:type="spellEnd"/>
      <w:r w:rsidRPr="0006096F">
        <w:t>)</w:t>
      </w:r>
      <w:r w:rsidR="00D21538" w:rsidRPr="0006096F">
        <w:t xml:space="preserve"> (cf. </w:t>
      </w:r>
      <w:r w:rsidR="00176495" w:rsidRPr="00176495">
        <w:t>EU</w:t>
      </w:r>
      <w:r w:rsidR="00112E91">
        <w:t xml:space="preserve"> 257</w:t>
      </w:r>
      <w:r w:rsidR="00643909">
        <w:t>–</w:t>
      </w:r>
      <w:r w:rsidR="00112E91">
        <w:t>59</w:t>
      </w:r>
      <w:r w:rsidR="00176495">
        <w:t xml:space="preserve">; EJ </w:t>
      </w:r>
      <w:r w:rsidR="00D21538" w:rsidRPr="0006096F">
        <w:t>217</w:t>
      </w:r>
      <w:r w:rsidR="00643909">
        <w:t>–</w:t>
      </w:r>
      <w:r w:rsidR="00176495">
        <w:t>2</w:t>
      </w:r>
      <w:r w:rsidR="00D21538" w:rsidRPr="0006096F">
        <w:t>19)</w:t>
      </w:r>
      <w:r w:rsidRPr="0006096F">
        <w:t xml:space="preserve">. Again, how this enumeration can and does continue will differ depending on the type of concept. </w:t>
      </w:r>
    </w:p>
    <w:p w14:paraId="53B8E203" w14:textId="77777777" w:rsidR="00542B5D" w:rsidRPr="0006096F" w:rsidRDefault="00542B5D" w:rsidP="00B95D2D"/>
    <w:p w14:paraId="76C36308" w14:textId="77777777" w:rsidR="00542B5D" w:rsidRPr="0006096F" w:rsidRDefault="008744D8" w:rsidP="00B95D2D">
      <w:pPr>
        <w:pStyle w:val="Heading2"/>
      </w:pPr>
      <w:r w:rsidRPr="0006096F">
        <w:t xml:space="preserve">2. </w:t>
      </w:r>
      <w:r w:rsidR="00542B5D" w:rsidRPr="0006096F">
        <w:t>Empirical and Pure Concept Formation</w:t>
      </w:r>
    </w:p>
    <w:p w14:paraId="40BB10DC" w14:textId="77777777" w:rsidR="003E60F5" w:rsidRPr="0006096F" w:rsidRDefault="00542B5D" w:rsidP="00B95D2D">
      <w:r w:rsidRPr="0006096F">
        <w:t xml:space="preserve">We can now understand the </w:t>
      </w:r>
      <w:r w:rsidR="009B6F9B" w:rsidRPr="0006096F">
        <w:t>type-</w:t>
      </w:r>
      <w:r w:rsidRPr="0006096F">
        <w:t>distinction of empirical and pure concepts by appealing to their different manners of formation. Clarity on Husserl’s view of empirical concept formation is important here only as a point of contrast to pure concepts, so my sketchy remarks on this topic should not be taken as a full theory of empirical concept</w:t>
      </w:r>
      <w:r w:rsidR="003E60F5" w:rsidRPr="0006096F">
        <w:t>s.</w:t>
      </w:r>
      <w:r w:rsidR="00D05A4D" w:rsidRPr="0006096F">
        <w:t xml:space="preserve"> </w:t>
      </w:r>
      <w:r w:rsidR="002E0F7D" w:rsidRPr="0006096F">
        <w:t xml:space="preserve">Though Husserl </w:t>
      </w:r>
      <w:r w:rsidR="002E0F7D" w:rsidRPr="0006096F">
        <w:lastRenderedPageBreak/>
        <w:t>does not think that all empirical concepts have a direct perceptual basis, since empirical concepts must have some relation to perceptual experience, we can restrict our attention to basic empirical concepts with a direct tie to perception.</w:t>
      </w:r>
      <w:r w:rsidR="00741580" w:rsidRPr="0006096F">
        <w:t xml:space="preserve"> </w:t>
      </w:r>
      <w:r w:rsidR="003E60F5" w:rsidRPr="0006096F">
        <w:t>The formation of</w:t>
      </w:r>
      <w:r w:rsidR="002E0F7D" w:rsidRPr="0006096F">
        <w:t xml:space="preserve"> basic</w:t>
      </w:r>
      <w:r w:rsidR="003E60F5" w:rsidRPr="0006096F">
        <w:t xml:space="preserve"> empirical concepts, for him, is based on a comparative procedure, founded on the </w:t>
      </w:r>
      <w:r w:rsidR="00BC5568" w:rsidRPr="0006096F">
        <w:t>reception (</w:t>
      </w:r>
      <w:r w:rsidR="00C662E6">
        <w:t>“</w:t>
      </w:r>
      <w:r w:rsidR="00BC5568" w:rsidRPr="0006096F">
        <w:t xml:space="preserve">passive </w:t>
      </w:r>
      <w:proofErr w:type="spellStart"/>
      <w:r w:rsidR="00BC5568" w:rsidRPr="0006096F">
        <w:t>pregivenenss</w:t>
      </w:r>
      <w:proofErr w:type="spellEnd"/>
      <w:r w:rsidR="00C662E6">
        <w:t>”</w:t>
      </w:r>
      <w:r w:rsidR="00BC5568" w:rsidRPr="0006096F">
        <w:t>)</w:t>
      </w:r>
      <w:r w:rsidR="003E60F5" w:rsidRPr="0006096F">
        <w:t xml:space="preserve"> of a variety of actual, experienced instances of individuals. </w:t>
      </w:r>
      <w:r w:rsidR="00F5636C" w:rsidRPr="0006096F">
        <w:t xml:space="preserve">We experience similarities among individuals, and these similarities </w:t>
      </w:r>
      <w:r w:rsidR="002E0F7D" w:rsidRPr="0006096F">
        <w:t>are experienced as</w:t>
      </w:r>
      <w:r w:rsidR="00F5636C" w:rsidRPr="0006096F">
        <w:t xml:space="preserve"> </w:t>
      </w:r>
      <w:r w:rsidR="00C662E6">
        <w:t>“</w:t>
      </w:r>
      <w:r w:rsidR="00F5636C" w:rsidRPr="0006096F">
        <w:t>types</w:t>
      </w:r>
      <w:r w:rsidR="00C662E6">
        <w:t>”</w:t>
      </w:r>
      <w:r w:rsidR="006F465F" w:rsidRPr="0006096F">
        <w:t xml:space="preserve"> (</w:t>
      </w:r>
      <w:proofErr w:type="spellStart"/>
      <w:r w:rsidR="00967CA8" w:rsidRPr="0006096F">
        <w:rPr>
          <w:i/>
        </w:rPr>
        <w:t>Typen</w:t>
      </w:r>
      <w:proofErr w:type="spellEnd"/>
      <w:r w:rsidR="00967CA8" w:rsidRPr="0006096F">
        <w:t>)</w:t>
      </w:r>
      <w:r w:rsidR="004E2CA1" w:rsidRPr="0006096F">
        <w:t>.</w:t>
      </w:r>
      <w:r w:rsidR="00F5636C" w:rsidRPr="0006096F">
        <w:t xml:space="preserve"> </w:t>
      </w:r>
      <w:r w:rsidR="002E0F7D" w:rsidRPr="0006096F">
        <w:t xml:space="preserve">Though Husserl distinguishes between types and concepts, any type provides material for a concept: </w:t>
      </w:r>
      <w:r w:rsidR="006013D9" w:rsidRPr="0006096F">
        <w:t xml:space="preserve">the type is the passive or receptive apprehension of a </w:t>
      </w:r>
      <w:r w:rsidR="006013D9">
        <w:t xml:space="preserve">similarity and </w:t>
      </w:r>
      <w:r w:rsidR="002E0F7D" w:rsidRPr="0006096F">
        <w:t xml:space="preserve">an empirical concept </w:t>
      </w:r>
      <w:r w:rsidR="006013D9">
        <w:t>makes a</w:t>
      </w:r>
      <w:r w:rsidR="002E0F7D" w:rsidRPr="0006096F">
        <w:t xml:space="preserve"> type</w:t>
      </w:r>
      <w:r w:rsidR="006013D9">
        <w:t xml:space="preserve"> thematic</w:t>
      </w:r>
      <w:r w:rsidR="002E0F7D" w:rsidRPr="0006096F">
        <w:t xml:space="preserve">. </w:t>
      </w:r>
      <w:r w:rsidR="00F5636C" w:rsidRPr="0006096F">
        <w:t xml:space="preserve">He calls this similarity of a feature of individuals the </w:t>
      </w:r>
      <w:r w:rsidR="00C662E6">
        <w:t>“</w:t>
      </w:r>
      <w:r w:rsidR="00F5636C" w:rsidRPr="0006096F">
        <w:t>synthesis of coincidence</w:t>
      </w:r>
      <w:r w:rsidR="00C662E6">
        <w:t>”</w:t>
      </w:r>
      <w:r w:rsidR="00F5636C" w:rsidRPr="0006096F">
        <w:rPr>
          <w:i/>
        </w:rPr>
        <w:t xml:space="preserve"> </w:t>
      </w:r>
      <w:r w:rsidR="00F5636C" w:rsidRPr="0006096F">
        <w:t>(</w:t>
      </w:r>
      <w:r w:rsidR="00176495" w:rsidRPr="00176495">
        <w:t>EU</w:t>
      </w:r>
      <w:r w:rsidR="00112E91">
        <w:rPr>
          <w:i/>
        </w:rPr>
        <w:t xml:space="preserve"> </w:t>
      </w:r>
      <w:r w:rsidR="00112E91">
        <w:rPr>
          <w:iCs/>
        </w:rPr>
        <w:t>388</w:t>
      </w:r>
      <w:r w:rsidR="00643909">
        <w:rPr>
          <w:iCs/>
        </w:rPr>
        <w:t>–</w:t>
      </w:r>
      <w:r w:rsidR="00982873">
        <w:rPr>
          <w:iCs/>
        </w:rPr>
        <w:t>3</w:t>
      </w:r>
      <w:r w:rsidR="00112E91">
        <w:rPr>
          <w:iCs/>
        </w:rPr>
        <w:t>89</w:t>
      </w:r>
      <w:r w:rsidR="00982873">
        <w:rPr>
          <w:iCs/>
        </w:rPr>
        <w:t xml:space="preserve">; EJ </w:t>
      </w:r>
      <w:r w:rsidR="00F5636C" w:rsidRPr="0006096F">
        <w:t>324)</w:t>
      </w:r>
      <w:r w:rsidR="00F5636C" w:rsidRPr="0006096F">
        <w:rPr>
          <w:i/>
        </w:rPr>
        <w:t xml:space="preserve">. </w:t>
      </w:r>
      <w:r w:rsidR="00F5636C" w:rsidRPr="0006096F">
        <w:t xml:space="preserve">The synthesis of coincidence is the co-occurrence of a predicate </w:t>
      </w:r>
      <w:r w:rsidR="00F5636C" w:rsidRPr="0006096F">
        <w:rPr>
          <w:i/>
        </w:rPr>
        <w:t xml:space="preserve">P </w:t>
      </w:r>
      <w:r w:rsidR="00F5636C" w:rsidRPr="0006096F">
        <w:t xml:space="preserve">with respect to at least two substrates, </w:t>
      </w:r>
      <w:r w:rsidR="00F5636C" w:rsidRPr="0006096F">
        <w:rPr>
          <w:i/>
        </w:rPr>
        <w:t xml:space="preserve">S </w:t>
      </w:r>
      <w:r w:rsidR="00F5636C" w:rsidRPr="0006096F">
        <w:t xml:space="preserve">and </w:t>
      </w:r>
      <w:r w:rsidR="00F5636C" w:rsidRPr="0006096F">
        <w:rPr>
          <w:i/>
        </w:rPr>
        <w:t>S</w:t>
      </w:r>
      <w:r w:rsidR="007E66ED" w:rsidRPr="0006096F">
        <w:rPr>
          <w:i/>
        </w:rPr>
        <w:t>′.</w:t>
      </w:r>
      <w:r w:rsidR="003E60F5" w:rsidRPr="0006096F">
        <w:t xml:space="preserve"> </w:t>
      </w:r>
      <w:r w:rsidR="00D206BE" w:rsidRPr="0006096F">
        <w:t>The concept is the result of id</w:t>
      </w:r>
      <w:r w:rsidR="00D05A4D" w:rsidRPr="0006096F">
        <w:t>entifying</w:t>
      </w:r>
      <w:r w:rsidR="00D206BE" w:rsidRPr="0006096F">
        <w:t xml:space="preserve"> the similarity </w:t>
      </w:r>
      <w:r w:rsidR="00D05A4D" w:rsidRPr="0006096F">
        <w:t>in the occurrence of</w:t>
      </w:r>
      <w:r w:rsidR="00D206BE" w:rsidRPr="0006096F">
        <w:t xml:space="preserve"> </w:t>
      </w:r>
      <w:r w:rsidR="00D206BE" w:rsidRPr="0006096F">
        <w:rPr>
          <w:i/>
        </w:rPr>
        <w:t>P</w:t>
      </w:r>
      <w:r w:rsidR="00293BC2" w:rsidRPr="0006096F">
        <w:rPr>
          <w:rStyle w:val="FootnoteReference"/>
        </w:rPr>
        <w:footnoteReference w:id="9"/>
      </w:r>
      <w:r w:rsidR="00D05A4D" w:rsidRPr="0006096F">
        <w:rPr>
          <w:i/>
        </w:rPr>
        <w:t xml:space="preserve"> </w:t>
      </w:r>
      <w:r w:rsidR="00D05A4D" w:rsidRPr="0006096F">
        <w:t>among several substrates</w:t>
      </w:r>
      <w:r w:rsidR="00D206BE" w:rsidRPr="0006096F">
        <w:t xml:space="preserve">. </w:t>
      </w:r>
      <w:r w:rsidR="003E60F5" w:rsidRPr="0006096F">
        <w:t>In th</w:t>
      </w:r>
      <w:r w:rsidR="00D206BE" w:rsidRPr="0006096F">
        <w:t xml:space="preserve">is </w:t>
      </w:r>
      <w:r w:rsidR="003E60F5" w:rsidRPr="0006096F">
        <w:t>transition,</w:t>
      </w:r>
      <w:r w:rsidR="008D3CD2" w:rsidRPr="0006096F">
        <w:t xml:space="preserve"> the predicate obtains an ideality as described above:</w:t>
      </w:r>
    </w:p>
    <w:p w14:paraId="63829193" w14:textId="77777777" w:rsidR="00285772" w:rsidRPr="0006096F" w:rsidRDefault="003E60F5" w:rsidP="00B95D2D">
      <w:pPr>
        <w:pStyle w:val="Quote"/>
      </w:pPr>
      <w:r w:rsidRPr="0006096F">
        <w:rPr>
          <w:i/>
        </w:rPr>
        <w:t xml:space="preserve">P </w:t>
      </w:r>
      <w:r w:rsidRPr="0006096F">
        <w:t>no longer designates an individual predicative core but a general one</w:t>
      </w:r>
      <w:r w:rsidR="0071605E">
        <w:t xml:space="preserve"> [</w:t>
      </w:r>
      <w:r w:rsidR="00C662E6">
        <w:t>…</w:t>
      </w:r>
      <w:r w:rsidR="0071605E">
        <w:t xml:space="preserve">] </w:t>
      </w:r>
      <w:r w:rsidRPr="0006096F">
        <w:t xml:space="preserve">Instead of being determined by the fleeting and variable moment, this is determined, therefore, by an </w:t>
      </w:r>
      <w:r w:rsidRPr="0006096F">
        <w:rPr>
          <w:i/>
        </w:rPr>
        <w:t>element ideally and absolutely identical</w:t>
      </w:r>
      <w:r w:rsidRPr="0006096F">
        <w:t>, which, in the mode of repetition or assimilation, goes through all the individual objects and their multiform moments as an ideal unity</w:t>
      </w:r>
      <w:r w:rsidR="00731780" w:rsidRPr="0006096F">
        <w:t>.</w:t>
      </w:r>
      <w:r w:rsidRPr="0006096F">
        <w:t xml:space="preserve"> (</w:t>
      </w:r>
      <w:r w:rsidR="00176495" w:rsidRPr="00176495">
        <w:t>EU</w:t>
      </w:r>
      <w:r w:rsidR="00112E91">
        <w:rPr>
          <w:i/>
        </w:rPr>
        <w:t xml:space="preserve"> </w:t>
      </w:r>
      <w:r w:rsidR="00112E91">
        <w:rPr>
          <w:iCs/>
        </w:rPr>
        <w:t>390</w:t>
      </w:r>
      <w:r w:rsidR="00982873">
        <w:rPr>
          <w:iCs/>
        </w:rPr>
        <w:t xml:space="preserve">; EJ </w:t>
      </w:r>
      <w:r w:rsidRPr="0006096F">
        <w:t>324</w:t>
      </w:r>
      <w:r w:rsidR="00643909">
        <w:t>–</w:t>
      </w:r>
      <w:r w:rsidR="00982873">
        <w:t>3</w:t>
      </w:r>
      <w:r w:rsidRPr="0006096F">
        <w:t>25)</w:t>
      </w:r>
    </w:p>
    <w:p w14:paraId="2317A373" w14:textId="77777777" w:rsidR="007D0B77" w:rsidRPr="0006096F" w:rsidRDefault="00D21538" w:rsidP="00B95D2D">
      <w:r w:rsidRPr="0006096F">
        <w:t xml:space="preserve">Such is the instance in which </w:t>
      </w:r>
      <w:r w:rsidRPr="0006096F">
        <w:rPr>
          <w:i/>
        </w:rPr>
        <w:t xml:space="preserve">P </w:t>
      </w:r>
      <w:r w:rsidRPr="0006096F">
        <w:t xml:space="preserve">is first treated as an empirical concept. </w:t>
      </w:r>
      <w:r w:rsidR="00285772" w:rsidRPr="0006096F">
        <w:t>An important distinction here should be made</w:t>
      </w:r>
      <w:r w:rsidRPr="0006096F">
        <w:t>, however</w:t>
      </w:r>
      <w:r w:rsidR="00285772" w:rsidRPr="0006096F">
        <w:t xml:space="preserve">. Husserl does think that the property or kind represented by an empirical concept can be regarded as </w:t>
      </w:r>
      <w:r w:rsidR="00C662E6">
        <w:t>“</w:t>
      </w:r>
      <w:r w:rsidR="00285772" w:rsidRPr="0006096F">
        <w:t>absolutely identi</w:t>
      </w:r>
      <w:r w:rsidR="00B076AF" w:rsidRPr="0006096F">
        <w:t>cal</w:t>
      </w:r>
      <w:r w:rsidR="004E2CA1" w:rsidRPr="0006096F">
        <w:t>,</w:t>
      </w:r>
      <w:r w:rsidR="00C662E6">
        <w:t>”</w:t>
      </w:r>
      <w:r w:rsidR="00B076AF" w:rsidRPr="0006096F">
        <w:t xml:space="preserve"> </w:t>
      </w:r>
      <w:r w:rsidR="008D3CD2" w:rsidRPr="0006096F">
        <w:t xml:space="preserve">and </w:t>
      </w:r>
      <w:r w:rsidR="00B076AF" w:rsidRPr="0006096F">
        <w:t xml:space="preserve">a </w:t>
      </w:r>
      <w:r w:rsidR="00C662E6">
        <w:t>“</w:t>
      </w:r>
      <w:r w:rsidR="00B076AF" w:rsidRPr="0006096F">
        <w:t>one over many</w:t>
      </w:r>
      <w:r w:rsidR="00C662E6">
        <w:t>”</w:t>
      </w:r>
      <w:r w:rsidR="00B076AF" w:rsidRPr="0006096F">
        <w:t xml:space="preserve"> (</w:t>
      </w:r>
      <w:r w:rsidR="00176495" w:rsidRPr="00176495">
        <w:t>EU</w:t>
      </w:r>
      <w:r w:rsidR="00112E91">
        <w:rPr>
          <w:i/>
        </w:rPr>
        <w:t xml:space="preserve"> </w:t>
      </w:r>
      <w:r w:rsidR="00112E91">
        <w:rPr>
          <w:iCs/>
        </w:rPr>
        <w:t>391</w:t>
      </w:r>
      <w:r w:rsidR="00982873">
        <w:rPr>
          <w:iCs/>
        </w:rPr>
        <w:t xml:space="preserve">; EJ </w:t>
      </w:r>
      <w:r w:rsidR="00B076AF" w:rsidRPr="0006096F">
        <w:t xml:space="preserve">326). However, this does not imply that character of that quality </w:t>
      </w:r>
      <w:r w:rsidR="00B076AF" w:rsidRPr="0006096F">
        <w:rPr>
          <w:i/>
        </w:rPr>
        <w:t>in</w:t>
      </w:r>
      <w:r w:rsidR="00B076AF" w:rsidRPr="0006096F">
        <w:t xml:space="preserve"> each </w:t>
      </w:r>
      <w:r w:rsidR="00B076AF" w:rsidRPr="0006096F">
        <w:lastRenderedPageBreak/>
        <w:t xml:space="preserve">instance is perfectly identical. Rather, though the comparison of empirical instances gives rise to an ideal concept, the relation of the instances to one another is not of </w:t>
      </w:r>
      <w:r w:rsidR="00B076AF" w:rsidRPr="0006096F">
        <w:rPr>
          <w:i/>
        </w:rPr>
        <w:t>sameness</w:t>
      </w:r>
      <w:r w:rsidR="00B076AF" w:rsidRPr="0006096F">
        <w:t xml:space="preserve"> of kind, but </w:t>
      </w:r>
      <w:r w:rsidR="00B076AF" w:rsidRPr="0006096F">
        <w:rPr>
          <w:i/>
        </w:rPr>
        <w:t>similarity</w:t>
      </w:r>
      <w:r w:rsidR="00B076AF" w:rsidRPr="0006096F">
        <w:t xml:space="preserve"> or likeness</w:t>
      </w:r>
      <w:r w:rsidR="0095667E">
        <w:t>—</w:t>
      </w:r>
      <w:r w:rsidR="00786D80" w:rsidRPr="0006096F">
        <w:t>a matter of degree</w:t>
      </w:r>
      <w:r w:rsidR="00B076AF" w:rsidRPr="0006096F">
        <w:t>.</w:t>
      </w:r>
      <w:r w:rsidR="00CA02E4" w:rsidRPr="0006096F">
        <w:rPr>
          <w:rStyle w:val="FootnoteReference"/>
        </w:rPr>
        <w:footnoteReference w:id="10"/>
      </w:r>
      <w:r w:rsidR="00CA02E4" w:rsidRPr="0006096F">
        <w:t xml:space="preserve"> </w:t>
      </w:r>
      <w:r w:rsidR="00B076AF" w:rsidRPr="0006096F">
        <w:t xml:space="preserve">Empirical generalities are comparative rather than absolute. This implies for Husserl that each instance of an empirical generality need not be a perfect exemplification of the </w:t>
      </w:r>
      <w:r w:rsidR="008D3CD2" w:rsidRPr="0006096F">
        <w:t>type</w:t>
      </w:r>
      <w:r w:rsidR="00741580" w:rsidRPr="0006096F">
        <w:t xml:space="preserve">. This </w:t>
      </w:r>
      <w:r w:rsidR="003610C9" w:rsidRPr="0006096F">
        <w:t xml:space="preserve">discrepancy between ideal and instance </w:t>
      </w:r>
      <w:r w:rsidR="00C9504D" w:rsidRPr="0006096F">
        <w:t xml:space="preserve">leads Husserl to adopt the Platonic </w:t>
      </w:r>
      <w:r w:rsidR="006013D9">
        <w:t>term</w:t>
      </w:r>
      <w:r w:rsidR="00C9504D" w:rsidRPr="0006096F">
        <w:t xml:space="preserve"> </w:t>
      </w:r>
      <w:r w:rsidR="00C662E6">
        <w:t>“</w:t>
      </w:r>
      <w:r w:rsidR="00C9504D" w:rsidRPr="0006096F">
        <w:t>participation</w:t>
      </w:r>
      <w:r w:rsidR="00C662E6">
        <w:t>”</w:t>
      </w:r>
      <w:r w:rsidR="00C9504D" w:rsidRPr="0006096F">
        <w:t xml:space="preserve"> to signify the relation of the</w:t>
      </w:r>
      <w:r w:rsidR="008D3CD2" w:rsidRPr="0006096F">
        <w:t xml:space="preserve"> </w:t>
      </w:r>
      <w:r w:rsidR="003610C9" w:rsidRPr="0006096F">
        <w:t xml:space="preserve">ideal </w:t>
      </w:r>
      <w:r w:rsidR="00C9504D" w:rsidRPr="0006096F">
        <w:t xml:space="preserve">generality to its instances (cf. </w:t>
      </w:r>
      <w:r w:rsidR="00176495" w:rsidRPr="00176495">
        <w:t>EU</w:t>
      </w:r>
      <w:r w:rsidR="00112E91">
        <w:rPr>
          <w:i/>
        </w:rPr>
        <w:t xml:space="preserve"> </w:t>
      </w:r>
      <w:r w:rsidR="00112E91">
        <w:rPr>
          <w:iCs/>
        </w:rPr>
        <w:t>391</w:t>
      </w:r>
      <w:r w:rsidR="00643909">
        <w:rPr>
          <w:iCs/>
        </w:rPr>
        <w:t>–</w:t>
      </w:r>
      <w:r w:rsidR="00982873">
        <w:rPr>
          <w:iCs/>
        </w:rPr>
        <w:t>3</w:t>
      </w:r>
      <w:r w:rsidR="00112E91">
        <w:rPr>
          <w:iCs/>
        </w:rPr>
        <w:t>94</w:t>
      </w:r>
      <w:r w:rsidR="00982873">
        <w:rPr>
          <w:iCs/>
        </w:rPr>
        <w:t xml:space="preserve">; EJ </w:t>
      </w:r>
      <w:r w:rsidRPr="0006096F">
        <w:t>326</w:t>
      </w:r>
      <w:r w:rsidR="00643909">
        <w:t>–</w:t>
      </w:r>
      <w:r w:rsidR="00982873">
        <w:t>3</w:t>
      </w:r>
      <w:r w:rsidRPr="0006096F">
        <w:t>37).</w:t>
      </w:r>
      <w:r w:rsidR="00112E91">
        <w:t xml:space="preserve"> </w:t>
      </w:r>
      <w:r w:rsidR="00112E91">
        <w:softHyphen/>
      </w:r>
      <w:r w:rsidR="00112E91">
        <w:softHyphen/>
      </w:r>
    </w:p>
    <w:p w14:paraId="5CE62D98" w14:textId="77777777" w:rsidR="003E60F5" w:rsidRPr="0006096F" w:rsidRDefault="00786D80" w:rsidP="00B95D2D">
      <w:r w:rsidRPr="00982873">
        <w:t xml:space="preserve">Though it is perhaps obvious, it should also be emphasized that </w:t>
      </w:r>
      <w:r w:rsidR="003E60F5" w:rsidRPr="00982873">
        <w:t>the source of empirical concepts is a likeness in actuality</w:t>
      </w:r>
      <w:r w:rsidR="008D3CD2" w:rsidRPr="00982873">
        <w:t>, in contrast to possibility or imagination.</w:t>
      </w:r>
      <w:r w:rsidRPr="0006096F">
        <w:rPr>
          <w:rStyle w:val="Heading1Char"/>
          <w:rFonts w:asciiTheme="minorHAnsi" w:hAnsiTheme="minorHAnsi"/>
          <w:sz w:val="24"/>
          <w:szCs w:val="24"/>
        </w:rPr>
        <w:t xml:space="preserve"> </w:t>
      </w:r>
      <w:r w:rsidRPr="0006096F">
        <w:t>A properly empirical concept is not a hypothetical posi</w:t>
      </w:r>
      <w:r w:rsidR="00D21538" w:rsidRPr="0006096F">
        <w:t>t</w:t>
      </w:r>
      <w:r w:rsidRPr="0006096F">
        <w:t xml:space="preserve">. </w:t>
      </w:r>
      <w:r w:rsidR="008D3CD2" w:rsidRPr="0006096F">
        <w:t xml:space="preserve">The starting point of an empirical concept is </w:t>
      </w:r>
      <w:r w:rsidR="00C662E6">
        <w:t>“</w:t>
      </w:r>
      <w:r w:rsidR="008D3CD2" w:rsidRPr="0006096F">
        <w:t>a contingently given particular object</w:t>
      </w:r>
      <w:r w:rsidR="00C662E6">
        <w:t>”</w:t>
      </w:r>
      <w:r w:rsidR="008D3CD2" w:rsidRPr="0006096F">
        <w:t xml:space="preserve"> (</w:t>
      </w:r>
      <w:r w:rsidR="00176495" w:rsidRPr="00176495">
        <w:t>EU</w:t>
      </w:r>
      <w:r w:rsidR="00112E91">
        <w:rPr>
          <w:i/>
        </w:rPr>
        <w:t xml:space="preserve"> </w:t>
      </w:r>
      <w:r w:rsidR="00112E91">
        <w:rPr>
          <w:iCs/>
        </w:rPr>
        <w:t>409/</w:t>
      </w:r>
      <w:r w:rsidR="008D3CD2" w:rsidRPr="0006096F">
        <w:t xml:space="preserve">339), something definitely experienced, along with those objects which found the comparative basis of the type. </w:t>
      </w:r>
      <w:r w:rsidRPr="0006096F">
        <w:t>T</w:t>
      </w:r>
      <w:r w:rsidR="003E60F5" w:rsidRPr="0006096F">
        <w:t xml:space="preserve">his means that empirical concepts are always delimited in reference to a </w:t>
      </w:r>
      <w:r w:rsidR="00E75DB0">
        <w:t>“</w:t>
      </w:r>
      <w:r w:rsidR="003E60F5" w:rsidRPr="0006096F">
        <w:t>possibly actual</w:t>
      </w:r>
      <w:r w:rsidR="00E75DB0">
        <w:t>”</w:t>
      </w:r>
      <w:r w:rsidR="003E60F5" w:rsidRPr="0006096F">
        <w:t xml:space="preserve"> extension</w:t>
      </w:r>
      <w:r w:rsidR="00B04F45" w:rsidRPr="0006096F">
        <w:t xml:space="preserve">: </w:t>
      </w:r>
      <w:r w:rsidR="00E75DB0">
        <w:t>“</w:t>
      </w:r>
      <w:r w:rsidR="00B04F45" w:rsidRPr="0006096F">
        <w:t xml:space="preserve">[W]e think of these concepts as </w:t>
      </w:r>
      <w:r w:rsidR="00B04F45" w:rsidRPr="0006096F">
        <w:rPr>
          <w:i/>
        </w:rPr>
        <w:t xml:space="preserve">actual </w:t>
      </w:r>
      <w:r w:rsidR="00B04F45" w:rsidRPr="0006096F">
        <w:t>generalities, that is, as bound to this world</w:t>
      </w:r>
      <w:r w:rsidR="00E75DB0">
        <w:t>”</w:t>
      </w:r>
      <w:r w:rsidR="00B04F45" w:rsidRPr="0006096F">
        <w:t xml:space="preserve"> (</w:t>
      </w:r>
      <w:r w:rsidR="00176495" w:rsidRPr="00176495">
        <w:t>EU</w:t>
      </w:r>
      <w:r w:rsidR="006C7037">
        <w:rPr>
          <w:i/>
        </w:rPr>
        <w:t xml:space="preserve"> </w:t>
      </w:r>
      <w:r w:rsidR="006C7037">
        <w:rPr>
          <w:iCs/>
        </w:rPr>
        <w:t>398</w:t>
      </w:r>
      <w:r w:rsidR="00982873">
        <w:rPr>
          <w:iCs/>
        </w:rPr>
        <w:t xml:space="preserve">; EJ </w:t>
      </w:r>
      <w:r w:rsidR="00731780" w:rsidRPr="0006096F">
        <w:t>330</w:t>
      </w:r>
      <w:r w:rsidR="00B04F45" w:rsidRPr="0006096F">
        <w:t xml:space="preserve">). </w:t>
      </w:r>
      <w:r w:rsidR="003E60F5" w:rsidRPr="0006096F">
        <w:t xml:space="preserve">Though Husserl allows that there is an </w:t>
      </w:r>
      <w:r w:rsidR="00E75DB0">
        <w:t>“</w:t>
      </w:r>
      <w:r w:rsidR="003E60F5" w:rsidRPr="0006096F">
        <w:t>open horizon</w:t>
      </w:r>
      <w:r w:rsidR="00E75DB0">
        <w:t xml:space="preserve">” </w:t>
      </w:r>
      <w:r w:rsidR="003E60F5" w:rsidRPr="0006096F">
        <w:t>to empirical concepts (</w:t>
      </w:r>
      <w:r w:rsidR="00176495" w:rsidRPr="00176495">
        <w:t>EU</w:t>
      </w:r>
      <w:r w:rsidR="006C7037">
        <w:rPr>
          <w:i/>
        </w:rPr>
        <w:t xml:space="preserve"> </w:t>
      </w:r>
      <w:r w:rsidR="006C7037">
        <w:rPr>
          <w:iCs/>
        </w:rPr>
        <w:t>402</w:t>
      </w:r>
      <w:r w:rsidR="00982873">
        <w:rPr>
          <w:iCs/>
        </w:rPr>
        <w:t xml:space="preserve">; EJ </w:t>
      </w:r>
      <w:r w:rsidR="003E60F5" w:rsidRPr="0006096F">
        <w:t xml:space="preserve">333), in that they can extend beyond the individuals apprehended in their formation, their </w:t>
      </w:r>
      <w:r w:rsidR="00D21538" w:rsidRPr="0006096F">
        <w:t>content</w:t>
      </w:r>
      <w:r w:rsidR="003E60F5" w:rsidRPr="0006096F">
        <w:t xml:space="preserve"> is still rooted in some common, actual element of experienced individuals.</w:t>
      </w:r>
      <w:r w:rsidR="003E60F5" w:rsidRPr="0006096F">
        <w:rPr>
          <w:vertAlign w:val="superscript"/>
        </w:rPr>
        <w:footnoteReference w:id="11"/>
      </w:r>
      <w:r w:rsidR="003E60F5" w:rsidRPr="0006096F">
        <w:t xml:space="preserve"> </w:t>
      </w:r>
    </w:p>
    <w:p w14:paraId="0570109D" w14:textId="77777777" w:rsidR="004424B9" w:rsidRPr="0006096F" w:rsidRDefault="006C7454" w:rsidP="00B95D2D">
      <w:r w:rsidRPr="0006096F">
        <w:lastRenderedPageBreak/>
        <w:t>How now are pure concepts formed, for Husserl?</w:t>
      </w:r>
      <w:r w:rsidR="00062056" w:rsidRPr="0006096F">
        <w:rPr>
          <w:rStyle w:val="FootnoteReference"/>
        </w:rPr>
        <w:footnoteReference w:id="12"/>
      </w:r>
      <w:r w:rsidR="00E61CD8" w:rsidRPr="0006096F">
        <w:t xml:space="preserve"> Of interest to us are pure concepts that are not simply formal, such as logical or mathematical concepts, but pure concepts applicable to individuals. (Later I will distinguish these as </w:t>
      </w:r>
      <w:r w:rsidR="00E61CD8" w:rsidRPr="0006096F">
        <w:rPr>
          <w:i/>
        </w:rPr>
        <w:t>material pure concepts</w:t>
      </w:r>
      <w:r w:rsidR="00E61CD8" w:rsidRPr="0006096F">
        <w:t>, but since formal concepts are not our concern here, I will usually leave this unmarked.)</w:t>
      </w:r>
      <w:r w:rsidRPr="0006096F">
        <w:t xml:space="preserve"> Husserl’s theory of pure concepts comes from his notion of pure</w:t>
      </w:r>
      <w:r w:rsidR="003A0906" w:rsidRPr="0006096F">
        <w:t xml:space="preserve"> essences or </w:t>
      </w:r>
      <w:proofErr w:type="spellStart"/>
      <w:r w:rsidR="003A0906" w:rsidRPr="009B65EF">
        <w:rPr>
          <w:i/>
          <w:iCs/>
        </w:rPr>
        <w:t>eidê</w:t>
      </w:r>
      <w:proofErr w:type="spellEnd"/>
      <w:r w:rsidR="003A0906" w:rsidRPr="00950E5B">
        <w:t xml:space="preserve"> </w:t>
      </w:r>
      <w:r w:rsidR="00585B7B" w:rsidRPr="0006096F">
        <w:t>(</w:t>
      </w:r>
      <w:r w:rsidR="00293BC2" w:rsidRPr="0006096F">
        <w:t>taking</w:t>
      </w:r>
      <w:r w:rsidR="00585B7B" w:rsidRPr="0006096F">
        <w:t xml:space="preserve"> the term from Plato) </w:t>
      </w:r>
      <w:r w:rsidR="003A0906" w:rsidRPr="0006096F">
        <w:t xml:space="preserve">and the correlated method of </w:t>
      </w:r>
      <w:r w:rsidR="00E75DB0">
        <w:t>“</w:t>
      </w:r>
      <w:r w:rsidR="003A0906" w:rsidRPr="0006096F">
        <w:t>eidetic variation</w:t>
      </w:r>
      <w:r w:rsidR="00E75DB0">
        <w:t>.”</w:t>
      </w:r>
      <w:r w:rsidR="003A0906" w:rsidRPr="0006096F">
        <w:t xml:space="preserve"> Though</w:t>
      </w:r>
      <w:r w:rsidR="00083EC9" w:rsidRPr="0006096F">
        <w:t xml:space="preserve"> </w:t>
      </w:r>
      <w:r w:rsidR="004424B9" w:rsidRPr="0006096F">
        <w:t xml:space="preserve">eidetic variation is not always </w:t>
      </w:r>
      <w:r w:rsidR="003A0906" w:rsidRPr="0006096F">
        <w:t xml:space="preserve">treated </w:t>
      </w:r>
      <w:r w:rsidR="00293BC2" w:rsidRPr="0006096F">
        <w:t>as a mode of</w:t>
      </w:r>
      <w:r w:rsidR="003A0906" w:rsidRPr="0006096F">
        <w:t xml:space="preserve"> concept formation</w:t>
      </w:r>
      <w:r w:rsidR="004424B9" w:rsidRPr="0006096F">
        <w:t>,</w:t>
      </w:r>
      <w:r w:rsidR="004424B9" w:rsidRPr="0006096F">
        <w:rPr>
          <w:rStyle w:val="FootnoteReference"/>
        </w:rPr>
        <w:footnoteReference w:id="13"/>
      </w:r>
      <w:r w:rsidR="004424B9" w:rsidRPr="0006096F">
        <w:t xml:space="preserve"> in </w:t>
      </w:r>
      <w:r w:rsidR="004424B9" w:rsidRPr="0006096F">
        <w:rPr>
          <w:i/>
        </w:rPr>
        <w:t>Experience and Judgment</w:t>
      </w:r>
      <w:r w:rsidR="004424B9" w:rsidRPr="0006096F">
        <w:t xml:space="preserve">, Husserl introduces this method explicitly as the mode of </w:t>
      </w:r>
      <w:r w:rsidR="00E75DB0">
        <w:t>“</w:t>
      </w:r>
      <w:r w:rsidR="004424B9" w:rsidRPr="0006096F">
        <w:t>the acquisition of pure concepts or pure concepts of essences</w:t>
      </w:r>
      <w:r w:rsidR="00E75DB0">
        <w:t>”</w:t>
      </w:r>
      <w:r w:rsidR="004424B9" w:rsidRPr="0006096F">
        <w:t xml:space="preserve"> </w:t>
      </w:r>
      <w:r w:rsidR="00661AA7" w:rsidRPr="0006096F">
        <w:t>(</w:t>
      </w:r>
      <w:r w:rsidR="00176495" w:rsidRPr="00176495">
        <w:t>EU</w:t>
      </w:r>
      <w:r w:rsidR="00FE57F0">
        <w:rPr>
          <w:i/>
        </w:rPr>
        <w:t xml:space="preserve"> </w:t>
      </w:r>
      <w:r w:rsidR="00FE57F0">
        <w:rPr>
          <w:iCs/>
        </w:rPr>
        <w:t>410</w:t>
      </w:r>
      <w:r w:rsidR="00982873">
        <w:rPr>
          <w:iCs/>
        </w:rPr>
        <w:t xml:space="preserve">; EJ </w:t>
      </w:r>
      <w:r w:rsidR="004424B9" w:rsidRPr="0006096F">
        <w:t>340).</w:t>
      </w:r>
      <w:r w:rsidR="002E0F7D" w:rsidRPr="0006096F">
        <w:rPr>
          <w:rStyle w:val="FootnoteReference"/>
        </w:rPr>
        <w:footnoteReference w:id="14"/>
      </w:r>
      <w:r w:rsidR="004424B9" w:rsidRPr="0006096F">
        <w:t xml:space="preserve"> Thus we can speak of pure concepts as a terminus of the method of eidetic variation, which Husserl calls</w:t>
      </w:r>
      <w:r w:rsidR="00293BC2" w:rsidRPr="0006096F">
        <w:t xml:space="preserve"> also</w:t>
      </w:r>
      <w:r w:rsidR="004424B9" w:rsidRPr="0006096F">
        <w:t xml:space="preserve"> </w:t>
      </w:r>
      <w:r w:rsidR="00E75DB0">
        <w:t>“</w:t>
      </w:r>
      <w:r w:rsidR="004424B9" w:rsidRPr="0006096F">
        <w:t>seeing essences</w:t>
      </w:r>
      <w:r w:rsidR="00E75DB0">
        <w:t>”</w:t>
      </w:r>
      <w:r w:rsidR="004424B9" w:rsidRPr="0006096F">
        <w:t xml:space="preserve"> (</w:t>
      </w:r>
      <w:proofErr w:type="spellStart"/>
      <w:r w:rsidR="004424B9" w:rsidRPr="0006096F">
        <w:rPr>
          <w:i/>
        </w:rPr>
        <w:t>Wesenserchauung</w:t>
      </w:r>
      <w:proofErr w:type="spellEnd"/>
      <w:r w:rsidR="004424B9" w:rsidRPr="0006096F">
        <w:t>) (</w:t>
      </w:r>
      <w:r w:rsidR="00176495" w:rsidRPr="00176495">
        <w:t>EU</w:t>
      </w:r>
      <w:r w:rsidR="00FE57F0">
        <w:rPr>
          <w:i/>
        </w:rPr>
        <w:t xml:space="preserve"> </w:t>
      </w:r>
      <w:r w:rsidR="00FE57F0">
        <w:rPr>
          <w:iCs/>
        </w:rPr>
        <w:t>421</w:t>
      </w:r>
      <w:r w:rsidR="00982873">
        <w:rPr>
          <w:iCs/>
        </w:rPr>
        <w:t xml:space="preserve">; EJ </w:t>
      </w:r>
      <w:r w:rsidR="004424B9" w:rsidRPr="0006096F">
        <w:t xml:space="preserve">348).  </w:t>
      </w:r>
      <w:r w:rsidR="009A5309" w:rsidRPr="0006096F">
        <w:t>Eidetic variation exists in service of the scientific aim of constructing clear concepts that motivates Husserl’s phenomenological project.</w:t>
      </w:r>
    </w:p>
    <w:p w14:paraId="373A1C32" w14:textId="77777777" w:rsidR="004424B9" w:rsidRPr="0006096F" w:rsidRDefault="004424B9" w:rsidP="00B95D2D">
      <w:r w:rsidRPr="0006096F">
        <w:t xml:space="preserve">If we recall that Husserl called call concepts </w:t>
      </w:r>
      <w:r w:rsidRPr="0006096F">
        <w:rPr>
          <w:i/>
        </w:rPr>
        <w:t xml:space="preserve">hen epi </w:t>
      </w:r>
      <w:proofErr w:type="spellStart"/>
      <w:r w:rsidRPr="0006096F">
        <w:rPr>
          <w:i/>
        </w:rPr>
        <w:t>pollôn</w:t>
      </w:r>
      <w:proofErr w:type="spellEnd"/>
      <w:r w:rsidRPr="0006096F">
        <w:t xml:space="preserve">, the simplest way to understand eidetic variation is a reversal of the </w:t>
      </w:r>
      <w:r w:rsidR="006013D9">
        <w:t>‘</w:t>
      </w:r>
      <w:r w:rsidRPr="0006096F">
        <w:t>arithmetic</w:t>
      </w:r>
      <w:r w:rsidR="006013D9">
        <w:t>’</w:t>
      </w:r>
      <w:r w:rsidRPr="0006096F">
        <w:t xml:space="preserve"> priority</w:t>
      </w:r>
      <w:r w:rsidR="009A5309" w:rsidRPr="0006096F">
        <w:t xml:space="preserve"> vis-à-vis empirical concepts</w:t>
      </w:r>
      <w:r w:rsidRPr="0006096F">
        <w:t>: ‘the one’ here</w:t>
      </w:r>
      <w:r w:rsidR="00CB1227" w:rsidRPr="0006096F">
        <w:t xml:space="preserve"> precedes the many, rather than being </w:t>
      </w:r>
      <w:r w:rsidR="00967CA8" w:rsidRPr="0006096F">
        <w:t>formed</w:t>
      </w:r>
      <w:r w:rsidR="00CB1227" w:rsidRPr="0006096F">
        <w:t xml:space="preserve"> out of the many</w:t>
      </w:r>
      <w:r w:rsidRPr="0006096F">
        <w:t>.</w:t>
      </w:r>
      <w:r w:rsidRPr="0006096F">
        <w:rPr>
          <w:rStyle w:val="FootnoteReference"/>
        </w:rPr>
        <w:footnoteReference w:id="15"/>
      </w:r>
      <w:r w:rsidRPr="0006096F">
        <w:t xml:space="preserve"> Any eidetic variation must begin with a model, an individual of some kind. This model can be anything, real or imagined</w:t>
      </w:r>
      <w:r w:rsidR="00293BC2" w:rsidRPr="0006096F">
        <w:t>.</w:t>
      </w:r>
      <w:r w:rsidRPr="0006096F">
        <w:t xml:space="preserve"> Husserl himself </w:t>
      </w:r>
      <w:r w:rsidR="00D206BE" w:rsidRPr="0006096F">
        <w:t>uses the example of</w:t>
      </w:r>
      <w:r w:rsidRPr="0006096F">
        <w:t xml:space="preserve"> </w:t>
      </w:r>
      <w:r w:rsidR="00174447" w:rsidRPr="0006096F">
        <w:t xml:space="preserve">a </w:t>
      </w:r>
      <w:r w:rsidRPr="0006096F">
        <w:t>sound</w:t>
      </w:r>
      <w:r w:rsidR="00293BC2" w:rsidRPr="0006096F">
        <w:t xml:space="preserve"> (</w:t>
      </w:r>
      <w:r w:rsidR="00FE57F0">
        <w:t xml:space="preserve">cf. </w:t>
      </w:r>
      <w:r w:rsidR="00176495" w:rsidRPr="00176495">
        <w:t>EU</w:t>
      </w:r>
      <w:r w:rsidR="00FE57F0">
        <w:rPr>
          <w:i/>
        </w:rPr>
        <w:t xml:space="preserve"> </w:t>
      </w:r>
      <w:r w:rsidR="00FE57F0">
        <w:rPr>
          <w:iCs/>
        </w:rPr>
        <w:t xml:space="preserve"> 412</w:t>
      </w:r>
      <w:r w:rsidR="00982873">
        <w:rPr>
          <w:iCs/>
        </w:rPr>
        <w:t xml:space="preserve">; EJ </w:t>
      </w:r>
      <w:r w:rsidR="00293BC2" w:rsidRPr="0006096F">
        <w:t>341).</w:t>
      </w:r>
      <w:r w:rsidRPr="0006096F">
        <w:t xml:space="preserve"> </w:t>
      </w:r>
      <w:r w:rsidR="00B56C10">
        <w:t xml:space="preserve">If we want to attain a pure concept </w:t>
      </w:r>
      <w:r w:rsidR="00B56C10" w:rsidRPr="0071605E">
        <w:rPr>
          <w:i/>
          <w:iCs/>
        </w:rPr>
        <w:t>sound</w:t>
      </w:r>
      <w:r w:rsidR="00B56C10">
        <w:t xml:space="preserve">, we must treat some individual (real or imagined) sound as a model for a series of imagined variations. The criteria for our production of variants is that they </w:t>
      </w:r>
      <w:r w:rsidR="00B56C10">
        <w:lastRenderedPageBreak/>
        <w:t xml:space="preserve">maintain something that is </w:t>
      </w:r>
      <w:r w:rsidR="00B56C10" w:rsidRPr="00B56C10">
        <w:rPr>
          <w:i/>
          <w:iCs/>
        </w:rPr>
        <w:t xml:space="preserve">the </w:t>
      </w:r>
      <w:r w:rsidR="00B56C10">
        <w:rPr>
          <w:i/>
          <w:iCs/>
        </w:rPr>
        <w:t xml:space="preserve">same </w:t>
      </w:r>
      <w:r w:rsidR="00B56C10">
        <w:t xml:space="preserve">from the model. The wider the variations, the closer we come to attaining the essential features of </w:t>
      </w:r>
      <w:r w:rsidR="00B56C10">
        <w:rPr>
          <w:i/>
          <w:iCs/>
        </w:rPr>
        <w:t xml:space="preserve">sound </w:t>
      </w:r>
      <w:r w:rsidR="00B56C10">
        <w:t xml:space="preserve">as such, pruning out the </w:t>
      </w:r>
      <w:r w:rsidR="009D34A9">
        <w:t>“</w:t>
      </w:r>
      <w:r w:rsidR="00B56C10">
        <w:t>accidental</w:t>
      </w:r>
      <w:r w:rsidR="009D34A9">
        <w:t>”</w:t>
      </w:r>
      <w:r w:rsidR="00B56C10">
        <w:t xml:space="preserve"> elements in the variations</w:t>
      </w:r>
      <w:r w:rsidRPr="0006096F">
        <w:t xml:space="preserve">. </w:t>
      </w:r>
      <w:r w:rsidR="00B56C10">
        <w:t>But w</w:t>
      </w:r>
      <w:r w:rsidR="009A5309" w:rsidRPr="0006096F">
        <w:t xml:space="preserve">e could also </w:t>
      </w:r>
      <w:r w:rsidR="003610C9" w:rsidRPr="0006096F">
        <w:t>have a more</w:t>
      </w:r>
      <w:r w:rsidR="009A5309" w:rsidRPr="0006096F">
        <w:t xml:space="preserve"> specific</w:t>
      </w:r>
      <w:r w:rsidR="003610C9" w:rsidRPr="0006096F">
        <w:t xml:space="preserve"> interest</w:t>
      </w:r>
      <w:r w:rsidR="009A5309" w:rsidRPr="0006096F">
        <w:t xml:space="preserve">. </w:t>
      </w:r>
      <w:r w:rsidR="00CB1227" w:rsidRPr="0006096F">
        <w:t xml:space="preserve">Perhaps the </w:t>
      </w:r>
      <w:r w:rsidR="009A5309" w:rsidRPr="0006096F">
        <w:t>model sound is</w:t>
      </w:r>
      <w:r w:rsidR="00CB1227" w:rsidRPr="0006096F">
        <w:t xml:space="preserve"> </w:t>
      </w:r>
      <w:r w:rsidR="003610C9" w:rsidRPr="0006096F">
        <w:t xml:space="preserve">now </w:t>
      </w:r>
      <w:r w:rsidR="00CB1227" w:rsidRPr="0006096F">
        <w:t>the C# of a violin. But the</w:t>
      </w:r>
      <w:r w:rsidR="00CB1227" w:rsidRPr="0006096F">
        <w:rPr>
          <w:i/>
        </w:rPr>
        <w:t xml:space="preserve"> same</w:t>
      </w:r>
      <w:r w:rsidR="00CB1227" w:rsidRPr="0006096F">
        <w:t xml:space="preserve"> note can be imagined as emanating from a piano or oboe</w:t>
      </w:r>
      <w:r w:rsidR="00586792" w:rsidRPr="0006096F">
        <w:t xml:space="preserve">; this imaginative process </w:t>
      </w:r>
      <w:r w:rsidR="009D34A9">
        <w:t>“</w:t>
      </w:r>
      <w:r w:rsidR="00586792" w:rsidRPr="0006096F">
        <w:t>purifies</w:t>
      </w:r>
      <w:r w:rsidR="009D34A9">
        <w:t>”</w:t>
      </w:r>
      <w:r w:rsidR="00586792" w:rsidRPr="0006096F">
        <w:t xml:space="preserve"> our conception of </w:t>
      </w:r>
      <w:r w:rsidR="0071605E">
        <w:t xml:space="preserve">the </w:t>
      </w:r>
      <w:r w:rsidR="00586792" w:rsidRPr="0006096F">
        <w:t>original model</w:t>
      </w:r>
      <w:r w:rsidR="00CB1227" w:rsidRPr="0006096F">
        <w:t xml:space="preserve">. </w:t>
      </w:r>
      <w:r w:rsidR="009A5309" w:rsidRPr="0006096F">
        <w:t xml:space="preserve">The notion of a </w:t>
      </w:r>
      <w:r w:rsidR="009A5309" w:rsidRPr="00B56C10">
        <w:rPr>
          <w:i/>
          <w:iCs/>
        </w:rPr>
        <w:t>C#</w:t>
      </w:r>
      <w:r w:rsidR="009A5309" w:rsidRPr="0006096F">
        <w:t xml:space="preserve">, in contrast to </w:t>
      </w:r>
      <w:r w:rsidR="009A5309" w:rsidRPr="0006096F">
        <w:rPr>
          <w:i/>
        </w:rPr>
        <w:t>that-violin’s-C#</w:t>
      </w:r>
      <w:r w:rsidR="009A5309" w:rsidRPr="0006096F">
        <w:t xml:space="preserve">, begins to emerge. </w:t>
      </w:r>
      <w:r w:rsidRPr="0006096F">
        <w:t xml:space="preserve">As Husserl writes, </w:t>
      </w:r>
      <w:r w:rsidR="009D34A9">
        <w:t>“</w:t>
      </w:r>
      <w:r w:rsidRPr="0006096F">
        <w:t xml:space="preserve">in juxtaposing the old and the new, we see that it is the </w:t>
      </w:r>
      <w:r w:rsidRPr="0006096F">
        <w:rPr>
          <w:i/>
        </w:rPr>
        <w:t>same</w:t>
      </w:r>
      <w:r w:rsidRPr="0006096F">
        <w:t xml:space="preserve">, that the variants and the variations on both sides join together in a single variation, and that the variants here and there are, in like fashion, </w:t>
      </w:r>
      <w:r w:rsidRPr="0006096F">
        <w:rPr>
          <w:i/>
        </w:rPr>
        <w:t>arbitrary particularizations of the one eidos</w:t>
      </w:r>
      <w:r w:rsidR="009D34A9">
        <w:t>”</w:t>
      </w:r>
      <w:r w:rsidRPr="0006096F">
        <w:t xml:space="preserve"> (</w:t>
      </w:r>
      <w:r w:rsidR="00176495" w:rsidRPr="00176495">
        <w:t>EU</w:t>
      </w:r>
      <w:r w:rsidR="00FE57F0">
        <w:rPr>
          <w:i/>
        </w:rPr>
        <w:t xml:space="preserve"> </w:t>
      </w:r>
      <w:r w:rsidR="00FE57F0">
        <w:rPr>
          <w:iCs/>
        </w:rPr>
        <w:t>412</w:t>
      </w:r>
      <w:r w:rsidR="00982873">
        <w:rPr>
          <w:iCs/>
        </w:rPr>
        <w:t xml:space="preserve">; EJ </w:t>
      </w:r>
      <w:r w:rsidRPr="0006096F">
        <w:t>341).</w:t>
      </w:r>
      <w:r w:rsidR="00F42AB9" w:rsidRPr="0006096F">
        <w:t xml:space="preserve"> </w:t>
      </w:r>
      <w:r w:rsidRPr="0006096F">
        <w:t xml:space="preserve">Unlike empirical </w:t>
      </w:r>
      <w:r w:rsidRPr="0006096F">
        <w:rPr>
          <w:i/>
        </w:rPr>
        <w:t>similarity</w:t>
      </w:r>
      <w:r w:rsidRPr="0006096F">
        <w:t xml:space="preserve">, which is required for </w:t>
      </w:r>
      <w:r w:rsidR="005D6EA5" w:rsidRPr="0006096F">
        <w:t>empirical generality</w:t>
      </w:r>
      <w:r w:rsidRPr="0006096F">
        <w:t>, Husserl emphasizes that</w:t>
      </w:r>
      <w:r w:rsidR="003610C9" w:rsidRPr="0006096F">
        <w:t>,</w:t>
      </w:r>
      <w:r w:rsidRPr="0006096F">
        <w:t xml:space="preserve"> because of the imaginative source of all eidetic variation, the </w:t>
      </w:r>
      <w:r w:rsidR="00CB1227" w:rsidRPr="0006096F">
        <w:t>generality captured in the var</w:t>
      </w:r>
      <w:r w:rsidR="00AC06E1" w:rsidRPr="0006096F">
        <w:t>i</w:t>
      </w:r>
      <w:r w:rsidR="00CB1227" w:rsidRPr="0006096F">
        <w:t>ation</w:t>
      </w:r>
      <w:r w:rsidR="00586792" w:rsidRPr="0006096F">
        <w:t xml:space="preserve"> </w:t>
      </w:r>
      <w:r w:rsidR="00CB1227" w:rsidRPr="0006096F">
        <w:t xml:space="preserve">can be </w:t>
      </w:r>
      <w:r w:rsidR="00CB1227" w:rsidRPr="0006096F">
        <w:rPr>
          <w:i/>
        </w:rPr>
        <w:t xml:space="preserve">equally </w:t>
      </w:r>
      <w:r w:rsidR="00CB1227" w:rsidRPr="0006096F">
        <w:t xml:space="preserve">or </w:t>
      </w:r>
      <w:r w:rsidR="00CB1227" w:rsidRPr="0006096F">
        <w:rPr>
          <w:i/>
        </w:rPr>
        <w:t xml:space="preserve">identically </w:t>
      </w:r>
      <w:r w:rsidR="00CB1227" w:rsidRPr="0006096F">
        <w:t>present in its instances</w:t>
      </w:r>
      <w:r w:rsidRPr="0006096F">
        <w:t xml:space="preserve">. There is an </w:t>
      </w:r>
      <w:r w:rsidR="00DB18C6" w:rsidRPr="00DB18C6">
        <w:rPr>
          <w:i/>
          <w:iCs/>
        </w:rPr>
        <w:t>eidos</w:t>
      </w:r>
      <w:r w:rsidRPr="00B56C10">
        <w:rPr>
          <w:i/>
          <w:iCs/>
        </w:rPr>
        <w:t xml:space="preserve"> </w:t>
      </w:r>
      <w:r w:rsidRPr="0006096F">
        <w:t>at all only on the basis of such ideal identity, and not mere similarity</w:t>
      </w:r>
      <w:r w:rsidR="00E32D8D" w:rsidRPr="0006096F">
        <w:t xml:space="preserve"> (</w:t>
      </w:r>
      <w:r w:rsidR="00176495" w:rsidRPr="00176495">
        <w:t>EU</w:t>
      </w:r>
      <w:r w:rsidR="00FE57F0">
        <w:t xml:space="preserve"> 414</w:t>
      </w:r>
      <w:r w:rsidR="00982873">
        <w:t xml:space="preserve">; EJ </w:t>
      </w:r>
      <w:r w:rsidR="00E32D8D" w:rsidRPr="0006096F">
        <w:t>343)</w:t>
      </w:r>
      <w:r w:rsidRPr="0006096F">
        <w:t xml:space="preserve">. Once we grasp </w:t>
      </w:r>
      <w:r w:rsidRPr="0006096F">
        <w:rPr>
          <w:i/>
        </w:rPr>
        <w:t xml:space="preserve">just this </w:t>
      </w:r>
      <w:r w:rsidRPr="0006096F">
        <w:t xml:space="preserve">identity in variation, for Husserl, we have </w:t>
      </w:r>
      <w:r w:rsidR="009D34A9">
        <w:t>“</w:t>
      </w:r>
      <w:r w:rsidRPr="0006096F">
        <w:t>seen</w:t>
      </w:r>
      <w:r w:rsidR="009D34A9">
        <w:t>”</w:t>
      </w:r>
      <w:r w:rsidRPr="0006096F">
        <w:t xml:space="preserve"> the </w:t>
      </w:r>
      <w:r w:rsidR="00DB18C6" w:rsidRPr="00DB18C6">
        <w:rPr>
          <w:i/>
          <w:iCs/>
        </w:rPr>
        <w:t>eidos</w:t>
      </w:r>
      <w:r w:rsidRPr="0006096F">
        <w:t>; it is thus a kind of non-sensible intuition.</w:t>
      </w:r>
      <w:r w:rsidRPr="0006096F">
        <w:rPr>
          <w:rStyle w:val="FootnoteReference"/>
        </w:rPr>
        <w:footnoteReference w:id="16"/>
      </w:r>
      <w:r w:rsidRPr="0006096F">
        <w:t xml:space="preserve"> </w:t>
      </w:r>
      <w:r w:rsidR="003610C9" w:rsidRPr="0006096F">
        <w:t xml:space="preserve">The identity grasped within such variation, whatever it is, is then the content of a </w:t>
      </w:r>
      <w:r w:rsidR="003610C9" w:rsidRPr="0006096F">
        <w:rPr>
          <w:i/>
        </w:rPr>
        <w:t>pure concept</w:t>
      </w:r>
      <w:r w:rsidR="003610C9" w:rsidRPr="0006096F">
        <w:t xml:space="preserve">. </w:t>
      </w:r>
    </w:p>
    <w:p w14:paraId="4B5876BE" w14:textId="77777777" w:rsidR="006F465F" w:rsidRPr="0006096F" w:rsidRDefault="007B7C43" w:rsidP="00B95D2D">
      <w:r w:rsidRPr="0006096F">
        <w:t>A few features</w:t>
      </w:r>
      <w:r w:rsidR="004424B9" w:rsidRPr="0006096F">
        <w:t xml:space="preserve"> of eidetic method</w:t>
      </w:r>
      <w:r w:rsidRPr="0006096F">
        <w:t xml:space="preserve"> should stand out</w:t>
      </w:r>
      <w:r w:rsidR="004424B9" w:rsidRPr="0006096F">
        <w:t xml:space="preserve">. First, and most obviously, </w:t>
      </w:r>
      <w:r w:rsidR="004424B9" w:rsidRPr="0006096F">
        <w:rPr>
          <w:i/>
        </w:rPr>
        <w:t>imagination</w:t>
      </w:r>
      <w:r w:rsidR="004424B9" w:rsidRPr="0006096F">
        <w:t xml:space="preserve"> is the </w:t>
      </w:r>
      <w:r w:rsidR="004424B9" w:rsidRPr="0006096F">
        <w:rPr>
          <w:i/>
        </w:rPr>
        <w:t xml:space="preserve">sine qua non </w:t>
      </w:r>
      <w:r w:rsidR="004424B9" w:rsidRPr="0006096F">
        <w:t xml:space="preserve">of the pure </w:t>
      </w:r>
      <w:r w:rsidR="00DB18C6" w:rsidRPr="00DB18C6">
        <w:rPr>
          <w:i/>
          <w:iCs/>
        </w:rPr>
        <w:t>eidos</w:t>
      </w:r>
      <w:r w:rsidR="004424B9" w:rsidRPr="0006096F">
        <w:t xml:space="preserve">, and </w:t>
      </w:r>
      <w:proofErr w:type="spellStart"/>
      <w:r w:rsidR="004424B9" w:rsidRPr="0006096F">
        <w:t>therewith</w:t>
      </w:r>
      <w:proofErr w:type="spellEnd"/>
      <w:r w:rsidR="004424B9" w:rsidRPr="0006096F">
        <w:t xml:space="preserve"> the pure concept</w:t>
      </w:r>
      <w:r w:rsidR="00DD5677" w:rsidRPr="0006096F">
        <w:t>.</w:t>
      </w:r>
      <w:r w:rsidR="004424B9" w:rsidRPr="0006096F">
        <w:t xml:space="preserve"> The purity of such a concept is its freedom from any conditioning actualities.</w:t>
      </w:r>
      <w:r w:rsidRPr="0006096F">
        <w:t xml:space="preserve"> The chosen model may, yet need not, originate in </w:t>
      </w:r>
      <w:r w:rsidR="00B56C10">
        <w:t xml:space="preserve">empirical </w:t>
      </w:r>
      <w:r w:rsidRPr="0006096F">
        <w:t>perception.</w:t>
      </w:r>
      <w:r w:rsidR="004424B9" w:rsidRPr="0006096F">
        <w:t xml:space="preserve"> Husserl writes, </w:t>
      </w:r>
    </w:p>
    <w:p w14:paraId="1BD022EE" w14:textId="77777777" w:rsidR="006F465F" w:rsidRPr="0006096F" w:rsidRDefault="004424B9" w:rsidP="00B95D2D">
      <w:pPr>
        <w:pStyle w:val="Quote"/>
      </w:pPr>
      <w:r w:rsidRPr="0006096F">
        <w:t xml:space="preserve">For a pure </w:t>
      </w:r>
      <w:r w:rsidRPr="0006096F">
        <w:rPr>
          <w:i/>
        </w:rPr>
        <w:t>eidos</w:t>
      </w:r>
      <w:r w:rsidRPr="0006096F">
        <w:t>, the factual actuality of the particular cases by means of which we progress in the variation is completely irrelevant. And this must be taken literally.</w:t>
      </w:r>
      <w:r w:rsidR="006F465F" w:rsidRPr="0006096F">
        <w:t xml:space="preserve"> </w:t>
      </w:r>
      <w:r w:rsidRPr="0006096F">
        <w:t xml:space="preserve">The </w:t>
      </w:r>
      <w:r w:rsidRPr="0006096F">
        <w:lastRenderedPageBreak/>
        <w:t>actualities must be treated as possibilities among other possibilities, in fact as arbitrary possibilities of the imagination</w:t>
      </w:r>
      <w:r w:rsidR="006F465F" w:rsidRPr="0006096F">
        <w:t xml:space="preserve">. </w:t>
      </w:r>
      <w:r w:rsidRPr="0006096F">
        <w:t>(</w:t>
      </w:r>
      <w:r w:rsidR="00176495" w:rsidRPr="00176495">
        <w:t>EU</w:t>
      </w:r>
      <w:r w:rsidR="00FE57F0">
        <w:rPr>
          <w:i/>
        </w:rPr>
        <w:t xml:space="preserve"> </w:t>
      </w:r>
      <w:r w:rsidR="00FE57F0">
        <w:rPr>
          <w:iCs/>
        </w:rPr>
        <w:t>423</w:t>
      </w:r>
      <w:r w:rsidR="00982873">
        <w:rPr>
          <w:iCs/>
        </w:rPr>
        <w:t xml:space="preserve">; EJ </w:t>
      </w:r>
      <w:r w:rsidRPr="0006096F">
        <w:t xml:space="preserve">350) </w:t>
      </w:r>
    </w:p>
    <w:p w14:paraId="1AD8B804" w14:textId="77777777" w:rsidR="00AC06E1" w:rsidRPr="0006096F" w:rsidRDefault="004424B9" w:rsidP="0098042E">
      <w:pPr>
        <w:ind w:firstLine="0"/>
      </w:pPr>
      <w:r w:rsidRPr="0006096F">
        <w:t>In eidetic method, actuality is converted to possibility; the real extension of a concept</w:t>
      </w:r>
      <w:r w:rsidR="00AC06E1" w:rsidRPr="0006096F">
        <w:t>, even if founded in perception,</w:t>
      </w:r>
      <w:r w:rsidRPr="0006096F">
        <w:t xml:space="preserve"> is converted to an imaginary one. This is connected to a second point, that of the </w:t>
      </w:r>
      <w:r w:rsidR="002C586B">
        <w:t>“</w:t>
      </w:r>
      <w:r w:rsidRPr="0006096F">
        <w:t>arbitrariness</w:t>
      </w:r>
      <w:r w:rsidR="002C586B">
        <w:t>”</w:t>
      </w:r>
      <w:r w:rsidRPr="0006096F">
        <w:t xml:space="preserve"> just mentioned. Again, strikingly in contrast to empirical generalities, which, even when they have an open horizon are bound by at least two objects taken passively to be similar, the multiple instances of a pure </w:t>
      </w:r>
      <w:r w:rsidR="00DB18C6" w:rsidRPr="00DB18C6">
        <w:rPr>
          <w:i/>
          <w:iCs/>
        </w:rPr>
        <w:t>eidos</w:t>
      </w:r>
      <w:r w:rsidRPr="0006096F">
        <w:t xml:space="preserve"> are the result of a free and necessarily arbitrary variation</w:t>
      </w:r>
      <w:r w:rsidR="007B7C43" w:rsidRPr="0006096F">
        <w:t>, rather than discovery and comparison</w:t>
      </w:r>
      <w:r w:rsidRPr="0006096F">
        <w:t xml:space="preserve">. Husserl comments, </w:t>
      </w:r>
      <w:r w:rsidR="00B56C10">
        <w:t>“</w:t>
      </w:r>
      <w:r w:rsidRPr="0006096F">
        <w:t>This remarkable and truly important consciousness of ‘and so on, at my pleasure’ belongs essentially to every multiplicity of variations</w:t>
      </w:r>
      <w:r w:rsidR="00B56C10">
        <w:t>”</w:t>
      </w:r>
      <w:r w:rsidRPr="0006096F">
        <w:t xml:space="preserve"> (</w:t>
      </w:r>
      <w:r w:rsidR="00176495" w:rsidRPr="00176495">
        <w:t>EU</w:t>
      </w:r>
      <w:r w:rsidR="00FE57F0">
        <w:rPr>
          <w:i/>
        </w:rPr>
        <w:t xml:space="preserve"> </w:t>
      </w:r>
      <w:r w:rsidR="00FE57F0">
        <w:rPr>
          <w:iCs/>
        </w:rPr>
        <w:t>413</w:t>
      </w:r>
      <w:r w:rsidR="00982873">
        <w:rPr>
          <w:iCs/>
        </w:rPr>
        <w:t xml:space="preserve">; EJ </w:t>
      </w:r>
      <w:r w:rsidRPr="0006096F">
        <w:t xml:space="preserve">342). Thus, eidetic variation </w:t>
      </w:r>
      <w:r w:rsidR="007B7C43" w:rsidRPr="0006096F">
        <w:t xml:space="preserve">produces </w:t>
      </w:r>
      <w:r w:rsidR="005D6EA5" w:rsidRPr="0006096F">
        <w:t>a sample</w:t>
      </w:r>
      <w:r w:rsidR="007B7C43" w:rsidRPr="0006096F">
        <w:t xml:space="preserve"> extension of the concept, which is </w:t>
      </w:r>
      <w:r w:rsidR="005D6EA5" w:rsidRPr="0006096F">
        <w:t>limitless in principle.</w:t>
      </w:r>
      <w:r w:rsidR="007B7C43" w:rsidRPr="0006096F">
        <w:t xml:space="preserve"> </w:t>
      </w:r>
    </w:p>
    <w:p w14:paraId="071823BC" w14:textId="77777777" w:rsidR="004424B9" w:rsidRPr="0006096F" w:rsidRDefault="004424B9" w:rsidP="00B95D2D">
      <w:r w:rsidRPr="0006096F">
        <w:t xml:space="preserve">How, then, does Husserl arrive at what he calls </w:t>
      </w:r>
      <w:r w:rsidR="00B56C10">
        <w:t>“</w:t>
      </w:r>
      <w:r w:rsidRPr="0006096F">
        <w:t>eidetic laws</w:t>
      </w:r>
      <w:r w:rsidR="00B56C10">
        <w:t>”</w:t>
      </w:r>
      <w:r w:rsidR="00731780" w:rsidRPr="0006096F">
        <w:t xml:space="preserve"> (cf. </w:t>
      </w:r>
      <w:r w:rsidR="00176495" w:rsidRPr="00176495">
        <w:t>EU</w:t>
      </w:r>
      <w:r w:rsidR="00FE57F0">
        <w:rPr>
          <w:i/>
        </w:rPr>
        <w:t xml:space="preserve"> </w:t>
      </w:r>
      <w:r w:rsidR="00FE57F0">
        <w:rPr>
          <w:iCs/>
        </w:rPr>
        <w:t>425</w:t>
      </w:r>
      <w:r w:rsidR="00643909">
        <w:rPr>
          <w:iCs/>
        </w:rPr>
        <w:t>–</w:t>
      </w:r>
      <w:r w:rsidR="00982873">
        <w:rPr>
          <w:iCs/>
        </w:rPr>
        <w:t>4</w:t>
      </w:r>
      <w:r w:rsidR="00FE57F0">
        <w:rPr>
          <w:iCs/>
        </w:rPr>
        <w:t>38</w:t>
      </w:r>
      <w:r w:rsidR="00982873">
        <w:rPr>
          <w:iCs/>
        </w:rPr>
        <w:t xml:space="preserve">; EJ </w:t>
      </w:r>
      <w:r w:rsidR="00661AA7" w:rsidRPr="0006096F">
        <w:t>3</w:t>
      </w:r>
      <w:r w:rsidR="00731780" w:rsidRPr="0006096F">
        <w:t>51</w:t>
      </w:r>
      <w:r w:rsidR="00643909">
        <w:t>–</w:t>
      </w:r>
      <w:r w:rsidR="00982873">
        <w:t>3</w:t>
      </w:r>
      <w:r w:rsidR="00731780" w:rsidRPr="0006096F">
        <w:t>54)</w:t>
      </w:r>
      <w:r w:rsidRPr="0006096F">
        <w:t xml:space="preserve">? Besides the free spontaneity involved in the production of a singular </w:t>
      </w:r>
      <w:r w:rsidR="00DB18C6" w:rsidRPr="00DB18C6">
        <w:rPr>
          <w:i/>
          <w:iCs/>
        </w:rPr>
        <w:t>eidos</w:t>
      </w:r>
      <w:r w:rsidRPr="0006096F">
        <w:t xml:space="preserve">, the </w:t>
      </w:r>
      <w:r w:rsidR="00DB18C6" w:rsidRPr="00DB18C6">
        <w:rPr>
          <w:i/>
          <w:iCs/>
        </w:rPr>
        <w:t>eidos</w:t>
      </w:r>
      <w:r w:rsidRPr="0006096F">
        <w:t xml:space="preserve"> itself must maintain itself as identical in its variations. Thus, upon varying the </w:t>
      </w:r>
      <w:r w:rsidR="00DB18C6" w:rsidRPr="00DB18C6">
        <w:rPr>
          <w:i/>
          <w:iCs/>
        </w:rPr>
        <w:t>eidos</w:t>
      </w:r>
      <w:r w:rsidR="00DB18C6">
        <w:t xml:space="preserve"> </w:t>
      </w:r>
      <w:r w:rsidRPr="0006096F">
        <w:rPr>
          <w:i/>
        </w:rPr>
        <w:t>sound</w:t>
      </w:r>
      <w:r w:rsidRPr="0006096F">
        <w:t xml:space="preserve"> even in perfect freedom from its actual cases, we discover that it is impossible that the identical </w:t>
      </w:r>
      <w:r w:rsidR="00DB18C6" w:rsidRPr="00DB18C6">
        <w:rPr>
          <w:i/>
          <w:iCs/>
        </w:rPr>
        <w:t>eidos</w:t>
      </w:r>
      <w:r w:rsidRPr="0006096F">
        <w:t xml:space="preserve"> appears without also having </w:t>
      </w:r>
      <w:r w:rsidR="002C586B">
        <w:t>“</w:t>
      </w:r>
      <w:r w:rsidRPr="0006096F">
        <w:t>intensity</w:t>
      </w:r>
      <w:r w:rsidR="002C586B">
        <w:t>”</w:t>
      </w:r>
      <w:r w:rsidRPr="0006096F">
        <w:t xml:space="preserve"> (</w:t>
      </w:r>
      <w:r w:rsidR="00176495" w:rsidRPr="00176495">
        <w:t>EU</w:t>
      </w:r>
      <w:r w:rsidR="00FE57F0">
        <w:rPr>
          <w:i/>
        </w:rPr>
        <w:t xml:space="preserve"> </w:t>
      </w:r>
      <w:r w:rsidR="00FE57F0">
        <w:rPr>
          <w:iCs/>
        </w:rPr>
        <w:t>456</w:t>
      </w:r>
      <w:r w:rsidR="00643909">
        <w:rPr>
          <w:iCs/>
        </w:rPr>
        <w:t>–</w:t>
      </w:r>
      <w:r w:rsidR="00982873">
        <w:rPr>
          <w:iCs/>
        </w:rPr>
        <w:t>4</w:t>
      </w:r>
      <w:r w:rsidR="00FE57F0">
        <w:rPr>
          <w:iCs/>
        </w:rPr>
        <w:t>57</w:t>
      </w:r>
      <w:r w:rsidR="00982873">
        <w:rPr>
          <w:iCs/>
        </w:rPr>
        <w:t xml:space="preserve">; EJ </w:t>
      </w:r>
      <w:r w:rsidRPr="0006096F">
        <w:t>375)</w:t>
      </w:r>
      <w:r w:rsidR="002C586B">
        <w:t>: it can’t be imagined away from any case that counts as maintaining the relevant features of model case</w:t>
      </w:r>
      <w:r w:rsidRPr="0006096F">
        <w:t xml:space="preserve">. </w:t>
      </w:r>
      <w:r w:rsidR="002C586B">
        <w:t xml:space="preserve">An </w:t>
      </w:r>
      <w:r w:rsidR="00DB18C6" w:rsidRPr="00DB18C6">
        <w:rPr>
          <w:i/>
          <w:iCs/>
        </w:rPr>
        <w:t>eidos</w:t>
      </w:r>
      <w:r w:rsidR="002C586B">
        <w:t xml:space="preserve"> like </w:t>
      </w:r>
      <w:r w:rsidR="002C586B" w:rsidRPr="002C586B">
        <w:rPr>
          <w:i/>
          <w:iCs/>
        </w:rPr>
        <w:t>sound</w:t>
      </w:r>
      <w:r w:rsidRPr="002C586B">
        <w:rPr>
          <w:i/>
          <w:iCs/>
        </w:rPr>
        <w:t xml:space="preserve"> </w:t>
      </w:r>
      <w:r w:rsidRPr="0006096F">
        <w:t>is thus not a</w:t>
      </w:r>
      <w:r w:rsidR="00AC06E1" w:rsidRPr="0006096F">
        <w:t xml:space="preserve"> mere simple</w:t>
      </w:r>
      <w:r w:rsidRPr="0006096F">
        <w:t xml:space="preserve"> unity but contains </w:t>
      </w:r>
      <w:r w:rsidRPr="0006096F">
        <w:rPr>
          <w:i/>
        </w:rPr>
        <w:t xml:space="preserve">essential </w:t>
      </w:r>
      <w:r w:rsidR="000109AB" w:rsidRPr="0006096F">
        <w:rPr>
          <w:i/>
        </w:rPr>
        <w:t>determinations</w:t>
      </w:r>
      <w:r w:rsidRPr="0006096F">
        <w:t xml:space="preserve"> that must be as it were lawfully present in any case of the </w:t>
      </w:r>
      <w:r w:rsidR="00DB18C6" w:rsidRPr="00DB18C6">
        <w:rPr>
          <w:i/>
          <w:iCs/>
        </w:rPr>
        <w:t>eidos</w:t>
      </w:r>
      <w:r w:rsidRPr="0006096F">
        <w:t xml:space="preserve">. Husserl then seamlessly concludes that eidetic laws allow for pure, generic </w:t>
      </w:r>
      <w:r w:rsidRPr="0006096F">
        <w:rPr>
          <w:i/>
        </w:rPr>
        <w:t xml:space="preserve">conceptual </w:t>
      </w:r>
      <w:r w:rsidRPr="0006096F">
        <w:t xml:space="preserve">truths </w:t>
      </w:r>
      <w:r w:rsidR="00B56C10">
        <w:t>(</w:t>
      </w:r>
      <w:r w:rsidR="002C586B">
        <w:t>“</w:t>
      </w:r>
      <w:r w:rsidRPr="0006096F">
        <w:t>judgment</w:t>
      </w:r>
      <w:r w:rsidR="00643909">
        <w:t>-</w:t>
      </w:r>
      <w:r w:rsidRPr="0006096F">
        <w:t>complexes which are</w:t>
      </w:r>
      <w:r w:rsidR="0071605E">
        <w:t xml:space="preserve"> [</w:t>
      </w:r>
      <w:r w:rsidRPr="0006096F">
        <w:t>…</w:t>
      </w:r>
      <w:r w:rsidR="0071605E">
        <w:t xml:space="preserve">] </w:t>
      </w:r>
      <w:r w:rsidRPr="0006096F">
        <w:t>apodictically universal</w:t>
      </w:r>
      <w:r w:rsidR="002C586B">
        <w:t>”</w:t>
      </w:r>
      <w:r w:rsidR="00B56C10">
        <w:t>)</w:t>
      </w:r>
      <w:r w:rsidR="00772D48" w:rsidRPr="0006096F">
        <w:t>,</w:t>
      </w:r>
      <w:r w:rsidRPr="0006096F">
        <w:t xml:space="preserve"> since realized purely </w:t>
      </w:r>
      <w:r w:rsidRPr="0006096F">
        <w:rPr>
          <w:i/>
        </w:rPr>
        <w:t xml:space="preserve">a priori </w:t>
      </w:r>
      <w:r w:rsidRPr="0006096F">
        <w:t>in thought (</w:t>
      </w:r>
      <w:r w:rsidR="00982873">
        <w:rPr>
          <w:iCs/>
        </w:rPr>
        <w:t xml:space="preserve">EU </w:t>
      </w:r>
      <w:r w:rsidR="00FE57F0">
        <w:t>458</w:t>
      </w:r>
      <w:r w:rsidR="00982873">
        <w:t xml:space="preserve">; EJ </w:t>
      </w:r>
      <w:r w:rsidRPr="0006096F">
        <w:t>376). Thus, for Husserl, a judgment such as</w:t>
      </w:r>
      <w:r w:rsidR="002C586B">
        <w:t xml:space="preserve"> “</w:t>
      </w:r>
      <w:r w:rsidRPr="0006096F">
        <w:t xml:space="preserve">all </w:t>
      </w:r>
      <w:r w:rsidR="007B7C43" w:rsidRPr="0006096F">
        <w:t>consciousness is intentional</w:t>
      </w:r>
      <w:r w:rsidR="002C586B">
        <w:t>”</w:t>
      </w:r>
      <w:r w:rsidR="000109AB" w:rsidRPr="0006096F">
        <w:t xml:space="preserve"> </w:t>
      </w:r>
      <w:r w:rsidRPr="0006096F">
        <w:t>c</w:t>
      </w:r>
      <w:r w:rsidR="007B7C43" w:rsidRPr="0006096F">
        <w:t>ould</w:t>
      </w:r>
      <w:r w:rsidRPr="0006096F">
        <w:t xml:space="preserve"> have an </w:t>
      </w:r>
      <w:r w:rsidRPr="0006096F">
        <w:rPr>
          <w:i/>
        </w:rPr>
        <w:t>a priori</w:t>
      </w:r>
      <w:r w:rsidRPr="0006096F">
        <w:t xml:space="preserve"> origin through an eidetic law prescribing about the </w:t>
      </w:r>
      <w:r w:rsidR="00DB18C6" w:rsidRPr="00DB18C6">
        <w:rPr>
          <w:i/>
          <w:iCs/>
        </w:rPr>
        <w:t>eidos</w:t>
      </w:r>
      <w:r w:rsidRPr="0006096F">
        <w:t xml:space="preserve"> </w:t>
      </w:r>
      <w:r w:rsidR="007B7C43" w:rsidRPr="0006096F">
        <w:rPr>
          <w:i/>
        </w:rPr>
        <w:t>consciousness</w:t>
      </w:r>
      <w:r w:rsidRPr="0006096F">
        <w:t>, rather than as a</w:t>
      </w:r>
      <w:r w:rsidR="007B7C43" w:rsidRPr="0006096F">
        <w:t xml:space="preserve"> hypothesis from or </w:t>
      </w:r>
      <w:r w:rsidR="007B7C43" w:rsidRPr="0006096F">
        <w:lastRenderedPageBreak/>
        <w:t>generalization about</w:t>
      </w:r>
      <w:r w:rsidRPr="0006096F">
        <w:t xml:space="preserve"> general experience</w:t>
      </w:r>
      <w:r w:rsidR="00731780" w:rsidRPr="0006096F">
        <w:t xml:space="preserve"> (</w:t>
      </w:r>
      <w:r w:rsidR="003563AA" w:rsidRPr="0006096F">
        <w:t xml:space="preserve">cf. </w:t>
      </w:r>
      <w:r w:rsidR="00176495" w:rsidRPr="00176495">
        <w:t>EU</w:t>
      </w:r>
      <w:r w:rsidR="00FE57F0">
        <w:rPr>
          <w:i/>
        </w:rPr>
        <w:t xml:space="preserve"> </w:t>
      </w:r>
      <w:r w:rsidR="00FE57F0">
        <w:rPr>
          <w:iCs/>
        </w:rPr>
        <w:t>451</w:t>
      </w:r>
      <w:r w:rsidR="00643909">
        <w:rPr>
          <w:iCs/>
        </w:rPr>
        <w:t>–</w:t>
      </w:r>
      <w:r w:rsidR="00982873">
        <w:rPr>
          <w:iCs/>
        </w:rPr>
        <w:t>4</w:t>
      </w:r>
      <w:r w:rsidR="00FE57F0">
        <w:rPr>
          <w:iCs/>
        </w:rPr>
        <w:t>54</w:t>
      </w:r>
      <w:r w:rsidR="00982873">
        <w:rPr>
          <w:iCs/>
        </w:rPr>
        <w:t xml:space="preserve">; EJ </w:t>
      </w:r>
      <w:r w:rsidR="00731780" w:rsidRPr="0006096F">
        <w:t>37</w:t>
      </w:r>
      <w:r w:rsidR="003563AA" w:rsidRPr="0006096F">
        <w:t>2</w:t>
      </w:r>
      <w:r w:rsidR="00643909">
        <w:t>–</w:t>
      </w:r>
      <w:r w:rsidR="003563AA" w:rsidRPr="0006096F">
        <w:t>75)</w:t>
      </w:r>
      <w:r w:rsidRPr="0006096F">
        <w:t>.</w:t>
      </w:r>
      <w:r w:rsidRPr="0006096F">
        <w:rPr>
          <w:rStyle w:val="FootnoteReference"/>
        </w:rPr>
        <w:footnoteReference w:id="17"/>
      </w:r>
      <w:r w:rsidRPr="0006096F">
        <w:t xml:space="preserve"> The pure concept, based on the unity of a single </w:t>
      </w:r>
      <w:r w:rsidR="00DB18C6" w:rsidRPr="00DB18C6">
        <w:rPr>
          <w:i/>
          <w:iCs/>
        </w:rPr>
        <w:t>eidos</w:t>
      </w:r>
      <w:r w:rsidRPr="0006096F">
        <w:t xml:space="preserve">, contains eidetic laws as its own essential </w:t>
      </w:r>
      <w:r w:rsidR="00E009A1" w:rsidRPr="0006096F">
        <w:t>determinations</w:t>
      </w:r>
      <w:r w:rsidRPr="0006096F">
        <w:t>.</w:t>
      </w:r>
      <w:r w:rsidRPr="0006096F">
        <w:rPr>
          <w:rStyle w:val="FootnoteReference"/>
        </w:rPr>
        <w:footnoteReference w:id="18"/>
      </w:r>
      <w:r w:rsidRPr="0006096F">
        <w:t xml:space="preserve">      </w:t>
      </w:r>
    </w:p>
    <w:p w14:paraId="441F9234" w14:textId="77777777" w:rsidR="00D641D6" w:rsidRDefault="00D641D6" w:rsidP="00B95D2D">
      <w:pPr>
        <w:pStyle w:val="Heading2"/>
      </w:pPr>
    </w:p>
    <w:p w14:paraId="0A38A37E" w14:textId="77777777" w:rsidR="003F2CE5" w:rsidRPr="0006096F" w:rsidRDefault="008744D8" w:rsidP="00B95D2D">
      <w:pPr>
        <w:pStyle w:val="Heading2"/>
      </w:pPr>
      <w:r w:rsidRPr="0006096F">
        <w:t xml:space="preserve">3. </w:t>
      </w:r>
      <w:r w:rsidR="000109AB" w:rsidRPr="0006096F">
        <w:t xml:space="preserve">The </w:t>
      </w:r>
      <w:r w:rsidR="00542B5D" w:rsidRPr="0006096F">
        <w:t>Overlap and Amphiboly of Pure and Empirical Concepts</w:t>
      </w:r>
    </w:p>
    <w:p w14:paraId="39E4E101" w14:textId="77777777" w:rsidR="00CE465D" w:rsidRDefault="00D206BE" w:rsidP="00CE465D">
      <w:pPr>
        <w:ind w:firstLine="0"/>
      </w:pPr>
      <w:r w:rsidRPr="0006096F">
        <w:tab/>
      </w:r>
      <w:r w:rsidR="000109AB" w:rsidRPr="0006096F">
        <w:t>We distinguish e</w:t>
      </w:r>
      <w:r w:rsidRPr="0006096F">
        <w:t xml:space="preserve">mpirical and pure concepts </w:t>
      </w:r>
      <w:r w:rsidR="000109AB" w:rsidRPr="0006096F">
        <w:t>by their different modes of</w:t>
      </w:r>
      <w:r w:rsidRPr="0006096F">
        <w:t xml:space="preserve"> formation</w:t>
      </w:r>
      <w:r w:rsidR="000109AB" w:rsidRPr="0006096F">
        <w:t>,</w:t>
      </w:r>
      <w:r w:rsidRPr="0006096F">
        <w:t xml:space="preserve"> for Husser</w:t>
      </w:r>
      <w:r w:rsidR="000109AB" w:rsidRPr="0006096F">
        <w:t>l; they are formed differently at least because they are understood on different bases and with respect to different conditions of application</w:t>
      </w:r>
      <w:r w:rsidRPr="0006096F">
        <w:t xml:space="preserve">. In the following table, we can see the basic differences between empirical and pure concepts with respect to their </w:t>
      </w:r>
      <w:r w:rsidR="008C1167">
        <w:t xml:space="preserve">characteristic </w:t>
      </w:r>
      <w:r w:rsidR="008C1167" w:rsidRPr="008C1167">
        <w:rPr>
          <w:highlight w:val="yellow"/>
        </w:rPr>
        <w:t>modalit</w:t>
      </w:r>
      <w:r w:rsidR="008C1167">
        <w:t xml:space="preserve">y, </w:t>
      </w:r>
      <w:r w:rsidRPr="0006096F">
        <w:t>extension, ordering (i.e., how one instance is related to another</w:t>
      </w:r>
      <w:r w:rsidR="000F1647" w:rsidRPr="0006096F">
        <w:t xml:space="preserve"> with respect to the concept), and relevant cognitive faculty:</w:t>
      </w:r>
    </w:p>
    <w:tbl>
      <w:tblPr>
        <w:tblStyle w:val="TableGrid"/>
        <w:tblW w:w="0" w:type="auto"/>
        <w:tblLook w:val="04A0" w:firstRow="1" w:lastRow="0" w:firstColumn="1" w:lastColumn="0" w:noHBand="0" w:noVBand="1"/>
      </w:tblPr>
      <w:tblGrid>
        <w:gridCol w:w="2245"/>
        <w:gridCol w:w="2880"/>
        <w:gridCol w:w="2250"/>
      </w:tblGrid>
      <w:tr w:rsidR="00CE465D" w14:paraId="4655D829" w14:textId="77777777" w:rsidTr="0000066E">
        <w:tc>
          <w:tcPr>
            <w:tcW w:w="2245" w:type="dxa"/>
            <w:tcBorders>
              <w:bottom w:val="single" w:sz="4" w:space="0" w:color="auto"/>
            </w:tcBorders>
          </w:tcPr>
          <w:p w14:paraId="1C98C11A" w14:textId="77777777" w:rsidR="00CE465D" w:rsidRPr="00CE465D" w:rsidRDefault="00CE465D" w:rsidP="00B95D2D">
            <w:pPr>
              <w:ind w:firstLine="0"/>
              <w:rPr>
                <w:rFonts w:cs="Calibri"/>
              </w:rPr>
            </w:pPr>
          </w:p>
        </w:tc>
        <w:tc>
          <w:tcPr>
            <w:tcW w:w="2880" w:type="dxa"/>
            <w:tcBorders>
              <w:bottom w:val="single" w:sz="4" w:space="0" w:color="auto"/>
              <w:right w:val="single" w:sz="4" w:space="0" w:color="FFFFFF" w:themeColor="background1"/>
            </w:tcBorders>
          </w:tcPr>
          <w:p w14:paraId="2B34BED7" w14:textId="77777777" w:rsidR="00CE465D" w:rsidRPr="00CE465D" w:rsidRDefault="00CE465D" w:rsidP="00B95D2D">
            <w:pPr>
              <w:ind w:firstLine="0"/>
              <w:rPr>
                <w:rFonts w:cs="Calibri"/>
                <w:b/>
                <w:bCs/>
              </w:rPr>
            </w:pPr>
            <w:r w:rsidRPr="00CE465D">
              <w:rPr>
                <w:rFonts w:cs="Calibri"/>
                <w:b/>
                <w:bCs/>
              </w:rPr>
              <w:t>Empirical Concepts</w:t>
            </w:r>
          </w:p>
        </w:tc>
        <w:tc>
          <w:tcPr>
            <w:tcW w:w="2250" w:type="dxa"/>
            <w:tcBorders>
              <w:left w:val="single" w:sz="4" w:space="0" w:color="FFFFFF" w:themeColor="background1"/>
              <w:bottom w:val="single" w:sz="4" w:space="0" w:color="auto"/>
            </w:tcBorders>
          </w:tcPr>
          <w:p w14:paraId="218A0105" w14:textId="77777777" w:rsidR="00CE465D" w:rsidRPr="00CE465D" w:rsidRDefault="00CE465D" w:rsidP="00B95D2D">
            <w:pPr>
              <w:ind w:firstLine="0"/>
              <w:rPr>
                <w:rFonts w:cs="Calibri"/>
                <w:b/>
                <w:bCs/>
              </w:rPr>
            </w:pPr>
            <w:r w:rsidRPr="00CE465D">
              <w:rPr>
                <w:rFonts w:cs="Calibri"/>
                <w:b/>
                <w:bCs/>
              </w:rPr>
              <w:t>Pure Concepts</w:t>
            </w:r>
          </w:p>
        </w:tc>
      </w:tr>
      <w:tr w:rsidR="00CE465D" w14:paraId="0209DEAD" w14:textId="77777777" w:rsidTr="0000066E">
        <w:tc>
          <w:tcPr>
            <w:tcW w:w="2245" w:type="dxa"/>
            <w:tcBorders>
              <w:bottom w:val="single" w:sz="4" w:space="0" w:color="FFFFFF" w:themeColor="background1"/>
            </w:tcBorders>
          </w:tcPr>
          <w:p w14:paraId="66527156" w14:textId="77777777" w:rsidR="00CE465D" w:rsidRPr="00CE465D" w:rsidRDefault="00CE465D" w:rsidP="00CE465D">
            <w:pPr>
              <w:ind w:firstLine="0"/>
              <w:rPr>
                <w:rFonts w:cs="Calibri"/>
                <w:b/>
                <w:bCs/>
                <w:i/>
                <w:iCs/>
                <w:highlight w:val="yellow"/>
              </w:rPr>
            </w:pPr>
            <w:r w:rsidRPr="00CE465D">
              <w:rPr>
                <w:rFonts w:cs="Calibri"/>
                <w:b/>
                <w:bCs/>
                <w:i/>
                <w:iCs/>
                <w:highlight w:val="yellow"/>
              </w:rPr>
              <w:t>Modality</w:t>
            </w:r>
          </w:p>
        </w:tc>
        <w:tc>
          <w:tcPr>
            <w:tcW w:w="2880" w:type="dxa"/>
            <w:tcBorders>
              <w:bottom w:val="single" w:sz="4" w:space="0" w:color="FFFFFF" w:themeColor="background1"/>
              <w:right w:val="single" w:sz="4" w:space="0" w:color="FFFFFF" w:themeColor="background1"/>
            </w:tcBorders>
          </w:tcPr>
          <w:p w14:paraId="03D2E549" w14:textId="77777777" w:rsidR="00CE465D" w:rsidRPr="00CE465D" w:rsidRDefault="00CE465D" w:rsidP="00B95D2D">
            <w:pPr>
              <w:ind w:firstLine="0"/>
              <w:rPr>
                <w:rFonts w:cs="Calibri"/>
                <w:highlight w:val="yellow"/>
              </w:rPr>
            </w:pPr>
            <w:r w:rsidRPr="00CE465D">
              <w:rPr>
                <w:rFonts w:cs="Calibri"/>
                <w:highlight w:val="yellow"/>
              </w:rPr>
              <w:t>Actuality</w:t>
            </w:r>
          </w:p>
        </w:tc>
        <w:tc>
          <w:tcPr>
            <w:tcW w:w="2250" w:type="dxa"/>
            <w:tcBorders>
              <w:left w:val="single" w:sz="4" w:space="0" w:color="FFFFFF" w:themeColor="background1"/>
              <w:bottom w:val="single" w:sz="4" w:space="0" w:color="FFFFFF" w:themeColor="background1"/>
            </w:tcBorders>
          </w:tcPr>
          <w:p w14:paraId="4CB2CA5B" w14:textId="77777777" w:rsidR="00CE465D" w:rsidRPr="00CE465D" w:rsidRDefault="00CE465D" w:rsidP="00B95D2D">
            <w:pPr>
              <w:ind w:firstLine="0"/>
              <w:rPr>
                <w:rFonts w:cs="Calibri"/>
              </w:rPr>
            </w:pPr>
            <w:r>
              <w:rPr>
                <w:rFonts w:cs="Calibri"/>
              </w:rPr>
              <w:t>Possibility</w:t>
            </w:r>
          </w:p>
        </w:tc>
      </w:tr>
      <w:tr w:rsidR="00CE465D" w14:paraId="1261C4AA" w14:textId="77777777" w:rsidTr="0000066E">
        <w:tc>
          <w:tcPr>
            <w:tcW w:w="2245" w:type="dxa"/>
            <w:tcBorders>
              <w:top w:val="single" w:sz="4" w:space="0" w:color="FFFFFF" w:themeColor="background1"/>
              <w:bottom w:val="single" w:sz="4" w:space="0" w:color="FFFFFF" w:themeColor="background1"/>
            </w:tcBorders>
          </w:tcPr>
          <w:p w14:paraId="4FB04F9D" w14:textId="77777777" w:rsidR="00CE465D" w:rsidRPr="00CE465D" w:rsidRDefault="00CE465D" w:rsidP="00B95D2D">
            <w:pPr>
              <w:ind w:firstLine="0"/>
              <w:rPr>
                <w:rFonts w:cs="Calibri"/>
                <w:b/>
                <w:bCs/>
                <w:i/>
                <w:iCs/>
                <w:highlight w:val="yellow"/>
              </w:rPr>
            </w:pPr>
            <w:r w:rsidRPr="00CE465D">
              <w:rPr>
                <w:rFonts w:cs="Calibri"/>
                <w:b/>
                <w:bCs/>
                <w:i/>
                <w:iCs/>
                <w:highlight w:val="yellow"/>
              </w:rPr>
              <w:t>Extension</w:t>
            </w:r>
          </w:p>
        </w:tc>
        <w:tc>
          <w:tcPr>
            <w:tcW w:w="2880" w:type="dxa"/>
            <w:tcBorders>
              <w:top w:val="single" w:sz="4" w:space="0" w:color="FFFFFF" w:themeColor="background1"/>
              <w:bottom w:val="single" w:sz="4" w:space="0" w:color="FFFFFF" w:themeColor="background1"/>
              <w:right w:val="single" w:sz="4" w:space="0" w:color="FFFFFF" w:themeColor="background1"/>
            </w:tcBorders>
          </w:tcPr>
          <w:p w14:paraId="39EB1FCA" w14:textId="77777777" w:rsidR="00CE465D" w:rsidRPr="00CE465D" w:rsidRDefault="00CE465D" w:rsidP="00B95D2D">
            <w:pPr>
              <w:ind w:firstLine="0"/>
              <w:rPr>
                <w:rFonts w:cs="Calibri"/>
                <w:highlight w:val="yellow"/>
              </w:rPr>
            </w:pPr>
            <w:r w:rsidRPr="00CE465D">
              <w:rPr>
                <w:rFonts w:cs="Calibri"/>
                <w:highlight w:val="yellow"/>
              </w:rPr>
              <w:t>Indefinite</w:t>
            </w:r>
          </w:p>
        </w:tc>
        <w:tc>
          <w:tcPr>
            <w:tcW w:w="2250" w:type="dxa"/>
            <w:tcBorders>
              <w:top w:val="single" w:sz="4" w:space="0" w:color="FFFFFF" w:themeColor="background1"/>
              <w:left w:val="single" w:sz="4" w:space="0" w:color="FFFFFF" w:themeColor="background1"/>
              <w:bottom w:val="single" w:sz="4" w:space="0" w:color="FFFFFF" w:themeColor="background1"/>
            </w:tcBorders>
          </w:tcPr>
          <w:p w14:paraId="0C2F6C7E" w14:textId="77777777" w:rsidR="00CE465D" w:rsidRPr="00CE465D" w:rsidRDefault="00CE465D" w:rsidP="00B95D2D">
            <w:pPr>
              <w:ind w:firstLine="0"/>
              <w:rPr>
                <w:rFonts w:cs="Calibri"/>
              </w:rPr>
            </w:pPr>
            <w:r w:rsidRPr="00CE465D">
              <w:rPr>
                <w:rFonts w:cs="Calibri"/>
              </w:rPr>
              <w:t>Infinite</w:t>
            </w:r>
          </w:p>
        </w:tc>
      </w:tr>
      <w:tr w:rsidR="00CE465D" w14:paraId="6BD38DF4" w14:textId="77777777" w:rsidTr="0000066E">
        <w:tc>
          <w:tcPr>
            <w:tcW w:w="2245" w:type="dxa"/>
            <w:tcBorders>
              <w:top w:val="single" w:sz="4" w:space="0" w:color="FFFFFF" w:themeColor="background1"/>
              <w:bottom w:val="single" w:sz="4" w:space="0" w:color="FFFFFF" w:themeColor="background1"/>
            </w:tcBorders>
          </w:tcPr>
          <w:p w14:paraId="4BC26BA6" w14:textId="77777777" w:rsidR="00CE465D" w:rsidRPr="00CE465D" w:rsidRDefault="00CE465D" w:rsidP="00B95D2D">
            <w:pPr>
              <w:ind w:firstLine="0"/>
              <w:rPr>
                <w:rFonts w:cs="Calibri"/>
                <w:b/>
                <w:bCs/>
                <w:i/>
                <w:iCs/>
              </w:rPr>
            </w:pPr>
            <w:r w:rsidRPr="00CE465D">
              <w:rPr>
                <w:rFonts w:cs="Calibri"/>
                <w:b/>
                <w:bCs/>
                <w:i/>
                <w:iCs/>
              </w:rPr>
              <w:t>Ordering</w:t>
            </w:r>
          </w:p>
        </w:tc>
        <w:tc>
          <w:tcPr>
            <w:tcW w:w="2880" w:type="dxa"/>
            <w:tcBorders>
              <w:top w:val="single" w:sz="4" w:space="0" w:color="FFFFFF" w:themeColor="background1"/>
              <w:bottom w:val="single" w:sz="4" w:space="0" w:color="FFFFFF" w:themeColor="background1"/>
              <w:right w:val="single" w:sz="4" w:space="0" w:color="FFFFFF" w:themeColor="background1"/>
            </w:tcBorders>
          </w:tcPr>
          <w:p w14:paraId="7CA89A7D" w14:textId="77777777" w:rsidR="00CE465D" w:rsidRPr="00CE465D" w:rsidRDefault="00CE465D" w:rsidP="00B95D2D">
            <w:pPr>
              <w:ind w:firstLine="0"/>
              <w:rPr>
                <w:rFonts w:cs="Calibri"/>
              </w:rPr>
            </w:pPr>
            <w:r w:rsidRPr="00CE465D">
              <w:rPr>
                <w:rFonts w:cs="Calibri"/>
              </w:rPr>
              <w:t>Similarity</w:t>
            </w:r>
          </w:p>
        </w:tc>
        <w:tc>
          <w:tcPr>
            <w:tcW w:w="2250" w:type="dxa"/>
            <w:tcBorders>
              <w:top w:val="single" w:sz="4" w:space="0" w:color="FFFFFF" w:themeColor="background1"/>
              <w:left w:val="single" w:sz="4" w:space="0" w:color="FFFFFF" w:themeColor="background1"/>
              <w:bottom w:val="single" w:sz="4" w:space="0" w:color="FFFFFF" w:themeColor="background1"/>
            </w:tcBorders>
          </w:tcPr>
          <w:p w14:paraId="6B3BAFC8" w14:textId="77777777" w:rsidR="00CE465D" w:rsidRPr="00CE465D" w:rsidRDefault="00CE465D" w:rsidP="00B95D2D">
            <w:pPr>
              <w:ind w:firstLine="0"/>
              <w:rPr>
                <w:rFonts w:cs="Calibri"/>
              </w:rPr>
            </w:pPr>
            <w:r w:rsidRPr="00CE465D">
              <w:rPr>
                <w:rFonts w:cs="Calibri"/>
              </w:rPr>
              <w:t>Sameness</w:t>
            </w:r>
          </w:p>
        </w:tc>
      </w:tr>
      <w:tr w:rsidR="00CE465D" w14:paraId="79F949BB" w14:textId="77777777" w:rsidTr="0000066E">
        <w:tc>
          <w:tcPr>
            <w:tcW w:w="2245" w:type="dxa"/>
            <w:tcBorders>
              <w:top w:val="single" w:sz="4" w:space="0" w:color="FFFFFF" w:themeColor="background1"/>
            </w:tcBorders>
          </w:tcPr>
          <w:p w14:paraId="2DF9C50D" w14:textId="77777777" w:rsidR="00CE465D" w:rsidRPr="00CE465D" w:rsidRDefault="00CE465D" w:rsidP="00B95D2D">
            <w:pPr>
              <w:ind w:firstLine="0"/>
              <w:rPr>
                <w:rFonts w:cs="Calibri"/>
                <w:b/>
                <w:bCs/>
                <w:i/>
                <w:iCs/>
              </w:rPr>
            </w:pPr>
            <w:r w:rsidRPr="00CE465D">
              <w:rPr>
                <w:rFonts w:cs="Calibri"/>
                <w:b/>
                <w:bCs/>
                <w:i/>
                <w:iCs/>
              </w:rPr>
              <w:t>Cognitive Faculty</w:t>
            </w:r>
          </w:p>
        </w:tc>
        <w:tc>
          <w:tcPr>
            <w:tcW w:w="2880" w:type="dxa"/>
            <w:tcBorders>
              <w:top w:val="single" w:sz="4" w:space="0" w:color="FFFFFF" w:themeColor="background1"/>
              <w:right w:val="single" w:sz="4" w:space="0" w:color="FFFFFF" w:themeColor="background1"/>
            </w:tcBorders>
          </w:tcPr>
          <w:p w14:paraId="62093D7E" w14:textId="77777777" w:rsidR="00CE465D" w:rsidRPr="00CE465D" w:rsidRDefault="00CE465D" w:rsidP="00B95D2D">
            <w:pPr>
              <w:ind w:firstLine="0"/>
              <w:rPr>
                <w:rFonts w:cs="Calibri"/>
              </w:rPr>
            </w:pPr>
            <w:r w:rsidRPr="00CE465D">
              <w:rPr>
                <w:rFonts w:cs="Calibri"/>
              </w:rPr>
              <w:t>Receptive Perception</w:t>
            </w:r>
          </w:p>
        </w:tc>
        <w:tc>
          <w:tcPr>
            <w:tcW w:w="2250" w:type="dxa"/>
            <w:tcBorders>
              <w:top w:val="single" w:sz="4" w:space="0" w:color="FFFFFF" w:themeColor="background1"/>
              <w:left w:val="single" w:sz="4" w:space="0" w:color="FFFFFF" w:themeColor="background1"/>
            </w:tcBorders>
          </w:tcPr>
          <w:p w14:paraId="1788E657" w14:textId="77777777" w:rsidR="00CE465D" w:rsidRPr="00CE465D" w:rsidRDefault="00CE465D" w:rsidP="00B95D2D">
            <w:pPr>
              <w:ind w:firstLine="0"/>
              <w:rPr>
                <w:rFonts w:cs="Calibri"/>
              </w:rPr>
            </w:pPr>
            <w:r w:rsidRPr="00CE465D">
              <w:rPr>
                <w:rFonts w:cs="Calibri"/>
              </w:rPr>
              <w:t>Active Ima</w:t>
            </w:r>
            <w:r>
              <w:rPr>
                <w:rFonts w:cs="Calibri"/>
              </w:rPr>
              <w:t>gi</w:t>
            </w:r>
            <w:r w:rsidRPr="00CE465D">
              <w:rPr>
                <w:rFonts w:cs="Calibri"/>
              </w:rPr>
              <w:t>nation</w:t>
            </w:r>
          </w:p>
        </w:tc>
      </w:tr>
    </w:tbl>
    <w:p w14:paraId="6B8E78A0" w14:textId="77777777" w:rsidR="0071605E" w:rsidRDefault="0071605E" w:rsidP="00B95D2D">
      <w:pPr>
        <w:ind w:firstLine="0"/>
      </w:pPr>
    </w:p>
    <w:p w14:paraId="53B68F54" w14:textId="77777777" w:rsidR="000F1647" w:rsidRPr="0006096F" w:rsidRDefault="000F1647" w:rsidP="00B95D2D">
      <w:pPr>
        <w:ind w:firstLine="0"/>
      </w:pPr>
      <w:r w:rsidRPr="0006096F">
        <w:t xml:space="preserve">On the one hand, this table makes it clear that empirical and pure concepts must be distinguished. </w:t>
      </w:r>
      <w:r w:rsidR="000109AB" w:rsidRPr="0006096F">
        <w:t>They are different second-order types because of the</w:t>
      </w:r>
      <w:r w:rsidR="000B3728" w:rsidRPr="0006096F">
        <w:t>ir different attributes</w:t>
      </w:r>
      <w:r w:rsidR="000109AB" w:rsidRPr="0006096F">
        <w:t xml:space="preserve">. </w:t>
      </w:r>
      <w:r w:rsidRPr="0006096F">
        <w:t xml:space="preserve">However, </w:t>
      </w:r>
      <w:r w:rsidR="000A1716" w:rsidRPr="0006096F">
        <w:t>less obviously but no less c</w:t>
      </w:r>
      <w:r w:rsidR="000109AB" w:rsidRPr="0006096F">
        <w:t>ertainly</w:t>
      </w:r>
      <w:r w:rsidR="000A1716" w:rsidRPr="0006096F">
        <w:t>, this table shows how empirical and pure concepts are related</w:t>
      </w:r>
      <w:r w:rsidR="00D0008E" w:rsidRPr="0006096F">
        <w:t xml:space="preserve">: </w:t>
      </w:r>
      <w:r w:rsidR="00D0008E" w:rsidRPr="0006096F">
        <w:rPr>
          <w:i/>
        </w:rPr>
        <w:t>i</w:t>
      </w:r>
      <w:r w:rsidR="000A1716" w:rsidRPr="0006096F">
        <w:rPr>
          <w:i/>
        </w:rPr>
        <w:t xml:space="preserve">n short, </w:t>
      </w:r>
      <w:r w:rsidR="007977C0" w:rsidRPr="0006096F">
        <w:rPr>
          <w:i/>
        </w:rPr>
        <w:t>most</w:t>
      </w:r>
      <w:r w:rsidR="000A1716" w:rsidRPr="0006096F">
        <w:rPr>
          <w:i/>
        </w:rPr>
        <w:t xml:space="preserve"> second-order </w:t>
      </w:r>
      <w:r w:rsidR="000B3728" w:rsidRPr="0006096F">
        <w:rPr>
          <w:i/>
        </w:rPr>
        <w:t>attributes</w:t>
      </w:r>
      <w:r w:rsidR="000A1716" w:rsidRPr="0006096F">
        <w:rPr>
          <w:i/>
        </w:rPr>
        <w:t xml:space="preserve"> of empirical concepts are subordinate to the second-order </w:t>
      </w:r>
      <w:r w:rsidR="000B3728" w:rsidRPr="0006096F">
        <w:rPr>
          <w:i/>
        </w:rPr>
        <w:t>attributes</w:t>
      </w:r>
      <w:r w:rsidR="000A1716" w:rsidRPr="0006096F">
        <w:rPr>
          <w:i/>
        </w:rPr>
        <w:t xml:space="preserve"> of pure concepts</w:t>
      </w:r>
      <w:r w:rsidR="000A1716" w:rsidRPr="0006096F">
        <w:t>. This comes out most clearly in thinking about the individuals falling under a concept. Namely,</w:t>
      </w:r>
      <w:r w:rsidR="00813E14" w:rsidRPr="0006096F">
        <w:t xml:space="preserve"> for </w:t>
      </w:r>
      <w:r w:rsidR="00DA5B9D" w:rsidRPr="0006096F">
        <w:t xml:space="preserve">some </w:t>
      </w:r>
      <w:r w:rsidR="00D0008E" w:rsidRPr="0006096F">
        <w:t>concept</w:t>
      </w:r>
      <w:r w:rsidR="00813E14" w:rsidRPr="0006096F">
        <w:t xml:space="preserve"> C:</w:t>
      </w:r>
      <w:r w:rsidR="005A3CC1" w:rsidRPr="0006096F">
        <w:t xml:space="preserve"> </w:t>
      </w:r>
    </w:p>
    <w:p w14:paraId="1DA57770" w14:textId="77777777" w:rsidR="00C475BF" w:rsidRPr="00CE465D" w:rsidRDefault="000F1647" w:rsidP="00B95D2D">
      <w:pPr>
        <w:pStyle w:val="ListParagraph"/>
        <w:numPr>
          <w:ilvl w:val="0"/>
          <w:numId w:val="18"/>
        </w:numPr>
        <w:rPr>
          <w:highlight w:val="yellow"/>
        </w:rPr>
      </w:pPr>
      <w:r w:rsidRPr="00CE465D">
        <w:rPr>
          <w:highlight w:val="yellow"/>
        </w:rPr>
        <w:lastRenderedPageBreak/>
        <w:t xml:space="preserve">Actual </w:t>
      </w:r>
      <w:r w:rsidR="00A10080" w:rsidRPr="00CE465D">
        <w:rPr>
          <w:highlight w:val="yellow"/>
        </w:rPr>
        <w:t>Membership under</w:t>
      </w:r>
      <w:r w:rsidRPr="00CE465D">
        <w:rPr>
          <w:highlight w:val="yellow"/>
        </w:rPr>
        <w:t xml:space="preserve"> C </w:t>
      </w:r>
      <w:r w:rsidR="00A10080" w:rsidRPr="00CE465D">
        <w:rPr>
          <w:rFonts w:ascii="Cambria Math" w:hAnsi="Cambria Math" w:cs="Cambria Math"/>
          <w:highlight w:val="yellow"/>
        </w:rPr>
        <w:t>⊆</w:t>
      </w:r>
      <w:r w:rsidR="00A10080" w:rsidRPr="00CE465D">
        <w:rPr>
          <w:highlight w:val="yellow"/>
        </w:rPr>
        <w:t xml:space="preserve"> </w:t>
      </w:r>
      <w:r w:rsidRPr="00CE465D">
        <w:rPr>
          <w:highlight w:val="yellow"/>
        </w:rPr>
        <w:t xml:space="preserve">Possible </w:t>
      </w:r>
      <w:r w:rsidR="00A10080" w:rsidRPr="00CE465D">
        <w:rPr>
          <w:highlight w:val="yellow"/>
        </w:rPr>
        <w:t>Membership</w:t>
      </w:r>
      <w:r w:rsidRPr="00CE465D">
        <w:rPr>
          <w:highlight w:val="yellow"/>
        </w:rPr>
        <w:t xml:space="preserve"> </w:t>
      </w:r>
      <w:r w:rsidR="0019301C" w:rsidRPr="00CE465D">
        <w:rPr>
          <w:highlight w:val="yellow"/>
        </w:rPr>
        <w:t>under</w:t>
      </w:r>
      <w:r w:rsidRPr="00CE465D">
        <w:rPr>
          <w:highlight w:val="yellow"/>
        </w:rPr>
        <w:t xml:space="preserve"> C</w:t>
      </w:r>
      <w:r w:rsidR="00E41EBD" w:rsidRPr="00CE465D">
        <w:rPr>
          <w:rStyle w:val="FootnoteReference"/>
          <w:highlight w:val="yellow"/>
        </w:rPr>
        <w:footnoteReference w:id="19"/>
      </w:r>
    </w:p>
    <w:p w14:paraId="6FE3C912" w14:textId="77777777" w:rsidR="00CE465D" w:rsidRPr="0006096F" w:rsidRDefault="00CE465D" w:rsidP="00B95D2D">
      <w:pPr>
        <w:pStyle w:val="ListParagraph"/>
        <w:numPr>
          <w:ilvl w:val="0"/>
          <w:numId w:val="18"/>
        </w:numPr>
      </w:pPr>
      <w:r w:rsidRPr="00CE465D">
        <w:rPr>
          <w:highlight w:val="yellow"/>
        </w:rPr>
        <w:t>Indefinite Membership</w:t>
      </w:r>
      <w:r>
        <w:t xml:space="preserve"> under C </w:t>
      </w:r>
      <w:r w:rsidRPr="00B95D2D">
        <w:rPr>
          <w:rFonts w:ascii="Cambria Math" w:hAnsi="Cambria Math" w:cs="Cambria Math"/>
        </w:rPr>
        <w:t>⊆</w:t>
      </w:r>
      <w:r>
        <w:rPr>
          <w:rFonts w:ascii="Cambria Math" w:hAnsi="Cambria Math" w:cs="Cambria Math"/>
        </w:rPr>
        <w:t xml:space="preserve"> </w:t>
      </w:r>
      <w:r>
        <w:t>Infinite Membership under C</w:t>
      </w:r>
    </w:p>
    <w:p w14:paraId="10A59906" w14:textId="77777777" w:rsidR="000F1647" w:rsidRPr="0006096F" w:rsidRDefault="000F1647" w:rsidP="00B95D2D">
      <w:pPr>
        <w:pStyle w:val="ListParagraph"/>
        <w:numPr>
          <w:ilvl w:val="0"/>
          <w:numId w:val="18"/>
        </w:numPr>
      </w:pPr>
      <w:r w:rsidRPr="0006096F">
        <w:t xml:space="preserve">Ordering of Similarity under C </w:t>
      </w:r>
      <w:r w:rsidR="00A10080" w:rsidRPr="00B95D2D">
        <w:rPr>
          <w:rFonts w:ascii="Cambria Math" w:hAnsi="Cambria Math" w:cs="Cambria Math"/>
        </w:rPr>
        <w:t>⊆</w:t>
      </w:r>
      <w:r w:rsidR="00A10080" w:rsidRPr="0006096F">
        <w:t xml:space="preserve"> </w:t>
      </w:r>
      <w:r w:rsidRPr="0006096F">
        <w:t xml:space="preserve">Ordering of Sameness </w:t>
      </w:r>
      <w:r w:rsidR="007977C0" w:rsidRPr="0006096F">
        <w:t xml:space="preserve">(Complete Likeness) </w:t>
      </w:r>
      <w:r w:rsidRPr="0006096F">
        <w:t>under C</w:t>
      </w:r>
      <w:r w:rsidR="004025AB" w:rsidRPr="0006096F">
        <w:rPr>
          <w:rStyle w:val="FootnoteReference"/>
        </w:rPr>
        <w:footnoteReference w:id="20"/>
      </w:r>
      <w:r w:rsidRPr="0006096F">
        <w:t xml:space="preserve"> </w:t>
      </w:r>
    </w:p>
    <w:p w14:paraId="3BEC3ACB" w14:textId="77777777" w:rsidR="000F1647" w:rsidRPr="0006096F" w:rsidRDefault="000F1647" w:rsidP="00B95D2D">
      <w:pPr>
        <w:pStyle w:val="ListParagraph"/>
        <w:numPr>
          <w:ilvl w:val="0"/>
          <w:numId w:val="18"/>
        </w:numPr>
      </w:pPr>
      <w:r w:rsidRPr="0006096F">
        <w:t xml:space="preserve">Perceptual Inclusion under C </w:t>
      </w:r>
      <w:r w:rsidR="00A10080" w:rsidRPr="00B95D2D">
        <w:rPr>
          <w:rFonts w:ascii="Cambria Math" w:hAnsi="Cambria Math" w:cs="Cambria Math"/>
        </w:rPr>
        <w:t>⊆</w:t>
      </w:r>
      <w:r w:rsidR="00A10080" w:rsidRPr="0006096F">
        <w:t xml:space="preserve"> </w:t>
      </w:r>
      <w:r w:rsidRPr="0006096F">
        <w:t>Imagin</w:t>
      </w:r>
      <w:r w:rsidR="000A1716" w:rsidRPr="0006096F">
        <w:t>ed</w:t>
      </w:r>
      <w:r w:rsidRPr="0006096F">
        <w:t xml:space="preserve"> Inclusion under C </w:t>
      </w:r>
    </w:p>
    <w:p w14:paraId="70985FC0" w14:textId="77777777" w:rsidR="0071605E" w:rsidRDefault="004025AB" w:rsidP="0071605E">
      <w:pPr>
        <w:ind w:firstLine="0"/>
      </w:pPr>
      <w:r w:rsidRPr="0006096F">
        <w:t xml:space="preserve">These are relatively classic </w:t>
      </w:r>
      <w:r w:rsidR="00813E14" w:rsidRPr="0006096F">
        <w:t>conceptual inclusions</w:t>
      </w:r>
      <w:r w:rsidRPr="0006096F">
        <w:t xml:space="preserve">: the actual is included within the possible; the same is a species of the similar; any object of perception could also be the object of imagination. </w:t>
      </w:r>
      <w:r w:rsidR="007977C0" w:rsidRPr="0006096F">
        <w:t>Only (</w:t>
      </w:r>
      <w:r w:rsidR="00CE465D">
        <w:t>3</w:t>
      </w:r>
      <w:r w:rsidR="007977C0" w:rsidRPr="0006096F">
        <w:t>) deviates from the pattern</w:t>
      </w:r>
      <w:r w:rsidR="00A616E9" w:rsidRPr="0006096F">
        <w:t xml:space="preserve"> of </w:t>
      </w:r>
      <w:r w:rsidR="00A616E9" w:rsidRPr="00B95D2D">
        <w:t>inclusion</w:t>
      </w:r>
      <w:r w:rsidR="00A616E9" w:rsidRPr="0006096F">
        <w:t xml:space="preserve"> of the empirical within the pure</w:t>
      </w:r>
      <w:r w:rsidR="007977C0" w:rsidRPr="0006096F">
        <w:t>, but this is to be expected. If (</w:t>
      </w:r>
      <w:r w:rsidR="00CE465D">
        <w:t>3</w:t>
      </w:r>
      <w:r w:rsidR="007977C0" w:rsidRPr="0006096F">
        <w:t>) did not hold, then</w:t>
      </w:r>
      <w:r w:rsidR="007977C0" w:rsidRPr="00B56C10">
        <w:rPr>
          <w:i/>
          <w:iCs/>
        </w:rPr>
        <w:t xml:space="preserve"> </w:t>
      </w:r>
      <w:r w:rsidR="007977C0" w:rsidRPr="00B56C10">
        <w:t>all</w:t>
      </w:r>
      <w:r w:rsidR="007977C0" w:rsidRPr="0006096F">
        <w:t xml:space="preserve"> empirical concepts would be</w:t>
      </w:r>
      <w:r w:rsidR="00A616E9" w:rsidRPr="0006096F">
        <w:t xml:space="preserve"> (or </w:t>
      </w:r>
      <w:r w:rsidR="00772D48" w:rsidRPr="0006096F">
        <w:t>imply</w:t>
      </w:r>
      <w:r w:rsidR="00A616E9" w:rsidRPr="0006096F">
        <w:t>)</w:t>
      </w:r>
      <w:r w:rsidR="007977C0" w:rsidRPr="0006096F">
        <w:t xml:space="preserve"> pure concepts. </w:t>
      </w:r>
      <w:r w:rsidR="00A616E9" w:rsidRPr="0006096F">
        <w:t>S</w:t>
      </w:r>
      <w:r w:rsidR="007977C0" w:rsidRPr="0006096F">
        <w:t xml:space="preserve">ince pure concepts are at least distinguished </w:t>
      </w:r>
      <w:r w:rsidR="00A10080" w:rsidRPr="0006096F">
        <w:t>in the complete likeness of their instances across the variation, this cannot be. Yet if only a single object is considered with respect to C (as 1</w:t>
      </w:r>
      <w:r w:rsidR="00CE465D">
        <w:t>, 2,</w:t>
      </w:r>
      <w:r w:rsidR="00A10080" w:rsidRPr="0006096F">
        <w:t xml:space="preserve"> and </w:t>
      </w:r>
      <w:r w:rsidR="00CE465D">
        <w:t>4</w:t>
      </w:r>
      <w:r w:rsidR="00A10080" w:rsidRPr="0006096F">
        <w:t xml:space="preserve"> allow), there is nothing to prevent C from being pure. </w:t>
      </w:r>
    </w:p>
    <w:p w14:paraId="209E3912" w14:textId="77777777" w:rsidR="004025AB" w:rsidRPr="0006096F" w:rsidRDefault="004025AB" w:rsidP="0071605E">
      <w:r w:rsidRPr="0006096F">
        <w:lastRenderedPageBreak/>
        <w:t xml:space="preserve">Given these relationships, pure concepts are not distinguished </w:t>
      </w:r>
      <w:r w:rsidRPr="0006096F">
        <w:rPr>
          <w:i/>
        </w:rPr>
        <w:t>exclusively</w:t>
      </w:r>
      <w:r w:rsidRPr="0006096F">
        <w:t xml:space="preserve"> from empirical concepts.</w:t>
      </w:r>
      <w:r w:rsidR="00051F06" w:rsidRPr="0006096F">
        <w:rPr>
          <w:rStyle w:val="FootnoteReference"/>
        </w:rPr>
        <w:footnoteReference w:id="21"/>
      </w:r>
      <w:r w:rsidRPr="0006096F">
        <w:t xml:space="preserve"> Every empirical concept </w:t>
      </w:r>
      <w:r w:rsidRPr="0006096F">
        <w:rPr>
          <w:i/>
        </w:rPr>
        <w:t>could be</w:t>
      </w:r>
      <w:r w:rsidRPr="0006096F">
        <w:rPr>
          <w:rStyle w:val="FootnoteReference"/>
        </w:rPr>
        <w:footnoteReference w:id="22"/>
      </w:r>
      <w:r w:rsidR="0095667E">
        <w:t>—i</w:t>
      </w:r>
      <w:r w:rsidRPr="0006096F">
        <w:t>.e., could potentially be</w:t>
      </w:r>
      <w:r w:rsidR="00C475BF" w:rsidRPr="0006096F">
        <w:t xml:space="preserve"> understood as</w:t>
      </w:r>
      <w:r w:rsidR="0095667E">
        <w:t>—</w:t>
      </w:r>
      <w:r w:rsidRPr="0006096F">
        <w:t>a pure concept. Husserl says much the same:</w:t>
      </w:r>
    </w:p>
    <w:p w14:paraId="710025CD" w14:textId="77777777" w:rsidR="00DD5677" w:rsidRPr="0006096F" w:rsidRDefault="00DD5677" w:rsidP="00B95D2D">
      <w:pPr>
        <w:pStyle w:val="Quote"/>
      </w:pPr>
      <w:r w:rsidRPr="0006096F">
        <w:t xml:space="preserve">Naturally, concepts as </w:t>
      </w:r>
      <w:r w:rsidRPr="0006096F">
        <w:rPr>
          <w:i/>
        </w:rPr>
        <w:t xml:space="preserve">pure </w:t>
      </w:r>
      <w:r w:rsidRPr="0006096F">
        <w:t xml:space="preserve">concepts can, from the first, originate </w:t>
      </w:r>
      <w:r w:rsidRPr="0006096F">
        <w:rPr>
          <w:i/>
        </w:rPr>
        <w:t xml:space="preserve">outside of all relation to current actuality, </w:t>
      </w:r>
      <w:r w:rsidRPr="0006096F">
        <w:t xml:space="preserve">namely, by the comparison of pure possibilities of the imagination. It is clear thereby that every actual likeness, acquired in this way, of possibilities given as existing (as existing, not in the sense of a reality of experience, but precisely </w:t>
      </w:r>
      <w:r w:rsidRPr="0006096F">
        <w:rPr>
          <w:i/>
        </w:rPr>
        <w:t xml:space="preserve">as </w:t>
      </w:r>
      <w:r w:rsidRPr="0006096F">
        <w:t xml:space="preserve">a possibility) intentionally includes in itself a possible likeness of possible actualities and a possible universal in which they can possibly participate. </w:t>
      </w:r>
      <w:r w:rsidRPr="0095667E">
        <w:rPr>
          <w:i/>
          <w:iCs/>
        </w:rPr>
        <w:t>On the other hand, even if they were formed originally on the basis of experience as actual generalities, concepts can always be apprehended as pure concepts</w:t>
      </w:r>
      <w:r w:rsidRPr="0006096F">
        <w:t>.</w:t>
      </w:r>
      <w:r w:rsidR="003563AA" w:rsidRPr="0006096F">
        <w:t xml:space="preserve"> (</w:t>
      </w:r>
      <w:r w:rsidR="00176495" w:rsidRPr="00176495">
        <w:t>EU</w:t>
      </w:r>
      <w:r w:rsidR="003563AA" w:rsidRPr="0006096F">
        <w:t xml:space="preserve"> </w:t>
      </w:r>
      <w:r w:rsidR="00D5495E">
        <w:t>397</w:t>
      </w:r>
      <w:r w:rsidR="00982873">
        <w:t xml:space="preserve">; EJ </w:t>
      </w:r>
      <w:r w:rsidR="003563AA" w:rsidRPr="0006096F">
        <w:t>330</w:t>
      </w:r>
      <w:r w:rsidR="0095667E">
        <w:t>, emphasis added to last sentence</w:t>
      </w:r>
      <w:r w:rsidR="003563AA" w:rsidRPr="0006096F">
        <w:t>)</w:t>
      </w:r>
      <w:r w:rsidRPr="0006096F">
        <w:t xml:space="preserve"> </w:t>
      </w:r>
    </w:p>
    <w:p w14:paraId="2DB72781" w14:textId="77777777" w:rsidR="00DD5677" w:rsidRPr="0006096F" w:rsidRDefault="00D0008E" w:rsidP="00B95D2D">
      <w:pPr>
        <w:ind w:firstLine="0"/>
      </w:pPr>
      <w:r w:rsidRPr="0006096F">
        <w:t xml:space="preserve">As I insisted from the outset, what second-order </w:t>
      </w:r>
      <w:r w:rsidR="000B3728" w:rsidRPr="0006096F">
        <w:t>attributes</w:t>
      </w:r>
      <w:r w:rsidRPr="0006096F">
        <w:t xml:space="preserve"> a concept has depends on how that concept is understood. The above table shows that the second-order </w:t>
      </w:r>
      <w:r w:rsidR="000B3728" w:rsidRPr="0006096F">
        <w:t>attributes</w:t>
      </w:r>
      <w:r w:rsidRPr="0006096F">
        <w:t xml:space="preserve"> of pure concepts </w:t>
      </w:r>
      <w:r w:rsidR="00A10080" w:rsidRPr="0006096F">
        <w:t xml:space="preserve">largely </w:t>
      </w:r>
      <w:r w:rsidRPr="0006096F">
        <w:t xml:space="preserve">include the second-order </w:t>
      </w:r>
      <w:r w:rsidR="000B3728" w:rsidRPr="0006096F">
        <w:t>attributes</w:t>
      </w:r>
      <w:r w:rsidRPr="0006096F">
        <w:t xml:space="preserve"> of empirical concepts. This has the result that one cannot make a simple division of pure and empirical concepts based on a</w:t>
      </w:r>
      <w:r w:rsidR="00B36C1A" w:rsidRPr="0006096F">
        <w:t xml:space="preserve"> mere</w:t>
      </w:r>
      <w:r w:rsidRPr="0006096F">
        <w:t xml:space="preserve"> presumption about their</w:t>
      </w:r>
      <w:r w:rsidR="00A10080" w:rsidRPr="0006096F">
        <w:t xml:space="preserve"> content</w:t>
      </w:r>
      <w:r w:rsidRPr="0006096F">
        <w:t xml:space="preserve">. For example, we might assume that </w:t>
      </w:r>
      <w:r w:rsidRPr="0006096F">
        <w:rPr>
          <w:i/>
        </w:rPr>
        <w:t>tree</w:t>
      </w:r>
      <w:r w:rsidRPr="0006096F">
        <w:t xml:space="preserve"> </w:t>
      </w:r>
      <w:r w:rsidR="00657134" w:rsidRPr="0006096F">
        <w:t>and</w:t>
      </w:r>
      <w:r w:rsidRPr="0006096F">
        <w:t xml:space="preserve"> </w:t>
      </w:r>
      <w:r w:rsidR="00657134" w:rsidRPr="0006096F">
        <w:rPr>
          <w:i/>
        </w:rPr>
        <w:t>red</w:t>
      </w:r>
      <w:r w:rsidRPr="0006096F">
        <w:t xml:space="preserve"> </w:t>
      </w:r>
      <w:r w:rsidR="00657134" w:rsidRPr="0006096F">
        <w:t>are</w:t>
      </w:r>
      <w:r w:rsidRPr="0006096F">
        <w:t xml:space="preserve"> empirical concepts</w:t>
      </w:r>
      <w:r w:rsidR="00657134" w:rsidRPr="0006096F">
        <w:t xml:space="preserve"> if any are</w:t>
      </w:r>
      <w:r w:rsidRPr="0006096F">
        <w:t xml:space="preserve">, but Husserl explicitly says in both </w:t>
      </w:r>
      <w:r w:rsidR="00534330" w:rsidRPr="0006096F">
        <w:t xml:space="preserve">these </w:t>
      </w:r>
      <w:r w:rsidRPr="0006096F">
        <w:t xml:space="preserve">cases that they can also </w:t>
      </w:r>
      <w:r w:rsidRPr="0006096F">
        <w:lastRenderedPageBreak/>
        <w:t>be understood as pure concepts</w:t>
      </w:r>
      <w:r w:rsidR="00657134" w:rsidRPr="0006096F">
        <w:t>.</w:t>
      </w:r>
      <w:r w:rsidRPr="0006096F">
        <w:rPr>
          <w:rStyle w:val="FootnoteReference"/>
        </w:rPr>
        <w:footnoteReference w:id="23"/>
      </w:r>
      <w:r w:rsidRPr="0006096F">
        <w:t xml:space="preserve"> These are relatively trivial examples. Now consider the philosophical use of such concepts as </w:t>
      </w:r>
      <w:r w:rsidRPr="0006096F">
        <w:rPr>
          <w:i/>
        </w:rPr>
        <w:t>consciousness</w:t>
      </w:r>
      <w:r w:rsidRPr="0006096F">
        <w:t xml:space="preserve">, </w:t>
      </w:r>
      <w:r w:rsidRPr="0006096F">
        <w:rPr>
          <w:i/>
        </w:rPr>
        <w:t>belief</w:t>
      </w:r>
      <w:r w:rsidRPr="0006096F">
        <w:t xml:space="preserve">, </w:t>
      </w:r>
      <w:r w:rsidRPr="0006096F">
        <w:rPr>
          <w:i/>
        </w:rPr>
        <w:t>person</w:t>
      </w:r>
      <w:r w:rsidRPr="0006096F">
        <w:t xml:space="preserve">, </w:t>
      </w:r>
      <w:r w:rsidR="00627872" w:rsidRPr="0006096F">
        <w:rPr>
          <w:i/>
        </w:rPr>
        <w:t>representation</w:t>
      </w:r>
      <w:r w:rsidR="00627872" w:rsidRPr="0006096F">
        <w:t xml:space="preserve">, </w:t>
      </w:r>
      <w:r w:rsidRPr="0006096F">
        <w:rPr>
          <w:i/>
        </w:rPr>
        <w:t>knowledge</w:t>
      </w:r>
      <w:r w:rsidRPr="0006096F">
        <w:t xml:space="preserve">, and </w:t>
      </w:r>
      <w:r w:rsidR="00627872" w:rsidRPr="0006096F">
        <w:rPr>
          <w:i/>
        </w:rPr>
        <w:t>action</w:t>
      </w:r>
      <w:r w:rsidRPr="0006096F">
        <w:t>. Are these empirical or pure? The answer depends on whether one considers these concepts as having their content</w:t>
      </w:r>
      <w:r w:rsidR="0095667E">
        <w:t>—</w:t>
      </w:r>
      <w:r w:rsidR="00627872" w:rsidRPr="0006096F">
        <w:t xml:space="preserve">whether one </w:t>
      </w:r>
      <w:r w:rsidR="00534330" w:rsidRPr="0006096F">
        <w:t>understands them</w:t>
      </w:r>
      <w:r w:rsidR="0095667E">
        <w:t>—</w:t>
      </w:r>
      <w:r w:rsidRPr="0006096F">
        <w:t>through a comparative classification that starts from the phenomenal similarity of certain cases, and extends as far as those real</w:t>
      </w:r>
      <w:r w:rsidR="00C475BF" w:rsidRPr="0006096F">
        <w:t xml:space="preserve"> and relative</w:t>
      </w:r>
      <w:r w:rsidRPr="0006096F">
        <w:t xml:space="preserve"> similarities extend; or whether one sees an empirical case of these concepts as serving only as an</w:t>
      </w:r>
      <w:r w:rsidRPr="0006096F">
        <w:rPr>
          <w:i/>
        </w:rPr>
        <w:t xml:space="preserve"> example</w:t>
      </w:r>
      <w:r w:rsidRPr="0006096F">
        <w:t xml:space="preserve"> which could be extending in a completely </w:t>
      </w:r>
      <w:r w:rsidRPr="0006096F">
        <w:rPr>
          <w:i/>
        </w:rPr>
        <w:t>regular</w:t>
      </w:r>
      <w:r w:rsidRPr="0006096F">
        <w:t xml:space="preserve"> (law-like) way to all possible imaginary cases. This decision cannot be made presumptively</w:t>
      </w:r>
      <w:r w:rsidR="00A00B13" w:rsidRPr="0006096F">
        <w:t>;</w:t>
      </w:r>
      <w:r w:rsidRPr="0006096F">
        <w:t xml:space="preserve"> </w:t>
      </w:r>
      <w:r w:rsidR="00A00B13" w:rsidRPr="0006096F">
        <w:t xml:space="preserve">various </w:t>
      </w:r>
      <w:r w:rsidR="007456FA" w:rsidRPr="0006096F">
        <w:t>t</w:t>
      </w:r>
      <w:r w:rsidRPr="0006096F">
        <w:t>hinker</w:t>
      </w:r>
      <w:r w:rsidR="00A616E9" w:rsidRPr="0006096F">
        <w:t xml:space="preserve">s </w:t>
      </w:r>
      <w:r w:rsidRPr="0006096F">
        <w:t>may (and do) understand the same word in terms of both conceptual types.</w:t>
      </w:r>
    </w:p>
    <w:p w14:paraId="6673476B" w14:textId="77777777" w:rsidR="001F7A87" w:rsidRPr="0006096F" w:rsidRDefault="00B85A01" w:rsidP="00B95D2D">
      <w:r w:rsidRPr="0006096F">
        <w:t>Thus, if there are pure concepts as Husserl describes them, many concepts</w:t>
      </w:r>
      <w:r w:rsidR="0095667E">
        <w:t>—</w:t>
      </w:r>
      <w:r w:rsidR="00A616E9" w:rsidRPr="0006096F">
        <w:t xml:space="preserve">or at least </w:t>
      </w:r>
      <w:r w:rsidRPr="0006096F">
        <w:t>words used as concepts</w:t>
      </w:r>
      <w:r w:rsidR="0095667E">
        <w:t>—</w:t>
      </w:r>
      <w:r w:rsidRPr="0006096F">
        <w:t xml:space="preserve">are subject to a special kind of ambiguity. To </w:t>
      </w:r>
      <w:r w:rsidR="00782BC8" w:rsidRPr="0006096F">
        <w:t>profit</w:t>
      </w:r>
      <w:r w:rsidRPr="0006096F">
        <w:t xml:space="preserve"> from Kant’s precedent, we can call this ambiguity a </w:t>
      </w:r>
      <w:r w:rsidR="002C586B">
        <w:t>“</w:t>
      </w:r>
      <w:r w:rsidRPr="0006096F">
        <w:t>transcendental amphiboly</w:t>
      </w:r>
      <w:r w:rsidR="002C586B">
        <w:t>.”</w:t>
      </w:r>
      <w:r w:rsidR="00A616E9" w:rsidRPr="0006096F">
        <w:rPr>
          <w:vertAlign w:val="superscript"/>
        </w:rPr>
        <w:footnoteReference w:id="24"/>
      </w:r>
      <w:r w:rsidRPr="0006096F">
        <w:t xml:space="preserve"> Kant’s </w:t>
      </w:r>
      <w:r w:rsidR="00A616E9" w:rsidRPr="0006096F">
        <w:t>conception</w:t>
      </w:r>
      <w:r w:rsidRPr="0006096F">
        <w:t xml:space="preserve"> is not unrelated to ours, so it is worth </w:t>
      </w:r>
      <w:r w:rsidR="00A616E9" w:rsidRPr="0006096F">
        <w:t>a brief comparison</w:t>
      </w:r>
      <w:r w:rsidRPr="0006096F">
        <w:t xml:space="preserve">. </w:t>
      </w:r>
      <w:r w:rsidR="00A616E9" w:rsidRPr="0006096F">
        <w:t xml:space="preserve">For Kant, transcendental amphiboly is an ambiguity about the source of a given cognition: </w:t>
      </w:r>
      <w:r w:rsidR="001F7A87" w:rsidRPr="0006096F">
        <w:t>whether, say, it derives from empirical deduction, or a purely conceptual inquiry</w:t>
      </w:r>
      <w:r w:rsidR="00D56F53" w:rsidRPr="0006096F">
        <w:t xml:space="preserve">; namely, </w:t>
      </w:r>
      <w:r w:rsidR="002C586B">
        <w:t>“</w:t>
      </w:r>
      <w:r w:rsidR="00D56F53" w:rsidRPr="0006096F">
        <w:t>a confusion of the pure object of the understanding with the appearance</w:t>
      </w:r>
      <w:r w:rsidR="002C586B">
        <w:t xml:space="preserve">” </w:t>
      </w:r>
      <w:r w:rsidR="00D56F53" w:rsidRPr="0006096F">
        <w:t>(Kant</w:t>
      </w:r>
      <w:r w:rsidR="00643909">
        <w:t>,</w:t>
      </w:r>
      <w:r w:rsidR="00D56F53" w:rsidRPr="0006096F">
        <w:t xml:space="preserve"> 1998, A 269/B 325).</w:t>
      </w:r>
      <w:r w:rsidR="001F7A87" w:rsidRPr="0006096F">
        <w:t xml:space="preserve"> For Kant, </w:t>
      </w:r>
      <w:r w:rsidR="00814516" w:rsidRPr="0006096F">
        <w:t xml:space="preserve">following his discovery of the distinction of pure categories of the understanding from deliverances of sensibility, </w:t>
      </w:r>
      <w:r w:rsidR="001F7A87" w:rsidRPr="0006096F">
        <w:t xml:space="preserve">there is </w:t>
      </w:r>
      <w:r w:rsidR="00A616E9" w:rsidRPr="0006096F">
        <w:t xml:space="preserve">only </w:t>
      </w:r>
      <w:r w:rsidR="001F7A87" w:rsidRPr="0006096F">
        <w:t xml:space="preserve">a narrow class of concepts that could be susceptible to this kind of ambiguity. The concepts that remain amphibolous are neither pure categories nor empirical </w:t>
      </w:r>
      <w:r w:rsidR="001F7A87" w:rsidRPr="0006096F">
        <w:lastRenderedPageBreak/>
        <w:t xml:space="preserve">concepts, but concepts used to compare cognitions.  He means concepts like </w:t>
      </w:r>
      <w:r w:rsidR="001F7A87" w:rsidRPr="0006096F">
        <w:rPr>
          <w:i/>
        </w:rPr>
        <w:t>sameness</w:t>
      </w:r>
      <w:r w:rsidR="001F7A87" w:rsidRPr="0006096F">
        <w:t xml:space="preserve">, </w:t>
      </w:r>
      <w:r w:rsidR="001F7A87" w:rsidRPr="0006096F">
        <w:rPr>
          <w:i/>
        </w:rPr>
        <w:t>difference, form</w:t>
      </w:r>
      <w:r w:rsidR="001F7A87" w:rsidRPr="0006096F">
        <w:t xml:space="preserve">, and </w:t>
      </w:r>
      <w:r w:rsidR="001F7A87" w:rsidRPr="0006096F">
        <w:rPr>
          <w:i/>
        </w:rPr>
        <w:t>matter</w:t>
      </w:r>
      <w:r w:rsidR="00782BC8" w:rsidRPr="0006096F">
        <w:t>.</w:t>
      </w:r>
      <w:r w:rsidR="001F7A87" w:rsidRPr="0006096F">
        <w:t xml:space="preserve"> For Kant, it is crucial whether we believe that the application of these concepts belongs to phenomenal objects or to the concepts belonging to those objects.  For example, when we say that </w:t>
      </w:r>
      <w:r w:rsidR="00772D48" w:rsidRPr="0006096F">
        <w:t>‘</w:t>
      </w:r>
      <w:r w:rsidR="001F7A87" w:rsidRPr="0006096F">
        <w:t>one drop of water is the same as any other</w:t>
      </w:r>
      <w:r w:rsidR="00772D48" w:rsidRPr="0006096F">
        <w:t>’,</w:t>
      </w:r>
      <w:r w:rsidR="001F7A87" w:rsidRPr="0006096F">
        <w:t xml:space="preserve"> the concept of </w:t>
      </w:r>
      <w:r w:rsidR="001F7A87" w:rsidRPr="0006096F">
        <w:rPr>
          <w:i/>
        </w:rPr>
        <w:t>same</w:t>
      </w:r>
      <w:r w:rsidR="00782BC8" w:rsidRPr="0006096F">
        <w:rPr>
          <w:i/>
        </w:rPr>
        <w:t>ness</w:t>
      </w:r>
      <w:r w:rsidR="001F7A87" w:rsidRPr="0006096F">
        <w:t xml:space="preserve"> </w:t>
      </w:r>
      <w:r w:rsidR="009E74C3" w:rsidRPr="0006096F">
        <w:t>(</w:t>
      </w:r>
      <w:proofErr w:type="spellStart"/>
      <w:r w:rsidR="009E74C3" w:rsidRPr="0006096F">
        <w:rPr>
          <w:i/>
        </w:rPr>
        <w:t>Einerleiheit</w:t>
      </w:r>
      <w:proofErr w:type="spellEnd"/>
      <w:r w:rsidR="009E74C3" w:rsidRPr="0006096F">
        <w:t xml:space="preserve">) </w:t>
      </w:r>
      <w:r w:rsidR="001F7A87" w:rsidRPr="0006096F">
        <w:t xml:space="preserve">is potentially </w:t>
      </w:r>
      <w:proofErr w:type="spellStart"/>
      <w:r w:rsidR="001F7A87" w:rsidRPr="0006096F">
        <w:t>amphibolous</w:t>
      </w:r>
      <w:proofErr w:type="spellEnd"/>
      <w:r w:rsidR="001F7A87" w:rsidRPr="0006096F">
        <w:t xml:space="preserve">: for one is either </w:t>
      </w:r>
      <w:r w:rsidR="00B91B03" w:rsidRPr="0006096F">
        <w:t xml:space="preserve">making an empirical comparison of one drop of water </w:t>
      </w:r>
      <w:r w:rsidR="001F7A87" w:rsidRPr="0006096F">
        <w:t xml:space="preserve">with all other objects of </w:t>
      </w:r>
      <w:r w:rsidR="00B91B03" w:rsidRPr="0006096F">
        <w:t xml:space="preserve">the </w:t>
      </w:r>
      <w:r w:rsidR="001F7A87" w:rsidRPr="0006096F">
        <w:t>class, or identifying the common marks of all drops of water</w:t>
      </w:r>
      <w:r w:rsidR="0095667E">
        <w:t>—</w:t>
      </w:r>
      <w:r w:rsidR="001F7A87" w:rsidRPr="0006096F">
        <w:t xml:space="preserve">all drops of water are the same in concept. Kant </w:t>
      </w:r>
      <w:r w:rsidR="00782BC8" w:rsidRPr="0006096F">
        <w:t xml:space="preserve">claims </w:t>
      </w:r>
      <w:r w:rsidR="001F7A87" w:rsidRPr="0006096F">
        <w:t xml:space="preserve">Leibniz’s mistake </w:t>
      </w:r>
      <w:r w:rsidR="00782BC8" w:rsidRPr="0006096F">
        <w:t>was</w:t>
      </w:r>
      <w:r w:rsidR="001F7A87" w:rsidRPr="0006096F">
        <w:t xml:space="preserve"> to make this difference unintelligible: </w:t>
      </w:r>
      <w:r w:rsidR="00814516" w:rsidRPr="0006096F">
        <w:t>Leibniz treated</w:t>
      </w:r>
      <w:r w:rsidR="001F7A87" w:rsidRPr="0006096F">
        <w:t xml:space="preserve"> all knowledge </w:t>
      </w:r>
      <w:r w:rsidR="00814516" w:rsidRPr="0006096F">
        <w:t>a</w:t>
      </w:r>
      <w:r w:rsidR="001F7A87" w:rsidRPr="0006096F">
        <w:t xml:space="preserve">s conceptual knowledge, so </w:t>
      </w:r>
      <w:r w:rsidR="00814516" w:rsidRPr="0006096F">
        <w:t>that it was</w:t>
      </w:r>
      <w:r w:rsidR="001F7A87" w:rsidRPr="0006096F">
        <w:t xml:space="preserve"> impossible to divorce knowledge of objects from knowledge of their concepts. For Kant, spatial position, for one, adds something to the concept of a drop of water that is capable of distin</w:t>
      </w:r>
      <w:r w:rsidR="009E74C3" w:rsidRPr="0006096F">
        <w:t>guishing</w:t>
      </w:r>
      <w:r w:rsidR="001F7A87" w:rsidRPr="0006096F">
        <w:t xml:space="preserve"> one </w:t>
      </w:r>
      <w:r w:rsidR="001F7A87" w:rsidRPr="0006096F">
        <w:rPr>
          <w:i/>
        </w:rPr>
        <w:t xml:space="preserve">appearance </w:t>
      </w:r>
      <w:r w:rsidR="001F7A87" w:rsidRPr="0006096F">
        <w:t xml:space="preserve">of a drop of water from another: for this reason, </w:t>
      </w:r>
      <w:r w:rsidR="001F7A87" w:rsidRPr="0006096F">
        <w:rPr>
          <w:i/>
        </w:rPr>
        <w:t>sameness</w:t>
      </w:r>
      <w:r w:rsidR="001F7A87" w:rsidRPr="0006096F">
        <w:t xml:space="preserve"> is inappropriately applied to appearances</w:t>
      </w:r>
      <w:r w:rsidR="003563AA" w:rsidRPr="0006096F">
        <w:t xml:space="preserve"> (A 264/B 320)</w:t>
      </w:r>
      <w:r w:rsidR="001F7A87" w:rsidRPr="0006096F">
        <w:t xml:space="preserve">. But unless the distinction is made between sameness as it pertains to objects (empirical sameness) and sameness as it pertains to concepts (pure or reflective sameness), the concept is amphibolous.  </w:t>
      </w:r>
    </w:p>
    <w:p w14:paraId="6F87BF9E" w14:textId="77777777" w:rsidR="00E81527" w:rsidRPr="0006096F" w:rsidRDefault="00782BC8" w:rsidP="00B95D2D">
      <w:r w:rsidRPr="0006096F">
        <w:t xml:space="preserve">Kant envisioned amphiboly as a problem with narrow scope. </w:t>
      </w:r>
      <w:r w:rsidR="006059F4" w:rsidRPr="0006096F">
        <w:t xml:space="preserve">He </w:t>
      </w:r>
      <w:r w:rsidRPr="0006096F">
        <w:t xml:space="preserve">did not think that his pure concepts could be confused with empirical concepts, nor </w:t>
      </w:r>
      <w:r w:rsidR="00B91B03" w:rsidRPr="0006096F">
        <w:t>that</w:t>
      </w:r>
      <w:r w:rsidRPr="0006096F">
        <w:t xml:space="preserve"> </w:t>
      </w:r>
      <w:r w:rsidR="006059F4" w:rsidRPr="0006096F">
        <w:t>empirical concepts</w:t>
      </w:r>
      <w:r w:rsidR="00B91B03" w:rsidRPr="0006096F">
        <w:t xml:space="preserve"> could</w:t>
      </w:r>
      <w:r w:rsidR="006059F4" w:rsidRPr="0006096F">
        <w:t xml:space="preserve"> be taken for pure ones, so that amphiboly touched only the small set of </w:t>
      </w:r>
      <w:r w:rsidR="002C586B">
        <w:t>“</w:t>
      </w:r>
      <w:r w:rsidR="006059F4" w:rsidRPr="0006096F">
        <w:t>concepts of reflection</w:t>
      </w:r>
      <w:r w:rsidR="00772D48" w:rsidRPr="0006096F">
        <w:t>.</w:t>
      </w:r>
      <w:r w:rsidR="002C586B">
        <w:t>”</w:t>
      </w:r>
      <w:r w:rsidR="006059F4" w:rsidRPr="0006096F">
        <w:t xml:space="preserve"> </w:t>
      </w:r>
      <w:r w:rsidR="00E81527" w:rsidRPr="0006096F">
        <w:t xml:space="preserve">This is no doubt because </w:t>
      </w:r>
      <w:r w:rsidR="002C586B" w:rsidRPr="0006096F">
        <w:t xml:space="preserve">for Kant </w:t>
      </w:r>
      <w:r w:rsidR="00B91B03" w:rsidRPr="0006096F">
        <w:t>sensible concepts were</w:t>
      </w:r>
      <w:r w:rsidR="002C586B">
        <w:t>,</w:t>
      </w:r>
      <w:r w:rsidR="00B91B03" w:rsidRPr="0006096F">
        <w:t xml:space="preserve"> by definition</w:t>
      </w:r>
      <w:r w:rsidR="002C586B">
        <w:t>,</w:t>
      </w:r>
      <w:r w:rsidR="00B91B03" w:rsidRPr="0006096F">
        <w:t xml:space="preserve"> not pure</w:t>
      </w:r>
      <w:r w:rsidR="00E81527" w:rsidRPr="0006096F">
        <w:t xml:space="preserve"> </w:t>
      </w:r>
      <w:r w:rsidR="00B91B03" w:rsidRPr="0006096F">
        <w:t>(cf. A 88/B 120)</w:t>
      </w:r>
      <w:r w:rsidR="00E81527" w:rsidRPr="0006096F">
        <w:t xml:space="preserve">. One </w:t>
      </w:r>
      <w:r w:rsidR="00B91B03" w:rsidRPr="0006096F">
        <w:t xml:space="preserve">result </w:t>
      </w:r>
      <w:r w:rsidR="00E81527" w:rsidRPr="0006096F">
        <w:t xml:space="preserve">of Husserl’s method of transcendental reduction is that any deliverance of sensibility can be treated solely as an episode of pure consciousness, and thus </w:t>
      </w:r>
      <w:r w:rsidR="00814516" w:rsidRPr="0006096F">
        <w:t>without</w:t>
      </w:r>
      <w:r w:rsidR="00E81527" w:rsidRPr="0006096F">
        <w:t xml:space="preserve"> reference to </w:t>
      </w:r>
      <w:r w:rsidR="00953AD3" w:rsidRPr="0006096F">
        <w:t>its</w:t>
      </w:r>
      <w:r w:rsidR="00E81527" w:rsidRPr="0006096F">
        <w:t xml:space="preserve"> given natural cause. With reference to eidetic variation, objects of consciousness are treated </w:t>
      </w:r>
      <w:r w:rsidR="00E81527" w:rsidRPr="0006096F">
        <w:rPr>
          <w:i/>
        </w:rPr>
        <w:t>as if</w:t>
      </w:r>
      <w:r w:rsidR="00E81527" w:rsidRPr="0006096F">
        <w:t xml:space="preserve"> they were merely imagined</w:t>
      </w:r>
      <w:r w:rsidR="00814516" w:rsidRPr="0006096F">
        <w:t xml:space="preserve"> </w:t>
      </w:r>
      <w:r w:rsidR="002C586B">
        <w:t>“</w:t>
      </w:r>
      <w:r w:rsidR="00814516" w:rsidRPr="0006096F">
        <w:t>example</w:t>
      </w:r>
      <w:r w:rsidR="002C586B">
        <w:t>s.”</w:t>
      </w:r>
      <w:r w:rsidR="00E81527" w:rsidRPr="0006096F">
        <w:t xml:space="preserve"> This allows Husserl to </w:t>
      </w:r>
      <w:r w:rsidR="00E81527" w:rsidRPr="0006096F">
        <w:lastRenderedPageBreak/>
        <w:t>proliferate pure concepts</w:t>
      </w:r>
      <w:r w:rsidR="008A2BEA" w:rsidRPr="0006096F">
        <w:t xml:space="preserve"> so that they can </w:t>
      </w:r>
      <w:r w:rsidR="000B3728" w:rsidRPr="0006096F">
        <w:t>refer to sensory objects</w:t>
      </w:r>
      <w:r w:rsidR="00E81527" w:rsidRPr="0006096F">
        <w:t xml:space="preserve"> and thus </w:t>
      </w:r>
      <w:r w:rsidR="00E504C0" w:rsidRPr="0006096F">
        <w:t xml:space="preserve">allows the problem of amphiboly to be </w:t>
      </w:r>
      <w:r w:rsidR="00814516" w:rsidRPr="0006096F">
        <w:t>nearly</w:t>
      </w:r>
      <w:r w:rsidR="00E504C0" w:rsidRPr="0006096F">
        <w:t xml:space="preserve"> ubiquitous. </w:t>
      </w:r>
      <w:r w:rsidR="00261B46" w:rsidRPr="0006096F">
        <w:t>To solve it, it is not enough to know whether a concept applies to an empirical individual</w:t>
      </w:r>
      <w:r w:rsidR="00534330" w:rsidRPr="0006096F">
        <w:t>, since this could be true of both pure and empirical concepts</w:t>
      </w:r>
      <w:r w:rsidR="00261B46" w:rsidRPr="0006096F">
        <w:t xml:space="preserve">. What matters </w:t>
      </w:r>
      <w:r w:rsidR="00490F7B" w:rsidRPr="0006096F">
        <w:t>is</w:t>
      </w:r>
      <w:r w:rsidR="00261B46" w:rsidRPr="0006096F">
        <w:t xml:space="preserve"> the conditions under which the concept would be extended beyond a</w:t>
      </w:r>
      <w:r w:rsidR="00E81527" w:rsidRPr="0006096F">
        <w:t xml:space="preserve"> given</w:t>
      </w:r>
      <w:r w:rsidR="00261B46" w:rsidRPr="0006096F">
        <w:t xml:space="preserve"> individual. </w:t>
      </w:r>
    </w:p>
    <w:p w14:paraId="45CEF1E1" w14:textId="77777777" w:rsidR="004B67E9" w:rsidRPr="0006096F" w:rsidRDefault="00814516" w:rsidP="00B95D2D">
      <w:r w:rsidRPr="0006096F">
        <w:t>Moving outside Husserl’s own preferred examples, c</w:t>
      </w:r>
      <w:r w:rsidR="00261B46" w:rsidRPr="0006096F">
        <w:t>onsider</w:t>
      </w:r>
      <w:r w:rsidRPr="0006096F">
        <w:t xml:space="preserve"> </w:t>
      </w:r>
      <w:r w:rsidR="00261B46" w:rsidRPr="0006096F">
        <w:t xml:space="preserve">the concept </w:t>
      </w:r>
      <w:r w:rsidR="00261B46" w:rsidRPr="0006096F">
        <w:rPr>
          <w:i/>
        </w:rPr>
        <w:t>person</w:t>
      </w:r>
      <w:r w:rsidR="00261B46" w:rsidRPr="0006096F">
        <w:t xml:space="preserve">. Is it empirical or pure? Since Locke, many have emphasized the moral or legal </w:t>
      </w:r>
      <w:r w:rsidR="00E81527" w:rsidRPr="0006096F">
        <w:t xml:space="preserve">provenance </w:t>
      </w:r>
      <w:r w:rsidR="00261B46" w:rsidRPr="0006096F">
        <w:t>of the term.</w:t>
      </w:r>
      <w:r w:rsidR="00DA2761" w:rsidRPr="0006096F">
        <w:rPr>
          <w:rStyle w:val="FootnoteReference"/>
        </w:rPr>
        <w:footnoteReference w:id="25"/>
      </w:r>
      <w:r w:rsidR="00261B46" w:rsidRPr="0006096F">
        <w:t xml:space="preserve"> For them, what makes something a person is not a perceptual relation of likeness of similarity from one individual to another. </w:t>
      </w:r>
      <w:r w:rsidR="00E81527" w:rsidRPr="0006096F">
        <w:t xml:space="preserve">Rather, we might think of the concept as requiring the </w:t>
      </w:r>
      <w:r w:rsidR="00E81527" w:rsidRPr="0006096F">
        <w:rPr>
          <w:i/>
        </w:rPr>
        <w:t xml:space="preserve">same capacities </w:t>
      </w:r>
      <w:r w:rsidR="00E81527" w:rsidRPr="0006096F">
        <w:t xml:space="preserve">for any individual that falls under it. </w:t>
      </w:r>
      <w:r w:rsidR="00261B46" w:rsidRPr="0006096F">
        <w:t xml:space="preserve">This tradition of interpreting the concept </w:t>
      </w:r>
      <w:r w:rsidR="005D01CC" w:rsidRPr="0006096F">
        <w:t xml:space="preserve">can reasonably </w:t>
      </w:r>
      <w:r w:rsidR="00261B46" w:rsidRPr="0006096F">
        <w:t>ask whether a</w:t>
      </w:r>
      <w:r w:rsidR="005D01CC" w:rsidRPr="0006096F">
        <w:t>n intelligent</w:t>
      </w:r>
      <w:r w:rsidR="00261B46" w:rsidRPr="0006096F">
        <w:t xml:space="preserve"> dolphin could be a person, whether </w:t>
      </w:r>
      <w:r w:rsidR="005D01CC" w:rsidRPr="0006096F">
        <w:t>an</w:t>
      </w:r>
      <w:r w:rsidR="00261B46" w:rsidRPr="0006096F">
        <w:t xml:space="preserve"> A.I. would be a person, etc. For members of this tradition, it makes sense to use counterfactual thought-experiments</w:t>
      </w:r>
      <w:r w:rsidR="0095667E">
        <w:t>—</w:t>
      </w:r>
      <w:r w:rsidR="00261B46" w:rsidRPr="0006096F">
        <w:t>the imagination</w:t>
      </w:r>
      <w:r w:rsidR="0095667E">
        <w:t>—</w:t>
      </w:r>
      <w:r w:rsidR="00261B46" w:rsidRPr="0006096F">
        <w:t xml:space="preserve">to test what the necessary features of the concept are. Others who consider the concept </w:t>
      </w:r>
      <w:r w:rsidR="00261B46" w:rsidRPr="0006096F">
        <w:rPr>
          <w:i/>
        </w:rPr>
        <w:t>person</w:t>
      </w:r>
      <w:r w:rsidR="00261B46" w:rsidRPr="0006096F">
        <w:t xml:space="preserve"> are impressed rather with the qualities that make </w:t>
      </w:r>
      <w:r w:rsidR="002C586B">
        <w:t>“</w:t>
      </w:r>
      <w:r w:rsidR="00261B46" w:rsidRPr="0006096F">
        <w:t>people like us</w:t>
      </w:r>
      <w:r w:rsidR="002C586B">
        <w:t>”</w:t>
      </w:r>
      <w:r w:rsidR="00261B46" w:rsidRPr="0006096F">
        <w:t xml:space="preserve"> </w:t>
      </w:r>
      <w:r w:rsidR="004B67E9" w:rsidRPr="0006096F">
        <w:t xml:space="preserve">who and </w:t>
      </w:r>
      <w:r w:rsidR="00261B46" w:rsidRPr="0006096F">
        <w:t xml:space="preserve">what we are. Though they may concede that personhood connotes something other than </w:t>
      </w:r>
      <w:r w:rsidR="00261B46" w:rsidRPr="002C586B">
        <w:rPr>
          <w:i/>
          <w:iCs/>
        </w:rPr>
        <w:t>human being</w:t>
      </w:r>
      <w:r w:rsidR="00261B46" w:rsidRPr="0006096F">
        <w:t xml:space="preserve">, they think that a theory of personhood need not apply outside </w:t>
      </w:r>
      <w:r w:rsidR="00370E76" w:rsidRPr="0006096F">
        <w:t>the boundaries of ordinary experience</w:t>
      </w:r>
      <w:r w:rsidR="004B67E9" w:rsidRPr="0006096F">
        <w:t xml:space="preserve">, in which bodies, minds, brains, and social environments each play a role in making </w:t>
      </w:r>
      <w:r w:rsidR="002C586B">
        <w:t>“</w:t>
      </w:r>
      <w:r w:rsidR="004B67E9" w:rsidRPr="0006096F">
        <w:t>us</w:t>
      </w:r>
      <w:r w:rsidR="002C586B">
        <w:t>”</w:t>
      </w:r>
      <w:r w:rsidR="004B67E9" w:rsidRPr="0006096F">
        <w:t xml:space="preserve"> who we are.</w:t>
      </w:r>
      <w:r w:rsidR="00FB0D54" w:rsidRPr="0006096F">
        <w:rPr>
          <w:rStyle w:val="FootnoteReference"/>
        </w:rPr>
        <w:footnoteReference w:id="26"/>
      </w:r>
    </w:p>
    <w:p w14:paraId="2F222AB8" w14:textId="77777777" w:rsidR="00DB5861" w:rsidRPr="0006096F" w:rsidRDefault="004B67E9" w:rsidP="00B95D2D">
      <w:r w:rsidRPr="0006096F">
        <w:t>On Husserl’s account</w:t>
      </w:r>
      <w:r w:rsidR="008A2BEA" w:rsidRPr="0006096F">
        <w:t xml:space="preserve"> (</w:t>
      </w:r>
      <w:r w:rsidRPr="0006096F">
        <w:t xml:space="preserve">granting </w:t>
      </w:r>
      <w:r w:rsidR="00953AD3" w:rsidRPr="0006096F">
        <w:t xml:space="preserve">for simplicity </w:t>
      </w:r>
      <w:r w:rsidRPr="0006096F">
        <w:t xml:space="preserve">this </w:t>
      </w:r>
      <w:r w:rsidR="00953AD3" w:rsidRPr="0006096F">
        <w:t xml:space="preserve">basic </w:t>
      </w:r>
      <w:r w:rsidRPr="0006096F">
        <w:t>picture of the theoretical divide about personhoo</w:t>
      </w:r>
      <w:r w:rsidR="00E81527" w:rsidRPr="0006096F">
        <w:t>d</w:t>
      </w:r>
      <w:r w:rsidR="008A2BEA" w:rsidRPr="0006096F">
        <w:t xml:space="preserve">), </w:t>
      </w:r>
      <w:r w:rsidRPr="0006096F">
        <w:t>there is both a pure and empirical concept of personhood. Or</w:t>
      </w:r>
      <w:r w:rsidR="00614993" w:rsidRPr="0006096F">
        <w:t>,</w:t>
      </w:r>
      <w:r w:rsidRPr="0006096F">
        <w:t xml:space="preserve"> </w:t>
      </w:r>
      <w:r w:rsidR="002C586B">
        <w:t>“</w:t>
      </w:r>
      <w:r w:rsidRPr="0006096F">
        <w:t>person</w:t>
      </w:r>
      <w:r w:rsidR="002C586B">
        <w:t>”</w:t>
      </w:r>
      <w:r w:rsidRPr="0006096F">
        <w:t xml:space="preserve"> is </w:t>
      </w:r>
      <w:r w:rsidRPr="0006096F">
        <w:lastRenderedPageBreak/>
        <w:t xml:space="preserve">amphibolous. The Lockean tradition on personhood is much in </w:t>
      </w:r>
      <w:r w:rsidR="004D1F7D" w:rsidRPr="0006096F">
        <w:t>keeping with Husserl’s method of eidetic variation: if the concept of person strips everything but that of a being that is conscious of itself, it follows that</w:t>
      </w:r>
      <w:r w:rsidR="0009198D" w:rsidRPr="0006096F">
        <w:t xml:space="preserve"> a self-conscious </w:t>
      </w:r>
      <w:r w:rsidR="002C586B">
        <w:t>“</w:t>
      </w:r>
      <w:r w:rsidR="0009198D" w:rsidRPr="0006096F">
        <w:t>little finger</w:t>
      </w:r>
      <w:r w:rsidR="002C586B">
        <w:t>”</w:t>
      </w:r>
      <w:r w:rsidR="0009198D" w:rsidRPr="0006096F">
        <w:t xml:space="preserve"> is a person indeed</w:t>
      </w:r>
      <w:r w:rsidR="004D1F7D" w:rsidRPr="0006096F">
        <w:t>.</w:t>
      </w:r>
      <w:r w:rsidR="0009198D" w:rsidRPr="0006096F">
        <w:rPr>
          <w:rStyle w:val="FootnoteReference"/>
        </w:rPr>
        <w:footnoteReference w:id="27"/>
      </w:r>
      <w:r w:rsidR="004D1F7D" w:rsidRPr="0006096F">
        <w:t xml:space="preserve"> This is not a concept that was formed merely by an inductive generalization of all the </w:t>
      </w:r>
      <w:r w:rsidR="002C586B">
        <w:t>“</w:t>
      </w:r>
      <w:r w:rsidR="004D1F7D" w:rsidRPr="0006096F">
        <w:t>people</w:t>
      </w:r>
      <w:r w:rsidR="002C586B">
        <w:t>”</w:t>
      </w:r>
      <w:r w:rsidR="004D1F7D" w:rsidRPr="0006096F">
        <w:t xml:space="preserve"> one has met so far.</w:t>
      </w:r>
      <w:r w:rsidR="00534330" w:rsidRPr="0006096F">
        <w:t xml:space="preserve"> It prescribes a rule for all possible cases, such that a borderline case</w:t>
      </w:r>
      <w:r w:rsidR="00DA2761" w:rsidRPr="0006096F">
        <w:t xml:space="preserve"> </w:t>
      </w:r>
      <w:r w:rsidR="00534330" w:rsidRPr="0006096F">
        <w:t xml:space="preserve">in the realm of imagined </w:t>
      </w:r>
      <w:proofErr w:type="spellStart"/>
      <w:r w:rsidR="00534330" w:rsidRPr="0006096F">
        <w:rPr>
          <w:i/>
        </w:rPr>
        <w:t>possibilia</w:t>
      </w:r>
      <w:proofErr w:type="spellEnd"/>
      <w:r w:rsidR="004D1F7D" w:rsidRPr="0006096F">
        <w:t xml:space="preserve"> </w:t>
      </w:r>
      <w:r w:rsidR="00534330" w:rsidRPr="0006096F">
        <w:t>can clarify the identity of the concept</w:t>
      </w:r>
      <w:r w:rsidR="000B3728" w:rsidRPr="0006096F">
        <w:t xml:space="preserve">, its </w:t>
      </w:r>
      <w:r w:rsidR="002C586B">
        <w:t>“</w:t>
      </w:r>
      <w:r w:rsidR="000B3728" w:rsidRPr="0006096F">
        <w:t>essential determinations</w:t>
      </w:r>
      <w:r w:rsidR="002C586B">
        <w:t>.”</w:t>
      </w:r>
      <w:r w:rsidR="00534330" w:rsidRPr="0006096F">
        <w:t xml:space="preserve"> </w:t>
      </w:r>
      <w:r w:rsidR="00FB0D54" w:rsidRPr="0006096F">
        <w:t xml:space="preserve">The use of thought experiments involves eidetic variation, rather than inductive generalization. </w:t>
      </w:r>
      <w:r w:rsidR="00DB5861" w:rsidRPr="0006096F">
        <w:t xml:space="preserve">For Lockeans, the concept </w:t>
      </w:r>
      <w:r w:rsidR="00DB5861" w:rsidRPr="0006096F">
        <w:rPr>
          <w:i/>
        </w:rPr>
        <w:t xml:space="preserve">person </w:t>
      </w:r>
      <w:r w:rsidR="00DB5861" w:rsidRPr="0006096F">
        <w:t xml:space="preserve">is a pure concept. </w:t>
      </w:r>
    </w:p>
    <w:p w14:paraId="4CCD907C" w14:textId="77777777" w:rsidR="008A2BEA" w:rsidRPr="0006096F" w:rsidRDefault="004D1F7D" w:rsidP="00B95D2D">
      <w:r w:rsidRPr="0006096F">
        <w:t xml:space="preserve">It is also clearly possible to form an empirical concept of </w:t>
      </w:r>
      <w:r w:rsidRPr="0006096F">
        <w:rPr>
          <w:i/>
        </w:rPr>
        <w:t>person</w:t>
      </w:r>
      <w:r w:rsidRPr="0006096F">
        <w:t xml:space="preserve">. </w:t>
      </w:r>
      <w:r w:rsidR="00534330" w:rsidRPr="0006096F">
        <w:t>On this account, the role of the concept of a person is to be descriptively adequate to group of individuals that may be loosely defined, or perhaps defined by paradigm cases, whose properties do not extend regularly to all possible cases. Those who take the concept in this way are likely to regard fantastic thought experi</w:t>
      </w:r>
      <w:r w:rsidR="0009198D" w:rsidRPr="0006096F">
        <w:t>ments</w:t>
      </w:r>
      <w:r w:rsidR="00534330" w:rsidRPr="0006096F">
        <w:t xml:space="preserve"> involving (for example) the conceptual separation of mind and body with suspicion. Accordingly, Tamar </w:t>
      </w:r>
      <w:proofErr w:type="spellStart"/>
      <w:r w:rsidR="00534330" w:rsidRPr="0006096F">
        <w:t>Gendler</w:t>
      </w:r>
      <w:proofErr w:type="spellEnd"/>
      <w:r w:rsidR="00534330" w:rsidRPr="0006096F">
        <w:t xml:space="preserve"> writes</w:t>
      </w:r>
      <w:r w:rsidR="000B3728" w:rsidRPr="0006096F">
        <w:t xml:space="preserve"> on the issue</w:t>
      </w:r>
      <w:r w:rsidR="00FC7894" w:rsidRPr="0006096F">
        <w:t xml:space="preserve"> of persons</w:t>
      </w:r>
      <w:r w:rsidR="000B3728" w:rsidRPr="0006096F">
        <w:t>,</w:t>
      </w:r>
      <w:r w:rsidR="00534330" w:rsidRPr="0006096F">
        <w:t xml:space="preserve"> </w:t>
      </w:r>
    </w:p>
    <w:p w14:paraId="052CD55E" w14:textId="77777777" w:rsidR="008A2BEA" w:rsidRPr="0006096F" w:rsidRDefault="008A2BEA" w:rsidP="00B95D2D">
      <w:pPr>
        <w:pStyle w:val="Quote"/>
      </w:pPr>
      <w:r w:rsidRPr="0006096F">
        <w:t>[O]</w:t>
      </w:r>
      <w:proofErr w:type="spellStart"/>
      <w:r w:rsidRPr="0006096F">
        <w:t>ur</w:t>
      </w:r>
      <w:proofErr w:type="spellEnd"/>
      <w:r w:rsidRPr="0006096F">
        <w:t xml:space="preserve"> very judgments are filtered through the background patterns of fortuitous coincidence which play central roles in the organization of our conceptual scheme.</w:t>
      </w:r>
      <w:r w:rsidR="00FC7894" w:rsidRPr="0006096F">
        <w:t xml:space="preserve"> </w:t>
      </w:r>
      <w:r w:rsidRPr="0006096F">
        <w:t>Imaginary cases allow us to separate out apparently contingent concomitants. But some of our conceptual commitments may presuppose the coincidence of such concomitants, even though we can make sense of their coming apart. (</w:t>
      </w:r>
      <w:proofErr w:type="spellStart"/>
      <w:r w:rsidRPr="0006096F">
        <w:t>Gendler</w:t>
      </w:r>
      <w:proofErr w:type="spellEnd"/>
      <w:r w:rsidR="00982873">
        <w:t xml:space="preserve">, </w:t>
      </w:r>
      <w:r w:rsidRPr="0006096F">
        <w:t>2000</w:t>
      </w:r>
      <w:r w:rsidR="00982873">
        <w:t xml:space="preserve">, p. </w:t>
      </w:r>
      <w:r w:rsidRPr="0006096F">
        <w:t>158; cf. also Gender</w:t>
      </w:r>
      <w:r w:rsidR="00982873">
        <w:t>,</w:t>
      </w:r>
      <w:r w:rsidRPr="0006096F">
        <w:t xml:space="preserve"> 2010</w:t>
      </w:r>
      <w:r w:rsidR="00982873">
        <w:t>, p.</w:t>
      </w:r>
      <w:r w:rsidR="00FB4DD9">
        <w:t xml:space="preserve"> </w:t>
      </w:r>
      <w:r w:rsidRPr="0006096F">
        <w:t>58)</w:t>
      </w:r>
    </w:p>
    <w:p w14:paraId="24023557" w14:textId="77777777" w:rsidR="00261B46" w:rsidRPr="0006096F" w:rsidRDefault="00534330" w:rsidP="00531CAD">
      <w:pPr>
        <w:ind w:firstLine="0"/>
      </w:pPr>
      <w:r w:rsidRPr="0006096F">
        <w:t xml:space="preserve">The role that contingent facts about actual cases here reveals that the concept </w:t>
      </w:r>
      <w:r w:rsidRPr="0006096F">
        <w:rPr>
          <w:i/>
        </w:rPr>
        <w:t>person</w:t>
      </w:r>
      <w:r w:rsidRPr="0006096F">
        <w:t xml:space="preserve"> is being regarded as an empirical concept, in Husserl</w:t>
      </w:r>
      <w:r w:rsidR="008A16F7" w:rsidRPr="0006096F">
        <w:t>’s</w:t>
      </w:r>
      <w:r w:rsidRPr="0006096F">
        <w:t xml:space="preserve"> terms. </w:t>
      </w:r>
    </w:p>
    <w:p w14:paraId="03C51B4F" w14:textId="77777777" w:rsidR="005535DB" w:rsidRPr="0006096F" w:rsidRDefault="00DB5861" w:rsidP="00B95D2D">
      <w:r w:rsidRPr="0006096F">
        <w:lastRenderedPageBreak/>
        <w:t xml:space="preserve">Which account of the concept is correct? </w:t>
      </w:r>
      <w:r w:rsidR="0009198D" w:rsidRPr="0006096F">
        <w:t>It depends, of course, on what is wanted from the concept</w:t>
      </w:r>
      <w:r w:rsidR="005535DB" w:rsidRPr="0006096F">
        <w:t>: is it meant to track a type discerned among a number of given individuals, or is it meant to prescribe a clear determining feature that may or may not apply to individuals commonly marked out as persons</w:t>
      </w:r>
      <w:r w:rsidR="00AA5C73" w:rsidRPr="0006096F">
        <w:t>?</w:t>
      </w:r>
      <w:r w:rsidR="0009198D" w:rsidRPr="0006096F">
        <w:t xml:space="preserve"> The virtue of Husserl’s account is in its ability to clarify the source of the ambiguity between apparently rival accounts of concepts. </w:t>
      </w:r>
      <w:r w:rsidR="00565D49" w:rsidRPr="0006096F">
        <w:t xml:space="preserve">He says, in effect, that if one understands a concept empirically, </w:t>
      </w:r>
      <w:r w:rsidR="005535DB" w:rsidRPr="0006096F">
        <w:t>we should not</w:t>
      </w:r>
      <w:r w:rsidR="00565D49" w:rsidRPr="0006096F">
        <w:t xml:space="preserve"> expect it to apply with complete generality and unaltered sameness across its extension. Contrariwise, if a concept is understood </w:t>
      </w:r>
      <w:r w:rsidR="002C586B">
        <w:t>“</w:t>
      </w:r>
      <w:r w:rsidR="00565D49" w:rsidRPr="0006096F">
        <w:t>purely</w:t>
      </w:r>
      <w:r w:rsidR="002C586B">
        <w:t>,”</w:t>
      </w:r>
      <w:r w:rsidR="00565D49" w:rsidRPr="0006096F">
        <w:t xml:space="preserve"> </w:t>
      </w:r>
      <w:r w:rsidR="005535DB" w:rsidRPr="0006096F">
        <w:t xml:space="preserve">we should </w:t>
      </w:r>
      <w:r w:rsidR="00565D49" w:rsidRPr="0006096F">
        <w:t xml:space="preserve">expect that it will more adequately determined in counterfactual cases of the imagination than in real perceptual cases. Empirical cases can be taken </w:t>
      </w:r>
      <w:r w:rsidR="00376104" w:rsidRPr="0006096F">
        <w:t xml:space="preserve">only </w:t>
      </w:r>
      <w:r w:rsidR="00565D49" w:rsidRPr="0006096F">
        <w:t xml:space="preserve">as examples. </w:t>
      </w:r>
    </w:p>
    <w:p w14:paraId="3BB54ADD" w14:textId="77777777" w:rsidR="00565D49" w:rsidRPr="0006096F" w:rsidRDefault="00565D49" w:rsidP="00B95D2D">
      <w:r w:rsidRPr="0006096F">
        <w:t>To the extent that philosophers are not clear about</w:t>
      </w:r>
      <w:r w:rsidR="005535DB" w:rsidRPr="0006096F">
        <w:t xml:space="preserve"> these conceptual expectations</w:t>
      </w:r>
      <w:r w:rsidRPr="0006096F">
        <w:t xml:space="preserve">, they </w:t>
      </w:r>
      <w:r w:rsidR="00E47137" w:rsidRPr="0006096F">
        <w:t>invite</w:t>
      </w:r>
      <w:r w:rsidRPr="0006096F">
        <w:t xml:space="preserve"> confus</w:t>
      </w:r>
      <w:r w:rsidR="00E47137" w:rsidRPr="0006096F">
        <w:t>ion</w:t>
      </w:r>
      <w:r w:rsidRPr="0006096F">
        <w:t xml:space="preserve"> about what can be</w:t>
      </w:r>
      <w:r w:rsidR="00E61CD8" w:rsidRPr="0006096F">
        <w:t xml:space="preserve"> understood</w:t>
      </w:r>
      <w:r w:rsidRPr="0006096F">
        <w:t xml:space="preserve"> through their concepts. </w:t>
      </w:r>
      <w:r w:rsidR="00F6628B" w:rsidRPr="0006096F">
        <w:t>Husserl helps explain how such confusion is almost universally possible</w:t>
      </w:r>
      <w:r w:rsidR="00AA5C73" w:rsidRPr="0006096F">
        <w:t xml:space="preserve">, </w:t>
      </w:r>
      <w:r w:rsidR="00924FFF" w:rsidRPr="0006096F">
        <w:t>and this applies</w:t>
      </w:r>
      <w:r w:rsidR="00AA5C73" w:rsidRPr="0006096F">
        <w:t xml:space="preserve"> beyond the ken of </w:t>
      </w:r>
      <w:r w:rsidR="002C586B">
        <w:t>“</w:t>
      </w:r>
      <w:r w:rsidR="00AA5C73" w:rsidRPr="0006096F">
        <w:t>phenomenology</w:t>
      </w:r>
      <w:r w:rsidR="002C586B">
        <w:t>”</w:t>
      </w:r>
      <w:r w:rsidR="00AA5C73" w:rsidRPr="0006096F">
        <w:t xml:space="preserve"> according to the letter</w:t>
      </w:r>
      <w:r w:rsidR="00F6628B" w:rsidRPr="0006096F">
        <w:t xml:space="preserve">. While there are some concepts whose use is obviously non-empirical, such as many logical or mathematical ones, whose </w:t>
      </w:r>
      <w:r w:rsidR="002C586B">
        <w:t>“</w:t>
      </w:r>
      <w:r w:rsidR="00F6628B" w:rsidRPr="0006096F">
        <w:t>objects</w:t>
      </w:r>
      <w:r w:rsidR="002C586B">
        <w:t>”</w:t>
      </w:r>
      <w:r w:rsidR="00F6628B" w:rsidRPr="0006096F">
        <w:t xml:space="preserve"> are rarely confused with empirical things since they are </w:t>
      </w:r>
      <w:r w:rsidR="002C586B">
        <w:t>“</w:t>
      </w:r>
      <w:r w:rsidR="00F6628B" w:rsidRPr="0006096F">
        <w:t>formal,</w:t>
      </w:r>
      <w:r w:rsidR="002C586B">
        <w:t>”</w:t>
      </w:r>
      <w:r w:rsidR="00F6628B" w:rsidRPr="0006096F">
        <w:t xml:space="preserve"> </w:t>
      </w:r>
      <w:r w:rsidR="005535DB" w:rsidRPr="0006096F">
        <w:t>amphiboly</w:t>
      </w:r>
      <w:r w:rsidR="00F6628B" w:rsidRPr="0006096F">
        <w:t xml:space="preserve"> is likely, as I mentioned at the outset, whenever pure concepts </w:t>
      </w:r>
      <w:r w:rsidR="00AA5C73" w:rsidRPr="0006096F">
        <w:t xml:space="preserve">can </w:t>
      </w:r>
      <w:r w:rsidR="00F6628B" w:rsidRPr="0006096F">
        <w:t xml:space="preserve">have real application to things. That is, even if </w:t>
      </w:r>
      <w:r w:rsidR="00F6628B" w:rsidRPr="0006096F">
        <w:rPr>
          <w:i/>
        </w:rPr>
        <w:t>person</w:t>
      </w:r>
      <w:r w:rsidR="00F6628B" w:rsidRPr="0006096F">
        <w:t xml:space="preserve"> is a pure concept, </w:t>
      </w:r>
      <w:r w:rsidR="005535DB" w:rsidRPr="0006096F">
        <w:t xml:space="preserve">most or all </w:t>
      </w:r>
      <w:r w:rsidR="00F6628B" w:rsidRPr="0006096F">
        <w:t xml:space="preserve">empirical people are persons; even if </w:t>
      </w:r>
      <w:r w:rsidR="00F6628B" w:rsidRPr="0006096F">
        <w:rPr>
          <w:i/>
        </w:rPr>
        <w:t>knowledge</w:t>
      </w:r>
      <w:r w:rsidR="00F6628B" w:rsidRPr="0006096F">
        <w:t xml:space="preserve"> is a pure concept, empirical </w:t>
      </w:r>
      <w:r w:rsidR="00EC0561" w:rsidRPr="0006096F">
        <w:t xml:space="preserve">cognitions </w:t>
      </w:r>
      <w:r w:rsidR="00F6628B" w:rsidRPr="0006096F">
        <w:t xml:space="preserve">may be </w:t>
      </w:r>
      <w:r w:rsidR="00EC0561" w:rsidRPr="0006096F">
        <w:t>cases of knowledge</w:t>
      </w:r>
      <w:r w:rsidR="00F6628B" w:rsidRPr="0006096F">
        <w:t>.</w:t>
      </w:r>
      <w:r w:rsidR="005535DB" w:rsidRPr="0006096F">
        <w:t xml:space="preserve"> </w:t>
      </w:r>
      <w:r w:rsidR="005D01CC" w:rsidRPr="0006096F">
        <w:t xml:space="preserve">Pure concepts may have concrete application, even if empirical applications only imperfectly </w:t>
      </w:r>
      <w:r w:rsidR="00DB18C6">
        <w:t>“</w:t>
      </w:r>
      <w:r w:rsidR="005D01CC" w:rsidRPr="0006096F">
        <w:t>participate</w:t>
      </w:r>
      <w:r w:rsidR="00DB18C6">
        <w:t>”</w:t>
      </w:r>
      <w:r w:rsidR="005D01CC" w:rsidRPr="0006096F">
        <w:t xml:space="preserve"> in the concept. </w:t>
      </w:r>
      <w:r w:rsidR="005535DB" w:rsidRPr="0006096F">
        <w:t>In</w:t>
      </w:r>
      <w:r w:rsidR="00F6628B" w:rsidRPr="0006096F">
        <w:t xml:space="preserve"> contrast to logical or mathematical concepts which </w:t>
      </w:r>
      <w:r w:rsidR="005535DB" w:rsidRPr="0006096F">
        <w:t xml:space="preserve">can be called </w:t>
      </w:r>
      <w:r w:rsidR="00F6628B" w:rsidRPr="0006096F">
        <w:rPr>
          <w:i/>
        </w:rPr>
        <w:t>formal pure concepts</w:t>
      </w:r>
      <w:r w:rsidR="005535DB" w:rsidRPr="0006096F">
        <w:rPr>
          <w:i/>
        </w:rPr>
        <w:t xml:space="preserve">, </w:t>
      </w:r>
      <w:r w:rsidR="005535DB" w:rsidRPr="0006096F">
        <w:t xml:space="preserve">concepts like </w:t>
      </w:r>
      <w:r w:rsidR="005535DB" w:rsidRPr="0006096F">
        <w:rPr>
          <w:i/>
        </w:rPr>
        <w:t>person</w:t>
      </w:r>
      <w:r w:rsidR="005535DB" w:rsidRPr="0006096F">
        <w:t xml:space="preserve"> and </w:t>
      </w:r>
      <w:r w:rsidR="005535DB" w:rsidRPr="0006096F">
        <w:rPr>
          <w:i/>
        </w:rPr>
        <w:lastRenderedPageBreak/>
        <w:t>knowledge</w:t>
      </w:r>
      <w:r w:rsidR="005535DB" w:rsidRPr="0006096F">
        <w:t xml:space="preserve"> (if pure) can be called </w:t>
      </w:r>
      <w:r w:rsidR="005535DB" w:rsidRPr="0006096F">
        <w:rPr>
          <w:i/>
        </w:rPr>
        <w:t>material pure concepts</w:t>
      </w:r>
      <w:r w:rsidR="00F6628B" w:rsidRPr="0006096F">
        <w:t>.</w:t>
      </w:r>
      <w:r w:rsidR="009D1B16" w:rsidRPr="0006096F">
        <w:rPr>
          <w:rStyle w:val="FootnoteReference"/>
        </w:rPr>
        <w:footnoteReference w:id="28"/>
      </w:r>
      <w:r w:rsidR="005535DB" w:rsidRPr="0006096F">
        <w:t xml:space="preserve"> They </w:t>
      </w:r>
      <w:r w:rsidR="008A2BEA" w:rsidRPr="0006096F">
        <w:t xml:space="preserve">may </w:t>
      </w:r>
      <w:r w:rsidR="005535DB" w:rsidRPr="0006096F">
        <w:t xml:space="preserve">have content in the actual world, but they need not be determined empirically. </w:t>
      </w:r>
      <w:r w:rsidR="00F6628B" w:rsidRPr="0006096F">
        <w:t xml:space="preserve">Since many philosophical concepts, whether in or outside an expletively phenomenological method, can be understood as material pure concepts, the presence of amphiboly is possible wherever they are used. </w:t>
      </w:r>
    </w:p>
    <w:p w14:paraId="3505DDB9" w14:textId="77777777" w:rsidR="005535DB" w:rsidRPr="0006096F" w:rsidRDefault="00924FFF" w:rsidP="00B95D2D">
      <w:r w:rsidRPr="0006096F">
        <w:t xml:space="preserve">Though it applies quite generally, ironically, </w:t>
      </w:r>
      <w:r w:rsidR="005535DB" w:rsidRPr="0006096F">
        <w:t xml:space="preserve">this </w:t>
      </w:r>
      <w:r w:rsidR="00AA5C73" w:rsidRPr="0006096F">
        <w:t xml:space="preserve">problem </w:t>
      </w:r>
      <w:r w:rsidR="005535DB" w:rsidRPr="0006096F">
        <w:t>applies almost especially to Husserl’s own ph</w:t>
      </w:r>
      <w:r w:rsidR="00A35B06" w:rsidRPr="0006096F">
        <w:t xml:space="preserve">enomenology. </w:t>
      </w:r>
      <w:r w:rsidR="005D01CC" w:rsidRPr="0006096F">
        <w:t xml:space="preserve">In </w:t>
      </w:r>
      <w:r w:rsidR="00477DCC" w:rsidRPr="0006096F">
        <w:t>terms of the formation of pure concepts</w:t>
      </w:r>
      <w:r w:rsidR="005D01CC" w:rsidRPr="0006096F">
        <w:t xml:space="preserve">, Husserl’s phenomenology </w:t>
      </w:r>
      <w:r w:rsidR="00F020DC" w:rsidRPr="0006096F">
        <w:t>may be</w:t>
      </w:r>
      <w:r w:rsidR="005D01CC" w:rsidRPr="0006096F">
        <w:t xml:space="preserve"> the victim of its own success. That is, </w:t>
      </w:r>
      <w:r w:rsidR="00AA5C73" w:rsidRPr="0006096F">
        <w:t>it counts as an</w:t>
      </w:r>
      <w:r w:rsidR="005D01CC" w:rsidRPr="0006096F">
        <w:t xml:space="preserve"> </w:t>
      </w:r>
      <w:r w:rsidR="00477DCC" w:rsidRPr="0006096F">
        <w:t>achievement</w:t>
      </w:r>
      <w:r w:rsidR="005D01CC" w:rsidRPr="0006096F">
        <w:t xml:space="preserve"> of </w:t>
      </w:r>
      <w:proofErr w:type="spellStart"/>
      <w:r w:rsidR="00477DCC" w:rsidRPr="0006096F">
        <w:t>Husserlian</w:t>
      </w:r>
      <w:proofErr w:type="spellEnd"/>
      <w:r w:rsidR="00477DCC" w:rsidRPr="0006096F">
        <w:t xml:space="preserve"> </w:t>
      </w:r>
      <w:r w:rsidR="005D01CC" w:rsidRPr="0006096F">
        <w:t xml:space="preserve">phenomenology that phenomenological accounts </w:t>
      </w:r>
      <w:r w:rsidR="00477DCC" w:rsidRPr="0006096F">
        <w:t xml:space="preserve">can </w:t>
      </w:r>
      <w:r w:rsidR="005D01CC" w:rsidRPr="0006096F">
        <w:t xml:space="preserve">yield </w:t>
      </w:r>
      <w:r w:rsidR="00477DCC" w:rsidRPr="0006096F">
        <w:t xml:space="preserve">pure concepts that are likewise applicable to empirical reality. Yet the more that phenomenology succeeds in this endeavor, the more easily can the project be confused with a purely descriptive, empirical project, since it may be supposed that these accounts intend only to provide an account </w:t>
      </w:r>
      <w:r w:rsidRPr="0006096F">
        <w:t>of an individual’s</w:t>
      </w:r>
      <w:r w:rsidR="00477DCC" w:rsidRPr="0006096F">
        <w:t xml:space="preserve"> first-person experience of something</w:t>
      </w:r>
      <w:r w:rsidRPr="0006096F">
        <w:t xml:space="preserve"> (this is what a </w:t>
      </w:r>
      <w:r w:rsidR="00DB18C6">
        <w:t>“</w:t>
      </w:r>
      <w:r w:rsidRPr="0006096F">
        <w:t xml:space="preserve">phenomenology of </w:t>
      </w:r>
      <w:r w:rsidRPr="0006096F">
        <w:rPr>
          <w:i/>
        </w:rPr>
        <w:t>x</w:t>
      </w:r>
      <w:r w:rsidR="00DB18C6">
        <w:t>”</w:t>
      </w:r>
      <w:r w:rsidRPr="0006096F">
        <w:t xml:space="preserve"> commonly means today)</w:t>
      </w:r>
      <w:r w:rsidR="00477DCC" w:rsidRPr="0006096F">
        <w:t>. Thus, even though Husserl provides the hermene</w:t>
      </w:r>
      <w:r w:rsidR="004E2CA1" w:rsidRPr="0006096F">
        <w:t>u</w:t>
      </w:r>
      <w:r w:rsidR="00477DCC" w:rsidRPr="0006096F">
        <w:t>tical tools to avoid transcendental amphiboly, his own writings</w:t>
      </w:r>
      <w:r w:rsidRPr="0006096F">
        <w:t xml:space="preserve"> and tradition</w:t>
      </w:r>
      <w:r w:rsidR="00477DCC" w:rsidRPr="0006096F">
        <w:t xml:space="preserve"> may be especially subject to this error if the distinction (and overlap) between pure and empirical concepts is not appreciated.</w:t>
      </w:r>
      <w:r w:rsidR="00477DCC" w:rsidRPr="0006096F">
        <w:rPr>
          <w:rStyle w:val="FootnoteReference"/>
        </w:rPr>
        <w:footnoteReference w:id="29"/>
      </w:r>
      <w:r w:rsidR="004E2CA1" w:rsidRPr="0006096F">
        <w:t xml:space="preserve"> </w:t>
      </w:r>
      <w:r w:rsidR="005D01CC" w:rsidRPr="0006096F">
        <w:t xml:space="preserve">It would take us too far afield to address the many attempts to naturalize (or </w:t>
      </w:r>
      <w:r w:rsidR="00AA5C73" w:rsidRPr="0006096F">
        <w:t xml:space="preserve">indeed </w:t>
      </w:r>
      <w:r w:rsidR="00DB18C6">
        <w:t>“</w:t>
      </w:r>
      <w:proofErr w:type="spellStart"/>
      <w:r w:rsidR="005D01CC" w:rsidRPr="0006096F">
        <w:t>sociologize</w:t>
      </w:r>
      <w:proofErr w:type="spellEnd"/>
      <w:r w:rsidR="00DB18C6">
        <w:t>”</w:t>
      </w:r>
      <w:r w:rsidR="005D01CC" w:rsidRPr="0006096F">
        <w:t>) phenomenology</w:t>
      </w:r>
      <w:r w:rsidR="00477DCC" w:rsidRPr="0006096F">
        <w:t>, but</w:t>
      </w:r>
      <w:r w:rsidR="007E64B4" w:rsidRPr="0006096F">
        <w:t xml:space="preserve"> </w:t>
      </w:r>
      <w:r w:rsidR="00AA5C73" w:rsidRPr="0006096F">
        <w:t xml:space="preserve">it is worth mentioning that </w:t>
      </w:r>
      <w:r w:rsidR="007E64B4" w:rsidRPr="0006096F">
        <w:t xml:space="preserve">these may be subject to an </w:t>
      </w:r>
      <w:r w:rsidR="00DB18C6">
        <w:t>“</w:t>
      </w:r>
      <w:r w:rsidR="007E64B4" w:rsidRPr="0006096F">
        <w:t>am</w:t>
      </w:r>
      <w:r w:rsidR="00835724" w:rsidRPr="0006096F">
        <w:t>phibolous</w:t>
      </w:r>
      <w:r w:rsidR="00DB18C6">
        <w:t>”</w:t>
      </w:r>
      <w:r w:rsidR="00835724" w:rsidRPr="0006096F">
        <w:t xml:space="preserve"> </w:t>
      </w:r>
      <w:r w:rsidR="00376104">
        <w:t>adoption</w:t>
      </w:r>
      <w:r w:rsidR="00D56F53" w:rsidRPr="0006096F">
        <w:t xml:space="preserve"> </w:t>
      </w:r>
      <w:r w:rsidR="00835724" w:rsidRPr="0006096F">
        <w:t>of Husserl’s project</w:t>
      </w:r>
      <w:r w:rsidR="00564228" w:rsidRPr="0006096F">
        <w:t xml:space="preserve">: they may suppose that descriptions with </w:t>
      </w:r>
      <w:r w:rsidR="00564228" w:rsidRPr="0006096F">
        <w:lastRenderedPageBreak/>
        <w:t>empirical overlap are meant to serve as empirical descriptions</w:t>
      </w:r>
      <w:r w:rsidR="00835724" w:rsidRPr="0006096F">
        <w:t>. W</w:t>
      </w:r>
      <w:r w:rsidR="004E2CA1" w:rsidRPr="0006096F">
        <w:t xml:space="preserve">hatever valuable purposes such </w:t>
      </w:r>
      <w:r w:rsidR="00835724" w:rsidRPr="0006096F">
        <w:t xml:space="preserve">naturalizing </w:t>
      </w:r>
      <w:r w:rsidR="004E2CA1" w:rsidRPr="0006096F">
        <w:t>attempts may serve,</w:t>
      </w:r>
      <w:r w:rsidR="00477DCC" w:rsidRPr="0006096F">
        <w:t xml:space="preserve"> insofar as the</w:t>
      </w:r>
      <w:r w:rsidR="004E2CA1" w:rsidRPr="0006096F">
        <w:t>y</w:t>
      </w:r>
      <w:r w:rsidR="00477DCC" w:rsidRPr="0006096F">
        <w:t xml:space="preserve"> ignore the task of the formation of pure concepts, they </w:t>
      </w:r>
      <w:r w:rsidR="004E2CA1" w:rsidRPr="0006096F">
        <w:t xml:space="preserve">ignore the philosophical (or </w:t>
      </w:r>
      <w:r w:rsidR="002C586B">
        <w:t>“</w:t>
      </w:r>
      <w:r w:rsidR="004E2CA1" w:rsidRPr="0006096F">
        <w:t>scientific</w:t>
      </w:r>
      <w:r w:rsidR="002C586B">
        <w:t>”</w:t>
      </w:r>
      <w:r w:rsidR="004E2CA1" w:rsidRPr="0006096F">
        <w:t>) upshot that Husserl expected from his work.</w:t>
      </w:r>
      <w:r w:rsidR="00331A29" w:rsidRPr="0006096F">
        <w:t xml:space="preserve"> Recall that Husserl hoped that phenomenology would contribute to an </w:t>
      </w:r>
      <w:r w:rsidR="00AA5C73" w:rsidRPr="0006096F">
        <w:t xml:space="preserve">original </w:t>
      </w:r>
      <w:r w:rsidR="00331A29" w:rsidRPr="0006096F">
        <w:t xml:space="preserve">understandings of such concepts as </w:t>
      </w:r>
      <w:r w:rsidR="002C586B">
        <w:t>“</w:t>
      </w:r>
      <w:r w:rsidR="00331A29" w:rsidRPr="0006096F">
        <w:rPr>
          <w:i/>
        </w:rPr>
        <w:t>world, Nature, space, time, psychophysical being, man, psyche, animate organism, social community, culture</w:t>
      </w:r>
      <w:r w:rsidR="00331A29" w:rsidRPr="0006096F">
        <w:t>, and so forth</w:t>
      </w:r>
      <w:r w:rsidR="002C586B">
        <w:t>”</w:t>
      </w:r>
      <w:r w:rsidR="00331A29" w:rsidRPr="0006096F">
        <w:t xml:space="preserve"> (Husserl</w:t>
      </w:r>
      <w:r w:rsidR="00982873">
        <w:t>,</w:t>
      </w:r>
      <w:r w:rsidR="00331A29" w:rsidRPr="0006096F">
        <w:t xml:space="preserve"> 1970</w:t>
      </w:r>
      <w:r w:rsidR="00982873">
        <w:t>,</w:t>
      </w:r>
      <w:r w:rsidR="00FB4DD9">
        <w:t xml:space="preserve"> </w:t>
      </w:r>
      <w:r w:rsidR="00982873">
        <w:t xml:space="preserve">p. </w:t>
      </w:r>
      <w:r w:rsidR="00331A29" w:rsidRPr="0006096F">
        <w:t>154).</w:t>
      </w:r>
      <w:r w:rsidR="00AA5C73" w:rsidRPr="0006096F">
        <w:rPr>
          <w:rStyle w:val="FootnoteReference"/>
        </w:rPr>
        <w:footnoteReference w:id="30"/>
      </w:r>
      <w:r w:rsidR="00772D48" w:rsidRPr="0006096F">
        <w:t xml:space="preserve"> Husserl was convinced of the scientific value of the construction of pure concepts, and the phenomenological method is for him largely subordinate to this purpose. </w:t>
      </w:r>
    </w:p>
    <w:p w14:paraId="3D17C917" w14:textId="77777777" w:rsidR="00565D49" w:rsidRPr="0006096F" w:rsidRDefault="00565D49" w:rsidP="00B95D2D"/>
    <w:p w14:paraId="548A4AC0" w14:textId="77777777" w:rsidR="00565D49" w:rsidRPr="0006096F" w:rsidRDefault="008744D8" w:rsidP="00B95D2D">
      <w:pPr>
        <w:pStyle w:val="Heading2"/>
      </w:pPr>
      <w:r w:rsidRPr="0006096F">
        <w:t xml:space="preserve">4. </w:t>
      </w:r>
      <w:r w:rsidR="00565D49" w:rsidRPr="0006096F">
        <w:t xml:space="preserve">The </w:t>
      </w:r>
      <w:r w:rsidR="00FD3208" w:rsidRPr="0006096F">
        <w:t>Interest of Pure Concepts in Philosophy</w:t>
      </w:r>
      <w:r w:rsidR="00565D49" w:rsidRPr="0006096F">
        <w:t xml:space="preserve"> </w:t>
      </w:r>
    </w:p>
    <w:p w14:paraId="586287F5" w14:textId="77777777" w:rsidR="00FD3208" w:rsidRPr="0006096F" w:rsidRDefault="00FD3208" w:rsidP="00B95D2D">
      <w:r w:rsidRPr="0006096F">
        <w:t xml:space="preserve">The dominant conception of concepts in contemporary philosophy emphasizes the importance of a concept’s referential relations, its ability to </w:t>
      </w:r>
      <w:r w:rsidR="002C586B">
        <w:t>“</w:t>
      </w:r>
      <w:r w:rsidRPr="0006096F">
        <w:t>track</w:t>
      </w:r>
      <w:r w:rsidR="002C586B">
        <w:t>”</w:t>
      </w:r>
      <w:r w:rsidRPr="0006096F">
        <w:t xml:space="preserve"> worldly items. This may be a good way to think about </w:t>
      </w:r>
      <w:r w:rsidR="002C586B">
        <w:t>“</w:t>
      </w:r>
      <w:r w:rsidRPr="0006096F">
        <w:t>mental representations</w:t>
      </w:r>
      <w:r w:rsidR="002C586B">
        <w:t>”</w:t>
      </w:r>
      <w:r w:rsidRPr="0006096F">
        <w:t xml:space="preserve"> in </w:t>
      </w:r>
      <w:r w:rsidR="008A2BEA" w:rsidRPr="0006096F">
        <w:t>cognitive</w:t>
      </w:r>
      <w:r w:rsidRPr="0006096F">
        <w:t xml:space="preserve"> psycholog</w:t>
      </w:r>
      <w:r w:rsidR="008A2BEA" w:rsidRPr="0006096F">
        <w:t xml:space="preserve">y </w:t>
      </w:r>
      <w:r w:rsidRPr="0006096F">
        <w:t>and natural language semantics. It is doubtful, however, whether it is the best way to think about the concepts that are of interest in philosophy.</w:t>
      </w:r>
      <w:r w:rsidR="00B8510A" w:rsidRPr="0006096F">
        <w:rPr>
          <w:rStyle w:val="FootnoteReference"/>
        </w:rPr>
        <w:footnoteReference w:id="31"/>
      </w:r>
      <w:r w:rsidRPr="0006096F">
        <w:t xml:space="preserve"> </w:t>
      </w:r>
      <w:r w:rsidR="00FC7894" w:rsidRPr="0006096F">
        <w:t>Alternative</w:t>
      </w:r>
      <w:r w:rsidRPr="0006096F">
        <w:t xml:space="preserve"> recent accounts stress</w:t>
      </w:r>
      <w:r w:rsidR="00375145" w:rsidRPr="0006096F">
        <w:t xml:space="preserve"> </w:t>
      </w:r>
      <w:r w:rsidRPr="0006096F">
        <w:t xml:space="preserve">that philosophical concepts are shot through with </w:t>
      </w:r>
      <w:r w:rsidR="002C586B">
        <w:t>“</w:t>
      </w:r>
      <w:r w:rsidRPr="0006096F">
        <w:t>normativity</w:t>
      </w:r>
      <w:r w:rsidR="002C586B">
        <w:t>,”</w:t>
      </w:r>
      <w:r w:rsidRPr="0006096F">
        <w:t xml:space="preserve"> so that a merely natural, non-normative referential relation to their correlative objects will not suffice to clarify the meaning of these concepts. </w:t>
      </w:r>
      <w:r w:rsidR="00375145" w:rsidRPr="0006096F">
        <w:t xml:space="preserve">On this kind of account, philosophers may have work to do in describing and prescribing the norms implicit in our concepts. </w:t>
      </w:r>
    </w:p>
    <w:p w14:paraId="5706A489" w14:textId="77777777" w:rsidR="00375145" w:rsidRPr="0006096F" w:rsidRDefault="00C265CB" w:rsidP="00B95D2D">
      <w:r w:rsidRPr="0006096F">
        <w:lastRenderedPageBreak/>
        <w:t xml:space="preserve">Husserl’s account of pure concepts can, I believe, </w:t>
      </w:r>
      <w:r w:rsidR="00DE2F3A">
        <w:t>nicely supplement this</w:t>
      </w:r>
      <w:r w:rsidRPr="0006096F">
        <w:t xml:space="preserve"> ‘</w:t>
      </w:r>
      <w:proofErr w:type="spellStart"/>
      <w:r w:rsidRPr="0006096F">
        <w:t>normativist</w:t>
      </w:r>
      <w:proofErr w:type="spellEnd"/>
      <w:r w:rsidRPr="0006096F">
        <w:t>’ conception of philosophical concepts.</w:t>
      </w:r>
      <w:r w:rsidR="0060540A" w:rsidRPr="0006096F">
        <w:t xml:space="preserve"> </w:t>
      </w:r>
      <w:r w:rsidR="00DE2F3A">
        <w:t xml:space="preserve">Like the </w:t>
      </w:r>
      <w:proofErr w:type="spellStart"/>
      <w:r w:rsidR="00DE2F3A">
        <w:t>normativists</w:t>
      </w:r>
      <w:proofErr w:type="spellEnd"/>
      <w:r w:rsidR="00DE2F3A">
        <w:t xml:space="preserve">, </w:t>
      </w:r>
      <w:r w:rsidR="00BA7D25" w:rsidRPr="0006096F">
        <w:t>Husserl want</w:t>
      </w:r>
      <w:r w:rsidR="00DE2F3A">
        <w:t>s</w:t>
      </w:r>
      <w:r w:rsidR="00BA7D25" w:rsidRPr="0006096F">
        <w:t xml:space="preserve"> to develop a science that </w:t>
      </w:r>
      <w:r w:rsidR="00A0527F">
        <w:t>“</w:t>
      </w:r>
      <w:r w:rsidR="00BA7D25" w:rsidRPr="0006096F">
        <w:t xml:space="preserve">judges about &lt;its&gt; </w:t>
      </w:r>
      <w:proofErr w:type="spellStart"/>
      <w:r w:rsidR="00BA7D25" w:rsidRPr="0006096F">
        <w:t>apriori</w:t>
      </w:r>
      <w:proofErr w:type="spellEnd"/>
      <w:r w:rsidR="00BA7D25" w:rsidRPr="0006096F">
        <w:t xml:space="preserve"> possibilities and thus at the same time </w:t>
      </w:r>
      <w:r w:rsidR="00BA7D25" w:rsidRPr="0006096F">
        <w:rPr>
          <w:i/>
        </w:rPr>
        <w:t>prescribes rules</w:t>
      </w:r>
      <w:r w:rsidR="00BA7D25" w:rsidRPr="0006096F">
        <w:t xml:space="preserve"> a priori for actualities</w:t>
      </w:r>
      <w:r w:rsidR="00A0527F">
        <w:t>”</w:t>
      </w:r>
      <w:r w:rsidR="00BA7D25" w:rsidRPr="0006096F">
        <w:t xml:space="preserve"> (Husserl</w:t>
      </w:r>
      <w:r w:rsidR="00472D75">
        <w:t>,</w:t>
      </w:r>
      <w:r w:rsidR="00BA7D25" w:rsidRPr="0006096F">
        <w:t xml:space="preserve"> 1970</w:t>
      </w:r>
      <w:r w:rsidR="00472D75">
        <w:t>,</w:t>
      </w:r>
      <w:r w:rsidR="00FB4DD9">
        <w:t xml:space="preserve"> </w:t>
      </w:r>
      <w:r w:rsidR="00472D75">
        <w:t xml:space="preserve">p. </w:t>
      </w:r>
      <w:r w:rsidR="00BA7D25" w:rsidRPr="0006096F">
        <w:t>28</w:t>
      </w:r>
      <w:r w:rsidR="00376104">
        <w:t>; emphasis added</w:t>
      </w:r>
      <w:r w:rsidR="00BA7D25" w:rsidRPr="0006096F">
        <w:t>)</w:t>
      </w:r>
      <w:r w:rsidR="00376104">
        <w:t>.</w:t>
      </w:r>
      <w:r w:rsidR="00BA7D25" w:rsidRPr="0006096F">
        <w:t xml:space="preserve"> </w:t>
      </w:r>
      <w:r w:rsidRPr="0006096F">
        <w:t>The domain of concepts of interest to Husserl are</w:t>
      </w:r>
      <w:r w:rsidR="00DE2F3A">
        <w:t xml:space="preserve"> primarily</w:t>
      </w:r>
      <w:r w:rsidRPr="0006096F">
        <w:t xml:space="preserve"> those that filled with human purposes. </w:t>
      </w:r>
      <w:r w:rsidR="00DE2F3A">
        <w:t xml:space="preserve">These are the kind of concepts that can profit from an </w:t>
      </w:r>
      <w:r w:rsidR="00DE2F3A">
        <w:rPr>
          <w:i/>
          <w:iCs/>
        </w:rPr>
        <w:t>a priori “</w:t>
      </w:r>
      <w:r w:rsidR="00DE2F3A">
        <w:t xml:space="preserve">rule.” </w:t>
      </w:r>
      <w:r w:rsidRPr="0006096F">
        <w:t xml:space="preserve">Even concepts such as </w:t>
      </w:r>
      <w:r w:rsidRPr="0006096F">
        <w:rPr>
          <w:i/>
        </w:rPr>
        <w:t>belief</w:t>
      </w:r>
      <w:r w:rsidRPr="0006096F">
        <w:t xml:space="preserve">, </w:t>
      </w:r>
      <w:r w:rsidRPr="0006096F">
        <w:rPr>
          <w:i/>
        </w:rPr>
        <w:t>perception</w:t>
      </w:r>
      <w:r w:rsidRPr="0006096F">
        <w:t xml:space="preserve">, </w:t>
      </w:r>
      <w:r w:rsidRPr="0006096F">
        <w:rPr>
          <w:i/>
        </w:rPr>
        <w:t>will</w:t>
      </w:r>
      <w:r w:rsidRPr="0006096F">
        <w:t xml:space="preserve">, and </w:t>
      </w:r>
      <w:r w:rsidRPr="0006096F">
        <w:rPr>
          <w:i/>
        </w:rPr>
        <w:t>imagination</w:t>
      </w:r>
      <w:r w:rsidRPr="0006096F">
        <w:t xml:space="preserve">, concepts that greatly occupied Husserl, are </w:t>
      </w:r>
      <w:r w:rsidR="00E1014B">
        <w:t xml:space="preserve">concerned with </w:t>
      </w:r>
      <w:r w:rsidRPr="0006096F">
        <w:t xml:space="preserve">things that we </w:t>
      </w:r>
      <w:r w:rsidRPr="0006096F">
        <w:rPr>
          <w:i/>
        </w:rPr>
        <w:t>do</w:t>
      </w:r>
      <w:r w:rsidRPr="0006096F">
        <w:t>, and do well or poorly.</w:t>
      </w:r>
      <w:r w:rsidR="009A3E9F" w:rsidRPr="0006096F">
        <w:rPr>
          <w:rStyle w:val="FootnoteReference"/>
        </w:rPr>
        <w:footnoteReference w:id="32"/>
      </w:r>
      <w:r w:rsidR="009A3E9F" w:rsidRPr="0006096F">
        <w:t xml:space="preserve"> </w:t>
      </w:r>
      <w:r w:rsidRPr="0006096F">
        <w:t xml:space="preserve"> An eidetic variation involving these concepts is an attempt to yield a clear and determinate </w:t>
      </w:r>
      <w:r w:rsidRPr="0006096F">
        <w:rPr>
          <w:i/>
        </w:rPr>
        <w:t>standard</w:t>
      </w:r>
      <w:r w:rsidRPr="0006096F">
        <w:t xml:space="preserve"> for these activities</w:t>
      </w:r>
      <w:r w:rsidR="00081F16" w:rsidRPr="0006096F">
        <w:t>,</w:t>
      </w:r>
      <w:r w:rsidR="00DE2F3A">
        <w:t xml:space="preserve"> rather than an empirical description.</w:t>
      </w:r>
      <w:r w:rsidR="00081F16" w:rsidRPr="0006096F">
        <w:t xml:space="preserve"> </w:t>
      </w:r>
      <w:r w:rsidRPr="0006096F">
        <w:t>Since this standard prescribes a norm, it cannot be simply derived from these activities as we happen to perform them. Imagination and fiction do just as well to determine what each activity is as</w:t>
      </w:r>
      <w:r w:rsidR="00924FFF" w:rsidRPr="0006096F">
        <w:t xml:space="preserve"> </w:t>
      </w:r>
      <w:r w:rsidRPr="0006096F">
        <w:t>successfully carried out.</w:t>
      </w:r>
      <w:r w:rsidR="009A3E9F" w:rsidRPr="0006096F">
        <w:rPr>
          <w:rStyle w:val="FootnoteReference"/>
        </w:rPr>
        <w:footnoteReference w:id="33"/>
      </w:r>
      <w:r w:rsidR="00DE2F3A">
        <w:t xml:space="preserve"> Even these “descriptive” endeavors can have a “normative” conceptual upshot.</w:t>
      </w:r>
    </w:p>
    <w:p w14:paraId="34E2F024" w14:textId="77777777" w:rsidR="00375145" w:rsidRPr="0006096F" w:rsidRDefault="00375145" w:rsidP="00B95D2D">
      <w:r w:rsidRPr="0006096F">
        <w:t xml:space="preserve">But </w:t>
      </w:r>
      <w:r w:rsidR="00C265CB" w:rsidRPr="0006096F">
        <w:t xml:space="preserve">the </w:t>
      </w:r>
      <w:proofErr w:type="spellStart"/>
      <w:r w:rsidR="00C265CB" w:rsidRPr="0006096F">
        <w:t>essentialistic</w:t>
      </w:r>
      <w:proofErr w:type="spellEnd"/>
      <w:r w:rsidR="00C265CB" w:rsidRPr="0006096F">
        <w:t xml:space="preserve"> dimension of Husserl’s conception of pure concepts is just as important as the normative one. Even if Husserl’s theory of pure concepts is</w:t>
      </w:r>
      <w:r w:rsidR="00BA7D25" w:rsidRPr="0006096F">
        <w:t xml:space="preserve"> most</w:t>
      </w:r>
      <w:r w:rsidR="00C265CB" w:rsidRPr="0006096F">
        <w:t xml:space="preserve"> applicable </w:t>
      </w:r>
      <w:r w:rsidR="00BA7D25" w:rsidRPr="0006096F">
        <w:t xml:space="preserve">in the domain of human purposes, </w:t>
      </w:r>
      <w:r w:rsidR="00E710A8" w:rsidRPr="0006096F">
        <w:t xml:space="preserve">it is not always easy to disentangle </w:t>
      </w:r>
      <w:r w:rsidR="00924FFF" w:rsidRPr="0006096F">
        <w:t>each</w:t>
      </w:r>
      <w:r w:rsidR="00E710A8" w:rsidRPr="0006096F">
        <w:t xml:space="preserve"> purpose from one another</w:t>
      </w:r>
      <w:r w:rsidR="00BA7D25" w:rsidRPr="0006096F">
        <w:t xml:space="preserve">. Is something an </w:t>
      </w:r>
      <w:r w:rsidR="00BA7D25" w:rsidRPr="0006096F">
        <w:rPr>
          <w:i/>
        </w:rPr>
        <w:t>action</w:t>
      </w:r>
      <w:r w:rsidR="00BA7D25" w:rsidRPr="0006096F">
        <w:t xml:space="preserve"> or a mere </w:t>
      </w:r>
      <w:r w:rsidR="00BA7D25" w:rsidRPr="0006096F">
        <w:rPr>
          <w:i/>
        </w:rPr>
        <w:t>happening</w:t>
      </w:r>
      <w:r w:rsidR="00BA7D25" w:rsidRPr="0006096F">
        <w:t xml:space="preserve">? Do I </w:t>
      </w:r>
      <w:r w:rsidR="00BA7D25" w:rsidRPr="0006096F">
        <w:rPr>
          <w:i/>
        </w:rPr>
        <w:t>believe</w:t>
      </w:r>
      <w:r w:rsidR="00BA7D25" w:rsidRPr="0006096F">
        <w:t xml:space="preserve"> </w:t>
      </w:r>
      <w:r w:rsidR="00BA7D25" w:rsidRPr="0006096F">
        <w:rPr>
          <w:i/>
        </w:rPr>
        <w:t>p</w:t>
      </w:r>
      <w:r w:rsidR="00BA7D25" w:rsidRPr="0006096F">
        <w:t xml:space="preserve">, </w:t>
      </w:r>
      <w:r w:rsidR="00BA7D25" w:rsidRPr="0006096F">
        <w:rPr>
          <w:i/>
        </w:rPr>
        <w:t>accept p</w:t>
      </w:r>
      <w:r w:rsidR="00BA7D25" w:rsidRPr="0006096F">
        <w:t>, or</w:t>
      </w:r>
      <w:r w:rsidR="00081F16" w:rsidRPr="0006096F">
        <w:t xml:space="preserve"> merely</w:t>
      </w:r>
      <w:r w:rsidR="00BA7D25" w:rsidRPr="0006096F">
        <w:t xml:space="preserve"> </w:t>
      </w:r>
      <w:r w:rsidR="00081F16" w:rsidRPr="0006096F">
        <w:rPr>
          <w:i/>
        </w:rPr>
        <w:t>suppose</w:t>
      </w:r>
      <w:r w:rsidR="00BA7D25" w:rsidRPr="0006096F">
        <w:t xml:space="preserve"> </w:t>
      </w:r>
      <w:r w:rsidR="00BA7D25" w:rsidRPr="0006096F">
        <w:rPr>
          <w:i/>
        </w:rPr>
        <w:t>p</w:t>
      </w:r>
      <w:r w:rsidR="00BA7D25" w:rsidRPr="0006096F">
        <w:t xml:space="preserve">? </w:t>
      </w:r>
      <w:r w:rsidR="00924FFF" w:rsidRPr="0006096F">
        <w:t xml:space="preserve">What would be entailed by calling something one or the other? </w:t>
      </w:r>
      <w:r w:rsidR="00BA7D25" w:rsidRPr="0006096F">
        <w:t xml:space="preserve">Even if there is a dimension of construction or stipulation in our concepts of human purposes, the consistency </w:t>
      </w:r>
      <w:r w:rsidR="00BA7D25" w:rsidRPr="0006096F">
        <w:lastRenderedPageBreak/>
        <w:t>and clarity</w:t>
      </w:r>
      <w:r w:rsidR="00376104">
        <w:t xml:space="preserve"> of these concepts</w:t>
      </w:r>
      <w:r w:rsidR="00BA7D25" w:rsidRPr="0006096F">
        <w:t xml:space="preserve"> is not given by stipulation</w:t>
      </w:r>
      <w:r w:rsidR="00DE2F3A">
        <w:t xml:space="preserve"> </w:t>
      </w:r>
      <w:r w:rsidR="00BA7D25" w:rsidRPr="0006096F">
        <w:t xml:space="preserve">but requires considering a wide variety of cases that test putative essential features of our concepts. This, of course, is often what thought experiments have </w:t>
      </w:r>
      <w:r w:rsidR="00924FFF" w:rsidRPr="0006096F">
        <w:t xml:space="preserve">been meant to </w:t>
      </w:r>
      <w:r w:rsidR="00E710A8" w:rsidRPr="0006096F">
        <w:t xml:space="preserve">achieve </w:t>
      </w:r>
      <w:r w:rsidR="00BA7D25" w:rsidRPr="0006096F">
        <w:t xml:space="preserve">in analytic philosophy: </w:t>
      </w:r>
      <w:r w:rsidR="00DE2F3A">
        <w:t>“</w:t>
      </w:r>
      <w:r w:rsidR="00BA7D25" w:rsidRPr="0006096F">
        <w:t>Frankfurt cases</w:t>
      </w:r>
      <w:r w:rsidR="00DE2F3A">
        <w:t>”</w:t>
      </w:r>
      <w:r w:rsidR="00BA7D25" w:rsidRPr="0006096F">
        <w:t xml:space="preserve"> have questioned whether </w:t>
      </w:r>
      <w:r w:rsidR="00BA7D25" w:rsidRPr="0006096F">
        <w:rPr>
          <w:i/>
        </w:rPr>
        <w:t xml:space="preserve">alternative possibilities </w:t>
      </w:r>
      <w:r w:rsidR="00BA7D25" w:rsidRPr="0006096F">
        <w:t xml:space="preserve">is a necessary feature of </w:t>
      </w:r>
      <w:r w:rsidR="00BA7D25" w:rsidRPr="0006096F">
        <w:rPr>
          <w:i/>
        </w:rPr>
        <w:t>responsible action</w:t>
      </w:r>
      <w:r w:rsidR="00BA7D25" w:rsidRPr="0006096F">
        <w:t xml:space="preserve">; </w:t>
      </w:r>
      <w:r w:rsidR="00DE2F3A">
        <w:t>“</w:t>
      </w:r>
      <w:r w:rsidR="00BA7D25" w:rsidRPr="0006096F">
        <w:t>Gettier case</w:t>
      </w:r>
      <w:r w:rsidR="00DE2F3A">
        <w:t>”</w:t>
      </w:r>
      <w:r w:rsidR="00BA7D25" w:rsidRPr="0006096F">
        <w:t xml:space="preserve"> challenge whether the </w:t>
      </w:r>
      <w:r w:rsidR="00DE2F3A">
        <w:t>“</w:t>
      </w:r>
      <w:r w:rsidR="00BA7D25" w:rsidRPr="0006096F">
        <w:t>justified true belief</w:t>
      </w:r>
      <w:r w:rsidR="00DE2F3A">
        <w:t>”</w:t>
      </w:r>
      <w:r w:rsidR="00BA7D25" w:rsidRPr="0006096F">
        <w:t xml:space="preserve"> analysis of knowledge is sufficient; </w:t>
      </w:r>
      <w:r w:rsidR="00945055" w:rsidRPr="0006096F">
        <w:t xml:space="preserve">Derek </w:t>
      </w:r>
      <w:proofErr w:type="spellStart"/>
      <w:r w:rsidR="00BA7D25" w:rsidRPr="0006096F">
        <w:t>Parfit’s</w:t>
      </w:r>
      <w:proofErr w:type="spellEnd"/>
      <w:r w:rsidR="00BA7D25" w:rsidRPr="0006096F">
        <w:t xml:space="preserve"> fission cases question whether </w:t>
      </w:r>
      <w:r w:rsidR="00BA7D25" w:rsidRPr="0006096F">
        <w:rPr>
          <w:i/>
        </w:rPr>
        <w:t>identity</w:t>
      </w:r>
      <w:r w:rsidR="00BA7D25" w:rsidRPr="0006096F">
        <w:t xml:space="preserve"> can be ascribed to our concept of </w:t>
      </w:r>
      <w:r w:rsidR="00BA7D25" w:rsidRPr="0006096F">
        <w:rPr>
          <w:i/>
        </w:rPr>
        <w:t>person</w:t>
      </w:r>
      <w:r w:rsidR="00BA7D25" w:rsidRPr="0006096F">
        <w:t xml:space="preserve">. </w:t>
      </w:r>
      <w:r w:rsidR="0060540A" w:rsidRPr="0006096F">
        <w:t>Husserl’s method of eidetic variation is a way of vindicating the use of imagination and counterfactua</w:t>
      </w:r>
      <w:r w:rsidR="00945055" w:rsidRPr="0006096F">
        <w:t>l cases</w:t>
      </w:r>
      <w:r w:rsidR="0060540A" w:rsidRPr="0006096F">
        <w:t xml:space="preserve"> to test the determinations of a concept in mu</w:t>
      </w:r>
      <w:r w:rsidR="00DE2F3A">
        <w:t>c</w:t>
      </w:r>
      <w:r w:rsidR="0060540A" w:rsidRPr="0006096F">
        <w:t>h the same way. For Husserl, these cases are not merely ways to extend concepts that we first derive from empirical reality to a realm of imaginative possibility in which they may or may not find application; rather imagination</w:t>
      </w:r>
      <w:r w:rsidR="00081F16" w:rsidRPr="0006096F">
        <w:t xml:space="preserve"> </w:t>
      </w:r>
      <w:r w:rsidR="0060540A" w:rsidRPr="0006096F">
        <w:t xml:space="preserve">or eidetic variation plays a role in </w:t>
      </w:r>
      <w:r w:rsidR="0060540A" w:rsidRPr="0006096F">
        <w:rPr>
          <w:i/>
        </w:rPr>
        <w:t xml:space="preserve">constituting </w:t>
      </w:r>
      <w:r w:rsidR="0060540A" w:rsidRPr="0006096F">
        <w:t xml:space="preserve">pure concepts, giving them the essential determinations they must </w:t>
      </w:r>
      <w:r w:rsidR="00924FFF" w:rsidRPr="0006096F">
        <w:t>posse</w:t>
      </w:r>
      <w:r w:rsidR="00765289" w:rsidRPr="0006096F">
        <w:t>s</w:t>
      </w:r>
      <w:r w:rsidR="00924FFF" w:rsidRPr="0006096F">
        <w:t>s</w:t>
      </w:r>
      <w:r w:rsidR="0060540A" w:rsidRPr="0006096F">
        <w:t xml:space="preserve"> to be clear and determinate at all.</w:t>
      </w:r>
      <w:r w:rsidRPr="0006096F">
        <w:t xml:space="preserve"> Once pure concepts are clearly understood in an ideal </w:t>
      </w:r>
      <w:r w:rsidR="00DE2F3A">
        <w:t>“</w:t>
      </w:r>
      <w:r w:rsidRPr="0006096F">
        <w:t>eidetic</w:t>
      </w:r>
      <w:r w:rsidR="00DE2F3A">
        <w:t>”</w:t>
      </w:r>
      <w:r w:rsidRPr="0006096F">
        <w:t xml:space="preserve"> context, they can be put to a clearer use in ordinary</w:t>
      </w:r>
      <w:r w:rsidR="00924FFF" w:rsidRPr="0006096F">
        <w:t xml:space="preserve"> or</w:t>
      </w:r>
      <w:r w:rsidRPr="0006096F">
        <w:t xml:space="preserve"> scientific endeavors.</w:t>
      </w:r>
      <w:r w:rsidRPr="0006096F">
        <w:rPr>
          <w:rStyle w:val="FootnoteReference"/>
        </w:rPr>
        <w:footnoteReference w:id="34"/>
      </w:r>
      <w:r w:rsidRPr="0006096F">
        <w:t xml:space="preserve"> </w:t>
      </w:r>
    </w:p>
    <w:p w14:paraId="01235CCA" w14:textId="77777777" w:rsidR="00375145" w:rsidRDefault="00375145" w:rsidP="00B95D2D">
      <w:r w:rsidRPr="0006096F">
        <w:t xml:space="preserve">Regardless of the independent interest </w:t>
      </w:r>
      <w:r w:rsidR="00EC223B">
        <w:t>of</w:t>
      </w:r>
      <w:r w:rsidRPr="0006096F">
        <w:t xml:space="preserve"> Husserl’s theory of pure concepts, I believe the </w:t>
      </w:r>
      <w:r w:rsidR="004A569E" w:rsidRPr="0006096F">
        <w:t>notion of the amphiboly of pure and empirical concepts, developed using Husserl’s views, is a useful theoretical resource both in and outside of phenomenology</w:t>
      </w:r>
      <w:r w:rsidR="00945055" w:rsidRPr="0006096F">
        <w:t xml:space="preserve"> proper</w:t>
      </w:r>
      <w:r w:rsidR="004A569E" w:rsidRPr="0006096F">
        <w:t xml:space="preserve">. Philosophers often leave unclarified the second-order attributes of concepts they </w:t>
      </w:r>
      <w:r w:rsidR="00C914BB" w:rsidRPr="0006096F">
        <w:t>employ</w:t>
      </w:r>
      <w:r w:rsidR="004A569E" w:rsidRPr="0006096F">
        <w:t xml:space="preserve">, especially since a clear conception of the nature of non-empirical concepts has often been lacking. In some cases, disputes on a topic may be prolongated by a failure to disambiguate the source of our concepts, </w:t>
      </w:r>
      <w:r w:rsidR="004A569E" w:rsidRPr="0006096F">
        <w:lastRenderedPageBreak/>
        <w:t>or to suppose complacently that different philosophers merely attend to different dimensions of the same concept.</w:t>
      </w:r>
      <w:r w:rsidR="004A569E" w:rsidRPr="0006096F">
        <w:rPr>
          <w:rStyle w:val="FootnoteReference"/>
        </w:rPr>
        <w:footnoteReference w:id="35"/>
      </w:r>
      <w:r w:rsidR="004A569E" w:rsidRPr="0006096F">
        <w:t xml:space="preserve"> The notion of amphiboly helps explain why philosophers may be tempted to confuse pure material concepts with empirical ones, and what they may do to avoid such confusion.</w:t>
      </w:r>
    </w:p>
    <w:p w14:paraId="44AB5E57" w14:textId="77777777" w:rsidR="006E62E9" w:rsidRDefault="006E62E9" w:rsidP="00B95D2D"/>
    <w:p w14:paraId="7D4F08D8" w14:textId="77777777" w:rsidR="006E62E9" w:rsidRDefault="006E62E9" w:rsidP="006E62E9">
      <w:pPr>
        <w:ind w:firstLine="0"/>
        <w:rPr>
          <w:b/>
          <w:bCs/>
        </w:rPr>
      </w:pPr>
      <w:r>
        <w:rPr>
          <w:b/>
          <w:bCs/>
        </w:rPr>
        <w:t>Acknowledgements</w:t>
      </w:r>
    </w:p>
    <w:p w14:paraId="5C133895" w14:textId="77777777" w:rsidR="007E66ED" w:rsidRDefault="006E62E9" w:rsidP="006E62E9">
      <w:pPr>
        <w:ind w:firstLine="0"/>
      </w:pPr>
      <w:r>
        <w:t xml:space="preserve">I would like to thank Sebastian </w:t>
      </w:r>
      <w:proofErr w:type="spellStart"/>
      <w:r>
        <w:t>Luft</w:t>
      </w:r>
      <w:proofErr w:type="spellEnd"/>
      <w:r>
        <w:t xml:space="preserve"> </w:t>
      </w:r>
      <w:r w:rsidR="00A576FC">
        <w:t xml:space="preserve">for helpful feedback and encouragement on an earlier draft of this paper. </w:t>
      </w:r>
      <w:proofErr w:type="gramStart"/>
      <w:r w:rsidR="00A576FC">
        <w:t>Thanks</w:t>
      </w:r>
      <w:proofErr w:type="gramEnd"/>
      <w:r w:rsidR="00A576FC">
        <w:t xml:space="preserve"> are also due to</w:t>
      </w:r>
      <w:r>
        <w:t xml:space="preserve"> participants at the Loyola-Marquette Phenomenology workshop </w:t>
      </w:r>
      <w:r w:rsidR="00A576FC">
        <w:t>to a</w:t>
      </w:r>
      <w:r>
        <w:t xml:space="preserve">n anonymous referee for this Journal for useful comments. </w:t>
      </w:r>
    </w:p>
    <w:p w14:paraId="686E9E8B" w14:textId="77777777" w:rsidR="006E62E9" w:rsidRPr="0006096F" w:rsidRDefault="006E62E9" w:rsidP="006E62E9">
      <w:pPr>
        <w:ind w:firstLine="0"/>
      </w:pPr>
    </w:p>
    <w:p w14:paraId="76C52258" w14:textId="77777777" w:rsidR="00830AA2" w:rsidRPr="0006096F" w:rsidRDefault="00830AA2" w:rsidP="00B95D2D">
      <w:pPr>
        <w:pStyle w:val="Heading1"/>
      </w:pPr>
      <w:r w:rsidRPr="0006096F">
        <w:t>References</w:t>
      </w:r>
    </w:p>
    <w:p w14:paraId="03C380BC" w14:textId="77777777" w:rsidR="00125D8F" w:rsidRDefault="00125D8F" w:rsidP="00B56D9B">
      <w:pPr>
        <w:ind w:left="720" w:hanging="720"/>
      </w:pPr>
      <w:proofErr w:type="spellStart"/>
      <w:r>
        <w:t>Cappelen</w:t>
      </w:r>
      <w:proofErr w:type="spellEnd"/>
      <w:r>
        <w:t>,</w:t>
      </w:r>
      <w:r w:rsidR="00F2721B">
        <w:t xml:space="preserve"> H</w:t>
      </w:r>
      <w:r>
        <w:t xml:space="preserve">. </w:t>
      </w:r>
      <w:r w:rsidR="00F2721B">
        <w:t>(</w:t>
      </w:r>
      <w:r>
        <w:t>2018</w:t>
      </w:r>
      <w:r w:rsidR="00F2721B">
        <w:t>)</w:t>
      </w:r>
      <w:r w:rsidR="00472D75">
        <w:t>.</w:t>
      </w:r>
      <w:r>
        <w:t xml:space="preserve"> </w:t>
      </w:r>
      <w:r>
        <w:rPr>
          <w:i/>
          <w:iCs/>
        </w:rPr>
        <w:t xml:space="preserve">Fixing </w:t>
      </w:r>
      <w:r w:rsidR="00472D75">
        <w:rPr>
          <w:i/>
          <w:iCs/>
        </w:rPr>
        <w:t>l</w:t>
      </w:r>
      <w:r>
        <w:rPr>
          <w:i/>
          <w:iCs/>
        </w:rPr>
        <w:t xml:space="preserve">anguage: An </w:t>
      </w:r>
      <w:r w:rsidR="00472D75">
        <w:rPr>
          <w:i/>
          <w:iCs/>
        </w:rPr>
        <w:t>e</w:t>
      </w:r>
      <w:r>
        <w:rPr>
          <w:i/>
          <w:iCs/>
        </w:rPr>
        <w:t xml:space="preserve">ssay on </w:t>
      </w:r>
      <w:r w:rsidR="00472D75">
        <w:rPr>
          <w:i/>
          <w:iCs/>
        </w:rPr>
        <w:t>c</w:t>
      </w:r>
      <w:r>
        <w:rPr>
          <w:i/>
          <w:iCs/>
        </w:rPr>
        <w:t xml:space="preserve">onceptual </w:t>
      </w:r>
      <w:r w:rsidR="00472D75">
        <w:rPr>
          <w:i/>
          <w:iCs/>
        </w:rPr>
        <w:t>e</w:t>
      </w:r>
      <w:r>
        <w:rPr>
          <w:i/>
          <w:iCs/>
        </w:rPr>
        <w:t>ngineering.</w:t>
      </w:r>
      <w:r>
        <w:t xml:space="preserve"> Oxford: Oxford University Press. </w:t>
      </w:r>
    </w:p>
    <w:p w14:paraId="7E2E5C06" w14:textId="77777777" w:rsidR="00125D8F" w:rsidRPr="00125D8F" w:rsidRDefault="00125D8F" w:rsidP="00125D8F">
      <w:pPr>
        <w:ind w:left="720" w:hanging="720"/>
      </w:pPr>
      <w:proofErr w:type="spellStart"/>
      <w:r w:rsidRPr="00125D8F">
        <w:t>Cappelen</w:t>
      </w:r>
      <w:proofErr w:type="spellEnd"/>
      <w:r w:rsidRPr="00125D8F">
        <w:t xml:space="preserve">, </w:t>
      </w:r>
      <w:r w:rsidR="00F2721B">
        <w:t xml:space="preserve">H., D. </w:t>
      </w:r>
      <w:r w:rsidR="00531CAD">
        <w:t>Plunkett</w:t>
      </w:r>
      <w:r w:rsidR="00F2721B">
        <w:t xml:space="preserve">, and </w:t>
      </w:r>
      <w:r w:rsidR="00531CAD">
        <w:t>A</w:t>
      </w:r>
      <w:r w:rsidR="00F2721B">
        <w:t>.</w:t>
      </w:r>
      <w:r w:rsidR="00531CAD">
        <w:t xml:space="preserve"> Burgess (</w:t>
      </w:r>
      <w:r w:rsidR="000C6CC3">
        <w:t>Eds.</w:t>
      </w:r>
      <w:r w:rsidRPr="00125D8F">
        <w:t xml:space="preserve">) </w:t>
      </w:r>
      <w:r w:rsidR="00F2721B">
        <w:t>(</w:t>
      </w:r>
      <w:r w:rsidRPr="00125D8F">
        <w:t>2020</w:t>
      </w:r>
      <w:r w:rsidR="00F2721B">
        <w:t>)</w:t>
      </w:r>
      <w:r w:rsidR="00472D75">
        <w:t>.</w:t>
      </w:r>
      <w:r w:rsidRPr="00125D8F">
        <w:t> </w:t>
      </w:r>
      <w:r w:rsidRPr="00125D8F">
        <w:rPr>
          <w:i/>
          <w:iCs/>
        </w:rPr>
        <w:t xml:space="preserve">Conceptual </w:t>
      </w:r>
      <w:r w:rsidR="00472D75">
        <w:rPr>
          <w:i/>
          <w:iCs/>
        </w:rPr>
        <w:t>e</w:t>
      </w:r>
      <w:r w:rsidRPr="00125D8F">
        <w:rPr>
          <w:i/>
          <w:iCs/>
        </w:rPr>
        <w:t xml:space="preserve">ngineering and </w:t>
      </w:r>
      <w:r w:rsidR="00472D75">
        <w:rPr>
          <w:i/>
          <w:iCs/>
        </w:rPr>
        <w:t>c</w:t>
      </w:r>
      <w:r w:rsidRPr="00125D8F">
        <w:rPr>
          <w:i/>
          <w:iCs/>
        </w:rPr>
        <w:t xml:space="preserve">onceptual </w:t>
      </w:r>
      <w:r w:rsidR="00472D75">
        <w:rPr>
          <w:i/>
          <w:iCs/>
        </w:rPr>
        <w:t>e</w:t>
      </w:r>
      <w:r w:rsidRPr="00125D8F">
        <w:rPr>
          <w:i/>
          <w:iCs/>
        </w:rPr>
        <w:t>thics</w:t>
      </w:r>
      <w:r w:rsidRPr="00125D8F">
        <w:t>. New York, USA: Oxford University Press.</w:t>
      </w:r>
    </w:p>
    <w:p w14:paraId="538D4711" w14:textId="77777777" w:rsidR="00B07AB2" w:rsidRPr="0006096F" w:rsidRDefault="00B07AB2" w:rsidP="00B56D9B">
      <w:pPr>
        <w:ind w:left="720" w:hanging="720"/>
      </w:pPr>
      <w:r w:rsidRPr="0006096F">
        <w:t xml:space="preserve">de Boer, </w:t>
      </w:r>
      <w:r w:rsidR="00614993" w:rsidRPr="0006096F">
        <w:t>K</w:t>
      </w:r>
      <w:r w:rsidR="00DE2F3A">
        <w:t>.</w:t>
      </w:r>
      <w:r w:rsidR="00A64DF4" w:rsidRPr="0006096F">
        <w:t xml:space="preserve"> </w:t>
      </w:r>
      <w:r w:rsidR="00F2721B">
        <w:t>(</w:t>
      </w:r>
      <w:r w:rsidR="00A64DF4" w:rsidRPr="0006096F">
        <w:t>2010</w:t>
      </w:r>
      <w:r w:rsidR="00F2721B">
        <w:t>)</w:t>
      </w:r>
      <w:r w:rsidR="00472D75">
        <w:t>.</w:t>
      </w:r>
      <w:r w:rsidR="00DE2F3A">
        <w:t xml:space="preserve"> </w:t>
      </w:r>
      <w:r w:rsidRPr="0006096F">
        <w:t xml:space="preserve">Pure </w:t>
      </w:r>
      <w:r w:rsidR="00472D75">
        <w:t>r</w:t>
      </w:r>
      <w:r w:rsidRPr="0006096F">
        <w:t xml:space="preserve">eason’s </w:t>
      </w:r>
      <w:r w:rsidR="00472D75">
        <w:t>e</w:t>
      </w:r>
      <w:r w:rsidRPr="0006096F">
        <w:t xml:space="preserve">nlightenment: Transcendental </w:t>
      </w:r>
      <w:r w:rsidR="00472D75">
        <w:t>r</w:t>
      </w:r>
      <w:r w:rsidRPr="0006096F">
        <w:t xml:space="preserve">eflection in Kant’s </w:t>
      </w:r>
      <w:r w:rsidR="00472D75">
        <w:t>f</w:t>
      </w:r>
      <w:r w:rsidRPr="0006096F">
        <w:t>irst Critique</w:t>
      </w:r>
      <w:r w:rsidR="00472D75">
        <w:t>.</w:t>
      </w:r>
      <w:r w:rsidRPr="0006096F">
        <w:t xml:space="preserve"> </w:t>
      </w:r>
      <w:r w:rsidRPr="0006096F">
        <w:rPr>
          <w:i/>
          <w:iCs/>
        </w:rPr>
        <w:t>Kant Yearbook</w:t>
      </w:r>
      <w:r w:rsidRPr="0006096F">
        <w:t> 2</w:t>
      </w:r>
      <w:r w:rsidR="00DE2F3A">
        <w:t>:</w:t>
      </w:r>
      <w:r w:rsidRPr="0006096F">
        <w:t> </w:t>
      </w:r>
      <w:r w:rsidR="00731780" w:rsidRPr="0006096F">
        <w:t>53</w:t>
      </w:r>
      <w:r w:rsidR="00643909">
        <w:t>–</w:t>
      </w:r>
      <w:r w:rsidR="00731780" w:rsidRPr="0006096F">
        <w:t>73.</w:t>
      </w:r>
    </w:p>
    <w:p w14:paraId="6DEC3ECD" w14:textId="77777777" w:rsidR="00057E8E" w:rsidRPr="0006096F" w:rsidRDefault="00057E8E" w:rsidP="00B56D9B">
      <w:pPr>
        <w:ind w:left="720" w:hanging="720"/>
      </w:pPr>
      <w:r w:rsidRPr="0006096F">
        <w:t>Fink, E</w:t>
      </w:r>
      <w:r w:rsidR="00DE2F3A">
        <w:t>.</w:t>
      </w:r>
      <w:r w:rsidR="00945055" w:rsidRPr="0006096F">
        <w:t xml:space="preserve"> </w:t>
      </w:r>
      <w:r w:rsidR="00F2721B">
        <w:t>(</w:t>
      </w:r>
      <w:r w:rsidRPr="0006096F">
        <w:t>1995</w:t>
      </w:r>
      <w:r w:rsidR="00F2721B">
        <w:t>)</w:t>
      </w:r>
      <w:r w:rsidR="00472D75">
        <w:t>.</w:t>
      </w:r>
      <w:r w:rsidR="00F2721B">
        <w:t xml:space="preserve"> </w:t>
      </w:r>
      <w:r w:rsidRPr="0006096F">
        <w:rPr>
          <w:i/>
        </w:rPr>
        <w:t xml:space="preserve">Sixth </w:t>
      </w:r>
      <w:r w:rsidR="00472D75">
        <w:rPr>
          <w:i/>
        </w:rPr>
        <w:t>c</w:t>
      </w:r>
      <w:r w:rsidRPr="0006096F">
        <w:rPr>
          <w:i/>
        </w:rPr>
        <w:t xml:space="preserve">artesian </w:t>
      </w:r>
      <w:r w:rsidR="00472D75">
        <w:rPr>
          <w:i/>
        </w:rPr>
        <w:t>m</w:t>
      </w:r>
      <w:r w:rsidRPr="0006096F">
        <w:rPr>
          <w:i/>
        </w:rPr>
        <w:t xml:space="preserve">editation: The </w:t>
      </w:r>
      <w:r w:rsidR="00472D75">
        <w:rPr>
          <w:i/>
        </w:rPr>
        <w:t>i</w:t>
      </w:r>
      <w:r w:rsidRPr="0006096F">
        <w:rPr>
          <w:i/>
        </w:rPr>
        <w:t xml:space="preserve">dea of a </w:t>
      </w:r>
      <w:r w:rsidR="00472D75">
        <w:rPr>
          <w:i/>
        </w:rPr>
        <w:t>t</w:t>
      </w:r>
      <w:r w:rsidRPr="0006096F">
        <w:rPr>
          <w:i/>
        </w:rPr>
        <w:t xml:space="preserve">ranscendental </w:t>
      </w:r>
      <w:r w:rsidR="00472D75">
        <w:rPr>
          <w:i/>
        </w:rPr>
        <w:t>t</w:t>
      </w:r>
      <w:r w:rsidRPr="0006096F">
        <w:rPr>
          <w:i/>
        </w:rPr>
        <w:t xml:space="preserve">heory of </w:t>
      </w:r>
      <w:r w:rsidR="00472D75">
        <w:rPr>
          <w:i/>
        </w:rPr>
        <w:t>m</w:t>
      </w:r>
      <w:r w:rsidRPr="0006096F">
        <w:rPr>
          <w:i/>
        </w:rPr>
        <w:t>ethod</w:t>
      </w:r>
      <w:r w:rsidR="00A64DF4" w:rsidRPr="0006096F">
        <w:rPr>
          <w:i/>
        </w:rPr>
        <w:t>.</w:t>
      </w:r>
      <w:r w:rsidR="00A64DF4" w:rsidRPr="0006096F">
        <w:t xml:space="preserve"> Trans</w:t>
      </w:r>
      <w:r w:rsidR="00F2721B">
        <w:t>lated by</w:t>
      </w:r>
      <w:r w:rsidR="00A64DF4" w:rsidRPr="0006096F">
        <w:t xml:space="preserve"> </w:t>
      </w:r>
      <w:r w:rsidRPr="0006096F">
        <w:t>R</w:t>
      </w:r>
      <w:r w:rsidR="00F2721B">
        <w:t>.</w:t>
      </w:r>
      <w:r w:rsidR="00A64DF4" w:rsidRPr="0006096F">
        <w:t xml:space="preserve"> </w:t>
      </w:r>
      <w:proofErr w:type="spellStart"/>
      <w:r w:rsidRPr="0006096F">
        <w:t>Bruzina</w:t>
      </w:r>
      <w:proofErr w:type="spellEnd"/>
      <w:r w:rsidR="00A64DF4" w:rsidRPr="0006096F">
        <w:t xml:space="preserve">. </w:t>
      </w:r>
      <w:r w:rsidRPr="0006096F">
        <w:t>Bloomington, IN: Indiana University Press.</w:t>
      </w:r>
    </w:p>
    <w:p w14:paraId="1B322055" w14:textId="77777777" w:rsidR="00490F7B" w:rsidRPr="0006096F" w:rsidRDefault="00490F7B" w:rsidP="00B56D9B">
      <w:pPr>
        <w:ind w:left="720" w:hanging="720"/>
      </w:pPr>
      <w:proofErr w:type="spellStart"/>
      <w:r w:rsidRPr="0006096F">
        <w:lastRenderedPageBreak/>
        <w:t>Gendler</w:t>
      </w:r>
      <w:proofErr w:type="spellEnd"/>
      <w:r w:rsidRPr="0006096F">
        <w:t xml:space="preserve">, </w:t>
      </w:r>
      <w:r w:rsidR="00F2721B">
        <w:t>T. (</w:t>
      </w:r>
      <w:r w:rsidRPr="0006096F">
        <w:t>2000</w:t>
      </w:r>
      <w:r w:rsidR="00F2721B">
        <w:t>)</w:t>
      </w:r>
      <w:r w:rsidR="00472D75">
        <w:t>.</w:t>
      </w:r>
      <w:r w:rsidRPr="0006096F">
        <w:t xml:space="preserve"> </w:t>
      </w:r>
      <w:r w:rsidRPr="00125D8F">
        <w:rPr>
          <w:i/>
          <w:iCs/>
        </w:rPr>
        <w:t xml:space="preserve">Thought </w:t>
      </w:r>
      <w:r w:rsidR="00472D75">
        <w:rPr>
          <w:i/>
          <w:iCs/>
        </w:rPr>
        <w:t>e</w:t>
      </w:r>
      <w:r w:rsidRPr="00125D8F">
        <w:rPr>
          <w:i/>
          <w:iCs/>
        </w:rPr>
        <w:t xml:space="preserve">xperiment: On the </w:t>
      </w:r>
      <w:r w:rsidR="00472D75">
        <w:rPr>
          <w:i/>
          <w:iCs/>
        </w:rPr>
        <w:t>p</w:t>
      </w:r>
      <w:r w:rsidRPr="00125D8F">
        <w:rPr>
          <w:i/>
          <w:iCs/>
        </w:rPr>
        <w:t xml:space="preserve">ower and </w:t>
      </w:r>
      <w:r w:rsidR="00472D75">
        <w:rPr>
          <w:i/>
          <w:iCs/>
        </w:rPr>
        <w:t>l</w:t>
      </w:r>
      <w:r w:rsidRPr="00125D8F">
        <w:rPr>
          <w:i/>
          <w:iCs/>
        </w:rPr>
        <w:t xml:space="preserve">imits of </w:t>
      </w:r>
      <w:r w:rsidR="00472D75">
        <w:rPr>
          <w:i/>
          <w:iCs/>
        </w:rPr>
        <w:t>i</w:t>
      </w:r>
      <w:r w:rsidRPr="00125D8F">
        <w:rPr>
          <w:i/>
          <w:iCs/>
        </w:rPr>
        <w:t xml:space="preserve">maginary </w:t>
      </w:r>
      <w:r w:rsidR="00472D75">
        <w:rPr>
          <w:i/>
          <w:iCs/>
        </w:rPr>
        <w:t>c</w:t>
      </w:r>
      <w:r w:rsidRPr="00125D8F">
        <w:rPr>
          <w:i/>
          <w:iCs/>
        </w:rPr>
        <w:t>ases</w:t>
      </w:r>
      <w:r w:rsidRPr="0006096F">
        <w:t>. London: Routledge.</w:t>
      </w:r>
    </w:p>
    <w:p w14:paraId="6D0F190B" w14:textId="77777777" w:rsidR="005D01CC" w:rsidRPr="0006096F" w:rsidRDefault="00472D75" w:rsidP="00B56D9B">
      <w:pPr>
        <w:ind w:left="720" w:hanging="720"/>
      </w:pPr>
      <w:proofErr w:type="spellStart"/>
      <w:r>
        <w:t>Gendler</w:t>
      </w:r>
      <w:proofErr w:type="spellEnd"/>
      <w:r>
        <w:t xml:space="preserve">, T. </w:t>
      </w:r>
      <w:r w:rsidR="00F2721B">
        <w:t>(</w:t>
      </w:r>
      <w:r w:rsidR="005D01CC" w:rsidRPr="0006096F">
        <w:t>2002</w:t>
      </w:r>
      <w:r w:rsidR="00F2721B">
        <w:t>)</w:t>
      </w:r>
      <w:r>
        <w:t xml:space="preserve">. </w:t>
      </w:r>
      <w:r w:rsidR="005D01CC" w:rsidRPr="0006096F">
        <w:t xml:space="preserve">Personal </w:t>
      </w:r>
      <w:r>
        <w:t>i</w:t>
      </w:r>
      <w:r w:rsidR="005D01CC" w:rsidRPr="0006096F">
        <w:t xml:space="preserve">dentity and </w:t>
      </w:r>
      <w:r>
        <w:t>t</w:t>
      </w:r>
      <w:r w:rsidR="005D01CC" w:rsidRPr="0006096F">
        <w:t xml:space="preserve">hought </w:t>
      </w:r>
      <w:r>
        <w:t>e</w:t>
      </w:r>
      <w:r w:rsidR="005D01CC" w:rsidRPr="0006096F">
        <w:t>xperiments</w:t>
      </w:r>
      <w:r>
        <w:t>.</w:t>
      </w:r>
      <w:r w:rsidR="00DE2F3A">
        <w:t xml:space="preserve"> </w:t>
      </w:r>
      <w:r w:rsidR="005D01CC" w:rsidRPr="0006096F">
        <w:rPr>
          <w:i/>
        </w:rPr>
        <w:t>The Philosophical Quarterly</w:t>
      </w:r>
      <w:r w:rsidR="005D01CC" w:rsidRPr="0006096F">
        <w:t xml:space="preserve"> 52(206): 34-54.</w:t>
      </w:r>
    </w:p>
    <w:p w14:paraId="7740B5BA" w14:textId="77777777" w:rsidR="00945055" w:rsidRPr="0006096F" w:rsidRDefault="00472D75" w:rsidP="00B56D9B">
      <w:pPr>
        <w:ind w:left="720" w:hanging="720"/>
      </w:pPr>
      <w:r>
        <w:t xml:space="preserve">Tamar, T. </w:t>
      </w:r>
      <w:r w:rsidR="00F2721B">
        <w:t>(</w:t>
      </w:r>
      <w:r w:rsidR="00945055" w:rsidRPr="0006096F">
        <w:t>2010</w:t>
      </w:r>
      <w:r w:rsidR="00F2721B">
        <w:t>)</w:t>
      </w:r>
      <w:r>
        <w:t>.</w:t>
      </w:r>
      <w:r w:rsidR="00A64DF4" w:rsidRPr="0006096F">
        <w:t xml:space="preserve"> </w:t>
      </w:r>
      <w:r w:rsidR="00A64DF4" w:rsidRPr="0006096F">
        <w:rPr>
          <w:i/>
        </w:rPr>
        <w:t xml:space="preserve">Intuition, </w:t>
      </w:r>
      <w:r>
        <w:rPr>
          <w:i/>
        </w:rPr>
        <w:t>i</w:t>
      </w:r>
      <w:r w:rsidR="00A64DF4" w:rsidRPr="0006096F">
        <w:rPr>
          <w:i/>
        </w:rPr>
        <w:t xml:space="preserve">magination, and </w:t>
      </w:r>
      <w:r>
        <w:rPr>
          <w:i/>
        </w:rPr>
        <w:t>p</w:t>
      </w:r>
      <w:r w:rsidR="00A64DF4" w:rsidRPr="0006096F">
        <w:rPr>
          <w:i/>
        </w:rPr>
        <w:t xml:space="preserve">hilosophical </w:t>
      </w:r>
      <w:r>
        <w:rPr>
          <w:i/>
        </w:rPr>
        <w:t>m</w:t>
      </w:r>
      <w:r w:rsidR="00A64DF4" w:rsidRPr="0006096F">
        <w:rPr>
          <w:i/>
        </w:rPr>
        <w:t>ethodology</w:t>
      </w:r>
      <w:r w:rsidR="00A64DF4" w:rsidRPr="0006096F">
        <w:t xml:space="preserve">. Oxford: Oxford University Press. </w:t>
      </w:r>
    </w:p>
    <w:p w14:paraId="08888ECB" w14:textId="77777777" w:rsidR="00057E8E" w:rsidRPr="0006096F" w:rsidRDefault="00057E8E" w:rsidP="00B56D9B">
      <w:pPr>
        <w:ind w:left="720" w:hanging="720"/>
      </w:pPr>
      <w:r w:rsidRPr="0006096F">
        <w:t>Hopkins, B</w:t>
      </w:r>
      <w:r w:rsidR="00F2721B">
        <w:t>.</w:t>
      </w:r>
      <w:r w:rsidR="00FD3208" w:rsidRPr="0006096F">
        <w:t>C.</w:t>
      </w:r>
      <w:r w:rsidRPr="0006096F">
        <w:t xml:space="preserve"> </w:t>
      </w:r>
      <w:r w:rsidR="00F2721B">
        <w:t>(</w:t>
      </w:r>
      <w:r w:rsidR="00E32D8D" w:rsidRPr="0006096F">
        <w:t>2010</w:t>
      </w:r>
      <w:r w:rsidR="00472D75">
        <w:t>).</w:t>
      </w:r>
      <w:r w:rsidR="00E32D8D" w:rsidRPr="0006096F">
        <w:t xml:space="preserve"> </w:t>
      </w:r>
      <w:r w:rsidRPr="0006096F">
        <w:rPr>
          <w:i/>
        </w:rPr>
        <w:t xml:space="preserve">The </w:t>
      </w:r>
      <w:r w:rsidR="00472D75">
        <w:rPr>
          <w:i/>
        </w:rPr>
        <w:t>p</w:t>
      </w:r>
      <w:r w:rsidRPr="0006096F">
        <w:rPr>
          <w:i/>
        </w:rPr>
        <w:t xml:space="preserve">hilosophy of Husserl. </w:t>
      </w:r>
      <w:r w:rsidRPr="0006096F">
        <w:t>Montreal &amp; Kingston: McGill-Queen’s University Press</w:t>
      </w:r>
      <w:r w:rsidR="00472D75">
        <w:t>.</w:t>
      </w:r>
    </w:p>
    <w:p w14:paraId="79DABCB6" w14:textId="77777777" w:rsidR="00216656" w:rsidRPr="0006096F" w:rsidRDefault="00216656" w:rsidP="00B56D9B">
      <w:pPr>
        <w:ind w:left="720" w:hanging="720"/>
      </w:pPr>
      <w:proofErr w:type="spellStart"/>
      <w:r w:rsidRPr="0006096F">
        <w:t>Hopp</w:t>
      </w:r>
      <w:proofErr w:type="spellEnd"/>
      <w:r w:rsidRPr="0006096F">
        <w:t xml:space="preserve">, </w:t>
      </w:r>
      <w:r w:rsidR="00F2721B">
        <w:t>W.</w:t>
      </w:r>
      <w:r w:rsidRPr="0006096F">
        <w:t xml:space="preserve"> </w:t>
      </w:r>
      <w:r w:rsidR="00F2721B">
        <w:t>(</w:t>
      </w:r>
      <w:r w:rsidRPr="0006096F">
        <w:t>2014</w:t>
      </w:r>
      <w:r w:rsidR="00F2721B">
        <w:t>)</w:t>
      </w:r>
      <w:r w:rsidR="00472D75">
        <w:t xml:space="preserve">. </w:t>
      </w:r>
      <w:r w:rsidRPr="0006096F">
        <w:t xml:space="preserve">Experiments in </w:t>
      </w:r>
      <w:r w:rsidR="00472D75">
        <w:t>t</w:t>
      </w:r>
      <w:r w:rsidRPr="0006096F">
        <w:t>hought</w:t>
      </w:r>
      <w:r w:rsidR="00472D75">
        <w:t xml:space="preserve">. </w:t>
      </w:r>
      <w:r w:rsidRPr="0006096F">
        <w:rPr>
          <w:i/>
        </w:rPr>
        <w:t>Perspectives on Science</w:t>
      </w:r>
      <w:r w:rsidRPr="0006096F">
        <w:t xml:space="preserve"> 22(2):</w:t>
      </w:r>
      <w:r w:rsidR="00081F16" w:rsidRPr="0006096F">
        <w:t xml:space="preserve"> </w:t>
      </w:r>
      <w:r w:rsidRPr="0006096F">
        <w:t>242</w:t>
      </w:r>
      <w:r w:rsidR="00643909">
        <w:t>–</w:t>
      </w:r>
      <w:r w:rsidRPr="0006096F">
        <w:t>263.</w:t>
      </w:r>
    </w:p>
    <w:p w14:paraId="57869072" w14:textId="77777777" w:rsidR="0047497E" w:rsidRDefault="00830AA2" w:rsidP="00B56D9B">
      <w:pPr>
        <w:ind w:left="720" w:hanging="720"/>
      </w:pPr>
      <w:r w:rsidRPr="0006096F">
        <w:t>Husserl</w:t>
      </w:r>
      <w:r w:rsidR="00614993" w:rsidRPr="0006096F">
        <w:t xml:space="preserve">, </w:t>
      </w:r>
      <w:r w:rsidR="00F2721B">
        <w:t>E.</w:t>
      </w:r>
      <w:r w:rsidR="00A64DF4" w:rsidRPr="0006096F">
        <w:t xml:space="preserve"> </w:t>
      </w:r>
      <w:r w:rsidR="00F2721B">
        <w:t>(</w:t>
      </w:r>
      <w:r w:rsidR="00614993" w:rsidRPr="0006096F">
        <w:t>19</w:t>
      </w:r>
      <w:r w:rsidR="0047497E">
        <w:t>39</w:t>
      </w:r>
      <w:r w:rsidR="00F2721B">
        <w:t>)</w:t>
      </w:r>
      <w:r w:rsidR="00472D75">
        <w:t xml:space="preserve">. </w:t>
      </w:r>
      <w:proofErr w:type="spellStart"/>
      <w:r w:rsidR="0047497E">
        <w:rPr>
          <w:i/>
          <w:iCs/>
        </w:rPr>
        <w:t>Erfahrung</w:t>
      </w:r>
      <w:proofErr w:type="spellEnd"/>
      <w:r w:rsidR="0047497E">
        <w:rPr>
          <w:i/>
          <w:iCs/>
        </w:rPr>
        <w:t xml:space="preserve"> und </w:t>
      </w:r>
      <w:proofErr w:type="spellStart"/>
      <w:r w:rsidR="0047497E">
        <w:rPr>
          <w:i/>
          <w:iCs/>
        </w:rPr>
        <w:t>Urteil</w:t>
      </w:r>
      <w:proofErr w:type="spellEnd"/>
      <w:r w:rsidR="0047497E">
        <w:rPr>
          <w:i/>
          <w:iCs/>
        </w:rPr>
        <w:t xml:space="preserve">: </w:t>
      </w:r>
      <w:proofErr w:type="spellStart"/>
      <w:r w:rsidR="0047497E">
        <w:rPr>
          <w:i/>
          <w:iCs/>
        </w:rPr>
        <w:t>Untersuchungen</w:t>
      </w:r>
      <w:proofErr w:type="spellEnd"/>
      <w:r w:rsidR="0047497E">
        <w:rPr>
          <w:i/>
          <w:iCs/>
        </w:rPr>
        <w:t xml:space="preserve"> </w:t>
      </w:r>
      <w:proofErr w:type="spellStart"/>
      <w:r w:rsidR="0047497E">
        <w:rPr>
          <w:i/>
          <w:iCs/>
        </w:rPr>
        <w:t>zur</w:t>
      </w:r>
      <w:proofErr w:type="spellEnd"/>
      <w:r w:rsidR="0047497E">
        <w:rPr>
          <w:i/>
          <w:iCs/>
        </w:rPr>
        <w:t xml:space="preserve"> </w:t>
      </w:r>
      <w:proofErr w:type="spellStart"/>
      <w:r w:rsidR="0047497E">
        <w:rPr>
          <w:i/>
          <w:iCs/>
        </w:rPr>
        <w:t>Genealogie</w:t>
      </w:r>
      <w:proofErr w:type="spellEnd"/>
      <w:r w:rsidR="0047497E">
        <w:rPr>
          <w:i/>
          <w:iCs/>
        </w:rPr>
        <w:t xml:space="preserve"> der </w:t>
      </w:r>
      <w:proofErr w:type="spellStart"/>
      <w:r w:rsidR="0047497E">
        <w:rPr>
          <w:i/>
          <w:iCs/>
        </w:rPr>
        <w:t>Logik</w:t>
      </w:r>
      <w:proofErr w:type="spellEnd"/>
      <w:r w:rsidR="0047497E">
        <w:t>. Edited by L</w:t>
      </w:r>
      <w:r w:rsidR="00F2721B">
        <w:t xml:space="preserve">. </w:t>
      </w:r>
      <w:proofErr w:type="spellStart"/>
      <w:r w:rsidR="0047497E">
        <w:t>Landgr</w:t>
      </w:r>
      <w:r w:rsidR="00531CAD">
        <w:t>e</w:t>
      </w:r>
      <w:r w:rsidR="0047497E">
        <w:t>be</w:t>
      </w:r>
      <w:proofErr w:type="spellEnd"/>
      <w:r w:rsidR="0047497E">
        <w:t xml:space="preserve">. Prague: Academia </w:t>
      </w:r>
      <w:proofErr w:type="spellStart"/>
      <w:r w:rsidR="0047497E">
        <w:t>V</w:t>
      </w:r>
      <w:r w:rsidR="0047497E" w:rsidRPr="0047497E">
        <w:t>erlagsbuchhandlung</w:t>
      </w:r>
      <w:proofErr w:type="spellEnd"/>
    </w:p>
    <w:p w14:paraId="606048D8" w14:textId="77777777" w:rsidR="00830AA2" w:rsidRPr="0006096F" w:rsidRDefault="00472D75" w:rsidP="00B56D9B">
      <w:pPr>
        <w:ind w:left="720" w:hanging="720"/>
      </w:pPr>
      <w:r>
        <w:t xml:space="preserve">Husserl, E. </w:t>
      </w:r>
      <w:r w:rsidR="00F2721B">
        <w:t>(</w:t>
      </w:r>
      <w:r w:rsidR="00614993" w:rsidRPr="0006096F">
        <w:t>1973</w:t>
      </w:r>
      <w:r w:rsidR="00F2721B">
        <w:t>)</w:t>
      </w:r>
      <w:r>
        <w:t>.</w:t>
      </w:r>
      <w:r w:rsidR="00830AA2" w:rsidRPr="0006096F">
        <w:t xml:space="preserve"> </w:t>
      </w:r>
      <w:r w:rsidR="00830AA2" w:rsidRPr="0006096F">
        <w:rPr>
          <w:i/>
        </w:rPr>
        <w:t xml:space="preserve">Experience and </w:t>
      </w:r>
      <w:r>
        <w:rPr>
          <w:i/>
        </w:rPr>
        <w:t>j</w:t>
      </w:r>
      <w:r w:rsidR="00830AA2" w:rsidRPr="0006096F">
        <w:rPr>
          <w:i/>
        </w:rPr>
        <w:t xml:space="preserve">udgment: Investigations in a </w:t>
      </w:r>
      <w:r>
        <w:rPr>
          <w:i/>
        </w:rPr>
        <w:t>g</w:t>
      </w:r>
      <w:r w:rsidR="00830AA2" w:rsidRPr="0006096F">
        <w:rPr>
          <w:i/>
        </w:rPr>
        <w:t xml:space="preserve">enealogy of </w:t>
      </w:r>
      <w:r>
        <w:rPr>
          <w:i/>
        </w:rPr>
        <w:t>l</w:t>
      </w:r>
      <w:r w:rsidR="00830AA2" w:rsidRPr="0006096F">
        <w:rPr>
          <w:i/>
        </w:rPr>
        <w:t>ogic</w:t>
      </w:r>
      <w:r w:rsidR="00A64DF4" w:rsidRPr="0006096F">
        <w:t>. Ed</w:t>
      </w:r>
      <w:r w:rsidR="00F2721B">
        <w:t>ited and revised by</w:t>
      </w:r>
      <w:r w:rsidR="00830AA2" w:rsidRPr="0006096F">
        <w:t xml:space="preserve"> L</w:t>
      </w:r>
      <w:r w:rsidR="00F2721B">
        <w:t>.</w:t>
      </w:r>
      <w:r w:rsidR="00830AA2" w:rsidRPr="0006096F">
        <w:t xml:space="preserve"> </w:t>
      </w:r>
      <w:proofErr w:type="spellStart"/>
      <w:r w:rsidR="00830AA2" w:rsidRPr="0006096F">
        <w:t>Landgrebe</w:t>
      </w:r>
      <w:proofErr w:type="spellEnd"/>
      <w:r w:rsidR="00F2721B">
        <w:t>. T</w:t>
      </w:r>
      <w:r w:rsidR="00A64DF4" w:rsidRPr="0006096F">
        <w:t>rans</w:t>
      </w:r>
      <w:r w:rsidR="00F2721B">
        <w:t>lated by</w:t>
      </w:r>
      <w:r w:rsidR="00830AA2" w:rsidRPr="0006096F">
        <w:t xml:space="preserve"> J</w:t>
      </w:r>
      <w:r w:rsidR="00F2721B">
        <w:t>.</w:t>
      </w:r>
      <w:r w:rsidR="00830AA2" w:rsidRPr="0006096F">
        <w:t xml:space="preserve">S. Churchill </w:t>
      </w:r>
      <w:r w:rsidR="00A64DF4" w:rsidRPr="0006096F">
        <w:t>and K</w:t>
      </w:r>
      <w:r w:rsidR="00F2721B">
        <w:t>.</w:t>
      </w:r>
      <w:r w:rsidR="00830AA2" w:rsidRPr="0006096F">
        <w:t xml:space="preserve"> </w:t>
      </w:r>
      <w:proofErr w:type="spellStart"/>
      <w:r w:rsidR="00830AA2" w:rsidRPr="0006096F">
        <w:t>Ameriks</w:t>
      </w:r>
      <w:proofErr w:type="spellEnd"/>
      <w:r w:rsidR="00A64DF4" w:rsidRPr="0006096F">
        <w:t xml:space="preserve">. </w:t>
      </w:r>
      <w:r w:rsidR="00830AA2" w:rsidRPr="0006096F">
        <w:t>Evanston, IL: Northwestern University Press</w:t>
      </w:r>
      <w:r w:rsidR="00A64DF4" w:rsidRPr="0006096F">
        <w:t>.</w:t>
      </w:r>
    </w:p>
    <w:p w14:paraId="68D761BB" w14:textId="77777777" w:rsidR="000A7ECD" w:rsidRPr="0006096F" w:rsidRDefault="00472D75" w:rsidP="00B56D9B">
      <w:pPr>
        <w:ind w:left="720" w:hanging="720"/>
      </w:pPr>
      <w:r>
        <w:t xml:space="preserve">Husserl, E. </w:t>
      </w:r>
      <w:r w:rsidR="00F2721B">
        <w:t>(</w:t>
      </w:r>
      <w:r w:rsidR="000A7ECD" w:rsidRPr="0006096F">
        <w:t>1977</w:t>
      </w:r>
      <w:r w:rsidR="00F2721B">
        <w:t>)</w:t>
      </w:r>
      <w:r>
        <w:t xml:space="preserve">. </w:t>
      </w:r>
      <w:r w:rsidR="000A7ECD" w:rsidRPr="0006096F">
        <w:rPr>
          <w:i/>
        </w:rPr>
        <w:t xml:space="preserve">Phenomenological </w:t>
      </w:r>
      <w:r>
        <w:rPr>
          <w:i/>
        </w:rPr>
        <w:t>p</w:t>
      </w:r>
      <w:r w:rsidR="000A7ECD" w:rsidRPr="0006096F">
        <w:rPr>
          <w:i/>
        </w:rPr>
        <w:t xml:space="preserve">sychology: Lectures, </w:t>
      </w:r>
      <w:r>
        <w:rPr>
          <w:i/>
        </w:rPr>
        <w:t>s</w:t>
      </w:r>
      <w:r w:rsidR="000A7ECD" w:rsidRPr="0006096F">
        <w:rPr>
          <w:i/>
        </w:rPr>
        <w:t xml:space="preserve">ummer </w:t>
      </w:r>
      <w:r>
        <w:rPr>
          <w:i/>
        </w:rPr>
        <w:t>s</w:t>
      </w:r>
      <w:r w:rsidR="000A7ECD" w:rsidRPr="0006096F">
        <w:rPr>
          <w:i/>
        </w:rPr>
        <w:t>emester; 1925</w:t>
      </w:r>
      <w:r w:rsidR="00DE2F3A">
        <w:rPr>
          <w:iCs/>
        </w:rPr>
        <w:t>.</w:t>
      </w:r>
      <w:r w:rsidR="000A7ECD" w:rsidRPr="0006096F">
        <w:rPr>
          <w:i/>
        </w:rPr>
        <w:t xml:space="preserve"> </w:t>
      </w:r>
      <w:r w:rsidR="000A7ECD" w:rsidRPr="0006096F">
        <w:t>Translated by J</w:t>
      </w:r>
      <w:r w:rsidR="00F2721B">
        <w:t xml:space="preserve">. </w:t>
      </w:r>
      <w:r w:rsidR="000A7ECD" w:rsidRPr="0006096F">
        <w:t xml:space="preserve">Scanlon. The Hague: </w:t>
      </w:r>
      <w:proofErr w:type="spellStart"/>
      <w:r w:rsidR="000A7ECD" w:rsidRPr="0006096F">
        <w:t>Martinus</w:t>
      </w:r>
      <w:proofErr w:type="spellEnd"/>
      <w:r w:rsidR="000A7ECD" w:rsidRPr="0006096F">
        <w:t xml:space="preserve"> </w:t>
      </w:r>
      <w:proofErr w:type="spellStart"/>
      <w:r w:rsidR="000A7ECD" w:rsidRPr="0006096F">
        <w:t>Nijhoff</w:t>
      </w:r>
      <w:proofErr w:type="spellEnd"/>
      <w:r w:rsidR="000A7ECD" w:rsidRPr="0006096F">
        <w:t xml:space="preserve">. </w:t>
      </w:r>
    </w:p>
    <w:p w14:paraId="29CD25EA" w14:textId="77777777" w:rsidR="00945055" w:rsidRPr="0006096F" w:rsidRDefault="00472D75" w:rsidP="00B56D9B">
      <w:pPr>
        <w:ind w:left="720" w:hanging="720"/>
      </w:pPr>
      <w:r>
        <w:t xml:space="preserve">Husserl, E. </w:t>
      </w:r>
      <w:r w:rsidR="00F2721B">
        <w:t>(</w:t>
      </w:r>
      <w:r w:rsidR="00945055" w:rsidRPr="0006096F">
        <w:t>2012</w:t>
      </w:r>
      <w:r w:rsidR="00F2721B">
        <w:t>)</w:t>
      </w:r>
      <w:r>
        <w:t xml:space="preserve">. </w:t>
      </w:r>
      <w:proofErr w:type="spellStart"/>
      <w:r w:rsidR="00945055" w:rsidRPr="00125D8F">
        <w:rPr>
          <w:i/>
          <w:iCs/>
        </w:rPr>
        <w:t>Zur</w:t>
      </w:r>
      <w:proofErr w:type="spellEnd"/>
      <w:r w:rsidR="00945055" w:rsidRPr="00125D8F">
        <w:rPr>
          <w:i/>
          <w:iCs/>
        </w:rPr>
        <w:t xml:space="preserve"> </w:t>
      </w:r>
      <w:proofErr w:type="spellStart"/>
      <w:r w:rsidR="00945055" w:rsidRPr="00125D8F">
        <w:rPr>
          <w:i/>
          <w:iCs/>
        </w:rPr>
        <w:t>Lehre</w:t>
      </w:r>
      <w:proofErr w:type="spellEnd"/>
      <w:r w:rsidR="00945055" w:rsidRPr="00125D8F">
        <w:rPr>
          <w:i/>
          <w:iCs/>
        </w:rPr>
        <w:t xml:space="preserve"> </w:t>
      </w:r>
      <w:proofErr w:type="spellStart"/>
      <w:r w:rsidR="00945055" w:rsidRPr="00125D8F">
        <w:rPr>
          <w:i/>
          <w:iCs/>
        </w:rPr>
        <w:t>vom</w:t>
      </w:r>
      <w:proofErr w:type="spellEnd"/>
      <w:r w:rsidR="00945055" w:rsidRPr="00125D8F">
        <w:rPr>
          <w:i/>
          <w:iCs/>
        </w:rPr>
        <w:t xml:space="preserve"> </w:t>
      </w:r>
      <w:proofErr w:type="spellStart"/>
      <w:r w:rsidR="00945055" w:rsidRPr="00125D8F">
        <w:rPr>
          <w:i/>
          <w:iCs/>
        </w:rPr>
        <w:t>Wesen</w:t>
      </w:r>
      <w:proofErr w:type="spellEnd"/>
      <w:r w:rsidR="00945055" w:rsidRPr="00125D8F">
        <w:rPr>
          <w:i/>
          <w:iCs/>
        </w:rPr>
        <w:t xml:space="preserve"> und </w:t>
      </w:r>
      <w:proofErr w:type="spellStart"/>
      <w:r w:rsidR="00945055" w:rsidRPr="00125D8F">
        <w:rPr>
          <w:i/>
          <w:iCs/>
        </w:rPr>
        <w:t>zur</w:t>
      </w:r>
      <w:proofErr w:type="spellEnd"/>
      <w:r w:rsidR="00945055" w:rsidRPr="00125D8F">
        <w:rPr>
          <w:i/>
          <w:iCs/>
        </w:rPr>
        <w:t xml:space="preserve"> </w:t>
      </w:r>
      <w:proofErr w:type="spellStart"/>
      <w:r w:rsidR="00945055" w:rsidRPr="00125D8F">
        <w:rPr>
          <w:i/>
          <w:iCs/>
        </w:rPr>
        <w:t>Methode</w:t>
      </w:r>
      <w:proofErr w:type="spellEnd"/>
      <w:r w:rsidR="00945055" w:rsidRPr="00125D8F">
        <w:rPr>
          <w:i/>
          <w:iCs/>
        </w:rPr>
        <w:t xml:space="preserve"> der </w:t>
      </w:r>
      <w:proofErr w:type="spellStart"/>
      <w:r w:rsidR="00945055" w:rsidRPr="00125D8F">
        <w:rPr>
          <w:i/>
          <w:iCs/>
        </w:rPr>
        <w:t>eidetische</w:t>
      </w:r>
      <w:proofErr w:type="spellEnd"/>
      <w:r w:rsidR="00945055" w:rsidRPr="00125D8F">
        <w:rPr>
          <w:i/>
          <w:iCs/>
        </w:rPr>
        <w:t xml:space="preserve"> Variation. </w:t>
      </w:r>
      <w:proofErr w:type="spellStart"/>
      <w:r w:rsidR="00945055" w:rsidRPr="00125D8F">
        <w:rPr>
          <w:i/>
          <w:iCs/>
        </w:rPr>
        <w:t>Texte</w:t>
      </w:r>
      <w:proofErr w:type="spellEnd"/>
      <w:r w:rsidR="00945055" w:rsidRPr="00125D8F">
        <w:rPr>
          <w:i/>
          <w:iCs/>
        </w:rPr>
        <w:t xml:space="preserve"> </w:t>
      </w:r>
      <w:proofErr w:type="spellStart"/>
      <w:r w:rsidR="00945055" w:rsidRPr="00125D8F">
        <w:rPr>
          <w:i/>
          <w:iCs/>
        </w:rPr>
        <w:t>aus</w:t>
      </w:r>
      <w:proofErr w:type="spellEnd"/>
      <w:r w:rsidR="00945055" w:rsidRPr="00125D8F">
        <w:rPr>
          <w:i/>
          <w:iCs/>
        </w:rPr>
        <w:t xml:space="preserve"> dem </w:t>
      </w:r>
      <w:proofErr w:type="spellStart"/>
      <w:r w:rsidR="00945055" w:rsidRPr="00125D8F">
        <w:rPr>
          <w:i/>
          <w:iCs/>
        </w:rPr>
        <w:t>Nachlass</w:t>
      </w:r>
      <w:proofErr w:type="spellEnd"/>
      <w:r w:rsidR="00945055" w:rsidRPr="00125D8F">
        <w:rPr>
          <w:i/>
          <w:iCs/>
        </w:rPr>
        <w:t xml:space="preserve"> (1891-1935)</w:t>
      </w:r>
      <w:r w:rsidR="00945055" w:rsidRPr="0006096F">
        <w:t xml:space="preserve">. </w:t>
      </w:r>
      <w:proofErr w:type="spellStart"/>
      <w:r w:rsidR="00945055" w:rsidRPr="0006096F">
        <w:t>Husserliana</w:t>
      </w:r>
      <w:proofErr w:type="spellEnd"/>
      <w:r w:rsidR="00945055" w:rsidRPr="0006096F">
        <w:t xml:space="preserve"> Vol. XLI. </w:t>
      </w:r>
      <w:r w:rsidR="00F2721B">
        <w:t>Edited by D.</w:t>
      </w:r>
      <w:r w:rsidR="00945055" w:rsidRPr="0006096F">
        <w:t xml:space="preserve"> Fonfara. Dordrecht: Springer. </w:t>
      </w:r>
    </w:p>
    <w:p w14:paraId="3E3459D3" w14:textId="77777777" w:rsidR="00AA5C73" w:rsidRPr="0006096F" w:rsidRDefault="00472D75" w:rsidP="00B56D9B">
      <w:pPr>
        <w:ind w:left="720" w:hanging="720"/>
      </w:pPr>
      <w:r>
        <w:t xml:space="preserve">Husserl, E. </w:t>
      </w:r>
      <w:r w:rsidR="00F2721B">
        <w:t>(</w:t>
      </w:r>
      <w:r w:rsidR="00AA5C73" w:rsidRPr="0006096F">
        <w:t>2014</w:t>
      </w:r>
      <w:r w:rsidR="00F2721B">
        <w:t>)</w:t>
      </w:r>
      <w:r>
        <w:t>.</w:t>
      </w:r>
      <w:r w:rsidR="00AA5C73" w:rsidRPr="0006096F">
        <w:t xml:space="preserve"> </w:t>
      </w:r>
      <w:r w:rsidR="00AA5C73" w:rsidRPr="00125D8F">
        <w:rPr>
          <w:i/>
          <w:iCs/>
        </w:rPr>
        <w:t xml:space="preserve">Ideas for a </w:t>
      </w:r>
      <w:r>
        <w:rPr>
          <w:i/>
          <w:iCs/>
        </w:rPr>
        <w:t>p</w:t>
      </w:r>
      <w:r w:rsidR="00AA5C73" w:rsidRPr="00125D8F">
        <w:rPr>
          <w:i/>
          <w:iCs/>
        </w:rPr>
        <w:t xml:space="preserve">ure </w:t>
      </w:r>
      <w:r>
        <w:rPr>
          <w:i/>
          <w:iCs/>
        </w:rPr>
        <w:t>p</w:t>
      </w:r>
      <w:r w:rsidR="00AA5C73" w:rsidRPr="00125D8F">
        <w:rPr>
          <w:i/>
          <w:iCs/>
        </w:rPr>
        <w:t xml:space="preserve">henomenology and </w:t>
      </w:r>
      <w:r>
        <w:rPr>
          <w:i/>
          <w:iCs/>
        </w:rPr>
        <w:t>p</w:t>
      </w:r>
      <w:r w:rsidR="00AA5C73" w:rsidRPr="00125D8F">
        <w:rPr>
          <w:i/>
          <w:iCs/>
        </w:rPr>
        <w:t xml:space="preserve">henomenological </w:t>
      </w:r>
      <w:r>
        <w:rPr>
          <w:i/>
          <w:iCs/>
        </w:rPr>
        <w:t>p</w:t>
      </w:r>
      <w:r w:rsidR="00AA5C73" w:rsidRPr="00125D8F">
        <w:rPr>
          <w:i/>
          <w:iCs/>
        </w:rPr>
        <w:t xml:space="preserve">hilosophy; </w:t>
      </w:r>
      <w:r>
        <w:rPr>
          <w:i/>
          <w:iCs/>
        </w:rPr>
        <w:t>f</w:t>
      </w:r>
      <w:r w:rsidR="00AA5C73" w:rsidRPr="00125D8F">
        <w:rPr>
          <w:i/>
          <w:iCs/>
        </w:rPr>
        <w:t xml:space="preserve">irst </w:t>
      </w:r>
      <w:r>
        <w:rPr>
          <w:i/>
          <w:iCs/>
        </w:rPr>
        <w:t>b</w:t>
      </w:r>
      <w:r w:rsidR="00AA5C73" w:rsidRPr="00125D8F">
        <w:rPr>
          <w:i/>
          <w:iCs/>
        </w:rPr>
        <w:t xml:space="preserve">ook: General </w:t>
      </w:r>
      <w:r>
        <w:rPr>
          <w:i/>
          <w:iCs/>
        </w:rPr>
        <w:t>i</w:t>
      </w:r>
      <w:r w:rsidR="00AA5C73" w:rsidRPr="00125D8F">
        <w:rPr>
          <w:i/>
          <w:iCs/>
        </w:rPr>
        <w:t xml:space="preserve">ntroduction to </w:t>
      </w:r>
      <w:r>
        <w:rPr>
          <w:i/>
          <w:iCs/>
        </w:rPr>
        <w:t>p</w:t>
      </w:r>
      <w:r w:rsidR="00AA5C73" w:rsidRPr="00125D8F">
        <w:rPr>
          <w:i/>
          <w:iCs/>
        </w:rPr>
        <w:t xml:space="preserve">ure </w:t>
      </w:r>
      <w:r>
        <w:rPr>
          <w:i/>
          <w:iCs/>
        </w:rPr>
        <w:t>p</w:t>
      </w:r>
      <w:r w:rsidR="00AA5C73" w:rsidRPr="00125D8F">
        <w:rPr>
          <w:i/>
          <w:iCs/>
        </w:rPr>
        <w:t>henomenology</w:t>
      </w:r>
      <w:r w:rsidR="006924EF" w:rsidRPr="0006096F">
        <w:t>. Trans</w:t>
      </w:r>
      <w:r w:rsidR="00F2721B">
        <w:t xml:space="preserve">lated by </w:t>
      </w:r>
      <w:r w:rsidR="00AA5C73" w:rsidRPr="0006096F">
        <w:t>D</w:t>
      </w:r>
      <w:r w:rsidR="00F2721B">
        <w:t>.</w:t>
      </w:r>
      <w:r w:rsidR="006924EF" w:rsidRPr="0006096F">
        <w:t>O.</w:t>
      </w:r>
      <w:r w:rsidR="00AA5C73" w:rsidRPr="0006096F">
        <w:t xml:space="preserve"> Dahlstrom. Indianapolis: Hackett Publishing Co.</w:t>
      </w:r>
    </w:p>
    <w:p w14:paraId="7966C8FE" w14:textId="77777777" w:rsidR="00B07AB2" w:rsidRPr="0006096F" w:rsidRDefault="00B07AB2" w:rsidP="00B56D9B">
      <w:pPr>
        <w:ind w:left="720" w:hanging="720"/>
      </w:pPr>
      <w:r w:rsidRPr="0006096F">
        <w:lastRenderedPageBreak/>
        <w:t xml:space="preserve">Kant, </w:t>
      </w:r>
      <w:r w:rsidR="00F2721B">
        <w:t>I.</w:t>
      </w:r>
      <w:r w:rsidRPr="0006096F">
        <w:t xml:space="preserve"> </w:t>
      </w:r>
      <w:r w:rsidR="00F2721B">
        <w:t>(</w:t>
      </w:r>
      <w:r w:rsidRPr="0006096F">
        <w:t>1998</w:t>
      </w:r>
      <w:r w:rsidR="00F2721B">
        <w:t>)</w:t>
      </w:r>
      <w:r w:rsidR="00472D75">
        <w:t xml:space="preserve">. </w:t>
      </w:r>
      <w:r w:rsidRPr="0006096F">
        <w:rPr>
          <w:i/>
        </w:rPr>
        <w:t xml:space="preserve">Critique of </w:t>
      </w:r>
      <w:r w:rsidR="00472D75">
        <w:rPr>
          <w:i/>
        </w:rPr>
        <w:t>p</w:t>
      </w:r>
      <w:r w:rsidRPr="0006096F">
        <w:rPr>
          <w:i/>
        </w:rPr>
        <w:t xml:space="preserve">ure </w:t>
      </w:r>
      <w:r w:rsidR="00472D75">
        <w:rPr>
          <w:i/>
        </w:rPr>
        <w:t>r</w:t>
      </w:r>
      <w:r w:rsidRPr="0006096F">
        <w:rPr>
          <w:i/>
        </w:rPr>
        <w:t>eason</w:t>
      </w:r>
      <w:r w:rsidRPr="0006096F">
        <w:t xml:space="preserve">. </w:t>
      </w:r>
      <w:r w:rsidR="00081F16" w:rsidRPr="0006096F">
        <w:t>Trans</w:t>
      </w:r>
      <w:r w:rsidR="00472D75">
        <w:t>lated and edited by</w:t>
      </w:r>
      <w:r w:rsidR="00081F16" w:rsidRPr="0006096F">
        <w:t xml:space="preserve"> P</w:t>
      </w:r>
      <w:r w:rsidR="00472D75">
        <w:t xml:space="preserve">. </w:t>
      </w:r>
      <w:r w:rsidR="00081F16" w:rsidRPr="0006096F">
        <w:t>Guyer and A</w:t>
      </w:r>
      <w:r w:rsidR="00472D75">
        <w:t xml:space="preserve">. </w:t>
      </w:r>
      <w:r w:rsidR="00081F16" w:rsidRPr="0006096F">
        <w:t xml:space="preserve">Wood. Cambridge: Cambridge University Press. </w:t>
      </w:r>
    </w:p>
    <w:p w14:paraId="7739B434" w14:textId="77777777" w:rsidR="00830AA2" w:rsidRDefault="00830AA2" w:rsidP="00B56D9B">
      <w:pPr>
        <w:ind w:left="720" w:hanging="720"/>
      </w:pPr>
      <w:proofErr w:type="spellStart"/>
      <w:r w:rsidRPr="0006096F">
        <w:t>Kornblith</w:t>
      </w:r>
      <w:proofErr w:type="spellEnd"/>
      <w:r w:rsidR="000956E1" w:rsidRPr="0006096F">
        <w:t xml:space="preserve">, </w:t>
      </w:r>
      <w:r w:rsidR="00F2721B">
        <w:t>H. (</w:t>
      </w:r>
      <w:r w:rsidR="006924EF" w:rsidRPr="0006096F">
        <w:t>2002</w:t>
      </w:r>
      <w:r w:rsidR="00472D75">
        <w:t>).</w:t>
      </w:r>
      <w:r w:rsidR="00DE2F3A">
        <w:t xml:space="preserve"> </w:t>
      </w:r>
      <w:r w:rsidR="00945055" w:rsidRPr="0006096F">
        <w:rPr>
          <w:i/>
        </w:rPr>
        <w:t xml:space="preserve">Knowledge and </w:t>
      </w:r>
      <w:r w:rsidR="000C6CC3">
        <w:rPr>
          <w:i/>
        </w:rPr>
        <w:t>i</w:t>
      </w:r>
      <w:r w:rsidR="00945055" w:rsidRPr="0006096F">
        <w:rPr>
          <w:i/>
        </w:rPr>
        <w:t xml:space="preserve">ts </w:t>
      </w:r>
      <w:r w:rsidR="000C6CC3">
        <w:rPr>
          <w:i/>
        </w:rPr>
        <w:t>p</w:t>
      </w:r>
      <w:r w:rsidR="00945055" w:rsidRPr="0006096F">
        <w:rPr>
          <w:i/>
        </w:rPr>
        <w:t xml:space="preserve">lace in </w:t>
      </w:r>
      <w:r w:rsidR="000C6CC3">
        <w:rPr>
          <w:i/>
        </w:rPr>
        <w:t>n</w:t>
      </w:r>
      <w:r w:rsidR="00945055" w:rsidRPr="0006096F">
        <w:rPr>
          <w:i/>
        </w:rPr>
        <w:t>ature</w:t>
      </w:r>
      <w:r w:rsidR="00945055" w:rsidRPr="0006096F">
        <w:t xml:space="preserve">. Oxford: Oxford University Press. </w:t>
      </w:r>
    </w:p>
    <w:p w14:paraId="7BC31983" w14:textId="77777777" w:rsidR="00376104" w:rsidRPr="00376104" w:rsidRDefault="00376104" w:rsidP="00B56D9B">
      <w:pPr>
        <w:ind w:left="720" w:hanging="720"/>
      </w:pPr>
      <w:proofErr w:type="spellStart"/>
      <w:r>
        <w:t>Kripke</w:t>
      </w:r>
      <w:proofErr w:type="spellEnd"/>
      <w:r>
        <w:t xml:space="preserve">, </w:t>
      </w:r>
      <w:r w:rsidR="00F2721B">
        <w:t>S.</w:t>
      </w:r>
      <w:r>
        <w:t xml:space="preserve"> </w:t>
      </w:r>
      <w:r w:rsidR="00F2721B">
        <w:t>(</w:t>
      </w:r>
      <w:r>
        <w:t>1980</w:t>
      </w:r>
      <w:r w:rsidR="00F2721B">
        <w:t>)</w:t>
      </w:r>
      <w:r w:rsidR="000C6CC3">
        <w:t>.</w:t>
      </w:r>
      <w:r>
        <w:t xml:space="preserve"> </w:t>
      </w:r>
      <w:r>
        <w:rPr>
          <w:i/>
          <w:iCs/>
        </w:rPr>
        <w:t xml:space="preserve">Naming and </w:t>
      </w:r>
      <w:r w:rsidR="000C6CC3">
        <w:rPr>
          <w:i/>
          <w:iCs/>
        </w:rPr>
        <w:t>n</w:t>
      </w:r>
      <w:r>
        <w:rPr>
          <w:i/>
          <w:iCs/>
        </w:rPr>
        <w:t>ecessity</w:t>
      </w:r>
      <w:r>
        <w:t xml:space="preserve">. </w:t>
      </w:r>
      <w:r w:rsidR="00C801B0">
        <w:t xml:space="preserve">Cambridge: Harvard University Press. </w:t>
      </w:r>
    </w:p>
    <w:p w14:paraId="06B6A2B7" w14:textId="77777777" w:rsidR="000A7ECD" w:rsidRPr="0006096F" w:rsidRDefault="000A7ECD" w:rsidP="00B56D9B">
      <w:pPr>
        <w:ind w:left="720" w:hanging="720"/>
      </w:pPr>
      <w:r w:rsidRPr="0006096F">
        <w:t>Locke, J</w:t>
      </w:r>
      <w:r w:rsidR="00F2721B">
        <w:t>.</w:t>
      </w:r>
      <w:r w:rsidRPr="0006096F">
        <w:t xml:space="preserve"> </w:t>
      </w:r>
      <w:r w:rsidR="00F2721B">
        <w:t>(</w:t>
      </w:r>
      <w:r w:rsidRPr="0006096F">
        <w:t>1997</w:t>
      </w:r>
      <w:r w:rsidR="00F2721B">
        <w:t>)</w:t>
      </w:r>
      <w:r w:rsidR="000C6CC3">
        <w:t>.</w:t>
      </w:r>
      <w:r w:rsidRPr="0006096F">
        <w:t xml:space="preserve"> </w:t>
      </w:r>
      <w:r w:rsidRPr="0006096F">
        <w:rPr>
          <w:i/>
        </w:rPr>
        <w:t xml:space="preserve">An </w:t>
      </w:r>
      <w:r w:rsidR="000C6CC3">
        <w:rPr>
          <w:i/>
        </w:rPr>
        <w:t>e</w:t>
      </w:r>
      <w:r w:rsidRPr="0006096F">
        <w:rPr>
          <w:i/>
        </w:rPr>
        <w:t xml:space="preserve">ssay concerning </w:t>
      </w:r>
      <w:r w:rsidR="000C6CC3">
        <w:rPr>
          <w:i/>
        </w:rPr>
        <w:t>h</w:t>
      </w:r>
      <w:r w:rsidRPr="0006096F">
        <w:rPr>
          <w:i/>
        </w:rPr>
        <w:t xml:space="preserve">uman </w:t>
      </w:r>
      <w:r w:rsidR="000C6CC3">
        <w:rPr>
          <w:i/>
        </w:rPr>
        <w:t>u</w:t>
      </w:r>
      <w:r w:rsidRPr="00F2721B">
        <w:rPr>
          <w:i/>
        </w:rPr>
        <w:t>nderstanding</w:t>
      </w:r>
      <w:r w:rsidR="00F2721B">
        <w:rPr>
          <w:iCs/>
        </w:rPr>
        <w:t xml:space="preserve"> (</w:t>
      </w:r>
      <w:r w:rsidR="00F2721B" w:rsidRPr="00F2721B">
        <w:rPr>
          <w:iCs/>
        </w:rPr>
        <w:t>1689</w:t>
      </w:r>
      <w:r w:rsidR="00F2721B" w:rsidRPr="0006096F">
        <w:t>).</w:t>
      </w:r>
      <w:r w:rsidR="00F2721B">
        <w:t xml:space="preserve"> </w:t>
      </w:r>
      <w:r w:rsidRPr="0006096F">
        <w:t xml:space="preserve">Edited by </w:t>
      </w:r>
      <w:r w:rsidR="00F2721B">
        <w:t>R.</w:t>
      </w:r>
      <w:r w:rsidRPr="0006096F">
        <w:t xml:space="preserve"> </w:t>
      </w:r>
      <w:proofErr w:type="spellStart"/>
      <w:r w:rsidRPr="0006096F">
        <w:t>Woolhouse</w:t>
      </w:r>
      <w:proofErr w:type="spellEnd"/>
      <w:r w:rsidRPr="0006096F">
        <w:t xml:space="preserve">. New York: Penguin Books. </w:t>
      </w:r>
    </w:p>
    <w:p w14:paraId="278CFE27" w14:textId="77777777" w:rsidR="00057E8E" w:rsidRPr="0006096F" w:rsidRDefault="00057E8E" w:rsidP="00B56D9B">
      <w:pPr>
        <w:ind w:left="720" w:hanging="720"/>
      </w:pPr>
      <w:proofErr w:type="spellStart"/>
      <w:r w:rsidRPr="0006096F">
        <w:t>Lohmar</w:t>
      </w:r>
      <w:proofErr w:type="spellEnd"/>
      <w:r w:rsidR="00FD0F1F" w:rsidRPr="0006096F">
        <w:t xml:space="preserve">, </w:t>
      </w:r>
      <w:r w:rsidR="00F2721B">
        <w:t>D.</w:t>
      </w:r>
      <w:r w:rsidR="00FD0F1F" w:rsidRPr="0006096F">
        <w:t xml:space="preserve"> </w:t>
      </w:r>
      <w:r w:rsidR="00F2721B">
        <w:t>(</w:t>
      </w:r>
      <w:r w:rsidRPr="0006096F">
        <w:t>2011</w:t>
      </w:r>
      <w:r w:rsidR="00F2721B">
        <w:t>)</w:t>
      </w:r>
      <w:r w:rsidR="000C6CC3">
        <w:t xml:space="preserve">. </w:t>
      </w:r>
      <w:r w:rsidRPr="0006096F">
        <w:t xml:space="preserve">Genetic </w:t>
      </w:r>
      <w:r w:rsidR="000C6CC3">
        <w:t>p</w:t>
      </w:r>
      <w:r w:rsidRPr="0006096F">
        <w:t>henomenology</w:t>
      </w:r>
      <w:r w:rsidR="000C6CC3">
        <w:t>.</w:t>
      </w:r>
      <w:r w:rsidRPr="0006096F">
        <w:t xml:space="preserve"> </w:t>
      </w:r>
      <w:r w:rsidR="000C6CC3">
        <w:t>I</w:t>
      </w:r>
      <w:r w:rsidR="00FD0F1F" w:rsidRPr="0006096F">
        <w:t xml:space="preserve">n </w:t>
      </w:r>
      <w:proofErr w:type="spellStart"/>
      <w:r w:rsidRPr="0006096F">
        <w:t>Luft</w:t>
      </w:r>
      <w:proofErr w:type="spellEnd"/>
      <w:r w:rsidRPr="0006096F">
        <w:t xml:space="preserve"> </w:t>
      </w:r>
      <w:r w:rsidR="00081F16" w:rsidRPr="0006096F">
        <w:t xml:space="preserve">and </w:t>
      </w:r>
      <w:r w:rsidRPr="0006096F">
        <w:t xml:space="preserve">Overgaard </w:t>
      </w:r>
      <w:r w:rsidR="00DA6A0C">
        <w:t>(</w:t>
      </w:r>
      <w:r w:rsidR="00FD0F1F" w:rsidRPr="0006096F">
        <w:t>2011</w:t>
      </w:r>
      <w:r w:rsidR="00DA6A0C">
        <w:t>)</w:t>
      </w:r>
      <w:r w:rsidR="00DA6A0C">
        <w:softHyphen/>
      </w:r>
      <w:r w:rsidR="00DE2F3A">
        <w:t>:</w:t>
      </w:r>
      <w:r w:rsidR="00FD0F1F" w:rsidRPr="0006096F">
        <w:t xml:space="preserve"> </w:t>
      </w:r>
      <w:r w:rsidRPr="0006096F">
        <w:t>266</w:t>
      </w:r>
      <w:r w:rsidR="00643909">
        <w:t>–</w:t>
      </w:r>
      <w:r w:rsidRPr="0006096F">
        <w:t>275</w:t>
      </w:r>
      <w:r w:rsidR="00FD0F1F" w:rsidRPr="0006096F">
        <w:t>.</w:t>
      </w:r>
      <w:r w:rsidRPr="0006096F">
        <w:t xml:space="preserve"> </w:t>
      </w:r>
    </w:p>
    <w:p w14:paraId="66FEF66E" w14:textId="77777777" w:rsidR="00FD0F1F" w:rsidRPr="0006096F" w:rsidRDefault="00FD0F1F" w:rsidP="00B56D9B">
      <w:pPr>
        <w:ind w:left="720" w:hanging="720"/>
      </w:pPr>
      <w:proofErr w:type="spellStart"/>
      <w:r w:rsidRPr="0006096F">
        <w:t>Luft</w:t>
      </w:r>
      <w:proofErr w:type="spellEnd"/>
      <w:r w:rsidRPr="0006096F">
        <w:t>, S</w:t>
      </w:r>
      <w:r w:rsidR="00DA6A0C">
        <w:t>.</w:t>
      </w:r>
      <w:r w:rsidR="000C6CC3">
        <w:t xml:space="preserve"> </w:t>
      </w:r>
      <w:r w:rsidR="00A64DF4" w:rsidRPr="0006096F">
        <w:t xml:space="preserve">and </w:t>
      </w:r>
      <w:r w:rsidRPr="0006096F">
        <w:t>S</w:t>
      </w:r>
      <w:r w:rsidR="00DA6A0C">
        <w:t>.</w:t>
      </w:r>
      <w:r w:rsidR="00945055" w:rsidRPr="0006096F">
        <w:t xml:space="preserve"> </w:t>
      </w:r>
      <w:r w:rsidRPr="0006096F">
        <w:t>Overgaard (</w:t>
      </w:r>
      <w:r w:rsidR="000C6CC3">
        <w:t>Eds.</w:t>
      </w:r>
      <w:r w:rsidRPr="0006096F">
        <w:t xml:space="preserve">) </w:t>
      </w:r>
      <w:r w:rsidR="00DA6A0C">
        <w:t>(</w:t>
      </w:r>
      <w:r w:rsidRPr="0006096F">
        <w:t>2011</w:t>
      </w:r>
      <w:r w:rsidR="00DA6A0C">
        <w:t>)</w:t>
      </w:r>
      <w:r w:rsidR="000C6CC3">
        <w:t xml:space="preserve">. </w:t>
      </w:r>
      <w:r w:rsidRPr="0006096F">
        <w:rPr>
          <w:i/>
        </w:rPr>
        <w:t xml:space="preserve">The </w:t>
      </w:r>
      <w:r w:rsidR="000C6CC3">
        <w:rPr>
          <w:i/>
        </w:rPr>
        <w:t>R</w:t>
      </w:r>
      <w:r w:rsidRPr="0006096F">
        <w:rPr>
          <w:i/>
        </w:rPr>
        <w:t xml:space="preserve">outledge </w:t>
      </w:r>
      <w:r w:rsidR="000C6CC3">
        <w:rPr>
          <w:i/>
        </w:rPr>
        <w:t>c</w:t>
      </w:r>
      <w:r w:rsidRPr="0006096F">
        <w:rPr>
          <w:i/>
        </w:rPr>
        <w:t xml:space="preserve">ompanion to </w:t>
      </w:r>
      <w:r w:rsidR="000C6CC3">
        <w:rPr>
          <w:i/>
        </w:rPr>
        <w:t>p</w:t>
      </w:r>
      <w:r w:rsidRPr="0006096F">
        <w:rPr>
          <w:i/>
        </w:rPr>
        <w:t>henomenology</w:t>
      </w:r>
      <w:r w:rsidRPr="0006096F">
        <w:t xml:space="preserve">. London: Routledge. </w:t>
      </w:r>
    </w:p>
    <w:p w14:paraId="5E40D91D" w14:textId="77777777" w:rsidR="00830AA2" w:rsidRPr="0006096F" w:rsidRDefault="00830AA2" w:rsidP="00B56D9B">
      <w:pPr>
        <w:ind w:left="720" w:hanging="720"/>
      </w:pPr>
      <w:r w:rsidRPr="0006096F">
        <w:t>McDowell</w:t>
      </w:r>
      <w:r w:rsidR="00FD0F1F" w:rsidRPr="0006096F">
        <w:t>, J</w:t>
      </w:r>
      <w:r w:rsidR="00DA6A0C">
        <w:t>. (</w:t>
      </w:r>
      <w:r w:rsidR="00FD0F1F" w:rsidRPr="0006096F">
        <w:t>1</w:t>
      </w:r>
      <w:r w:rsidRPr="0006096F">
        <w:t>994</w:t>
      </w:r>
      <w:r w:rsidR="00DA6A0C">
        <w:t>)</w:t>
      </w:r>
      <w:r w:rsidR="000C6CC3">
        <w:t>.</w:t>
      </w:r>
      <w:r w:rsidR="00FD0F1F" w:rsidRPr="0006096F">
        <w:t xml:space="preserve"> </w:t>
      </w:r>
      <w:r w:rsidR="00FD0F1F" w:rsidRPr="0006096F">
        <w:rPr>
          <w:i/>
        </w:rPr>
        <w:t xml:space="preserve">Mind and </w:t>
      </w:r>
      <w:r w:rsidR="000C6CC3">
        <w:rPr>
          <w:i/>
        </w:rPr>
        <w:t>w</w:t>
      </w:r>
      <w:r w:rsidR="00FD0F1F" w:rsidRPr="0006096F">
        <w:rPr>
          <w:i/>
        </w:rPr>
        <w:t>orld</w:t>
      </w:r>
      <w:r w:rsidR="00FD0F1F" w:rsidRPr="0006096F">
        <w:t xml:space="preserve">. Cambridge, MA: Harvard University Press. </w:t>
      </w:r>
    </w:p>
    <w:p w14:paraId="78D610BD" w14:textId="77777777" w:rsidR="00FD0F1F" w:rsidRPr="0006096F" w:rsidRDefault="00FD0F1F" w:rsidP="00B56D9B">
      <w:pPr>
        <w:ind w:left="720" w:hanging="720"/>
      </w:pPr>
      <w:r w:rsidRPr="0006096F">
        <w:t xml:space="preserve">Reuter, </w:t>
      </w:r>
      <w:r w:rsidR="00DA6A0C">
        <w:t>K. (</w:t>
      </w:r>
      <w:r w:rsidRPr="0006096F">
        <w:t>2019</w:t>
      </w:r>
      <w:r w:rsidR="00DA6A0C">
        <w:t>)</w:t>
      </w:r>
      <w:r w:rsidR="000C6CC3">
        <w:t>.</w:t>
      </w:r>
      <w:r w:rsidRPr="0006096F">
        <w:t xml:space="preserve"> Dual </w:t>
      </w:r>
      <w:r w:rsidR="000C6CC3">
        <w:t>c</w:t>
      </w:r>
      <w:r w:rsidRPr="0006096F">
        <w:t xml:space="preserve">haracter </w:t>
      </w:r>
      <w:r w:rsidR="000C6CC3">
        <w:t>co</w:t>
      </w:r>
      <w:r w:rsidRPr="0006096F">
        <w:t>ncepts</w:t>
      </w:r>
      <w:r w:rsidR="000C6CC3">
        <w:t xml:space="preserve">. </w:t>
      </w:r>
      <w:r w:rsidRPr="0006096F">
        <w:rPr>
          <w:i/>
        </w:rPr>
        <w:t>Philosophy Compass</w:t>
      </w:r>
      <w:r w:rsidRPr="0006096F">
        <w:t xml:space="preserve"> 14(1</w:t>
      </w:r>
      <w:proofErr w:type="gramStart"/>
      <w:r w:rsidRPr="0006096F">
        <w:t>):e</w:t>
      </w:r>
      <w:proofErr w:type="gramEnd"/>
      <w:r w:rsidRPr="0006096F">
        <w:t xml:space="preserve">12557. </w:t>
      </w:r>
      <w:hyperlink r:id="rId8" w:history="1">
        <w:r w:rsidRPr="0006096F">
          <w:rPr>
            <w:rStyle w:val="Hyperlink"/>
          </w:rPr>
          <w:t>https://doi.org/10.1111/phc3.12557</w:t>
        </w:r>
      </w:hyperlink>
      <w:r w:rsidRPr="0006096F">
        <w:t xml:space="preserve">. </w:t>
      </w:r>
    </w:p>
    <w:p w14:paraId="474D0F62" w14:textId="77777777" w:rsidR="00E61F5F" w:rsidRPr="0006096F" w:rsidRDefault="00B07AB2" w:rsidP="00B56D9B">
      <w:pPr>
        <w:ind w:left="720" w:hanging="720"/>
      </w:pPr>
      <w:proofErr w:type="spellStart"/>
      <w:r w:rsidRPr="0006096F">
        <w:t>Schechtman</w:t>
      </w:r>
      <w:proofErr w:type="spellEnd"/>
      <w:r w:rsidR="00FD0F1F" w:rsidRPr="0006096F">
        <w:t>, M</w:t>
      </w:r>
      <w:r w:rsidR="00DE2F3A">
        <w:t>.</w:t>
      </w:r>
      <w:r w:rsidR="00FD0F1F" w:rsidRPr="0006096F">
        <w:t xml:space="preserve"> </w:t>
      </w:r>
      <w:r w:rsidR="00DA6A0C">
        <w:t>(</w:t>
      </w:r>
      <w:r w:rsidR="00FD0F1F" w:rsidRPr="0006096F">
        <w:t>2014</w:t>
      </w:r>
      <w:r w:rsidR="00DA6A0C">
        <w:t>)</w:t>
      </w:r>
      <w:r w:rsidR="000C6CC3">
        <w:t xml:space="preserve">. </w:t>
      </w:r>
      <w:r w:rsidRPr="00531CAD">
        <w:rPr>
          <w:i/>
          <w:iCs/>
        </w:rPr>
        <w:t xml:space="preserve">Staying </w:t>
      </w:r>
      <w:r w:rsidR="000C6CC3">
        <w:rPr>
          <w:i/>
          <w:iCs/>
        </w:rPr>
        <w:t>a</w:t>
      </w:r>
      <w:r w:rsidRPr="00531CAD">
        <w:rPr>
          <w:i/>
          <w:iCs/>
        </w:rPr>
        <w:t xml:space="preserve">live: Personal </w:t>
      </w:r>
      <w:r w:rsidR="000C6CC3">
        <w:rPr>
          <w:i/>
          <w:iCs/>
        </w:rPr>
        <w:t>i</w:t>
      </w:r>
      <w:r w:rsidRPr="00531CAD">
        <w:rPr>
          <w:i/>
          <w:iCs/>
        </w:rPr>
        <w:t xml:space="preserve">dentity, </w:t>
      </w:r>
      <w:r w:rsidR="000C6CC3">
        <w:rPr>
          <w:i/>
          <w:iCs/>
        </w:rPr>
        <w:t>p</w:t>
      </w:r>
      <w:r w:rsidRPr="00531CAD">
        <w:rPr>
          <w:i/>
          <w:iCs/>
        </w:rPr>
        <w:t xml:space="preserve">ractical </w:t>
      </w:r>
      <w:r w:rsidR="000C6CC3">
        <w:rPr>
          <w:i/>
          <w:iCs/>
        </w:rPr>
        <w:t>c</w:t>
      </w:r>
      <w:r w:rsidRPr="00531CAD">
        <w:rPr>
          <w:i/>
          <w:iCs/>
        </w:rPr>
        <w:t xml:space="preserve">oncern, and the </w:t>
      </w:r>
      <w:r w:rsidR="000C6CC3">
        <w:rPr>
          <w:i/>
          <w:iCs/>
        </w:rPr>
        <w:t>u</w:t>
      </w:r>
      <w:r w:rsidRPr="00531CAD">
        <w:rPr>
          <w:i/>
          <w:iCs/>
        </w:rPr>
        <w:t xml:space="preserve">nity of a </w:t>
      </w:r>
      <w:r w:rsidR="000C6CC3">
        <w:rPr>
          <w:i/>
          <w:iCs/>
        </w:rPr>
        <w:t>l</w:t>
      </w:r>
      <w:r w:rsidRPr="00531CAD">
        <w:rPr>
          <w:i/>
          <w:iCs/>
        </w:rPr>
        <w:t>ife</w:t>
      </w:r>
      <w:r w:rsidR="00FD0F1F" w:rsidRPr="0006096F">
        <w:t xml:space="preserve">. Oxford: Oxford University Press. </w:t>
      </w:r>
      <w:r w:rsidRPr="0006096F">
        <w:t xml:space="preserve"> </w:t>
      </w:r>
    </w:p>
    <w:p w14:paraId="7253EBA7" w14:textId="77777777" w:rsidR="00B56D9B" w:rsidRDefault="00E61F5F" w:rsidP="00B56D9B">
      <w:pPr>
        <w:pStyle w:val="FootnoteText"/>
        <w:spacing w:line="480" w:lineRule="auto"/>
        <w:ind w:left="720" w:hanging="720"/>
      </w:pPr>
      <w:r w:rsidRPr="0006096F">
        <w:t>Sellars, W</w:t>
      </w:r>
      <w:r w:rsidR="00DE2F3A">
        <w:t>.</w:t>
      </w:r>
      <w:r w:rsidRPr="0006096F">
        <w:t xml:space="preserve"> </w:t>
      </w:r>
      <w:r w:rsidR="00DA6A0C">
        <w:t>(</w:t>
      </w:r>
      <w:r w:rsidRPr="0006096F">
        <w:t>1956</w:t>
      </w:r>
      <w:r w:rsidR="00DA6A0C">
        <w:t>)</w:t>
      </w:r>
      <w:r w:rsidR="000C6CC3">
        <w:t xml:space="preserve">. </w:t>
      </w:r>
      <w:r w:rsidRPr="0006096F">
        <w:t xml:space="preserve">Empiricism and the </w:t>
      </w:r>
      <w:r w:rsidR="000C6CC3">
        <w:t>p</w:t>
      </w:r>
      <w:r w:rsidRPr="0006096F">
        <w:t xml:space="preserve">hilosophy of </w:t>
      </w:r>
      <w:r w:rsidR="000C6CC3">
        <w:t>m</w:t>
      </w:r>
      <w:r w:rsidRPr="0006096F">
        <w:t>ind</w:t>
      </w:r>
      <w:r w:rsidR="00DA6A0C">
        <w:t>.</w:t>
      </w:r>
      <w:r w:rsidRPr="0006096F">
        <w:t xml:space="preserve"> Reprinted in </w:t>
      </w:r>
      <w:r w:rsidRPr="0006096F">
        <w:rPr>
          <w:i/>
        </w:rPr>
        <w:t xml:space="preserve">Science, Perception, and Reality. </w:t>
      </w:r>
      <w:r w:rsidRPr="0006096F">
        <w:t xml:space="preserve">Atascadero, CA: Ridgeview Publishing, 1963. </w:t>
      </w:r>
    </w:p>
    <w:p w14:paraId="188469B2" w14:textId="77777777" w:rsidR="00057E8E" w:rsidRPr="0006096F" w:rsidRDefault="00057E8E" w:rsidP="00B56D9B">
      <w:pPr>
        <w:pStyle w:val="FootnoteText"/>
        <w:spacing w:line="480" w:lineRule="auto"/>
        <w:ind w:left="720" w:hanging="720"/>
      </w:pPr>
      <w:r w:rsidRPr="0006096F">
        <w:t>Sowa, R</w:t>
      </w:r>
      <w:r w:rsidR="00DE2F3A">
        <w:t>.</w:t>
      </w:r>
      <w:r w:rsidR="00A64DF4" w:rsidRPr="0006096F">
        <w:t xml:space="preserve"> </w:t>
      </w:r>
      <w:r w:rsidR="00DA6A0C">
        <w:t>(</w:t>
      </w:r>
      <w:r w:rsidRPr="0006096F">
        <w:t>2007</w:t>
      </w:r>
      <w:r w:rsidR="00DA6A0C">
        <w:t>)</w:t>
      </w:r>
      <w:r w:rsidR="000C6CC3">
        <w:t xml:space="preserve">. </w:t>
      </w:r>
      <w:r w:rsidRPr="0006096F">
        <w:t xml:space="preserve">Essences and </w:t>
      </w:r>
      <w:r w:rsidR="000C6CC3">
        <w:t>e</w:t>
      </w:r>
      <w:r w:rsidRPr="0006096F">
        <w:t xml:space="preserve">idetic </w:t>
      </w:r>
      <w:r w:rsidR="000C6CC3">
        <w:t>l</w:t>
      </w:r>
      <w:r w:rsidRPr="0006096F">
        <w:t xml:space="preserve">aws in Edmund Husserl’s </w:t>
      </w:r>
      <w:r w:rsidR="000C6CC3">
        <w:t>d</w:t>
      </w:r>
      <w:r w:rsidRPr="0006096F">
        <w:t xml:space="preserve">escriptive </w:t>
      </w:r>
      <w:proofErr w:type="spellStart"/>
      <w:r w:rsidR="000C6CC3">
        <w:t>e</w:t>
      </w:r>
      <w:r w:rsidRPr="0006096F">
        <w:t>idetics</w:t>
      </w:r>
      <w:proofErr w:type="spellEnd"/>
      <w:r w:rsidR="000C6CC3">
        <w:t>.</w:t>
      </w:r>
      <w:r w:rsidR="00A64DF4" w:rsidRPr="0006096F">
        <w:rPr>
          <w:i/>
        </w:rPr>
        <w:t xml:space="preserve"> The</w:t>
      </w:r>
      <w:r w:rsidRPr="0006096F">
        <w:rPr>
          <w:i/>
        </w:rPr>
        <w:t xml:space="preserve"> New Yearbook for Phenomenology and Phenomenological Research</w:t>
      </w:r>
      <w:r w:rsidR="00A64DF4" w:rsidRPr="0006096F">
        <w:rPr>
          <w:i/>
        </w:rPr>
        <w:t xml:space="preserve"> </w:t>
      </w:r>
      <w:r w:rsidRPr="00D3588F">
        <w:rPr>
          <w:iCs/>
        </w:rPr>
        <w:t>VII</w:t>
      </w:r>
      <w:r w:rsidR="00D3588F">
        <w:t xml:space="preserve">: </w:t>
      </w:r>
      <w:r w:rsidRPr="0006096F">
        <w:t>77-108.</w:t>
      </w:r>
    </w:p>
    <w:p w14:paraId="2AD7873D" w14:textId="77777777" w:rsidR="00057E8E" w:rsidRPr="0006096F" w:rsidRDefault="00F1747C" w:rsidP="00B56D9B">
      <w:pPr>
        <w:ind w:left="720" w:hanging="720"/>
      </w:pPr>
      <w:r>
        <w:t>Sowa, R.</w:t>
      </w:r>
      <w:r w:rsidR="00DA6A0C">
        <w:t xml:space="preserve"> (</w:t>
      </w:r>
      <w:r w:rsidR="00057E8E" w:rsidRPr="0006096F">
        <w:t>2011</w:t>
      </w:r>
      <w:r w:rsidR="00DA6A0C">
        <w:t>)</w:t>
      </w:r>
      <w:r w:rsidR="000C6CC3">
        <w:t>.</w:t>
      </w:r>
      <w:r w:rsidR="00057E8E" w:rsidRPr="0006096F">
        <w:t xml:space="preserve"> </w:t>
      </w:r>
      <w:proofErr w:type="spellStart"/>
      <w:r w:rsidR="00057E8E" w:rsidRPr="0006096F">
        <w:t>Eidetics</w:t>
      </w:r>
      <w:proofErr w:type="spellEnd"/>
      <w:r w:rsidR="00057E8E" w:rsidRPr="0006096F">
        <w:t xml:space="preserve"> and </w:t>
      </w:r>
      <w:r w:rsidR="000C6CC3">
        <w:t>i</w:t>
      </w:r>
      <w:r w:rsidR="00057E8E" w:rsidRPr="0006096F">
        <w:t xml:space="preserve">ts </w:t>
      </w:r>
      <w:r w:rsidR="000C6CC3">
        <w:t>m</w:t>
      </w:r>
      <w:r w:rsidR="00057E8E" w:rsidRPr="0006096F">
        <w:t>ethodology</w:t>
      </w:r>
      <w:r w:rsidR="00DA6A0C">
        <w:t>. Tr</w:t>
      </w:r>
      <w:r w:rsidR="00A64DF4" w:rsidRPr="0006096F">
        <w:t>ans</w:t>
      </w:r>
      <w:r w:rsidR="00F2721B">
        <w:t xml:space="preserve">lated by </w:t>
      </w:r>
      <w:r w:rsidR="00057E8E" w:rsidRPr="0006096F">
        <w:t>E.A. Behnke</w:t>
      </w:r>
      <w:r w:rsidR="00A64DF4" w:rsidRPr="0006096F">
        <w:t>.</w:t>
      </w:r>
      <w:r w:rsidR="00057E8E" w:rsidRPr="0006096F">
        <w:t xml:space="preserve"> In </w:t>
      </w:r>
      <w:proofErr w:type="spellStart"/>
      <w:r w:rsidR="00057E8E" w:rsidRPr="0006096F">
        <w:t>Luft</w:t>
      </w:r>
      <w:proofErr w:type="spellEnd"/>
      <w:r w:rsidR="00057E8E" w:rsidRPr="0006096F">
        <w:t xml:space="preserve"> </w:t>
      </w:r>
      <w:r w:rsidR="00A64DF4" w:rsidRPr="0006096F">
        <w:t xml:space="preserve">and </w:t>
      </w:r>
      <w:r w:rsidR="00057E8E" w:rsidRPr="0006096F">
        <w:t xml:space="preserve">Overgaard </w:t>
      </w:r>
      <w:r w:rsidR="00A64DF4" w:rsidRPr="0006096F">
        <w:t>(2011)</w:t>
      </w:r>
      <w:r w:rsidR="00D3588F">
        <w:t>:</w:t>
      </w:r>
      <w:r w:rsidR="00A64DF4" w:rsidRPr="0006096F">
        <w:t xml:space="preserve"> </w:t>
      </w:r>
      <w:r w:rsidR="00057E8E" w:rsidRPr="0006096F">
        <w:t>254</w:t>
      </w:r>
      <w:r w:rsidR="00643909">
        <w:t>–</w:t>
      </w:r>
      <w:r w:rsidR="00DA6A0C">
        <w:t>2</w:t>
      </w:r>
      <w:r w:rsidR="00057E8E" w:rsidRPr="0006096F">
        <w:t>65</w:t>
      </w:r>
      <w:r w:rsidR="00DA6A0C">
        <w:t>,</w:t>
      </w:r>
    </w:p>
    <w:p w14:paraId="296C0421" w14:textId="77777777" w:rsidR="009E74C3" w:rsidRPr="0006096F" w:rsidRDefault="009E74C3" w:rsidP="00B56D9B">
      <w:pPr>
        <w:ind w:left="720" w:hanging="720"/>
      </w:pPr>
      <w:proofErr w:type="spellStart"/>
      <w:r w:rsidRPr="0006096F">
        <w:t>Strevens</w:t>
      </w:r>
      <w:proofErr w:type="spellEnd"/>
      <w:r w:rsidRPr="0006096F">
        <w:t xml:space="preserve">, </w:t>
      </w:r>
      <w:r w:rsidR="00DA6A0C">
        <w:t>M.</w:t>
      </w:r>
      <w:r w:rsidRPr="0006096F">
        <w:t xml:space="preserve"> </w:t>
      </w:r>
      <w:r w:rsidR="00DA6A0C">
        <w:t>(</w:t>
      </w:r>
      <w:r w:rsidRPr="0006096F">
        <w:t>2019</w:t>
      </w:r>
      <w:r w:rsidR="00DA6A0C">
        <w:t>)</w:t>
      </w:r>
      <w:r w:rsidR="000C6CC3">
        <w:t xml:space="preserve">. </w:t>
      </w:r>
      <w:r w:rsidRPr="00B56D9B">
        <w:rPr>
          <w:i/>
          <w:iCs/>
        </w:rPr>
        <w:t xml:space="preserve">Thinking </w:t>
      </w:r>
      <w:r w:rsidR="000C6CC3">
        <w:rPr>
          <w:i/>
          <w:iCs/>
        </w:rPr>
        <w:t>o</w:t>
      </w:r>
      <w:r w:rsidRPr="00B56D9B">
        <w:rPr>
          <w:i/>
          <w:iCs/>
        </w:rPr>
        <w:t xml:space="preserve">ff </w:t>
      </w:r>
      <w:r w:rsidR="000C6CC3">
        <w:rPr>
          <w:i/>
          <w:iCs/>
        </w:rPr>
        <w:t>y</w:t>
      </w:r>
      <w:r w:rsidRPr="00B56D9B">
        <w:rPr>
          <w:i/>
          <w:iCs/>
        </w:rPr>
        <w:t xml:space="preserve">our </w:t>
      </w:r>
      <w:r w:rsidR="000C6CC3">
        <w:rPr>
          <w:i/>
          <w:iCs/>
        </w:rPr>
        <w:t>f</w:t>
      </w:r>
      <w:r w:rsidRPr="00B56D9B">
        <w:rPr>
          <w:i/>
          <w:iCs/>
        </w:rPr>
        <w:t xml:space="preserve">eet: How </w:t>
      </w:r>
      <w:r w:rsidR="000C6CC3">
        <w:rPr>
          <w:i/>
          <w:iCs/>
        </w:rPr>
        <w:t>e</w:t>
      </w:r>
      <w:r w:rsidRPr="00B56D9B">
        <w:rPr>
          <w:i/>
          <w:iCs/>
        </w:rPr>
        <w:t xml:space="preserve">mpirical </w:t>
      </w:r>
      <w:r w:rsidR="000C6CC3">
        <w:rPr>
          <w:i/>
          <w:iCs/>
        </w:rPr>
        <w:t>p</w:t>
      </w:r>
      <w:r w:rsidRPr="00B56D9B">
        <w:rPr>
          <w:i/>
          <w:iCs/>
        </w:rPr>
        <w:t xml:space="preserve">sychology </w:t>
      </w:r>
      <w:r w:rsidR="000C6CC3">
        <w:rPr>
          <w:i/>
          <w:iCs/>
        </w:rPr>
        <w:t>v</w:t>
      </w:r>
      <w:r w:rsidRPr="00B56D9B">
        <w:rPr>
          <w:i/>
          <w:iCs/>
        </w:rPr>
        <w:t xml:space="preserve">indicates </w:t>
      </w:r>
      <w:r w:rsidR="000C6CC3">
        <w:rPr>
          <w:i/>
          <w:iCs/>
        </w:rPr>
        <w:t>a</w:t>
      </w:r>
      <w:r w:rsidRPr="00B56D9B">
        <w:rPr>
          <w:i/>
          <w:iCs/>
        </w:rPr>
        <w:t xml:space="preserve">rmchair </w:t>
      </w:r>
      <w:r w:rsidR="000C6CC3">
        <w:rPr>
          <w:i/>
          <w:iCs/>
        </w:rPr>
        <w:t>p</w:t>
      </w:r>
      <w:r w:rsidRPr="00B56D9B">
        <w:rPr>
          <w:i/>
          <w:iCs/>
        </w:rPr>
        <w:t>hilosophy</w:t>
      </w:r>
      <w:r w:rsidRPr="0006096F">
        <w:t>. Cambridge, MA: Harvard University Press.</w:t>
      </w:r>
    </w:p>
    <w:p w14:paraId="2FE73F14" w14:textId="77777777" w:rsidR="00081F16" w:rsidRPr="0006096F" w:rsidRDefault="00081F16" w:rsidP="00B56D9B">
      <w:pPr>
        <w:ind w:left="720" w:hanging="720"/>
      </w:pPr>
      <w:r w:rsidRPr="0006096F">
        <w:lastRenderedPageBreak/>
        <w:t>Thomasson, A</w:t>
      </w:r>
      <w:r w:rsidR="00DA6A0C">
        <w:t>.</w:t>
      </w:r>
      <w:r w:rsidRPr="0006096F">
        <w:t xml:space="preserve">L. </w:t>
      </w:r>
      <w:r w:rsidR="00DA6A0C">
        <w:t>(</w:t>
      </w:r>
      <w:r w:rsidRPr="0006096F">
        <w:t>2002</w:t>
      </w:r>
      <w:r w:rsidR="00DA6A0C">
        <w:t>)</w:t>
      </w:r>
      <w:r w:rsidR="000C6CC3">
        <w:t xml:space="preserve">. </w:t>
      </w:r>
      <w:r w:rsidRPr="0006096F">
        <w:t xml:space="preserve">Phenomenology and the </w:t>
      </w:r>
      <w:r w:rsidR="000C6CC3">
        <w:t>d</w:t>
      </w:r>
      <w:r w:rsidRPr="0006096F">
        <w:t xml:space="preserve">evelopment of </w:t>
      </w:r>
      <w:r w:rsidR="000C6CC3">
        <w:t>a</w:t>
      </w:r>
      <w:r w:rsidRPr="0006096F">
        <w:t xml:space="preserve">nalytic </w:t>
      </w:r>
      <w:r w:rsidR="000C6CC3">
        <w:t>p</w:t>
      </w:r>
      <w:r w:rsidRPr="0006096F">
        <w:t>hilosophy</w:t>
      </w:r>
      <w:r w:rsidR="000C6CC3">
        <w:t>.</w:t>
      </w:r>
      <w:r w:rsidR="00DA6A0C">
        <w:t xml:space="preserve"> </w:t>
      </w:r>
      <w:r w:rsidRPr="0006096F">
        <w:rPr>
          <w:i/>
        </w:rPr>
        <w:t>Southern Journal of Philosophy</w:t>
      </w:r>
      <w:r w:rsidRPr="0006096F">
        <w:t xml:space="preserve"> 40(1):</w:t>
      </w:r>
      <w:r w:rsidR="00A64DF4" w:rsidRPr="0006096F">
        <w:t xml:space="preserve"> </w:t>
      </w:r>
      <w:r w:rsidRPr="0006096F">
        <w:t>115</w:t>
      </w:r>
      <w:r w:rsidR="00643909">
        <w:t>–</w:t>
      </w:r>
      <w:r w:rsidR="000C6CC3">
        <w:t>1</w:t>
      </w:r>
      <w:r w:rsidRPr="0006096F">
        <w:t>42.</w:t>
      </w:r>
    </w:p>
    <w:p w14:paraId="556BBAFB" w14:textId="77777777" w:rsidR="00B07AB2" w:rsidRPr="0006096F" w:rsidRDefault="000C6CC3" w:rsidP="00B56D9B">
      <w:pPr>
        <w:ind w:left="720" w:hanging="720"/>
      </w:pPr>
      <w:r w:rsidRPr="0006096F">
        <w:t>Thomasson, A</w:t>
      </w:r>
      <w:r>
        <w:t>.</w:t>
      </w:r>
      <w:r w:rsidRPr="0006096F">
        <w:t xml:space="preserve">L. </w:t>
      </w:r>
      <w:r w:rsidR="00DA6A0C">
        <w:t>(</w:t>
      </w:r>
      <w:r w:rsidR="00B07AB2" w:rsidRPr="0006096F">
        <w:t>2007</w:t>
      </w:r>
      <w:r w:rsidR="00DA6A0C">
        <w:t>)</w:t>
      </w:r>
      <w:r>
        <w:t xml:space="preserve">. </w:t>
      </w:r>
      <w:r w:rsidR="00B07AB2" w:rsidRPr="0006096F">
        <w:t xml:space="preserve">Conceptual </w:t>
      </w:r>
      <w:r>
        <w:t>a</w:t>
      </w:r>
      <w:r w:rsidR="00B07AB2" w:rsidRPr="0006096F">
        <w:t xml:space="preserve">nalysis in </w:t>
      </w:r>
      <w:r>
        <w:t>p</w:t>
      </w:r>
      <w:r w:rsidR="00B07AB2" w:rsidRPr="0006096F">
        <w:t xml:space="preserve">henomenology and </w:t>
      </w:r>
      <w:r>
        <w:t>o</w:t>
      </w:r>
      <w:r w:rsidR="00B07AB2" w:rsidRPr="0006096F">
        <w:t xml:space="preserve">rdinary </w:t>
      </w:r>
      <w:r>
        <w:t>l</w:t>
      </w:r>
      <w:r w:rsidR="00B07AB2" w:rsidRPr="0006096F">
        <w:t xml:space="preserve">anguage </w:t>
      </w:r>
      <w:r>
        <w:t>p</w:t>
      </w:r>
      <w:r w:rsidR="00B07AB2" w:rsidRPr="0006096F">
        <w:t>hilosophy</w:t>
      </w:r>
      <w:r>
        <w:t>.</w:t>
      </w:r>
      <w:r w:rsidR="00B07AB2" w:rsidRPr="0006096F">
        <w:t xml:space="preserve"> </w:t>
      </w:r>
      <w:r>
        <w:t>I</w:t>
      </w:r>
      <w:r w:rsidR="00B07AB2" w:rsidRPr="0006096F">
        <w:t>n Mich</w:t>
      </w:r>
      <w:r w:rsidR="00F87819">
        <w:t>a</w:t>
      </w:r>
      <w:r w:rsidR="00B07AB2" w:rsidRPr="0006096F">
        <w:t xml:space="preserve">el </w:t>
      </w:r>
      <w:proofErr w:type="spellStart"/>
      <w:r w:rsidR="00B07AB2" w:rsidRPr="0006096F">
        <w:t>Beaney</w:t>
      </w:r>
      <w:proofErr w:type="spellEnd"/>
      <w:r w:rsidR="00B07AB2" w:rsidRPr="0006096F">
        <w:t xml:space="preserve"> (</w:t>
      </w:r>
      <w:r>
        <w:t>Ed.</w:t>
      </w:r>
      <w:r w:rsidR="00B07AB2" w:rsidRPr="0006096F">
        <w:t xml:space="preserve">), </w:t>
      </w:r>
      <w:r w:rsidR="00B07AB2" w:rsidRPr="0006096F">
        <w:rPr>
          <w:i/>
        </w:rPr>
        <w:t>The Analytic Turn</w:t>
      </w:r>
      <w:r w:rsidR="00B07AB2" w:rsidRPr="0006096F">
        <w:t xml:space="preserve">. </w:t>
      </w:r>
      <w:r w:rsidR="00661AA7" w:rsidRPr="0006096F">
        <w:t xml:space="preserve">London: </w:t>
      </w:r>
      <w:r w:rsidR="00B07AB2" w:rsidRPr="0006096F">
        <w:t>Routledge</w:t>
      </w:r>
      <w:r>
        <w:t xml:space="preserve">: </w:t>
      </w:r>
      <w:r w:rsidR="00B07AB2" w:rsidRPr="0006096F">
        <w:t>270</w:t>
      </w:r>
      <w:r w:rsidR="00643909">
        <w:t>–</w:t>
      </w:r>
      <w:r w:rsidR="00DA6A0C">
        <w:t>2</w:t>
      </w:r>
      <w:r w:rsidR="00661AA7" w:rsidRPr="0006096F">
        <w:t>84.</w:t>
      </w:r>
    </w:p>
    <w:p w14:paraId="20F10B6C" w14:textId="77777777" w:rsidR="00081F16" w:rsidRPr="0006096F" w:rsidRDefault="000C6CC3" w:rsidP="00B56D9B">
      <w:pPr>
        <w:ind w:left="720" w:hanging="720"/>
      </w:pPr>
      <w:r w:rsidRPr="0006096F">
        <w:t>Thomasson, A</w:t>
      </w:r>
      <w:r>
        <w:t>.</w:t>
      </w:r>
      <w:r w:rsidRPr="0006096F">
        <w:t xml:space="preserve">L. </w:t>
      </w:r>
      <w:r w:rsidR="00DA6A0C">
        <w:t>(</w:t>
      </w:r>
      <w:r w:rsidR="00081F16" w:rsidRPr="0006096F">
        <w:t>2017a</w:t>
      </w:r>
      <w:r w:rsidR="00DA6A0C">
        <w:t>)</w:t>
      </w:r>
      <w:r>
        <w:t xml:space="preserve">. </w:t>
      </w:r>
      <w:r w:rsidR="00081F16" w:rsidRPr="0006096F">
        <w:t xml:space="preserve">What </w:t>
      </w:r>
      <w:r>
        <w:t>c</w:t>
      </w:r>
      <w:r w:rsidR="00081F16" w:rsidRPr="0006096F">
        <w:t xml:space="preserve">an </w:t>
      </w:r>
      <w:r>
        <w:t>w</w:t>
      </w:r>
      <w:r w:rsidR="00081F16" w:rsidRPr="0006096F">
        <w:t xml:space="preserve">e </w:t>
      </w:r>
      <w:r>
        <w:t>d</w:t>
      </w:r>
      <w:r w:rsidR="00081F16" w:rsidRPr="0006096F">
        <w:t xml:space="preserve">o, </w:t>
      </w:r>
      <w:r>
        <w:t>w</w:t>
      </w:r>
      <w:r w:rsidR="00081F16" w:rsidRPr="0006096F">
        <w:t xml:space="preserve">hen </w:t>
      </w:r>
      <w:r>
        <w:t>w</w:t>
      </w:r>
      <w:r w:rsidR="00081F16" w:rsidRPr="0006096F">
        <w:t xml:space="preserve">e </w:t>
      </w:r>
      <w:r>
        <w:t>d</w:t>
      </w:r>
      <w:r w:rsidR="00081F16" w:rsidRPr="0006096F">
        <w:t xml:space="preserve">o </w:t>
      </w:r>
      <w:r>
        <w:t>m</w:t>
      </w:r>
      <w:r w:rsidR="00081F16" w:rsidRPr="0006096F">
        <w:t>etaphysics?</w:t>
      </w:r>
      <w:r>
        <w:t xml:space="preserve"> I</w:t>
      </w:r>
      <w:r w:rsidR="00081F16" w:rsidRPr="0006096F">
        <w:t>n G</w:t>
      </w:r>
      <w:r w:rsidR="00DA6A0C">
        <w:t>.</w:t>
      </w:r>
      <w:r w:rsidR="00081F16" w:rsidRPr="0006096F">
        <w:t xml:space="preserve"> </w:t>
      </w:r>
      <w:proofErr w:type="spellStart"/>
      <w:r w:rsidR="00081F16" w:rsidRPr="0006096F">
        <w:t>D’Oro</w:t>
      </w:r>
      <w:proofErr w:type="spellEnd"/>
      <w:r w:rsidR="00081F16" w:rsidRPr="0006096F">
        <w:t xml:space="preserve"> and S</w:t>
      </w:r>
      <w:r w:rsidR="00DA6A0C">
        <w:t>.</w:t>
      </w:r>
      <w:r w:rsidR="00081F16" w:rsidRPr="0006096F">
        <w:t xml:space="preserve"> Overgaard</w:t>
      </w:r>
      <w:r w:rsidR="00421999" w:rsidRPr="0006096F">
        <w:t xml:space="preserve"> (</w:t>
      </w:r>
      <w:r>
        <w:t>Eds.</w:t>
      </w:r>
      <w:r w:rsidR="00421999" w:rsidRPr="0006096F">
        <w:t>)</w:t>
      </w:r>
      <w:r w:rsidR="00081F16" w:rsidRPr="0006096F">
        <w:t xml:space="preserve">, </w:t>
      </w:r>
      <w:r w:rsidR="00081F16" w:rsidRPr="0006096F">
        <w:rPr>
          <w:i/>
        </w:rPr>
        <w:t>The Cambridge Companion to Philosophical Methodology</w:t>
      </w:r>
      <w:r w:rsidR="00081F16" w:rsidRPr="0006096F">
        <w:t>. Cambridge: Cambridge University Press</w:t>
      </w:r>
      <w:r>
        <w:t xml:space="preserve">: </w:t>
      </w:r>
      <w:r w:rsidR="00212AA2" w:rsidRPr="0006096F">
        <w:t>101</w:t>
      </w:r>
      <w:r w:rsidR="00643909">
        <w:t>–</w:t>
      </w:r>
      <w:r w:rsidR="00212AA2" w:rsidRPr="0006096F">
        <w:t>121</w:t>
      </w:r>
      <w:r w:rsidR="00081F16" w:rsidRPr="0006096F">
        <w:t xml:space="preserve">. </w:t>
      </w:r>
    </w:p>
    <w:p w14:paraId="5A4FF8B6" w14:textId="77777777" w:rsidR="00081F16" w:rsidRPr="0006096F" w:rsidRDefault="000C6CC3" w:rsidP="00B56D9B">
      <w:pPr>
        <w:ind w:left="720" w:hanging="720"/>
      </w:pPr>
      <w:r w:rsidRPr="0006096F">
        <w:t>Thomasson, A</w:t>
      </w:r>
      <w:r>
        <w:t>.</w:t>
      </w:r>
      <w:r w:rsidRPr="0006096F">
        <w:t xml:space="preserve">L. </w:t>
      </w:r>
      <w:r w:rsidR="00DA6A0C">
        <w:t>(</w:t>
      </w:r>
      <w:r w:rsidR="00081F16" w:rsidRPr="0006096F">
        <w:t>2017b</w:t>
      </w:r>
      <w:r w:rsidR="00DA6A0C">
        <w:t>)</w:t>
      </w:r>
      <w:r>
        <w:t>.</w:t>
      </w:r>
      <w:r w:rsidR="00081F16" w:rsidRPr="0006096F">
        <w:t xml:space="preserve"> Husserl on </w:t>
      </w:r>
      <w:r>
        <w:t>e</w:t>
      </w:r>
      <w:r w:rsidR="00081F16" w:rsidRPr="0006096F">
        <w:t>ssences</w:t>
      </w:r>
      <w:r>
        <w:t>.</w:t>
      </w:r>
      <w:r w:rsidR="00DA6A0C">
        <w:t xml:space="preserve"> </w:t>
      </w:r>
      <w:r w:rsidR="00081F16" w:rsidRPr="0006096F">
        <w:rPr>
          <w:i/>
        </w:rPr>
        <w:t xml:space="preserve">Grazer </w:t>
      </w:r>
      <w:proofErr w:type="spellStart"/>
      <w:r w:rsidR="00081F16" w:rsidRPr="0006096F">
        <w:rPr>
          <w:i/>
        </w:rPr>
        <w:t>Philosophische</w:t>
      </w:r>
      <w:proofErr w:type="spellEnd"/>
      <w:r w:rsidR="00081F16" w:rsidRPr="0006096F">
        <w:rPr>
          <w:i/>
        </w:rPr>
        <w:t xml:space="preserve"> </w:t>
      </w:r>
      <w:proofErr w:type="spellStart"/>
      <w:r w:rsidR="00081F16" w:rsidRPr="0006096F">
        <w:rPr>
          <w:i/>
        </w:rPr>
        <w:t>Studien</w:t>
      </w:r>
      <w:proofErr w:type="spellEnd"/>
      <w:r w:rsidR="00081F16" w:rsidRPr="0006096F">
        <w:t xml:space="preserve"> 94(3):</w:t>
      </w:r>
      <w:r w:rsidR="009E74C3" w:rsidRPr="0006096F">
        <w:t xml:space="preserve"> </w:t>
      </w:r>
      <w:r w:rsidR="00081F16" w:rsidRPr="0006096F">
        <w:t>436</w:t>
      </w:r>
      <w:r w:rsidR="00643909">
        <w:t>–</w:t>
      </w:r>
      <w:r w:rsidR="00DA6A0C">
        <w:t>4</w:t>
      </w:r>
      <w:r w:rsidR="00081F16" w:rsidRPr="0006096F">
        <w:t>59</w:t>
      </w:r>
    </w:p>
    <w:p w14:paraId="49054D16" w14:textId="77777777" w:rsidR="00782BC8" w:rsidRPr="0006096F" w:rsidRDefault="00782BC8" w:rsidP="00B95D2D"/>
    <w:sectPr w:rsidR="00782BC8" w:rsidRPr="000609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78F47" w14:textId="77777777" w:rsidR="002C644F" w:rsidRDefault="002C644F" w:rsidP="00B95D2D">
      <w:r>
        <w:separator/>
      </w:r>
    </w:p>
  </w:endnote>
  <w:endnote w:type="continuationSeparator" w:id="0">
    <w:p w14:paraId="4E804D1F" w14:textId="77777777" w:rsidR="002C644F" w:rsidRDefault="002C644F" w:rsidP="00B9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C2B8A" w14:textId="77777777" w:rsidR="002C644F" w:rsidRDefault="002C644F" w:rsidP="00B95D2D">
      <w:pPr>
        <w:spacing w:line="240" w:lineRule="auto"/>
      </w:pPr>
      <w:r>
        <w:separator/>
      </w:r>
    </w:p>
  </w:footnote>
  <w:footnote w:type="continuationSeparator" w:id="0">
    <w:p w14:paraId="7B64ABEB" w14:textId="77777777" w:rsidR="002C644F" w:rsidRDefault="002C644F" w:rsidP="00B95D2D">
      <w:pPr>
        <w:spacing w:line="240" w:lineRule="auto"/>
      </w:pPr>
      <w:r>
        <w:continuationSeparator/>
      </w:r>
    </w:p>
  </w:footnote>
  <w:footnote w:type="continuationNotice" w:id="1">
    <w:p w14:paraId="69F25B90" w14:textId="77777777" w:rsidR="002C644F" w:rsidRDefault="002C644F" w:rsidP="00B95D2D"/>
  </w:footnote>
  <w:footnote w:id="2">
    <w:p w14:paraId="6CCA1558"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He writes his investigations meant to be </w:t>
      </w:r>
      <w:r>
        <w:rPr>
          <w:sz w:val="20"/>
          <w:szCs w:val="20"/>
        </w:rPr>
        <w:t>“</w:t>
      </w:r>
      <w:r w:rsidRPr="00D81CA6">
        <w:rPr>
          <w:sz w:val="20"/>
          <w:szCs w:val="20"/>
        </w:rPr>
        <w:t xml:space="preserve">the beginning of a radical clarification of the sense and origin (or the sense in consequence of the origin) of the concepts: world, Nature, space, time, psychophysical being, man, psyche, animate organism, social community, culture, and so forth.  It is plain that the actual carrying out of the indicated investigations would have to lead to all the concepts which, as unexplored, function as fundamental concepts in all positive sciences, but which accrue in phenomenology with an all-round clarity and distinctness that leave no further room for any </w:t>
      </w:r>
      <w:proofErr w:type="spellStart"/>
      <w:r w:rsidRPr="00D81CA6">
        <w:rPr>
          <w:sz w:val="20"/>
          <w:szCs w:val="20"/>
        </w:rPr>
        <w:t>questionableness</w:t>
      </w:r>
      <w:proofErr w:type="spellEnd"/>
      <w:r>
        <w:rPr>
          <w:sz w:val="20"/>
          <w:szCs w:val="20"/>
        </w:rPr>
        <w:t>”</w:t>
      </w:r>
      <w:r w:rsidRPr="00D81CA6">
        <w:rPr>
          <w:sz w:val="20"/>
          <w:szCs w:val="20"/>
        </w:rPr>
        <w:t xml:space="preserve"> (Husserl</w:t>
      </w:r>
      <w:r>
        <w:rPr>
          <w:sz w:val="20"/>
          <w:szCs w:val="20"/>
        </w:rPr>
        <w:t>,</w:t>
      </w:r>
      <w:r w:rsidRPr="00D81CA6">
        <w:rPr>
          <w:sz w:val="20"/>
          <w:szCs w:val="20"/>
        </w:rPr>
        <w:t xml:space="preserve"> 1970</w:t>
      </w:r>
      <w:r>
        <w:rPr>
          <w:sz w:val="20"/>
          <w:szCs w:val="20"/>
        </w:rPr>
        <w:t>,</w:t>
      </w:r>
      <w:r w:rsidRPr="00D81CA6">
        <w:rPr>
          <w:sz w:val="20"/>
          <w:szCs w:val="20"/>
        </w:rPr>
        <w:t xml:space="preserve"> </w:t>
      </w:r>
      <w:r>
        <w:rPr>
          <w:sz w:val="20"/>
          <w:szCs w:val="20"/>
        </w:rPr>
        <w:t xml:space="preserve">p. </w:t>
      </w:r>
      <w:r w:rsidRPr="00D81CA6">
        <w:rPr>
          <w:sz w:val="20"/>
          <w:szCs w:val="20"/>
        </w:rPr>
        <w:t xml:space="preserve">154). </w:t>
      </w:r>
    </w:p>
  </w:footnote>
  <w:footnote w:id="3">
    <w:p w14:paraId="1FA1D3A5"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In a series of historical papers, Amie Thomasson (2002; 2007) contends not only that Husserl’s phenomenology may have directly influenced twentieth-century conceptual analysis (especially through Ryle), but also that Husserl </w:t>
      </w:r>
      <w:r>
        <w:rPr>
          <w:sz w:val="20"/>
          <w:szCs w:val="20"/>
        </w:rPr>
        <w:t>“</w:t>
      </w:r>
      <w:r w:rsidRPr="00D81CA6">
        <w:rPr>
          <w:sz w:val="20"/>
          <w:szCs w:val="20"/>
        </w:rPr>
        <w:t>offers a more explicit and thorough development and defense of the idea of a priori meaning analysis as the proper method of philosophy than any other philosopher</w:t>
      </w:r>
      <w:r>
        <w:rPr>
          <w:sz w:val="20"/>
          <w:szCs w:val="20"/>
        </w:rPr>
        <w:t>”</w:t>
      </w:r>
      <w:r w:rsidRPr="00D81CA6">
        <w:rPr>
          <w:sz w:val="20"/>
          <w:szCs w:val="20"/>
        </w:rPr>
        <w:t xml:space="preserve"> (Thomasson</w:t>
      </w:r>
      <w:r>
        <w:rPr>
          <w:sz w:val="20"/>
          <w:szCs w:val="20"/>
        </w:rPr>
        <w:t>, 2007,</w:t>
      </w:r>
      <w:r w:rsidRPr="00D81CA6">
        <w:rPr>
          <w:sz w:val="20"/>
          <w:szCs w:val="20"/>
        </w:rPr>
        <w:t xml:space="preserve"> </w:t>
      </w:r>
      <w:r>
        <w:rPr>
          <w:sz w:val="20"/>
          <w:szCs w:val="20"/>
        </w:rPr>
        <w:t xml:space="preserve">p. </w:t>
      </w:r>
      <w:r w:rsidRPr="00D81CA6">
        <w:rPr>
          <w:sz w:val="20"/>
          <w:szCs w:val="20"/>
        </w:rPr>
        <w:t xml:space="preserve">271). </w:t>
      </w:r>
    </w:p>
  </w:footnote>
  <w:footnote w:id="4">
    <w:p w14:paraId="1E413264" w14:textId="77777777" w:rsidR="00472D75" w:rsidRPr="00D81CA6" w:rsidRDefault="00472D75">
      <w:pPr>
        <w:pStyle w:val="FootnoteText"/>
        <w:rPr>
          <w:sz w:val="20"/>
          <w:szCs w:val="20"/>
        </w:rPr>
      </w:pPr>
      <w:r w:rsidRPr="00D81CA6">
        <w:rPr>
          <w:rStyle w:val="FootnoteReference"/>
          <w:sz w:val="20"/>
          <w:szCs w:val="20"/>
        </w:rPr>
        <w:footnoteRef/>
      </w:r>
      <w:r w:rsidRPr="00D81CA6">
        <w:rPr>
          <w:sz w:val="20"/>
          <w:szCs w:val="20"/>
        </w:rPr>
        <w:t xml:space="preserve"> See, e.g., </w:t>
      </w:r>
      <w:proofErr w:type="spellStart"/>
      <w:r>
        <w:rPr>
          <w:sz w:val="20"/>
          <w:szCs w:val="20"/>
        </w:rPr>
        <w:t>Cappelen</w:t>
      </w:r>
      <w:proofErr w:type="spellEnd"/>
      <w:r>
        <w:rPr>
          <w:sz w:val="20"/>
          <w:szCs w:val="20"/>
        </w:rPr>
        <w:t xml:space="preserve"> (2018) and Burgess, </w:t>
      </w:r>
      <w:proofErr w:type="spellStart"/>
      <w:r>
        <w:rPr>
          <w:sz w:val="20"/>
          <w:szCs w:val="20"/>
        </w:rPr>
        <w:t>Cappelen</w:t>
      </w:r>
      <w:proofErr w:type="spellEnd"/>
      <w:r>
        <w:rPr>
          <w:sz w:val="20"/>
          <w:szCs w:val="20"/>
        </w:rPr>
        <w:t xml:space="preserve">, and Plunkett (2020). </w:t>
      </w:r>
    </w:p>
  </w:footnote>
  <w:footnote w:id="5">
    <w:p w14:paraId="4636EAD0"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The main source for this overview of Husserl’s theory is his post-humous </w:t>
      </w:r>
      <w:proofErr w:type="spellStart"/>
      <w:r>
        <w:rPr>
          <w:i/>
          <w:sz w:val="20"/>
          <w:szCs w:val="20"/>
        </w:rPr>
        <w:t>Erfahrung</w:t>
      </w:r>
      <w:proofErr w:type="spellEnd"/>
      <w:r>
        <w:rPr>
          <w:i/>
          <w:sz w:val="20"/>
          <w:szCs w:val="20"/>
        </w:rPr>
        <w:t xml:space="preserve"> und </w:t>
      </w:r>
      <w:proofErr w:type="spellStart"/>
      <w:r>
        <w:rPr>
          <w:i/>
          <w:sz w:val="20"/>
          <w:szCs w:val="20"/>
        </w:rPr>
        <w:t>Urteil</w:t>
      </w:r>
      <w:proofErr w:type="spellEnd"/>
      <w:r>
        <w:rPr>
          <w:i/>
          <w:sz w:val="20"/>
          <w:szCs w:val="20"/>
        </w:rPr>
        <w:t xml:space="preserve">. </w:t>
      </w:r>
      <w:r>
        <w:rPr>
          <w:iCs/>
          <w:sz w:val="20"/>
          <w:szCs w:val="20"/>
        </w:rPr>
        <w:t xml:space="preserve">(I will cite this as </w:t>
      </w:r>
      <w:r w:rsidRPr="00176495">
        <w:rPr>
          <w:sz w:val="20"/>
          <w:szCs w:val="20"/>
        </w:rPr>
        <w:t>EU</w:t>
      </w:r>
      <w:r>
        <w:rPr>
          <w:iCs/>
          <w:sz w:val="20"/>
          <w:szCs w:val="20"/>
        </w:rPr>
        <w:t xml:space="preserve">, first listing the page number of the 1939 German edition, following by the 1973 English translation (=EJ) </w:t>
      </w:r>
      <w:r w:rsidRPr="00D81CA6">
        <w:rPr>
          <w:sz w:val="20"/>
          <w:szCs w:val="20"/>
        </w:rPr>
        <w:t xml:space="preserve">As </w:t>
      </w:r>
      <w:proofErr w:type="spellStart"/>
      <w:r w:rsidRPr="00D81CA6">
        <w:rPr>
          <w:sz w:val="20"/>
          <w:szCs w:val="20"/>
        </w:rPr>
        <w:t>Lohmar</w:t>
      </w:r>
      <w:proofErr w:type="spellEnd"/>
      <w:r w:rsidRPr="00D81CA6">
        <w:rPr>
          <w:sz w:val="20"/>
          <w:szCs w:val="20"/>
        </w:rPr>
        <w:t xml:space="preserve"> (2011</w:t>
      </w:r>
      <w:r>
        <w:rPr>
          <w:sz w:val="20"/>
          <w:szCs w:val="20"/>
        </w:rPr>
        <w:t>,</w:t>
      </w:r>
      <w:r w:rsidRPr="00D81CA6">
        <w:rPr>
          <w:sz w:val="20"/>
          <w:szCs w:val="20"/>
        </w:rPr>
        <w:t xml:space="preserve"> </w:t>
      </w:r>
      <w:r>
        <w:rPr>
          <w:sz w:val="20"/>
          <w:szCs w:val="20"/>
        </w:rPr>
        <w:t xml:space="preserve">p. </w:t>
      </w:r>
      <w:r w:rsidRPr="00D81CA6">
        <w:rPr>
          <w:sz w:val="20"/>
          <w:szCs w:val="20"/>
        </w:rPr>
        <w:t>271) points out, this material is derived from Husserl’s lectures on transcendental logic of 1920/21, so it is representative at least of his Freiburg period.</w:t>
      </w:r>
    </w:p>
  </w:footnote>
  <w:footnote w:id="6">
    <w:p w14:paraId="43DB0827"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John McDowell’s (1994</w:t>
      </w:r>
      <w:r>
        <w:rPr>
          <w:sz w:val="20"/>
          <w:szCs w:val="20"/>
        </w:rPr>
        <w:t xml:space="preserve">, pp. </w:t>
      </w:r>
      <w:r w:rsidRPr="00D81CA6">
        <w:rPr>
          <w:sz w:val="20"/>
          <w:szCs w:val="20"/>
        </w:rPr>
        <w:t>57</w:t>
      </w:r>
      <w:r w:rsidR="00643909">
        <w:rPr>
          <w:sz w:val="20"/>
          <w:szCs w:val="20"/>
        </w:rPr>
        <w:t>–</w:t>
      </w:r>
      <w:r w:rsidRPr="00D81CA6">
        <w:rPr>
          <w:sz w:val="20"/>
          <w:szCs w:val="20"/>
        </w:rPr>
        <w:t xml:space="preserve">68) brief discussion of </w:t>
      </w:r>
      <w:r>
        <w:rPr>
          <w:sz w:val="20"/>
          <w:szCs w:val="20"/>
        </w:rPr>
        <w:t>“</w:t>
      </w:r>
      <w:r w:rsidRPr="00D81CA6">
        <w:rPr>
          <w:sz w:val="20"/>
          <w:szCs w:val="20"/>
        </w:rPr>
        <w:t>demonstrative concepts</w:t>
      </w:r>
      <w:r>
        <w:rPr>
          <w:sz w:val="20"/>
          <w:szCs w:val="20"/>
        </w:rPr>
        <w:t>”</w:t>
      </w:r>
      <w:r w:rsidRPr="00D81CA6">
        <w:rPr>
          <w:sz w:val="20"/>
          <w:szCs w:val="20"/>
        </w:rPr>
        <w:t xml:space="preserve"> seems a good approximation of Husserl’s understanding of the perceptual basis of many concepts (i.e., </w:t>
      </w:r>
      <w:r w:rsidRPr="00D81CA6">
        <w:rPr>
          <w:i/>
          <w:sz w:val="20"/>
          <w:szCs w:val="20"/>
        </w:rPr>
        <w:t>a wrinkle like that</w:t>
      </w:r>
      <w:r w:rsidRPr="00D81CA6">
        <w:rPr>
          <w:sz w:val="20"/>
          <w:szCs w:val="20"/>
        </w:rPr>
        <w:t xml:space="preserve">). </w:t>
      </w:r>
    </w:p>
  </w:footnote>
  <w:footnote w:id="7">
    <w:p w14:paraId="44D48ACC"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Husserl closely associates concepts with generalities in the following: </w:t>
      </w:r>
      <w:r>
        <w:rPr>
          <w:sz w:val="20"/>
          <w:szCs w:val="20"/>
        </w:rPr>
        <w:t>“</w:t>
      </w:r>
      <w:r w:rsidRPr="00D81CA6">
        <w:rPr>
          <w:sz w:val="20"/>
          <w:szCs w:val="20"/>
        </w:rPr>
        <w:t xml:space="preserve">Consequently, </w:t>
      </w:r>
      <w:r w:rsidRPr="00D81CA6">
        <w:rPr>
          <w:i/>
          <w:sz w:val="20"/>
          <w:szCs w:val="20"/>
        </w:rPr>
        <w:t xml:space="preserve">the possibility of the formation of general objectivities, </w:t>
      </w:r>
      <w:r w:rsidRPr="00D81CA6">
        <w:rPr>
          <w:sz w:val="20"/>
          <w:szCs w:val="20"/>
        </w:rPr>
        <w:t xml:space="preserve">of ‘concepts,’ extends </w:t>
      </w:r>
      <w:r w:rsidRPr="00D81CA6">
        <w:rPr>
          <w:i/>
          <w:sz w:val="20"/>
          <w:szCs w:val="20"/>
        </w:rPr>
        <w:t>as far as there are associative syntheses of likenes</w:t>
      </w:r>
      <w:r>
        <w:rPr>
          <w:i/>
          <w:sz w:val="20"/>
          <w:szCs w:val="20"/>
        </w:rPr>
        <w:t>s</w:t>
      </w:r>
      <w:r>
        <w:rPr>
          <w:iCs/>
          <w:sz w:val="20"/>
          <w:szCs w:val="20"/>
        </w:rPr>
        <w:t>”</w:t>
      </w:r>
      <w:r w:rsidRPr="00D81CA6">
        <w:rPr>
          <w:sz w:val="20"/>
          <w:szCs w:val="20"/>
        </w:rPr>
        <w:t xml:space="preserve"> (</w:t>
      </w:r>
      <w:r w:rsidRPr="00176495">
        <w:rPr>
          <w:sz w:val="20"/>
          <w:szCs w:val="20"/>
        </w:rPr>
        <w:t>EU</w:t>
      </w:r>
      <w:r>
        <w:rPr>
          <w:i/>
          <w:sz w:val="20"/>
          <w:szCs w:val="20"/>
        </w:rPr>
        <w:t xml:space="preserve"> </w:t>
      </w:r>
      <w:r>
        <w:rPr>
          <w:iCs/>
          <w:sz w:val="20"/>
          <w:szCs w:val="20"/>
        </w:rPr>
        <w:t xml:space="preserve">396; EJ </w:t>
      </w:r>
      <w:r w:rsidRPr="00D81CA6">
        <w:rPr>
          <w:sz w:val="20"/>
          <w:szCs w:val="20"/>
        </w:rPr>
        <w:t>329).</w:t>
      </w:r>
    </w:p>
  </w:footnote>
  <w:footnote w:id="8">
    <w:p w14:paraId="28DD8AA7"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w:t>
      </w:r>
      <w:r>
        <w:rPr>
          <w:sz w:val="20"/>
          <w:szCs w:val="20"/>
        </w:rPr>
        <w:t>“</w:t>
      </w:r>
      <w:r w:rsidRPr="00D81CA6">
        <w:rPr>
          <w:sz w:val="20"/>
          <w:szCs w:val="20"/>
        </w:rPr>
        <w:t xml:space="preserve">The concept in its ideality must be understood as something objective which has a </w:t>
      </w:r>
      <w:r w:rsidRPr="00D81CA6">
        <w:rPr>
          <w:i/>
          <w:sz w:val="20"/>
          <w:szCs w:val="20"/>
        </w:rPr>
        <w:t>purely ideal being</w:t>
      </w:r>
      <w:r w:rsidRPr="00D81CA6">
        <w:rPr>
          <w:sz w:val="20"/>
          <w:szCs w:val="20"/>
        </w:rPr>
        <w:t>, a being which does not presuppose the actual existence of corresponding particulars; it is what it is even if the corresponding particulars are only pure possibilities, though, on the other hand, in the realm of experienced actuality, it can also be the realized concept of actual particulars</w:t>
      </w:r>
      <w:r>
        <w:rPr>
          <w:sz w:val="20"/>
          <w:szCs w:val="20"/>
        </w:rPr>
        <w:t>”</w:t>
      </w:r>
      <w:r w:rsidRPr="00D81CA6">
        <w:rPr>
          <w:sz w:val="20"/>
          <w:szCs w:val="20"/>
        </w:rPr>
        <w:t xml:space="preserve"> (</w:t>
      </w:r>
      <w:r w:rsidRPr="00176495">
        <w:rPr>
          <w:sz w:val="20"/>
          <w:szCs w:val="20"/>
        </w:rPr>
        <w:t>EU</w:t>
      </w:r>
      <w:r>
        <w:rPr>
          <w:i/>
          <w:sz w:val="20"/>
          <w:szCs w:val="20"/>
        </w:rPr>
        <w:t xml:space="preserve"> </w:t>
      </w:r>
      <w:r>
        <w:rPr>
          <w:iCs/>
          <w:sz w:val="20"/>
          <w:szCs w:val="20"/>
        </w:rPr>
        <w:t xml:space="preserve">395; EJ </w:t>
      </w:r>
      <w:r w:rsidRPr="00D81CA6">
        <w:rPr>
          <w:sz w:val="20"/>
          <w:szCs w:val="20"/>
        </w:rPr>
        <w:t>328</w:t>
      </w:r>
      <w:r w:rsidR="00643909">
        <w:rPr>
          <w:sz w:val="20"/>
          <w:szCs w:val="20"/>
        </w:rPr>
        <w:t>–</w:t>
      </w:r>
      <w:r>
        <w:rPr>
          <w:sz w:val="20"/>
          <w:szCs w:val="20"/>
        </w:rPr>
        <w:t>3</w:t>
      </w:r>
      <w:r w:rsidRPr="00D81CA6">
        <w:rPr>
          <w:sz w:val="20"/>
          <w:szCs w:val="20"/>
        </w:rPr>
        <w:t>29).</w:t>
      </w:r>
    </w:p>
  </w:footnote>
  <w:footnote w:id="9">
    <w:p w14:paraId="561CFAA3"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I have capitalized the schematic </w:t>
      </w:r>
      <w:r w:rsidR="00037B0B">
        <w:rPr>
          <w:sz w:val="20"/>
          <w:szCs w:val="20"/>
        </w:rPr>
        <w:t>“</w:t>
      </w:r>
      <w:r w:rsidRPr="00D81CA6">
        <w:rPr>
          <w:i/>
          <w:sz w:val="20"/>
          <w:szCs w:val="20"/>
        </w:rPr>
        <w:t>P</w:t>
      </w:r>
      <w:r w:rsidR="00037B0B">
        <w:rPr>
          <w:sz w:val="20"/>
          <w:szCs w:val="20"/>
        </w:rPr>
        <w:t>”</w:t>
      </w:r>
      <w:r w:rsidRPr="00D81CA6">
        <w:rPr>
          <w:sz w:val="20"/>
          <w:szCs w:val="20"/>
        </w:rPr>
        <w:t xml:space="preserve"> from the English translation throughout. The lowercase version used is bound to be confused for the sentential use of </w:t>
      </w:r>
      <w:r w:rsidRPr="00D81CA6">
        <w:rPr>
          <w:i/>
          <w:sz w:val="20"/>
          <w:szCs w:val="20"/>
        </w:rPr>
        <w:t>p</w:t>
      </w:r>
      <w:r w:rsidRPr="00D81CA6">
        <w:rPr>
          <w:sz w:val="20"/>
          <w:szCs w:val="20"/>
        </w:rPr>
        <w:t xml:space="preserve">. </w:t>
      </w:r>
    </w:p>
  </w:footnote>
  <w:footnote w:id="10">
    <w:p w14:paraId="30C8347B"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Husserl speaks of a </w:t>
      </w:r>
      <w:r>
        <w:rPr>
          <w:sz w:val="20"/>
          <w:szCs w:val="20"/>
        </w:rPr>
        <w:t>“</w:t>
      </w:r>
      <w:r w:rsidRPr="00D81CA6">
        <w:rPr>
          <w:sz w:val="20"/>
          <w:szCs w:val="20"/>
        </w:rPr>
        <w:t>magnitude</w:t>
      </w:r>
      <w:r>
        <w:rPr>
          <w:sz w:val="20"/>
          <w:szCs w:val="20"/>
        </w:rPr>
        <w:t>” (</w:t>
      </w:r>
      <w:proofErr w:type="spellStart"/>
      <w:r w:rsidRPr="00E75DB0">
        <w:rPr>
          <w:i/>
          <w:iCs/>
          <w:sz w:val="20"/>
          <w:szCs w:val="20"/>
        </w:rPr>
        <w:t>Größe</w:t>
      </w:r>
      <w:proofErr w:type="spellEnd"/>
      <w:r>
        <w:rPr>
          <w:sz w:val="20"/>
          <w:szCs w:val="20"/>
        </w:rPr>
        <w:t>)</w:t>
      </w:r>
      <w:r>
        <w:rPr>
          <w:i/>
          <w:iCs/>
          <w:sz w:val="20"/>
          <w:szCs w:val="20"/>
        </w:rPr>
        <w:t xml:space="preserve"> </w:t>
      </w:r>
      <w:r w:rsidRPr="00D81CA6">
        <w:rPr>
          <w:sz w:val="20"/>
          <w:szCs w:val="20"/>
        </w:rPr>
        <w:t>of similarity (</w:t>
      </w:r>
      <w:r w:rsidRPr="00176495">
        <w:rPr>
          <w:sz w:val="20"/>
          <w:szCs w:val="20"/>
        </w:rPr>
        <w:t>EU</w:t>
      </w:r>
      <w:r>
        <w:rPr>
          <w:i/>
          <w:sz w:val="20"/>
          <w:szCs w:val="20"/>
        </w:rPr>
        <w:t xml:space="preserve"> </w:t>
      </w:r>
      <w:r>
        <w:rPr>
          <w:iCs/>
          <w:sz w:val="20"/>
          <w:szCs w:val="20"/>
        </w:rPr>
        <w:t xml:space="preserve">386; EJ </w:t>
      </w:r>
      <w:r w:rsidRPr="00D81CA6">
        <w:rPr>
          <w:sz w:val="20"/>
          <w:szCs w:val="20"/>
        </w:rPr>
        <w:t xml:space="preserve">322). See also: </w:t>
      </w:r>
      <w:r>
        <w:rPr>
          <w:sz w:val="20"/>
          <w:szCs w:val="20"/>
        </w:rPr>
        <w:t>“</w:t>
      </w:r>
      <w:r w:rsidRPr="00D81CA6">
        <w:rPr>
          <w:sz w:val="20"/>
          <w:szCs w:val="20"/>
        </w:rPr>
        <w:t>Similarity</w:t>
      </w:r>
      <w:r w:rsidR="00DB18C6">
        <w:rPr>
          <w:sz w:val="20"/>
          <w:szCs w:val="20"/>
        </w:rPr>
        <w:t xml:space="preserve"> [</w:t>
      </w:r>
      <w:proofErr w:type="spellStart"/>
      <w:r w:rsidR="00DB18C6">
        <w:rPr>
          <w:i/>
          <w:iCs/>
          <w:sz w:val="20"/>
          <w:szCs w:val="20"/>
        </w:rPr>
        <w:t>Ähnlichkeit</w:t>
      </w:r>
      <w:proofErr w:type="spellEnd"/>
      <w:r w:rsidR="00DB18C6">
        <w:rPr>
          <w:sz w:val="20"/>
          <w:szCs w:val="20"/>
        </w:rPr>
        <w:t>]</w:t>
      </w:r>
      <w:r w:rsidRPr="00D81CA6">
        <w:rPr>
          <w:sz w:val="20"/>
          <w:szCs w:val="20"/>
        </w:rPr>
        <w:t>, therefore, has a gradation, and its limit, complete s</w:t>
      </w:r>
      <w:r w:rsidR="00037B0B">
        <w:rPr>
          <w:sz w:val="20"/>
          <w:szCs w:val="20"/>
        </w:rPr>
        <w:t>ameness [</w:t>
      </w:r>
      <w:proofErr w:type="spellStart"/>
      <w:r w:rsidR="00037B0B">
        <w:rPr>
          <w:i/>
          <w:iCs/>
          <w:sz w:val="20"/>
          <w:szCs w:val="20"/>
        </w:rPr>
        <w:t>Gleichheit</w:t>
      </w:r>
      <w:proofErr w:type="spellEnd"/>
      <w:r w:rsidR="00037B0B">
        <w:rPr>
          <w:sz w:val="20"/>
          <w:szCs w:val="20"/>
        </w:rPr>
        <w:t>]</w:t>
      </w:r>
      <w:r w:rsidRPr="00D81CA6">
        <w:rPr>
          <w:sz w:val="20"/>
          <w:szCs w:val="20"/>
        </w:rPr>
        <w:t>, signifies an absence of divergence in coincidence</w:t>
      </w:r>
      <w:r>
        <w:rPr>
          <w:sz w:val="20"/>
          <w:szCs w:val="20"/>
        </w:rPr>
        <w:t>”</w:t>
      </w:r>
      <w:r w:rsidRPr="00D81CA6">
        <w:rPr>
          <w:sz w:val="20"/>
          <w:szCs w:val="20"/>
        </w:rPr>
        <w:t xml:space="preserve"> (</w:t>
      </w:r>
      <w:r w:rsidR="00037B0B">
        <w:rPr>
          <w:sz w:val="20"/>
          <w:szCs w:val="20"/>
        </w:rPr>
        <w:t xml:space="preserve">EU 405; </w:t>
      </w:r>
      <w:r w:rsidRPr="00037B0B">
        <w:rPr>
          <w:iCs/>
          <w:sz w:val="20"/>
          <w:szCs w:val="20"/>
        </w:rPr>
        <w:t>EJ:</w:t>
      </w:r>
      <w:r w:rsidRPr="00037B0B">
        <w:rPr>
          <w:sz w:val="20"/>
          <w:szCs w:val="20"/>
        </w:rPr>
        <w:t xml:space="preserve"> 335</w:t>
      </w:r>
      <w:r w:rsidR="00643909" w:rsidRPr="00037B0B">
        <w:rPr>
          <w:sz w:val="20"/>
          <w:szCs w:val="20"/>
        </w:rPr>
        <w:t>–</w:t>
      </w:r>
      <w:r w:rsidRPr="00037B0B">
        <w:rPr>
          <w:sz w:val="20"/>
          <w:szCs w:val="20"/>
        </w:rPr>
        <w:t>36</w:t>
      </w:r>
      <w:r w:rsidR="00DB18C6">
        <w:rPr>
          <w:sz w:val="20"/>
          <w:szCs w:val="20"/>
        </w:rPr>
        <w:t>, slightly modified</w:t>
      </w:r>
      <w:r w:rsidRPr="00D81CA6">
        <w:rPr>
          <w:sz w:val="20"/>
          <w:szCs w:val="20"/>
        </w:rPr>
        <w:t>)</w:t>
      </w:r>
      <w:r w:rsidR="00037B0B">
        <w:rPr>
          <w:sz w:val="20"/>
          <w:szCs w:val="20"/>
        </w:rPr>
        <w:t>.</w:t>
      </w:r>
    </w:p>
  </w:footnote>
  <w:footnote w:id="11">
    <w:p w14:paraId="0B92106E"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It is also true that, for scientific concepts, the finite collection of attributes belonging to the original content can expand through new discoveries. See </w:t>
      </w:r>
      <w:r w:rsidRPr="00176495">
        <w:rPr>
          <w:sz w:val="20"/>
          <w:szCs w:val="20"/>
        </w:rPr>
        <w:t>EU</w:t>
      </w:r>
      <w:r>
        <w:rPr>
          <w:sz w:val="20"/>
          <w:szCs w:val="20"/>
        </w:rPr>
        <w:t xml:space="preserve"> 402; EJ </w:t>
      </w:r>
      <w:r w:rsidRPr="00D81CA6">
        <w:rPr>
          <w:sz w:val="20"/>
          <w:szCs w:val="20"/>
        </w:rPr>
        <w:t xml:space="preserve">334. </w:t>
      </w:r>
    </w:p>
  </w:footnote>
  <w:footnote w:id="12">
    <w:p w14:paraId="7D8CF2D8"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In addition to its source in </w:t>
      </w:r>
      <w:r w:rsidRPr="00D81CA6">
        <w:rPr>
          <w:i/>
          <w:sz w:val="20"/>
          <w:szCs w:val="20"/>
        </w:rPr>
        <w:t>Experience and Judgment</w:t>
      </w:r>
      <w:r w:rsidRPr="00D81CA6">
        <w:rPr>
          <w:sz w:val="20"/>
          <w:szCs w:val="20"/>
        </w:rPr>
        <w:t xml:space="preserve">, the same material on pure concepts and eidetic variation can be found in Husserl’s 1925 lectures on phenomenological psychology (see his 1977). </w:t>
      </w:r>
    </w:p>
  </w:footnote>
  <w:footnote w:id="13">
    <w:p w14:paraId="234D5317"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But see Sowa </w:t>
      </w:r>
      <w:r>
        <w:rPr>
          <w:sz w:val="20"/>
          <w:szCs w:val="20"/>
        </w:rPr>
        <w:t>(</w:t>
      </w:r>
      <w:r w:rsidRPr="00D81CA6">
        <w:rPr>
          <w:sz w:val="20"/>
          <w:szCs w:val="20"/>
        </w:rPr>
        <w:t>2007</w:t>
      </w:r>
      <w:r>
        <w:rPr>
          <w:sz w:val="20"/>
          <w:szCs w:val="20"/>
        </w:rPr>
        <w:t xml:space="preserve">, p. </w:t>
      </w:r>
      <w:r w:rsidRPr="00D81CA6">
        <w:rPr>
          <w:sz w:val="20"/>
          <w:szCs w:val="20"/>
        </w:rPr>
        <w:t>88</w:t>
      </w:r>
      <w:r>
        <w:rPr>
          <w:sz w:val="20"/>
          <w:szCs w:val="20"/>
        </w:rPr>
        <w:t>)</w:t>
      </w:r>
      <w:r w:rsidRPr="00D81CA6">
        <w:rPr>
          <w:sz w:val="20"/>
          <w:szCs w:val="20"/>
        </w:rPr>
        <w:t xml:space="preserve">, where </w:t>
      </w:r>
      <w:proofErr w:type="spellStart"/>
      <w:r w:rsidRPr="00DB18C6">
        <w:rPr>
          <w:i/>
          <w:iCs/>
          <w:sz w:val="20"/>
          <w:szCs w:val="20"/>
        </w:rPr>
        <w:t>eidê</w:t>
      </w:r>
      <w:proofErr w:type="spellEnd"/>
      <w:r w:rsidRPr="00D81CA6">
        <w:rPr>
          <w:sz w:val="20"/>
          <w:szCs w:val="20"/>
        </w:rPr>
        <w:t xml:space="preserve"> are rightly considered the </w:t>
      </w:r>
      <w:r>
        <w:rPr>
          <w:sz w:val="20"/>
          <w:szCs w:val="20"/>
        </w:rPr>
        <w:t>“</w:t>
      </w:r>
      <w:r w:rsidRPr="00D81CA6">
        <w:rPr>
          <w:sz w:val="20"/>
          <w:szCs w:val="20"/>
        </w:rPr>
        <w:t>correlates</w:t>
      </w:r>
      <w:r>
        <w:rPr>
          <w:sz w:val="20"/>
          <w:szCs w:val="20"/>
        </w:rPr>
        <w:t>”</w:t>
      </w:r>
      <w:r w:rsidRPr="00D81CA6">
        <w:rPr>
          <w:sz w:val="20"/>
          <w:szCs w:val="20"/>
        </w:rPr>
        <w:t xml:space="preserve"> of pure concepts. </w:t>
      </w:r>
    </w:p>
  </w:footnote>
  <w:footnote w:id="14">
    <w:p w14:paraId="68794E54"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Likewise, in </w:t>
      </w:r>
      <w:r w:rsidRPr="00D81CA6">
        <w:rPr>
          <w:i/>
          <w:sz w:val="20"/>
          <w:szCs w:val="20"/>
        </w:rPr>
        <w:t>Cartesian Meditations</w:t>
      </w:r>
      <w:r w:rsidRPr="00D81CA6">
        <w:rPr>
          <w:sz w:val="20"/>
          <w:szCs w:val="20"/>
        </w:rPr>
        <w:t xml:space="preserve">, he claimed that </w:t>
      </w:r>
      <w:r>
        <w:rPr>
          <w:sz w:val="20"/>
          <w:szCs w:val="20"/>
        </w:rPr>
        <w:t>“</w:t>
      </w:r>
      <w:r w:rsidRPr="00D81CA6">
        <w:rPr>
          <w:sz w:val="20"/>
          <w:szCs w:val="20"/>
        </w:rPr>
        <w:t>pure concepts</w:t>
      </w:r>
      <w:r w:rsidR="0071605E">
        <w:rPr>
          <w:sz w:val="20"/>
          <w:szCs w:val="20"/>
        </w:rPr>
        <w:t xml:space="preserve"> [</w:t>
      </w:r>
      <w:r w:rsidRPr="00D81CA6">
        <w:rPr>
          <w:sz w:val="20"/>
          <w:szCs w:val="20"/>
        </w:rPr>
        <w:t>…</w:t>
      </w:r>
      <w:r w:rsidR="0071605E">
        <w:rPr>
          <w:sz w:val="20"/>
          <w:szCs w:val="20"/>
        </w:rPr>
        <w:t xml:space="preserve">] </w:t>
      </w:r>
      <w:r w:rsidRPr="00D81CA6">
        <w:rPr>
          <w:sz w:val="20"/>
          <w:szCs w:val="20"/>
        </w:rPr>
        <w:t xml:space="preserve">must be made to fit the </w:t>
      </w:r>
      <w:r w:rsidR="00DB18C6" w:rsidRPr="00DB18C6">
        <w:rPr>
          <w:i/>
          <w:iCs/>
          <w:sz w:val="20"/>
          <w:szCs w:val="20"/>
        </w:rPr>
        <w:t>eidos</w:t>
      </w:r>
      <w:r>
        <w:rPr>
          <w:sz w:val="20"/>
          <w:szCs w:val="20"/>
        </w:rPr>
        <w:t xml:space="preserve">” </w:t>
      </w:r>
      <w:r w:rsidRPr="00D81CA6">
        <w:rPr>
          <w:sz w:val="20"/>
          <w:szCs w:val="20"/>
        </w:rPr>
        <w:t>(Husserl 1970</w:t>
      </w:r>
      <w:r>
        <w:rPr>
          <w:sz w:val="20"/>
          <w:szCs w:val="20"/>
        </w:rPr>
        <w:t>:</w:t>
      </w:r>
      <w:r w:rsidRPr="00D81CA6">
        <w:rPr>
          <w:sz w:val="20"/>
          <w:szCs w:val="20"/>
        </w:rPr>
        <w:t xml:space="preserve"> 71). He also speaks of the </w:t>
      </w:r>
      <w:r w:rsidR="00DB18C6" w:rsidRPr="00DB18C6">
        <w:rPr>
          <w:i/>
          <w:iCs/>
          <w:sz w:val="20"/>
          <w:szCs w:val="20"/>
        </w:rPr>
        <w:t>eidos</w:t>
      </w:r>
      <w:r w:rsidRPr="00D81CA6">
        <w:rPr>
          <w:sz w:val="20"/>
          <w:szCs w:val="20"/>
        </w:rPr>
        <w:t xml:space="preserve"> as </w:t>
      </w:r>
      <w:r>
        <w:rPr>
          <w:sz w:val="20"/>
          <w:szCs w:val="20"/>
        </w:rPr>
        <w:t>“</w:t>
      </w:r>
      <w:r w:rsidRPr="00D81CA6">
        <w:rPr>
          <w:sz w:val="20"/>
          <w:szCs w:val="20"/>
        </w:rPr>
        <w:t>the purely conceptual essence</w:t>
      </w:r>
      <w:r>
        <w:rPr>
          <w:sz w:val="20"/>
          <w:szCs w:val="20"/>
        </w:rPr>
        <w:t>”</w:t>
      </w:r>
      <w:r w:rsidRPr="00D81CA6">
        <w:rPr>
          <w:sz w:val="20"/>
          <w:szCs w:val="20"/>
        </w:rPr>
        <w:t xml:space="preserve"> </w:t>
      </w:r>
      <w:r w:rsidRPr="00DB18C6">
        <w:rPr>
          <w:sz w:val="20"/>
          <w:szCs w:val="20"/>
        </w:rPr>
        <w:t>(</w:t>
      </w:r>
      <w:r w:rsidR="00DB18C6" w:rsidRPr="00DB18C6">
        <w:rPr>
          <w:sz w:val="20"/>
          <w:szCs w:val="20"/>
        </w:rPr>
        <w:t xml:space="preserve">EU 324; </w:t>
      </w:r>
      <w:r w:rsidRPr="00DB18C6">
        <w:rPr>
          <w:iCs/>
          <w:sz w:val="20"/>
          <w:szCs w:val="20"/>
        </w:rPr>
        <w:t>EJ</w:t>
      </w:r>
      <w:r w:rsidRPr="00DB18C6">
        <w:rPr>
          <w:sz w:val="20"/>
          <w:szCs w:val="20"/>
        </w:rPr>
        <w:t xml:space="preserve"> 350).</w:t>
      </w:r>
    </w:p>
  </w:footnote>
  <w:footnote w:id="15">
    <w:p w14:paraId="10BED678" w14:textId="77777777" w:rsidR="00472D75" w:rsidRPr="00D81CA6" w:rsidRDefault="00472D75" w:rsidP="00B95D2D">
      <w:pPr>
        <w:pStyle w:val="FootnoteText"/>
        <w:rPr>
          <w:i/>
          <w:sz w:val="20"/>
          <w:szCs w:val="20"/>
        </w:rPr>
      </w:pPr>
      <w:r w:rsidRPr="00D81CA6">
        <w:rPr>
          <w:rStyle w:val="FootnoteReference"/>
          <w:sz w:val="20"/>
          <w:szCs w:val="20"/>
        </w:rPr>
        <w:footnoteRef/>
      </w:r>
      <w:r w:rsidRPr="00D81CA6">
        <w:rPr>
          <w:sz w:val="20"/>
          <w:szCs w:val="20"/>
        </w:rPr>
        <w:t xml:space="preserve"> See Hopkins (2010) for the Platonic roots of this </w:t>
      </w:r>
      <w:r>
        <w:rPr>
          <w:sz w:val="20"/>
          <w:szCs w:val="20"/>
        </w:rPr>
        <w:t>“</w:t>
      </w:r>
      <w:r w:rsidRPr="00D81CA6">
        <w:rPr>
          <w:sz w:val="20"/>
          <w:szCs w:val="20"/>
        </w:rPr>
        <w:t>arithmetic</w:t>
      </w:r>
      <w:r>
        <w:rPr>
          <w:sz w:val="20"/>
          <w:szCs w:val="20"/>
        </w:rPr>
        <w:t>”</w:t>
      </w:r>
      <w:r w:rsidRPr="00D81CA6">
        <w:rPr>
          <w:sz w:val="20"/>
          <w:szCs w:val="20"/>
        </w:rPr>
        <w:t xml:space="preserve"> approach to </w:t>
      </w:r>
      <w:proofErr w:type="spellStart"/>
      <w:r w:rsidRPr="00DB18C6">
        <w:rPr>
          <w:i/>
          <w:iCs/>
          <w:sz w:val="20"/>
          <w:szCs w:val="20"/>
        </w:rPr>
        <w:t>eidê</w:t>
      </w:r>
      <w:proofErr w:type="spellEnd"/>
      <w:r w:rsidRPr="00D81CA6">
        <w:rPr>
          <w:sz w:val="20"/>
          <w:szCs w:val="20"/>
        </w:rPr>
        <w:t>.</w:t>
      </w:r>
    </w:p>
  </w:footnote>
  <w:footnote w:id="16">
    <w:p w14:paraId="043666EE"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Husserl admits the potentially misleading metaphorical connotations of </w:t>
      </w:r>
      <w:r>
        <w:rPr>
          <w:sz w:val="20"/>
          <w:szCs w:val="20"/>
        </w:rPr>
        <w:t>“</w:t>
      </w:r>
      <w:r w:rsidRPr="00D81CA6">
        <w:rPr>
          <w:sz w:val="20"/>
          <w:szCs w:val="20"/>
        </w:rPr>
        <w:t>seeing</w:t>
      </w:r>
      <w:r>
        <w:rPr>
          <w:sz w:val="20"/>
          <w:szCs w:val="20"/>
        </w:rPr>
        <w:t>”</w:t>
      </w:r>
      <w:r w:rsidRPr="00D81CA6">
        <w:rPr>
          <w:sz w:val="20"/>
          <w:szCs w:val="20"/>
        </w:rPr>
        <w:t xml:space="preserve"> at </w:t>
      </w:r>
      <w:r w:rsidRPr="00176495">
        <w:rPr>
          <w:sz w:val="20"/>
          <w:szCs w:val="20"/>
        </w:rPr>
        <w:t>EU</w:t>
      </w:r>
      <w:r>
        <w:rPr>
          <w:i/>
          <w:sz w:val="20"/>
          <w:szCs w:val="20"/>
        </w:rPr>
        <w:t xml:space="preserve"> </w:t>
      </w:r>
      <w:r>
        <w:rPr>
          <w:iCs/>
          <w:sz w:val="20"/>
          <w:szCs w:val="20"/>
        </w:rPr>
        <w:t xml:space="preserve">421; EJ </w:t>
      </w:r>
      <w:r w:rsidRPr="00D81CA6">
        <w:rPr>
          <w:sz w:val="20"/>
          <w:szCs w:val="20"/>
        </w:rPr>
        <w:t>348.</w:t>
      </w:r>
    </w:p>
  </w:footnote>
  <w:footnote w:id="17">
    <w:p w14:paraId="361767D1"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See Husserl’s discussion of Brentano’s thesis at Husserl 1977</w:t>
      </w:r>
      <w:r>
        <w:rPr>
          <w:sz w:val="20"/>
          <w:szCs w:val="20"/>
        </w:rPr>
        <w:t>:</w:t>
      </w:r>
      <w:r w:rsidRPr="00D81CA6">
        <w:rPr>
          <w:sz w:val="20"/>
          <w:szCs w:val="20"/>
        </w:rPr>
        <w:t xml:space="preserve"> 22</w:t>
      </w:r>
      <w:r w:rsidR="00643909">
        <w:rPr>
          <w:sz w:val="20"/>
          <w:szCs w:val="20"/>
        </w:rPr>
        <w:t>–</w:t>
      </w:r>
      <w:r w:rsidRPr="00D81CA6">
        <w:rPr>
          <w:sz w:val="20"/>
          <w:szCs w:val="20"/>
        </w:rPr>
        <w:t xml:space="preserve">25. Husserl suggests that was for Brentano was a naturalistic discovery was treated by him, Husserl, on an essentially new </w:t>
      </w:r>
      <w:r w:rsidRPr="00D81CA6">
        <w:rPr>
          <w:i/>
          <w:sz w:val="20"/>
          <w:szCs w:val="20"/>
        </w:rPr>
        <w:t>a priori</w:t>
      </w:r>
      <w:r w:rsidRPr="00D81CA6">
        <w:rPr>
          <w:sz w:val="20"/>
          <w:szCs w:val="20"/>
        </w:rPr>
        <w:t xml:space="preserve"> basis. </w:t>
      </w:r>
    </w:p>
  </w:footnote>
  <w:footnote w:id="18">
    <w:p w14:paraId="3AF68EF9"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On this</w:t>
      </w:r>
      <w:r>
        <w:rPr>
          <w:sz w:val="20"/>
          <w:szCs w:val="20"/>
        </w:rPr>
        <w:t xml:space="preserve"> theme</w:t>
      </w:r>
      <w:r w:rsidRPr="00D81CA6">
        <w:rPr>
          <w:sz w:val="20"/>
          <w:szCs w:val="20"/>
        </w:rPr>
        <w:t xml:space="preserve">, cf. especially Sowa (2007) and (2011). </w:t>
      </w:r>
    </w:p>
  </w:footnote>
  <w:footnote w:id="19">
    <w:p w14:paraId="1FD7BC54"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E.g., </w:t>
      </w:r>
      <w:r>
        <w:rPr>
          <w:sz w:val="20"/>
          <w:szCs w:val="20"/>
        </w:rPr>
        <w:t>“</w:t>
      </w:r>
      <w:r w:rsidRPr="00D81CA6">
        <w:rPr>
          <w:sz w:val="20"/>
          <w:szCs w:val="20"/>
        </w:rPr>
        <w:t>Every color occurring in actuality is certainly, at the same time, a possible color in the pure sense: each can be considered as an example and can be changed into a variant</w:t>
      </w:r>
      <w:r>
        <w:rPr>
          <w:sz w:val="20"/>
          <w:szCs w:val="20"/>
        </w:rPr>
        <w:t xml:space="preserve">” </w:t>
      </w:r>
      <w:r w:rsidRPr="00D81CA6">
        <w:rPr>
          <w:sz w:val="20"/>
          <w:szCs w:val="20"/>
        </w:rPr>
        <w:t>(</w:t>
      </w:r>
      <w:r w:rsidRPr="00176495">
        <w:rPr>
          <w:sz w:val="20"/>
          <w:szCs w:val="20"/>
        </w:rPr>
        <w:t>EU</w:t>
      </w:r>
      <w:r>
        <w:rPr>
          <w:sz w:val="20"/>
          <w:szCs w:val="20"/>
        </w:rPr>
        <w:t xml:space="preserve"> 426; EJ </w:t>
      </w:r>
      <w:r w:rsidRPr="00D81CA6">
        <w:rPr>
          <w:sz w:val="20"/>
          <w:szCs w:val="20"/>
        </w:rPr>
        <w:t xml:space="preserve">352). </w:t>
      </w:r>
    </w:p>
  </w:footnote>
  <w:footnote w:id="20">
    <w:p w14:paraId="32609C23" w14:textId="77777777" w:rsidR="00472D75" w:rsidRPr="00D81CA6" w:rsidRDefault="00472D75" w:rsidP="00B95D2D">
      <w:pPr>
        <w:rPr>
          <w:sz w:val="20"/>
          <w:szCs w:val="20"/>
        </w:rPr>
      </w:pPr>
      <w:r w:rsidRPr="00D81CA6">
        <w:rPr>
          <w:rStyle w:val="FootnoteReference"/>
          <w:sz w:val="20"/>
          <w:szCs w:val="20"/>
        </w:rPr>
        <w:footnoteRef/>
      </w:r>
      <w:r w:rsidRPr="00D81CA6">
        <w:rPr>
          <w:sz w:val="20"/>
          <w:szCs w:val="20"/>
        </w:rPr>
        <w:t xml:space="preserve"> Complete likeness is the </w:t>
      </w:r>
      <w:r>
        <w:rPr>
          <w:sz w:val="20"/>
          <w:szCs w:val="20"/>
        </w:rPr>
        <w:t>“</w:t>
      </w:r>
      <w:r w:rsidRPr="00D81CA6">
        <w:rPr>
          <w:sz w:val="20"/>
          <w:szCs w:val="20"/>
        </w:rPr>
        <w:t>limit of similarity</w:t>
      </w:r>
      <w:r>
        <w:rPr>
          <w:sz w:val="20"/>
          <w:szCs w:val="20"/>
        </w:rPr>
        <w:t>”</w:t>
      </w:r>
      <w:r w:rsidRPr="00D81CA6">
        <w:rPr>
          <w:sz w:val="20"/>
          <w:szCs w:val="20"/>
        </w:rPr>
        <w:t xml:space="preserve"> (</w:t>
      </w:r>
      <w:r w:rsidRPr="00176495">
        <w:rPr>
          <w:sz w:val="20"/>
          <w:szCs w:val="20"/>
        </w:rPr>
        <w:t>EU</w:t>
      </w:r>
      <w:r>
        <w:rPr>
          <w:sz w:val="20"/>
          <w:szCs w:val="20"/>
        </w:rPr>
        <w:t xml:space="preserve"> 404; EJ </w:t>
      </w:r>
      <w:r w:rsidRPr="00D81CA6">
        <w:rPr>
          <w:sz w:val="20"/>
          <w:szCs w:val="20"/>
        </w:rPr>
        <w:t>335)</w:t>
      </w:r>
    </w:p>
  </w:footnote>
  <w:footnote w:id="21">
    <w:p w14:paraId="3F52B857"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Rochus Sowa, who has written extensively on the topic of Husserl’s eidetic method, seems to take pure concepts to be more clearly distinguished from empirical concepts, in that he takes it that pure concepts cannot ‘implicitly or explicitly’ posit factually existing individuals (see his 2011</w:t>
      </w:r>
      <w:r>
        <w:rPr>
          <w:sz w:val="20"/>
          <w:szCs w:val="20"/>
        </w:rPr>
        <w:t xml:space="preserve">, p. </w:t>
      </w:r>
      <w:r w:rsidRPr="00D81CA6">
        <w:rPr>
          <w:sz w:val="20"/>
          <w:szCs w:val="20"/>
        </w:rPr>
        <w:t>257). On this criterion, concepts that contain potentially indexical elements (such as natural kind terms) cannot be pure concepts. Elsewhere (</w:t>
      </w:r>
      <w:r>
        <w:rPr>
          <w:sz w:val="20"/>
          <w:szCs w:val="20"/>
        </w:rPr>
        <w:t xml:space="preserve">Sowa, </w:t>
      </w:r>
      <w:r w:rsidRPr="00D81CA6">
        <w:rPr>
          <w:sz w:val="20"/>
          <w:szCs w:val="20"/>
        </w:rPr>
        <w:t>2007</w:t>
      </w:r>
      <w:r>
        <w:rPr>
          <w:sz w:val="20"/>
          <w:szCs w:val="20"/>
        </w:rPr>
        <w:t xml:space="preserve">, p. </w:t>
      </w:r>
      <w:r w:rsidRPr="00D81CA6">
        <w:rPr>
          <w:sz w:val="20"/>
          <w:szCs w:val="20"/>
        </w:rPr>
        <w:t xml:space="preserve">93) he calls this the </w:t>
      </w:r>
      <w:r>
        <w:rPr>
          <w:sz w:val="20"/>
          <w:szCs w:val="20"/>
        </w:rPr>
        <w:t>“</w:t>
      </w:r>
      <w:r w:rsidRPr="00D81CA6">
        <w:rPr>
          <w:sz w:val="20"/>
          <w:szCs w:val="20"/>
        </w:rPr>
        <w:t>Little-Red-Riding-Hood</w:t>
      </w:r>
      <w:r>
        <w:rPr>
          <w:sz w:val="20"/>
          <w:szCs w:val="20"/>
        </w:rPr>
        <w:t>”</w:t>
      </w:r>
      <w:r w:rsidRPr="00D81CA6">
        <w:rPr>
          <w:sz w:val="20"/>
          <w:szCs w:val="20"/>
        </w:rPr>
        <w:t xml:space="preserve"> criterion of pure concepts, since their content can </w:t>
      </w:r>
      <w:r w:rsidRPr="00D81CA6">
        <w:rPr>
          <w:i/>
          <w:sz w:val="20"/>
          <w:szCs w:val="20"/>
        </w:rPr>
        <w:t xml:space="preserve">only </w:t>
      </w:r>
      <w:r w:rsidRPr="00D81CA6">
        <w:rPr>
          <w:sz w:val="20"/>
          <w:szCs w:val="20"/>
        </w:rPr>
        <w:t xml:space="preserve">be imagined. However, Husserl says that concepts like </w:t>
      </w:r>
      <w:r w:rsidRPr="00D81CA6">
        <w:rPr>
          <w:i/>
          <w:sz w:val="20"/>
          <w:szCs w:val="20"/>
        </w:rPr>
        <w:t>lion</w:t>
      </w:r>
      <w:r w:rsidRPr="00D81CA6">
        <w:rPr>
          <w:sz w:val="20"/>
          <w:szCs w:val="20"/>
        </w:rPr>
        <w:t xml:space="preserve"> and </w:t>
      </w:r>
      <w:r w:rsidRPr="00D81CA6">
        <w:rPr>
          <w:i/>
          <w:sz w:val="20"/>
          <w:szCs w:val="20"/>
        </w:rPr>
        <w:t>tree</w:t>
      </w:r>
      <w:r w:rsidRPr="00D81CA6">
        <w:rPr>
          <w:sz w:val="20"/>
          <w:szCs w:val="20"/>
        </w:rPr>
        <w:t xml:space="preserve">, which might be considered natural kinds, can be pure concepts. No doubt this is because the indexical element can always be suspended (see </w:t>
      </w:r>
      <w:r w:rsidRPr="00950E5B">
        <w:rPr>
          <w:sz w:val="20"/>
          <w:szCs w:val="20"/>
        </w:rPr>
        <w:t>note 22</w:t>
      </w:r>
      <w:r w:rsidRPr="00D81CA6">
        <w:rPr>
          <w:sz w:val="20"/>
          <w:szCs w:val="20"/>
        </w:rPr>
        <w:t xml:space="preserve"> below), so that the non-factual element of pure concepts does not exclude concepts with apparent reference to actual individuals. Sowa’s view, on my reading, does not explain how Husserl can say that concepts can </w:t>
      </w:r>
      <w:r>
        <w:rPr>
          <w:sz w:val="20"/>
          <w:szCs w:val="20"/>
        </w:rPr>
        <w:t>“</w:t>
      </w:r>
      <w:r w:rsidRPr="00D81CA6">
        <w:rPr>
          <w:sz w:val="20"/>
          <w:szCs w:val="20"/>
        </w:rPr>
        <w:t>always be apprehended as pure concepts</w:t>
      </w:r>
      <w:r>
        <w:rPr>
          <w:sz w:val="20"/>
          <w:szCs w:val="20"/>
        </w:rPr>
        <w:t>”</w:t>
      </w:r>
      <w:r w:rsidRPr="00D81CA6">
        <w:rPr>
          <w:sz w:val="20"/>
          <w:szCs w:val="20"/>
        </w:rPr>
        <w:t xml:space="preserve"> (</w:t>
      </w:r>
      <w:r w:rsidRPr="00176495">
        <w:rPr>
          <w:sz w:val="20"/>
          <w:szCs w:val="20"/>
        </w:rPr>
        <w:t>EU</w:t>
      </w:r>
      <w:r>
        <w:rPr>
          <w:i/>
          <w:sz w:val="20"/>
          <w:szCs w:val="20"/>
        </w:rPr>
        <w:t xml:space="preserve"> </w:t>
      </w:r>
      <w:r>
        <w:rPr>
          <w:iCs/>
          <w:sz w:val="20"/>
          <w:szCs w:val="20"/>
        </w:rPr>
        <w:t xml:space="preserve">397; EJ </w:t>
      </w:r>
      <w:r w:rsidRPr="00D81CA6">
        <w:rPr>
          <w:sz w:val="20"/>
          <w:szCs w:val="20"/>
        </w:rPr>
        <w:t>330).</w:t>
      </w:r>
    </w:p>
  </w:footnote>
  <w:footnote w:id="22">
    <w:p w14:paraId="6376C256"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Though the</w:t>
      </w:r>
      <w:r>
        <w:rPr>
          <w:sz w:val="20"/>
          <w:szCs w:val="20"/>
        </w:rPr>
        <w:t xml:space="preserve"> “</w:t>
      </w:r>
      <w:r w:rsidRPr="00D81CA6">
        <w:rPr>
          <w:sz w:val="20"/>
          <w:szCs w:val="20"/>
        </w:rPr>
        <w:t>could</w:t>
      </w:r>
      <w:r>
        <w:rPr>
          <w:sz w:val="20"/>
          <w:szCs w:val="20"/>
        </w:rPr>
        <w:t>”</w:t>
      </w:r>
      <w:r w:rsidRPr="00D81CA6">
        <w:rPr>
          <w:sz w:val="20"/>
          <w:szCs w:val="20"/>
        </w:rPr>
        <w:t xml:space="preserve"> here is meant in the </w:t>
      </w:r>
      <w:r>
        <w:rPr>
          <w:sz w:val="20"/>
          <w:szCs w:val="20"/>
        </w:rPr>
        <w:t>“</w:t>
      </w:r>
      <w:r w:rsidRPr="00D81CA6">
        <w:rPr>
          <w:sz w:val="20"/>
          <w:szCs w:val="20"/>
        </w:rPr>
        <w:t>potentiality</w:t>
      </w:r>
      <w:r>
        <w:rPr>
          <w:sz w:val="20"/>
          <w:szCs w:val="20"/>
        </w:rPr>
        <w:t>”</w:t>
      </w:r>
      <w:r w:rsidRPr="00D81CA6">
        <w:rPr>
          <w:sz w:val="20"/>
          <w:szCs w:val="20"/>
        </w:rPr>
        <w:t xml:space="preserve"> sense of the term (the concept could become pure), the </w:t>
      </w:r>
      <w:r>
        <w:rPr>
          <w:sz w:val="20"/>
          <w:szCs w:val="20"/>
        </w:rPr>
        <w:t>“</w:t>
      </w:r>
      <w:r w:rsidRPr="00D81CA6">
        <w:rPr>
          <w:sz w:val="20"/>
          <w:szCs w:val="20"/>
        </w:rPr>
        <w:t>epistemic</w:t>
      </w:r>
      <w:r>
        <w:rPr>
          <w:sz w:val="20"/>
          <w:szCs w:val="20"/>
        </w:rPr>
        <w:t>”</w:t>
      </w:r>
      <w:r w:rsidRPr="00D81CA6">
        <w:rPr>
          <w:sz w:val="20"/>
          <w:szCs w:val="20"/>
        </w:rPr>
        <w:t xml:space="preserve"> sense is also relevant: an empirical concept </w:t>
      </w:r>
      <w:r w:rsidR="0095667E">
        <w:rPr>
          <w:sz w:val="20"/>
          <w:szCs w:val="20"/>
        </w:rPr>
        <w:t xml:space="preserve">often </w:t>
      </w:r>
      <w:r w:rsidRPr="00D81CA6">
        <w:rPr>
          <w:sz w:val="20"/>
          <w:szCs w:val="20"/>
        </w:rPr>
        <w:t xml:space="preserve">could </w:t>
      </w:r>
      <w:r w:rsidR="0095667E">
        <w:rPr>
          <w:sz w:val="20"/>
          <w:szCs w:val="20"/>
        </w:rPr>
        <w:t>“</w:t>
      </w:r>
      <w:r w:rsidRPr="00D81CA6">
        <w:rPr>
          <w:sz w:val="20"/>
          <w:szCs w:val="20"/>
        </w:rPr>
        <w:t>for all we know</w:t>
      </w:r>
      <w:r w:rsidR="0095667E">
        <w:rPr>
          <w:sz w:val="20"/>
          <w:szCs w:val="20"/>
        </w:rPr>
        <w:t>”</w:t>
      </w:r>
      <w:r w:rsidRPr="00D81CA6">
        <w:rPr>
          <w:sz w:val="20"/>
          <w:szCs w:val="20"/>
        </w:rPr>
        <w:t xml:space="preserve"> be a pure concept, at least as used by another person.</w:t>
      </w:r>
    </w:p>
  </w:footnote>
  <w:footnote w:id="23">
    <w:p w14:paraId="5E0A4A30" w14:textId="77777777" w:rsidR="00472D75" w:rsidRPr="00D81CA6" w:rsidRDefault="00472D75" w:rsidP="00B95D2D">
      <w:pPr>
        <w:pStyle w:val="FootnoteText"/>
        <w:rPr>
          <w:sz w:val="20"/>
          <w:szCs w:val="20"/>
          <w:highlight w:val="yellow"/>
        </w:rPr>
      </w:pPr>
      <w:r w:rsidRPr="00D81CA6">
        <w:rPr>
          <w:rStyle w:val="FootnoteReference"/>
          <w:sz w:val="20"/>
          <w:szCs w:val="20"/>
        </w:rPr>
        <w:footnoteRef/>
      </w:r>
      <w:r w:rsidRPr="00D81CA6">
        <w:rPr>
          <w:sz w:val="20"/>
          <w:szCs w:val="20"/>
        </w:rPr>
        <w:t xml:space="preserve"> For </w:t>
      </w:r>
      <w:r w:rsidRPr="0095667E">
        <w:rPr>
          <w:i/>
          <w:iCs/>
          <w:sz w:val="20"/>
          <w:szCs w:val="20"/>
        </w:rPr>
        <w:t>tree</w:t>
      </w:r>
      <w:r w:rsidRPr="00D81CA6">
        <w:rPr>
          <w:sz w:val="20"/>
          <w:szCs w:val="20"/>
        </w:rPr>
        <w:t xml:space="preserve">, see </w:t>
      </w:r>
      <w:r w:rsidRPr="00176495">
        <w:rPr>
          <w:sz w:val="20"/>
          <w:szCs w:val="20"/>
        </w:rPr>
        <w:t>EU</w:t>
      </w:r>
      <w:r>
        <w:rPr>
          <w:i/>
          <w:sz w:val="20"/>
          <w:szCs w:val="20"/>
        </w:rPr>
        <w:t xml:space="preserve"> </w:t>
      </w:r>
      <w:r>
        <w:rPr>
          <w:iCs/>
          <w:sz w:val="20"/>
          <w:szCs w:val="20"/>
        </w:rPr>
        <w:t xml:space="preserve">417; EJ </w:t>
      </w:r>
      <w:r w:rsidRPr="00D81CA6">
        <w:rPr>
          <w:sz w:val="20"/>
          <w:szCs w:val="20"/>
        </w:rPr>
        <w:t>345. And</w:t>
      </w:r>
      <w:r w:rsidR="0095667E">
        <w:rPr>
          <w:sz w:val="20"/>
          <w:szCs w:val="20"/>
        </w:rPr>
        <w:t xml:space="preserve"> </w:t>
      </w:r>
      <w:r w:rsidRPr="0095667E">
        <w:rPr>
          <w:i/>
          <w:iCs/>
          <w:sz w:val="20"/>
          <w:szCs w:val="20"/>
        </w:rPr>
        <w:t>red</w:t>
      </w:r>
      <w:r w:rsidRPr="00D81CA6">
        <w:rPr>
          <w:sz w:val="20"/>
          <w:szCs w:val="20"/>
        </w:rPr>
        <w:t xml:space="preserve">: </w:t>
      </w:r>
      <w:r w:rsidRPr="00176495">
        <w:rPr>
          <w:sz w:val="20"/>
          <w:szCs w:val="20"/>
        </w:rPr>
        <w:t>EU</w:t>
      </w:r>
      <w:r w:rsidRPr="00D81CA6">
        <w:rPr>
          <w:sz w:val="20"/>
          <w:szCs w:val="20"/>
        </w:rPr>
        <w:t xml:space="preserve"> </w:t>
      </w:r>
      <w:r>
        <w:rPr>
          <w:sz w:val="20"/>
          <w:szCs w:val="20"/>
        </w:rPr>
        <w:t xml:space="preserve">425; EJ </w:t>
      </w:r>
      <w:r w:rsidRPr="00D81CA6">
        <w:rPr>
          <w:sz w:val="20"/>
          <w:szCs w:val="20"/>
        </w:rPr>
        <w:t>349</w:t>
      </w:r>
      <w:r w:rsidR="00643909">
        <w:rPr>
          <w:sz w:val="20"/>
          <w:szCs w:val="20"/>
        </w:rPr>
        <w:t>–</w:t>
      </w:r>
      <w:r w:rsidRPr="00D81CA6">
        <w:rPr>
          <w:sz w:val="20"/>
          <w:szCs w:val="20"/>
        </w:rPr>
        <w:t xml:space="preserve">50. Likewise, in a discussion </w:t>
      </w:r>
      <w:r w:rsidR="003412CD">
        <w:rPr>
          <w:sz w:val="20"/>
          <w:szCs w:val="20"/>
        </w:rPr>
        <w:t xml:space="preserve">from </w:t>
      </w:r>
      <w:r w:rsidRPr="00D81CA6">
        <w:rPr>
          <w:sz w:val="20"/>
          <w:szCs w:val="20"/>
        </w:rPr>
        <w:t xml:space="preserve">the </w:t>
      </w:r>
      <w:proofErr w:type="spellStart"/>
      <w:r w:rsidRPr="00D81CA6">
        <w:rPr>
          <w:i/>
          <w:sz w:val="20"/>
          <w:szCs w:val="20"/>
        </w:rPr>
        <w:t>Nachlass</w:t>
      </w:r>
      <w:proofErr w:type="spellEnd"/>
      <w:r w:rsidRPr="00D81CA6">
        <w:rPr>
          <w:sz w:val="20"/>
          <w:szCs w:val="20"/>
        </w:rPr>
        <w:t>, Husserl writes, “In this sense, therefore, lion would be [</w:t>
      </w:r>
      <w:proofErr w:type="spellStart"/>
      <w:r w:rsidRPr="00D81CA6">
        <w:rPr>
          <w:i/>
          <w:sz w:val="20"/>
          <w:szCs w:val="20"/>
        </w:rPr>
        <w:t>wäre</w:t>
      </w:r>
      <w:proofErr w:type="spellEnd"/>
      <w:r w:rsidRPr="00D81CA6">
        <w:rPr>
          <w:sz w:val="20"/>
          <w:szCs w:val="20"/>
        </w:rPr>
        <w:t>] an empirical concept with the thesis, a pure concept without the thesis” (2012</w:t>
      </w:r>
      <w:r>
        <w:rPr>
          <w:sz w:val="20"/>
          <w:szCs w:val="20"/>
        </w:rPr>
        <w:t xml:space="preserve">, p. </w:t>
      </w:r>
      <w:r w:rsidRPr="00D81CA6">
        <w:rPr>
          <w:sz w:val="20"/>
          <w:szCs w:val="20"/>
        </w:rPr>
        <w:t>91</w:t>
      </w:r>
      <w:r>
        <w:rPr>
          <w:sz w:val="20"/>
          <w:szCs w:val="20"/>
        </w:rPr>
        <w:t xml:space="preserve">, </w:t>
      </w:r>
      <w:r w:rsidRPr="00D81CA6">
        <w:rPr>
          <w:sz w:val="20"/>
          <w:szCs w:val="20"/>
        </w:rPr>
        <w:t xml:space="preserve">my translation). In the context, Husserl means by “thesis” the positing of actual existence. Husserl says all empirical concepts, </w:t>
      </w:r>
      <w:r w:rsidRPr="00D81CA6">
        <w:rPr>
          <w:i/>
          <w:sz w:val="20"/>
          <w:szCs w:val="20"/>
        </w:rPr>
        <w:t xml:space="preserve">qua </w:t>
      </w:r>
      <w:r w:rsidRPr="00D81CA6">
        <w:rPr>
          <w:sz w:val="20"/>
          <w:szCs w:val="20"/>
        </w:rPr>
        <w:t xml:space="preserve">empirical, are </w:t>
      </w:r>
      <w:r w:rsidR="003412CD">
        <w:rPr>
          <w:sz w:val="20"/>
          <w:szCs w:val="20"/>
        </w:rPr>
        <w:t>“</w:t>
      </w:r>
      <w:r w:rsidRPr="00D81CA6">
        <w:rPr>
          <w:sz w:val="20"/>
          <w:szCs w:val="20"/>
        </w:rPr>
        <w:t>burdened with theses [</w:t>
      </w:r>
      <w:proofErr w:type="spellStart"/>
      <w:r w:rsidRPr="00D81CA6">
        <w:rPr>
          <w:i/>
          <w:sz w:val="20"/>
          <w:szCs w:val="20"/>
        </w:rPr>
        <w:t>mit</w:t>
      </w:r>
      <w:proofErr w:type="spellEnd"/>
      <w:r w:rsidRPr="00D81CA6">
        <w:rPr>
          <w:i/>
          <w:sz w:val="20"/>
          <w:szCs w:val="20"/>
        </w:rPr>
        <w:t xml:space="preserve"> </w:t>
      </w:r>
      <w:proofErr w:type="spellStart"/>
      <w:r w:rsidRPr="00D81CA6">
        <w:rPr>
          <w:i/>
          <w:sz w:val="20"/>
          <w:szCs w:val="20"/>
        </w:rPr>
        <w:t>Thesen</w:t>
      </w:r>
      <w:proofErr w:type="spellEnd"/>
      <w:r w:rsidRPr="00D81CA6">
        <w:rPr>
          <w:i/>
          <w:sz w:val="20"/>
          <w:szCs w:val="20"/>
        </w:rPr>
        <w:t xml:space="preserve"> </w:t>
      </w:r>
      <w:proofErr w:type="spellStart"/>
      <w:r w:rsidRPr="00D81CA6">
        <w:rPr>
          <w:i/>
          <w:sz w:val="20"/>
          <w:szCs w:val="20"/>
        </w:rPr>
        <w:t>behaftet</w:t>
      </w:r>
      <w:proofErr w:type="spellEnd"/>
      <w:r w:rsidRPr="00D81CA6">
        <w:rPr>
          <w:sz w:val="20"/>
          <w:szCs w:val="20"/>
        </w:rPr>
        <w:t>]</w:t>
      </w:r>
      <w:r w:rsidR="003412CD">
        <w:rPr>
          <w:sz w:val="20"/>
          <w:szCs w:val="20"/>
        </w:rPr>
        <w:t>”</w:t>
      </w:r>
      <w:r w:rsidRPr="00D81CA6">
        <w:rPr>
          <w:sz w:val="20"/>
          <w:szCs w:val="20"/>
        </w:rPr>
        <w:t xml:space="preserve"> (</w:t>
      </w:r>
      <w:r w:rsidR="00643909">
        <w:rPr>
          <w:sz w:val="20"/>
          <w:szCs w:val="20"/>
        </w:rPr>
        <w:t>2012, p. 91),</w:t>
      </w:r>
      <w:r w:rsidRPr="00D81CA6">
        <w:rPr>
          <w:sz w:val="20"/>
          <w:szCs w:val="20"/>
        </w:rPr>
        <w:t xml:space="preserve"> but this thesis can always be </w:t>
      </w:r>
      <w:r w:rsidR="003412CD">
        <w:rPr>
          <w:sz w:val="20"/>
          <w:szCs w:val="20"/>
        </w:rPr>
        <w:t>“</w:t>
      </w:r>
      <w:r w:rsidRPr="00D81CA6">
        <w:rPr>
          <w:sz w:val="20"/>
          <w:szCs w:val="20"/>
        </w:rPr>
        <w:t>dropped</w:t>
      </w:r>
      <w:r w:rsidR="003412CD">
        <w:rPr>
          <w:sz w:val="20"/>
          <w:szCs w:val="20"/>
        </w:rPr>
        <w:t>”</w:t>
      </w:r>
      <w:r w:rsidRPr="00D81CA6">
        <w:rPr>
          <w:sz w:val="20"/>
          <w:szCs w:val="20"/>
        </w:rPr>
        <w:t xml:space="preserve"> (</w:t>
      </w:r>
      <w:r w:rsidRPr="00D81CA6">
        <w:rPr>
          <w:i/>
          <w:sz w:val="20"/>
          <w:szCs w:val="20"/>
        </w:rPr>
        <w:t xml:space="preserve">fallen </w:t>
      </w:r>
      <w:proofErr w:type="spellStart"/>
      <w:r w:rsidRPr="00D81CA6">
        <w:rPr>
          <w:i/>
          <w:sz w:val="20"/>
          <w:szCs w:val="20"/>
        </w:rPr>
        <w:t>lassen</w:t>
      </w:r>
      <w:proofErr w:type="spellEnd"/>
      <w:r w:rsidR="00643909">
        <w:rPr>
          <w:sz w:val="20"/>
          <w:szCs w:val="20"/>
        </w:rPr>
        <w:t>)</w:t>
      </w:r>
      <w:r w:rsidRPr="00D81CA6">
        <w:rPr>
          <w:sz w:val="20"/>
          <w:szCs w:val="20"/>
        </w:rPr>
        <w:t xml:space="preserve"> </w:t>
      </w:r>
      <w:r w:rsidR="00643909">
        <w:rPr>
          <w:sz w:val="20"/>
          <w:szCs w:val="20"/>
        </w:rPr>
        <w:t>(2012,</w:t>
      </w:r>
      <w:r>
        <w:rPr>
          <w:sz w:val="20"/>
          <w:szCs w:val="20"/>
        </w:rPr>
        <w:t xml:space="preserve"> p. </w:t>
      </w:r>
      <w:r w:rsidRPr="00D81CA6">
        <w:rPr>
          <w:sz w:val="20"/>
          <w:szCs w:val="20"/>
        </w:rPr>
        <w:t xml:space="preserve">90). </w:t>
      </w:r>
    </w:p>
  </w:footnote>
  <w:footnote w:id="24">
    <w:p w14:paraId="4BCCF152"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The below discussion of Kant’s </w:t>
      </w:r>
      <w:r w:rsidR="003412CD">
        <w:rPr>
          <w:sz w:val="20"/>
          <w:szCs w:val="20"/>
        </w:rPr>
        <w:t>“</w:t>
      </w:r>
      <w:r w:rsidRPr="00D81CA6">
        <w:rPr>
          <w:sz w:val="20"/>
          <w:szCs w:val="20"/>
        </w:rPr>
        <w:t>Amphiboly</w:t>
      </w:r>
      <w:r w:rsidR="003412CD">
        <w:rPr>
          <w:sz w:val="20"/>
          <w:szCs w:val="20"/>
        </w:rPr>
        <w:t>”</w:t>
      </w:r>
      <w:r w:rsidRPr="00D81CA6">
        <w:rPr>
          <w:sz w:val="20"/>
          <w:szCs w:val="20"/>
        </w:rPr>
        <w:t xml:space="preserve"> chapter has benefitted especially from de Boer (2010).</w:t>
      </w:r>
    </w:p>
  </w:footnote>
  <w:footnote w:id="25">
    <w:p w14:paraId="1052C77C"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For Locke’s conception of </w:t>
      </w:r>
      <w:r w:rsidRPr="00D81CA6">
        <w:rPr>
          <w:i/>
          <w:sz w:val="20"/>
          <w:szCs w:val="20"/>
        </w:rPr>
        <w:t>person</w:t>
      </w:r>
      <w:r w:rsidRPr="00D81CA6">
        <w:rPr>
          <w:sz w:val="20"/>
          <w:szCs w:val="20"/>
        </w:rPr>
        <w:t xml:space="preserve"> as a ‘forensic’ term, see the </w:t>
      </w:r>
      <w:r w:rsidRPr="00D81CA6">
        <w:rPr>
          <w:i/>
          <w:sz w:val="20"/>
          <w:szCs w:val="20"/>
        </w:rPr>
        <w:t>Essay</w:t>
      </w:r>
      <w:r w:rsidRPr="00D81CA6">
        <w:rPr>
          <w:sz w:val="20"/>
          <w:szCs w:val="20"/>
        </w:rPr>
        <w:t>, Bk. II. Ch. XXVII, § 26 (199</w:t>
      </w:r>
      <w:r>
        <w:rPr>
          <w:sz w:val="20"/>
          <w:szCs w:val="20"/>
        </w:rPr>
        <w:t xml:space="preserve">7, p. </w:t>
      </w:r>
      <w:r w:rsidRPr="00D81CA6">
        <w:rPr>
          <w:sz w:val="20"/>
          <w:szCs w:val="20"/>
        </w:rPr>
        <w:t>312). Thomasson takes this as a paradigm case of a normative use of a term. See her 2017a</w:t>
      </w:r>
      <w:r>
        <w:rPr>
          <w:sz w:val="20"/>
          <w:szCs w:val="20"/>
        </w:rPr>
        <w:t xml:space="preserve">, pp. </w:t>
      </w:r>
      <w:r w:rsidRPr="00D81CA6">
        <w:rPr>
          <w:sz w:val="20"/>
          <w:szCs w:val="20"/>
        </w:rPr>
        <w:t>112</w:t>
      </w:r>
      <w:r w:rsidR="00643909">
        <w:rPr>
          <w:sz w:val="20"/>
          <w:szCs w:val="20"/>
        </w:rPr>
        <w:t>–</w:t>
      </w:r>
      <w:r>
        <w:rPr>
          <w:sz w:val="20"/>
          <w:szCs w:val="20"/>
        </w:rPr>
        <w:t>1</w:t>
      </w:r>
      <w:r w:rsidRPr="00D81CA6">
        <w:rPr>
          <w:sz w:val="20"/>
          <w:szCs w:val="20"/>
        </w:rPr>
        <w:t xml:space="preserve">13. </w:t>
      </w:r>
    </w:p>
  </w:footnote>
  <w:footnote w:id="26">
    <w:p w14:paraId="52BB9AB7"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Along these lines, see </w:t>
      </w:r>
      <w:proofErr w:type="spellStart"/>
      <w:r w:rsidRPr="00D81CA6">
        <w:rPr>
          <w:sz w:val="20"/>
          <w:szCs w:val="20"/>
        </w:rPr>
        <w:t>Gendler</w:t>
      </w:r>
      <w:proofErr w:type="spellEnd"/>
      <w:r w:rsidRPr="00D81CA6">
        <w:rPr>
          <w:sz w:val="20"/>
          <w:szCs w:val="20"/>
        </w:rPr>
        <w:t xml:space="preserve"> (2002) and </w:t>
      </w:r>
      <w:proofErr w:type="spellStart"/>
      <w:r w:rsidRPr="00D81CA6">
        <w:rPr>
          <w:sz w:val="20"/>
          <w:szCs w:val="20"/>
        </w:rPr>
        <w:t>Schechtman</w:t>
      </w:r>
      <w:proofErr w:type="spellEnd"/>
      <w:r w:rsidRPr="00D81CA6">
        <w:rPr>
          <w:sz w:val="20"/>
          <w:szCs w:val="20"/>
        </w:rPr>
        <w:t xml:space="preserve"> (2014). </w:t>
      </w:r>
    </w:p>
  </w:footnote>
  <w:footnote w:id="27">
    <w:p w14:paraId="022B40F1"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‘Upon separation of this little finger, should this consciousness go along with the finger, and leave the rest of the body, ‘tis evident the little finger would be the </w:t>
      </w:r>
      <w:r w:rsidRPr="00D81CA6">
        <w:rPr>
          <w:i/>
          <w:sz w:val="20"/>
          <w:szCs w:val="20"/>
        </w:rPr>
        <w:t>person</w:t>
      </w:r>
      <w:r w:rsidRPr="00D81CA6">
        <w:rPr>
          <w:sz w:val="20"/>
          <w:szCs w:val="20"/>
        </w:rPr>
        <w:t xml:space="preserve">, the </w:t>
      </w:r>
      <w:r w:rsidRPr="00D81CA6">
        <w:rPr>
          <w:i/>
          <w:sz w:val="20"/>
          <w:szCs w:val="20"/>
        </w:rPr>
        <w:t>same person</w:t>
      </w:r>
      <w:r w:rsidRPr="00D81CA6">
        <w:rPr>
          <w:sz w:val="20"/>
          <w:szCs w:val="20"/>
        </w:rPr>
        <w:t xml:space="preserve">; and </w:t>
      </w:r>
      <w:r w:rsidRPr="00D81CA6">
        <w:rPr>
          <w:i/>
          <w:sz w:val="20"/>
          <w:szCs w:val="20"/>
        </w:rPr>
        <w:t>self</w:t>
      </w:r>
      <w:r w:rsidRPr="00D81CA6">
        <w:rPr>
          <w:sz w:val="20"/>
          <w:szCs w:val="20"/>
        </w:rPr>
        <w:t xml:space="preserve"> then would have nothing to do with the rest of the body’ (Locke</w:t>
      </w:r>
      <w:r>
        <w:rPr>
          <w:sz w:val="20"/>
          <w:szCs w:val="20"/>
        </w:rPr>
        <w:t>,</w:t>
      </w:r>
      <w:r w:rsidRPr="00D81CA6">
        <w:rPr>
          <w:sz w:val="20"/>
          <w:szCs w:val="20"/>
        </w:rPr>
        <w:t xml:space="preserve"> 1997</w:t>
      </w:r>
      <w:r>
        <w:rPr>
          <w:sz w:val="20"/>
          <w:szCs w:val="20"/>
        </w:rPr>
        <w:t xml:space="preserve">, p. </w:t>
      </w:r>
      <w:r w:rsidRPr="00D81CA6">
        <w:rPr>
          <w:sz w:val="20"/>
          <w:szCs w:val="20"/>
        </w:rPr>
        <w:t>307</w:t>
      </w:r>
      <w:r w:rsidR="00B5395A">
        <w:rPr>
          <w:sz w:val="20"/>
          <w:szCs w:val="20"/>
        </w:rPr>
        <w:t xml:space="preserve">; </w:t>
      </w:r>
      <w:r w:rsidRPr="00D81CA6">
        <w:rPr>
          <w:i/>
          <w:sz w:val="20"/>
          <w:szCs w:val="20"/>
        </w:rPr>
        <w:t>Essay</w:t>
      </w:r>
      <w:r w:rsidRPr="00D81CA6">
        <w:rPr>
          <w:sz w:val="20"/>
          <w:szCs w:val="20"/>
        </w:rPr>
        <w:t>, Bk. II, Ch. XXVII, § 17).</w:t>
      </w:r>
    </w:p>
  </w:footnote>
  <w:footnote w:id="28">
    <w:p w14:paraId="50670496"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On this sense of </w:t>
      </w:r>
      <w:r w:rsidR="00A0527F">
        <w:rPr>
          <w:sz w:val="20"/>
          <w:szCs w:val="20"/>
        </w:rPr>
        <w:t>“</w:t>
      </w:r>
      <w:r w:rsidRPr="00D81CA6">
        <w:rPr>
          <w:sz w:val="20"/>
          <w:szCs w:val="20"/>
        </w:rPr>
        <w:t>material,</w:t>
      </w:r>
      <w:r w:rsidR="00A0527F">
        <w:rPr>
          <w:sz w:val="20"/>
          <w:szCs w:val="20"/>
        </w:rPr>
        <w:t>”</w:t>
      </w:r>
      <w:r w:rsidRPr="00D81CA6">
        <w:rPr>
          <w:sz w:val="20"/>
          <w:szCs w:val="20"/>
        </w:rPr>
        <w:t xml:space="preserve"> see Sowa</w:t>
      </w:r>
      <w:r>
        <w:rPr>
          <w:sz w:val="20"/>
          <w:szCs w:val="20"/>
        </w:rPr>
        <w:t>,</w:t>
      </w:r>
      <w:r w:rsidRPr="00D81CA6">
        <w:rPr>
          <w:sz w:val="20"/>
          <w:szCs w:val="20"/>
        </w:rPr>
        <w:t xml:space="preserve"> 2011</w:t>
      </w:r>
      <w:r>
        <w:rPr>
          <w:sz w:val="20"/>
          <w:szCs w:val="20"/>
        </w:rPr>
        <w:t xml:space="preserve">, p. </w:t>
      </w:r>
      <w:r w:rsidRPr="00D81CA6">
        <w:rPr>
          <w:sz w:val="20"/>
          <w:szCs w:val="20"/>
        </w:rPr>
        <w:t>255.</w:t>
      </w:r>
    </w:p>
  </w:footnote>
  <w:footnote w:id="29">
    <w:p w14:paraId="1B27E0B0"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This problem was recognized in a perhaps exaggerated form by Husserl’s student Eugen Fink. Fink (1995) suggests that even the </w:t>
      </w:r>
      <w:r w:rsidRPr="00D81CA6">
        <w:rPr>
          <w:i/>
          <w:sz w:val="20"/>
          <w:szCs w:val="20"/>
        </w:rPr>
        <w:t>language</w:t>
      </w:r>
      <w:r w:rsidRPr="00D81CA6">
        <w:rPr>
          <w:sz w:val="20"/>
          <w:szCs w:val="20"/>
        </w:rPr>
        <w:t xml:space="preserve"> of the phenomenologist, describing phenomena in the </w:t>
      </w:r>
      <w:proofErr w:type="spellStart"/>
      <w:r w:rsidRPr="00E1014B">
        <w:rPr>
          <w:i/>
          <w:iCs/>
          <w:sz w:val="20"/>
          <w:szCs w:val="20"/>
        </w:rPr>
        <w:t>epoché</w:t>
      </w:r>
      <w:proofErr w:type="spellEnd"/>
      <w:r w:rsidRPr="00D81CA6">
        <w:rPr>
          <w:sz w:val="20"/>
          <w:szCs w:val="20"/>
        </w:rPr>
        <w:t xml:space="preserve">, cannot be understood by the audience. He insists one </w:t>
      </w:r>
      <w:r>
        <w:rPr>
          <w:sz w:val="20"/>
          <w:szCs w:val="20"/>
        </w:rPr>
        <w:t>“</w:t>
      </w:r>
      <w:r w:rsidRPr="00D81CA6">
        <w:rPr>
          <w:sz w:val="20"/>
          <w:szCs w:val="20"/>
        </w:rPr>
        <w:t xml:space="preserve">can </w:t>
      </w:r>
      <w:r w:rsidRPr="00D81CA6">
        <w:rPr>
          <w:i/>
          <w:sz w:val="20"/>
          <w:szCs w:val="20"/>
        </w:rPr>
        <w:t xml:space="preserve">never </w:t>
      </w:r>
      <w:r w:rsidRPr="00D81CA6">
        <w:rPr>
          <w:sz w:val="20"/>
          <w:szCs w:val="20"/>
        </w:rPr>
        <w:t xml:space="preserve">succeed in </w:t>
      </w:r>
      <w:r w:rsidRPr="00D81CA6">
        <w:rPr>
          <w:i/>
          <w:sz w:val="20"/>
          <w:szCs w:val="20"/>
        </w:rPr>
        <w:t>abolishing</w:t>
      </w:r>
      <w:r w:rsidRPr="00D81CA6">
        <w:rPr>
          <w:sz w:val="20"/>
          <w:szCs w:val="20"/>
        </w:rPr>
        <w:t xml:space="preserve"> the </w:t>
      </w:r>
      <w:r w:rsidRPr="00D81CA6">
        <w:rPr>
          <w:i/>
          <w:sz w:val="20"/>
          <w:szCs w:val="20"/>
        </w:rPr>
        <w:t>divergence of signifying</w:t>
      </w:r>
      <w:r w:rsidRPr="00D81CA6">
        <w:rPr>
          <w:sz w:val="20"/>
          <w:szCs w:val="20"/>
        </w:rPr>
        <w:t xml:space="preserve"> that is present in every transcendental sentence between the natural sense of words and the transcendental sense indicated in them</w:t>
      </w:r>
      <w:r>
        <w:rPr>
          <w:sz w:val="20"/>
          <w:szCs w:val="20"/>
        </w:rPr>
        <w:t>”</w:t>
      </w:r>
      <w:r w:rsidRPr="00D81CA6">
        <w:rPr>
          <w:sz w:val="20"/>
          <w:szCs w:val="20"/>
        </w:rPr>
        <w:t xml:space="preserve"> (Fink</w:t>
      </w:r>
      <w:r>
        <w:rPr>
          <w:sz w:val="20"/>
          <w:szCs w:val="20"/>
        </w:rPr>
        <w:t>,</w:t>
      </w:r>
      <w:r w:rsidRPr="00D81CA6">
        <w:rPr>
          <w:sz w:val="20"/>
          <w:szCs w:val="20"/>
        </w:rPr>
        <w:t xml:space="preserve"> 1995</w:t>
      </w:r>
      <w:r>
        <w:rPr>
          <w:sz w:val="20"/>
          <w:szCs w:val="20"/>
        </w:rPr>
        <w:t>, p.</w:t>
      </w:r>
      <w:r w:rsidRPr="00D81CA6">
        <w:rPr>
          <w:sz w:val="20"/>
          <w:szCs w:val="20"/>
        </w:rPr>
        <w:t xml:space="preserve"> 98). In my view, thanks to the overlap between pure and empirical concepts, the phenomenologist usually can be understood, even if the transcendental status of her claims </w:t>
      </w:r>
      <w:proofErr w:type="gramStart"/>
      <w:r w:rsidRPr="00D81CA6">
        <w:rPr>
          <w:sz w:val="20"/>
          <w:szCs w:val="20"/>
        </w:rPr>
        <w:t>are</w:t>
      </w:r>
      <w:proofErr w:type="gramEnd"/>
      <w:r w:rsidRPr="00D81CA6">
        <w:rPr>
          <w:sz w:val="20"/>
          <w:szCs w:val="20"/>
        </w:rPr>
        <w:t xml:space="preserve"> misunderstood.</w:t>
      </w:r>
    </w:p>
  </w:footnote>
  <w:footnote w:id="30">
    <w:p w14:paraId="63E38385"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On the conceptual yield of phenomenology, see also the </w:t>
      </w:r>
      <w:r w:rsidRPr="00D81CA6">
        <w:rPr>
          <w:i/>
          <w:sz w:val="20"/>
          <w:szCs w:val="20"/>
        </w:rPr>
        <w:t>Ideas</w:t>
      </w:r>
      <w:r w:rsidRPr="00D81CA6">
        <w:rPr>
          <w:sz w:val="20"/>
          <w:szCs w:val="20"/>
        </w:rPr>
        <w:t>: “The goal is scientific knowledge of [experience], that is to say, its theoretical development and mastery in a system of concepts and statements of laws, springing from pure intuition of essences” (Husserl</w:t>
      </w:r>
      <w:r>
        <w:rPr>
          <w:sz w:val="20"/>
          <w:szCs w:val="20"/>
        </w:rPr>
        <w:t>,</w:t>
      </w:r>
      <w:r w:rsidRPr="00D81CA6">
        <w:rPr>
          <w:sz w:val="20"/>
          <w:szCs w:val="20"/>
        </w:rPr>
        <w:t xml:space="preserve"> 2014</w:t>
      </w:r>
      <w:r>
        <w:rPr>
          <w:sz w:val="20"/>
          <w:szCs w:val="20"/>
        </w:rPr>
        <w:t>,</w:t>
      </w:r>
      <w:r w:rsidRPr="00D81CA6">
        <w:rPr>
          <w:sz w:val="20"/>
          <w:szCs w:val="20"/>
        </w:rPr>
        <w:t xml:space="preserve"> </w:t>
      </w:r>
      <w:r>
        <w:rPr>
          <w:sz w:val="20"/>
          <w:szCs w:val="20"/>
        </w:rPr>
        <w:t xml:space="preserve">p. </w:t>
      </w:r>
      <w:r w:rsidRPr="00D81CA6">
        <w:rPr>
          <w:sz w:val="20"/>
          <w:szCs w:val="20"/>
        </w:rPr>
        <w:t>268).</w:t>
      </w:r>
    </w:p>
  </w:footnote>
  <w:footnote w:id="31">
    <w:p w14:paraId="2A397F60"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See, however, </w:t>
      </w:r>
      <w:proofErr w:type="spellStart"/>
      <w:r w:rsidRPr="00D81CA6">
        <w:rPr>
          <w:sz w:val="20"/>
          <w:szCs w:val="20"/>
        </w:rPr>
        <w:t>Strevens</w:t>
      </w:r>
      <w:proofErr w:type="spellEnd"/>
      <w:r w:rsidRPr="00D81CA6">
        <w:rPr>
          <w:sz w:val="20"/>
          <w:szCs w:val="20"/>
        </w:rPr>
        <w:t xml:space="preserve"> (2019) who defends a contrary view, though without the philosophically deflationary consequences of similar-sounding claims about philosophical concepts as natural kinds (e.g., </w:t>
      </w:r>
      <w:proofErr w:type="spellStart"/>
      <w:r w:rsidRPr="00D81CA6">
        <w:rPr>
          <w:sz w:val="20"/>
          <w:szCs w:val="20"/>
        </w:rPr>
        <w:t>Kornblith</w:t>
      </w:r>
      <w:proofErr w:type="spellEnd"/>
      <w:r w:rsidRPr="00D81CA6">
        <w:rPr>
          <w:sz w:val="20"/>
          <w:szCs w:val="20"/>
        </w:rPr>
        <w:t xml:space="preserve"> 2002). </w:t>
      </w:r>
    </w:p>
  </w:footnote>
  <w:footnote w:id="32">
    <w:p w14:paraId="7AD85B97"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There are clear affinities between this account and Ryle’s notion that mental terms are </w:t>
      </w:r>
      <w:r>
        <w:rPr>
          <w:sz w:val="20"/>
          <w:szCs w:val="20"/>
        </w:rPr>
        <w:t>“</w:t>
      </w:r>
      <w:r w:rsidRPr="00D81CA6">
        <w:rPr>
          <w:sz w:val="20"/>
          <w:szCs w:val="20"/>
        </w:rPr>
        <w:t>success</w:t>
      </w:r>
      <w:r>
        <w:rPr>
          <w:sz w:val="20"/>
          <w:szCs w:val="20"/>
        </w:rPr>
        <w:t>”</w:t>
      </w:r>
      <w:r w:rsidRPr="00D81CA6">
        <w:rPr>
          <w:sz w:val="20"/>
          <w:szCs w:val="20"/>
        </w:rPr>
        <w:t xml:space="preserve"> or </w:t>
      </w:r>
      <w:r>
        <w:rPr>
          <w:sz w:val="20"/>
          <w:szCs w:val="20"/>
        </w:rPr>
        <w:t>“</w:t>
      </w:r>
      <w:r w:rsidRPr="00D81CA6">
        <w:rPr>
          <w:sz w:val="20"/>
          <w:szCs w:val="20"/>
        </w:rPr>
        <w:t>achievement</w:t>
      </w:r>
      <w:r>
        <w:rPr>
          <w:sz w:val="20"/>
          <w:szCs w:val="20"/>
        </w:rPr>
        <w:t>”</w:t>
      </w:r>
      <w:r w:rsidRPr="00D81CA6">
        <w:rPr>
          <w:sz w:val="20"/>
          <w:szCs w:val="20"/>
        </w:rPr>
        <w:t xml:space="preserve"> words. As Amie Thomasson argues (2002; 2007), this may be no accident, given Ryle’s thorough and consequential acquaintance with Husserl’s phenomenology in the 1920’s. </w:t>
      </w:r>
    </w:p>
  </w:footnote>
  <w:footnote w:id="33">
    <w:p w14:paraId="593EA844"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w:t>
      </w:r>
      <w:r>
        <w:rPr>
          <w:sz w:val="20"/>
          <w:szCs w:val="20"/>
        </w:rPr>
        <w:t>“</w:t>
      </w:r>
      <w:r w:rsidRPr="00D81CA6">
        <w:rPr>
          <w:sz w:val="20"/>
          <w:szCs w:val="20"/>
        </w:rPr>
        <w:t>Thus, if one loves paradoxical talk, one can actually say</w:t>
      </w:r>
      <w:r w:rsidR="0071605E">
        <w:rPr>
          <w:sz w:val="20"/>
          <w:szCs w:val="20"/>
        </w:rPr>
        <w:t xml:space="preserve"> [</w:t>
      </w:r>
      <w:r w:rsidRPr="00D81CA6">
        <w:rPr>
          <w:sz w:val="20"/>
          <w:szCs w:val="20"/>
        </w:rPr>
        <w:t>…</w:t>
      </w:r>
      <w:r w:rsidR="0071605E">
        <w:rPr>
          <w:sz w:val="20"/>
          <w:szCs w:val="20"/>
        </w:rPr>
        <w:t xml:space="preserve">] </w:t>
      </w:r>
      <w:r w:rsidRPr="00D81CA6">
        <w:rPr>
          <w:sz w:val="20"/>
          <w:szCs w:val="20"/>
        </w:rPr>
        <w:t xml:space="preserve">that </w:t>
      </w:r>
      <w:r w:rsidRPr="00D81CA6">
        <w:rPr>
          <w:i/>
          <w:sz w:val="20"/>
          <w:szCs w:val="20"/>
        </w:rPr>
        <w:t>‘fiction’ makes up the vital element of phenomenology, as it does of all eidetic science</w:t>
      </w:r>
      <w:r>
        <w:rPr>
          <w:sz w:val="20"/>
          <w:szCs w:val="20"/>
        </w:rPr>
        <w:t>”</w:t>
      </w:r>
      <w:r w:rsidRPr="00472D75">
        <w:rPr>
          <w:sz w:val="20"/>
          <w:szCs w:val="20"/>
        </w:rPr>
        <w:t xml:space="preserve"> </w:t>
      </w:r>
      <w:r>
        <w:rPr>
          <w:sz w:val="20"/>
          <w:szCs w:val="20"/>
        </w:rPr>
        <w:t>(</w:t>
      </w:r>
      <w:r w:rsidRPr="00D81CA6">
        <w:rPr>
          <w:sz w:val="20"/>
          <w:szCs w:val="20"/>
        </w:rPr>
        <w:t>Husserl</w:t>
      </w:r>
      <w:r>
        <w:rPr>
          <w:sz w:val="20"/>
          <w:szCs w:val="20"/>
        </w:rPr>
        <w:t xml:space="preserve">, </w:t>
      </w:r>
      <w:r w:rsidRPr="00D81CA6">
        <w:rPr>
          <w:sz w:val="20"/>
          <w:szCs w:val="20"/>
        </w:rPr>
        <w:t>2014</w:t>
      </w:r>
      <w:r>
        <w:rPr>
          <w:sz w:val="20"/>
          <w:szCs w:val="20"/>
        </w:rPr>
        <w:t>, p.</w:t>
      </w:r>
      <w:r w:rsidRPr="00D81CA6">
        <w:rPr>
          <w:sz w:val="20"/>
          <w:szCs w:val="20"/>
        </w:rPr>
        <w:t xml:space="preserve"> 27)</w:t>
      </w:r>
      <w:r>
        <w:rPr>
          <w:sz w:val="20"/>
          <w:szCs w:val="20"/>
        </w:rPr>
        <w:t>.</w:t>
      </w:r>
    </w:p>
  </w:footnote>
  <w:footnote w:id="34">
    <w:p w14:paraId="53CA0EA5"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See Husserl’s (1977</w:t>
      </w:r>
      <w:r>
        <w:rPr>
          <w:sz w:val="20"/>
          <w:szCs w:val="20"/>
        </w:rPr>
        <w:t xml:space="preserve">, pp. </w:t>
      </w:r>
      <w:r w:rsidRPr="00D81CA6">
        <w:rPr>
          <w:sz w:val="20"/>
          <w:szCs w:val="20"/>
        </w:rPr>
        <w:t>35</w:t>
      </w:r>
      <w:r w:rsidR="00643909">
        <w:rPr>
          <w:sz w:val="20"/>
          <w:szCs w:val="20"/>
        </w:rPr>
        <w:t>–</w:t>
      </w:r>
      <w:r w:rsidRPr="00D81CA6">
        <w:rPr>
          <w:sz w:val="20"/>
          <w:szCs w:val="20"/>
        </w:rPr>
        <w:t xml:space="preserve">36) own comparison to geometry for an explanation of the way idealized, </w:t>
      </w:r>
      <w:r w:rsidRPr="00D81CA6">
        <w:rPr>
          <w:i/>
          <w:sz w:val="20"/>
          <w:szCs w:val="20"/>
        </w:rPr>
        <w:t>a priori</w:t>
      </w:r>
      <w:r w:rsidRPr="00D81CA6">
        <w:rPr>
          <w:sz w:val="20"/>
          <w:szCs w:val="20"/>
        </w:rPr>
        <w:t xml:space="preserve"> constructions can nevertheless relate to and provide knowledge of empirical nature.</w:t>
      </w:r>
    </w:p>
  </w:footnote>
  <w:footnote w:id="35">
    <w:p w14:paraId="09A0B6E6" w14:textId="77777777" w:rsidR="00472D75" w:rsidRPr="00D81CA6" w:rsidRDefault="00472D75" w:rsidP="00B95D2D">
      <w:pPr>
        <w:pStyle w:val="FootnoteText"/>
        <w:rPr>
          <w:sz w:val="20"/>
          <w:szCs w:val="20"/>
        </w:rPr>
      </w:pPr>
      <w:r w:rsidRPr="00D81CA6">
        <w:rPr>
          <w:rStyle w:val="FootnoteReference"/>
          <w:sz w:val="20"/>
          <w:szCs w:val="20"/>
        </w:rPr>
        <w:footnoteRef/>
      </w:r>
      <w:r w:rsidRPr="00D81CA6">
        <w:rPr>
          <w:sz w:val="20"/>
          <w:szCs w:val="20"/>
        </w:rPr>
        <w:t xml:space="preserve"> </w:t>
      </w:r>
      <w:r w:rsidR="00F87819">
        <w:rPr>
          <w:sz w:val="20"/>
          <w:szCs w:val="20"/>
        </w:rPr>
        <w:t>Compare the</w:t>
      </w:r>
      <w:r w:rsidRPr="00D81CA6">
        <w:rPr>
          <w:sz w:val="20"/>
          <w:szCs w:val="20"/>
        </w:rPr>
        <w:t xml:space="preserve"> recent notion of </w:t>
      </w:r>
      <w:r w:rsidR="00F87819">
        <w:rPr>
          <w:sz w:val="20"/>
          <w:szCs w:val="20"/>
        </w:rPr>
        <w:t>“</w:t>
      </w:r>
      <w:r w:rsidRPr="00D81CA6">
        <w:rPr>
          <w:sz w:val="20"/>
          <w:szCs w:val="20"/>
        </w:rPr>
        <w:t>dual character concepts</w:t>
      </w:r>
      <w:r w:rsidR="00F87819">
        <w:rPr>
          <w:sz w:val="20"/>
          <w:szCs w:val="20"/>
        </w:rPr>
        <w:t>”</w:t>
      </w:r>
      <w:r w:rsidRPr="00D81CA6">
        <w:rPr>
          <w:sz w:val="20"/>
          <w:szCs w:val="20"/>
        </w:rPr>
        <w:t xml:space="preserve"> (Reuter 201</w:t>
      </w:r>
      <w:r>
        <w:rPr>
          <w:sz w:val="20"/>
          <w:szCs w:val="20"/>
        </w:rPr>
        <w:t>9</w:t>
      </w:r>
      <w:r w:rsidRPr="00D81CA6">
        <w:rPr>
          <w:sz w:val="20"/>
          <w:szCs w:val="20"/>
        </w:rPr>
        <w:t xml:space="preserve">), which are concepts with both descriptive and normative components (e.g., </w:t>
      </w:r>
      <w:r w:rsidRPr="00F87819">
        <w:rPr>
          <w:i/>
          <w:iCs/>
          <w:sz w:val="20"/>
          <w:szCs w:val="20"/>
        </w:rPr>
        <w:t>art</w:t>
      </w:r>
      <w:r w:rsidR="00F87819">
        <w:rPr>
          <w:sz w:val="20"/>
          <w:szCs w:val="20"/>
        </w:rPr>
        <w:t>,</w:t>
      </w:r>
      <w:r w:rsidRPr="00D81CA6">
        <w:rPr>
          <w:sz w:val="20"/>
          <w:szCs w:val="20"/>
        </w:rPr>
        <w:t xml:space="preserve"> </w:t>
      </w:r>
      <w:r w:rsidRPr="00F87819">
        <w:rPr>
          <w:i/>
          <w:iCs/>
          <w:sz w:val="20"/>
          <w:szCs w:val="20"/>
        </w:rPr>
        <w:t>friendship</w:t>
      </w:r>
      <w:r w:rsidRPr="00D81CA6">
        <w:rPr>
          <w:sz w:val="20"/>
          <w:szCs w:val="20"/>
        </w:rPr>
        <w:t xml:space="preserve">, or even </w:t>
      </w:r>
      <w:r w:rsidRPr="00F87819">
        <w:rPr>
          <w:i/>
          <w:iCs/>
          <w:sz w:val="20"/>
          <w:szCs w:val="20"/>
        </w:rPr>
        <w:t>belief</w:t>
      </w:r>
      <w:r w:rsidRPr="00D81CA6">
        <w:rPr>
          <w:sz w:val="20"/>
          <w:szCs w:val="20"/>
        </w:rPr>
        <w:t xml:space="preserve">). Whether or in what cases these concepts should be counted as single or different concepts is a complex and difficult issue.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D54DA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9C6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5867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30D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C6A1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5E72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06D5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3818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7A6B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E56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403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7A4F54"/>
    <w:multiLevelType w:val="hybridMultilevel"/>
    <w:tmpl w:val="17B84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A2B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20D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28B55FC"/>
    <w:multiLevelType w:val="hybridMultilevel"/>
    <w:tmpl w:val="A5645D7E"/>
    <w:lvl w:ilvl="0" w:tplc="1696CFC2">
      <w:start w:val="1"/>
      <w:numFmt w:val="decimal"/>
      <w:lvlText w:val="(%1)"/>
      <w:lvlJc w:val="left"/>
      <w:pPr>
        <w:ind w:left="990" w:hanging="360"/>
      </w:pPr>
      <w:rPr>
        <w:rFonts w:ascii="Arial" w:eastAsiaTheme="minorEastAsia" w:hAnsi="Arial" w:cs="Arial"/>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AF40618"/>
    <w:multiLevelType w:val="hybridMultilevel"/>
    <w:tmpl w:val="D8F25AC4"/>
    <w:lvl w:ilvl="0" w:tplc="630C4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5825FE"/>
    <w:multiLevelType w:val="hybridMultilevel"/>
    <w:tmpl w:val="540E0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E172A"/>
    <w:multiLevelType w:val="multilevel"/>
    <w:tmpl w:val="06707A1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0"/>
  </w:num>
  <w:num w:numId="3">
    <w:abstractNumId w:val="17"/>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4"/>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attachedTemplate r:id="rId1"/>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8C"/>
    <w:rsid w:val="000005E5"/>
    <w:rsid w:val="0000066E"/>
    <w:rsid w:val="000109AB"/>
    <w:rsid w:val="00035621"/>
    <w:rsid w:val="00037B0B"/>
    <w:rsid w:val="00051F06"/>
    <w:rsid w:val="00057E8E"/>
    <w:rsid w:val="0006096F"/>
    <w:rsid w:val="00062056"/>
    <w:rsid w:val="00067630"/>
    <w:rsid w:val="00081F16"/>
    <w:rsid w:val="0008379D"/>
    <w:rsid w:val="00083EC9"/>
    <w:rsid w:val="0009198D"/>
    <w:rsid w:val="000956E1"/>
    <w:rsid w:val="00095866"/>
    <w:rsid w:val="000A1716"/>
    <w:rsid w:val="000A7ECD"/>
    <w:rsid w:val="000B3728"/>
    <w:rsid w:val="000C6CC3"/>
    <w:rsid w:val="000F1647"/>
    <w:rsid w:val="000F6CD8"/>
    <w:rsid w:val="00112E91"/>
    <w:rsid w:val="00125D8F"/>
    <w:rsid w:val="0016164A"/>
    <w:rsid w:val="0016324D"/>
    <w:rsid w:val="00174447"/>
    <w:rsid w:val="00176495"/>
    <w:rsid w:val="0019301C"/>
    <w:rsid w:val="001A5C9B"/>
    <w:rsid w:val="001C092C"/>
    <w:rsid w:val="001F34DA"/>
    <w:rsid w:val="001F4ABA"/>
    <w:rsid w:val="001F7A87"/>
    <w:rsid w:val="00202409"/>
    <w:rsid w:val="002062B0"/>
    <w:rsid w:val="00212AA2"/>
    <w:rsid w:val="00216656"/>
    <w:rsid w:val="0022692E"/>
    <w:rsid w:val="00232642"/>
    <w:rsid w:val="002579D1"/>
    <w:rsid w:val="00261B46"/>
    <w:rsid w:val="00285772"/>
    <w:rsid w:val="00293BC2"/>
    <w:rsid w:val="002C586B"/>
    <w:rsid w:val="002C644F"/>
    <w:rsid w:val="002E0F7D"/>
    <w:rsid w:val="002E2031"/>
    <w:rsid w:val="002E23FF"/>
    <w:rsid w:val="002F5C6B"/>
    <w:rsid w:val="002F6C1F"/>
    <w:rsid w:val="00331A29"/>
    <w:rsid w:val="003344F3"/>
    <w:rsid w:val="003412CD"/>
    <w:rsid w:val="00343E7C"/>
    <w:rsid w:val="003563AA"/>
    <w:rsid w:val="003610C9"/>
    <w:rsid w:val="00367CB9"/>
    <w:rsid w:val="00367DCB"/>
    <w:rsid w:val="00370E76"/>
    <w:rsid w:val="00375145"/>
    <w:rsid w:val="00376104"/>
    <w:rsid w:val="00381EF3"/>
    <w:rsid w:val="0039380B"/>
    <w:rsid w:val="003A0906"/>
    <w:rsid w:val="003D2849"/>
    <w:rsid w:val="003E1AA4"/>
    <w:rsid w:val="003E46D2"/>
    <w:rsid w:val="003E60F5"/>
    <w:rsid w:val="003F2CE5"/>
    <w:rsid w:val="004025AB"/>
    <w:rsid w:val="00411155"/>
    <w:rsid w:val="00421999"/>
    <w:rsid w:val="004424B9"/>
    <w:rsid w:val="004426BE"/>
    <w:rsid w:val="00442B3C"/>
    <w:rsid w:val="00472D75"/>
    <w:rsid w:val="0047497E"/>
    <w:rsid w:val="00475CF2"/>
    <w:rsid w:val="00477DCC"/>
    <w:rsid w:val="0048138D"/>
    <w:rsid w:val="00490F7B"/>
    <w:rsid w:val="004A2EA9"/>
    <w:rsid w:val="004A569E"/>
    <w:rsid w:val="004B67E9"/>
    <w:rsid w:val="004C454B"/>
    <w:rsid w:val="004D1F7D"/>
    <w:rsid w:val="004E028C"/>
    <w:rsid w:val="004E2CA1"/>
    <w:rsid w:val="004F0E2D"/>
    <w:rsid w:val="005142DB"/>
    <w:rsid w:val="00531CAD"/>
    <w:rsid w:val="00534330"/>
    <w:rsid w:val="00542396"/>
    <w:rsid w:val="00542B5D"/>
    <w:rsid w:val="0054778C"/>
    <w:rsid w:val="0055258E"/>
    <w:rsid w:val="005535DB"/>
    <w:rsid w:val="00564228"/>
    <w:rsid w:val="00565D49"/>
    <w:rsid w:val="005701CD"/>
    <w:rsid w:val="00585B7B"/>
    <w:rsid w:val="00586792"/>
    <w:rsid w:val="005A3CC1"/>
    <w:rsid w:val="005B5153"/>
    <w:rsid w:val="005C5BEF"/>
    <w:rsid w:val="005D01CC"/>
    <w:rsid w:val="005D1DD2"/>
    <w:rsid w:val="005D2293"/>
    <w:rsid w:val="005D6EA5"/>
    <w:rsid w:val="006013D9"/>
    <w:rsid w:val="0060540A"/>
    <w:rsid w:val="006059F4"/>
    <w:rsid w:val="00614993"/>
    <w:rsid w:val="00627872"/>
    <w:rsid w:val="00642F6C"/>
    <w:rsid w:val="00643278"/>
    <w:rsid w:val="00643909"/>
    <w:rsid w:val="00647AA4"/>
    <w:rsid w:val="00651E24"/>
    <w:rsid w:val="00657134"/>
    <w:rsid w:val="00661AA7"/>
    <w:rsid w:val="00664161"/>
    <w:rsid w:val="006708E7"/>
    <w:rsid w:val="006924EF"/>
    <w:rsid w:val="006B63E3"/>
    <w:rsid w:val="006C5538"/>
    <w:rsid w:val="006C7037"/>
    <w:rsid w:val="006C7454"/>
    <w:rsid w:val="006D2390"/>
    <w:rsid w:val="006E1E4E"/>
    <w:rsid w:val="006E5FAF"/>
    <w:rsid w:val="006E62E9"/>
    <w:rsid w:val="006F465F"/>
    <w:rsid w:val="0071605E"/>
    <w:rsid w:val="00731780"/>
    <w:rsid w:val="00732274"/>
    <w:rsid w:val="00736258"/>
    <w:rsid w:val="00741580"/>
    <w:rsid w:val="007446A0"/>
    <w:rsid w:val="007456FA"/>
    <w:rsid w:val="00745900"/>
    <w:rsid w:val="00765289"/>
    <w:rsid w:val="00772D48"/>
    <w:rsid w:val="00782BC8"/>
    <w:rsid w:val="00786D80"/>
    <w:rsid w:val="00795A85"/>
    <w:rsid w:val="007977C0"/>
    <w:rsid w:val="007A7D71"/>
    <w:rsid w:val="007B7A78"/>
    <w:rsid w:val="007B7C43"/>
    <w:rsid w:val="007C5BBD"/>
    <w:rsid w:val="007D0B77"/>
    <w:rsid w:val="007D0D46"/>
    <w:rsid w:val="007E64B4"/>
    <w:rsid w:val="007E66ED"/>
    <w:rsid w:val="008037B4"/>
    <w:rsid w:val="00813E14"/>
    <w:rsid w:val="00814516"/>
    <w:rsid w:val="00830AA2"/>
    <w:rsid w:val="00835724"/>
    <w:rsid w:val="00841F50"/>
    <w:rsid w:val="00850D8A"/>
    <w:rsid w:val="008744D8"/>
    <w:rsid w:val="00896475"/>
    <w:rsid w:val="008A16F7"/>
    <w:rsid w:val="008A2BEA"/>
    <w:rsid w:val="008C1167"/>
    <w:rsid w:val="008D3CD2"/>
    <w:rsid w:val="008E4806"/>
    <w:rsid w:val="008E5368"/>
    <w:rsid w:val="008E64F0"/>
    <w:rsid w:val="0092300F"/>
    <w:rsid w:val="00924FFF"/>
    <w:rsid w:val="00933AB5"/>
    <w:rsid w:val="00942852"/>
    <w:rsid w:val="009436FB"/>
    <w:rsid w:val="00945055"/>
    <w:rsid w:val="00950E5B"/>
    <w:rsid w:val="00953AD3"/>
    <w:rsid w:val="0095667E"/>
    <w:rsid w:val="00967CA8"/>
    <w:rsid w:val="0098042E"/>
    <w:rsid w:val="00982873"/>
    <w:rsid w:val="00982CC7"/>
    <w:rsid w:val="0098421C"/>
    <w:rsid w:val="009A33FD"/>
    <w:rsid w:val="009A3E9F"/>
    <w:rsid w:val="009A5309"/>
    <w:rsid w:val="009B65EF"/>
    <w:rsid w:val="009B6F9B"/>
    <w:rsid w:val="009D1B16"/>
    <w:rsid w:val="009D34A9"/>
    <w:rsid w:val="009E5A54"/>
    <w:rsid w:val="009E74C3"/>
    <w:rsid w:val="00A00B13"/>
    <w:rsid w:val="00A0527F"/>
    <w:rsid w:val="00A07F91"/>
    <w:rsid w:val="00A10080"/>
    <w:rsid w:val="00A11A43"/>
    <w:rsid w:val="00A35B06"/>
    <w:rsid w:val="00A576FC"/>
    <w:rsid w:val="00A616E9"/>
    <w:rsid w:val="00A64DF4"/>
    <w:rsid w:val="00A841F3"/>
    <w:rsid w:val="00A87330"/>
    <w:rsid w:val="00AA5C73"/>
    <w:rsid w:val="00AC06E1"/>
    <w:rsid w:val="00AC1428"/>
    <w:rsid w:val="00AD1843"/>
    <w:rsid w:val="00B04F45"/>
    <w:rsid w:val="00B06AD9"/>
    <w:rsid w:val="00B076AF"/>
    <w:rsid w:val="00B07AB2"/>
    <w:rsid w:val="00B36C1A"/>
    <w:rsid w:val="00B5395A"/>
    <w:rsid w:val="00B56C10"/>
    <w:rsid w:val="00B56D9B"/>
    <w:rsid w:val="00B723D4"/>
    <w:rsid w:val="00B8510A"/>
    <w:rsid w:val="00B854FB"/>
    <w:rsid w:val="00B85A01"/>
    <w:rsid w:val="00B85AC0"/>
    <w:rsid w:val="00B91B03"/>
    <w:rsid w:val="00B941E7"/>
    <w:rsid w:val="00B95D2D"/>
    <w:rsid w:val="00BA0169"/>
    <w:rsid w:val="00BA3C56"/>
    <w:rsid w:val="00BA49F5"/>
    <w:rsid w:val="00BA7D25"/>
    <w:rsid w:val="00BB77ED"/>
    <w:rsid w:val="00BC5568"/>
    <w:rsid w:val="00BD66AA"/>
    <w:rsid w:val="00BF438F"/>
    <w:rsid w:val="00C143D4"/>
    <w:rsid w:val="00C25F95"/>
    <w:rsid w:val="00C265CB"/>
    <w:rsid w:val="00C441B9"/>
    <w:rsid w:val="00C475BF"/>
    <w:rsid w:val="00C54E16"/>
    <w:rsid w:val="00C662E6"/>
    <w:rsid w:val="00C801B0"/>
    <w:rsid w:val="00C914BB"/>
    <w:rsid w:val="00C9504D"/>
    <w:rsid w:val="00CA02E4"/>
    <w:rsid w:val="00CA5209"/>
    <w:rsid w:val="00CB1227"/>
    <w:rsid w:val="00CB44A9"/>
    <w:rsid w:val="00CB6142"/>
    <w:rsid w:val="00CE465D"/>
    <w:rsid w:val="00D0008E"/>
    <w:rsid w:val="00D02265"/>
    <w:rsid w:val="00D05A4D"/>
    <w:rsid w:val="00D1016C"/>
    <w:rsid w:val="00D206BE"/>
    <w:rsid w:val="00D21538"/>
    <w:rsid w:val="00D26A3D"/>
    <w:rsid w:val="00D30474"/>
    <w:rsid w:val="00D3588F"/>
    <w:rsid w:val="00D36238"/>
    <w:rsid w:val="00D36FC2"/>
    <w:rsid w:val="00D5495E"/>
    <w:rsid w:val="00D56F53"/>
    <w:rsid w:val="00D641D6"/>
    <w:rsid w:val="00D6647C"/>
    <w:rsid w:val="00D7104F"/>
    <w:rsid w:val="00D80266"/>
    <w:rsid w:val="00D81CA6"/>
    <w:rsid w:val="00D87780"/>
    <w:rsid w:val="00D948A1"/>
    <w:rsid w:val="00DA2761"/>
    <w:rsid w:val="00DA5B9D"/>
    <w:rsid w:val="00DA6A0C"/>
    <w:rsid w:val="00DB18C6"/>
    <w:rsid w:val="00DB5861"/>
    <w:rsid w:val="00DD5677"/>
    <w:rsid w:val="00DD7A9D"/>
    <w:rsid w:val="00DE2F3A"/>
    <w:rsid w:val="00E009A1"/>
    <w:rsid w:val="00E1014B"/>
    <w:rsid w:val="00E32D8D"/>
    <w:rsid w:val="00E35001"/>
    <w:rsid w:val="00E41EBD"/>
    <w:rsid w:val="00E47137"/>
    <w:rsid w:val="00E504C0"/>
    <w:rsid w:val="00E552CB"/>
    <w:rsid w:val="00E61CD8"/>
    <w:rsid w:val="00E61F5F"/>
    <w:rsid w:val="00E64FE1"/>
    <w:rsid w:val="00E710A8"/>
    <w:rsid w:val="00E75DB0"/>
    <w:rsid w:val="00E81527"/>
    <w:rsid w:val="00E84CCD"/>
    <w:rsid w:val="00E94641"/>
    <w:rsid w:val="00EA4089"/>
    <w:rsid w:val="00EC0561"/>
    <w:rsid w:val="00EC223B"/>
    <w:rsid w:val="00EC705F"/>
    <w:rsid w:val="00EF6E3C"/>
    <w:rsid w:val="00F020DC"/>
    <w:rsid w:val="00F1747C"/>
    <w:rsid w:val="00F210B1"/>
    <w:rsid w:val="00F2721B"/>
    <w:rsid w:val="00F3559D"/>
    <w:rsid w:val="00F42AB9"/>
    <w:rsid w:val="00F5636C"/>
    <w:rsid w:val="00F645B9"/>
    <w:rsid w:val="00F6628B"/>
    <w:rsid w:val="00F87819"/>
    <w:rsid w:val="00FB0D54"/>
    <w:rsid w:val="00FB4DD9"/>
    <w:rsid w:val="00FC7894"/>
    <w:rsid w:val="00FD0F1F"/>
    <w:rsid w:val="00FD3208"/>
    <w:rsid w:val="00FD4A9C"/>
    <w:rsid w:val="00FE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9FFE"/>
  <w15:chartTrackingRefBased/>
  <w15:docId w15:val="{CEEA1701-D03B-499F-9C0E-3FEA2C1A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495"/>
    <w:pPr>
      <w:ind w:firstLine="720"/>
    </w:pPr>
    <w:rPr>
      <w:rFonts w:ascii="Calibri" w:hAnsi="Calibri" w:cstheme="minorHAnsi"/>
    </w:rPr>
  </w:style>
  <w:style w:type="paragraph" w:styleId="Heading1">
    <w:name w:val="heading 1"/>
    <w:basedOn w:val="Normal"/>
    <w:next w:val="Normal"/>
    <w:link w:val="Heading1Char"/>
    <w:uiPriority w:val="9"/>
    <w:qFormat/>
    <w:rsid w:val="00542B5D"/>
    <w:pPr>
      <w:jc w:val="center"/>
      <w:outlineLvl w:val="0"/>
    </w:pPr>
    <w:rPr>
      <w:b/>
    </w:rPr>
  </w:style>
  <w:style w:type="paragraph" w:styleId="Heading2">
    <w:name w:val="heading 2"/>
    <w:basedOn w:val="Normal"/>
    <w:next w:val="Normal"/>
    <w:link w:val="Heading2Char"/>
    <w:uiPriority w:val="9"/>
    <w:unhideWhenUsed/>
    <w:qFormat/>
    <w:rsid w:val="00B07AB2"/>
    <w:pPr>
      <w:ind w:firstLine="0"/>
      <w:outlineLvl w:val="1"/>
    </w:pPr>
    <w:rPr>
      <w:b/>
    </w:rPr>
  </w:style>
  <w:style w:type="paragraph" w:styleId="Heading3">
    <w:name w:val="heading 3"/>
    <w:basedOn w:val="Normal"/>
    <w:next w:val="Normal"/>
    <w:link w:val="Heading3Char"/>
    <w:uiPriority w:val="9"/>
    <w:unhideWhenUsed/>
    <w:qFormat/>
    <w:rsid w:val="00442B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42B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42B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42B3C"/>
    <w:pPr>
      <w:spacing w:before="240" w:after="60"/>
      <w:outlineLvl w:val="5"/>
    </w:pPr>
    <w:rPr>
      <w:b/>
      <w:bCs/>
    </w:rPr>
  </w:style>
  <w:style w:type="paragraph" w:styleId="Heading7">
    <w:name w:val="heading 7"/>
    <w:basedOn w:val="Normal"/>
    <w:next w:val="Normal"/>
    <w:link w:val="Heading7Char"/>
    <w:uiPriority w:val="9"/>
    <w:semiHidden/>
    <w:unhideWhenUsed/>
    <w:qFormat/>
    <w:rsid w:val="00442B3C"/>
    <w:pPr>
      <w:spacing w:before="240" w:after="60"/>
      <w:outlineLvl w:val="6"/>
    </w:pPr>
  </w:style>
  <w:style w:type="paragraph" w:styleId="Heading8">
    <w:name w:val="heading 8"/>
    <w:basedOn w:val="Normal"/>
    <w:next w:val="Normal"/>
    <w:link w:val="Heading8Char"/>
    <w:uiPriority w:val="9"/>
    <w:semiHidden/>
    <w:unhideWhenUsed/>
    <w:qFormat/>
    <w:rsid w:val="00442B3C"/>
    <w:pPr>
      <w:spacing w:before="240" w:after="60"/>
      <w:outlineLvl w:val="7"/>
    </w:pPr>
    <w:rPr>
      <w:i/>
      <w:iCs/>
    </w:rPr>
  </w:style>
  <w:style w:type="paragraph" w:styleId="Heading9">
    <w:name w:val="heading 9"/>
    <w:basedOn w:val="Normal"/>
    <w:next w:val="Normal"/>
    <w:link w:val="Heading9Char"/>
    <w:uiPriority w:val="9"/>
    <w:semiHidden/>
    <w:unhideWhenUsed/>
    <w:qFormat/>
    <w:rsid w:val="00442B3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B5D"/>
    <w:rPr>
      <w:rFonts w:ascii="Book Antiqua" w:hAnsi="Book Antiqua" w:cstheme="minorHAnsi"/>
      <w:b/>
      <w:sz w:val="22"/>
      <w:szCs w:val="22"/>
    </w:rPr>
  </w:style>
  <w:style w:type="character" w:customStyle="1" w:styleId="Heading2Char">
    <w:name w:val="Heading 2 Char"/>
    <w:basedOn w:val="DefaultParagraphFont"/>
    <w:link w:val="Heading2"/>
    <w:uiPriority w:val="9"/>
    <w:rsid w:val="00B07AB2"/>
    <w:rPr>
      <w:rFonts w:ascii="Arial" w:hAnsi="Arial" w:cs="Arial"/>
      <w:b/>
      <w:sz w:val="20"/>
      <w:szCs w:val="20"/>
    </w:rPr>
  </w:style>
  <w:style w:type="character" w:customStyle="1" w:styleId="Heading3Char">
    <w:name w:val="Heading 3 Char"/>
    <w:basedOn w:val="DefaultParagraphFont"/>
    <w:link w:val="Heading3"/>
    <w:uiPriority w:val="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uiPriority w:val="1"/>
    <w:qFormat/>
    <w:rPr>
      <w:szCs w:val="32"/>
    </w:rPr>
  </w:style>
  <w:style w:type="paragraph" w:styleId="Quote">
    <w:name w:val="Quote"/>
    <w:basedOn w:val="Normal"/>
    <w:next w:val="Normal"/>
    <w:link w:val="QuoteChar"/>
    <w:uiPriority w:val="29"/>
    <w:qFormat/>
    <w:rsid w:val="00285772"/>
    <w:pPr>
      <w:spacing w:after="240" w:line="240" w:lineRule="auto"/>
      <w:ind w:left="720" w:firstLine="0"/>
    </w:pPr>
  </w:style>
  <w:style w:type="character" w:customStyle="1" w:styleId="QuoteChar">
    <w:name w:val="Quote Char"/>
    <w:basedOn w:val="DefaultParagraphFont"/>
    <w:link w:val="Quote"/>
    <w:uiPriority w:val="29"/>
    <w:rsid w:val="00285772"/>
    <w:rPr>
      <w:rFonts w:ascii="Book Antiqua" w:hAnsi="Book Antiqua" w:cstheme="minorHAnsi"/>
      <w:sz w:val="22"/>
      <w:szCs w:val="22"/>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rsid w:val="000005E5"/>
    <w:pPr>
      <w:spacing w:after="200" w:line="240" w:lineRule="auto"/>
    </w:pPr>
    <w:rPr>
      <w:i/>
      <w:iCs/>
      <w:color w:val="6E747A" w:themeColor="text2"/>
      <w:szCs w:val="18"/>
    </w:rPr>
  </w:style>
  <w:style w:type="paragraph" w:styleId="BalloonText">
    <w:name w:val="Balloon Text"/>
    <w:basedOn w:val="Normal"/>
    <w:link w:val="BalloonTextChar"/>
    <w:uiPriority w:val="99"/>
    <w:semiHidden/>
    <w:unhideWhenUsed/>
    <w:rsid w:val="000005E5"/>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005E5"/>
    <w:rPr>
      <w:rFonts w:ascii="Segoe UI" w:hAnsi="Segoe UI" w:cs="Segoe UI"/>
      <w:sz w:val="22"/>
      <w:szCs w:val="18"/>
    </w:rPr>
  </w:style>
  <w:style w:type="paragraph" w:styleId="BodyText3">
    <w:name w:val="Body Text 3"/>
    <w:basedOn w:val="Normal"/>
    <w:link w:val="BodyText3Char"/>
    <w:uiPriority w:val="99"/>
    <w:semiHidden/>
    <w:unhideWhenUsed/>
    <w:rsid w:val="000005E5"/>
    <w:pPr>
      <w:spacing w:after="120"/>
    </w:pPr>
    <w:rPr>
      <w:szCs w:val="16"/>
    </w:rPr>
  </w:style>
  <w:style w:type="character" w:customStyle="1" w:styleId="BodyText3Char">
    <w:name w:val="Body Text 3 Char"/>
    <w:basedOn w:val="DefaultParagraphFont"/>
    <w:link w:val="BodyText3"/>
    <w:uiPriority w:val="99"/>
    <w:semiHidden/>
    <w:rsid w:val="000005E5"/>
    <w:rPr>
      <w:sz w:val="22"/>
      <w:szCs w:val="16"/>
    </w:rPr>
  </w:style>
  <w:style w:type="paragraph" w:styleId="BodyTextIndent3">
    <w:name w:val="Body Text Indent 3"/>
    <w:basedOn w:val="Normal"/>
    <w:link w:val="BodyTextIndent3Char"/>
    <w:uiPriority w:val="99"/>
    <w:semiHidden/>
    <w:unhideWhenUsed/>
    <w:rsid w:val="000005E5"/>
    <w:pPr>
      <w:spacing w:after="120"/>
      <w:ind w:left="360"/>
    </w:pPr>
    <w:rPr>
      <w:szCs w:val="16"/>
    </w:rPr>
  </w:style>
  <w:style w:type="character" w:customStyle="1" w:styleId="BodyTextIndent3Char">
    <w:name w:val="Body Text Indent 3 Char"/>
    <w:basedOn w:val="DefaultParagraphFont"/>
    <w:link w:val="BodyTextIndent3"/>
    <w:uiPriority w:val="99"/>
    <w:semiHidden/>
    <w:rsid w:val="000005E5"/>
    <w:rPr>
      <w:sz w:val="22"/>
      <w:szCs w:val="16"/>
    </w:rPr>
  </w:style>
  <w:style w:type="character" w:styleId="CommentReference">
    <w:name w:val="annotation reference"/>
    <w:basedOn w:val="DefaultParagraphFont"/>
    <w:uiPriority w:val="99"/>
    <w:semiHidden/>
    <w:unhideWhenUsed/>
    <w:rsid w:val="000005E5"/>
    <w:rPr>
      <w:sz w:val="22"/>
      <w:szCs w:val="16"/>
    </w:rPr>
  </w:style>
  <w:style w:type="paragraph" w:styleId="CommentText">
    <w:name w:val="annotation text"/>
    <w:basedOn w:val="Normal"/>
    <w:link w:val="CommentTextChar"/>
    <w:uiPriority w:val="99"/>
    <w:semiHidden/>
    <w:unhideWhenUsed/>
    <w:rsid w:val="000005E5"/>
    <w:pPr>
      <w:spacing w:line="240" w:lineRule="auto"/>
    </w:pPr>
  </w:style>
  <w:style w:type="character" w:customStyle="1" w:styleId="CommentTextChar">
    <w:name w:val="Comment Text Char"/>
    <w:basedOn w:val="DefaultParagraphFont"/>
    <w:link w:val="CommentText"/>
    <w:uiPriority w:val="99"/>
    <w:semiHidden/>
    <w:rsid w:val="000005E5"/>
    <w:rPr>
      <w:sz w:val="22"/>
      <w:szCs w:val="20"/>
    </w:rPr>
  </w:style>
  <w:style w:type="paragraph" w:styleId="CommentSubject">
    <w:name w:val="annotation subject"/>
    <w:basedOn w:val="CommentText"/>
    <w:next w:val="CommentText"/>
    <w:link w:val="CommentSubjectChar"/>
    <w:uiPriority w:val="99"/>
    <w:semiHidden/>
    <w:unhideWhenUsed/>
    <w:rsid w:val="000005E5"/>
    <w:rPr>
      <w:b/>
      <w:bCs/>
    </w:rPr>
  </w:style>
  <w:style w:type="character" w:customStyle="1" w:styleId="CommentSubjectChar">
    <w:name w:val="Comment Subject Char"/>
    <w:basedOn w:val="CommentTextChar"/>
    <w:link w:val="CommentSubject"/>
    <w:uiPriority w:val="99"/>
    <w:semiHidden/>
    <w:rsid w:val="000005E5"/>
    <w:rPr>
      <w:b/>
      <w:bCs/>
      <w:sz w:val="22"/>
      <w:szCs w:val="20"/>
    </w:rPr>
  </w:style>
  <w:style w:type="paragraph" w:styleId="DocumentMap">
    <w:name w:val="Document Map"/>
    <w:basedOn w:val="Normal"/>
    <w:link w:val="DocumentMapChar"/>
    <w:uiPriority w:val="99"/>
    <w:semiHidden/>
    <w:unhideWhenUsed/>
    <w:rsid w:val="000005E5"/>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005E5"/>
    <w:rPr>
      <w:rFonts w:ascii="Segoe UI" w:hAnsi="Segoe UI" w:cs="Segoe UI"/>
      <w:sz w:val="22"/>
      <w:szCs w:val="16"/>
    </w:rPr>
  </w:style>
  <w:style w:type="paragraph" w:styleId="EndnoteText">
    <w:name w:val="endnote text"/>
    <w:basedOn w:val="Normal"/>
    <w:link w:val="EndnoteTextChar"/>
    <w:uiPriority w:val="99"/>
    <w:semiHidden/>
    <w:unhideWhenUsed/>
    <w:rsid w:val="000005E5"/>
    <w:pPr>
      <w:spacing w:line="240" w:lineRule="auto"/>
    </w:pPr>
  </w:style>
  <w:style w:type="character" w:customStyle="1" w:styleId="EndnoteTextChar">
    <w:name w:val="Endnote Text Char"/>
    <w:basedOn w:val="DefaultParagraphFont"/>
    <w:link w:val="EndnoteText"/>
    <w:uiPriority w:val="99"/>
    <w:semiHidden/>
    <w:rsid w:val="000005E5"/>
    <w:rPr>
      <w:sz w:val="22"/>
      <w:szCs w:val="20"/>
    </w:rPr>
  </w:style>
  <w:style w:type="paragraph" w:styleId="EnvelopeReturn">
    <w:name w:val="envelope return"/>
    <w:basedOn w:val="Normal"/>
    <w:uiPriority w:val="99"/>
    <w:semiHidden/>
    <w:unhideWhenUsed/>
    <w:rsid w:val="000005E5"/>
    <w:pPr>
      <w:spacing w:line="240" w:lineRule="auto"/>
    </w:pPr>
    <w:rPr>
      <w:rFonts w:asciiTheme="majorHAnsi" w:eastAsiaTheme="majorEastAsia" w:hAnsiTheme="majorHAnsi" w:cstheme="majorBidi"/>
    </w:rPr>
  </w:style>
  <w:style w:type="paragraph" w:styleId="FootnoteText">
    <w:name w:val="footnote text"/>
    <w:basedOn w:val="Normal"/>
    <w:link w:val="FootnoteTextChar"/>
    <w:unhideWhenUsed/>
    <w:rsid w:val="0098421C"/>
    <w:pPr>
      <w:spacing w:line="240" w:lineRule="auto"/>
    </w:pPr>
  </w:style>
  <w:style w:type="character" w:customStyle="1" w:styleId="FootnoteTextChar">
    <w:name w:val="Footnote Text Char"/>
    <w:basedOn w:val="DefaultParagraphFont"/>
    <w:link w:val="FootnoteText"/>
    <w:rsid w:val="0098421C"/>
    <w:rPr>
      <w:rFonts w:ascii="Book Antiqua" w:hAnsi="Book Antiqua" w:cstheme="minorHAnsi"/>
      <w:sz w:val="20"/>
      <w:szCs w:val="20"/>
    </w:rPr>
  </w:style>
  <w:style w:type="character" w:styleId="HTMLCode">
    <w:name w:val="HTML Code"/>
    <w:basedOn w:val="DefaultParagraphFont"/>
    <w:uiPriority w:val="99"/>
    <w:semiHidden/>
    <w:unhideWhenUsed/>
    <w:rsid w:val="000005E5"/>
    <w:rPr>
      <w:rFonts w:ascii="Consolas" w:hAnsi="Consolas"/>
      <w:sz w:val="22"/>
      <w:szCs w:val="20"/>
    </w:rPr>
  </w:style>
  <w:style w:type="character" w:styleId="HTMLKeyboard">
    <w:name w:val="HTML Keyboard"/>
    <w:basedOn w:val="DefaultParagraphFont"/>
    <w:uiPriority w:val="99"/>
    <w:semiHidden/>
    <w:unhideWhenUsed/>
    <w:rsid w:val="000005E5"/>
    <w:rPr>
      <w:rFonts w:ascii="Consolas" w:hAnsi="Consolas"/>
      <w:sz w:val="22"/>
      <w:szCs w:val="20"/>
    </w:rPr>
  </w:style>
  <w:style w:type="paragraph" w:styleId="HTMLPreformatted">
    <w:name w:val="HTML Preformatted"/>
    <w:basedOn w:val="Normal"/>
    <w:link w:val="HTMLPreformattedChar"/>
    <w:uiPriority w:val="99"/>
    <w:semiHidden/>
    <w:unhideWhenUsed/>
    <w:rsid w:val="000005E5"/>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0005E5"/>
    <w:rPr>
      <w:rFonts w:ascii="Consolas" w:hAnsi="Consolas"/>
      <w:sz w:val="22"/>
      <w:szCs w:val="20"/>
    </w:rPr>
  </w:style>
  <w:style w:type="character" w:styleId="HTMLTypewriter">
    <w:name w:val="HTML Typewriter"/>
    <w:basedOn w:val="DefaultParagraphFont"/>
    <w:uiPriority w:val="99"/>
    <w:semiHidden/>
    <w:unhideWhenUsed/>
    <w:rsid w:val="000005E5"/>
    <w:rPr>
      <w:rFonts w:ascii="Consolas" w:hAnsi="Consolas"/>
      <w:sz w:val="22"/>
      <w:szCs w:val="20"/>
    </w:rPr>
  </w:style>
  <w:style w:type="paragraph" w:styleId="MacroText">
    <w:name w:val="macro"/>
    <w:link w:val="MacroTextChar"/>
    <w:uiPriority w:val="99"/>
    <w:semiHidden/>
    <w:unhideWhenUsed/>
    <w:rsid w:val="000005E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0005E5"/>
    <w:rPr>
      <w:rFonts w:ascii="Consolas" w:hAnsi="Consolas"/>
      <w:sz w:val="22"/>
      <w:szCs w:val="20"/>
    </w:rPr>
  </w:style>
  <w:style w:type="paragraph" w:styleId="PlainText">
    <w:name w:val="Plain Text"/>
    <w:basedOn w:val="Normal"/>
    <w:link w:val="PlainTextChar"/>
    <w:uiPriority w:val="99"/>
    <w:semiHidden/>
    <w:unhideWhenUsed/>
    <w:rsid w:val="000005E5"/>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0005E5"/>
    <w:rPr>
      <w:rFonts w:ascii="Consolas" w:hAnsi="Consolas"/>
      <w:sz w:val="22"/>
      <w:szCs w:val="21"/>
    </w:rPr>
  </w:style>
  <w:style w:type="paragraph" w:styleId="BlockText">
    <w:name w:val="Block Text"/>
    <w:basedOn w:val="Normal"/>
    <w:uiPriority w:val="99"/>
    <w:semiHidden/>
    <w:unhideWhenUsed/>
    <w:rsid w:val="000005E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cstheme="minorBidi"/>
      <w:i/>
      <w:iCs/>
      <w:color w:val="1F4E79" w:themeColor="accent1" w:themeShade="80"/>
    </w:rPr>
  </w:style>
  <w:style w:type="character" w:styleId="Hyperlink">
    <w:name w:val="Hyperlink"/>
    <w:basedOn w:val="DefaultParagraphFont"/>
    <w:uiPriority w:val="99"/>
    <w:unhideWhenUsed/>
    <w:rsid w:val="000005E5"/>
    <w:rPr>
      <w:color w:val="806000" w:themeColor="accent4" w:themeShade="80"/>
      <w:u w:val="single"/>
    </w:rPr>
  </w:style>
  <w:style w:type="character" w:styleId="PlaceholderText">
    <w:name w:val="Placeholder Text"/>
    <w:basedOn w:val="DefaultParagraphFont"/>
    <w:uiPriority w:val="99"/>
    <w:semiHidden/>
    <w:rsid w:val="000005E5"/>
    <w:rPr>
      <w:color w:val="52565B" w:themeColor="text2" w:themeShade="BF"/>
    </w:rPr>
  </w:style>
  <w:style w:type="paragraph" w:styleId="NormalWeb">
    <w:name w:val="Normal (Web)"/>
    <w:basedOn w:val="Normal"/>
    <w:uiPriority w:val="99"/>
    <w:semiHidden/>
    <w:unhideWhenUsed/>
    <w:rsid w:val="004E028C"/>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34"/>
    <w:unhideWhenUsed/>
    <w:qFormat/>
    <w:rsid w:val="004F0E2D"/>
    <w:pPr>
      <w:ind w:left="720"/>
      <w:contextualSpacing/>
    </w:pPr>
  </w:style>
  <w:style w:type="character" w:styleId="FootnoteReference">
    <w:name w:val="footnote reference"/>
    <w:basedOn w:val="DefaultParagraphFont"/>
    <w:rsid w:val="003F2CE5"/>
    <w:rPr>
      <w:color w:val="auto"/>
      <w:vertAlign w:val="superscript"/>
    </w:rPr>
  </w:style>
  <w:style w:type="character" w:styleId="UnresolvedMention">
    <w:name w:val="Unresolved Mention"/>
    <w:basedOn w:val="DefaultParagraphFont"/>
    <w:uiPriority w:val="99"/>
    <w:semiHidden/>
    <w:unhideWhenUsed/>
    <w:rsid w:val="00FD0F1F"/>
    <w:rPr>
      <w:color w:val="605E5C"/>
      <w:shd w:val="clear" w:color="auto" w:fill="E1DFDD"/>
    </w:rPr>
  </w:style>
  <w:style w:type="table" w:styleId="TableGrid">
    <w:name w:val="Table Grid"/>
    <w:basedOn w:val="TableNormal"/>
    <w:uiPriority w:val="59"/>
    <w:rsid w:val="00CE46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62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phc3.1255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Classic%20doub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6E747A"/>
      </a:dk2>
      <a:lt2>
        <a:srgbClr val="E7E6E6"/>
      </a:lt2>
      <a:accent1>
        <a:srgbClr val="5B9BD5"/>
      </a:accent1>
      <a:accent2>
        <a:srgbClr val="ED7D31"/>
      </a:accent2>
      <a:accent3>
        <a:srgbClr val="A5A5A5"/>
      </a:accent3>
      <a:accent4>
        <a:srgbClr val="FFC000"/>
      </a:accent4>
      <a:accent5>
        <a:srgbClr val="4472C4"/>
      </a:accent5>
      <a:accent6>
        <a:srgbClr val="70AD47"/>
      </a:accent6>
      <a:hlink>
        <a:srgbClr val="F7B615"/>
      </a:hlink>
      <a:folHlink>
        <a:srgbClr val="704404"/>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CACFA-3160-494D-A981-76B89B21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C:\Users\Owner\AppData\Roaming\Microsoft\Templates\Classic double spaced (blank).dotx</Template>
  <TotalTime>1389</TotalTime>
  <Pages>28</Pages>
  <Words>7107</Words>
  <Characters>38455</Characters>
  <Application>Microsoft Office Word</Application>
  <DocSecurity>0</DocSecurity>
  <Lines>565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Wolf, Clark</cp:lastModifiedBy>
  <cp:revision>11</cp:revision>
  <dcterms:created xsi:type="dcterms:W3CDTF">2020-10-22T00:16:00Z</dcterms:created>
  <dcterms:modified xsi:type="dcterms:W3CDTF">2021-03-24T02:14:00Z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LocalizationTags">
    <vt:lpwstr/>
  </property>
  <property fmtid="{D5CDD505-2E9C-101B-9397-08002B2CF9AE}" pid="5" name="FeatureTags">
    <vt:lpwstr/>
  </property>
  <property fmtid="{D5CDD505-2E9C-101B-9397-08002B2CF9AE}" pid="6" name="CampaignTags">
    <vt:lpwstr/>
  </property>
  <property fmtid="{D5CDD505-2E9C-101B-9397-08002B2CF9AE}" pid="7" name="ScenarioTags">
    <vt:lpwstr/>
  </property>
</Properties>
</file>