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5AA" w:rsidRPr="003E6574" w:rsidRDefault="002105AA" w:rsidP="00B60CFA">
      <w:pPr>
        <w:spacing w:before="120"/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Urszula Wybraniec-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Skardowska</w:t>
      </w:r>
      <w:proofErr w:type="spellEnd"/>
    </w:p>
    <w:p w:rsidR="002105AA" w:rsidRPr="003E6574" w:rsidRDefault="002105AA" w:rsidP="00B60CFA">
      <w:pPr>
        <w:spacing w:before="120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LOGICZNE PODSTAWY ONTOLOGII SKŁADNI JĘZYKA</w:t>
      </w:r>
    </w:p>
    <w:p w:rsidR="002105AA" w:rsidRPr="003E6574" w:rsidRDefault="002105AA" w:rsidP="00B60CFA">
      <w:pPr>
        <w:spacing w:before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WPROWADZENIE</w:t>
      </w:r>
    </w:p>
    <w:p w:rsidR="002105AA" w:rsidRPr="003E6574" w:rsidRDefault="002105AA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Pytanie o status ontologiczny obiektów językowych</w:t>
      </w:r>
      <w:r w:rsidRPr="003E6574">
        <w:rPr>
          <w:rStyle w:val="Odwoanieprzypisudolnego"/>
          <w:rFonts w:ascii="Times New Roman" w:hAnsi="Times New Roman" w:cs="Times New Roman"/>
          <w:color w:val="000000"/>
          <w:sz w:val="24"/>
          <w:szCs w:val="24"/>
          <w:lang w:val="pl-PL"/>
        </w:rPr>
        <w:footnoteReference w:id="1"/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można sprowadzić do jednego z dwóch pytań rozstrzygnięcia:</w:t>
      </w:r>
    </w:p>
    <w:p w:rsidR="002105AA" w:rsidRPr="003E6574" w:rsidRDefault="002105AA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1° Czy napisy językowe, w tym słowa, wyrażenia, są obiektami fizycznymi o określonym kształcie, rozciągłymi w przestrzeni i czasie?</w:t>
      </w:r>
    </w:p>
    <w:p w:rsidR="002105AA" w:rsidRPr="003E6574" w:rsidRDefault="002105AA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2° Czy napisy językowe, w tym słowa, wyrażenia, są obiektami abstrakcyjnymi, a więc pewnymi bytami idealnymi?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Różny jest status ontologiczny napisów językowych, o których jest mowa w tych dwóch pytaniach; należą też one do różnych kategorii ontologicznych. W praktyce logiczno-semiotycznej posługujemy się jednak nimi w sposób równoprawny.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Najczęściej zgodnie z rozróżnieniem dokonanym przez C. S.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Peirce'a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napisy, słowa, wyrażenia rozumiane są bądź jako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konkrety,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czyli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egzemplarze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(ang.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tokens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events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) —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materialne, spostrzegalne zmysłowo przedmioty, bądź jako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typy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(ang.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types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) —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klasy równokształtnych egzemplarzy, będące obiektami abstrakcyjnymi. Taka dwoistość w pojmowaniu napisu językowego występuje w słynnej monografii A. Tarskiego [6], rozpowszechniła się zaś zwłaszcza dzięki pracom </w:t>
      </w:r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R.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Carnapa z lat czterdziestych. Adaptujemy ją w niniejszym artykule.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Dwojaki charakter ontologiczny napisów językowych i posługiwanie się nimi w dwojaki sposób w analizie semiotycznej: jako egzemplarzami lub typami, wskazuje na konieczność dwuaspektowego charakteryzowania języka w teoretycznej, logicznej koncepcji języka: jako języka wyrażeń-egzemplarzy i jako języka typów takich wyrażeń.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Opracowanie określonej koncepcji nie może przy tym pozostawać bez wpływu dwóch głównych nurtów ontologii języka, związanych z dwiema fundamentalnymi ideami, które ukształtowały się w sporze o uniwersalia: nominalizmem i platonizmem.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Stojąc na pozycji nominalistycznej zakłada się, że podstawową płaszczyzną językową są napisy-egzemplarze, a więc konkrety. Napisy abstrakcyjne, czyli typy napisów, są wówczas konstruktami wtórnej analizy. Przyjmując natomiast, że podstawą badań nad językiem są obiekty idealne rozumiane jako typy napisów, a napisy-egzemplarze, dostępne zmysłowemu poznaniu, są wtórne w stosunku do tych obiektów, przyjmujemy inne rozstrzygnięcie ontologiczne, nawiązujące do platonizmu</w:t>
      </w:r>
      <w:r w:rsidRPr="003E6574">
        <w:rPr>
          <w:rStyle w:val="Odwoanieprzypisudolnego"/>
          <w:rFonts w:ascii="Times New Roman" w:hAnsi="Times New Roman" w:cs="Times New Roman"/>
          <w:color w:val="000000"/>
          <w:sz w:val="24"/>
          <w:szCs w:val="24"/>
          <w:lang w:val="pl-PL"/>
        </w:rPr>
        <w:footnoteReference w:id="2"/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2105AA" w:rsidRPr="003E6574" w:rsidRDefault="002105AA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Logiczna koncepcja ontologii składni języka powinna dostarczyć formalnych podstaw pozwalających zarówno na:</w:t>
      </w:r>
    </w:p>
    <w:p w:rsidR="002105AA" w:rsidRPr="003E6574" w:rsidRDefault="002105AA" w:rsidP="00B60CFA">
      <w:pPr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1° ujęcie teorii języka w sformalizowany system oparty na pierwotnym pojęciu napisu-egzemplarza, w którym to systemie abstrakcyjne pojęcia: typ napisu, słowa czy wyrażenia, są wtórnymi, zdefiniowanymi konstruktami (podejście nominalistyczne,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konkretystyczne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), jak i — w opozycji — na</w:t>
      </w:r>
    </w:p>
    <w:p w:rsidR="002105AA" w:rsidRPr="003E6574" w:rsidRDefault="002105AA" w:rsidP="00B60CFA">
      <w:pPr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 xml:space="preserve">2° ujęcie teorii języka w sformalizowany system oparty na pierwotnym pojęciu typu napisu, w którym pojęcia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konkretów,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w szczególności napisy-egzemplarze, słowa czy wyrażenia-egzemplarze, są definiowane (podejście platonizujące, idealistyczne).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Inspiratorem pierwszego ujęcia jest </w:t>
      </w:r>
      <w:r w:rsidRPr="003E6574"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  <w:t xml:space="preserve">J.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Słupecki (zob. [7]). Inspiracji do formalnego podejścia idealistycznego dostarcza monografia A. Tarskiego [6].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Oba ujęcia są prezentowane w tej rozprawie (część II i III) jako rozwinięcie idei naszkicowanych w [8] i [9]. Oba dają wzmiankowany, dwuaspektowy, syntaktyczny opis języka w oparciu o dwa odmienne stanowiska ontologiczne. Trzeba podkreślić, że uprawiana w nich logika jest neutralna w sporze o uniwersalia. Badania metodologiczne omówione w części IV prowadzą do konkluzji, że oba ujęcia dotyczące syntaktycznego opisu języka są równoważne i do stwierdzenia przemawiającego na korzyść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konkretystycznej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koncepcji języka przyjmowanej np. przez S. Leśniewskiego i zbieżnej z założeniami reizmu ontologicznego T. Kotarbińskiego.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W opracowaniu tekstu niniejszego artykułu wykorzystałam uwagi dr. Wojciecha Buszkowskiego i dr. Jerzego Perzanowskiego. Serdecznie Im za nie dziękuję.</w:t>
      </w:r>
    </w:p>
    <w:p w:rsidR="002105AA" w:rsidRPr="003E6574" w:rsidRDefault="002105AA" w:rsidP="00B60CFA">
      <w:pPr>
        <w:spacing w:before="120"/>
        <w:ind w:left="1008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1. WSTĘPNA CHARAKTERYSTYKA SYNTAKTYCZNA JĘZYKA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Dla celów postawionych w tej pracy, budując określoną teorię języka, będziemy interesowali się językami kategorialnymi charakteryzowanymi syntaktycznie, a więc mówiąc najprościej — językami zbudowanymi zgodnie z ogólnymi zasadami teorii kategorii syntaktycznych S. Leśniewskiego, w wersji udoskonalonej przez K. Ajdukiewicza [1].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Niemniej trzeba wyraźnie zaznaczyć, że języki budowane zgodnie z innymi zasadami mogą stanowić formalne modele języka, do których stosują się zasadnicze pojęcia rozważane w obu prezentowanych tu ujęciach języka. Część rozważań dotycząca obu podejść daje się równie dobrze zastosować np. do opisu języków N. Chomsky'ego.</w:t>
      </w:r>
    </w:p>
    <w:p w:rsidR="002105AA" w:rsidRPr="003E6574" w:rsidRDefault="002105AA" w:rsidP="00B60CFA">
      <w:pPr>
        <w:spacing w:before="120"/>
        <w:ind w:left="1656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I. INTUICYJNE ROZUMIENIE JĘZYKA KATEGORIALNEGO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Dowolny, charakteryzowany syntaktycznie, język </w:t>
      </w:r>
      <w:r w:rsidRPr="003E6574"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  <w:t xml:space="preserve">L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wyznaczony, gdy zdeterminowany jest zbiór wszystkich jego zdań, ogólniej: zbiór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S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wszystkich jego poprawnie zbudowanych wyrażeń. Wyznaczenie tego zbioru jest możliwe, </w:t>
      </w:r>
      <w:r w:rsidR="008240E4"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346710</wp:posOffset>
                </wp:positionV>
                <wp:extent cx="4711700" cy="160020"/>
                <wp:effectExtent l="2540" t="3810" r="635" b="0"/>
                <wp:wrapSquare wrapText="bothSides"/>
                <wp:docPr id="96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CAC" w:rsidRDefault="00E51CAC" w:rsidP="002105AA">
                            <w:pPr>
                              <w:tabs>
                                <w:tab w:val="right" w:pos="7377"/>
                              </w:tabs>
                              <w:ind w:left="1872"/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2"/>
                                <w:sz w:val="18"/>
                                <w:lang w:val="pl-P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2"/>
                                <w:sz w:val="18"/>
                                <w:lang w:val="pl-PL"/>
                              </w:rPr>
                              <w:t>Logika w filozofii  języka i innych dyscyplinach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2"/>
                                <w:sz w:val="18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lang w:val="pl-PL"/>
                              </w:rPr>
                              <w:t>265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49.7pt;margin-top:27.3pt;width:371pt;height:12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ooswIAAKkFAAAOAAAAZHJzL2Uyb0RvYy54bWysVF1vmzAUfZ+0/2D5nWIyQgIqqdoQpknd&#10;h9TtuXLABGtgM9sJdNP++65NSNLuZdrGg3Wxr8/9OMf3+mZoG3RgSnMpUhxcEYyYKGTJxS7FXz7n&#10;3hIjbagoaSMFS/ET0/hm9frVdd8lbCZr2ZRMIQAROum7FNfGdInv66JmLdVXsmMCDiupWmrgV+38&#10;UtEe0NvGnxES+b1UZadkwbSG3Ww8xCuHX1WsMB+rSjODmhRDbsatyq1bu/qra5rsFO1qXhzToH+R&#10;RUu5gKAnqIwaivaK/wbV8kJJLStzVcjWl1XFC+ZqgGoC8qKah5p2zNUCzdHdqU36/8EWHw6fFOJl&#10;iuMII0Fb4OhxIPA9atedvtMJOD104GaGOzkAy65S3d3L4qtGQq5rKnbsVinZ14yWkF1g++pfXLV8&#10;6ERbkG3/XpYQhe6NdEBDpVrbOmgGAnRg6enEDBsMKmAzXATBgsBRAWdBRMjMJefTZLrdKW3eMtki&#10;a6RYAfMOnR7utbHZ0GRyscGEzHnTOPYb8WwDHMcdiA1X7ZnNwpH5IybxZrlZhl44izZeSLLMu83X&#10;oRflwWKevcnW6yz4aeMGYVLzsmTChpmEFYR/RtxR4qMkTtLSsuGlhbMpabXbrhuFDhSEnbvP9RxO&#10;zm7+8zRcE6CWFyUFs5DczWIvj5YLL8zDuRcvyNIjQXwXRySMwyx/XtI9F+zfS0I9aG4+m49iOif9&#10;ojYrRSB+ZPCiNpq03MDoaHib4uXJiSZWghtROmoN5c1oX7TCpn9uBdA9Ee0EazU6qtUM2wFQrHC3&#10;snwC6SoJygIRwrwDo5bqO0Y9zI4U6297qhhGzTsB8reDZjLUZGwng4oCrqbYYDSaazMOpH2n+K4G&#10;5PGBCXkLT6TiTr3nLI4PC+aBK+I4u+zAufx3XucJu/oFAAD//wMAUEsDBBQABgAIAAAAIQC7DZh7&#10;3gAAAAgBAAAPAAAAZHJzL2Rvd25yZXYueG1sTI9BT4NAEIXvJv6HzZh4s0sNIiBD0xg9mRgpHjwu&#10;MIVN2Vlkty3+e9eTPb55L+99U2wWM4oTzU5bRlivIhDEre009wif9etdCsJ5xZ0aLRPCDznYlNdX&#10;hco7e+aKTjvfi1DCLlcIg/dTLqVrBzLKrexEHLy9nY3yQc697GZ1DuVmlPdRlEijNIeFQU30PFB7&#10;2B0NwvaLqxf9/d58VPtK13UW8VtyQLy9WbZPIDwt/j8Mf/gBHcrA1Ngjd06MCFkWhyTCQ5yACH4a&#10;r8OhQXjMUpBlIS8fKH8BAAD//wMAUEsBAi0AFAAGAAgAAAAhALaDOJL+AAAA4QEAABMAAAAAAAAA&#10;AAAAAAAAAAAAAFtDb250ZW50X1R5cGVzXS54bWxQSwECLQAUAAYACAAAACEAOP0h/9YAAACUAQAA&#10;CwAAAAAAAAAAAAAAAAAvAQAAX3JlbHMvLnJlbHNQSwECLQAUAAYACAAAACEAQllaKLMCAACpBQAA&#10;DgAAAAAAAAAAAAAAAAAuAgAAZHJzL2Uyb0RvYy54bWxQSwECLQAUAAYACAAAACEAuw2Ye94AAAAI&#10;AQAADwAAAAAAAAAAAAAAAAANBQAAZHJzL2Rvd25yZXYueG1sUEsFBgAAAAAEAAQA8wAAABgGAAAA&#10;AA==&#10;" filled="f" stroked="f">
                <v:textbox inset="0,0,0,0">
                  <w:txbxContent>
                    <w:p w:rsidR="00E51CAC" w:rsidRDefault="00E51CAC" w:rsidP="002105AA">
                      <w:pPr>
                        <w:tabs>
                          <w:tab w:val="right" w:pos="7377"/>
                        </w:tabs>
                        <w:ind w:left="1872"/>
                        <w:rPr>
                          <w:rFonts w:ascii="Times New Roman" w:hAnsi="Times New Roman"/>
                          <w:i/>
                          <w:color w:val="000000"/>
                          <w:spacing w:val="2"/>
                          <w:sz w:val="18"/>
                          <w:lang w:val="pl-PL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0000"/>
                          <w:spacing w:val="2"/>
                          <w:sz w:val="18"/>
                          <w:lang w:val="pl-PL"/>
                        </w:rPr>
                        <w:t>Logika w filozofii  języka i innych dyscyplinach</w:t>
                      </w:r>
                      <w:r>
                        <w:rPr>
                          <w:rFonts w:ascii="Times New Roman" w:hAnsi="Times New Roman"/>
                          <w:i/>
                          <w:color w:val="000000"/>
                          <w:spacing w:val="2"/>
                          <w:sz w:val="18"/>
                          <w:lang w:val="pl-PL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lang w:val="pl-PL"/>
                        </w:rPr>
                        <w:t>265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240E4"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508000</wp:posOffset>
                </wp:positionV>
                <wp:extent cx="4669155" cy="0"/>
                <wp:effectExtent l="10795" t="12700" r="6350" b="6350"/>
                <wp:wrapNone/>
                <wp:docPr id="9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91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42443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85pt,40pt" to="419.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YalFgIAACk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MMFKk&#10;gx1theJoGkbTG1dARKV2NjRHz+rFbDX97pDSVUvUgUeKrxcDaVnISN6khIszUGDff9YMYsjR6zin&#10;c2O7AAkTQOe4jst9HfzsEYWf+Wy2yKZTjOjgS0gxJBrr/CeuOxSMEkvgHIHJaet8IEKKISTUUXoj&#10;pIzblgr1JZ4t5tOY4LQULDhDmLOHfSUtOhHQSz7J86dN7Ao8j2FWHxWLYC0nbH2zPRHyakNxqQIe&#10;tAJ0btZVED8W6WI9X8/zUT6ZrUd5Wtejj5sqH8022Ydp/VRXVZ39DNSyvGgFY1wFdoM4s/zvln97&#10;JldZ3eV5H0PyFj3OC8gO30g67jKs7yqEvWaXnR12DHqMwbe3EwT/eAf78YWvfgEAAP//AwBQSwME&#10;FAAGAAgAAAAhAGdTFs7fAAAACQEAAA8AAABkcnMvZG93bnJldi54bWxMj09Lw0AQxe+C32EZwYu0&#10;u6ZgY8ymiCKIfxBbgx632TEJzc6G7LaJ394RD3qbN/N483v5anKdOOAQWk8azucKBFLlbUu1hrfN&#10;3SwFEaIhazpPqOELA6yK46PcZNaP9IqHdawFh1DIjIYmxj6TMlQNOhPmvkfi26cfnIksh1rawYwc&#10;7jqZKHUhnWmJPzSmx5sGq9167zQ8lk/Jw0s57d4xLj+eb8uz5H5ErU9PpusrEBGn+GeGH3xGh4KZ&#10;tn5PNoiOtVos2aohVdyJDenikoft70IWufzfoPgGAAD//wMAUEsBAi0AFAAGAAgAAAAhALaDOJL+&#10;AAAA4QEAABMAAAAAAAAAAAAAAAAAAAAAAFtDb250ZW50X1R5cGVzXS54bWxQSwECLQAUAAYACAAA&#10;ACEAOP0h/9YAAACUAQAACwAAAAAAAAAAAAAAAAAvAQAAX3JlbHMvLnJlbHNQSwECLQAUAAYACAAA&#10;ACEA+/WGpRYCAAApBAAADgAAAAAAAAAAAAAAAAAuAgAAZHJzL2Uyb0RvYy54bWxQSwECLQAUAAYA&#10;CAAAACEAZ1MWzt8AAAAJAQAADwAAAAAAAAAAAAAAAABwBAAAZHJzL2Rvd25yZXYueG1sUEsFBgAA&#10;AAAEAAQA8wAAAHwFAAAAAA==&#10;" strokecolor="#42443f" strokeweight=".55pt">
                <w10:wrap anchorx="page" anchory="page"/>
              </v:line>
            </w:pict>
          </mc:Fallback>
        </mc:AlternateConten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gdy z klasy uniwersalnej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Lb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wszystkich napisów potrafimy wyróżnić słownik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V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wszystkich słów prostych i za pomocą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ternarnej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relacji konkatenacji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c,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określonej w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Lb,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wygenerować zeń zbiór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W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wszystkich słów, którego podzbiorem jest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S.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Słownik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V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może być raz na zawsze ustalony, zamknięty, jak np. w językach sformalizowanych, lub też otwarty, zawierając słowa potencjalne, jak np. w językach naturalnych. Relacja konkatenacji rozważana na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szczeblu konkretów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może być relacją prawostronnego (np. w europejskim języku etnicznym) albo lewostronnego (np. w języku hebrajskim) dopisywania na tym samym poziomie do pierwszego napisu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napisu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drugiego. Może to być relacja nielinearnego łącznika napisów, jak np. w hieroglifach czy wielu wzorach matematycznych.</w:t>
      </w:r>
    </w:p>
    <w:p w:rsidR="002105AA" w:rsidRPr="003E6574" w:rsidRDefault="002105AA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Najprostszą, syntaktyczną charakterystykę języka L daje układ</w:t>
      </w:r>
    </w:p>
    <w:p w:rsidR="002105AA" w:rsidRPr="003E6574" w:rsidRDefault="002105AA" w:rsidP="00B60CFA">
      <w:pPr>
        <w:tabs>
          <w:tab w:val="left" w:pos="2835"/>
          <w:tab w:val="right" w:pos="4633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(L)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&lt;Lb, V</w:t>
      </w:r>
      <w:r w:rsidR="003E6574"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, c,</w:t>
      </w:r>
      <w:r w:rsid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="003E6574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W</w:t>
      </w:r>
      <w:r w:rsidR="003E6574"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ab/>
        <w:t>S&gt;.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Język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scharakteryzowany jak wyżej będzie przy tym językiem kategorialnym, gdy stosując nomenklaturę W. Buszkowskiego [4], wyrażeniom jego przysługiwać będą właściwości: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funktorialność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i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typizowalność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w tradycyjnych ujęciach nawiązujących do idei E. Husserla, ponadto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zastępowalność.</w:t>
      </w:r>
    </w:p>
    <w:p w:rsidR="002105AA" w:rsidRPr="003E6574" w:rsidRDefault="002105AA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 xml:space="preserve">Kategorialna, zgodna z ideami Ajdukiewicza [1], analiza językowa, pozwalająca wyróżnić zbiór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S,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odbywa się za pomocą indeksów kategorialnych i dotyczy wyłącznie dowolnych wyrażeń złożonych tworzących podzbiór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zbioru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W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/</w:t>
      </w:r>
      <w:r w:rsidR="003E6574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V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 Każde wyrażenie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w tym sensie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funktorialne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że można w nim wyróżnić część (człon) zwaną funktorem głównym i części (człony) zwane jego argumentami.</w:t>
      </w:r>
    </w:p>
    <w:p w:rsidR="002105AA" w:rsidRPr="003E6574" w:rsidRDefault="002105AA" w:rsidP="00B60CFA">
      <w:pPr>
        <w:spacing w:before="120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Indeksy kategorialne (typy), za pomocą których badamy poprawność składniową wyrażeń złożonych, są napisami zbioru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Lb.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Nie należą one jednak do zbioru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W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słów języka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L.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one słowami metajęzyka języka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służącymi do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typizacji,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czyli wyznaczania kategorii syntaktycznych jego wyrażeń i badania ich poprawności składniowej. Dla charakterystyki syntaktycznej języka kategorialnego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obok słownika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V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potrzebny jest słownik pomocniczy </w:t>
      </w:r>
      <w:r w:rsidR="003E6574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V</w:t>
      </w:r>
      <w:r w:rsid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2</w:t>
      </w:r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złożony z indeksów podstawowych i określonych symboli pomocniczych (np. nawiasów, przecinków) oraz wygenerowany zeń za pomocą relacji konkatenacji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c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zbiór </w:t>
      </w:r>
      <w:r w:rsid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W</w:t>
      </w:r>
      <w:r w:rsid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2</w:t>
      </w:r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wszystkich słów pomocniczych. Zbiór </w:t>
      </w:r>
      <w:r w:rsid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W</w:t>
      </w:r>
      <w:r w:rsid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2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zawiera w sobie zbiór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sup>
        </m:sSubSup>
      </m:oMath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wszystkich indeksów podstawowych i zbiór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wszystkich indeksów funktorowych, będących określonymi konkatenacjami utworzonymi z indeksów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zgodnie z określonymi przepisami, czyli w sumie zbiór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E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2</w:t>
      </w:r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wszystkich poprawnie zbudowanych indeksów (typów). W rozważaniach teoretycznych reguły tworzenia indeksów funktorowych zastępujemy jedną binarną relacją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ρ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="003E6574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tworzenia indeksów funktorowych, a zbiór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</m:t>
            </m:r>
          </m:sup>
        </m:sSubSup>
      </m:oMath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określamy jako jej przeciwdziedzinę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ρ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Typizacja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określonych słów języka </w:t>
      </w:r>
      <w:r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dokonuje się poprzez relację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e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wskazywania indeksów słów, inaczej relację typizacji [4]. To właśnie ze zbioru słów posiadających indeksy, czyli dziedziny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(e)</m:t>
        </m:r>
      </m:oMath>
      <w:r w:rsidR="00751CEA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relacji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e,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wyodrębniamy zbiór </w:t>
      </w:r>
      <w:r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E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wszystkich wyrażeń języka kategorialnego </w:t>
      </w:r>
      <w:r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a więc zarówno zbiór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słów słownika </w:t>
      </w:r>
      <w:r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V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posiadających indeksy, zwany zbiorem wszystkich wyrażeń prostych języka L, jak i powstały z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zbiór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wszystkich jego funktorialnych wyrażeń złożonych. Zasady tworzenia ze słów posiadających indeksy konkatenacji, będących wyrażeniami złożonymi danego języka kategorialnego, ustalają reguły składniowe tego języka. W rozważaniach teoretycznych reguły te zastępujemy jedną binarną relacją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e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tworzenia wyrażeń złożonych języka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sam zbiór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określamy jako jej przeciwdziedzinę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ρ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Zbiór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S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wszystkich poprawnie zbudowanych wyrażeń języka kategorialnego L może być wygenerowany przez układ</w:t>
      </w:r>
    </w:p>
    <w:p w:rsidR="002105AA" w:rsidRPr="003E6574" w:rsidRDefault="00751CEA" w:rsidP="00B60CFA">
      <w:pPr>
        <w:tabs>
          <w:tab w:val="right" w:pos="4464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235250" cy="252000"/>
            <wp:effectExtent l="19050" t="0" r="32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5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którym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r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jest regułą ustalającą zależność pomiędzy indeksem dowolnego wyrażenia złożonego a indeksem jego funktora głównego oraz indeksami jego argumentów. Mówiąc swobodnie, głosi ona, że indeks funktora głównego danego wyrażenia złożonego jest indeksem funktorowym utworzonym z indeksu tego wyrażenia, czyli indeksu wyrażenia, które funktor ów tworzy wraz ze swymi argumentami, i indeksów wszystkich, kolejnych argumentów tego funktora.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Analiza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funktorialna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polega na sprawdzeniu, czy reguła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r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zachodzi dla każdego, będącego wyrażeniem języka </w:t>
      </w:r>
      <w:r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członu danego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funktorialnego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wyrażenia języka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L.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Gdy tak jest, dane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funktorialne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wyrażenie złożone języka </w:t>
      </w:r>
      <w:r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należy do zbioru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S,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jest poprawnie zbudowane.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Układ (G</w:t>
      </w:r>
      <w:r w:rsidRPr="003E657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) można uznać za rekonstrukcję klasycznej gramatyki kategorialnej, której idea tkwi w [1]</w:t>
      </w:r>
      <w:r w:rsidRPr="003E6574">
        <w:rPr>
          <w:rStyle w:val="Odwoanieprzypisudolnego"/>
          <w:rFonts w:ascii="Times New Roman" w:hAnsi="Times New Roman" w:cs="Times New Roman"/>
          <w:color w:val="000000"/>
          <w:sz w:val="24"/>
          <w:szCs w:val="24"/>
          <w:lang w:val="pl-PL"/>
        </w:rPr>
        <w:footnoteReference w:id="3"/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 Gramatyka taka jest jednoznaczna: słowu czy wyrażeniu języka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 xml:space="preserve">przyporządkowany jest (na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poziomie konkretów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 dokładnością do równokształtności) tylko jeden indeks (typ), a więc jedna kategoria syntaktyczna. O charakteryzowanym syntaktycznie języku kategorialnym przyjmować będziemy, że jest jednoznacznie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typizowalny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[4]. Założenie takie jest zupełnie naturalne, gdyż skończenie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typizowalne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języki, za jakie uważamy np. zazwyczaj języki naturalne, można zawsze ujednoznacznić poprzez „rozdzielenie" słów czy wyrażeń, którym przyporządkowana jest skończona ilość indeksów. Można tego dokonać wyposażając je np. w stosowne wskaźniki cyfrowe czy literowe, lub w znaki diakrytyczne.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Można zresztą pojmować bardzo szeroko podstawowe dla języka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charakteryzowanego na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poziomie konkretów,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pojęcie równokształtności napisów-egzemplarzy, nadając mu charakter pragmatyczny — zależy ono od celów, jakimi się kierujemy chcąc uzyskać określone rezultaty. O równokształtności czy różnokształtności napisów nie musi więc decydować podobieństwo graficzne, fizyczne.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Kategorialny charakter języka </w:t>
      </w:r>
      <w:r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ma też związek z podziałem logicznym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Ct</w:t>
      </w:r>
      <w:proofErr w:type="spellEnd"/>
      <w:r w:rsidRPr="00751CEA">
        <w:rPr>
          <w:rFonts w:ascii="Times New Roman" w:hAnsi="Times New Roman" w:cs="Times New Roman"/>
          <w:color w:val="000000"/>
          <w:sz w:val="24"/>
          <w:szCs w:val="24"/>
          <w:lang w:val="pl-PL"/>
        </w:rPr>
        <w:t>(S)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zbioru jego poprawnie zbudowanych wyrażeń na kategorie syntaktyczne. Pojęcie kategorii syntaktycznej pozostaje w związku z relacją (/)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zastępowalności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wyrażeń. W tradycyjnych ujęciach kategoria syntaktyczna jest zbiorem wyrażeń zastępowalnych w dowolnych kontekstach zdaniowych czy ogólniej — poprawnie zbudowanych. Tradycyjne definicje implikują jednak trudności, nie wykluczają możliwości uwikłania się w błędne koło (zob. [7]). Ich trafność mogą zresztą obalić przykłady.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Choć odbiegamy tu od tradycyjnych definicji omawianego pojęcia, pozostaje ono nadal w ważnym związku z zastępowalnością. Związek ten opisuje w pracy tzw.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zasadnicze twierdzenie teorii kategorii syntaktycznych.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Ponieważ charakteryzowany syntaktycznie język kategorialny </w:t>
      </w:r>
      <w:r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będzie ujmowany dwuaspektowo, oznaczać go będziemy przez </w:t>
      </w:r>
      <w:r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="00751CEA" w:rsidRPr="00751CE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gdy rozważamy go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na poziomie konkretów, </w:t>
      </w:r>
      <w:r w:rsidR="00751CE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 przez </w:t>
      </w:r>
      <w:r w:rsidR="00751CEA" w:rsidRP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751CE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2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gdy opisujemy go na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poziomie typów.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Wszystkie też syntaktyczne pojęcia stanowiące charakterystykę języka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="00751CEA" w:rsidRPr="00751CE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(L=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1,2) oznaczamy odpowiadającymi im, stosownymi terminami z dopisanymi cyfrowymi wskaźnikami górnymi 1 lub 2, w zależności od poziomu.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Syntaktyczną charakterystykę języka </w:t>
      </w:r>
      <w:proofErr w:type="spellStart"/>
      <w:r w:rsidR="00751CEA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="00751CEA" w:rsidRPr="00751CE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="00751CE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(L=</w:t>
      </w:r>
      <w:r w:rsidR="00751CE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1,2)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ujmuje zatem układ znacznie bardziej rozbudowany od (L), a mianowicie układ</w:t>
      </w:r>
    </w:p>
    <w:p w:rsidR="002105AA" w:rsidRPr="00751CEA" w:rsidRDefault="00751CEA" w:rsidP="00B60CFA">
      <w:pPr>
        <w:tabs>
          <w:tab w:val="left" w:pos="1268"/>
          <w:tab w:val="left" w:pos="1685"/>
          <w:tab w:val="right" w:pos="7355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972458" cy="2520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58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Symbol „</w:t>
      </w:r>
      <w:r w:rsidR="00751CEA"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28539" cy="144000"/>
            <wp:effectExtent l="19050" t="0" r="4811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9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CEA">
        <w:rPr>
          <w:rFonts w:ascii="Times New Roman" w:hAnsi="Times New Roman" w:cs="Times New Roman"/>
          <w:color w:val="000000"/>
          <w:sz w:val="24"/>
          <w:szCs w:val="24"/>
          <w:lang w:val="pl-PL"/>
        </w:rPr>
        <w:t>”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oznacza tu binarną relację równokształtności napisów-egzem</w:t>
      </w:r>
      <w:r w:rsidR="00751CEA">
        <w:rPr>
          <w:rFonts w:ascii="Times New Roman" w:hAnsi="Times New Roman" w:cs="Times New Roman"/>
          <w:color w:val="000000"/>
          <w:sz w:val="24"/>
          <w:szCs w:val="24"/>
          <w:lang w:val="pl-PL"/>
        </w:rPr>
        <w:t>plarzy, symbol „</w:t>
      </w:r>
      <w:r w:rsidR="00751CEA"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51867" cy="180000"/>
            <wp:effectExtent l="19050" t="0" r="533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CEA">
        <w:rPr>
          <w:rFonts w:ascii="Times New Roman" w:hAnsi="Times New Roman" w:cs="Times New Roman"/>
          <w:color w:val="000000"/>
          <w:sz w:val="24"/>
          <w:szCs w:val="24"/>
          <w:lang w:val="pl-PL"/>
        </w:rPr>
        <w:t>”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zwykłą relację identyczności typów napisów. Relację </w:t>
      </w:r>
      <w:r w:rsidR="00751CEA">
        <w:rPr>
          <w:rFonts w:ascii="Times New Roman" w:hAnsi="Times New Roman" w:cs="Times New Roman"/>
          <w:color w:val="000000"/>
          <w:sz w:val="24"/>
          <w:szCs w:val="24"/>
          <w:lang w:val="pl-PL"/>
        </w:rPr>
        <w:t>„</w:t>
      </w:r>
      <w:r w:rsidR="00751CEA"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19687" cy="1800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CEA">
        <w:rPr>
          <w:rFonts w:ascii="Times New Roman" w:hAnsi="Times New Roman" w:cs="Times New Roman"/>
          <w:color w:val="000000"/>
          <w:sz w:val="24"/>
          <w:szCs w:val="24"/>
          <w:lang w:val="pl-PL"/>
        </w:rPr>
        <w:t>”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zwać będziemy relacją równości w sensie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1.</w:t>
      </w:r>
    </w:p>
    <w:p w:rsidR="002105AA" w:rsidRPr="003E6574" w:rsidRDefault="002105AA" w:rsidP="00B60CFA">
      <w:pPr>
        <w:spacing w:before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2. PRELIMINARIA DO TEORII JĘZYKI» KATEGORIALNYCH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Teoria języków kategorialnych jest teorią opisu pojęć układu </w:t>
      </w:r>
      <w:proofErr w:type="spellStart"/>
      <w:r w:rsidR="0021405E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="0021405E" w:rsidRPr="00751CE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="0021405E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(L=</w:t>
      </w:r>
      <w:r w:rsidR="0021405E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1,2)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 Na pojęcia układu (</w:t>
      </w:r>
      <w:proofErr w:type="spellStart"/>
      <w:r w:rsidRPr="0021405E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="0021405E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nakładane są w związku z tym pewne warunki zadane poprzez aksjomaty i definicje tej teorii. Pojęcia układu </w:t>
      </w:r>
      <w:r w:rsidR="0021405E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(</w:t>
      </w:r>
      <w:proofErr w:type="spellStart"/>
      <w:r w:rsidR="0021405E" w:rsidRPr="0021405E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="0021405E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="0021405E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będą opisywane w obrębie dwóch dualnych teorii języka </w:t>
      </w:r>
      <w:proofErr w:type="spellStart"/>
      <w:r w:rsidR="0021405E" w:rsidRPr="0021405E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="0021405E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Pr="0021405E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: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="0021405E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="0021405E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.</w:t>
      </w:r>
      <w:r w:rsidRPr="0021405E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ujmuje </w:t>
      </w:r>
      <w:proofErr w:type="spellStart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konkretystyczne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podejście do języka. Uprawiana jest ona na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poziomie konkretów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jako 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na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szczeblu typów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jako nadbudowana nad nią teoria</w:t>
      </w:r>
      <w:r w:rsidR="0021405E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bSup>
      </m:oMath>
      <w:r w:rsidR="0021405E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ujmuje platonizujące podejście do języka i rozwijana jest najpierw na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poziomie typów —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jako 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później na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szczeblu konkretów —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jako 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nadbudowana nad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.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zbliżona do teorii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TSCL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DTSCL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zbudowanych w [7]. Fragment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znajdujemy w [9] (zob. też [8]).</w:t>
      </w:r>
    </w:p>
    <w:p w:rsidR="002105AA" w:rsidRPr="003E6574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Aksjomaty, definicje i pewne wyróżnione twierdzenia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otrzymujemy jako podstawienia pewnych schematów wyrażeń, które wypiszemy poniżej przyjmując w ich oznaczeniach i zapisach założenie, że </w:t>
      </w:r>
      <w:r w:rsidR="0021405E" w:rsidRPr="0021405E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,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x∈{1,2}</m:t>
        </m:r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 Zapisując je symboliczn</w:t>
      </w:r>
      <w:r w:rsidR="0021405E">
        <w:rPr>
          <w:rFonts w:ascii="Times New Roman" w:hAnsi="Times New Roman" w:cs="Times New Roman"/>
          <w:color w:val="000000"/>
          <w:sz w:val="24"/>
          <w:szCs w:val="24"/>
          <w:lang w:val="pl-PL"/>
        </w:rPr>
        <w:t>ie przyjmujemy też pewne konwenc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 </w:t>
      </w:r>
      <w:proofErr w:type="spellStart"/>
      <w:r w:rsidR="0021405E">
        <w:rPr>
          <w:rFonts w:ascii="Times New Roman" w:hAnsi="Times New Roman" w:cs="Times New Roman"/>
          <w:color w:val="000000"/>
          <w:sz w:val="24"/>
          <w:szCs w:val="24"/>
          <w:lang w:val="pl-PL"/>
        </w:rPr>
        <w:t>n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otacyjne</w:t>
      </w:r>
      <w:proofErr w:type="spellEnd"/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dotyczące zmiennych.</w:t>
      </w:r>
    </w:p>
    <w:p w:rsidR="002105AA" w:rsidRPr="003E6574" w:rsidRDefault="002105AA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Umawiamy się przeto, że litery</w:t>
      </w:r>
    </w:p>
    <w:p w:rsidR="002105AA" w:rsidRPr="003E6574" w:rsidRDefault="0021405E" w:rsidP="00B60CFA">
      <w:pPr>
        <w:tabs>
          <w:tab w:val="left" w:pos="2945"/>
          <w:tab w:val="right" w:pos="6444"/>
        </w:tabs>
        <w:spacing w:before="120"/>
        <w:ind w:left="792"/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454909" cy="211241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09" cy="21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oraz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0D402A">
        <w:rPr>
          <w:rFonts w:ascii="Times New Roman" w:hAnsi="Times New Roman" w:cs="Times New Roman"/>
          <w:i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2289654" cy="2160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54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zmiennymi przebiegającymi zbiór </w:t>
      </w:r>
      <w:proofErr w:type="spellStart"/>
      <w:r w:rsidR="000D402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Lb</w:t>
      </w:r>
      <w:r w:rsidR="000D402A" w:rsidRPr="000D402A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litery</w:t>
      </w:r>
    </w:p>
    <w:p w:rsidR="002105AA" w:rsidRPr="003E6574" w:rsidRDefault="000D402A" w:rsidP="00B60CFA">
      <w:pPr>
        <w:spacing w:before="120"/>
        <w:ind w:left="720"/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623458" cy="21600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58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oraz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2159997" cy="2160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97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2A" w:rsidRDefault="002105AA" w:rsidP="00B60CFA">
      <w:pPr>
        <w:tabs>
          <w:tab w:val="right" w:pos="7355"/>
        </w:tabs>
        <w:spacing w:before="120"/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zmiennymi reprezentującymi słowa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, litery</w:t>
      </w:r>
      <w:r w:rsidR="000D402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ξ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σ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zmiennymi</w:t>
      </w:r>
      <w:r w:rsidR="000D402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reprezentującymi indeksy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litera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="0064278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zaś zmienną przebiegającą rodzinę wszystkich podzbiorów zbioru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Lb</w:t>
      </w:r>
      <w:r w:rsidRPr="000D402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1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.</w:t>
      </w:r>
    </w:p>
    <w:p w:rsidR="002105AA" w:rsidRPr="003E6574" w:rsidRDefault="0083179F" w:rsidP="0083179F">
      <w:pPr>
        <w:tabs>
          <w:tab w:val="right" w:pos="-2410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Formalnym zapisom serii schematów towarzyszyć będą sformułowania słowne oraz wstawki dotyczące sposobu czytania określonych wyrażeń.</w:t>
      </w:r>
    </w:p>
    <w:p w:rsidR="000D402A" w:rsidRDefault="000D402A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954910" cy="540000"/>
            <wp:effectExtent l="19050" t="0" r="749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1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Relacja </w:t>
      </w:r>
      <w:r w:rsidR="000D402A" w:rsidRPr="000D402A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val="pl-PL" w:eastAsia="pl-PL"/>
        </w:rPr>
        <w:drawing>
          <wp:inline distT="0" distB="0" distL="0" distR="0">
            <wp:extent cx="119687" cy="180000"/>
            <wp:effectExtent l="19050" t="0" r="0" b="0"/>
            <wp:docPr id="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więc relacją zwrotną, symetryczną i przechodnią w zbiorze</w:t>
      </w:r>
      <w:r w:rsidR="000D402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0D402A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Lb</w:t>
      </w:r>
      <w:r w:rsidR="000D402A" w:rsidRPr="000D402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1</w:t>
      </w:r>
      <w:r w:rsidR="000D402A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2105AA" w:rsidRPr="003E6574" w:rsidRDefault="002105AA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Dalej wyrażenie </w:t>
      </w:r>
      <w:r w:rsidR="000D402A">
        <w:rPr>
          <w:rFonts w:ascii="Times New Roman" w:hAnsi="Times New Roman" w:cs="Times New Roman"/>
          <w:i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62323" cy="2160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3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będziemy czytali: napis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p</w:t>
      </w:r>
      <w:r w:rsidR="000D402A" w:rsidRPr="000D402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równy w sensie </w:t>
      </w:r>
      <w:r w:rsidR="000D402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napisowi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q</w:t>
      </w:r>
      <w:r w:rsidR="000D402A" w:rsidRPr="000D402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lub: napisy </w:t>
      </w:r>
      <w:proofErr w:type="spellStart"/>
      <w:r w:rsidR="000D402A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p</w:t>
      </w:r>
      <w:r w:rsidR="000D402A" w:rsidRPr="000D402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i </w:t>
      </w:r>
      <w:proofErr w:type="spellStart"/>
      <w:r w:rsidR="000D402A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q</w:t>
      </w:r>
      <w:r w:rsidR="000D402A" w:rsidRPr="000D402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pl-PL"/>
        </w:rPr>
        <w:t>l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równe w sensie </w:t>
      </w:r>
      <w:r w:rsidR="000D402A" w:rsidRPr="000D402A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.</w:t>
      </w:r>
    </w:p>
    <w:p w:rsidR="002105AA" w:rsidRPr="003E6574" w:rsidRDefault="002105AA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Występujące poniżej wyrażenie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642787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będziemy czytali: napis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konkatenacją napisów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Style w:val="Odwoanieprzypisudolnego"/>
          <w:rFonts w:ascii="Times New Roman" w:hAnsi="Times New Roman" w:cs="Times New Roman"/>
          <w:color w:val="000000"/>
          <w:sz w:val="24"/>
          <w:szCs w:val="24"/>
          <w:lang w:val="pl-PL"/>
        </w:rPr>
        <w:footnoteReference w:id="4"/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642787" w:rsidRDefault="00642787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455382" cy="900000"/>
            <wp:effectExtent l="19050" t="0" r="2318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8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więc: dla każdych dwóch napisów 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istnieje napis tego zbioru będący ich konkatenacją; konkatenacjami dwóch par napisów 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 pierwszych i drugich elementach równych w sensie </w:t>
      </w:r>
      <w:r w:rsidR="003433C6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napisy równe w sensie </w:t>
      </w:r>
      <w:r w:rsidR="003433C6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;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napis 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równy w sensie </w:t>
      </w:r>
      <w:r w:rsidR="003433C6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napisowi będącemu konkatenacją dwóch napisów 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też konkatenacją tych napisów.</w:t>
      </w:r>
    </w:p>
    <w:p w:rsidR="00642787" w:rsidRDefault="00642787" w:rsidP="00B60CFA">
      <w:pPr>
        <w:tabs>
          <w:tab w:val="right" w:pos="7369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574145" cy="828000"/>
            <wp:effectExtent l="19050" t="0" r="725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45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83179F" w:rsidP="0083179F">
      <w:pPr>
        <w:tabs>
          <w:tab w:val="right" w:pos="-2410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ab/>
      </w:r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Tak więc: słownik</w:t>
      </w:r>
      <w:r w:rsidR="0064278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="00642787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podzbiorem zbioru napisów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="002105AA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; </w:t>
      </w:r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napis równy</w:t>
      </w:r>
      <w:r w:rsidR="0064278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sensie </w:t>
      </w:r>
      <w:r w:rsidR="003433C6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="002105AA"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napisowi słownika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też jego napisem; konkatenacja dwóch napisów zbioru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 nie jest nigdy słowem słownika</w:t>
      </w:r>
      <w:r w:rsidR="0064278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="002105AA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642787" w:rsidRDefault="00642787" w:rsidP="00B60CFA">
      <w:pPr>
        <w:spacing w:before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530842" cy="756000"/>
            <wp:effectExtent l="19050" t="0" r="3058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42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Zbiór słów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najmniejszym zbiorem napisów 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zawierającym słownik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zamkniętym ze względu na relację konkatenacji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każde zaś słowo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nie będące słowem słownika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="00642787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>,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konkatenacją pewnej pary słów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642787" w:rsidRDefault="00642787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191206" cy="504000"/>
            <wp:effectExtent l="19050" t="0" r="9194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06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więc: relacja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wskazywania indeksów słów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relacją, której dziedzina zawiera się w zbiorze słów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tego języka, przeciwdziedzina — w zbiorze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jego słów pomocniczych; dziedzina i przeciwdziedzina tej relacji są zbiorami rozłącznymi.</w:t>
      </w:r>
    </w:p>
    <w:p w:rsidR="002105AA" w:rsidRPr="003E6574" w:rsidRDefault="002105AA" w:rsidP="00B60CFA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Dalej, wyrażenie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czytamy: napis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indeksem słowa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6378F0" w:rsidRDefault="006378F0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942988" cy="576000"/>
            <wp:effectExtent l="19050" t="0" r="362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88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więc: indeksy słów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równych w sensie </w:t>
      </w:r>
      <w:r w:rsidR="006378F0" w:rsidRPr="006378F0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równe w sensie </w:t>
      </w:r>
      <w:r w:rsidR="006378F0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; napis równy w sensie </w:t>
      </w:r>
      <w:r w:rsidR="006378F0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indeksowi danego słowa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indeksem słowa równego mu w sensie </w:t>
      </w:r>
      <w:r w:rsidR="006378F0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.</w:t>
      </w:r>
    </w:p>
    <w:p w:rsidR="006378F0" w:rsidRDefault="006378F0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998640" cy="468000"/>
            <wp:effectExtent l="19050" t="0" r="186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40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Dziedziną relacji tworzenia wyrażeń złożonych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(odpowiednio, relacji tworzenia indeksów funktorowych tego języka) jest zbiór wszystkich skończonych, większych od 1 potęg kartezjańskich zbioru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6378F0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wszystkich słów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posiadających indeksy (odpowiednio, zbioru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wszystkich indeksów takich słów); przeciwdziedzina relacji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(odpowiednio, relacji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zawiera się w zbiorze wszystkich słów języka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posiadających indeks i nie będących słowami prostymi tego języka (odpowiednio, w zbiorze wszystkich indeksów słów języka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nie należących do słownika pomocniczego).</w:t>
      </w:r>
    </w:p>
    <w:p w:rsidR="002105AA" w:rsidRDefault="002105AA" w:rsidP="0083179F">
      <w:pPr>
        <w:spacing w:before="120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Wyrażenie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l0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l1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 xml:space="preserve">,…, 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ln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;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6378F0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czytamy: słowo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wyrażeniem złożonym tego języka utworzonym z funktora głównego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l0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jego kolejnych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n(n≥1)</m:t>
        </m:r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argumentów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l1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 xml:space="preserve">,…, 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ln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.</w:t>
      </w:r>
    </w:p>
    <w:p w:rsidR="00B02FC6" w:rsidRPr="003E6574" w:rsidRDefault="00B02FC6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Wyrażenie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l1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 xml:space="preserve">,…, 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ln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;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l0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czytamy: słowo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pomocnicze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l0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jest  jego indeksem funktorowym utworzonym z indeksu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słowa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kolejnych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n</m:t>
        </m:r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indeksów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l1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 xml:space="preserve">,…, 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ln</m:t>
            </m:r>
          </m:sup>
        </m:sSubSup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słów tego języka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.</w:t>
      </w:r>
    </w:p>
    <w:p w:rsidR="00B02FC6" w:rsidRPr="003E6574" w:rsidRDefault="00B02FC6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lastRenderedPageBreak/>
        <w:drawing>
          <wp:inline distT="0" distB="0" distL="0" distR="0">
            <wp:extent cx="4725746" cy="1404000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46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AA" w:rsidRPr="003E6574" w:rsidRDefault="002105AA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więc: dwa wyrażenia złożone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(odpowiednio, dwa indeksy funktorowe tego języka) są równe w sensie </w:t>
      </w:r>
      <w:r w:rsidR="00B02FC6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wtedy i tylko wtedy, gdy utworzone są z takiej samej ilości, równych w sensie </w:t>
      </w:r>
      <w:r w:rsidR="00B02FC6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stosunku do siebie, słów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(odpowiednio, indeksów słów tego języka); słowo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(odpowiednio, słowo pomocnicze tego języka) równe w sensie </w:t>
      </w:r>
      <w:r w:rsidR="00B02FC6" w:rsidRPr="00B02FC6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wyrażeniu złożonemu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(odpowiednio, indeksowi funktorowemu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tego języka) jest wyrażeniem złożonym tego języka (odpowiednio, jest jego indeksem funktorowym) utworzonym z kolejnych słów (odpowiednio, indeksów słów) równych w sensie </w:t>
      </w:r>
      <w:r w:rsidR="00B02FC6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odpowiednio, występującym w tej samej kolejności słowom (odpowiednio, indeksom słów), z których utworzone jest słowo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="00B02FC6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(odpowiednio, indeks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).</w:t>
      </w:r>
    </w:p>
    <w:p w:rsidR="00B02FC6" w:rsidRDefault="00B02FC6" w:rsidP="00B60CFA">
      <w:pPr>
        <w:tabs>
          <w:tab w:val="right" w:pos="7384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5373718" cy="396000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18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B02FC6" w:rsidP="0083179F">
      <w:pPr>
        <w:tabs>
          <w:tab w:val="right" w:pos="-2410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więc: zbiór wszystkich prostych wyrażeń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(zbiór wszystkich indeksów podstawowych tego języka) jest zbiorem wszystkich słów słownika tego języka (zbiorem wszystkich słów jego słownika pomocniczego) posiadających indeks (będących indeksami słów); zbiór wszystkich wyrażeń złożonych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(zbiór wszystkich indeksów funktorowych tego języka) jest przeciw-dziedziną relacji tworzenia wyrażeń złożonych (relacji tworzenia indeksów funktorowych); zbiór wszystkich wyrażeń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(zbiór wszystkich indeksów poprawnie zbudowanych tego języka) je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st sumą zbioru wszystkich jego w</w:t>
      </w:r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yrażeń prostych (zbioru wszystkich jego indeksów podstawowych) i zbioru wszystkich jego wyrażeń złożonych (zbioru wszystkich indeksów funktorowych).</w:t>
      </w:r>
    </w:p>
    <w:p w:rsidR="005E4959" w:rsidRPr="003E6574" w:rsidRDefault="005E4959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Przez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n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(n∈N∪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0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oznaczamy zbiór wszystkich wyrażeń poprawnie zbudowanych rzędu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n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030B91" w:rsidRDefault="00030B91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5476560" cy="1512000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60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Poprawnie zbudowane wyrażenie rzędu </w:t>
      </w:r>
      <w:r w:rsidR="00030B91">
        <w:rPr>
          <w:rFonts w:ascii="Times New Roman" w:hAnsi="Times New Roman" w:cs="Times New Roman"/>
          <w:color w:val="000000"/>
          <w:sz w:val="24"/>
          <w:szCs w:val="24"/>
          <w:lang w:val="pl-PL"/>
        </w:rPr>
        <w:t>0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wyrażeniem prostym tego języka; poprawnie zbudowane wyrażenie rzędu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k+1</m:t>
        </m:r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to bądź poprawnie zbudowane wyrażenie rzędu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k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tego języka, bądź wyrażenie złożone tego języka utworzone z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n+1 (n≥0)</m:t>
        </m:r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poprawnie zbudowanych wyrażeń rzędu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k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tego języka takich, że indeks funktora głównego tego wyrażenia złożonego</w:t>
      </w:r>
      <w:r w:rsidRPr="003E6574">
        <w:rPr>
          <w:rStyle w:val="Odwoanieprzypisudolnego"/>
          <w:rFonts w:ascii="Times New Roman" w:hAnsi="Times New Roman" w:cs="Times New Roman"/>
          <w:color w:val="000000"/>
          <w:sz w:val="24"/>
          <w:szCs w:val="24"/>
          <w:lang w:val="pl-PL"/>
        </w:rPr>
        <w:footnoteReference w:id="5"/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indeksem funktorowym utworzonym z indeksu tego wyrażenia i kolejnych indeksów kolejnych argumentów tego funktora; zbiór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 xml:space="preserve">wszystkich wyrażeń poprawnie zbudowanych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sumą wszystkich zbiorów jego poprawnie zbudowanych wyrażeń skończonego rzędu (większego lub równego zeru).</w:t>
      </w:r>
    </w:p>
    <w:p w:rsidR="00030B91" w:rsidRDefault="00030B91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809335" cy="576000"/>
            <wp:effectExtent l="19050" t="0" r="66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35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więc: istnieje poprawnie zbudowane wyrażenie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nie będące jego wyrażeniem prostym, posiadające indeks podstawowy; indeksy wyrażeń poprawnie zbudowanych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poprawnie zbudowane.</w:t>
      </w:r>
    </w:p>
    <w:p w:rsidR="005E4959" w:rsidRPr="003E6574" w:rsidRDefault="005E4959" w:rsidP="00B60CFA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Przez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030B91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oznaczamy, odpowiednio, zbiór wszystkich wyrażeń podstawowych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zbiór wszystkich jego funktorów.</w:t>
      </w:r>
    </w:p>
    <w:p w:rsidR="00030B91" w:rsidRDefault="00030B91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314821" cy="792000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1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8240E4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-96520</wp:posOffset>
                </wp:positionH>
                <wp:positionV relativeFrom="page">
                  <wp:posOffset>46990</wp:posOffset>
                </wp:positionV>
                <wp:extent cx="109220" cy="8394065"/>
                <wp:effectExtent l="0" t="0" r="0" b="0"/>
                <wp:wrapSquare wrapText="bothSides"/>
                <wp:docPr id="8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8394065"/>
                        </a:xfrm>
                        <a:prstGeom prst="rect">
                          <a:avLst/>
                        </a:prstGeom>
                        <a:solidFill>
                          <a:srgbClr val="AAA9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CAC" w:rsidRDefault="00E51CAC" w:rsidP="005E495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-7.6pt;margin-top:3.7pt;width:8.6pt;height:660.9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xufwIAAAgFAAAOAAAAZHJzL2Uyb0RvYy54bWysVG1v2yAQ/j5p/wHxPfXLnDS26lRpu0yT&#10;uhep3Q8ggGM0DAxI7G7af9+B47TdizRN8wd8wPHw3N1zXFwOnUQHbp3QqsbZWYoRV1QzoXY1/nS/&#10;mS0xcp4oRqRWvMYP3OHL1csXF72peK5bLRm3CECUq3pT49Z7UyWJoy3viDvThivYbLTtiIep3SXM&#10;kh7QO5nkabpIem2ZsZpy52D1ZtzEq4jfNJz6D03juEeyxsDNx9HGcRvGZHVBqp0lphX0SIP8A4uO&#10;CAWXnqBuiCdob8UvUJ2gVjvd+DOqu0Q3jaA8xgDRZOlP0dy1xPAYCyTHmVOa3P+Dpe8PHy0SrMZL&#10;SI8iHdTong8eXekBZXnIT29cBW53Bhz9AOtQ5xirM7eafnZI6euWqB1fW6v7lhMG/LJwMnlydMRx&#10;AWTbv9MM7iF7ryPQ0NguJA/SgQAdiDycahO40HBlWuY57FDYWr4qi3Qxj1eQajptrPNvuO5QMGps&#10;ofYRnRxunQ9sSDW5hMucloJthJRxYnfba2nRgYBO1ut1uV4c0Z+5SRWclQ7HRsRxBUjCHWEv0I11&#10;/1ZmeZFe5eVss1iez4pNMZ+V5+lylmblVblIi7K42XwPBLOiagVjXN0KxScNZsXf1fjYDaN6ogpR&#10;X+Nyns/HEv0xyDR+vwuyEx5aUoouaCJ8wYlUobCvFYu2J0KOdvKcfswy5GD6x6xEGYTKjxrww3aI&#10;iosaCRLZavYAurAaygYlhucEjFbbrxj10Jo1dl/2xHKM5FsF2gIXPxl2MraTQRSFozX2GI3mtR/7&#10;fW+s2LWAPKpX6TXorxFRGo8sjqqFdosxHJ+G0M9P59Hr8QFb/QAAAP//AwBQSwMEFAAGAAgAAAAh&#10;AAzNYkjfAAAACAEAAA8AAABkcnMvZG93bnJldi54bWxMj8tOwzAQRfdI/IM1SGxQ69QNNA1xKhSJ&#10;BUJd0CJ168ZDHOFHFLtt4OsZVrAc3aM751abyVl2xjH2wUtYzDNg6Nuge99JeN8/zwpgMSmvlQ0e&#10;JXxhhE19fVWpUoeLf8PzLnWMSnwslQST0lByHluDTsV5GNBT9hFGpxKdY8f1qC5U7iwXWfbAneo9&#10;fTBqwMZg+7k7OQkvBpvvbZ4Nbm8bsXrNC3F3KKS8vZmeHoElnNIfDL/6pA41OR3DyevIrITZ4l4Q&#10;KmGVA6Nc0LIjYUuxXgKvK/5/QP0DAAD//wMAUEsBAi0AFAAGAAgAAAAhALaDOJL+AAAA4QEAABMA&#10;AAAAAAAAAAAAAAAAAAAAAFtDb250ZW50X1R5cGVzXS54bWxQSwECLQAUAAYACAAAACEAOP0h/9YA&#10;AACUAQAACwAAAAAAAAAAAAAAAAAvAQAAX3JlbHMvLnJlbHNQSwECLQAUAAYACAAAACEA4ogsbn8C&#10;AAAIBQAADgAAAAAAAAAAAAAAAAAuAgAAZHJzL2Uyb0RvYy54bWxQSwECLQAUAAYACAAAACEADM1i&#10;SN8AAAAIAQAADwAAAAAAAAAAAAAAAADZBAAAZHJzL2Rvd25yZXYueG1sUEsFBgAAAAAEAAQA8wAA&#10;AOUFAAAAAA==&#10;" fillcolor="#aaa9a6" stroked="f">
                <v:textbox inset="0,0,0,0">
                  <w:txbxContent>
                    <w:p w:rsidR="00E51CAC" w:rsidRDefault="00E51CAC" w:rsidP="005E4959"/>
                  </w:txbxContent>
                </v:textbox>
                <w10:wrap type="square" anchorx="page" anchory="page"/>
              </v:shape>
            </w:pict>
          </mc:Fallback>
        </mc:AlternateContent>
      </w:r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Zbiór wszystkich wyrażeń podstawowych (funktorów)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to zbiór wszystkich tych jego poprawnie zbudowanych wyrażeń, których indeksy są indeksami podstawowymi (funktorowymi).</w:t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Przez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ξl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oznaczamy kategorię syntaktyczną o indeksie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ξ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; przez </w:t>
      </w:r>
      <w:r w:rsidR="00030B91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—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relację syntaktycznej zgodności kategorialnej. Wyrażenie </w:t>
      </w:r>
      <w:r w:rsidR="00030B91">
        <w:rPr>
          <w:rFonts w:ascii="Times New Roman" w:hAnsi="Times New Roman" w:cs="Times New Roman"/>
          <w:i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91885" cy="216000"/>
            <wp:effectExtent l="19050" t="0" r="341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5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czytamy: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030B91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należą do tej samej kategorii syntaktycznej.</w:t>
      </w:r>
    </w:p>
    <w:p w:rsidR="00030B91" w:rsidRDefault="00030B91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412997" cy="792000"/>
            <wp:effectExtent l="19050" t="0" r="6603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97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więc: kategoria syntaktyczna o indeksie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ξ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to zbiór tych wyrażeń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których indeks jest równy w sensie </w:t>
      </w:r>
      <w:r w:rsidR="00030B91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indeksowi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ξ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; dwa wyrażenia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należą zaś do tej samej kategorii syntaktycznej wtedy i tylko wtedy, gdy należą one oba do kategorii syntaktycznej o pewnym indeksie.</w:t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Przez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l</m:t>
                </m:r>
              </m:sup>
            </m:sSup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l</m:t>
                </m:r>
              </m:sup>
            </m:sSup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030B91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oznaczamy rodziny wszystkich kategorii syntaktycznych, odpowiednio: wyrażeń, wyrażeń poprawnie zbudowanych, podstawowych, funktorowych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3E467C" w:rsidRDefault="003E467C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985952" cy="792000"/>
            <wp:effectExtent l="19050" t="0" r="5148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52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Rodzina wszystkich kategorii syntaktycznych wyrażeń (wyrażeń poprawnie zbudowanych, podstawowych, funktorowych) jest to rodzina wszystkich kategorii syntaktycznych o indeksach będących indeksami wyrażeń (wyrażeń poprawnie zbudowanych, podstawowych, funktorowych).</w:t>
      </w:r>
    </w:p>
    <w:p w:rsidR="003E467C" w:rsidRDefault="005E4959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Przez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/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n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oznaczamy relację zastępowalności członu </w:t>
      </w:r>
      <w:r w:rsidRPr="003E467C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n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-tego rzędu danego wyrażenia. Wyrażenie</w:t>
      </w:r>
      <w:r w:rsidRPr="003E467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3E467C" w:rsidRPr="003E467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/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n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467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c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zytamy: wyrażenie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powstaje z wyrażenia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przez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 xml:space="preserve">zastąpienie jego członu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n-tego rzędu wyrażeniem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.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Wyrażenie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/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="003E467C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czytamy analogicznie pomijając jedynie zwrot: </w:t>
      </w:r>
      <w:r w:rsidRPr="003E467C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n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-tego rzędu.</w:t>
      </w:r>
    </w:p>
    <w:p w:rsidR="003E467C" w:rsidRDefault="003E467C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5587398" cy="2052000"/>
            <wp:effectExtent l="1905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98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więc: wyrażenie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powstaje z wyrażenia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przez zastąpienie jego członu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0-go rzędu wyrażeniem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wtedy i tylko wtedy, gdy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wyrażeniami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takimi, że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równe w sensie </w:t>
      </w:r>
      <w:r w:rsidR="003E467C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równe w sensie </w:t>
      </w:r>
      <w:r w:rsidR="003E467C" w:rsidRPr="003E467C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;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wyrażenie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powstaje z wyrażenia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przez zastąpienie jego członu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1-go rzędu wyrażeniem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wtedy i tylko wtedy, gdy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E467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467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wyrażeniami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złożonymi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utworzonymi z takiej samej ilości słów tego języka, równych w sensie </w:t>
      </w:r>
      <w:r w:rsidR="003E467C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na każdym miejscu z wyjątkiem co najwyżej miejsca, w którym są one równe w sensie </w:t>
      </w:r>
      <w:r w:rsidR="003E467C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odpowiednio słowu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i zastępującemu go słowu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;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wyrażenie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powstaje z wyrażenia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przez zastąpienie jego członu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k +1-go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rzędu 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(k &gt;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0) wyrażeniem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wtedy i tylko wtedy, gdy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powstaje 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przez zastąpienie jego członu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595E5E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>k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-tego rzędu pewnym wyrażeniem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u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,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które powstaje 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przez zastąpienie w nim jego członu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1-go rzędu wyrażeniem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;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wyrażenie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powstaje z wyrażenia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przez zastąpienie jego członu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wyrażeniem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wtedy i tylko wtedy, gdy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powstaje 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przez zastąpienie jego członu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pewnego skończonego rzędu (większego lub równego 0) wyrażeniem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>.</w:t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1B1B15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Dwa wyrażenia nazywamy 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dualnymi,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gdy jedno jest zanotowane wyłącznie przy użyciu stałych logicznych, terminów występujących w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) i zmiennych ze wskaźnikiem górnym 1 lub </w:t>
      </w:r>
      <w:r w:rsidR="00595E5E">
        <w:rPr>
          <w:rFonts w:ascii="Times New Roman" w:hAnsi="Times New Roman" w:cs="Times New Roman"/>
          <w:color w:val="1B1B15"/>
          <w:sz w:val="24"/>
          <w:szCs w:val="24"/>
          <w:lang w:val="pl-PL"/>
        </w:rPr>
        <w:t>1</w:t>
      </w:r>
      <w:r w:rsidRPr="00595E5E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>i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, gdzie</w:t>
      </w:r>
      <w:r w:rsidR="00E740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m:oMath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i∈N∪{0}</m:t>
        </m:r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, drugie różni się od pierwszego tym, że wskaźniki górne zastępują odpowiednio wskaźniki 2 lub 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2i. Dualnymi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nazywamy też występujące w układach </w:t>
      </w:r>
      <w:r w:rsidR="00595E5E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595E5E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)</w:t>
      </w:r>
      <w:r w:rsidR="00595E5E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i </w:t>
      </w:r>
      <w:r w:rsidR="00595E5E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="00595E5E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)</w:t>
      </w:r>
      <w:r w:rsidR="00595E5E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na tych samych miejscach pojęcia i oznaczające je terminy. Wyrażeniami dualnymi są na przykład uzyskane ze schematu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11</m:t>
        </m:r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wyrażenia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11</m:t>
        </m:r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11</m:t>
        </m:r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czy uzyskane ze schematu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14</m:t>
        </m:r>
      </m:oMath>
      <w:r w:rsidR="00595E5E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pary wyrażeń: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14</m:t>
        </m:r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14</m:t>
        </m:r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oraz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14</m:t>
        </m:r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14</m:t>
        </m:r>
      </m:oMath>
      <w:r w:rsidRPr="003E6574">
        <w:rPr>
          <w:rStyle w:val="Odwoanieprzypisudolnego"/>
          <w:rFonts w:ascii="Times New Roman" w:hAnsi="Times New Roman" w:cs="Times New Roman"/>
          <w:color w:val="1B1B15"/>
          <w:sz w:val="24"/>
          <w:szCs w:val="24"/>
          <w:lang w:val="pl-PL"/>
        </w:rPr>
        <w:footnoteReference w:id="6"/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.</w:t>
      </w:r>
    </w:p>
    <w:p w:rsidR="005E4959" w:rsidRPr="003E6574" w:rsidRDefault="005E4959" w:rsidP="0083179F">
      <w:pPr>
        <w:spacing w:before="120"/>
        <w:ind w:firstLine="708"/>
        <w:jc w:val="both"/>
        <w:rPr>
          <w:rFonts w:ascii="Times New Roman" w:hAnsi="Times New Roman" w:cs="Times New Roman"/>
          <w:color w:val="1B1B15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Kończąc rozważania tej części pracy zwróćmy uwagę na fakt, że formalizm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595E5E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oparty jest na teorii mnogości.</w:t>
      </w:r>
    </w:p>
    <w:p w:rsidR="005E4959" w:rsidRPr="003E6574" w:rsidRDefault="005E4959" w:rsidP="00B60CFA">
      <w:pPr>
        <w:spacing w:before="120"/>
        <w:jc w:val="center"/>
        <w:rPr>
          <w:rFonts w:ascii="Times New Roman" w:hAnsi="Times New Roman" w:cs="Times New Roman"/>
          <w:b/>
          <w:color w:val="1B1B15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b/>
          <w:color w:val="1B1B15"/>
          <w:sz w:val="24"/>
          <w:szCs w:val="24"/>
          <w:lang w:val="pl-PL"/>
        </w:rPr>
        <w:t xml:space="preserve">II. FORMALNA 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b/>
          <w:color w:val="1B1B15"/>
          <w:sz w:val="24"/>
          <w:szCs w:val="24"/>
          <w:lang w:val="pl-PL"/>
        </w:rPr>
        <w:t xml:space="preserve"> — PODEJŚCIE KONKRETYSTYCZNE</w:t>
      </w:r>
    </w:p>
    <w:p w:rsidR="005E4959" w:rsidRPr="003E6574" w:rsidRDefault="005E4959" w:rsidP="0083179F">
      <w:pPr>
        <w:spacing w:before="120"/>
        <w:ind w:firstLine="708"/>
        <w:rPr>
          <w:rFonts w:ascii="Times New Roman" w:hAnsi="Times New Roman" w:cs="Times New Roman"/>
          <w:color w:val="1B1B15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jest teorią dowolnego', lecz ustalonego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, której pojęciami pierwotnymi są następujące pojęcia 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poziomu konkretów: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zbiór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wszystkich</w:t>
      </w:r>
      <w:r w:rsidR="00595E5E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napisów-egzemplarzy, binarna relacja </w:t>
      </w:r>
      <w:r w:rsidR="00595E5E" w:rsidRPr="00595E5E">
        <w:rPr>
          <w:rFonts w:ascii="Times New Roman" w:hAnsi="Times New Roman" w:cs="Times New Roman"/>
          <w:noProof/>
          <w:color w:val="1B1B15"/>
          <w:sz w:val="24"/>
          <w:szCs w:val="24"/>
          <w:lang w:val="pl-PL" w:eastAsia="pl-PL"/>
        </w:rPr>
        <w:drawing>
          <wp:inline distT="0" distB="0" distL="0" distR="0">
            <wp:extent cx="128539" cy="144000"/>
            <wp:effectExtent l="19050" t="0" r="4811" b="0"/>
            <wp:docPr id="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9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równokształtności określona w zbiorze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, </w:t>
      </w:r>
      <w:proofErr w:type="spellStart"/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ternarna</w:t>
      </w:r>
      <w:proofErr w:type="spellEnd"/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relacja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konkatenacji określona w tym zbiorze, słownik</w:t>
      </w:r>
      <w:r w:rsidR="00595E5E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0D414B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prostych słów-egzemplarzy, słownik pomocniczy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0D414B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pomocniczych słów-egzemplarzy, binarna relacja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wskazywania indeksów słów-egzemplarzy oraz dwie binarne relacje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, odpowiednio: tworzenia złożonych wyrażeń-egzemplarzy i tworzenia funktorowych indeksów słów-egzemplarzy. Pozostałe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lastRenderedPageBreak/>
        <w:t xml:space="preserve">pojęcia układu </w:t>
      </w:r>
      <w:r w:rsidR="000D414B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0D414B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)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, pewne pojęcia pomocnicze 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poziomu konkretów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oraz wszystkie pojęcia układu </w:t>
      </w:r>
      <w:r w:rsidR="000D414B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="000D414B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)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i pojęcia dualne do pojęć pomocniczych 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poziomu konkretów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są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definiowane.</w:t>
      </w:r>
    </w:p>
    <w:p w:rsidR="005E4959" w:rsidRPr="003E6574" w:rsidRDefault="005E4959" w:rsidP="00B60CFA">
      <w:pPr>
        <w:spacing w:before="120"/>
        <w:jc w:val="center"/>
        <w:rPr>
          <w:rFonts w:ascii="Times New Roman" w:hAnsi="Times New Roman" w:cs="Times New Roman"/>
          <w:b/>
          <w:color w:val="1B1B15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b/>
          <w:color w:val="1B1B15"/>
          <w:sz w:val="24"/>
          <w:szCs w:val="24"/>
          <w:lang w:val="pl-PL"/>
        </w:rPr>
        <w:t xml:space="preserve">1. SZCZEBEL KONKRETÓW; 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</w:p>
    <w:p w:rsidR="005E4959" w:rsidRPr="003E6574" w:rsidRDefault="005E4959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Znaczenie pierwotnych i wtórnych pojęć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, a więc pojęć układu </w:t>
      </w:r>
      <w:r w:rsidR="00E74074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E74074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)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i pewnych pomocniczych pojęć 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poziomu konkretów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ustalają aksjomaty i definicje będące, przy </w:t>
      </w:r>
      <w:r w:rsidR="00E740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>l</w:t>
      </w:r>
      <w:r w:rsidRPr="003E6574">
        <w:rPr>
          <w:rFonts w:ascii="Times New Roman" w:hAnsi="Times New Roman" w:cs="Times New Roman"/>
          <w:i/>
          <w:color w:val="1B1B15"/>
          <w:sz w:val="24"/>
          <w:szCs w:val="24"/>
          <w:lang w:val="pl-PL"/>
        </w:rPr>
        <w:t xml:space="preserve"> = 1 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i </w:t>
      </w:r>
      <m:oMath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x∈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d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1,2</m:t>
            </m:r>
          </m:e>
        </m:d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, podstawieniami schematów podanych w p.I.2. Są to: aksjomaty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w:r w:rsidR="00E74074">
        <w:rPr>
          <w:rFonts w:ascii="Times New Roman" w:hAnsi="Times New Roman" w:cs="Times New Roman"/>
          <w:color w:val="1B1B15"/>
          <w:sz w:val="24"/>
          <w:szCs w:val="24"/>
          <w:lang w:val="pl-PL"/>
        </w:rPr>
        <w:t>1a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-c -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4,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5 -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7,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5 -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7, definicje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1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1, aksjomaty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8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8,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9 -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12,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13 -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15 oraz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vertAlign w:val="subscript"/>
          <w:lang w:val="pl-PL"/>
        </w:rPr>
        <w:t>.</w:t>
      </w:r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>13 -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15,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definicje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2a - c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2a - c,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3a - c, aksjomaty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16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17 oraz definicje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4 -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9a - c,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10a - d.</w:t>
      </w:r>
    </w:p>
    <w:p w:rsidR="005E4959" w:rsidRPr="003E6574" w:rsidRDefault="005E4959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Podane aksjomaty i definicje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zbliżone do przyjmowanych łącznie w teoriach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TLTk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proofErr w:type="spellStart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TETk</w:t>
      </w:r>
      <w:proofErr w:type="spellEnd"/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TSCL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przedstawionych w monografii [7].</w:t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Podamy szereg twierdzeń i definicji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. Używając w ich sformułowaniach słownych terminów: napis, słowo, wyrażenie, indeks itp. będziemy mieli na myśli jedynie egzemplarze.</w:t>
      </w:r>
    </w:p>
    <w:p w:rsidR="0081518A" w:rsidRDefault="0081518A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965030" cy="648000"/>
            <wp:effectExtent l="19050" t="0" r="702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3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więc: napis będący konkatenacją dwóch napisów jest również konkatenacją napisów doń równokształtnych; jeśli zaś napis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u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konkatenacją napisów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to napis równokształtny 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u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konkatenacją napisów równokształtnych 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.</w:t>
      </w:r>
    </w:p>
    <w:p w:rsidR="005E4959" w:rsidRPr="003E6574" w:rsidRDefault="005E4959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 definicji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81518A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1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81518A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>2</w:t>
      </w:r>
      <w:r w:rsidR="0081518A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zbiorów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wszystkich słów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wszystkich pomocniczych słów wynikają natychmiast wnioski mogące łącznie, odpowiednio, definicje te zastąpić. Są one podstawieniami schematów (dla </w:t>
      </w:r>
      <m:oMath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x∈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d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1,2</m:t>
            </m:r>
          </m:e>
        </m:d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):</w:t>
      </w:r>
    </w:p>
    <w:p w:rsidR="0081518A" w:rsidRDefault="0081518A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5091012" cy="1008000"/>
            <wp:effectExtent l="1905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1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Prawdziwe są schematy twierdzeń:</w:t>
      </w:r>
    </w:p>
    <w:p w:rsidR="0081518A" w:rsidRDefault="0081518A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802667" cy="1368000"/>
            <wp:effectExtent l="1905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67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B60CFA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Schemat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 wynika ze schematów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B60CFA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8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B60CFA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>7</w:t>
      </w:r>
      <w:r w:rsidR="00B60CFA" w:rsidRPr="003E6574">
        <w:rPr>
          <w:rFonts w:ascii="Times New Roman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oraz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="00B60CFA">
        <w:rPr>
          <w:rFonts w:ascii="Times New Roman" w:hAnsi="Times New Roman" w:cs="Times New Roman"/>
          <w:color w:val="000000"/>
          <w:sz w:val="24"/>
          <w:szCs w:val="24"/>
          <w:lang w:val="pl-PL"/>
        </w:rPr>
        <w:t>1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b, schemat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 ze schematów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la 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3, schemat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 otrzymujemy ze schematów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la,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7</w:t>
      </w:r>
      <w:r w:rsidR="00B60CF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3.</w:t>
      </w:r>
    </w:p>
    <w:p w:rsidR="005E4959" w:rsidRPr="003E6574" w:rsidRDefault="005E4959" w:rsidP="00B60CFA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Elementy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\</m:t>
        </m:r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B60CF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nazywamy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złożonymi słowami (x =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1), odpowiednio: </w:t>
      </w:r>
      <w:r w:rsidRPr="003E657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złożonymi pomocniczymi słowami (x =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2).</w:t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 xml:space="preserve">W myśl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 złożone słowo (złożone pomocnicze słowo) jest to napis będący konkatenacją dwóch słów (dwóch pomocniczych słów). Zgodnie z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 słowo (pomocnicze słowo) jest to bądź słowo słownika (słowo słownika pomocniczego) bądź konkatenacja pewnej pary słów (pomocniczych słów). W myśl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5 słowo słownika (słownika pomocniczego) jest to słowo (pomocnicze słowo) nie będące konkatenacją żadnej pary słów (pomocniczych słów).</w:t>
      </w:r>
    </w:p>
    <w:p w:rsidR="0083179F" w:rsidRDefault="00196E21" w:rsidP="00196E21">
      <w:pPr>
        <w:tabs>
          <w:tab w:val="right" w:pos="-2410"/>
          <w:tab w:val="right" w:pos="-1985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Ze schematów </w:t>
      </w:r>
      <m:oMath>
        <m:sSub>
          <m:sSubPr>
            <m:ctrl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4</w:t>
      </w:r>
      <w:r w:rsidRPr="0083179F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bSup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 i </w:t>
      </w:r>
      <m:oMath>
        <m:sSubSup>
          <m:sSubSupPr>
            <m:ctrl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bSup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 wynika schemat twierdzeń </w:t>
      </w:r>
    </w:p>
    <w:p w:rsidR="00B60CFA" w:rsidRDefault="00B60CFA" w:rsidP="00196E21">
      <w:pPr>
        <w:tabs>
          <w:tab w:val="right" w:pos="-2410"/>
          <w:tab w:val="right" w:pos="-1985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530225" cy="252000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25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FA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Napis równokształtny z danym słowem (pomocniczym słowem) jest też słowem (pomocniczym słowem).</w:t>
      </w:r>
    </w:p>
    <w:p w:rsidR="005E4959" w:rsidRPr="003E6574" w:rsidRDefault="005E4959" w:rsidP="00B60CFA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Ze schematu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9 aksjomatów bezpośrednio wynika, że zbiór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196E21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wszystkich słów posiadających indeks jest podzbiorem zbioru wszystkich słów, a zbiór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196E21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wszystkich indeksów słów jest podzbiorem zbioru wszystkich pomocniczych słów. Tak więc mamy</w:t>
      </w:r>
    </w:p>
    <w:p w:rsidR="00196E21" w:rsidRDefault="00196E21" w:rsidP="00196E21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103250" cy="252000"/>
            <wp:effectExtent l="19050" t="0" r="190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5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196E2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 aksjomatów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11,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12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la wynikają wnioski</w:t>
      </w:r>
    </w:p>
    <w:p w:rsidR="00196E21" w:rsidRDefault="00196E21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282088" cy="864000"/>
            <wp:effectExtent l="19050" t="0" r="4162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88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196E2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Tak więc: indeks słowa jest z dokładnością do równokształtności wyznaczony jednoznacznie; słowom równokształtnym odpowiada ten sam indeks, a temu samemu słowu odpowiadają równokształtne indeksy.</w:t>
      </w:r>
    </w:p>
    <w:p w:rsidR="005E4959" w:rsidRPr="003E6574" w:rsidRDefault="005E4959" w:rsidP="00196E2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Wnioski W4a,b uzasadniają schemat analogiczny do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6:</w:t>
      </w:r>
    </w:p>
    <w:p w:rsidR="00196E21" w:rsidRDefault="00196E21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837196" cy="288000"/>
            <wp:effectExtent l="19050" t="0" r="0" b="0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96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196E2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Ze schematu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2a - c definicji i schematu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13 aksjomatów otrzymujemy schematy wniosków</w:t>
      </w:r>
    </w:p>
    <w:p w:rsidR="00196E21" w:rsidRDefault="00196E21" w:rsidP="00B60CFA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861250" cy="252000"/>
            <wp:effectExtent l="19050" t="0" r="0" b="0"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5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196E2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zaś ze schematów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5b 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2 otrzymujemy schematy wniosków</w:t>
      </w:r>
    </w:p>
    <w:p w:rsidR="00196E21" w:rsidRDefault="00196E21" w:rsidP="00196E21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860941" cy="252000"/>
            <wp:effectExtent l="19050" t="0" r="6209" b="0"/>
            <wp:docPr id="1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41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196E2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Sens tych wniosków jest zupełnie oczywisty.</w:t>
      </w:r>
    </w:p>
    <w:p w:rsidR="005E4959" w:rsidRPr="003E6574" w:rsidRDefault="005E4959" w:rsidP="00196E21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 aksjomatu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9 i wniosków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5c 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5c otrzymujemy twierdzenie głoszące, że zbiór wszystkich wyrażeń jest rozłączny ze zbiorem wszystkich poprawnie zbudowanych indeksów, czyli</w:t>
      </w:r>
    </w:p>
    <w:p w:rsidR="00196E21" w:rsidRDefault="00196E21" w:rsidP="00196E21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271349" cy="216000"/>
            <wp:effectExtent l="19050" t="0" r="5251" b="0"/>
            <wp:docPr id="1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49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Ze schematów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15,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la aksjomatów otrzymujemy schemat wniosków</w:t>
      </w:r>
    </w:p>
    <w:p w:rsidR="0083179F" w:rsidRDefault="0083179F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5013693" cy="288000"/>
            <wp:effectExtent l="19050" t="0" r="0" b="0"/>
            <wp:docPr id="17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93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9" w:rsidRPr="003E6574" w:rsidRDefault="005E4959" w:rsidP="0083179F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>Napis równokształtny ze złożonym wyrażeniem (z indeksem funktorowym) utworzonym z funktora głównego i jego kolejnych argumentów (z danego indeksu i kolejnych indeksów) jest też wyrażeniem złożonym (indeksem funktorowym), utworzonym z tego funktora i jego kolejnych argumentów (z tego indeksu i wymienionych, kolejnych indeksów).</w:t>
      </w:r>
    </w:p>
    <w:p w:rsidR="005E4959" w:rsidRPr="003E6574" w:rsidRDefault="005E4959" w:rsidP="0083179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Serię analogicznych twierdzeń (por.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6a), których sens jest zupełnie oczywisty, otrzymujemy ze schematów:</w:t>
      </w:r>
    </w:p>
    <w:p w:rsidR="0083179F" w:rsidRDefault="0083179F" w:rsidP="0083179F">
      <w:pPr>
        <w:tabs>
          <w:tab w:val="decimal" w:pos="-2410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327911" cy="864000"/>
            <wp:effectExtent l="19050" t="0" r="0" b="0"/>
            <wp:docPr id="1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11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83179F" w:rsidP="00C10E42">
      <w:pPr>
        <w:tabs>
          <w:tab w:val="decimal" w:pos="-2410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Schemat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8a wynika natychmiast ze schematów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2a,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 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="005E4959" w:rsidRPr="003E6574">
        <w:rPr>
          <w:rFonts w:ascii="Times New Roman" w:hAnsi="Times New Roman" w:cs="Times New Roman"/>
          <w:color w:val="000000"/>
          <w:sz w:val="24"/>
          <w:szCs w:val="24"/>
          <w:lang w:val="pl-PL"/>
        </w:rPr>
        <w:t>6a.</w:t>
      </w:r>
      <w:r w:rsidR="00C10E42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8240E4"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-91440</wp:posOffset>
                </wp:positionH>
                <wp:positionV relativeFrom="page">
                  <wp:posOffset>-52070</wp:posOffset>
                </wp:positionV>
                <wp:extent cx="85725" cy="8315325"/>
                <wp:effectExtent l="3810" t="0" r="0" b="4445"/>
                <wp:wrapSquare wrapText="bothSides"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8315325"/>
                        </a:xfrm>
                        <a:prstGeom prst="rect">
                          <a:avLst/>
                        </a:prstGeom>
                        <a:solidFill>
                          <a:srgbClr val="A7A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CAC" w:rsidRDefault="00E51CAC" w:rsidP="00C10E4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7.2pt;margin-top:-4.1pt;width:6.75pt;height:654.7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EFfwIAAAcFAAAOAAAAZHJzL2Uyb0RvYy54bWysVG1v2yAQ/j5p/wHxPbWdOE1sxan6skyT&#10;uhep3Q8ggGM0DAxI7K7af9+B47TdizRNSyR8wPFwd89zrC76VqIDt05oVeHsLMWIK6qZULsKf77f&#10;TJYYOU8UI1IrXuEH7vDF+vWrVWdKPtWNloxbBCDKlZ2pcOO9KZPE0Ya3xJ1pwxVs1tq2xMPU7hJm&#10;SQforUymaXqedNoyYzXlzsHqzbCJ1xG/rjn1H+vacY9khSE2H0cbx20Yk/WKlDtLTCPoMQzyD1G0&#10;RCi49AR1QzxBeyt+gWoFtdrp2p9R3Sa6rgXlMQfIJkt/yuauIYbHXKA4zpzK5P4fLP1w+GSRYBWe&#10;zTBSpAWO7nnv0ZXuUZaH+nTGleB2Z8DR97AOPMdcnbnV9ItDSl83RO34pbW6azhhEF8WTibPjg44&#10;LoBsu/eawT1k73UE6mvbhuJBORCgA08PJ25CLBQWl/PFdI4RhZ3lLJvPYBJuIOV42Fjn33LdomBU&#10;2AL1EZwcbp0fXEeXcJfTUrCNkDJO7G57LS06EJDJ5QL+syP6CzepgrPS4diAOKxAjHBH2AvRRtof&#10;i2yap1fTYrI5Xy4m+SafT4pFupykWXFVnKd5kd9svocAs7xsBGNc3QrFRwlm+d9RfGyGQTxRhKir&#10;cDGH6sS8/phkGn+/S7IVHjpSihYKfXIiZeD1jWKQNik9EXKwk5fhR0KgBuM3ViWqIBA/SMD32z4K&#10;bhpuDwrZavYAsrAaaAPu4TUBo9H2G0YddGaF3dc9sRwj+U6BtEIbj4Ydje1oEEXhaIU9RoN57Yd2&#10;3xsrdg0gD+JV+hLkV4sojacojqKFbos5HF+G0M7P59Hr6f1a/wAAAP//AwBQSwMEFAAGAAgAAAAh&#10;AGNwWSvgAAAACQEAAA8AAABkcnMvZG93bnJldi54bWxMj0FOwzAQRfdI3MEaJHapk6YqJcSpEAIW&#10;qBWQcgAnHuKosR1st005PcMKdjOapz/vl+vJDOyIPvTOCshmKTC0rVO97QR87J6SFbAQpVVycBYF&#10;nDHAurq8KGWh3Mm+47GOHaMQGwopQMc4FpyHVqORYeZGtHT7dN7ISKvvuPLyROFm4PM0XXIje0sf&#10;tBzxQWO7rw9GQNwtX5/f9i/55ub7EfV56zf1VyPE9dV0fwcs4hT/YPjVJ3WoyKlxB6sCGwQk2WJB&#10;KA2rOTACkltgDXF5muXAq5L/b1D9AAAA//8DAFBLAQItABQABgAIAAAAIQC2gziS/gAAAOEBAAAT&#10;AAAAAAAAAAAAAAAAAAAAAABbQ29udGVudF9UeXBlc10ueG1sUEsBAi0AFAAGAAgAAAAhADj9If/W&#10;AAAAlAEAAAsAAAAAAAAAAAAAAAAALwEAAF9yZWxzLy5yZWxzUEsBAi0AFAAGAAgAAAAhAPsy8QV/&#10;AgAABwUAAA4AAAAAAAAAAAAAAAAALgIAAGRycy9lMm9Eb2MueG1sUEsBAi0AFAAGAAgAAAAhAGNw&#10;WSvgAAAACQEAAA8AAAAAAAAAAAAAAAAA2QQAAGRycy9kb3ducmV2LnhtbFBLBQYAAAAABAAEAPMA&#10;AADmBQAAAAA=&#10;" fillcolor="#a7a7a3" stroked="f">
                <v:textbox inset="0,0,0,0">
                  <w:txbxContent>
                    <w:p w:rsidR="00E51CAC" w:rsidRDefault="00E51CAC" w:rsidP="00C10E42"/>
                  </w:txbxContent>
                </v:textbox>
                <w10:wrap type="square" anchorx="page" anchory="page"/>
              </v:shape>
            </w:pict>
          </mc:Fallback>
        </mc:AlternateConten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Schemat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8b wynika bezpośrednio ze schematów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2b,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13 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zaś schemat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8c ze schematów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x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2c 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x</m:t>
            </m:r>
          </m:sub>
        </m:sSub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8a,b.</w:t>
      </w:r>
    </w:p>
    <w:p w:rsidR="00C10E42" w:rsidRPr="003C777D" w:rsidRDefault="00C10E42" w:rsidP="00C10E42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Przechodzimy do twierdzeń dotyczących 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wszystkich poprawnie zbudowanych wyrażeń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Default="00C10E42" w:rsidP="00C10E42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5222198" cy="792000"/>
            <wp:effectExtent l="1905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9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C10E42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Zbiór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wszystkich poprawnie zbudowanych wyrażeń jest to najmniejszy zbiór napisów zawierający zbiór wszystkich wyrażeń prostych i spełniający warunek</w:t>
      </w:r>
      <w:r>
        <w:rPr>
          <w:rStyle w:val="Odwoanieprzypisudolnego"/>
          <w:rFonts w:ascii="Times New Roman" w:hAnsi="Times New Roman" w:cs="Times New Roman"/>
          <w:color w:val="000000"/>
          <w:sz w:val="24"/>
          <w:szCs w:val="24"/>
          <w:lang w:val="pl-PL"/>
        </w:rPr>
        <w:footnoteReference w:id="7"/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 że należy doń każde złożone wyrażenie takie, że indeks funktora głównego tego wyrażenia jest indeksem funktorowym utworzonym z indeksu tego wyrażenia i kolejnych indeksów kolejnych argumentów jego funktora głównego.</w:t>
      </w:r>
    </w:p>
    <w:p w:rsidR="00C10E42" w:rsidRPr="003C777D" w:rsidRDefault="00C10E42" w:rsidP="00C10E42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Dowód tego twierdzenia, podobnie jak szczegółowe dowody kilku dalszych twierdzeń opisujących własności 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 pomijamy; wzorowane są one na dowodach podanych w monografii [7].</w:t>
      </w:r>
    </w:p>
    <w:p w:rsidR="00C10E42" w:rsidRPr="003C777D" w:rsidRDefault="00C10E42" w:rsidP="00C10E42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 tak: na podstawie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3a,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2c,b,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3b, aksjomatu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13, wniosków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5c,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b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1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oraz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3c można uzasadnić wnioski</w:t>
      </w:r>
    </w:p>
    <w:p w:rsidR="00C10E42" w:rsidRDefault="00C10E42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905731" cy="504000"/>
            <wp:effectExtent l="19050" t="0" r="0" b="0"/>
            <wp:docPr id="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31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C10E42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Zbiór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\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0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vertAlign w:val="superscript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vertAlign w:val="superscript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vertAlign w:val="superscript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zwiemy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zbiorem wszystkich złożonych wyrażeń poprawnie zbudowanych.</w:t>
      </w:r>
    </w:p>
    <w:p w:rsidR="00C10E42" w:rsidRPr="003C777D" w:rsidRDefault="00C10E42" w:rsidP="00C10E42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Zauważmy, że ponieważ na mocy wniosku W8a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⊆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obraz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ze względu na relację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na mocy aksjomatu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17 i wniosku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5c, zawiera się w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 ponieważ zachodzi aksjomat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10, słuszne jest twierdzenie głoszące, że zbiór wszystkich poprawnie zbudowanych wyrażeń nie ma elementów wspólnych ze zbiorem indeksów tych wyrażeń, czyli</w:t>
      </w:r>
    </w:p>
    <w:p w:rsidR="005D7A8F" w:rsidRDefault="005D7A8F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661850" cy="252000"/>
            <wp:effectExtent l="19050" t="0" r="0" b="0"/>
            <wp:docPr id="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5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5D7A8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Zachodzi twierdzenie analogiczne do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8a - c:</w:t>
      </w:r>
    </w:p>
    <w:p w:rsidR="005D7A8F" w:rsidRDefault="005D7A8F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lastRenderedPageBreak/>
        <w:drawing>
          <wp:inline distT="0" distB="0" distL="0" distR="0">
            <wp:extent cx="3665621" cy="288000"/>
            <wp:effectExtent l="19050" t="0" r="0" b="0"/>
            <wp:docPr id="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621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którego dowód (zob.[7]) oparty jest na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3a - c, T8a,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5D7A8F">
        <w:rPr>
          <w:rFonts w:ascii="Times New Roman" w:hAnsi="Times New Roman" w:cs="Times New Roman"/>
          <w:color w:val="000000"/>
          <w:sz w:val="24"/>
          <w:szCs w:val="24"/>
          <w:lang w:val="pl-PL"/>
        </w:rPr>
        <w:t>1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6a,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11,</w:t>
      </w:r>
      <w:r w:rsidR="005D7A8F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="005D7A8F">
        <w:rPr>
          <w:rFonts w:ascii="Times New Roman" w:hAnsi="Times New Roman" w:cs="Times New Roman"/>
          <w:color w:val="000000"/>
          <w:sz w:val="24"/>
          <w:szCs w:val="24"/>
          <w:lang w:val="pl-PL"/>
        </w:rPr>
        <w:t>7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5D7A8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Bezpośrednimi wnioskami z aksjomatu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16 są:</w:t>
      </w:r>
    </w:p>
    <w:p w:rsidR="005D7A8F" w:rsidRDefault="005D7A8F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925729" cy="216000"/>
            <wp:effectExtent l="19050" t="0" r="0" b="0"/>
            <wp:docPr id="2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29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5D7A8F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Wynikają z nich natychmiast (zob.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2c) wnioski:</w:t>
      </w:r>
    </w:p>
    <w:p w:rsidR="005D7A8F" w:rsidRDefault="005D7A8F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153250" cy="252000"/>
            <wp:effectExtent l="19050" t="0" r="0" b="0"/>
            <wp:docPr id="2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5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5D7A8F">
      <w:pPr>
        <w:spacing w:before="120"/>
        <w:ind w:firstLine="708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Co więcej, można łatwo stwierdzić, że</w:t>
      </w:r>
    </w:p>
    <w:p w:rsidR="005D7A8F" w:rsidRDefault="005D7A8F" w:rsidP="00C10E42">
      <w:pPr>
        <w:spacing w:before="120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211F1B"/>
          <w:sz w:val="24"/>
          <w:szCs w:val="24"/>
          <w:lang w:val="pl-PL" w:eastAsia="pl-PL"/>
        </w:rPr>
        <w:drawing>
          <wp:inline distT="0" distB="0" distL="0" distR="0">
            <wp:extent cx="4153250" cy="252000"/>
            <wp:effectExtent l="19050" t="0" r="0" b="0"/>
            <wp:docPr id="2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5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Default="00C10E42" w:rsidP="004A5A76">
      <w:pPr>
        <w:spacing w:before="120" w:after="120"/>
        <w:ind w:firstLine="709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Z wniosków W9a - c, W10a - c oraz wniosków W8a,b,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5a - c,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5a - c,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6a,b,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6ab i aksjomatu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5 czy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5 wynika, że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"/>
        <w:gridCol w:w="8685"/>
      </w:tblGrid>
      <w:tr w:rsidR="005D7A8F" w:rsidRPr="00C76FB5" w:rsidTr="009D0F70">
        <w:trPr>
          <w:trHeight w:val="873"/>
        </w:trPr>
        <w:tc>
          <w:tcPr>
            <w:tcW w:w="0" w:type="auto"/>
            <w:vAlign w:val="center"/>
          </w:tcPr>
          <w:p w:rsidR="005D7A8F" w:rsidRDefault="005D7A8F" w:rsidP="009D0F70">
            <w:pPr>
              <w:spacing w:before="120"/>
              <w:rPr>
                <w:rFonts w:ascii="Times New Roman" w:hAnsi="Times New Roman" w:cs="Times New Roman"/>
                <w:color w:val="211F1B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color w:val="211F1B"/>
                <w:sz w:val="24"/>
                <w:szCs w:val="24"/>
                <w:lang w:val="pl-PL"/>
              </w:rPr>
              <w:t>T12</w:t>
            </w:r>
          </w:p>
        </w:tc>
        <w:tc>
          <w:tcPr>
            <w:tcW w:w="0" w:type="auto"/>
            <w:vAlign w:val="center"/>
          </w:tcPr>
          <w:p w:rsidR="005D7A8F" w:rsidRDefault="005D7A8F" w:rsidP="009D0F70">
            <w:pPr>
              <w:spacing w:before="120"/>
              <w:rPr>
                <w:rFonts w:ascii="Times New Roman" w:hAnsi="Times New Roman" w:cs="Times New Roman"/>
                <w:color w:val="211F1B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color w:val="211F1B"/>
                <w:sz w:val="24"/>
                <w:szCs w:val="24"/>
                <w:lang w:val="pl-PL"/>
              </w:rPr>
              <w:t xml:space="preserve">Zbiory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color w:val="1B1B15"/>
                  <w:sz w:val="24"/>
                  <w:szCs w:val="24"/>
                  <w:lang w:val="pl-PL"/>
                </w:rPr>
                <m:t>\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color w:val="1B1B15"/>
                  <w:sz w:val="24"/>
                  <w:szCs w:val="24"/>
                  <w:lang w:val="pl-PL"/>
                </w:rPr>
                <m:t>\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1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)</m:t>
              </m:r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1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)</m:t>
              </m:r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1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)\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1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)\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s1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s1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c1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c1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b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color w:val="1B1B15"/>
                  <w:sz w:val="24"/>
                  <w:szCs w:val="24"/>
                  <w:lang w:val="pl-PL"/>
                </w:rPr>
                <m:t>.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 xml:space="preserve"> 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0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1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color w:val="1B1B15"/>
                  <w:sz w:val="24"/>
                  <w:szCs w:val="24"/>
                  <w:lang w:val="pl-PL"/>
                </w:rPr>
                <m:t>.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\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0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pl-PL"/>
                    </w:rPr>
                    <m:t>1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1B1B15"/>
                      <w:sz w:val="24"/>
                      <w:szCs w:val="24"/>
                      <w:lang w:val="pl-PL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Lb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1B1B15"/>
                      <w:sz w:val="24"/>
                      <w:szCs w:val="24"/>
                      <w:lang w:val="pl-PL"/>
                    </w:rPr>
                    <m:t>1</m:t>
                  </m:r>
                </m:sup>
              </m:sSup>
            </m:oMath>
            <w:r w:rsidR="009D0F70"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>, są niepuste.</w:t>
            </w:r>
            <w:r>
              <w:rPr>
                <w:rFonts w:ascii="Times New Roman" w:eastAsiaTheme="minorEastAsia" w:hAnsi="Times New Roman" w:cs="Times New Roman"/>
                <w:color w:val="1B1B15"/>
                <w:sz w:val="24"/>
                <w:szCs w:val="24"/>
                <w:lang w:val="pl-PL"/>
              </w:rPr>
              <w:t xml:space="preserve"> </w:t>
            </w:r>
          </w:p>
        </w:tc>
      </w:tr>
    </w:tbl>
    <w:p w:rsidR="00C10E42" w:rsidRPr="003C777D" w:rsidRDefault="00C10E42" w:rsidP="009D0F70">
      <w:pPr>
        <w:spacing w:before="120"/>
        <w:ind w:firstLine="708"/>
        <w:jc w:val="both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Łatwo stwierdzić, że niepuste są też: zbiór</w:t>
      </w:r>
      <w:r w:rsidR="000B1F22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wszystkich wyrażeń podstawowych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i zbiór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wszystkich jego funktorów. Niepustość pierwszego z nich wynika bezpośrednio z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4, aksjomatu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16 oraz wniosku W3 i twierdzenia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8a, niepustość drugiego z nich - z definicji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5, wniosków W9a i W8b,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3c, a,b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2b oraz wniosku W3 i twierdzenia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8b.</w:t>
      </w:r>
    </w:p>
    <w:p w:rsidR="00C10E42" w:rsidRPr="003C777D" w:rsidRDefault="00C10E42" w:rsidP="000B1F22">
      <w:pPr>
        <w:spacing w:before="120"/>
        <w:ind w:firstLine="708"/>
        <w:jc w:val="both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Zbiory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, na mocy ich określenia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4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5), aksjomatu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17 oraz definicji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2c i wniosków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5a,b, są rozłączne. Jest też oczywiste, że ponieważ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jest zbiorem słów posiadających indeksy (wniosek W8a), a indeksy takich słów są elementami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(aksjomat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17), to na mocy definicji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2c,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4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5 </w:t>
      </w:r>
      <w:r w:rsidR="000B1F22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∪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0B1F22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>.</w:t>
      </w:r>
      <w:r w:rsidRPr="003C777D">
        <w:rPr>
          <w:rFonts w:ascii="Times New Roman" w:hAnsi="Times New Roman" w:cs="Times New Roman"/>
          <w:i/>
          <w:color w:val="211F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Tak więc zachodzi twierdzenie</w:t>
      </w:r>
    </w:p>
    <w:p w:rsidR="000B1F22" w:rsidRDefault="000B1F22" w:rsidP="00C10E42">
      <w:pPr>
        <w:spacing w:before="120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211F1B"/>
          <w:sz w:val="24"/>
          <w:szCs w:val="24"/>
          <w:lang w:val="pl-PL" w:eastAsia="pl-PL"/>
        </w:rPr>
        <w:drawing>
          <wp:inline distT="0" distB="0" distL="0" distR="0">
            <wp:extent cx="4445971" cy="288000"/>
            <wp:effectExtent l="19050" t="0" r="0" b="0"/>
            <wp:docPr id="29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71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0B1F22">
      <w:pPr>
        <w:spacing w:before="120"/>
        <w:ind w:firstLine="708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Łatwo też wykazujemy, że</w:t>
      </w:r>
    </w:p>
    <w:p w:rsidR="000B1F22" w:rsidRDefault="000B1F22" w:rsidP="00C10E42">
      <w:pPr>
        <w:spacing w:before="120"/>
        <w:jc w:val="both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211F1B"/>
          <w:sz w:val="24"/>
          <w:szCs w:val="24"/>
          <w:lang w:val="pl-PL" w:eastAsia="pl-PL"/>
        </w:rPr>
        <w:drawing>
          <wp:inline distT="0" distB="0" distL="0" distR="0">
            <wp:extent cx="4262019" cy="252000"/>
            <wp:effectExtent l="19050" t="0" r="5181" b="0"/>
            <wp:docPr id="3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19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0B1F22">
      <w:pPr>
        <w:spacing w:before="120"/>
        <w:ind w:firstLine="708"/>
        <w:jc w:val="both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Tak więc wśród poprawnie zbudowanych wyrażeń złożonych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zawsze znajdziemy jakieś wyrażenie podstawowe, zaś wśród wyrażeń prostych tego języka zawsze jakiś funktor.</w:t>
      </w:r>
    </w:p>
    <w:p w:rsidR="00C10E42" w:rsidRPr="003C777D" w:rsidRDefault="00C10E42" w:rsidP="000B1F22">
      <w:pPr>
        <w:spacing w:before="120"/>
        <w:ind w:firstLine="708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Z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0B1F2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4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0B1F2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5</w:t>
      </w: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aksjomatu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15, twierdzenia T11 i wniosku W4a wynikają twierdzenia analogiczne do T11:</w:t>
      </w:r>
    </w:p>
    <w:p w:rsidR="000B1F22" w:rsidRDefault="000B1F22" w:rsidP="000B1F22">
      <w:pPr>
        <w:spacing w:before="120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211F1B"/>
          <w:sz w:val="24"/>
          <w:szCs w:val="24"/>
          <w:lang w:val="pl-PL" w:eastAsia="pl-PL"/>
        </w:rPr>
        <w:drawing>
          <wp:inline distT="0" distB="0" distL="0" distR="0">
            <wp:extent cx="4471410" cy="612000"/>
            <wp:effectExtent l="19050" t="0" r="5340" b="0"/>
            <wp:docPr id="32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10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0B1F22">
      <w:pPr>
        <w:spacing w:before="120"/>
        <w:ind w:firstLine="708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Podajemy twierdzenia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dotyczące pojęcia kategorii syntaktycznej.</w:t>
      </w:r>
    </w:p>
    <w:p w:rsidR="00C10E42" w:rsidRPr="003C777D" w:rsidRDefault="00C10E42" w:rsidP="000B1F22">
      <w:pPr>
        <w:spacing w:before="120"/>
        <w:ind w:firstLine="708"/>
        <w:jc w:val="both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Z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7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6, odpowiednio: relacji </w:t>
      </w:r>
      <w:r w:rsidR="000B1F22">
        <w:rPr>
          <w:rFonts w:ascii="Times New Roman" w:hAnsi="Times New Roman" w:cs="Times New Roman"/>
          <w:noProof/>
          <w:color w:val="211F1B"/>
          <w:sz w:val="24"/>
          <w:szCs w:val="24"/>
          <w:lang w:val="pl-PL" w:eastAsia="pl-PL"/>
        </w:rPr>
        <w:drawing>
          <wp:inline distT="0" distB="0" distL="0" distR="0">
            <wp:extent cx="175547" cy="180000"/>
            <wp:effectExtent l="19050" t="0" r="0" b="0"/>
            <wp:docPr id="36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syntaktycznej zgodności kategorialnej i kategorii syntaktycznej o wskazanym indeksie słowa, na podstawie aksjomatów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1b,c,a oraz wniosku W3 otrzymujemy wniosek</w:t>
      </w:r>
    </w:p>
    <w:p w:rsidR="000B1F22" w:rsidRDefault="000B1F22" w:rsidP="00C10E42">
      <w:pPr>
        <w:spacing w:before="120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211F1B"/>
          <w:sz w:val="24"/>
          <w:szCs w:val="24"/>
          <w:lang w:val="pl-PL" w:eastAsia="pl-PL"/>
        </w:rPr>
        <w:lastRenderedPageBreak/>
        <w:drawing>
          <wp:inline distT="0" distB="0" distL="0" distR="0">
            <wp:extent cx="5010964" cy="360000"/>
            <wp:effectExtent l="19050" t="0" r="0" b="0"/>
            <wp:docPr id="38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64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0B1F22">
      <w:pPr>
        <w:spacing w:before="120"/>
        <w:ind w:firstLine="708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Z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7,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6 oraz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4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>5 na podstawie wniosku W8a otrzymujemy twierdzenie</w:t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T15 Relacja </w:t>
      </w:r>
      <w:r w:rsidR="000B1F22" w:rsidRPr="000B1F22">
        <w:rPr>
          <w:rFonts w:ascii="Times New Roman" w:hAnsi="Times New Roman" w:cs="Times New Roman"/>
          <w:noProof/>
          <w:color w:val="211F1B"/>
          <w:sz w:val="24"/>
          <w:szCs w:val="24"/>
          <w:lang w:val="pl-PL" w:eastAsia="pl-PL"/>
        </w:rPr>
        <w:drawing>
          <wp:inline distT="0" distB="0" distL="0" distR="0">
            <wp:extent cx="175547" cy="180000"/>
            <wp:effectExtent l="19050" t="0" r="0" b="0"/>
            <wp:docPr id="39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F22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jest relacją równoważnościową w zbiorach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i/>
          <w:color w:val="211F1B"/>
          <w:sz w:val="24"/>
          <w:szCs w:val="24"/>
          <w:lang w:val="pl-PL"/>
        </w:rPr>
        <w:t>.</w:t>
      </w:r>
    </w:p>
    <w:p w:rsidR="00C10E42" w:rsidRPr="003C777D" w:rsidRDefault="00715AB5" w:rsidP="00715AB5">
      <w:pPr>
        <w:tabs>
          <w:tab w:val="left" w:pos="-2410"/>
        </w:tabs>
        <w:spacing w:before="120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211F1B"/>
          <w:sz w:val="24"/>
          <w:szCs w:val="24"/>
          <w:lang w:val="pl-PL"/>
        </w:rPr>
        <w:tab/>
      </w:r>
      <w:r w:rsidR="00C10E4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Zbiory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są niepuste. Relacja </w:t>
      </w:r>
      <w:r w:rsidRPr="00715AB5">
        <w:rPr>
          <w:rFonts w:ascii="Times New Roman" w:hAnsi="Times New Roman" w:cs="Times New Roman"/>
          <w:noProof/>
          <w:color w:val="211F1B"/>
          <w:sz w:val="24"/>
          <w:szCs w:val="24"/>
          <w:lang w:val="pl-PL" w:eastAsia="pl-PL"/>
        </w:rPr>
        <w:drawing>
          <wp:inline distT="0" distB="0" distL="0" distR="0">
            <wp:extent cx="175547" cy="180000"/>
            <wp:effectExtent l="19050" t="0" r="0" b="0"/>
            <wp:docPr id="41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E4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wyznacza więc podział logiczny tych zbiorów na niepuste i rozłączne klasy abstrakcji w sumie dające stosowny zbiór. Zauważmy dalej, że na mocy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C10E4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6 i wniosku W3, jeśli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C10E4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należy do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C10E4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(odpowiednio: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>)</w:t>
      </w:r>
      <w:r w:rsidR="00C10E4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eastAsiaTheme="minorEastAsia" w:hAnsi="Cambria Math" w:cs="Times New Roman"/>
            <w:color w:val="000000"/>
            <w:sz w:val="24"/>
            <w:szCs w:val="24"/>
            <w:lang w:val="pl-PL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δ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w:r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to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∈</m:t>
        </m:r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Ct</m:t>
            </m:r>
          </m:e>
          <m:sub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δ</m:t>
            </m:r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oraz, </w:t>
      </w:r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że jeśli</w:t>
      </w:r>
      <w:r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ξ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i/>
                <w:noProof/>
                <w:color w:val="000000"/>
                <w:sz w:val="24"/>
                <w:szCs w:val="24"/>
                <w:lang w:val="pl-PL" w:eastAsia="pl-PL"/>
              </w:rPr>
              <w:drawing>
                <wp:inline distT="0" distB="0" distL="0" distR="0">
                  <wp:extent cx="175547" cy="180000"/>
                  <wp:effectExtent l="19050" t="0" r="0" b="0"/>
                  <wp:docPr id="35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7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δ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, to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Ct</m:t>
            </m:r>
          </m:e>
          <m:sub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</m:t>
            </m:r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b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Ct</m:t>
            </m:r>
          </m:e>
          <m:sub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δ</m:t>
            </m:r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bSup>
      </m:oMath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, a ponieważ z dokładnością do równokształtności indeks wyrażenia (elementu 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>)</w:t>
      </w:r>
      <w:r w:rsidR="00C10E42" w:rsidRPr="003C777D"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jest na mocy wniosku W3 wyznaczony jednoznacznie, więc na podstawie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7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 xml:space="preserve"> </m:t>
        </m:r>
      </m:oMath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6 łatwo stwierdzamy, że klasą abstrakcji o reprezentancie w zbiorze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>)</w:t>
      </w:r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jest kategoria syntaktyczna o indeksie wyznaczonym przez odpowiedniego reprezentanta tej klasy. Tak więc uzasadniliśmy twierdzenie</w:t>
      </w:r>
    </w:p>
    <w:p w:rsidR="00C10E42" w:rsidRPr="003C777D" w:rsidRDefault="000D622D" w:rsidP="000D622D">
      <w:pPr>
        <w:spacing w:before="120"/>
        <w:ind w:left="709" w:hanging="709"/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F100B"/>
          <w:sz w:val="24"/>
          <w:szCs w:val="24"/>
          <w:lang w:val="pl-PL"/>
        </w:rPr>
        <w:t>T16</w:t>
      </w:r>
      <w:r>
        <w:rPr>
          <w:rFonts w:ascii="Times New Roman" w:hAnsi="Times New Roman" w:cs="Times New Roman"/>
          <w:color w:val="0F100B"/>
          <w:sz w:val="24"/>
          <w:szCs w:val="24"/>
          <w:lang w:val="pl-PL"/>
        </w:rPr>
        <w:tab/>
      </w:r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Rodzina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715AB5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Ct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715AB5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Ct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715AB5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Ct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715AB5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) </w:t>
      </w:r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wszystkich kategorii syntaktycznych wyrażeń (wyrażeń poprawnie zbudowanych, podstawowych, funktorowych)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równa jest rodzinie ilorazowej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/</m:t>
        </m:r>
        <m:r>
          <w:rPr>
            <w:rFonts w:ascii="Cambria Math" w:hAnsi="Cambria Math" w:cs="Times New Roman"/>
            <w:i/>
            <w:noProof/>
            <w:color w:val="1B1B15"/>
            <w:sz w:val="24"/>
            <w:szCs w:val="24"/>
            <w:lang w:val="pl-PL" w:eastAsia="pl-PL"/>
          </w:rPr>
          <w:drawing>
            <wp:inline distT="0" distB="0" distL="0" distR="0">
              <wp:extent cx="175547" cy="180000"/>
              <wp:effectExtent l="19050" t="0" r="0" b="0"/>
              <wp:docPr id="44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/>
                      <pic:cNvPicPr>
                        <a:picLocks noChangeAspect="1" noChangeArrowheads="1"/>
                      </pic:cNvPicPr>
                    </pic:nvPicPr>
                    <pic:blipFill>
                      <a:blip r:embed="rId5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5547" cy="18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/</m:t>
        </m:r>
        <m:r>
          <w:rPr>
            <w:rFonts w:ascii="Cambria Math" w:hAnsi="Cambria Math" w:cs="Times New Roman"/>
            <w:i/>
            <w:noProof/>
            <w:color w:val="000000"/>
            <w:sz w:val="24"/>
            <w:szCs w:val="24"/>
            <w:lang w:val="pl-PL" w:eastAsia="pl-PL"/>
          </w:rPr>
          <w:drawing>
            <wp:inline distT="0" distB="0" distL="0" distR="0">
              <wp:extent cx="175547" cy="180000"/>
              <wp:effectExtent l="19050" t="0" r="0" b="0"/>
              <wp:docPr id="45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/>
                      <pic:cNvPicPr>
                        <a:picLocks noChangeAspect="1" noChangeArrowheads="1"/>
                      </pic:cNvPicPr>
                    </pic:nvPicPr>
                    <pic:blipFill>
                      <a:blip r:embed="rId5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5547" cy="18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/</m:t>
        </m:r>
        <m:r>
          <w:rPr>
            <w:rFonts w:ascii="Cambria Math" w:hAnsi="Cambria Math" w:cs="Times New Roman"/>
            <w:i/>
            <w:noProof/>
            <w:color w:val="000000"/>
            <w:sz w:val="24"/>
            <w:szCs w:val="24"/>
            <w:lang w:val="pl-PL" w:eastAsia="pl-PL"/>
          </w:rPr>
          <w:drawing>
            <wp:inline distT="0" distB="0" distL="0" distR="0">
              <wp:extent cx="175547" cy="180000"/>
              <wp:effectExtent l="19050" t="0" r="0" b="0"/>
              <wp:docPr id="47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/>
                      <pic:cNvPicPr>
                        <a:picLocks noChangeAspect="1" noChangeArrowheads="1"/>
                      </pic:cNvPicPr>
                    </pic:nvPicPr>
                    <pic:blipFill>
                      <a:blip r:embed="rId5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5547" cy="18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/</m:t>
        </m:r>
        <m:r>
          <w:rPr>
            <w:rFonts w:ascii="Cambria Math" w:hAnsi="Cambria Math" w:cs="Times New Roman"/>
            <w:i/>
            <w:noProof/>
            <w:color w:val="000000"/>
            <w:sz w:val="24"/>
            <w:szCs w:val="24"/>
            <w:lang w:val="pl-PL" w:eastAsia="pl-PL"/>
          </w:rPr>
          <w:drawing>
            <wp:inline distT="0" distB="0" distL="0" distR="0">
              <wp:extent cx="175547" cy="180000"/>
              <wp:effectExtent l="19050" t="0" r="0" b="0"/>
              <wp:docPr id="48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/>
                      <pic:cNvPicPr>
                        <a:picLocks noChangeAspect="1" noChangeArrowheads="1"/>
                      </pic:cNvPicPr>
                    </pic:nvPicPr>
                    <pic:blipFill>
                      <a:blip r:embed="rId5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5547" cy="18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>)</w:t>
      </w:r>
      <w:r>
        <w:rPr>
          <w:rFonts w:ascii="Times New Roman" w:hAnsi="Times New Roman" w:cs="Times New Roman"/>
          <w:color w:val="0F100B"/>
          <w:sz w:val="24"/>
          <w:szCs w:val="24"/>
          <w:lang w:val="pl-PL"/>
        </w:rPr>
        <w:t>;</w:t>
      </w:r>
      <w:r w:rsidR="00C10E42" w:rsidRPr="003C777D"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jest ona podziałem logicznym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E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>)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wyznaczonym przez relację </w:t>
      </w:r>
      <w:r w:rsidRPr="000D622D">
        <w:rPr>
          <w:rFonts w:ascii="Times New Roman" w:hAnsi="Times New Roman" w:cs="Times New Roman"/>
          <w:noProof/>
          <w:color w:val="0F100B"/>
          <w:sz w:val="24"/>
          <w:szCs w:val="24"/>
          <w:lang w:val="pl-PL" w:eastAsia="pl-PL"/>
        </w:rPr>
        <w:drawing>
          <wp:inline distT="0" distB="0" distL="0" distR="0">
            <wp:extent cx="175547" cy="180000"/>
            <wp:effectExtent l="19050" t="0" r="0" b="0"/>
            <wp:docPr id="50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E42"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.</w:t>
      </w:r>
    </w:p>
    <w:p w:rsidR="00C10E42" w:rsidRPr="003C777D" w:rsidRDefault="00C10E42" w:rsidP="000D622D">
      <w:pPr>
        <w:spacing w:before="120"/>
        <w:ind w:firstLine="708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Na podstawie twierdzeń T16 i T13 otrzymujemy nadto twierdzenie</w:t>
      </w:r>
    </w:p>
    <w:p w:rsidR="00C10E42" w:rsidRPr="003C777D" w:rsidRDefault="00C10E42" w:rsidP="000D622D">
      <w:pPr>
        <w:spacing w:before="120"/>
        <w:ind w:left="709" w:hanging="709"/>
        <w:jc w:val="both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T16a </w:t>
      </w:r>
      <w:r w:rsidR="000D622D">
        <w:rPr>
          <w:rFonts w:ascii="Times New Roman" w:hAnsi="Times New Roman" w:cs="Times New Roman"/>
          <w:color w:val="0F100B"/>
          <w:sz w:val="24"/>
          <w:szCs w:val="24"/>
          <w:lang w:val="pl-PL"/>
        </w:rPr>
        <w:tab/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Zbiór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jest sumą sumy wszystkich kategorii syntaktycznych podstawowych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i rozłącznej z nią sumy wszystkich kategorii funktorowych tego języka.</w:t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Zauważmy, że z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10a - c, twierdzenia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8c, aksjomatów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0D622D">
        <w:rPr>
          <w:rFonts w:ascii="Times New Roman" w:hAnsi="Times New Roman" w:cs="Times New Roman"/>
          <w:color w:val="0F100B"/>
          <w:sz w:val="24"/>
          <w:szCs w:val="24"/>
          <w:lang w:val="pl-PL"/>
        </w:rPr>
        <w:t>1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b,c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15 oraz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10d wynika następujące twierdzenie:</w:t>
      </w:r>
    </w:p>
    <w:p w:rsidR="000D622D" w:rsidRPr="000D622D" w:rsidRDefault="000D622D" w:rsidP="00C10E42">
      <w:pPr>
        <w:spacing w:before="120"/>
        <w:jc w:val="both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F100B"/>
          <w:sz w:val="24"/>
          <w:szCs w:val="24"/>
          <w:lang w:val="pl-PL" w:eastAsia="pl-PL"/>
        </w:rPr>
        <w:drawing>
          <wp:inline distT="0" distB="0" distL="0" distR="0">
            <wp:extent cx="4815768" cy="288000"/>
            <wp:effectExtent l="19050" t="0" r="3882" b="0"/>
            <wp:docPr id="51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68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0D622D">
      <w:pPr>
        <w:spacing w:before="120"/>
        <w:ind w:firstLine="708"/>
        <w:jc w:val="both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Dla udowodnienia wzmiankowanego w p.</w:t>
      </w:r>
      <w:r w:rsidR="000D622D">
        <w:rPr>
          <w:rFonts w:ascii="Times New Roman" w:hAnsi="Times New Roman" w:cs="Times New Roman"/>
          <w:color w:val="0F100B"/>
          <w:sz w:val="24"/>
          <w:szCs w:val="24"/>
          <w:lang w:val="pl-PL"/>
        </w:rPr>
        <w:t>I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.1. </w:t>
      </w:r>
      <w:r w:rsidRPr="003C777D"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  <w:t xml:space="preserve">zasadniczego twierdzenia teorii kategorii syntaktycznych, 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dotyczącego związków pomiędzy pojęciami kategorii syntaktycznej i zastępowalnością wyrażeń, należy uzasadnić dwa lematy</w:t>
      </w:r>
    </w:p>
    <w:p w:rsidR="000D622D" w:rsidRPr="000D622D" w:rsidRDefault="000D622D" w:rsidP="000D622D">
      <w:pPr>
        <w:spacing w:before="120"/>
        <w:jc w:val="center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F100B"/>
          <w:sz w:val="24"/>
          <w:szCs w:val="24"/>
          <w:lang w:val="pl-PL" w:eastAsia="pl-PL"/>
        </w:rPr>
        <w:drawing>
          <wp:inline distT="0" distB="0" distL="0" distR="0">
            <wp:extent cx="3380530" cy="576000"/>
            <wp:effectExtent l="19050" t="0" r="0" b="0"/>
            <wp:docPr id="53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30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0D622D">
      <w:pPr>
        <w:spacing w:before="120"/>
        <w:ind w:firstLine="708"/>
        <w:jc w:val="both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Dowody lematów są indukcyjne. Gdy </w:t>
      </w:r>
      <w:r w:rsidRPr="003C777D"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  <w:t xml:space="preserve">n = 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0, prawdziwość lematów uzasadniamy przez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10a, T11, W8a, W4a,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0D622D">
        <w:rPr>
          <w:rFonts w:ascii="Times New Roman" w:hAnsi="Times New Roman" w:cs="Times New Roman"/>
          <w:color w:val="0F100B"/>
          <w:sz w:val="24"/>
          <w:szCs w:val="24"/>
          <w:lang w:val="pl-PL"/>
        </w:rPr>
        <w:t>1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b i W12. Trudniejsze są dowody lematów dla n = 1 (por. [7]). Korzystamy w nich istotnie 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10b, W8a,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13,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6a,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3,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2b,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14,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0D622D">
        <w:rPr>
          <w:rFonts w:ascii="Times New Roman" w:hAnsi="Times New Roman" w:cs="Times New Roman"/>
          <w:color w:val="0F100B"/>
          <w:sz w:val="24"/>
          <w:szCs w:val="24"/>
          <w:lang w:val="pl-PL"/>
        </w:rPr>
        <w:t>1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b,c, W12, W4a, W3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14. Dowody lematów na podstawie założenia indukcyjnego wynikają natychmiast 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10c i z ich prawdziwości dla n = 1.</w:t>
      </w:r>
    </w:p>
    <w:p w:rsidR="00C10E42" w:rsidRPr="003C777D" w:rsidRDefault="00C10E42" w:rsidP="000D622D">
      <w:pPr>
        <w:spacing w:before="120"/>
        <w:ind w:firstLine="708"/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  <w:t xml:space="preserve">Zasadnicze twierdzenie teorii kategorii syntaktycznych 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uzyskujemy bezpośrednio z tych lematów na podstawie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>10d:</w:t>
      </w:r>
    </w:p>
    <w:p w:rsidR="000D622D" w:rsidRDefault="000D622D" w:rsidP="00C10E42">
      <w:pPr>
        <w:spacing w:before="120"/>
        <w:jc w:val="both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F100B"/>
          <w:sz w:val="24"/>
          <w:szCs w:val="24"/>
          <w:lang w:val="pl-PL" w:eastAsia="pl-PL"/>
        </w:rPr>
        <w:drawing>
          <wp:inline distT="0" distB="0" distL="0" distR="0">
            <wp:extent cx="4306047" cy="288000"/>
            <wp:effectExtent l="19050" t="0" r="0" b="0"/>
            <wp:docPr id="54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47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0D622D">
      <w:pPr>
        <w:spacing w:before="120"/>
        <w:ind w:firstLine="708"/>
        <w:jc w:val="both"/>
        <w:rPr>
          <w:rFonts w:ascii="Times New Roman" w:hAnsi="Times New Roman" w:cs="Times New Roman"/>
          <w:color w:val="0F100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Dwa wyrażenia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należą do tej samej kategorii syntaktycznej wtedy i tylko wtedy, gdy zastępując jedno z nich przez drugie w poprawnie zbudowanym wyrażeniu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i otrzymawszy zeń wyrażenie poprawnie zbudowane tego języka stwierdzamy, że należy ono do tej samej co ono kategorii syntaktycznej.</w:t>
      </w:r>
    </w:p>
    <w:p w:rsidR="00C10E42" w:rsidRPr="003C777D" w:rsidRDefault="00C10E42" w:rsidP="00C10E42">
      <w:pPr>
        <w:spacing w:before="120"/>
        <w:jc w:val="center"/>
        <w:rPr>
          <w:rFonts w:ascii="Times New Roman" w:hAnsi="Times New Roman" w:cs="Times New Roman"/>
          <w:b/>
          <w:color w:val="0F100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b/>
          <w:color w:val="0F100B"/>
          <w:sz w:val="24"/>
          <w:szCs w:val="24"/>
          <w:lang w:val="pl-PL"/>
        </w:rPr>
        <w:t xml:space="preserve">2. SZCZEBEL TYPÓW; 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</w:p>
    <w:p w:rsidR="00C10E42" w:rsidRPr="003C777D" w:rsidRDefault="00C10E42" w:rsidP="00405AED">
      <w:pPr>
        <w:spacing w:before="120"/>
        <w:ind w:firstLine="708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jest nadbudowana nad teorią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 przez wzbogacenie jej o definicje pojęć języka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a więc języka rozważanego na </w:t>
      </w:r>
      <w:r w:rsidRPr="003C777D">
        <w:rPr>
          <w:rFonts w:ascii="Times New Roman" w:hAnsi="Times New Roman" w:cs="Times New Roman"/>
          <w:i/>
          <w:color w:val="0F100B"/>
          <w:sz w:val="24"/>
          <w:szCs w:val="24"/>
          <w:lang w:val="pl-PL"/>
        </w:rPr>
        <w:t xml:space="preserve">poziomie typów. </w:t>
      </w:r>
      <w:r w:rsidRPr="003C777D">
        <w:rPr>
          <w:rFonts w:ascii="Times New Roman" w:hAnsi="Times New Roman" w:cs="Times New Roman"/>
          <w:color w:val="0F100B"/>
          <w:sz w:val="24"/>
          <w:szCs w:val="24"/>
          <w:lang w:val="pl-PL"/>
        </w:rPr>
        <w:t xml:space="preserve">Wszystkie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pojęcia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) i pewne pomocnicze pojęcia </w:t>
      </w:r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 xml:space="preserve">szczebla typów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są więc konstruktami wtórnymi, definiowanymi za pomocą pojęć </w:t>
      </w:r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>poziomu konkretów.</w:t>
      </w:r>
    </w:p>
    <w:p w:rsidR="00405AED" w:rsidRDefault="00C10E42" w:rsidP="00405AED">
      <w:pPr>
        <w:spacing w:before="120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W definicjach pojęć </w:t>
      </w:r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 xml:space="preserve">poziomu typów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posłużymy się klasami abstrakcji relacji </w:t>
      </w:r>
      <w:r w:rsidR="00405AED" w:rsidRPr="00405AED">
        <w:rPr>
          <w:rFonts w:ascii="Times New Roman" w:hAnsi="Times New Roman" w:cs="Times New Roman"/>
          <w:noProof/>
          <w:color w:val="1F201B"/>
          <w:sz w:val="24"/>
          <w:szCs w:val="24"/>
          <w:lang w:val="pl-PL" w:eastAsia="pl-PL"/>
        </w:rPr>
        <w:drawing>
          <wp:inline distT="0" distB="0" distL="0" distR="0">
            <wp:extent cx="128539" cy="144000"/>
            <wp:effectExtent l="19050" t="0" r="4811" b="0"/>
            <wp:docPr id="5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9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równokształtności, która na mocy aksjomatów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405AED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>1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a - c jest relacją równoważnościową w zbiorze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 xml:space="preserve">.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Klasę abstrakcji tej relacji o reprezentancie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oznaczać będziemy przez </w:t>
      </w:r>
      <w:r w:rsid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>[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>].</w:t>
      </w:r>
    </w:p>
    <w:p w:rsidR="00C10E42" w:rsidRPr="003C777D" w:rsidRDefault="00C10E42" w:rsidP="00405AED">
      <w:pPr>
        <w:spacing w:before="120"/>
        <w:ind w:firstLine="708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Jeśli przyjąć, że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reprezentuje terminy</w:t>
      </w:r>
    </w:p>
    <w:p w:rsidR="00405AED" w:rsidRDefault="00405AED" w:rsidP="00C10E42">
      <w:pPr>
        <w:spacing w:before="120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1F201B"/>
          <w:sz w:val="24"/>
          <w:szCs w:val="24"/>
          <w:lang w:val="pl-PL" w:eastAsia="pl-PL"/>
        </w:rPr>
        <w:drawing>
          <wp:inline distT="0" distB="0" distL="0" distR="0">
            <wp:extent cx="4897313" cy="432000"/>
            <wp:effectExtent l="19050" t="0" r="0" b="0"/>
            <wp:docPr id="59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13" cy="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C10E42">
      <w:pPr>
        <w:spacing w:before="120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to terminy dualne do terminów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), oznaczające zbiory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) lub wyróżnione podzbiory tych zbiorów, zastępujemy zmienną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i definiujemy za pomocą schematu</w:t>
      </w:r>
    </w:p>
    <w:p w:rsidR="00405AED" w:rsidRDefault="00405AED" w:rsidP="00C10E42">
      <w:pPr>
        <w:spacing w:before="120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1F201B"/>
          <w:sz w:val="24"/>
          <w:szCs w:val="24"/>
          <w:lang w:val="pl-PL" w:eastAsia="pl-PL"/>
        </w:rPr>
        <w:drawing>
          <wp:inline distT="0" distB="0" distL="0" distR="0">
            <wp:extent cx="3363535" cy="324000"/>
            <wp:effectExtent l="19050" t="0" r="8315" b="0"/>
            <wp:docPr id="60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35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405AED">
      <w:pPr>
        <w:spacing w:before="120"/>
        <w:ind w:firstLine="708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Zbiór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typów napisów jest więc rodziną ilorazową klas abstrakcji wyznaczonych przez relację równokształtności i napisy zbioru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>.</w:t>
      </w:r>
    </w:p>
    <w:p w:rsidR="00C10E42" w:rsidRPr="003C777D" w:rsidRDefault="00C10E42" w:rsidP="00405AED">
      <w:pPr>
        <w:spacing w:before="120"/>
        <w:ind w:firstLine="708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pojęciu dualnemu do zbioru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Ct</m:t>
            </m:r>
          </m:e>
          <m:sub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ξ1</m:t>
            </m:r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bSup>
      </m:oMath>
      <w:r w:rsid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odpowiada kategoria syntaktyczna typów wyrażeń o indeksie</w:t>
      </w:r>
      <w:r w:rsid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typu słowa, a więc zbiór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Ct</m:t>
            </m:r>
          </m:e>
          <m:sub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ξ2</m:t>
            </m:r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bSup>
      </m:oMath>
      <w:r w:rsidR="00405AED" w:rsidRP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zdefiniowany wzorem</w:t>
      </w:r>
    </w:p>
    <w:p w:rsidR="00405AED" w:rsidRDefault="00405AED" w:rsidP="00C10E42">
      <w:pPr>
        <w:spacing w:before="120"/>
        <w:jc w:val="both"/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</w:pPr>
      <w:r w:rsidRPr="00405AED">
        <w:rPr>
          <w:rFonts w:ascii="Times New Roman" w:hAnsi="Times New Roman" w:cs="Times New Roman"/>
          <w:noProof/>
          <w:color w:val="1F201B"/>
          <w:sz w:val="24"/>
          <w:szCs w:val="24"/>
          <w:lang w:val="pl-PL" w:eastAsia="pl-PL"/>
        </w:rPr>
        <w:drawing>
          <wp:inline distT="0" distB="0" distL="0" distR="0">
            <wp:extent cx="4124743" cy="396000"/>
            <wp:effectExtent l="19050" t="0" r="9107" b="0"/>
            <wp:docPr id="62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43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405AED">
      <w:pPr>
        <w:spacing w:before="120"/>
        <w:ind w:firstLine="708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Typ wyrażenia należy do kategorii syntaktycznej o indeksie</w:t>
      </w:r>
      <w:r w:rsid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typu słowa wtedy i tylko wtedy, gdy jest on klasą abstrakcji relacji równokształtności wyznaczoną przez jakieś wyrażenie-egzemplarz należące do kategorii syntaktycznej o pewnym indeksie </w:t>
      </w:r>
      <w:proofErr w:type="spellStart"/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słowa-egzemplarza</w:t>
      </w:r>
      <w:proofErr w:type="spellEnd"/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, będącym reprezentantem klasy abstrakcji wyznaczającej indeks</w:t>
      </w:r>
      <w:r w:rsid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>.</w:t>
      </w:r>
    </w:p>
    <w:p w:rsidR="00C10E42" w:rsidRPr="003C777D" w:rsidRDefault="00C10E42" w:rsidP="00405AED">
      <w:pPr>
        <w:spacing w:before="120"/>
        <w:ind w:firstLine="708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Jeśli przyjąć, że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reprezentuje terminy układu</w:t>
      </w:r>
    </w:p>
    <w:p w:rsidR="00405AED" w:rsidRPr="00405AED" w:rsidRDefault="00405AED" w:rsidP="00C10E42">
      <w:pPr>
        <w:spacing w:before="120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1F201B"/>
          <w:sz w:val="24"/>
          <w:szCs w:val="24"/>
          <w:lang w:val="pl-PL" w:eastAsia="pl-PL"/>
        </w:rPr>
        <w:drawing>
          <wp:inline distT="0" distB="0" distL="0" distR="0">
            <wp:extent cx="3709250" cy="252000"/>
            <wp:effectExtent l="19050" t="0" r="5500" b="0"/>
            <wp:docPr id="63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5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>to terminy dualne, oznaczające odpowiednie relacje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405AED">
        <w:rPr>
          <w:rFonts w:ascii="Times New Roman" w:hAnsi="Times New Roman" w:cs="Times New Roman"/>
          <w:color w:val="1F201B"/>
          <w:sz w:val="24"/>
          <w:szCs w:val="24"/>
          <w:lang w:val="pl-PL"/>
        </w:rPr>
        <w:t>) lub pewne ich podrelacje,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zastępujemy zmienną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i definiujemy za pomocą schematu</w:t>
      </w:r>
    </w:p>
    <w:p w:rsidR="00405AED" w:rsidRDefault="00405AED" w:rsidP="00C10E42">
      <w:pPr>
        <w:spacing w:before="120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1F201B"/>
          <w:sz w:val="24"/>
          <w:szCs w:val="24"/>
          <w:lang w:val="pl-PL" w:eastAsia="pl-PL"/>
        </w:rPr>
        <w:drawing>
          <wp:inline distT="0" distB="0" distL="0" distR="0">
            <wp:extent cx="4936000" cy="612000"/>
            <wp:effectExtent l="19050" t="0" r="0" b="0"/>
            <wp:docPr id="65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00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00C" w:rsidRPr="00AC000C">
        <w:rPr>
          <w:rStyle w:val="Odwoanieprzypisudolnego"/>
          <w:rFonts w:ascii="Times New Roman" w:hAnsi="Times New Roman" w:cs="Times New Roman"/>
          <w:color w:val="FFFFFF" w:themeColor="background1"/>
          <w:sz w:val="24"/>
          <w:szCs w:val="24"/>
          <w:lang w:val="pl-PL"/>
        </w:rPr>
        <w:footnoteReference w:id="8"/>
      </w:r>
    </w:p>
    <w:p w:rsidR="00C10E42" w:rsidRPr="003C777D" w:rsidRDefault="00C10E42" w:rsidP="00405AED">
      <w:pPr>
        <w:spacing w:before="120"/>
        <w:ind w:firstLine="708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Relacja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zachodzi pomiędzy typami napisów wtedy i tylko wtedy, gdy typy te są takimi klasami abstrakcji równokształtnych napisów-egzemplarzy, między reprezentantami których zachodzi relacja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.</w:t>
      </w:r>
    </w:p>
    <w:p w:rsidR="00C10E42" w:rsidRPr="003C777D" w:rsidRDefault="00C10E42" w:rsidP="00897F94">
      <w:pPr>
        <w:spacing w:before="120"/>
        <w:ind w:firstLine="708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lastRenderedPageBreak/>
        <w:t xml:space="preserve">Pozostałym pojęciom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AC000C">
        <w:rPr>
          <w:rFonts w:ascii="Times New Roman" w:hAnsi="Times New Roman" w:cs="Times New Roman"/>
          <w:color w:val="1F201B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1F20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a więc relacji</w:t>
      </w:r>
      <w:r w:rsidR="00AC000C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</w:t>
      </w:r>
      <w:r w:rsidR="00AC000C" w:rsidRPr="00AC000C">
        <w:rPr>
          <w:rFonts w:ascii="Times New Roman" w:hAnsi="Times New Roman" w:cs="Times New Roman"/>
          <w:noProof/>
          <w:color w:val="1F201B"/>
          <w:sz w:val="24"/>
          <w:szCs w:val="24"/>
          <w:lang w:val="pl-PL" w:eastAsia="pl-PL"/>
        </w:rPr>
        <w:drawing>
          <wp:inline distT="0" distB="0" distL="0" distR="0">
            <wp:extent cx="175547" cy="180000"/>
            <wp:effectExtent l="19050" t="0" r="0" b="0"/>
            <wp:docPr id="42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, rodzinom kategorii syntaktycznych, odpowiednio:</w:t>
      </w:r>
      <w:r w:rsidRPr="00AC000C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AC000C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Ct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AC000C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Ct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AC000C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Ct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AC000C">
        <w:rPr>
          <w:rFonts w:ascii="Times New Roman" w:hAnsi="Times New Roman" w:cs="Times New Roman"/>
          <w:color w:val="1F201B"/>
          <w:sz w:val="24"/>
          <w:szCs w:val="24"/>
          <w:lang w:val="pl-PL"/>
        </w:rPr>
        <w:t>,</w:t>
      </w:r>
      <w:r w:rsidRPr="00AC000C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odpowiadają pojęcia dualne zdefiniowane definicjami dualnymi do definicji tych pojęć, a więc odpowiedno: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7,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8,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1F201B"/>
          <w:sz w:val="24"/>
          <w:szCs w:val="24"/>
          <w:lang w:val="pl-PL"/>
        </w:rPr>
        <w:t>9a - c.</w:t>
      </w:r>
    </w:p>
    <w:p w:rsidR="00C10E42" w:rsidRPr="003C777D" w:rsidRDefault="00C10E42" w:rsidP="00AC000C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Podobnie jak w [7], na podstawie aksjomatu i definicji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AC000C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oraz definicji o postaci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DCt</m:t>
            </m:r>
          </m:e>
          <m:sub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</m:t>
            </m:r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b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2</m:t>
        </m:r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dowodzimy, że</w:t>
      </w:r>
    </w:p>
    <w:p w:rsidR="00C10E42" w:rsidRPr="003C777D" w:rsidRDefault="00C10E42" w:rsidP="00C10E42">
      <w:pPr>
        <w:tabs>
          <w:tab w:val="right" w:pos="7362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Twierdzenie 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8452DA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>)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. Twierdzeniami teorii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8452DA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więc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 są wyrażenia: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2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3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5-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5-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7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8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9-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11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13,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14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13,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14,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2a - c i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>a-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3a -c,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16 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17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4 -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 oraz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10a - d.</w:t>
      </w:r>
    </w:p>
    <w:p w:rsidR="00C10E42" w:rsidRPr="003C777D" w:rsidRDefault="008452DA" w:rsidP="008452DA">
      <w:pPr>
        <w:tabs>
          <w:tab w:val="right" w:pos="-2410"/>
        </w:tabs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Wobec faktu, że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36563" cy="180000"/>
            <wp:effectExtent l="19050" t="0" r="0" b="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3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jest relacją identyczności i w sposób oczywisty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zachodzą wzory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color w:val="211F1B"/>
          <w:sz w:val="24"/>
          <w:szCs w:val="24"/>
          <w:lang w:val="pl-PL"/>
        </w:rPr>
        <w:t>1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- c,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12,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15, a definicjom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9a - c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C10E42"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odpowiadają definicje względem nich dualne, możemy stwierdzić:</w:t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Wniosek 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>)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 Każdy dualny odpowiednik aksjomatu i definicji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jest twierdzeniem bądź definicją teorii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8452DA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Stąd dalej wynika:</w:t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Wniosek </w:t>
      </w:r>
      <w:r w:rsidRP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>II</w:t>
      </w:r>
      <w:r w:rsidR="008452DA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>)</w:t>
      </w:r>
      <w:r w:rsidR="008452DA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="008452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Każdy dualny odpowiednik tezy (zdania uznanego)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jest tezą (zdaniem uznanym) teorii</w:t>
      </w:r>
      <w:r w:rsidR="00010629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010629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010629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można też sformułować kilka twierdzeń, które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sensu stricto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nie mają dualnych odpowiedników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.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Tak np. z twierdzeń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 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 wynika, że relacja konkatenacji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działaniem binarnym w zbiorze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.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Ponieważ twierdzeniem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11, funkcją jest relacja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.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Funkcjami i to różnowartościowymi są też relacje </w:t>
      </w:r>
      <w:r w:rsidR="00010629" w:rsidRPr="00010629">
        <w:rPr>
          <w:rFonts w:ascii="Times New Roman" w:hAnsi="Times New Roman" w:cs="Times New Roman"/>
          <w:color w:val="1F201B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010629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i</w:t>
      </w:r>
      <w:r w:rsidR="00010629" w:rsidRPr="00010629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010629">
        <w:rPr>
          <w:rFonts w:ascii="Times New Roman" w:hAnsi="Times New Roman" w:cs="Times New Roman"/>
          <w:color w:val="000000"/>
          <w:sz w:val="24"/>
          <w:szCs w:val="24"/>
          <w:lang w:val="pl-PL"/>
        </w:rPr>
        <w:t>;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jedno-jednoznaczność zapewniają twierdzenia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14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14.</w:t>
      </w:r>
    </w:p>
    <w:p w:rsidR="00C10E42" w:rsidRPr="003C777D" w:rsidRDefault="00C10E42" w:rsidP="00010629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Korzystając z faktu, że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funkcją i zastępując, jak to się zwykle czyni, wyrażenie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)</m:t>
        </m:r>
      </m:oMath>
      <w:r w:rsidR="00010629">
        <w:rPr>
          <w:rFonts w:ascii="Times New Roman" w:eastAsiaTheme="minorEastAsia" w:hAnsi="Times New Roman" w:cs="Times New Roman"/>
          <w:color w:val="211F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wyrażeniem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)</m:t>
        </m:r>
      </m:oMath>
      <w:r w:rsidRPr="00010629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gdzie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)</m:t>
        </m:r>
      </m:oMath>
      <w:r w:rsidR="00010629">
        <w:rPr>
          <w:rFonts w:ascii="Times New Roman" w:eastAsiaTheme="minorEastAsia" w:hAnsi="Times New Roman" w:cs="Times New Roman"/>
          <w:color w:val="211F1B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jest wartością funkcji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dla argumentu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możemy stwierdzić, że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twierdzenie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3b jest równoważne wyrażeniu</w:t>
      </w:r>
    </w:p>
    <w:p w:rsidR="00010629" w:rsidRPr="00010629" w:rsidRDefault="00010629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974501" cy="612000"/>
            <wp:effectExtent l="19050" t="0" r="0" b="0"/>
            <wp:docPr id="6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01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010629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 dowodzie równoważności tych wyrażeń korzysta się ponadto z faktu, że</w:t>
      </w:r>
      <w:r w:rsidR="00010629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k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S⊆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oraz, że</w:t>
      </w:r>
      <w:r w:rsidRPr="00010629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color w:val="1B1B15"/>
                    <w:sz w:val="24"/>
                    <w:szCs w:val="24"/>
                    <w:lang w:val="pl-PL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1B1B15"/>
                    <w:sz w:val="24"/>
                    <w:szCs w:val="24"/>
                    <w:lang w:val="pl-PL"/>
                  </w:rPr>
                  <m:t>ϱ</m:t>
                </m:r>
              </m:e>
              <m:sub>
                <m:r>
                  <w:rPr>
                    <w:rFonts w:ascii="Cambria Math" w:hAnsi="Cambria Math" w:cs="Times New Roman"/>
                    <w:color w:val="1B1B15"/>
                    <w:sz w:val="24"/>
                    <w:szCs w:val="24"/>
                    <w:lang w:val="pl-PL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color w:val="1B1B15"/>
                    <w:sz w:val="24"/>
                    <w:szCs w:val="24"/>
                    <w:lang w:val="pl-PL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)⊆D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010629" w:rsidRPr="00010629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010629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(twierdzenie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13).</w:t>
      </w:r>
    </w:p>
    <w:p w:rsidR="00C10E42" w:rsidRPr="003C777D" w:rsidRDefault="00C10E42" w:rsidP="00CB7594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Stąd, że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funkcją, że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⊆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Pr="00CB759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sSubSup>
              <m:sSubSupPr>
                <m:ctrlPr>
                  <w:rPr>
                    <w:rFonts w:ascii="Cambria Math" w:hAnsi="Cambria Math" w:cs="Times New Roman"/>
                    <w:i/>
                    <w:color w:val="1B1B15"/>
                    <w:sz w:val="24"/>
                    <w:szCs w:val="24"/>
                    <w:lang w:val="pl-PL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1B1B15"/>
                    <w:sz w:val="24"/>
                    <w:szCs w:val="24"/>
                    <w:lang w:val="pl-PL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1B1B15"/>
                    <w:sz w:val="24"/>
                    <w:szCs w:val="24"/>
                    <w:lang w:val="pl-PL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color w:val="1B1B15"/>
                    <w:sz w:val="24"/>
                    <w:szCs w:val="24"/>
                    <w:lang w:val="pl-PL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⊆D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CB7594" w:rsidRPr="00CB7594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(twierdzenie dualne do W8a), wykazujemy, że następujące wyrażenia są twierdzeniami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jako odpowiednio równoważne mogą zastąpić twierdzenia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4 -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6 tej teorii:</w:t>
      </w:r>
    </w:p>
    <w:p w:rsidR="00CB7594" w:rsidRDefault="00CB7594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2785264" cy="828000"/>
            <wp:effectExtent l="19050" t="0" r="0" b="0"/>
            <wp:docPr id="6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64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CB7594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Sposób odczytania twierdzeń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3b, (i), (ii), (iii) nie różni się, odpowiednio, od sposobu odczytania wyrażeń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3b,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4 -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6.</w:t>
      </w:r>
    </w:p>
    <w:p w:rsidR="00C10E42" w:rsidRPr="003C777D" w:rsidRDefault="00C10E42" w:rsidP="00C10E42">
      <w:pPr>
        <w:spacing w:before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III. FORMALNA 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— </w:t>
      </w:r>
      <w:r w:rsidRPr="003C777D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PODEJŚCIE PLATONIZUJĄCE</w:t>
      </w:r>
    </w:p>
    <w:p w:rsidR="00C10E42" w:rsidRPr="003C777D" w:rsidRDefault="00C10E42" w:rsidP="00CB7594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B7594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>W</w:t>
      </w:r>
      <w:r w:rsidRPr="003C777D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zakłada się, że typy będące tworami językowymi rozumianymi jako klasy egzemplarzy, będące zatem abstrakcyjnymi obiektami, mają byt niezależny, obiektywny i są pierwotne w stosunku do egzemplarzy.</w:t>
      </w:r>
    </w:p>
    <w:p w:rsidR="00C10E42" w:rsidRPr="003C777D" w:rsidRDefault="00C10E42" w:rsidP="00CB7594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Pojęciami pierwotnymi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następujące pojęcia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): zbiór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wszystkich typów napisów, słownik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prostych typów słów, słownik pomocniczy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V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pomocniczych typów słów, </w:t>
      </w:r>
      <w:proofErr w:type="spellStart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ternarna</w:t>
      </w:r>
      <w:proofErr w:type="spellEnd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relacja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konkatenacji, będąca dwuargumentowym działaniem w zbiorze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binarna relacja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wskazywania indeksów typów słów, będąca funkcją, oraz binarne relacje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CB7594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i</w:t>
      </w:r>
      <w:r w:rsidR="00CB7594" w:rsidRPr="00010629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CB7594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odpowiednio: tworzenia złożonych </w:t>
      </w:r>
      <w:proofErr w:type="spellStart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funktorialnych</w:t>
      </w:r>
      <w:proofErr w:type="spellEnd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typów wyrażeń i tworzenia funktorowych indeksów typów słów; obie te relacje są funkcjami.</w:t>
      </w:r>
    </w:p>
    <w:p w:rsidR="00C10E42" w:rsidRPr="003C777D" w:rsidRDefault="00C10E42" w:rsidP="00CB7594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Pozostałe pojęcia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), z wyjątkiem relacji </w:t>
      </w:r>
      <w:r w:rsidR="00CB7594" w:rsidRPr="00CB7594"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36563" cy="180000"/>
            <wp:effectExtent l="1905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3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594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identyczności, są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definiowane. Definiowane są w niej też pewne pomocnicze pojęcia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typów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oraz wszystkie pojęcia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konkretów,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czyli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).</w:t>
      </w:r>
    </w:p>
    <w:p w:rsidR="00C10E42" w:rsidRPr="003C777D" w:rsidRDefault="00C10E42" w:rsidP="00C10E42">
      <w:pPr>
        <w:spacing w:before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I. SZCZEBEL TYPÓW; 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</w:p>
    <w:p w:rsidR="00C10E42" w:rsidRPr="003C777D" w:rsidRDefault="00C10E42" w:rsidP="0066784C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ustala się znaczenie wszystkich pojęć pierwotnych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wszystkich pozostałych pojęć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z wyjątkiem relacji </w:t>
      </w:r>
      <w:r w:rsidR="0066784C" w:rsidRPr="0066784C"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36563" cy="180000"/>
            <wp:effectExtent l="1905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3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84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Znaczenie tych pojęć ustalają aksjomaty i definicje, które są bądź podstawieniami podanych w p.I.2. schematów, przy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1=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2 i x = 1,2 bądź są równoważne z tak powstającymi wyrażeniami.</w:t>
      </w:r>
    </w:p>
    <w:p w:rsidR="00C10E42" w:rsidRPr="003C777D" w:rsidRDefault="00C10E42" w:rsidP="0066784C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to: aksjomaty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5 -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5 -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definicje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1, aksjomaty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9 -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11,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13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14 oraz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13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14, definicje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2a - c,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2a - c, definicje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3a, b' (zob.p.II.2) 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3c, aksjomaty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16 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17, definicje (i), (ii), (iii) (zob. p. II.2) oraz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7 -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10a - d.</w:t>
      </w:r>
    </w:p>
    <w:p w:rsidR="00C10E42" w:rsidRPr="003C777D" w:rsidRDefault="00C10E42" w:rsidP="0066784C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Końcowe uwagi podane w części </w:t>
      </w:r>
      <w:r w:rsidR="0066784C">
        <w:rPr>
          <w:rFonts w:ascii="Times New Roman" w:hAnsi="Times New Roman" w:cs="Times New Roman"/>
          <w:color w:val="000000"/>
          <w:sz w:val="24"/>
          <w:szCs w:val="24"/>
          <w:lang w:val="pl-PL"/>
        </w:rPr>
        <w:t>II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.2. prowadzą do stwierdzenia, że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słuszne są twierdzenia głoszące, iż relacje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66784C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i</w:t>
      </w:r>
      <w:r w:rsidR="0066784C" w:rsidRPr="00010629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66784C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funkcjami. Fakt, że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e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funkcją pozwała zamiast indukcyjnej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3a,b zbioru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211F1B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 xml:space="preserve"> </m:t>
                </m:r>
              </m:e>
              <m:sup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>n</m:t>
                </m:r>
              </m:sup>
            </m:s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S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przyjmować równoważną definicję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3a,b', a za definicje pojęć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B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F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</m:t>
            </m:r>
          </m:e>
          <m:sub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ξ2</m:t>
            </m:r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czyli wyrażenia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 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6, przyjmować odpowiednio równoważne wyrażenia (i), (ii) oraz (iii).</w:t>
      </w:r>
    </w:p>
    <w:p w:rsidR="00C10E42" w:rsidRPr="003C777D" w:rsidRDefault="00C10E42" w:rsidP="00A1004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prawdziwe są oczywiście dualne (odpowiednio do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="00A10041">
        <w:rPr>
          <w:rFonts w:ascii="Times New Roman" w:hAnsi="Times New Roman" w:cs="Times New Roman"/>
          <w:color w:val="000000"/>
          <w:sz w:val="24"/>
          <w:szCs w:val="24"/>
          <w:lang w:val="pl-PL"/>
        </w:rPr>
        <w:t>1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- c,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12,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15) wyrażenia: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1a - c,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12 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15.</w:t>
      </w:r>
    </w:p>
    <w:p w:rsidR="00C10E42" w:rsidRPr="003C777D" w:rsidRDefault="00C10E42" w:rsidP="00A1004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Dobierając zatem w podany wyżej sposób aksjomaty i definicje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możemy uzyskać:</w:t>
      </w:r>
    </w:p>
    <w:p w:rsidR="00C10E42" w:rsidRPr="003C777D" w:rsidRDefault="00C10E42" w:rsidP="00C10E42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Twierdzenie </w:t>
      </w:r>
      <w:r w:rsidRPr="00A10041">
        <w:rPr>
          <w:rFonts w:ascii="Times New Roman" w:hAnsi="Times New Roman" w:cs="Times New Roman"/>
          <w:color w:val="000000"/>
          <w:sz w:val="24"/>
          <w:szCs w:val="24"/>
          <w:lang w:val="pl-PL"/>
        </w:rPr>
        <w:t>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A10041">
        <w:rPr>
          <w:rFonts w:ascii="Times New Roman" w:hAnsi="Times New Roman" w:cs="Times New Roman"/>
          <w:color w:val="000000"/>
          <w:sz w:val="24"/>
          <w:szCs w:val="24"/>
          <w:lang w:val="pl-PL"/>
        </w:rPr>
        <w:t>).</w:t>
      </w:r>
      <w:r w:rsidRPr="003C777D"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Każda teza (zdanie uznane)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bądź jest dualnym odpowiednikiem tezy (zdania uznanego)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bądź daje się przetłumaczyć na dualny odpowiednik takiej tezy (zdania uznanego). Ponadto, każdy dualny odpowiednik tezy (zdania uznanego)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tezą (zdaniem uznanym)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A10041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 teoretycznego, syntaktycznego punktu widzenia ujmowanie teorii języka jako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języka wyrażeń-egzemplarzy czy jako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języka typów wyrażeń jest zatem bez wpływu na zasób twierdzeń dotyczących omawianych tu języków kategorialnych.</w:t>
      </w:r>
    </w:p>
    <w:p w:rsidR="00C10E42" w:rsidRPr="003C777D" w:rsidRDefault="00C10E42" w:rsidP="00A10041">
      <w:pPr>
        <w:spacing w:before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2. SZCZEBEL KONKRETÓW; 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</w:p>
    <w:p w:rsidR="00C10E42" w:rsidRPr="003C777D" w:rsidRDefault="00C10E42" w:rsidP="00A10041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definicyjnym rozszerzeniem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2+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powstałej z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A10041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przez wzbogacenie jej o dwa następujące aksjomaty oddające intuicje, jakie wiążemy z typami napisów:</w:t>
      </w:r>
    </w:p>
    <w:p w:rsidR="00A10041" w:rsidRDefault="00A10041" w:rsidP="00C10E42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lastRenderedPageBreak/>
        <w:drawing>
          <wp:inline distT="0" distB="0" distL="0" distR="0">
            <wp:extent cx="2369180" cy="576000"/>
            <wp:effectExtent l="19050" t="0" r="0" b="0"/>
            <wp:docPr id="7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0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A10041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myśl aksjomatu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+1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typy napisów (zob. umowy w p.I.2) są niepustymi zbiorami; w myśl aksjomatu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+2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typy napisów są równe, gdy posiadają wspólny element.</w:t>
      </w:r>
    </w:p>
    <w:p w:rsidR="00C10E42" w:rsidRPr="003C777D" w:rsidRDefault="00C10E42" w:rsidP="00A1004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Elementy typu napisu są napisami-egzemplarzami. Wynika to z następującej definicji zbioru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A10041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należącej do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:</w:t>
      </w:r>
    </w:p>
    <w:p w:rsidR="00A10041" w:rsidRDefault="00A10041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452014" cy="396000"/>
            <wp:effectExtent l="19050" t="0" r="0" b="0"/>
            <wp:docPr id="7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14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A10041" w:rsidP="00A1004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Definicjami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definicje wszystkich pojęć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konkretów,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czyli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wszystkich pojęć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i pewnych pojęć pomocniczych tego poziomu. </w:t>
      </w:r>
    </w:p>
    <w:p w:rsidR="00C10E42" w:rsidRPr="003C777D" w:rsidRDefault="00C10E42" w:rsidP="00A10041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Definicja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DLb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podpada pod ogólny schemat przyjmowanych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definicji terminów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(zob.p.II.2) oznaczających podzbiory zbioru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Lb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="00A10041">
        <w:rPr>
          <w:rFonts w:ascii="Times New Roman" w:eastAsiaTheme="minorEastAsia" w:hAnsi="Times New Roman" w:cs="Times New Roman"/>
          <w:color w:val="211F1B"/>
          <w:sz w:val="24"/>
          <w:szCs w:val="24"/>
          <w:lang w:val="pl-PL"/>
        </w:rPr>
        <w:t>:</w:t>
      </w:r>
    </w:p>
    <w:p w:rsidR="00A10041" w:rsidRDefault="00A10041" w:rsidP="00A10041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187973" cy="360000"/>
            <wp:effectExtent l="19050" t="0" r="0" b="0"/>
            <wp:docPr id="7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73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A1004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Zmienna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reprezentuje tu terminy dualne do terminów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).</w:t>
      </w:r>
    </w:p>
    <w:p w:rsidR="00C10E42" w:rsidRPr="003C777D" w:rsidRDefault="00C10E42" w:rsidP="00A10041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Zbiór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więc zbiorem takich napisów-egzemplarzy, które są elementarni jakichś typów napisów zbioru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dualnego do zbioru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Z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FC310D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pojęcie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Ct</m:t>
            </m:r>
          </m:e>
          <m:sub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ξ1</m:t>
            </m:r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kategorii syntaktycznej wyrażeń-egzemplarzy o indeksie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zdefiniowane wzorem</w:t>
      </w:r>
    </w:p>
    <w:p w:rsidR="00FC310D" w:rsidRDefault="00FC310D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970694" cy="432000"/>
            <wp:effectExtent l="19050" t="0" r="0" b="0"/>
            <wp:docPr id="7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94" cy="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</w:p>
    <w:p w:rsidR="00C10E42" w:rsidRPr="003C777D" w:rsidRDefault="00C10E42" w:rsidP="00FC310D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Podstawowe dla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pojęcie pierwotne relacji </w:t>
      </w:r>
      <w:r w:rsidR="00FC310D" w:rsidRPr="00FC310D"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28539" cy="144000"/>
            <wp:effectExtent l="19050" t="0" r="4811" b="0"/>
            <wp:docPr id="7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9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równokształtności definiuje się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FC310D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wzorem</w:t>
      </w:r>
    </w:p>
    <w:p w:rsidR="00FC310D" w:rsidRDefault="00FC310D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3550610" cy="396000"/>
            <wp:effectExtent l="19050" t="0" r="0" b="0"/>
            <wp:docPr id="79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10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FC310D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Dwa napisy-egzemplarze są więc równokształtne wtedy i tylko wtedy, gdy należą do jakiegoś (tego samego) typu napisu.</w:t>
      </w:r>
    </w:p>
    <w:p w:rsidR="00C10E42" w:rsidRPr="003C777D" w:rsidRDefault="00C10E42" w:rsidP="00FC310D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Definicję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D</m:t>
        </m:r>
        <m:r>
          <w:rPr>
            <w:rFonts w:ascii="Cambria Math" w:hAnsi="Cambria Math" w:cs="Times New Roman"/>
            <w:i/>
            <w:noProof/>
            <w:color w:val="000000"/>
            <w:sz w:val="24"/>
            <w:szCs w:val="24"/>
            <w:lang w:val="pl-PL" w:eastAsia="pl-PL"/>
          </w:rPr>
          <w:drawing>
            <wp:inline distT="0" distB="0" distL="0" distR="0">
              <wp:extent cx="128539" cy="144000"/>
              <wp:effectExtent l="19050" t="0" r="4811" b="0"/>
              <wp:docPr id="84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8539" cy="14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można podciągnąć pod następujący ogólny schemat definiujący inne relacje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konkretów,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mianowicie relacje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(zob.p.II.2). Relacje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definiowane za pomocą relacji dualnych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.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Mamy więc:</w:t>
      </w:r>
    </w:p>
    <w:p w:rsidR="00FC310D" w:rsidRDefault="00FC310D" w:rsidP="00C10E42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613881" cy="612000"/>
            <wp:effectExtent l="19050" t="0" r="0" b="0"/>
            <wp:docPr id="8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81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42" w:rsidRPr="003C777D" w:rsidRDefault="00C10E42" w:rsidP="00FC310D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Zgodnie z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relacja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między napisami-egzemplarzami zachodzi wtedy i tylko wtedy, gdy między stosownymi typami napisów, do których należą te napisy-egzemplarze zachodzi relacja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R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FC310D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 xml:space="preserve">Pozostałe pojęcia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konkretów,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tj. relacja </w:t>
      </w:r>
      <w:r w:rsidR="00FC310D" w:rsidRPr="00FC310D"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75547" cy="180000"/>
            <wp:effectExtent l="19050" t="0" r="0" b="0"/>
            <wp:docPr id="8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oraz rodziny: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Ct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FC310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Ct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(S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FC310D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Ct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FC310D" w:rsidRPr="003C777D">
        <w:rPr>
          <w:rFonts w:ascii="Times New Roman" w:hAnsi="Times New Roman" w:cs="Times New Roman"/>
          <w:color w:val="211F1B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Ct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pl-PL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(F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)</m:t>
        </m:r>
      </m:oMath>
      <w:r w:rsidR="00FC310D">
        <w:rPr>
          <w:rFonts w:ascii="Times New Roman" w:hAnsi="Times New Roman" w:cs="Times New Roman"/>
          <w:color w:val="1F201B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definiowane są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tak, jak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FC310D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czyli definicjami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9a - c, odpowiednio.</w:t>
      </w:r>
    </w:p>
    <w:p w:rsidR="00C10E42" w:rsidRPr="003C777D" w:rsidRDefault="00C10E42" w:rsidP="002411DA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Na podstawie aksjomatów i definicji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2+</m:t>
            </m:r>
          </m:sup>
        </m:sSubSup>
      </m:oMath>
      <w:r w:rsidRPr="003C777D"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oraz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2411DA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DCt</m:t>
            </m:r>
          </m:e>
          <m:sub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ξ1</m:t>
            </m:r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bSup>
      </m:oMath>
      <w:r w:rsidR="002411DA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="002411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D</m:t>
        </m:r>
        <m:r>
          <w:rPr>
            <w:rFonts w:ascii="Cambria Math" w:hAnsi="Cambria Math" w:cs="Times New Roman"/>
            <w:i/>
            <w:noProof/>
            <w:color w:val="000000"/>
            <w:sz w:val="24"/>
            <w:szCs w:val="24"/>
            <w:lang w:val="pl-PL" w:eastAsia="pl-PL"/>
          </w:rPr>
          <w:drawing>
            <wp:inline distT="0" distB="0" distL="0" distR="0">
              <wp:extent cx="128539" cy="144000"/>
              <wp:effectExtent l="19050" t="0" r="4811" b="0"/>
              <wp:docPr id="86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8539" cy="14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="002411DA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2411D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dowodzimy, że twierdzeniami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2411DA">
        <w:rPr>
          <w:rFonts w:ascii="Times New Roman" w:eastAsiaTheme="minorEastAsia" w:hAnsi="Times New Roman" w:cs="Times New Roman"/>
          <w:color w:val="1B1B15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wszystkie aksjomaty i definicje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z wyjątkiem 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9a </w:t>
      </w:r>
      <w:r w:rsidR="002411DA">
        <w:rPr>
          <w:rFonts w:ascii="Times New Roman" w:hAnsi="Times New Roman" w:cs="Times New Roman"/>
          <w:color w:val="000000"/>
          <w:sz w:val="24"/>
          <w:szCs w:val="24"/>
          <w:lang w:val="pl-PL"/>
        </w:rPr>
        <w:t>– c,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które w obu teoriach są takie same.</w:t>
      </w:r>
    </w:p>
    <w:p w:rsidR="00C10E42" w:rsidRPr="003C777D" w:rsidRDefault="00C10E42" w:rsidP="00463FD6">
      <w:pPr>
        <w:spacing w:before="120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To, że twierdzeniami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aksjomaty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="002411DA">
        <w:rPr>
          <w:rFonts w:ascii="Times New Roman" w:hAnsi="Times New Roman" w:cs="Times New Roman"/>
          <w:color w:val="000000"/>
          <w:sz w:val="24"/>
          <w:szCs w:val="24"/>
          <w:lang w:val="pl-PL"/>
        </w:rPr>
        <w:t>1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</w:t>
      </w:r>
      <w:r w:rsidR="00463FD6">
        <w:rPr>
          <w:rFonts w:ascii="Times New Roman" w:hAnsi="Times New Roman" w:cs="Times New Roman"/>
          <w:color w:val="000000"/>
          <w:sz w:val="24"/>
          <w:szCs w:val="24"/>
          <w:lang w:val="pl-PL"/>
        </w:rPr>
        <w:t>-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c</w:t>
      </w:r>
      <w:r w:rsidR="00463FD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–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5 -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definicja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aksjomat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 tej teorii, zostało szczegółowo wykazane w [9]. Twierdzeniami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oczywiście odpowiedniki wyrażeń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5 -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 dotyczące słów pomocniczych, czyli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5 -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D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8. Nie nastręczają też większych trudności dowody pozostałych aksjomatów i definicji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różnych od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7,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 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9a - c. W dowodach wyrażeń zanotowanych przy użyciu relacji równokształtności </w:t>
      </w:r>
      <w:r w:rsidR="00463FD6" w:rsidRPr="00463FD6"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128539" cy="144000"/>
            <wp:effectExtent l="19050" t="0" r="4811" b="0"/>
            <wp:docPr id="8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9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wygodnie jest posłużyć się następującym wnioskiem z definicji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D</m:t>
        </m:r>
        <m:r>
          <w:rPr>
            <w:rFonts w:ascii="Cambria Math" w:hAnsi="Cambria Math" w:cs="Times New Roman"/>
            <w:i/>
            <w:noProof/>
            <w:color w:val="000000"/>
            <w:sz w:val="24"/>
            <w:szCs w:val="24"/>
            <w:lang w:val="pl-PL" w:eastAsia="pl-PL"/>
          </w:rPr>
          <w:drawing>
            <wp:inline distT="0" distB="0" distL="0" distR="0">
              <wp:extent cx="128539" cy="144000"/>
              <wp:effectExtent l="19050" t="0" r="4811" b="0"/>
              <wp:docPr id="89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8539" cy="14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aksjomatu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+</m:t>
            </m:r>
          </m:sup>
        </m:sSup>
        <m:r>
          <w:rPr>
            <w:rFonts w:ascii="Cambria Math" w:hAnsi="Cambria Math" w:cs="Times New Roman"/>
            <w:color w:val="211F1B"/>
            <w:sz w:val="24"/>
            <w:szCs w:val="24"/>
            <w:lang w:val="pl-PL"/>
          </w:rPr>
          <m:t>2</m:t>
        </m:r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: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∈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∧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i/>
            <w:noProof/>
            <w:color w:val="000000"/>
            <w:sz w:val="24"/>
            <w:szCs w:val="24"/>
            <w:lang w:val="pl-PL" w:eastAsia="pl-PL"/>
          </w:rPr>
          <w:drawing>
            <wp:inline distT="0" distB="0" distL="0" distR="0">
              <wp:extent cx="128539" cy="144000"/>
              <wp:effectExtent l="19050" t="0" r="4811" b="0"/>
              <wp:docPr id="90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8539" cy="14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⇒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∈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="00463FD6" w:rsidRPr="00463FD6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="00463FD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 myśl którego napis równokształtny z napisem-egzemplarzem należącym do danego typu napisu też do niego należy.</w:t>
      </w:r>
    </w:p>
    <w:p w:rsidR="00C10E42" w:rsidRPr="003C777D" w:rsidRDefault="00C10E42" w:rsidP="00463FD6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Prawdziwe jest zatem:</w:t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Twierdzenie II(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). Twierdzeniami lub definicjami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a tym samym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463FD6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wszystkie aksjomaty i definicje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463FD6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463FD6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Z powyższego twierdzenia wynika:</w:t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Wniosek 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). Każda teza (zdanie uznane)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jest tezą (zdaniem uznanym)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tym samym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C10E42">
      <w:pPr>
        <w:spacing w:before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IV. METALOGICZNE I FILOZOFICZNE KONSEKWENCJE</w:t>
      </w:r>
    </w:p>
    <w:p w:rsidR="00C10E42" w:rsidRPr="003C777D" w:rsidRDefault="00C10E42" w:rsidP="00930AC0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Dwa dualistyczne podejścia do dwuaspektowej formalizacji języka, zaprezentowane w części II i III, nasuwają pytanie dotyczące wzajemnych związków pomiędzy teoriami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oraz opisywanymi przez nie pojęciami.</w:t>
      </w:r>
    </w:p>
    <w:p w:rsidR="00C10E42" w:rsidRPr="003C777D" w:rsidRDefault="00C10E42" w:rsidP="00930AC0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Zgodnie z twierdzeniem II</w:t>
      </w:r>
      <w:r w:rsid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>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  <m:r>
          <w:rPr>
            <w:rFonts w:ascii="Cambria Math" w:hAnsi="Cambria Math" w:cs="Times New Roman"/>
            <w:color w:val="1B1B15"/>
            <w:sz w:val="24"/>
            <w:szCs w:val="24"/>
            <w:lang w:val="pl-PL"/>
          </w:rPr>
          <m:t>)</m:t>
        </m:r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można ugruntować aksjomatykę i wszystkie definicje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zatem wszystkie pojęcia układu (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), ogólniej: wszystkie pojęcia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konkretów,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definiowalne.</w:t>
      </w:r>
    </w:p>
    <w:p w:rsidR="00C10E42" w:rsidRPr="003C777D" w:rsidRDefault="00C10E42" w:rsidP="00930AC0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I odwrotnie. Ponieważ, zgodnie z twierdzeniem 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i końcowymi rozważaniami części </w:t>
      </w:r>
      <w:r w:rsid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>ii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.2. dotyczącymi równoważności wyrażeń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3b 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3</w:t>
      </w:r>
      <w:r w:rsid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>b’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4 i (i),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5 i (ii) oraz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 i (iii), aksjomatykę i wszystkie definicje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można .ugruntować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>, w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szystkie pojęcia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typów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definiowalne'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 teorii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930AC0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Na zakończenie możemy sformułować następujące wnioski:</w:t>
      </w:r>
    </w:p>
    <w:p w:rsidR="00C10E42" w:rsidRPr="003C777D" w:rsidRDefault="00C10E42" w:rsidP="00930AC0">
      <w:pPr>
        <w:spacing w:before="120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(1) </w:t>
      </w:r>
      <w:r w:rsid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Układ pojęć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konkretów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(język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oraz układ pojęć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typów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(język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) są syntaktycznie wzajemnie definiowalne.</w:t>
      </w:r>
    </w:p>
    <w:p w:rsidR="00C10E42" w:rsidRPr="003C777D" w:rsidRDefault="00C10E42" w:rsidP="00930AC0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Wzajemna definiowalność pojęć, o których mowa w (1) jest możliwa dzięki temu, że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na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poziomie konkretów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przyjmuje się definicje zbiorów i relacji tego poziomu, a mianowicie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930AC0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DCt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color w:val="211F1B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>ξ</m:t>
                </m:r>
              </m:e>
              <m:sup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>1</m:t>
                </m:r>
              </m:sup>
            </m:sSup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bSup>
      </m:oMath>
      <w:r w:rsidR="00930AC0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="00930AC0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D</m:t>
        </m:r>
        <m:r>
          <w:rPr>
            <w:rFonts w:ascii="Cambria Math" w:hAnsi="Cambria Math" w:cs="Times New Roman"/>
            <w:i/>
            <w:noProof/>
            <w:color w:val="000000"/>
            <w:sz w:val="24"/>
            <w:szCs w:val="24"/>
            <w:lang w:val="pl-PL" w:eastAsia="pl-PL"/>
          </w:rPr>
          <w:drawing>
            <wp:inline distT="0" distB="0" distL="0" distR="0">
              <wp:extent cx="128539" cy="144000"/>
              <wp:effectExtent l="19050" t="0" r="4811" b="0"/>
              <wp:docPr id="91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8539" cy="14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="00930AC0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557E8B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zaś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na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poziomie typów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557E8B">
        <w:rPr>
          <w:rFonts w:ascii="Times New Roman" w:hAnsi="Times New Roman" w:cs="Times New Roman"/>
          <w:color w:val="000000"/>
          <w:sz w:val="24"/>
          <w:szCs w:val="24"/>
          <w:lang w:val="pl-PL"/>
        </w:rPr>
        <w:t>)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wprowadza się definicje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="00557E8B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DCt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color w:val="211F1B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>ξ</m:t>
                </m:r>
              </m:e>
              <m:sup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>2</m:t>
                </m:r>
              </m:sup>
            </m:sSup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bSup>
      </m:oMath>
      <w:r w:rsidR="00557E8B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="00557E8B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="00557E8B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zbiorów i relacji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poziomu typów.</w:t>
      </w:r>
    </w:p>
    <w:p w:rsidR="00C10E42" w:rsidRDefault="00C10E42" w:rsidP="00557E8B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 xml:space="preserve">Można wykazać, że definicje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="00557E8B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DCt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color w:val="211F1B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>ξ</m:t>
                </m:r>
              </m:e>
              <m:sup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>2</m:t>
                </m:r>
              </m:sup>
            </m:sSup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bSup>
      </m:oMath>
      <w:r w:rsidR="00557E8B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="00557E8B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="00557E8B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są twierdzeniami</w:t>
      </w:r>
      <w:r w:rsidR="00557E8B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="00557E8B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557E8B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bookmarkStart w:id="0" w:name="_GoBack"/>
      <w:bookmarkEnd w:id="0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), zaś definicje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DZ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557E8B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DCt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color w:val="211F1B"/>
                    <w:sz w:val="24"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>ξ</m:t>
                </m:r>
              </m:e>
              <m:sup>
                <m:r>
                  <w:rPr>
                    <w:rFonts w:ascii="Cambria Math" w:hAnsi="Cambria Math" w:cs="Times New Roman"/>
                    <w:color w:val="211F1B"/>
                    <w:sz w:val="24"/>
                    <w:szCs w:val="24"/>
                    <w:lang w:val="pl-PL"/>
                  </w:rPr>
                  <m:t>1</m:t>
                </m:r>
              </m:sup>
            </m:sSup>
          </m:sub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bSup>
      </m:oMath>
      <w:r w:rsidR="00557E8B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="00557E8B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pl-PL"/>
          </w:rPr>
          <m:t>D</m:t>
        </m:r>
        <m:r>
          <w:rPr>
            <w:rFonts w:ascii="Cambria Math" w:hAnsi="Cambria Math" w:cs="Times New Roman"/>
            <w:i/>
            <w:noProof/>
            <w:color w:val="000000"/>
            <w:sz w:val="24"/>
            <w:szCs w:val="24"/>
            <w:lang w:val="pl-PL" w:eastAsia="pl-PL"/>
          </w:rPr>
          <w:drawing>
            <wp:inline distT="0" distB="0" distL="0" distR="0">
              <wp:extent cx="128539" cy="144000"/>
              <wp:effectExtent l="19050" t="0" r="4811" b="0"/>
              <wp:docPr id="93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8539" cy="14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="00557E8B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DR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="00557E8B">
        <w:rPr>
          <w:rFonts w:ascii="Times New Roman" w:eastAsiaTheme="minorEastAsia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twierdzeniami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557E8B">
        <w:rPr>
          <w:rFonts w:ascii="Times New Roman" w:hAnsi="Times New Roman" w:cs="Times New Roman"/>
          <w:color w:val="000000"/>
          <w:sz w:val="24"/>
          <w:szCs w:val="24"/>
          <w:lang w:val="pl-PL"/>
        </w:rPr>
        <w:t>)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 Ten ostatni fakt jest oparty między innymi na tym, że w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zachodzą twierdzenia:</w:t>
      </w:r>
    </w:p>
    <w:p w:rsidR="00557E8B" w:rsidRPr="003C777D" w:rsidRDefault="00956766" w:rsidP="00557E8B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pl-PL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1</m:t>
              </m:r>
            </m:sup>
          </m:sSup>
          <m:r>
            <w:rPr>
              <w:rFonts w:ascii="Cambria Math" w:hAnsi="Cambria Math" w:cs="Times New Roman"/>
              <w:color w:val="000000"/>
              <w:sz w:val="24"/>
              <w:szCs w:val="24"/>
              <w:lang w:val="pl-PL"/>
            </w:rPr>
            <m:t>∈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pl-PL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1</m:t>
              </m:r>
            </m:sup>
          </m:sSup>
          <m:r>
            <w:rPr>
              <w:rFonts w:ascii="Cambria Math" w:hAnsi="Cambria Math" w:cs="Times New Roman"/>
              <w:color w:val="000000"/>
              <w:sz w:val="24"/>
              <w:szCs w:val="24"/>
              <w:lang w:val="pl-PL"/>
            </w:rPr>
            <m:t>∧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pl-PL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1</m:t>
              </m:r>
            </m:sup>
          </m:sSup>
          <m:r>
            <w:rPr>
              <w:rFonts w:ascii="Cambria Math" w:hAnsi="Cambria Math" w:cs="Times New Roman"/>
              <w:i/>
              <w:noProof/>
              <w:color w:val="000000"/>
              <w:sz w:val="24"/>
              <w:szCs w:val="24"/>
              <w:lang w:val="pl-PL" w:eastAsia="pl-PL"/>
            </w:rPr>
            <w:drawing>
              <wp:inline distT="0" distB="0" distL="0" distR="0">
                <wp:extent cx="128539" cy="144000"/>
                <wp:effectExtent l="19050" t="0" r="4811" b="0"/>
                <wp:docPr id="94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39" cy="1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pl-PL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1</m:t>
              </m:r>
            </m:sup>
          </m:sSup>
          <m:r>
            <w:rPr>
              <w:rFonts w:ascii="Cambria Math" w:hAnsi="Cambria Math" w:cs="Times New Roman"/>
              <w:color w:val="000000"/>
              <w:sz w:val="24"/>
              <w:szCs w:val="24"/>
              <w:lang w:val="pl-PL"/>
            </w:rPr>
            <m:t>⇒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pl-PL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1</m:t>
              </m:r>
            </m:sup>
          </m:sSup>
          <m:r>
            <w:rPr>
              <w:rFonts w:ascii="Cambria Math" w:hAnsi="Cambria Math" w:cs="Times New Roman"/>
              <w:color w:val="000000"/>
              <w:sz w:val="24"/>
              <w:szCs w:val="24"/>
              <w:lang w:val="pl-PL"/>
            </w:rPr>
            <m:t>∈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pl-PL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pl-PL"/>
                </w:rPr>
                <m:t>1</m:t>
              </m:r>
            </m:sup>
          </m:sSup>
        </m:oMath>
      </m:oMathPara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(zob. umowy o zmiennych w p.</w:t>
      </w:r>
      <w:r w:rsidR="00557E8B">
        <w:rPr>
          <w:rFonts w:ascii="Times New Roman" w:hAnsi="Times New Roman" w:cs="Times New Roman"/>
          <w:color w:val="000000"/>
          <w:sz w:val="24"/>
          <w:szCs w:val="24"/>
          <w:lang w:val="pl-PL"/>
        </w:rPr>
        <w:t>I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.2, oraz aksjomaty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6, twierdzenia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 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6, twierdzenia</w:t>
      </w:r>
      <w:r w:rsidR="00557E8B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6a i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6a,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8a-c,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b>
        </m:sSub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8a-c, T11 i T14a,b) oraz</w:t>
      </w:r>
    </w:p>
    <w:p w:rsidR="00557E8B" w:rsidRDefault="00557E8B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pl-PL" w:eastAsia="pl-PL"/>
        </w:rPr>
        <w:drawing>
          <wp:inline distT="0" distB="0" distL="0" distR="0">
            <wp:extent cx="4571018" cy="396000"/>
            <wp:effectExtent l="19050" t="0" r="982" b="0"/>
            <wp:docPr id="95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18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(zob. twierdzenie T2, aksjomaty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1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12,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15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A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15, twierdzenie T17).</w:t>
      </w:r>
    </w:p>
    <w:p w:rsidR="00C10E42" w:rsidRPr="003C777D" w:rsidRDefault="00C10E42" w:rsidP="00557E8B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Zauważmy ponadto, że twierdzeniami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92338E">
        <w:rPr>
          <w:rFonts w:ascii="Times New Roman" w:hAnsi="Times New Roman" w:cs="Times New Roman"/>
          <w:color w:val="000000"/>
          <w:sz w:val="24"/>
          <w:szCs w:val="24"/>
          <w:lang w:val="pl-PL"/>
        </w:rPr>
        <w:t>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="0092338E">
        <w:rPr>
          <w:rFonts w:ascii="Times New Roman" w:hAnsi="Times New Roman" w:cs="Times New Roman"/>
          <w:color w:val="000000"/>
          <w:sz w:val="24"/>
          <w:szCs w:val="24"/>
          <w:lang w:val="pl-PL"/>
        </w:rPr>
        <w:t>)</w:t>
      </w:r>
      <w:r w:rsidRPr="0092338E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oba dołączone do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2+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aksjomaty: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+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+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2. Wynikają one bezpośrednio z umowy o zmiennych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p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92338E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q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92338E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definicji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DLb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własności klas abstrakcji.</w:t>
      </w:r>
    </w:p>
    <w:p w:rsidR="00C10E42" w:rsidRPr="003C777D" w:rsidRDefault="00C10E42" w:rsidP="0092338E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Rozważania tej części pracy prowadzą zatem nie tylko do stwierdzenia, że na gruncie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="0092338E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równoważne są definicje zbiorów</w:t>
      </w:r>
      <w:r w:rsidRPr="003C777D">
        <w:rPr>
          <w:rFonts w:ascii="Times New Roman" w:hAnsi="Times New Roman" w:cs="Times New Roman"/>
          <w:color w:val="5A462D"/>
          <w:sz w:val="24"/>
          <w:szCs w:val="24"/>
          <w:lang w:val="pl-PL"/>
        </w:rPr>
        <w:t xml:space="preserve"> i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relacji obu poziomów, lecz również do stwierdzenia równoważności obu teorii. Twierdzeniami lub definicjami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bowiem wszystkie aksjomaty i definicje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(twierdzenie II(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)), a nadto wszystkie definicje teorii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natomiast twierdzeniami bądź definicjami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są wszystkie aksjomaty i definicje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(twierdzenie 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), twierdzenia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D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3b</w:t>
      </w:r>
      <w:r w:rsid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>’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(i) - (iii)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aksjomaty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+</m:t>
            </m:r>
          </m:sup>
        </m:sSup>
      </m:oMath>
      <w:r w:rsidR="00E51CAC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1 i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pl-PL"/>
              </w:rPr>
              <m:t>+</m:t>
            </m:r>
          </m:sup>
        </m:sSup>
      </m:oMath>
      <w:r w:rsidR="00E51CAC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2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2+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oraz wszystkie definicje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C10E42" w:rsidRPr="003C777D" w:rsidRDefault="00C10E42" w:rsidP="00E51CAC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Tak więc w konsekwencji mamy:</w:t>
      </w:r>
    </w:p>
    <w:p w:rsidR="00C10E42" w:rsidRPr="003C777D" w:rsidRDefault="00E51CAC" w:rsidP="00E51CAC">
      <w:pPr>
        <w:tabs>
          <w:tab w:val="decimal" w:pos="-2410"/>
        </w:tabs>
        <w:spacing w:before="120"/>
        <w:ind w:left="-9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2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są równoważne.</w:t>
      </w:r>
    </w:p>
    <w:p w:rsidR="00C10E42" w:rsidRPr="003C777D" w:rsidRDefault="00C10E42" w:rsidP="00E51CAC">
      <w:pPr>
        <w:spacing w:before="120"/>
        <w:ind w:firstLine="70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Teorie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="00E51CAC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="00E51CAC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z punktu widzenia ontologii języka reprezentują dwa różne podejścia do składni języka. Tak więc możemy jednocześnie skonstatować:</w:t>
      </w:r>
    </w:p>
    <w:p w:rsidR="00C10E42" w:rsidRPr="003C777D" w:rsidRDefault="00E51CAC" w:rsidP="00E51CAC">
      <w:pPr>
        <w:tabs>
          <w:tab w:val="decimal" w:pos="-2410"/>
        </w:tabs>
        <w:spacing w:before="120"/>
        <w:ind w:left="709" w:hanging="71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3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Dwa dualne podejścia do składni języka reprezentowane przez teorie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są równoważne.</w:t>
      </w:r>
    </w:p>
    <w:p w:rsidR="00C10E42" w:rsidRPr="003C777D" w:rsidRDefault="00C10E42" w:rsidP="00E51CAC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Nadto, istnieje całkowita analogia pomiędzy pojęciami syntaktycznymi dotyczącymi języków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1</m:t>
            </m:r>
          </m:sup>
        </m:sSup>
      </m:oMath>
      <w:r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</w:t>
      </w:r>
      <m:oMath>
        <m:sSup>
          <m:sSupPr>
            <m:ctrlPr>
              <w:rPr>
                <w:rFonts w:ascii="Cambria Math" w:hAnsi="Cambria Math" w:cs="Times New Roman"/>
                <w:i/>
                <w:color w:val="211F1B"/>
                <w:sz w:val="24"/>
                <w:szCs w:val="24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211F1B"/>
                <w:sz w:val="24"/>
                <w:szCs w:val="24"/>
                <w:lang w:val="pl-PL"/>
              </w:rPr>
              <m:t>2</m:t>
            </m:r>
          </m:sup>
        </m:sSup>
      </m:oMath>
      <w:r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Zgodnie z wnioskiem </w:t>
      </w:r>
      <w:r w:rsid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>II</w:t>
      </w:r>
      <w:r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>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>)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każda własność przysługująca egzemplarzom (teoria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="00E51CAC"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>)</w:t>
      </w:r>
      <w:r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daje się przełożyć na własność przysługującą typom jako klasom abstrakcji równokształtnych egzemplarzy (teoria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>)</w:t>
      </w:r>
      <w:r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I odwrotnie. Zgodnie z twierdzeniem 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) i wnioskiem I(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)</w:t>
      </w:r>
      <w:r w:rsid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każda własność przysługująca typom (teoria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2</m:t>
            </m:r>
          </m:sup>
        </m:sSubSup>
      </m:oMath>
      <w:r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daje się przełożyć na własność przysługującą egzemplarzom (teoria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p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1</m:t>
            </m:r>
          </m:sup>
        </m:sSubSup>
      </m:oMath>
      <w:r w:rsidRPr="00E51CAC">
        <w:rPr>
          <w:rFonts w:ascii="Times New Roman" w:hAnsi="Times New Roman" w:cs="Times New Roman"/>
          <w:color w:val="000000"/>
          <w:sz w:val="24"/>
          <w:szCs w:val="24"/>
          <w:lang w:val="pl-PL"/>
        </w:rPr>
        <w:t>).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Formalizując jednak syntaktycznie język w postaci teorii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24"/>
                <w:szCs w:val="24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T</m:t>
            </m:r>
          </m:e>
          <m:sub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k</m:t>
            </m:r>
          </m:sub>
          <m:sup>
            <m:r>
              <w:rPr>
                <w:rFonts w:ascii="Cambria Math" w:hAnsi="Cambria Math" w:cs="Times New Roman"/>
                <w:color w:val="1B1B15"/>
                <w:sz w:val="24"/>
                <w:szCs w:val="24"/>
                <w:lang w:val="pl-PL"/>
              </w:rPr>
              <m:t>l</m:t>
            </m:r>
          </m:sup>
        </m:sSubSup>
      </m:oMath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 nie tylko nie zubożamy zasobu twierdzeń dotyczących składni języków kategorialnych, lecz także potrafimy się obejść bez postulowania istnienia bytów idealnych, jakimi są typy napisów, słów, wyrażeń, rozumiane jako klasy egzemplarzy.</w:t>
      </w:r>
    </w:p>
    <w:p w:rsidR="00C10E42" w:rsidRPr="003C777D" w:rsidRDefault="00C10E42" w:rsidP="00E51CAC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Przedstawiona argumentacja przemawia zatem na rzecz następującej filozoficznej konkluzji:</w:t>
      </w:r>
    </w:p>
    <w:p w:rsidR="00C10E42" w:rsidRPr="003C777D" w:rsidRDefault="00E51CAC" w:rsidP="00E51CAC">
      <w:pPr>
        <w:tabs>
          <w:tab w:val="decimal" w:pos="-2410"/>
        </w:tabs>
        <w:spacing w:before="120"/>
        <w:ind w:left="709" w:hanging="715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4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 dociekaniach syntaktycznych nad językiem można uniknąć założeń o istnieniu idealnych tworów językowych pojmowanych jako klasy równokształtnych egzemplarzy.</w:t>
      </w:r>
    </w:p>
    <w:p w:rsidR="00C10E42" w:rsidRPr="003C777D" w:rsidRDefault="00C10E42" w:rsidP="00CF0458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 rozważaniach syntaktycznych nad językiem wystarczy zatem zakładać tylko istnienie określonych obiektów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poziomu konkretów,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 języki typów wyrażeń, wyrażeń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>abstrakcyjnych, traktować jako zastępcze dogodne postacie języków wyrażeń-egzemplarzy, wyrażeń-konkretów.</w:t>
      </w:r>
    </w:p>
    <w:p w:rsidR="00C10E42" w:rsidRPr="003C777D" w:rsidRDefault="00C10E42" w:rsidP="00CF0458">
      <w:pPr>
        <w:spacing w:before="12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Przedstawione tu badania i ich konsekwencje dotyczyły prostych języków kategorialnych, języków wyrażeń (zob.</w:t>
      </w:r>
      <w:r w:rsidR="00CF0458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p.I.</w:t>
      </w:r>
      <w:r w:rsidR="00CF0458">
        <w:rPr>
          <w:rFonts w:ascii="Times New Roman" w:hAnsi="Times New Roman" w:cs="Times New Roman"/>
          <w:color w:val="000000"/>
          <w:sz w:val="24"/>
          <w:szCs w:val="24"/>
          <w:lang w:val="pl-PL"/>
        </w:rPr>
        <w:t>1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) nie zawierających operatorów wiążących zmienne. Wszystkie -</w:t>
      </w:r>
      <w:proofErr w:type="spellStart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formalnologiczne</w:t>
      </w:r>
      <w:proofErr w:type="spellEnd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 filozoficzne dociekania mogą być jednak uogólnione tak, by dotyczyły one również języków wyrażeń zawierających operatory wiążące zmienne.</w:t>
      </w: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BIBLIOGRAFIA</w:t>
      </w:r>
    </w:p>
    <w:p w:rsidR="00C10E42" w:rsidRPr="00C76FB5" w:rsidRDefault="00C10E42" w:rsidP="00CF0458">
      <w:pPr>
        <w:numPr>
          <w:ilvl w:val="0"/>
          <w:numId w:val="5"/>
        </w:numPr>
        <w:tabs>
          <w:tab w:val="clear" w:pos="288"/>
          <w:tab w:val="decimal" w:pos="360"/>
          <w:tab w:val="left" w:pos="4590"/>
        </w:tabs>
        <w:spacing w:before="120"/>
        <w:ind w:left="284" w:hanging="288"/>
        <w:rPr>
          <w:rFonts w:ascii="Times New Roman" w:hAnsi="Times New Roman" w:cs="Times New Roman"/>
          <w:color w:val="000000"/>
          <w:sz w:val="24"/>
          <w:szCs w:val="24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K. Ajdukiewicz, </w:t>
      </w:r>
      <w:proofErr w:type="spellStart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Die</w:t>
      </w:r>
      <w:proofErr w:type="spellEnd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proofErr w:type="spellStart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syntaktische</w:t>
      </w:r>
      <w:proofErr w:type="spellEnd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proofErr w:type="spellStart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Konnexit</w:t>
      </w:r>
      <w:r w:rsidR="00CF0458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ä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t</w:t>
      </w:r>
      <w:proofErr w:type="spellEnd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„Studia </w:t>
      </w:r>
      <w:proofErr w:type="spellStart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Philosophica</w:t>
      </w:r>
      <w:proofErr w:type="spellEnd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", </w:t>
      </w:r>
      <w:proofErr w:type="spellStart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Leopoli</w:t>
      </w:r>
      <w:proofErr w:type="spellEnd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 vol. 1 (1935), 1</w:t>
      </w:r>
      <w:r w:rsidR="00CF0458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-</w:t>
      </w:r>
      <w:r w:rsidR="00CF0458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27. Przekład polski: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O spójności syntaktycznej </w:t>
      </w:r>
      <w:r w:rsidRPr="00CF0458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[w:]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Język i poznanie,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t. </w:t>
      </w:r>
      <w:r w:rsidRPr="003C777D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I,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Warszawa 1960, s. 222</w:t>
      </w:r>
      <w:r w:rsidR="00CF0458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-</w:t>
      </w:r>
      <w:r w:rsidR="00CF0458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242. </w:t>
      </w:r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English translation: </w:t>
      </w:r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>Syntactic connection</w:t>
      </w:r>
      <w:r w:rsidR="00CF0458"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 [in:]</w:t>
      </w:r>
      <w:r w:rsidR="00CF0458"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Polish Logic </w:t>
      </w:r>
      <w:r w:rsidRPr="00C76FB5">
        <w:rPr>
          <w:rFonts w:ascii="Times New Roman" w:hAnsi="Times New Roman" w:cs="Times New Roman"/>
          <w:color w:val="000000"/>
          <w:sz w:val="24"/>
          <w:szCs w:val="24"/>
        </w:rPr>
        <w:t>(ed. S. McCall), Oxford 1967, s. 207 - 231.</w:t>
      </w:r>
    </w:p>
    <w:p w:rsidR="00C10E42" w:rsidRPr="00C76FB5" w:rsidRDefault="00C10E42" w:rsidP="00CF0458">
      <w:pPr>
        <w:numPr>
          <w:ilvl w:val="0"/>
          <w:numId w:val="5"/>
        </w:numPr>
        <w:tabs>
          <w:tab w:val="clear" w:pos="288"/>
          <w:tab w:val="decimal" w:pos="360"/>
        </w:tabs>
        <w:spacing w:before="120"/>
        <w:ind w:left="284" w:hanging="288"/>
        <w:rPr>
          <w:rFonts w:ascii="Times New Roman" w:hAnsi="Times New Roman" w:cs="Times New Roman"/>
          <w:color w:val="000000"/>
          <w:sz w:val="24"/>
          <w:szCs w:val="24"/>
        </w:rPr>
      </w:pPr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T. </w:t>
      </w:r>
      <w:proofErr w:type="spellStart"/>
      <w:r w:rsidRPr="00C76FB5">
        <w:rPr>
          <w:rFonts w:ascii="Times New Roman" w:hAnsi="Times New Roman" w:cs="Times New Roman"/>
          <w:color w:val="000000"/>
          <w:sz w:val="24"/>
          <w:szCs w:val="24"/>
        </w:rPr>
        <w:t>Batog</w:t>
      </w:r>
      <w:proofErr w:type="spellEnd"/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The Axiomatic Method in Phonology, </w:t>
      </w:r>
      <w:proofErr w:type="spellStart"/>
      <w:r w:rsidRPr="00C76FB5">
        <w:rPr>
          <w:rFonts w:ascii="Times New Roman" w:hAnsi="Times New Roman" w:cs="Times New Roman"/>
          <w:color w:val="000000"/>
          <w:sz w:val="24"/>
          <w:szCs w:val="24"/>
        </w:rPr>
        <w:t>Routlege</w:t>
      </w:r>
      <w:proofErr w:type="spellEnd"/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 and Kegan Paul LTD, London 1967.</w:t>
      </w:r>
    </w:p>
    <w:p w:rsidR="00C10E42" w:rsidRPr="003C777D" w:rsidRDefault="00C10E42" w:rsidP="00CF0458">
      <w:pPr>
        <w:numPr>
          <w:ilvl w:val="0"/>
          <w:numId w:val="5"/>
        </w:numPr>
        <w:tabs>
          <w:tab w:val="clear" w:pos="288"/>
          <w:tab w:val="decimal" w:pos="360"/>
        </w:tabs>
        <w:spacing w:before="120"/>
        <w:ind w:left="284" w:hanging="28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W. Buszkowski, </w:t>
      </w:r>
      <w:proofErr w:type="spellStart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Lambek's</w:t>
      </w:r>
      <w:proofErr w:type="spellEnd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proofErr w:type="spellStart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Categorial</w:t>
      </w:r>
      <w:proofErr w:type="spellEnd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proofErr w:type="spellStart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Grammars</w:t>
      </w:r>
      <w:proofErr w:type="spellEnd"/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,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Adam Mickiewicz University, Poznań 1982.</w:t>
      </w:r>
    </w:p>
    <w:p w:rsidR="00C10E42" w:rsidRPr="003C777D" w:rsidRDefault="00C76FB5" w:rsidP="00CF0458">
      <w:pPr>
        <w:numPr>
          <w:ilvl w:val="0"/>
          <w:numId w:val="5"/>
        </w:numPr>
        <w:tabs>
          <w:tab w:val="clear" w:pos="288"/>
          <w:tab w:val="decimal" w:pos="360"/>
        </w:tabs>
        <w:spacing w:before="120"/>
        <w:ind w:left="284" w:hanging="28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W. Bu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szkowski, Cykl wykładów nt. </w:t>
      </w:r>
      <w:r w:rsidR="00C10E42"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Logiczne modele </w:t>
      </w:r>
      <w:proofErr w:type="spellStart"/>
      <w:r w:rsidR="00C10E42"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funktorialnej</w:t>
      </w:r>
      <w:proofErr w:type="spellEnd"/>
      <w:r w:rsidR="00C10E42"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analizy języka, 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VIII Szkoła Logiki zorganizowana przez Instytut Filozofii i Socjologii PAN, Nieborów 1985.</w:t>
      </w:r>
    </w:p>
    <w:p w:rsidR="00C10E42" w:rsidRPr="003C777D" w:rsidRDefault="00C10E42" w:rsidP="00CF0458">
      <w:pPr>
        <w:numPr>
          <w:ilvl w:val="0"/>
          <w:numId w:val="5"/>
        </w:numPr>
        <w:tabs>
          <w:tab w:val="clear" w:pos="288"/>
          <w:tab w:val="decimal" w:pos="360"/>
        </w:tabs>
        <w:spacing w:before="120"/>
        <w:ind w:left="284" w:hanging="288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W. </w:t>
      </w:r>
      <w:proofErr w:type="spellStart"/>
      <w:r w:rsidRPr="00C76FB5">
        <w:rPr>
          <w:rFonts w:ascii="Times New Roman" w:hAnsi="Times New Roman" w:cs="Times New Roman"/>
          <w:color w:val="000000"/>
          <w:sz w:val="24"/>
          <w:szCs w:val="24"/>
        </w:rPr>
        <w:t>Buszkowski</w:t>
      </w:r>
      <w:proofErr w:type="spellEnd"/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Algebraic Models of </w:t>
      </w:r>
      <w:proofErr w:type="spellStart"/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>Categorial</w:t>
      </w:r>
      <w:proofErr w:type="spellEnd"/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Grammars </w:t>
      </w:r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[in:] </w:t>
      </w:r>
      <w:proofErr w:type="spellStart"/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>Fundations</w:t>
      </w:r>
      <w:proofErr w:type="spellEnd"/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of Logic and Linguistics: Problems and Their Solutions </w:t>
      </w:r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(eds.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G. Dom, P. </w:t>
      </w:r>
      <w:proofErr w:type="spellStart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Weingaotner</w:t>
      </w:r>
      <w:proofErr w:type="spellEnd"/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), Plenum, New York-London 1985, s. 403 - 426.</w:t>
      </w:r>
    </w:p>
    <w:p w:rsidR="00C10E42" w:rsidRPr="00C76FB5" w:rsidRDefault="00C10E42" w:rsidP="00CF0458">
      <w:pPr>
        <w:numPr>
          <w:ilvl w:val="0"/>
          <w:numId w:val="5"/>
        </w:numPr>
        <w:tabs>
          <w:tab w:val="clear" w:pos="288"/>
          <w:tab w:val="decimal" w:pos="360"/>
        </w:tabs>
        <w:spacing w:before="120"/>
        <w:ind w:left="284" w:hanging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A. Tarski, 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Pojęcie prawdy w językach nauk dedukcyjnych</w:t>
      </w:r>
      <w:r w:rsidRPr="00CF0458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Prace Towarzystwa Naukowego Warszawskiego, Warszawa 1933. </w:t>
      </w:r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English translation: </w:t>
      </w:r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The Concept of Truth in Formalized Languages </w:t>
      </w:r>
      <w:r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[in:] </w:t>
      </w:r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Logic, Semantics, </w:t>
      </w:r>
      <w:proofErr w:type="spellStart"/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>Metamathematics</w:t>
      </w:r>
      <w:proofErr w:type="spellEnd"/>
      <w:r w:rsidRPr="00C76F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C76FB5">
        <w:rPr>
          <w:rFonts w:ascii="Times New Roman" w:hAnsi="Times New Roman" w:cs="Times New Roman"/>
          <w:color w:val="000000"/>
          <w:sz w:val="24"/>
          <w:szCs w:val="24"/>
        </w:rPr>
        <w:t>Oxford 1956.</w:t>
      </w:r>
    </w:p>
    <w:p w:rsidR="00C10E42" w:rsidRPr="00C76FB5" w:rsidRDefault="00CF0458" w:rsidP="00CF0458">
      <w:pPr>
        <w:numPr>
          <w:ilvl w:val="0"/>
          <w:numId w:val="5"/>
        </w:numPr>
        <w:tabs>
          <w:tab w:val="clear" w:pos="288"/>
          <w:tab w:val="decimal" w:pos="360"/>
        </w:tabs>
        <w:spacing w:before="120"/>
        <w:ind w:left="284" w:hanging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U. 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Wybraniec-</w:t>
      </w:r>
      <w:proofErr w:type="spellStart"/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Skardowska</w:t>
      </w:r>
      <w:proofErr w:type="spellEnd"/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w:r w:rsidR="00C10E42"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Teorie języków syntaktycznie kategorialnych, 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PWN, Warszawa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-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Wrocław 1985. </w:t>
      </w:r>
      <w:r w:rsidR="00C10E42"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English translation: </w:t>
      </w:r>
      <w:r w:rsidR="00C10E42"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Theory of </w:t>
      </w:r>
      <w:proofErr w:type="spellStart"/>
      <w:r w:rsidR="00C10E42" w:rsidRPr="00C76FB5">
        <w:rPr>
          <w:rFonts w:ascii="Times New Roman" w:hAnsi="Times New Roman" w:cs="Times New Roman"/>
          <w:i/>
          <w:color w:val="000000"/>
          <w:sz w:val="24"/>
          <w:szCs w:val="24"/>
        </w:rPr>
        <w:t>Syntactially</w:t>
      </w:r>
      <w:proofErr w:type="spellEnd"/>
      <w:r w:rsidR="00C10E42"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C10E42" w:rsidRPr="00C76FB5">
        <w:rPr>
          <w:rFonts w:ascii="Times New Roman" w:hAnsi="Times New Roman" w:cs="Times New Roman"/>
          <w:i/>
          <w:color w:val="000000"/>
          <w:sz w:val="24"/>
          <w:szCs w:val="24"/>
        </w:rPr>
        <w:t>Categorial</w:t>
      </w:r>
      <w:proofErr w:type="spellEnd"/>
      <w:r w:rsidR="00C10E42"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Languages </w:t>
      </w:r>
      <w:r w:rsidR="00C10E42"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(to appear in </w:t>
      </w:r>
      <w:proofErr w:type="spellStart"/>
      <w:r w:rsidR="00C10E42" w:rsidRPr="00C76FB5">
        <w:rPr>
          <w:rFonts w:ascii="Times New Roman" w:hAnsi="Times New Roman" w:cs="Times New Roman"/>
          <w:color w:val="000000"/>
          <w:sz w:val="24"/>
          <w:szCs w:val="24"/>
        </w:rPr>
        <w:t>Nijhoff</w:t>
      </w:r>
      <w:proofErr w:type="spellEnd"/>
      <w:r w:rsidR="00C10E42"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 International Philosophy Series, Logic and Applying Logic).</w:t>
      </w:r>
    </w:p>
    <w:p w:rsidR="00C10E42" w:rsidRPr="00C76FB5" w:rsidRDefault="00CF0458" w:rsidP="00CF0458">
      <w:pPr>
        <w:numPr>
          <w:ilvl w:val="0"/>
          <w:numId w:val="5"/>
        </w:numPr>
        <w:tabs>
          <w:tab w:val="clear" w:pos="288"/>
          <w:tab w:val="decimal" w:pos="360"/>
        </w:tabs>
        <w:spacing w:before="120"/>
        <w:ind w:left="284" w:hanging="288"/>
        <w:rPr>
          <w:rFonts w:ascii="Times New Roman" w:hAnsi="Times New Roman" w:cs="Times New Roman"/>
          <w:color w:val="000000"/>
          <w:sz w:val="24"/>
          <w:szCs w:val="24"/>
        </w:rPr>
      </w:pPr>
      <w:r w:rsidRPr="00C76FB5">
        <w:rPr>
          <w:rFonts w:ascii="Times New Roman" w:hAnsi="Times New Roman" w:cs="Times New Roman"/>
          <w:color w:val="000000"/>
          <w:sz w:val="24"/>
          <w:szCs w:val="24"/>
        </w:rPr>
        <w:t>U. </w:t>
      </w:r>
      <w:proofErr w:type="spellStart"/>
      <w:r w:rsidR="00C10E42" w:rsidRPr="00C76FB5">
        <w:rPr>
          <w:rFonts w:ascii="Times New Roman" w:hAnsi="Times New Roman" w:cs="Times New Roman"/>
          <w:color w:val="000000"/>
          <w:sz w:val="24"/>
          <w:szCs w:val="24"/>
        </w:rPr>
        <w:t>Wybraniec-Skardowska</w:t>
      </w:r>
      <w:proofErr w:type="spellEnd"/>
      <w:r w:rsidR="00C10E42" w:rsidRPr="00C76F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10E42" w:rsidRPr="00C76F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On the Type-Token Relationships, </w:t>
      </w:r>
      <w:r w:rsidR="00C10E42" w:rsidRPr="00C76FB5">
        <w:rPr>
          <w:rFonts w:ascii="Times New Roman" w:hAnsi="Times New Roman" w:cs="Times New Roman"/>
          <w:color w:val="000000"/>
          <w:sz w:val="24"/>
          <w:szCs w:val="24"/>
        </w:rPr>
        <w:t>„Bulletin of the Section of Logic</w:t>
      </w:r>
      <w:r w:rsidRPr="00C76FB5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C10E42" w:rsidRPr="00C76FB5">
        <w:rPr>
          <w:rFonts w:ascii="Times New Roman" w:hAnsi="Times New Roman" w:cs="Times New Roman"/>
          <w:color w:val="000000"/>
          <w:sz w:val="24"/>
          <w:szCs w:val="24"/>
        </w:rPr>
        <w:t>, vol. 15, no 4 (1986), s. 164- 171.</w:t>
      </w:r>
    </w:p>
    <w:p w:rsidR="00C10E42" w:rsidRPr="003C777D" w:rsidRDefault="00CF0458" w:rsidP="00CF0458">
      <w:pPr>
        <w:numPr>
          <w:ilvl w:val="0"/>
          <w:numId w:val="5"/>
        </w:numPr>
        <w:tabs>
          <w:tab w:val="clear" w:pos="288"/>
          <w:tab w:val="decimal" w:pos="360"/>
        </w:tabs>
        <w:spacing w:before="120"/>
        <w:ind w:left="284" w:hanging="288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U. 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Wybraniec-</w:t>
      </w:r>
      <w:proofErr w:type="spellStart"/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Skardowska</w:t>
      </w:r>
      <w:proofErr w:type="spellEnd"/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w:r w:rsidR="00C10E42"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O dwóch podejściach do formalizacji teorii napisów</w:t>
      </w:r>
      <w:r w:rsidR="00C10E42" w:rsidRPr="00CF0458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="00C10E42" w:rsidRPr="003C777D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 xml:space="preserve"> 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„Zeszyty Naukowe </w:t>
      </w:r>
      <w:proofErr w:type="spellStart"/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Wyższ</w:t>
      </w:r>
      <w:proofErr w:type="spellEnd"/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. Szkoły </w:t>
      </w:r>
      <w:proofErr w:type="spellStart"/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Pedag</w:t>
      </w:r>
      <w:proofErr w:type="spellEnd"/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. w Opolu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”</w:t>
      </w:r>
      <w:r w:rsidR="00C10E42" w:rsidRPr="003C777D">
        <w:rPr>
          <w:rFonts w:ascii="Times New Roman" w:hAnsi="Times New Roman" w:cs="Times New Roman"/>
          <w:color w:val="000000"/>
          <w:sz w:val="24"/>
          <w:szCs w:val="24"/>
          <w:lang w:val="pl-PL"/>
        </w:rPr>
        <w:t>, Matematyka XXVIII (1988) (w druku).</w:t>
      </w:r>
    </w:p>
    <w:p w:rsidR="00C10E42" w:rsidRPr="003C777D" w:rsidRDefault="00C10E42" w:rsidP="00C10E42">
      <w:pPr>
        <w:spacing w:before="120"/>
        <w:jc w:val="both"/>
        <w:rPr>
          <w:rFonts w:ascii="Times New Roman" w:hAnsi="Times New Roman" w:cs="Times New Roman"/>
          <w:color w:val="1F201B"/>
          <w:sz w:val="24"/>
          <w:szCs w:val="24"/>
          <w:lang w:val="pl-PL"/>
        </w:rPr>
      </w:pPr>
    </w:p>
    <w:p w:rsidR="00C10E42" w:rsidRPr="003C777D" w:rsidRDefault="00C10E42" w:rsidP="00C10E42">
      <w:pPr>
        <w:spacing w:before="120"/>
        <w:rPr>
          <w:rFonts w:ascii="Times New Roman" w:hAnsi="Times New Roman" w:cs="Times New Roman"/>
          <w:color w:val="211F1B"/>
          <w:sz w:val="24"/>
          <w:szCs w:val="24"/>
          <w:lang w:val="pl-PL"/>
        </w:rPr>
      </w:pPr>
    </w:p>
    <w:p w:rsidR="002105AA" w:rsidRPr="003E6574" w:rsidRDefault="002105AA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:rsidR="002105AA" w:rsidRPr="003E6574" w:rsidRDefault="002105AA" w:rsidP="00B60CFA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:rsidR="002105AA" w:rsidRPr="003E6574" w:rsidRDefault="002105AA" w:rsidP="00B60CFA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20ECD" w:rsidRPr="003E6574" w:rsidRDefault="00320ECD" w:rsidP="00B60CFA">
      <w:pPr>
        <w:spacing w:before="120"/>
        <w:rPr>
          <w:rFonts w:ascii="Times New Roman" w:hAnsi="Times New Roman" w:cs="Times New Roman"/>
          <w:sz w:val="24"/>
          <w:szCs w:val="24"/>
        </w:rPr>
      </w:pPr>
    </w:p>
    <w:sectPr w:rsidR="00320ECD" w:rsidRPr="003E6574" w:rsidSect="00320E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766" w:rsidRDefault="00956766" w:rsidP="002105AA">
      <w:r>
        <w:separator/>
      </w:r>
    </w:p>
  </w:endnote>
  <w:endnote w:type="continuationSeparator" w:id="0">
    <w:p w:rsidR="00956766" w:rsidRDefault="00956766" w:rsidP="00210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766" w:rsidRDefault="00956766" w:rsidP="002105AA">
      <w:r>
        <w:separator/>
      </w:r>
    </w:p>
  </w:footnote>
  <w:footnote w:type="continuationSeparator" w:id="0">
    <w:p w:rsidR="00956766" w:rsidRDefault="00956766" w:rsidP="002105AA">
      <w:r>
        <w:continuationSeparator/>
      </w:r>
    </w:p>
  </w:footnote>
  <w:footnote w:id="1">
    <w:p w:rsidR="00E51CAC" w:rsidRPr="0083179F" w:rsidRDefault="00E51CAC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C76FB5">
        <w:rPr>
          <w:lang w:val="pl-PL"/>
        </w:rPr>
        <w:t xml:space="preserve"> </w:t>
      </w:r>
      <w:r w:rsidRPr="0083179F">
        <w:rPr>
          <w:rFonts w:ascii="Times New Roman" w:hAnsi="Times New Roman"/>
          <w:color w:val="000000"/>
          <w:sz w:val="17"/>
          <w:lang w:val="pl-PL"/>
        </w:rPr>
        <w:t>Tu i dalej pomijamy kwestie dotyczące języków akustycznych. Logiczne podstawy takich języków, aksjomatyczną teorię fonologii prezentuje T. Batóg [2].</w:t>
      </w:r>
    </w:p>
  </w:footnote>
  <w:footnote w:id="2">
    <w:p w:rsidR="00E51CAC" w:rsidRPr="0083179F" w:rsidRDefault="00E51CAC">
      <w:pPr>
        <w:pStyle w:val="Tekstprzypisudolnego"/>
        <w:rPr>
          <w:lang w:val="pl-PL"/>
        </w:rPr>
      </w:pPr>
      <w:r w:rsidRPr="0083179F">
        <w:rPr>
          <w:rStyle w:val="Odwoanieprzypisudolnego"/>
        </w:rPr>
        <w:footnoteRef/>
      </w:r>
      <w:r w:rsidRPr="00C76FB5">
        <w:rPr>
          <w:lang w:val="pl-PL"/>
        </w:rPr>
        <w:t xml:space="preserve"> </w:t>
      </w:r>
      <w:r w:rsidRPr="0083179F">
        <w:rPr>
          <w:rFonts w:ascii="Times New Roman" w:hAnsi="Times New Roman"/>
          <w:color w:val="000000"/>
          <w:sz w:val="18"/>
          <w:lang w:val="pl-PL"/>
        </w:rPr>
        <w:t>Trzeba tu jednak wyraźnie zaznaczyć, że przez platonizm w teorii języka rozumie się na ogół przekonanie o niezbywalności sensów, tj. znaczeń nazw i sądów logicznych.</w:t>
      </w:r>
    </w:p>
  </w:footnote>
  <w:footnote w:id="3">
    <w:p w:rsidR="00E51CAC" w:rsidRPr="002105AA" w:rsidRDefault="00E51CAC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C76FB5">
        <w:rPr>
          <w:lang w:val="pl-PL"/>
        </w:rPr>
        <w:t xml:space="preserve"> </w:t>
      </w:r>
      <w:r w:rsidRPr="0083179F">
        <w:rPr>
          <w:rFonts w:ascii="Times New Roman" w:hAnsi="Times New Roman"/>
          <w:color w:val="000000"/>
          <w:sz w:val="18"/>
          <w:lang w:val="pl-PL"/>
        </w:rPr>
        <w:t>Gramatyki kategorialne służą do opisu lub odkrywania za pomocą indeksów struktur składniowych języka, w szczególności — do wyznaczania kategorii syntaktycznej zdań języka. Badania nad tymi konkurencyjnymi w stosunku do szeroko znanych</w:t>
      </w:r>
      <w:r>
        <w:rPr>
          <w:rFonts w:ascii="Times New Roman" w:hAnsi="Times New Roman"/>
          <w:color w:val="000000"/>
          <w:spacing w:val="2"/>
          <w:sz w:val="18"/>
          <w:lang w:val="pl-PL"/>
        </w:rPr>
        <w:t xml:space="preserve"> </w:t>
      </w:r>
      <w:r w:rsidRPr="0083179F">
        <w:rPr>
          <w:rFonts w:ascii="Times New Roman" w:hAnsi="Times New Roman"/>
          <w:color w:val="000000"/>
          <w:sz w:val="18"/>
          <w:lang w:val="pl-PL"/>
        </w:rPr>
        <w:t>gramatyk Chomsky'ego, gramatykami mają już bogatą literaturę. Przegląd najważniejszych rezultatów tych badań i wskazanie ich najważniejszych kierunków daje W. Buszkowski w [5] (zob. też [3]).</w:t>
      </w:r>
    </w:p>
  </w:footnote>
  <w:footnote w:id="4">
    <w:p w:rsidR="00E51CAC" w:rsidRPr="0083179F" w:rsidRDefault="00E51CAC">
      <w:pPr>
        <w:pStyle w:val="Tekstprzypisudolnego"/>
        <w:rPr>
          <w:lang w:val="pl-PL"/>
        </w:rPr>
      </w:pPr>
      <w:r w:rsidRPr="0083179F">
        <w:rPr>
          <w:rStyle w:val="Odwoanieprzypisudolnego"/>
        </w:rPr>
        <w:footnoteRef/>
      </w:r>
      <w:r w:rsidRPr="00C76FB5">
        <w:rPr>
          <w:lang w:val="pl-PL"/>
        </w:rPr>
        <w:t xml:space="preserve"> </w:t>
      </w:r>
      <w:r w:rsidRPr="0083179F">
        <w:rPr>
          <w:rFonts w:ascii="Times New Roman" w:hAnsi="Times New Roman"/>
          <w:color w:val="000000"/>
          <w:sz w:val="18"/>
          <w:lang w:val="pl-PL"/>
        </w:rPr>
        <w:t>Pojęcie konkatenacji leży u podstaw wielu formalnych modeli języka, np. gramatyk Chomsky'ego. Jego własności charakteryzują w pracy podane poniżej wyrażenia.</w:t>
      </w:r>
    </w:p>
  </w:footnote>
  <w:footnote w:id="5">
    <w:p w:rsidR="00E51CAC" w:rsidRPr="005E4959" w:rsidRDefault="00E51CAC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C76FB5">
        <w:rPr>
          <w:lang w:val="pl-PL"/>
        </w:rPr>
        <w:t xml:space="preserve"> </w:t>
      </w:r>
      <w:r w:rsidRPr="0083179F">
        <w:rPr>
          <w:rFonts w:ascii="Times New Roman" w:hAnsi="Times New Roman"/>
          <w:color w:val="000000"/>
          <w:sz w:val="17"/>
          <w:lang w:val="pl-PL"/>
        </w:rPr>
        <w:t>Por. regułę r w części I.1.</w:t>
      </w:r>
    </w:p>
  </w:footnote>
  <w:footnote w:id="6">
    <w:p w:rsidR="00E51CAC" w:rsidRPr="005E4959" w:rsidRDefault="00E51CAC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C76FB5">
        <w:rPr>
          <w:lang w:val="pl-PL"/>
        </w:rPr>
        <w:t xml:space="preserve"> </w:t>
      </w:r>
      <w:r w:rsidRPr="0083179F">
        <w:rPr>
          <w:rFonts w:ascii="Times New Roman" w:hAnsi="Times New Roman"/>
          <w:color w:val="1B1B15"/>
          <w:sz w:val="18"/>
          <w:lang w:val="pl-PL"/>
        </w:rPr>
        <w:t xml:space="preserve">Wprowadzając w dalszej części pracy pewne pojęcia pomocnicze, będące podzbiorami lub </w:t>
      </w:r>
      <w:proofErr w:type="spellStart"/>
      <w:r w:rsidRPr="0083179F">
        <w:rPr>
          <w:rFonts w:ascii="Times New Roman" w:hAnsi="Times New Roman"/>
          <w:color w:val="1B1B15"/>
          <w:sz w:val="18"/>
          <w:lang w:val="pl-PL"/>
        </w:rPr>
        <w:t>podrelacjami</w:t>
      </w:r>
      <w:proofErr w:type="spellEnd"/>
      <w:r w:rsidRPr="0083179F">
        <w:rPr>
          <w:rFonts w:ascii="Times New Roman" w:hAnsi="Times New Roman"/>
          <w:color w:val="1B1B15"/>
          <w:sz w:val="18"/>
          <w:lang w:val="pl-PL"/>
        </w:rPr>
        <w:t xml:space="preserve"> pojęć, odpowiednio, </w:t>
      </w:r>
      <w:r w:rsidRPr="0083179F">
        <w:rPr>
          <w:rFonts w:ascii="Times New Roman" w:hAnsi="Times New Roman"/>
          <w:color w:val="1B1B15"/>
          <w:sz w:val="18"/>
          <w:szCs w:val="18"/>
          <w:lang w:val="pl-PL"/>
        </w:rPr>
        <w:t xml:space="preserve">układów </w:t>
      </w:r>
      <w:r w:rsidRPr="0083179F">
        <w:rPr>
          <w:rFonts w:ascii="Times New Roman" w:hAnsi="Times New Roman" w:cs="Times New Roman"/>
          <w:color w:val="1B1B15"/>
          <w:sz w:val="18"/>
          <w:szCs w:val="18"/>
          <w:lang w:val="pl-PL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18"/>
                <w:szCs w:val="18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18"/>
                <w:szCs w:val="18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18"/>
                <w:szCs w:val="18"/>
                <w:lang w:val="pl-PL"/>
              </w:rPr>
              <m:t>1</m:t>
            </m:r>
          </m:sup>
        </m:sSup>
      </m:oMath>
      <w:r w:rsidRPr="0083179F">
        <w:rPr>
          <w:rFonts w:ascii="Times New Roman" w:hAnsi="Times New Roman" w:cs="Times New Roman"/>
          <w:color w:val="1B1B15"/>
          <w:sz w:val="18"/>
          <w:szCs w:val="18"/>
          <w:lang w:val="pl-PL"/>
        </w:rPr>
        <w:t>) i 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18"/>
                <w:szCs w:val="18"/>
                <w:lang w:val="pl-PL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18"/>
                <w:szCs w:val="18"/>
                <w:lang w:val="pl-PL"/>
              </w:rPr>
              <m:t>L</m:t>
            </m:r>
          </m:e>
          <m:sup>
            <m:r>
              <w:rPr>
                <w:rFonts w:ascii="Cambria Math" w:hAnsi="Cambria Math" w:cs="Times New Roman"/>
                <w:color w:val="000000"/>
                <w:sz w:val="18"/>
                <w:szCs w:val="18"/>
                <w:lang w:val="pl-PL"/>
              </w:rPr>
              <m:t>2</m:t>
            </m:r>
          </m:sup>
        </m:sSup>
      </m:oMath>
      <w:r w:rsidRPr="0083179F">
        <w:rPr>
          <w:rFonts w:ascii="Times New Roman" w:hAnsi="Times New Roman" w:cs="Times New Roman"/>
          <w:color w:val="1B1B15"/>
          <w:sz w:val="18"/>
          <w:szCs w:val="18"/>
          <w:lang w:val="pl-PL"/>
        </w:rPr>
        <w:t>)</w:t>
      </w:r>
      <w:r w:rsidRPr="0083179F">
        <w:rPr>
          <w:rFonts w:ascii="Times New Roman" w:hAnsi="Times New Roman"/>
          <w:color w:val="1B1B15"/>
          <w:sz w:val="18"/>
          <w:szCs w:val="18"/>
          <w:lang w:val="pl-PL"/>
        </w:rPr>
        <w:t>, rozszerzamy</w:t>
      </w:r>
      <w:r w:rsidRPr="0083179F">
        <w:rPr>
          <w:rFonts w:ascii="Times New Roman" w:hAnsi="Times New Roman"/>
          <w:color w:val="1B1B15"/>
          <w:sz w:val="18"/>
          <w:lang w:val="pl-PL"/>
        </w:rPr>
        <w:t xml:space="preserve"> w naturalny sposób pojęcie pary dualnych wyrażeń, terminów czy pojęć.</w:t>
      </w:r>
    </w:p>
  </w:footnote>
  <w:footnote w:id="7">
    <w:p w:rsidR="00E51CAC" w:rsidRPr="00AC000C" w:rsidRDefault="00E51CAC">
      <w:pPr>
        <w:pStyle w:val="Tekstprzypisudolnego"/>
        <w:rPr>
          <w:sz w:val="18"/>
          <w:szCs w:val="18"/>
          <w:lang w:val="pl-PL"/>
        </w:rPr>
      </w:pPr>
      <w:r>
        <w:rPr>
          <w:rStyle w:val="Odwoanieprzypisudolnego"/>
        </w:rPr>
        <w:footnoteRef/>
      </w:r>
      <w:r w:rsidRPr="00C76FB5">
        <w:rPr>
          <w:lang w:val="pl-PL"/>
        </w:rPr>
        <w:t xml:space="preserve"> </w:t>
      </w:r>
      <w:r w:rsidRPr="00AC000C">
        <w:rPr>
          <w:rFonts w:ascii="Times New Roman" w:hAnsi="Times New Roman" w:cs="Times New Roman"/>
          <w:color w:val="000000"/>
          <w:sz w:val="18"/>
          <w:szCs w:val="18"/>
          <w:lang w:val="pl-PL"/>
        </w:rPr>
        <w:t xml:space="preserve">Por. regułę </w:t>
      </w:r>
      <w:r w:rsidRPr="00AC000C">
        <w:rPr>
          <w:rFonts w:ascii="Times New Roman" w:hAnsi="Times New Roman" w:cs="Times New Roman"/>
          <w:i/>
          <w:color w:val="000000"/>
          <w:sz w:val="18"/>
          <w:szCs w:val="18"/>
          <w:lang w:val="pl-PL"/>
        </w:rPr>
        <w:t xml:space="preserve">r w </w:t>
      </w:r>
      <w:r w:rsidRPr="00AC000C">
        <w:rPr>
          <w:rFonts w:ascii="Times New Roman" w:hAnsi="Times New Roman" w:cs="Times New Roman"/>
          <w:color w:val="000000"/>
          <w:sz w:val="18"/>
          <w:szCs w:val="18"/>
          <w:lang w:val="pl-PL"/>
        </w:rPr>
        <w:t>części I.1.</w:t>
      </w:r>
    </w:p>
  </w:footnote>
  <w:footnote w:id="8">
    <w:p w:rsidR="00E51CAC" w:rsidRPr="00AC000C" w:rsidRDefault="00E51CAC">
      <w:pPr>
        <w:pStyle w:val="Tekstprzypisudolnego"/>
        <w:rPr>
          <w:sz w:val="18"/>
          <w:szCs w:val="18"/>
          <w:lang w:val="pl-PL"/>
        </w:rPr>
      </w:pPr>
      <w:r>
        <w:rPr>
          <w:rStyle w:val="Odwoanieprzypisudolnego"/>
        </w:rPr>
        <w:footnoteRef/>
      </w:r>
      <w:r w:rsidRPr="00C76FB5">
        <w:rPr>
          <w:lang w:val="pl-PL"/>
        </w:rPr>
        <w:t xml:space="preserve"> </w:t>
      </w:r>
      <w:r w:rsidRPr="00AC000C">
        <w:rPr>
          <w:rFonts w:ascii="Times New Roman" w:hAnsi="Times New Roman" w:cs="Times New Roman"/>
          <w:color w:val="1F201B"/>
          <w:sz w:val="18"/>
          <w:szCs w:val="18"/>
          <w:lang w:val="pl-PL"/>
        </w:rPr>
        <w:t xml:space="preserve">Binarne relacje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18"/>
                <w:szCs w:val="18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1</m:t>
            </m:r>
          </m:sup>
        </m:sSubSup>
      </m:oMath>
      <w:r w:rsidRPr="00AC000C">
        <w:rPr>
          <w:rFonts w:ascii="Times New Roman" w:eastAsiaTheme="minorEastAsia" w:hAnsi="Times New Roman" w:cs="Times New Roman"/>
          <w:color w:val="1B1B15"/>
          <w:sz w:val="18"/>
          <w:szCs w:val="18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18"/>
                <w:szCs w:val="18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1</m:t>
            </m:r>
          </m:sub>
          <m:sup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2</m:t>
            </m:r>
          </m:sup>
        </m:sSubSup>
      </m:oMath>
      <w:r w:rsidRPr="00AC000C">
        <w:rPr>
          <w:rFonts w:ascii="Times New Roman" w:eastAsiaTheme="minorEastAsia" w:hAnsi="Times New Roman" w:cs="Times New Roman"/>
          <w:color w:val="1B1B15"/>
          <w:sz w:val="18"/>
          <w:szCs w:val="18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18"/>
                <w:szCs w:val="18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1</m:t>
            </m:r>
          </m:sup>
        </m:sSubSup>
      </m:oMath>
      <w:r w:rsidRPr="00AC000C">
        <w:rPr>
          <w:rFonts w:ascii="Times New Roman" w:eastAsiaTheme="minorEastAsia" w:hAnsi="Times New Roman" w:cs="Times New Roman"/>
          <w:color w:val="1B1B15"/>
          <w:sz w:val="18"/>
          <w:szCs w:val="18"/>
          <w:lang w:val="pl-PL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1B1B15"/>
                <w:sz w:val="18"/>
                <w:szCs w:val="18"/>
                <w:lang w:val="pl-PL"/>
              </w:rPr>
            </m:ctrlPr>
          </m:sSubSupPr>
          <m:e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ϱ</m:t>
            </m:r>
          </m:e>
          <m:sub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2</m:t>
            </m:r>
          </m:sub>
          <m:sup>
            <m:r>
              <w:rPr>
                <w:rFonts w:ascii="Cambria Math" w:hAnsi="Cambria Math" w:cs="Times New Roman"/>
                <w:color w:val="1B1B15"/>
                <w:sz w:val="18"/>
                <w:szCs w:val="18"/>
                <w:lang w:val="pl-PL"/>
              </w:rPr>
              <m:t>2</m:t>
            </m:r>
          </m:sup>
        </m:sSubSup>
      </m:oMath>
      <w:r w:rsidRPr="00AC000C">
        <w:rPr>
          <w:rFonts w:ascii="Times New Roman" w:eastAsiaTheme="minorEastAsia" w:hAnsi="Times New Roman" w:cs="Times New Roman"/>
          <w:color w:val="1B1B15"/>
          <w:sz w:val="18"/>
          <w:szCs w:val="18"/>
          <w:lang w:val="pl-PL"/>
        </w:rPr>
        <w:t xml:space="preserve"> </w:t>
      </w:r>
      <w:r w:rsidRPr="00AC000C">
        <w:rPr>
          <w:rFonts w:ascii="Times New Roman" w:hAnsi="Times New Roman" w:cs="Times New Roman"/>
          <w:color w:val="1F201B"/>
          <w:sz w:val="18"/>
          <w:szCs w:val="18"/>
          <w:lang w:val="pl-PL"/>
        </w:rPr>
        <w:t xml:space="preserve">wygodnie jest potraktować tu jako relacje n + 2 członowe, gdzie </w:t>
      </w:r>
      <m:oMath>
        <m:r>
          <w:rPr>
            <w:rFonts w:ascii="Cambria Math" w:hAnsi="Cambria Math" w:cs="Times New Roman"/>
            <w:color w:val="1F201B"/>
            <w:sz w:val="18"/>
            <w:szCs w:val="18"/>
            <w:lang w:val="pl-PL"/>
          </w:rPr>
          <m:t>n∈N∪{0}</m:t>
        </m:r>
      </m:oMath>
      <w:r>
        <w:rPr>
          <w:rFonts w:ascii="Times New Roman" w:hAnsi="Times New Roman" w:cs="Times New Roman"/>
          <w:color w:val="1F201B"/>
          <w:sz w:val="18"/>
          <w:szCs w:val="18"/>
          <w:lang w:val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6C07"/>
    <w:multiLevelType w:val="multilevel"/>
    <w:tmpl w:val="0FCEB1BE"/>
    <w:lvl w:ilvl="0">
      <w:start w:val="1"/>
      <w:numFmt w:val="lowerRoman"/>
      <w:lvlText w:val="(%1)"/>
      <w:lvlJc w:val="left"/>
      <w:pPr>
        <w:tabs>
          <w:tab w:val="decimal" w:pos="864"/>
        </w:tabs>
        <w:ind w:left="720"/>
      </w:pPr>
      <w:rPr>
        <w:rFonts w:ascii="Times New Roman" w:hAnsi="Times New Roman"/>
        <w:strike w:val="0"/>
        <w:color w:val="000000"/>
        <w:spacing w:val="22"/>
        <w:w w:val="100"/>
        <w:sz w:val="17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6D775A"/>
    <w:multiLevelType w:val="multilevel"/>
    <w:tmpl w:val="E938857E"/>
    <w:lvl w:ilvl="0">
      <w:start w:val="1"/>
      <w:numFmt w:val="decimal"/>
      <w:lvlText w:val="(R%1)"/>
      <w:lvlJc w:val="left"/>
      <w:pPr>
        <w:tabs>
          <w:tab w:val="decimal" w:pos="2880"/>
        </w:tabs>
        <w:ind w:left="720"/>
      </w:pPr>
      <w:rPr>
        <w:rFonts w:ascii="Times New Roman" w:hAnsi="Times New Roman"/>
        <w:i/>
        <w:strike w:val="0"/>
        <w:color w:val="1F201B"/>
        <w:spacing w:val="0"/>
        <w:w w:val="100"/>
        <w:sz w:val="22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4805FB"/>
    <w:multiLevelType w:val="multilevel"/>
    <w:tmpl w:val="2BFA5BA0"/>
    <w:lvl w:ilvl="0">
      <w:start w:val="1"/>
      <w:numFmt w:val="decimal"/>
      <w:lvlText w:val="[%1]"/>
      <w:lvlJc w:val="left"/>
      <w:pPr>
        <w:tabs>
          <w:tab w:val="decimal" w:pos="288"/>
        </w:tabs>
        <w:ind w:left="720"/>
      </w:pPr>
      <w:rPr>
        <w:rFonts w:ascii="Times New Roman" w:hAnsi="Times New Roman"/>
        <w:strike w:val="0"/>
        <w:color w:val="000000"/>
        <w:spacing w:val="3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CE1ADF"/>
    <w:multiLevelType w:val="multilevel"/>
    <w:tmpl w:val="6C6028C4"/>
    <w:lvl w:ilvl="0">
      <w:start w:val="2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Verdana" w:hAnsi="Verdana"/>
        <w:b/>
        <w:i/>
        <w:strike w:val="0"/>
        <w:color w:val="000000"/>
        <w:spacing w:val="-4"/>
        <w:w w:val="100"/>
        <w:sz w:val="15"/>
        <w:vertAlign w:val="subscript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442A30"/>
    <w:multiLevelType w:val="multilevel"/>
    <w:tmpl w:val="60368956"/>
    <w:lvl w:ilvl="0">
      <w:start w:val="2"/>
      <w:numFmt w:val="decimal"/>
      <w:lvlText w:val="(%1)"/>
      <w:lvlJc w:val="left"/>
      <w:pPr>
        <w:tabs>
          <w:tab w:val="decimal" w:pos="2088"/>
        </w:tabs>
        <w:ind w:left="720"/>
      </w:pPr>
      <w:rPr>
        <w:rFonts w:ascii="Times New Roman" w:hAnsi="Times New Roman"/>
        <w:strike w:val="0"/>
        <w:color w:val="000000"/>
        <w:spacing w:val="69"/>
        <w:w w:val="100"/>
        <w:sz w:val="22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5AA"/>
    <w:rsid w:val="000019D2"/>
    <w:rsid w:val="00010629"/>
    <w:rsid w:val="0001122A"/>
    <w:rsid w:val="00030B91"/>
    <w:rsid w:val="000B1F22"/>
    <w:rsid w:val="000D402A"/>
    <w:rsid w:val="000D414B"/>
    <w:rsid w:val="000D622D"/>
    <w:rsid w:val="001747DA"/>
    <w:rsid w:val="00196E21"/>
    <w:rsid w:val="002105AA"/>
    <w:rsid w:val="0021405E"/>
    <w:rsid w:val="002411DA"/>
    <w:rsid w:val="00320ECD"/>
    <w:rsid w:val="003433C6"/>
    <w:rsid w:val="003E467C"/>
    <w:rsid w:val="003E6574"/>
    <w:rsid w:val="00404D23"/>
    <w:rsid w:val="00405AED"/>
    <w:rsid w:val="00463FD6"/>
    <w:rsid w:val="004A5A76"/>
    <w:rsid w:val="00557E8B"/>
    <w:rsid w:val="00566FB6"/>
    <w:rsid w:val="00595E5E"/>
    <w:rsid w:val="005D7A8F"/>
    <w:rsid w:val="005E4959"/>
    <w:rsid w:val="0060662A"/>
    <w:rsid w:val="006378F0"/>
    <w:rsid w:val="00642787"/>
    <w:rsid w:val="0066784C"/>
    <w:rsid w:val="006E5803"/>
    <w:rsid w:val="00715AB5"/>
    <w:rsid w:val="00751CEA"/>
    <w:rsid w:val="0081518A"/>
    <w:rsid w:val="008240E4"/>
    <w:rsid w:val="0083179F"/>
    <w:rsid w:val="008452DA"/>
    <w:rsid w:val="00897F94"/>
    <w:rsid w:val="008C485A"/>
    <w:rsid w:val="008F2967"/>
    <w:rsid w:val="009059AE"/>
    <w:rsid w:val="0092338E"/>
    <w:rsid w:val="00930AC0"/>
    <w:rsid w:val="00956766"/>
    <w:rsid w:val="009D0F70"/>
    <w:rsid w:val="009D5270"/>
    <w:rsid w:val="00A10041"/>
    <w:rsid w:val="00AC000C"/>
    <w:rsid w:val="00B0127F"/>
    <w:rsid w:val="00B02FC6"/>
    <w:rsid w:val="00B60CFA"/>
    <w:rsid w:val="00BB4655"/>
    <w:rsid w:val="00BB4FA2"/>
    <w:rsid w:val="00C10E42"/>
    <w:rsid w:val="00C13DFC"/>
    <w:rsid w:val="00C76FB5"/>
    <w:rsid w:val="00CB7594"/>
    <w:rsid w:val="00CF0458"/>
    <w:rsid w:val="00D90800"/>
    <w:rsid w:val="00E14DC4"/>
    <w:rsid w:val="00E51CAC"/>
    <w:rsid w:val="00E74074"/>
    <w:rsid w:val="00FC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05AA"/>
    <w:pPr>
      <w:spacing w:after="0" w:line="240" w:lineRule="auto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105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105AA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105AA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3E657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65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574"/>
    <w:rPr>
      <w:rFonts w:ascii="Tahoma" w:hAnsi="Tahoma" w:cs="Tahoma"/>
      <w:sz w:val="16"/>
      <w:szCs w:val="16"/>
      <w:lang w:val="en-US"/>
    </w:rPr>
  </w:style>
  <w:style w:type="paragraph" w:styleId="Akapitzlist">
    <w:name w:val="List Paragraph"/>
    <w:basedOn w:val="Normalny"/>
    <w:uiPriority w:val="34"/>
    <w:qFormat/>
    <w:rsid w:val="00B60CFA"/>
    <w:pPr>
      <w:ind w:left="720"/>
      <w:contextualSpacing/>
    </w:pPr>
  </w:style>
  <w:style w:type="table" w:styleId="Tabela-Siatka">
    <w:name w:val="Table Grid"/>
    <w:basedOn w:val="Standardowy"/>
    <w:uiPriority w:val="59"/>
    <w:rsid w:val="005D7A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05AA"/>
    <w:pPr>
      <w:spacing w:after="0" w:line="240" w:lineRule="auto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105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105AA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105AA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3E657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65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574"/>
    <w:rPr>
      <w:rFonts w:ascii="Tahoma" w:hAnsi="Tahoma" w:cs="Tahoma"/>
      <w:sz w:val="16"/>
      <w:szCs w:val="16"/>
      <w:lang w:val="en-US"/>
    </w:rPr>
  </w:style>
  <w:style w:type="paragraph" w:styleId="Akapitzlist">
    <w:name w:val="List Paragraph"/>
    <w:basedOn w:val="Normalny"/>
    <w:uiPriority w:val="34"/>
    <w:qFormat/>
    <w:rsid w:val="00B60CFA"/>
    <w:pPr>
      <w:ind w:left="720"/>
      <w:contextualSpacing/>
    </w:pPr>
  </w:style>
  <w:style w:type="table" w:styleId="Tabela-Siatka">
    <w:name w:val="Table Grid"/>
    <w:basedOn w:val="Standardowy"/>
    <w:uiPriority w:val="59"/>
    <w:rsid w:val="005D7A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0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DE21E-E81F-4C2E-9F5C-DBB5F4377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7517</Words>
  <Characters>45106</Characters>
  <Application>Microsoft Office Word</Application>
  <DocSecurity>0</DocSecurity>
  <Lines>375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zbonik</dc:creator>
  <cp:lastModifiedBy>Toshiba-User</cp:lastModifiedBy>
  <cp:revision>2</cp:revision>
  <dcterms:created xsi:type="dcterms:W3CDTF">2021-10-02T18:35:00Z</dcterms:created>
  <dcterms:modified xsi:type="dcterms:W3CDTF">2021-10-02T18:35:00Z</dcterms:modified>
</cp:coreProperties>
</file>