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Selena Quintieri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Mrs. McNerney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HZT 4U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DATE \@ "MMMM d, y"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April 1, 2016</w:t>
      </w:r>
      <w:r>
        <w:rPr>
          <w:rFonts w:ascii="Times New Roman" w:cs="Times New Roman" w:hAnsi="Times New Roman" w:eastAsia="Times New Roman"/>
        </w:rPr>
        <w:fldChar w:fldCharType="end" w:fldLock="1"/>
      </w:r>
    </w:p>
    <w:p>
      <w:pPr>
        <w:pStyle w:val="Title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Epistemology - Annotated Bibliography  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2001. "EPISTEMOLOGY." </w:t>
      </w:r>
      <w:r>
        <w:rPr>
          <w:rFonts w:ascii="Times New Roman" w:hAnsi="Times New Roman"/>
          <w:rtl w:val="0"/>
          <w:lang w:val="en-US"/>
        </w:rPr>
        <w:t>Oxford Illustrated Companion To Medicine</w:t>
      </w:r>
      <w:r>
        <w:rPr>
          <w:rFonts w:ascii="Times New Roman" w:hAnsi="Times New Roman"/>
          <w:rtl w:val="0"/>
        </w:rPr>
        <w:t xml:space="preserve"> 279. </w:t>
      </w:r>
      <w:r>
        <w:rPr>
          <w:rFonts w:ascii="Times New Roman" w:hAnsi="Times New Roman"/>
          <w:rtl w:val="0"/>
          <w:lang w:val="en-US"/>
        </w:rPr>
        <w:t xml:space="preserve">Book Collection: </w:t>
      </w:r>
      <w:r>
        <w:rPr>
          <w:rFonts w:ascii="Times New Roman" w:cs="Times New Roman" w:hAnsi="Times New Roman" w:eastAsia="Times New Roman"/>
        </w:rPr>
        <w:tab/>
        <w:tab/>
      </w:r>
      <w:r>
        <w:rPr>
          <w:rFonts w:ascii="Times New Roman" w:hAnsi="Times New Roman"/>
          <w:rtl w:val="0"/>
          <w:lang w:val="en-US"/>
        </w:rPr>
        <w:t>Nonfiction</w:t>
      </w:r>
      <w:r>
        <w:rPr>
          <w:rFonts w:ascii="Times New Roman" w:hAnsi="Times New Roman"/>
          <w:rtl w:val="0"/>
          <w:lang w:val="de-DE"/>
        </w:rPr>
        <w:t>, EBSCO</w:t>
      </w:r>
      <w:r>
        <w:rPr>
          <w:rFonts w:ascii="Times New Roman" w:hAnsi="Times New Roman"/>
          <w:rtl w:val="0"/>
        </w:rPr>
        <w:t>host</w:t>
      </w:r>
      <w:r>
        <w:rPr>
          <w:rFonts w:ascii="Times New Roman" w:hAnsi="Times New Roman"/>
          <w:rtl w:val="0"/>
          <w:lang w:val="en-US"/>
        </w:rPr>
        <w:t xml:space="preserve"> (accessed March 31, 2016).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De Robertis, Daniela. 2001. "Notes for a Definition of the Concept of Psychoanalytical Episte</w:t>
      </w:r>
      <w:r>
        <w:rPr>
          <w:rFonts w:ascii="Times New Roman" w:cs="Times New Roman" w:hAnsi="Times New Roman" w:eastAsia="Times New Roman"/>
        </w:rPr>
        <w:tab/>
        <w:tab/>
      </w:r>
      <w:r>
        <w:rPr>
          <w:rFonts w:ascii="Times New Roman" w:hAnsi="Times New Roman"/>
          <w:rtl w:val="0"/>
        </w:rPr>
        <w:t xml:space="preserve">mology." </w:t>
      </w:r>
      <w:r>
        <w:rPr>
          <w:rFonts w:ascii="Times New Roman" w:hAnsi="Times New Roman"/>
          <w:i w:val="1"/>
          <w:iCs w:val="1"/>
          <w:rtl w:val="0"/>
          <w:lang w:val="en-US"/>
        </w:rPr>
        <w:t>International Forum Of Psychoanalysis</w:t>
      </w:r>
      <w:r>
        <w:rPr>
          <w:rFonts w:ascii="Times New Roman" w:hAnsi="Times New Roman"/>
          <w:rtl w:val="0"/>
          <w:lang w:val="pt-PT"/>
        </w:rPr>
        <w:t xml:space="preserve"> 10, no. 2: 133. 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Advanced Placement </w:t>
      </w:r>
      <w:r>
        <w:rPr>
          <w:rFonts w:ascii="Times New Roman" w:cs="Times New Roman" w:hAnsi="Times New Roman" w:eastAsia="Times New Roman"/>
          <w:i w:val="1"/>
          <w:iCs w:val="1"/>
        </w:rPr>
        <w:tab/>
        <w:tab/>
      </w:r>
      <w:r>
        <w:rPr>
          <w:rFonts w:ascii="Times New Roman" w:hAnsi="Times New Roman"/>
          <w:i w:val="1"/>
          <w:iCs w:val="1"/>
          <w:rtl w:val="0"/>
          <w:lang w:val="en-US"/>
        </w:rPr>
        <w:t>Source</w:t>
      </w:r>
      <w:r>
        <w:rPr>
          <w:rFonts w:ascii="Times New Roman" w:hAnsi="Times New Roman"/>
          <w:rtl w:val="0"/>
          <w:lang w:val="de-DE"/>
        </w:rPr>
        <w:t>, EBSCO</w:t>
      </w:r>
      <w:r>
        <w:rPr>
          <w:rFonts w:ascii="Times New Roman" w:hAnsi="Times New Roman"/>
          <w:i w:val="1"/>
          <w:iCs w:val="1"/>
          <w:rtl w:val="0"/>
        </w:rPr>
        <w:t>host</w:t>
      </w:r>
      <w:r>
        <w:rPr>
          <w:rFonts w:ascii="Times New Roman" w:hAnsi="Times New Roman"/>
          <w:rtl w:val="0"/>
          <w:lang w:val="en-US"/>
        </w:rPr>
        <w:t xml:space="preserve"> (accessed March 31, 2016).</w:t>
      </w:r>
    </w:p>
    <w:p>
      <w:pPr>
        <w:pStyle w:val="Default"/>
        <w:bidi w:val="0"/>
        <w:ind w:left="0" w:right="0" w:firstLine="0"/>
        <w:jc w:val="left"/>
        <w:rPr>
          <w:color w:val="323232"/>
          <w:sz w:val="24"/>
          <w:szCs w:val="24"/>
          <w:shd w:val="clear" w:color="auto" w:fill="4b892f"/>
          <w:rtl w:val="0"/>
        </w:rPr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Socrates</w:t>
      </w:r>
    </w:p>
    <w:p>
      <w:pPr>
        <w:pStyle w:val="Body 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St. Thomas Aquinas</w:t>
      </w:r>
    </w:p>
    <w:p>
      <w:pPr>
        <w:pStyle w:val="Body 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John Locke</w:t>
      </w:r>
    </w:p>
    <w:p>
      <w:pPr>
        <w:pStyle w:val="Body 2"/>
        <w:rPr>
          <w:rFonts w:ascii="Times New Roman" w:cs="Times New Roman" w:hAnsi="Times New Roman" w:eastAsia="Times New Roman"/>
        </w:rPr>
      </w:pPr>
    </w:p>
    <w:p>
      <w:pPr>
        <w:pStyle w:val="Body 2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Times New Roman" w:hAnsi="Times New Roman"/>
      </w:rPr>
      <w:tab/>
      <w:tab/>
    </w:r>
    <w:r>
      <w:rPr>
        <w:rFonts w:ascii="Times New Roman" w:hAnsi="Times New Roman"/>
        <w:rtl w:val="0"/>
        <w:lang w:val="en-US"/>
      </w:rPr>
      <w:t>Quintieri</w:t>
    </w:r>
    <w:r>
      <w:rPr>
        <w:rFonts w:ascii="Times New Roman" w:hAnsi="Times New Roman"/>
        <w:rtl w:val="0"/>
      </w:rPr>
      <w:t xml:space="preserve"> </w:t>
    </w:r>
    <w:r>
      <w:rPr>
        <w:rFonts w:ascii="Times New Roman" w:cs="Times New Roman" w:hAnsi="Times New Roman" w:eastAsia="Times New Roman"/>
      </w:rPr>
      <w:fldChar w:fldCharType="begin" w:fldLock="0"/>
    </w:r>
    <w:r>
      <w:rPr>
        <w:rFonts w:ascii="Times New Roman" w:cs="Times New Roman" w:hAnsi="Times New Roman" w:eastAsia="Times New Roman"/>
      </w:rPr>
      <w:instrText xml:space="preserve"> PAGE </w:instrText>
    </w:r>
    <w:r>
      <w:rPr>
        <w:rFonts w:ascii="Times New Roman" w:cs="Times New Roman" w:hAnsi="Times New Roman" w:eastAsia="Times New Roman"/>
      </w:rPr>
      <w:fldChar w:fldCharType="separate" w:fldLock="0"/>
    </w:r>
    <w:r>
      <w:rPr>
        <w:rFonts w:ascii="Times New Roman" w:cs="Times New Roman" w:hAnsi="Times New Roman" w:eastAsia="Times New Roman"/>
      </w:rPr>
      <w:t>1</w:t>
    </w:r>
    <w:r>
      <w:rPr>
        <w:rFonts w:ascii="Times New Roman" w:cs="Times New Roman" w:hAnsi="Times New Roman" w:eastAsia="Times New Roman"/>
      </w:rPr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48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Title">
    <w:name w:val="Title"/>
    <w:next w:val="Body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480" w:lineRule="auto"/>
      <w:ind w:left="0" w:right="0" w:firstLine="0"/>
      <w:jc w:val="center"/>
      <w:outlineLvl w:val="0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480" w:lineRule="auto"/>
      <w:ind w:left="0" w:right="0" w:firstLine="72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00_ResearchPaper">
  <a:themeElements>
    <a:clrScheme name="00_ResearchPaper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ResearchPaper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00_ResearchPap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