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B3B5A" w:rsidRPr="00CB3B5A" w:rsidRDefault="00CB3B5A" w:rsidP="00CB3B5A">
      <w:pPr>
        <w:widowControl/>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b/>
          <w:bCs/>
          <w:spacing w:val="2"/>
          <w:kern w:val="0"/>
          <w:szCs w:val="21"/>
        </w:rPr>
        <w:t>Attention Agency Theory: Towards a Unified Framework for Mind, Matter, and Existence</w:t>
      </w:r>
    </w:p>
    <w:p w:rsidR="00CB3B5A" w:rsidRPr="00CB3B5A" w:rsidRDefault="00CB3B5A" w:rsidP="00CB3B5A">
      <w:pPr>
        <w:widowControl/>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b/>
          <w:bCs/>
          <w:spacing w:val="2"/>
          <w:kern w:val="0"/>
          <w:szCs w:val="21"/>
        </w:rPr>
        <w:t>Abstract</w:t>
      </w:r>
    </w:p>
    <w:p w:rsidR="00CB3B5A" w:rsidRPr="00CB3B5A" w:rsidRDefault="00CB3B5A" w:rsidP="00CB3B5A">
      <w:pPr>
        <w:widowControl/>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spacing w:val="2"/>
          <w:kern w:val="0"/>
          <w:szCs w:val="21"/>
        </w:rPr>
        <w:t>This paper introduces Attention Agency Theory (AAT), a novel philosophical framework aiming to unify mind, matter, and existence through the concept of "Universal Attention." AAT proposes that attention, broadly conceived, is not merely a cognitive faculty but a fundamental, ubiquitous process inherent in all entities, driving their interaction with the environment and their pursuit of stability and order. Departing from traditional substance dualism and reductive materialism, AAT posits that "mind" and "matter" are epistemological constructs – "attention scaffolding" – developed by Universal Attention to enhance its efficacy. Drawing upon active inference and the principle of Gibbs Free Energy minimization, AAT reinterprets consciousness as a salience signal of prediction error and free will as model selection within attentional constraints. The theory advocates for a process ontology where existence is understood as attention-driven becoming, and proposes "Universalism" as an ethics centered on respecting attention and fostering free energy harmony across all entities. This paper outlines the core tenets of AAT, discusses its implications for understanding consciousness, free will, and ethics, and addresses potential challenges and future research directions.</w:t>
      </w:r>
    </w:p>
    <w:p w:rsidR="00CB3B5A" w:rsidRPr="00CB3B5A" w:rsidRDefault="00CB3B5A" w:rsidP="00CB3B5A">
      <w:pPr>
        <w:widowControl/>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b/>
          <w:bCs/>
          <w:spacing w:val="2"/>
          <w:kern w:val="0"/>
          <w:szCs w:val="21"/>
        </w:rPr>
        <w:t>Keywords:</w:t>
      </w:r>
      <w:r w:rsidRPr="00CB3B5A">
        <w:rPr>
          <w:rFonts w:ascii="Roboto" w:eastAsia="宋体" w:hAnsi="Roboto" w:cs="宋体"/>
          <w:spacing w:val="2"/>
          <w:kern w:val="0"/>
          <w:szCs w:val="21"/>
        </w:rPr>
        <w:t> Attention Agency Theory, Universal Attention, Active Inference, Gibbs Free Energy, Process Ontology, Epistemology, Consciousness, Free Will, Ethics, Philosophy of Science</w:t>
      </w:r>
    </w:p>
    <w:p w:rsidR="00CB3B5A" w:rsidRPr="00CB3B5A" w:rsidRDefault="00CB3B5A" w:rsidP="00CB3B5A">
      <w:pPr>
        <w:widowControl/>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b/>
          <w:bCs/>
          <w:spacing w:val="2"/>
          <w:kern w:val="0"/>
          <w:szCs w:val="21"/>
        </w:rPr>
        <w:t>1. Introduction</w:t>
      </w:r>
    </w:p>
    <w:p w:rsidR="00CB3B5A" w:rsidRPr="00CB3B5A" w:rsidRDefault="00CB3B5A" w:rsidP="00CB3B5A">
      <w:pPr>
        <w:widowControl/>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spacing w:val="2"/>
          <w:kern w:val="0"/>
          <w:szCs w:val="21"/>
        </w:rPr>
        <w:t>The nature of mind, its relationship to matter, and the very essence of existence have been enduring questions in philosophy and science for centuries. Traditional dualistic frameworks posit a fundamental separation between mind and matter [Descartes, 1641], while materialism attempts to reduce mental phenomena to physical processes [Churchland, 1981]. However, both approaches face significant challenges in providing a comprehensive and unified account of reality, particularly in explaining the emergence of consciousness and agency from seemingly inert matter.</w:t>
      </w:r>
    </w:p>
    <w:p w:rsidR="00CB3B5A" w:rsidRPr="00CB3B5A" w:rsidRDefault="00CB3B5A" w:rsidP="00CB3B5A">
      <w:pPr>
        <w:widowControl/>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spacing w:val="2"/>
          <w:kern w:val="0"/>
          <w:szCs w:val="21"/>
        </w:rPr>
        <w:t>This paper introduces Attention Agency Theory (AAT), a novel philosophical framework that proposes a radical departure from these traditional dichotomies. AAT posits that </w:t>
      </w:r>
      <w:r w:rsidRPr="00CB3B5A">
        <w:rPr>
          <w:rFonts w:ascii="Roboto" w:eastAsia="宋体" w:hAnsi="Roboto" w:cs="宋体"/>
          <w:b/>
          <w:bCs/>
          <w:spacing w:val="2"/>
          <w:kern w:val="0"/>
          <w:szCs w:val="21"/>
        </w:rPr>
        <w:t>“attention,” broadly conceived, is the fundamental agency underlying all existence, unifying mind and matter as derivative, epistemological constructs.</w:t>
      </w:r>
      <w:r w:rsidRPr="00CB3B5A">
        <w:rPr>
          <w:rFonts w:ascii="Roboto" w:eastAsia="宋体" w:hAnsi="Roboto" w:cs="宋体"/>
          <w:spacing w:val="2"/>
          <w:kern w:val="0"/>
          <w:szCs w:val="21"/>
        </w:rPr>
        <w:t> This theory argues that attention is not merely a cognitive faculty of conscious beings but a ubiquitous, processual capacity inherent in all entities, driving their interactions with the environment and their intrinsic drive towards stability and order.</w:t>
      </w:r>
    </w:p>
    <w:p w:rsidR="00CB3B5A" w:rsidRPr="00CB3B5A" w:rsidRDefault="00CB3B5A" w:rsidP="00CB3B5A">
      <w:pPr>
        <w:widowControl/>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spacing w:val="2"/>
          <w:kern w:val="0"/>
          <w:szCs w:val="21"/>
        </w:rPr>
        <w:lastRenderedPageBreak/>
        <w:t>AAT draws inspiration from diverse fields, including process philosophy [Whitehead, 1929], active inference in cognitive science [Friston, 2010], and thermodynamics, particularly the principle of Gibbs Free Energy minimization [Callen, 1985]. By integrating these perspectives, AAT aims to provide a more coherent and comprehensive framework for understanding mind, matter, and existence within a unified ontological and epistemological landscape.</w:t>
      </w:r>
    </w:p>
    <w:p w:rsidR="00CB3B5A" w:rsidRPr="00CB3B5A" w:rsidRDefault="00CB3B5A" w:rsidP="00CB3B5A">
      <w:pPr>
        <w:widowControl/>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spacing w:val="2"/>
          <w:kern w:val="0"/>
          <w:szCs w:val="21"/>
        </w:rPr>
        <w:t>This paper will elaborate on the core concepts of AAT, including Universal Attention, attention scaffolding, and their relationship to consciousness, free will, and ethics. It will discuss the implications of AAT for re-evaluating traditional philosophical problems and outline potential avenues for future research and development.</w:t>
      </w:r>
    </w:p>
    <w:p w:rsidR="00CB3B5A" w:rsidRPr="00CB3B5A" w:rsidRDefault="00CB3B5A" w:rsidP="00CB3B5A">
      <w:pPr>
        <w:widowControl/>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b/>
          <w:bCs/>
          <w:spacing w:val="2"/>
          <w:kern w:val="0"/>
          <w:szCs w:val="21"/>
        </w:rPr>
        <w:t>2. Core Concept: Universal Attention</w:t>
      </w:r>
    </w:p>
    <w:p w:rsidR="00CB3B5A" w:rsidRPr="00CB3B5A" w:rsidRDefault="00CB3B5A" w:rsidP="00CB3B5A">
      <w:pPr>
        <w:widowControl/>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spacing w:val="2"/>
          <w:kern w:val="0"/>
          <w:szCs w:val="21"/>
        </w:rPr>
        <w:t>At the heart of AAT lies the concept of </w:t>
      </w:r>
      <w:r w:rsidRPr="00CB3B5A">
        <w:rPr>
          <w:rFonts w:ascii="Roboto" w:eastAsia="宋体" w:hAnsi="Roboto" w:cs="宋体"/>
          <w:b/>
          <w:bCs/>
          <w:spacing w:val="2"/>
          <w:kern w:val="0"/>
          <w:szCs w:val="21"/>
        </w:rPr>
        <w:t>“Universal Attention,”</w:t>
      </w:r>
      <w:r w:rsidRPr="00CB3B5A">
        <w:rPr>
          <w:rFonts w:ascii="Roboto" w:eastAsia="宋体" w:hAnsi="Roboto" w:cs="宋体"/>
          <w:spacing w:val="2"/>
          <w:kern w:val="0"/>
          <w:szCs w:val="21"/>
        </w:rPr>
        <w:t> which transcends the conventional understanding of attention as a purely cognitive function limited to conscious organisms. Instead, AAT proposes that </w:t>
      </w:r>
      <w:r w:rsidRPr="00CB3B5A">
        <w:rPr>
          <w:rFonts w:ascii="Roboto" w:eastAsia="宋体" w:hAnsi="Roboto" w:cs="宋体"/>
          <w:b/>
          <w:bCs/>
          <w:spacing w:val="2"/>
          <w:kern w:val="0"/>
          <w:szCs w:val="21"/>
        </w:rPr>
        <w:t>attention, in its most fundamental form, is a ubiquitous, processual capacity inherent in all entities, enabling them to actively engage with their environment and maintain their existence.</w:t>
      </w:r>
    </w:p>
    <w:p w:rsidR="00CB3B5A" w:rsidRPr="00CB3B5A" w:rsidRDefault="00CB3B5A" w:rsidP="00CB3B5A">
      <w:pPr>
        <w:widowControl/>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spacing w:val="2"/>
          <w:kern w:val="0"/>
          <w:szCs w:val="21"/>
        </w:rPr>
        <w:t>Universal Attention is characterized by the following key features:</w:t>
      </w:r>
    </w:p>
    <w:p w:rsidR="00CB3B5A" w:rsidRPr="00CB3B5A" w:rsidRDefault="00CB3B5A" w:rsidP="00CB3B5A">
      <w:pPr>
        <w:widowControl/>
        <w:numPr>
          <w:ilvl w:val="0"/>
          <w:numId w:val="1"/>
        </w:numPr>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b/>
          <w:bCs/>
          <w:spacing w:val="2"/>
          <w:kern w:val="0"/>
          <w:szCs w:val="21"/>
        </w:rPr>
        <w:t>Ubiquity:</w:t>
      </w:r>
      <w:r w:rsidRPr="00CB3B5A">
        <w:rPr>
          <w:rFonts w:ascii="Roboto" w:eastAsia="宋体" w:hAnsi="Roboto" w:cs="宋体"/>
          <w:spacing w:val="2"/>
          <w:kern w:val="0"/>
          <w:szCs w:val="21"/>
        </w:rPr>
        <w:t> Attention is not exclusive to biological or conscious systems but is </w:t>
      </w:r>
      <w:r w:rsidRPr="00CB3B5A">
        <w:rPr>
          <w:rFonts w:ascii="Roboto" w:eastAsia="宋体" w:hAnsi="Roboto" w:cs="宋体"/>
          <w:b/>
          <w:bCs/>
          <w:spacing w:val="2"/>
          <w:kern w:val="0"/>
          <w:szCs w:val="21"/>
        </w:rPr>
        <w:t>intrinsic to all entities, from fundamental particles to complex systems.</w:t>
      </w:r>
      <w:r w:rsidRPr="00CB3B5A">
        <w:rPr>
          <w:rFonts w:ascii="Roboto" w:eastAsia="宋体" w:hAnsi="Roboto" w:cs="宋体"/>
          <w:spacing w:val="2"/>
          <w:kern w:val="0"/>
          <w:szCs w:val="21"/>
        </w:rPr>
        <w:t> This universality implies a continuity of agency across different levels of organization, suggesting that even seemingly inert matter exhibits a rudimentary form of attentional agency.</w:t>
      </w:r>
    </w:p>
    <w:p w:rsidR="00CB3B5A" w:rsidRPr="00CB3B5A" w:rsidRDefault="00CB3B5A" w:rsidP="00CB3B5A">
      <w:pPr>
        <w:widowControl/>
        <w:numPr>
          <w:ilvl w:val="0"/>
          <w:numId w:val="1"/>
        </w:numPr>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b/>
          <w:bCs/>
          <w:spacing w:val="2"/>
          <w:kern w:val="0"/>
          <w:szCs w:val="21"/>
        </w:rPr>
        <w:t>Active Prediction and Error Minimization:</w:t>
      </w:r>
      <w:r w:rsidRPr="00CB3B5A">
        <w:rPr>
          <w:rFonts w:ascii="Roboto" w:eastAsia="宋体" w:hAnsi="Roboto" w:cs="宋体"/>
          <w:spacing w:val="2"/>
          <w:kern w:val="0"/>
          <w:szCs w:val="21"/>
        </w:rPr>
        <w:t> Drawing from active inference [Friston, 2010], AAT posits that Universal Attention operates through </w:t>
      </w:r>
      <w:r w:rsidRPr="00CB3B5A">
        <w:rPr>
          <w:rFonts w:ascii="Roboto" w:eastAsia="宋体" w:hAnsi="Roboto" w:cs="宋体"/>
          <w:b/>
          <w:bCs/>
          <w:spacing w:val="2"/>
          <w:kern w:val="0"/>
          <w:szCs w:val="21"/>
        </w:rPr>
        <w:t>active prediction and error minimization</w:t>
      </w:r>
      <w:r w:rsidRPr="00CB3B5A">
        <w:rPr>
          <w:rFonts w:ascii="Roboto" w:eastAsia="宋体" w:hAnsi="Roboto" w:cs="宋体"/>
          <w:spacing w:val="2"/>
          <w:kern w:val="0"/>
          <w:szCs w:val="21"/>
        </w:rPr>
        <w:t>. Entities are constantly constructing models of their environment and acting to minimize the discrepancy between their predictions and sensory input (or, more broadly, environmental interactions). This predictive processing is not limited to neural systems but is considered a fundamental mechanism of self-organization and adaptation across all scales.</w:t>
      </w:r>
    </w:p>
    <w:p w:rsidR="00CB3B5A" w:rsidRPr="00CB3B5A" w:rsidRDefault="00CB3B5A" w:rsidP="00CB3B5A">
      <w:pPr>
        <w:widowControl/>
        <w:numPr>
          <w:ilvl w:val="0"/>
          <w:numId w:val="1"/>
        </w:numPr>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b/>
          <w:bCs/>
          <w:spacing w:val="2"/>
          <w:kern w:val="0"/>
          <w:szCs w:val="21"/>
        </w:rPr>
        <w:t>Information Processing and Energy Management:</w:t>
      </w:r>
      <w:r w:rsidRPr="00CB3B5A">
        <w:rPr>
          <w:rFonts w:ascii="Roboto" w:eastAsia="宋体" w:hAnsi="Roboto" w:cs="宋体"/>
          <w:spacing w:val="2"/>
          <w:kern w:val="0"/>
          <w:szCs w:val="21"/>
        </w:rPr>
        <w:t> Universal Attention involves both </w:t>
      </w:r>
      <w:r w:rsidRPr="00CB3B5A">
        <w:rPr>
          <w:rFonts w:ascii="Roboto" w:eastAsia="宋体" w:hAnsi="Roboto" w:cs="宋体"/>
          <w:b/>
          <w:bCs/>
          <w:spacing w:val="2"/>
          <w:kern w:val="0"/>
          <w:szCs w:val="21"/>
        </w:rPr>
        <w:t>information processing and energy management</w:t>
      </w:r>
      <w:r w:rsidRPr="00CB3B5A">
        <w:rPr>
          <w:rFonts w:ascii="Roboto" w:eastAsia="宋体" w:hAnsi="Roboto" w:cs="宋体"/>
          <w:spacing w:val="2"/>
          <w:kern w:val="0"/>
          <w:szCs w:val="21"/>
        </w:rPr>
        <w:t>. Entities selectively process environmental information relevant to their stability and persistence, and allocate energy resources to minimize prediction errors and maintain their internal order. This information-energy coupling is crucial for understanding how attention drives self-organization and adaptive behavior.</w:t>
      </w:r>
    </w:p>
    <w:p w:rsidR="00CB3B5A" w:rsidRPr="00CB3B5A" w:rsidRDefault="00CB3B5A" w:rsidP="00CB3B5A">
      <w:pPr>
        <w:widowControl/>
        <w:numPr>
          <w:ilvl w:val="0"/>
          <w:numId w:val="1"/>
        </w:numPr>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b/>
          <w:bCs/>
          <w:spacing w:val="2"/>
          <w:kern w:val="0"/>
          <w:szCs w:val="21"/>
        </w:rPr>
        <w:t>Value-Oriented and Purposeful (Immanent Teleology):</w:t>
      </w:r>
      <w:r w:rsidRPr="00CB3B5A">
        <w:rPr>
          <w:rFonts w:ascii="Roboto" w:eastAsia="宋体" w:hAnsi="Roboto" w:cs="宋体"/>
          <w:spacing w:val="2"/>
          <w:kern w:val="0"/>
          <w:szCs w:val="21"/>
        </w:rPr>
        <w:t> Universal Attention is inherently </w:t>
      </w:r>
      <w:r w:rsidRPr="00CB3B5A">
        <w:rPr>
          <w:rFonts w:ascii="Roboto" w:eastAsia="宋体" w:hAnsi="Roboto" w:cs="宋体"/>
          <w:b/>
          <w:bCs/>
          <w:spacing w:val="2"/>
          <w:kern w:val="0"/>
          <w:szCs w:val="21"/>
        </w:rPr>
        <w:t>value-oriented, driven by an immanent teleology towards stability, persistence, and order</w:t>
      </w:r>
      <w:r w:rsidRPr="00CB3B5A">
        <w:rPr>
          <w:rFonts w:ascii="Roboto" w:eastAsia="宋体" w:hAnsi="Roboto" w:cs="宋体"/>
          <w:spacing w:val="2"/>
          <w:kern w:val="0"/>
          <w:szCs w:val="21"/>
        </w:rPr>
        <w:t xml:space="preserve">. This is not to suggest a conscious purpose but rather an inherent tendency for entities to minimize Gibbs Free Energy and maintain themselves in a state of lower energy and higher order. Value, in this context, </w:t>
      </w:r>
      <w:r w:rsidRPr="00CB3B5A">
        <w:rPr>
          <w:rFonts w:ascii="Roboto" w:eastAsia="宋体" w:hAnsi="Roboto" w:cs="宋体"/>
          <w:spacing w:val="2"/>
          <w:kern w:val="0"/>
          <w:szCs w:val="21"/>
        </w:rPr>
        <w:lastRenderedPageBreak/>
        <w:t>can be understood as a measure of an entity's capacity to minimize prediction error and maintain its stability within its environment.</w:t>
      </w:r>
    </w:p>
    <w:p w:rsidR="00CB3B5A" w:rsidRPr="00CB3B5A" w:rsidRDefault="00CB3B5A" w:rsidP="00CB3B5A">
      <w:pPr>
        <w:widowControl/>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spacing w:val="2"/>
          <w:kern w:val="0"/>
          <w:szCs w:val="21"/>
        </w:rPr>
        <w:t>The analogy of unconscious muscle control effectively illustrates the nature of Universal Attention. Just as we unconsciously coordinate complex muscular movements without explicit cognitive oversight, Universal Attention operates largely at a non-conscious level, orchestrating the intricate interactions and self-organizing processes across the universe.</w:t>
      </w:r>
    </w:p>
    <w:p w:rsidR="00CB3B5A" w:rsidRPr="00CB3B5A" w:rsidRDefault="00CB3B5A" w:rsidP="00CB3B5A">
      <w:pPr>
        <w:widowControl/>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b/>
          <w:bCs/>
          <w:spacing w:val="2"/>
          <w:kern w:val="0"/>
          <w:szCs w:val="21"/>
        </w:rPr>
        <w:t>3. Attention Scaffolding: Matter and Mind as Epistemic Tools</w:t>
      </w:r>
    </w:p>
    <w:p w:rsidR="00CB3B5A" w:rsidRPr="00CB3B5A" w:rsidRDefault="00CB3B5A" w:rsidP="00CB3B5A">
      <w:pPr>
        <w:widowControl/>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spacing w:val="2"/>
          <w:kern w:val="0"/>
          <w:szCs w:val="21"/>
        </w:rPr>
        <w:t>A central tenet of AAT is that </w:t>
      </w:r>
      <w:r w:rsidRPr="00CB3B5A">
        <w:rPr>
          <w:rFonts w:ascii="Roboto" w:eastAsia="宋体" w:hAnsi="Roboto" w:cs="宋体"/>
          <w:b/>
          <w:bCs/>
          <w:spacing w:val="2"/>
          <w:kern w:val="0"/>
          <w:szCs w:val="21"/>
        </w:rPr>
        <w:t>“matter” and “mind,” as conventionally understood, are not ontologically distinct substances but rather epistemological constructs – “attention scaffolding” – developed by Universal Attention to enhance its efficacy.</w:t>
      </w:r>
      <w:r w:rsidRPr="00CB3B5A">
        <w:rPr>
          <w:rFonts w:ascii="Roboto" w:eastAsia="宋体" w:hAnsi="Roboto" w:cs="宋体"/>
          <w:spacing w:val="2"/>
          <w:kern w:val="0"/>
          <w:szCs w:val="21"/>
        </w:rPr>
        <w:t> They are conceptual tools, not fundamental realities in themselves.</w:t>
      </w:r>
    </w:p>
    <w:p w:rsidR="00CB3B5A" w:rsidRPr="00CB3B5A" w:rsidRDefault="00CB3B5A" w:rsidP="00CB3B5A">
      <w:pPr>
        <w:widowControl/>
        <w:numPr>
          <w:ilvl w:val="0"/>
          <w:numId w:val="2"/>
        </w:numPr>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b/>
          <w:bCs/>
          <w:spacing w:val="2"/>
          <w:kern w:val="0"/>
          <w:szCs w:val="21"/>
        </w:rPr>
        <w:t>Matter as Stable Predictive Framework:</w:t>
      </w:r>
      <w:r w:rsidRPr="00CB3B5A">
        <w:rPr>
          <w:rFonts w:ascii="Roboto" w:eastAsia="宋体" w:hAnsi="Roboto" w:cs="宋体"/>
          <w:spacing w:val="2"/>
          <w:kern w:val="0"/>
          <w:szCs w:val="21"/>
        </w:rPr>
        <w:t> “Matter,” in AAT, is conceived as a </w:t>
      </w:r>
      <w:r w:rsidRPr="00CB3B5A">
        <w:rPr>
          <w:rFonts w:ascii="Roboto" w:eastAsia="宋体" w:hAnsi="Roboto" w:cs="宋体"/>
          <w:b/>
          <w:bCs/>
          <w:spacing w:val="2"/>
          <w:kern w:val="0"/>
          <w:szCs w:val="21"/>
        </w:rPr>
        <w:t>stable, objective reference frame constructed by Universal Attention to facilitate prediction and reduce uncertainty.</w:t>
      </w:r>
      <w:r w:rsidRPr="00CB3B5A">
        <w:rPr>
          <w:rFonts w:ascii="Roboto" w:eastAsia="宋体" w:hAnsi="Roboto" w:cs="宋体"/>
          <w:spacing w:val="2"/>
          <w:kern w:val="0"/>
          <w:szCs w:val="21"/>
        </w:rPr>
        <w:t> The properties we ascribe to matter – its spatial extension, persistence, and measurability – serve to create a predictable and reliable background against which attention can operate effectively. "Matter scaffolding" provides a stable foundation for building more complex models and predictions about the environment.</w:t>
      </w:r>
    </w:p>
    <w:p w:rsidR="00CB3B5A" w:rsidRPr="00CB3B5A" w:rsidRDefault="00CB3B5A" w:rsidP="00CB3B5A">
      <w:pPr>
        <w:widowControl/>
        <w:numPr>
          <w:ilvl w:val="0"/>
          <w:numId w:val="2"/>
        </w:numPr>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b/>
          <w:bCs/>
          <w:spacing w:val="2"/>
          <w:kern w:val="0"/>
          <w:szCs w:val="21"/>
        </w:rPr>
        <w:t>Mind as Advanced Attention Control Hub:</w:t>
      </w:r>
      <w:r w:rsidRPr="00CB3B5A">
        <w:rPr>
          <w:rFonts w:ascii="Roboto" w:eastAsia="宋体" w:hAnsi="Roboto" w:cs="宋体"/>
          <w:spacing w:val="2"/>
          <w:kern w:val="0"/>
          <w:szCs w:val="21"/>
        </w:rPr>
        <w:t> “Mind,” in AAT, represents a </w:t>
      </w:r>
      <w:r w:rsidRPr="00CB3B5A">
        <w:rPr>
          <w:rFonts w:ascii="Roboto" w:eastAsia="宋体" w:hAnsi="Roboto" w:cs="宋体"/>
          <w:b/>
          <w:bCs/>
          <w:spacing w:val="2"/>
          <w:kern w:val="0"/>
          <w:szCs w:val="21"/>
        </w:rPr>
        <w:t>more sophisticated and flexible system for attentional control and predictive processing.</w:t>
      </w:r>
      <w:r w:rsidRPr="00CB3B5A">
        <w:rPr>
          <w:rFonts w:ascii="Roboto" w:eastAsia="宋体" w:hAnsi="Roboto" w:cs="宋体"/>
          <w:spacing w:val="2"/>
          <w:kern w:val="0"/>
          <w:szCs w:val="21"/>
        </w:rPr>
        <w:t> Consciousness, rationality, intentionality, and emotions, traditionally associated with mind, are reinterpreted as advanced mechanisms developed by Universal Attention for more nuanced and adaptive error minimization and model optimization. "Mind scaffolding" allows for more complex information processing, abstract reasoning, and intentional action, enhancing attentional agency in complex environments.</w:t>
      </w:r>
    </w:p>
    <w:p w:rsidR="00CB3B5A" w:rsidRPr="00CB3B5A" w:rsidRDefault="00CB3B5A" w:rsidP="00CB3B5A">
      <w:pPr>
        <w:widowControl/>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spacing w:val="2"/>
          <w:kern w:val="0"/>
          <w:szCs w:val="21"/>
        </w:rPr>
        <w:t>Crucially, AAT emphasizes that </w:t>
      </w:r>
      <w:r w:rsidRPr="00CB3B5A">
        <w:rPr>
          <w:rFonts w:ascii="Roboto" w:eastAsia="宋体" w:hAnsi="Roboto" w:cs="宋体"/>
          <w:b/>
          <w:bCs/>
          <w:spacing w:val="2"/>
          <w:kern w:val="0"/>
          <w:szCs w:val="21"/>
        </w:rPr>
        <w:t>matter and mind are not ontologically privileged entities but rather epistemologically useful tools.</w:t>
      </w:r>
      <w:r w:rsidRPr="00CB3B5A">
        <w:rPr>
          <w:rFonts w:ascii="Roboto" w:eastAsia="宋体" w:hAnsi="Roboto" w:cs="宋体"/>
          <w:spacing w:val="2"/>
          <w:kern w:val="0"/>
          <w:szCs w:val="21"/>
        </w:rPr>
        <w:t> They are "scaffolding" that Universal Attention utilizes to achieve greater predictive power and control. This epistemic interpretation avoids the pitfalls of substance dualism and reductive materialism, offering a monistic framework where attention is the fundamental agency, and mind and matter are its derivative expressions.</w:t>
      </w:r>
    </w:p>
    <w:p w:rsidR="00CB3B5A" w:rsidRPr="00CB3B5A" w:rsidRDefault="00CB3B5A" w:rsidP="00CB3B5A">
      <w:pPr>
        <w:widowControl/>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b/>
          <w:bCs/>
          <w:spacing w:val="2"/>
          <w:kern w:val="0"/>
          <w:szCs w:val="21"/>
        </w:rPr>
        <w:t>4. Consciousness and Free Will Reinterpreted</w:t>
      </w:r>
    </w:p>
    <w:p w:rsidR="00CB3B5A" w:rsidRPr="00CB3B5A" w:rsidRDefault="00CB3B5A" w:rsidP="00CB3B5A">
      <w:pPr>
        <w:widowControl/>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spacing w:val="2"/>
          <w:kern w:val="0"/>
          <w:szCs w:val="21"/>
        </w:rPr>
        <w:t>Within the framework of AAT and active inference, consciousness and free will are reinterpreted not as mysterious, emergent properties, but as </w:t>
      </w:r>
      <w:r w:rsidRPr="00CB3B5A">
        <w:rPr>
          <w:rFonts w:ascii="Roboto" w:eastAsia="宋体" w:hAnsi="Roboto" w:cs="宋体"/>
          <w:b/>
          <w:bCs/>
          <w:spacing w:val="2"/>
          <w:kern w:val="0"/>
          <w:szCs w:val="21"/>
        </w:rPr>
        <w:t>specific manifestations of Universal Attention's predictive processing and error minimization strategies.</w:t>
      </w:r>
    </w:p>
    <w:p w:rsidR="00CB3B5A" w:rsidRPr="00CB3B5A" w:rsidRDefault="00CB3B5A" w:rsidP="00CB3B5A">
      <w:pPr>
        <w:widowControl/>
        <w:numPr>
          <w:ilvl w:val="0"/>
          <w:numId w:val="3"/>
        </w:numPr>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b/>
          <w:bCs/>
          <w:spacing w:val="2"/>
          <w:kern w:val="0"/>
          <w:szCs w:val="21"/>
        </w:rPr>
        <w:lastRenderedPageBreak/>
        <w:t>Consciousness as Prediction Error Salience:</w:t>
      </w:r>
      <w:r w:rsidRPr="00CB3B5A">
        <w:rPr>
          <w:rFonts w:ascii="Roboto" w:eastAsia="宋体" w:hAnsi="Roboto" w:cs="宋体"/>
          <w:spacing w:val="2"/>
          <w:kern w:val="0"/>
          <w:szCs w:val="21"/>
        </w:rPr>
        <w:t> AAT proposes that </w:t>
      </w:r>
      <w:r w:rsidRPr="00CB3B5A">
        <w:rPr>
          <w:rFonts w:ascii="Roboto" w:eastAsia="宋体" w:hAnsi="Roboto" w:cs="宋体"/>
          <w:b/>
          <w:bCs/>
          <w:spacing w:val="2"/>
          <w:kern w:val="0"/>
          <w:szCs w:val="21"/>
        </w:rPr>
        <w:t>consciousness, particularly phenomenal consciousness (qualia), arises as a salience signal of significant prediction error.</w:t>
      </w:r>
      <w:r w:rsidRPr="00CB3B5A">
        <w:rPr>
          <w:rFonts w:ascii="Roboto" w:eastAsia="宋体" w:hAnsi="Roboto" w:cs="宋体"/>
          <w:spacing w:val="2"/>
          <w:kern w:val="0"/>
          <w:szCs w:val="21"/>
        </w:rPr>
        <w:t> When prediction errors exceed a certain threshold, requiring heightened attentional resources and model revision, conscious experience emerges as a way to prioritize and highlight these errors. Qualia, in this view, are not intrinsic properties of matter but rather </w:t>
      </w:r>
      <w:r w:rsidRPr="00CB3B5A">
        <w:rPr>
          <w:rFonts w:ascii="Roboto" w:eastAsia="宋体" w:hAnsi="Roboto" w:cs="宋体"/>
          <w:b/>
          <w:bCs/>
          <w:spacing w:val="2"/>
          <w:kern w:val="0"/>
          <w:szCs w:val="21"/>
        </w:rPr>
        <w:t>information-rich signals indicating the need for attentional adjustment and model optimization.</w:t>
      </w:r>
      <w:r w:rsidRPr="00CB3B5A">
        <w:rPr>
          <w:rFonts w:ascii="Roboto" w:eastAsia="宋体" w:hAnsi="Roboto" w:cs="宋体"/>
          <w:spacing w:val="2"/>
          <w:kern w:val="0"/>
          <w:szCs w:val="21"/>
        </w:rPr>
        <w:t> Consciousness, therefore, is not a passive spectator but an active, error-driven process crucial for adaptive behavior.</w:t>
      </w:r>
    </w:p>
    <w:p w:rsidR="00CB3B5A" w:rsidRPr="00CB3B5A" w:rsidRDefault="00CB3B5A" w:rsidP="00CB3B5A">
      <w:pPr>
        <w:widowControl/>
        <w:numPr>
          <w:ilvl w:val="0"/>
          <w:numId w:val="3"/>
        </w:numPr>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b/>
          <w:bCs/>
          <w:spacing w:val="2"/>
          <w:kern w:val="0"/>
          <w:szCs w:val="21"/>
        </w:rPr>
        <w:t>Free Will as Model Selection and Action Degrees of Freedom:</w:t>
      </w:r>
      <w:r w:rsidRPr="00CB3B5A">
        <w:rPr>
          <w:rFonts w:ascii="Roboto" w:eastAsia="宋体" w:hAnsi="Roboto" w:cs="宋体"/>
          <w:spacing w:val="2"/>
          <w:kern w:val="0"/>
          <w:szCs w:val="21"/>
        </w:rPr>
        <w:t> Free will, in AAT, is understood not as absolute metaphysical freedom, but as the </w:t>
      </w:r>
      <w:r w:rsidRPr="00CB3B5A">
        <w:rPr>
          <w:rFonts w:ascii="Roboto" w:eastAsia="宋体" w:hAnsi="Roboto" w:cs="宋体"/>
          <w:b/>
          <w:bCs/>
          <w:spacing w:val="2"/>
          <w:kern w:val="0"/>
          <w:szCs w:val="21"/>
        </w:rPr>
        <w:t>degrees of freedom available in model selection and action within the constraints of Universal Attention and value (Gibbs Free Energy minimization).</w:t>
      </w:r>
      <w:r w:rsidRPr="00CB3B5A">
        <w:rPr>
          <w:rFonts w:ascii="Roboto" w:eastAsia="宋体" w:hAnsi="Roboto" w:cs="宋体"/>
          <w:spacing w:val="2"/>
          <w:kern w:val="0"/>
          <w:szCs w:val="21"/>
        </w:rPr>
        <w:t> In complex and uncertain environments, entities are faced with multiple potential models and action plans. Free will, in this context, represents the capacity to </w:t>
      </w:r>
      <w:r w:rsidRPr="00CB3B5A">
        <w:rPr>
          <w:rFonts w:ascii="Roboto" w:eastAsia="宋体" w:hAnsi="Roboto" w:cs="宋体"/>
          <w:b/>
          <w:bCs/>
          <w:spacing w:val="2"/>
          <w:kern w:val="0"/>
          <w:szCs w:val="21"/>
        </w:rPr>
        <w:t>choose and decide among these possibilities, guided by internal value preferences and environmental constraints.</w:t>
      </w:r>
      <w:r w:rsidRPr="00CB3B5A">
        <w:rPr>
          <w:rFonts w:ascii="Roboto" w:eastAsia="宋体" w:hAnsi="Roboto" w:cs="宋体"/>
          <w:spacing w:val="2"/>
          <w:kern w:val="0"/>
          <w:szCs w:val="21"/>
        </w:rPr>
        <w:t> This freedom is not unconstrained but is rather a form of </w:t>
      </w:r>
      <w:r w:rsidRPr="00CB3B5A">
        <w:rPr>
          <w:rFonts w:ascii="Roboto" w:eastAsia="宋体" w:hAnsi="Roboto" w:cs="宋体"/>
          <w:b/>
          <w:bCs/>
          <w:spacing w:val="2"/>
          <w:kern w:val="0"/>
          <w:szCs w:val="21"/>
        </w:rPr>
        <w:t>attentional agency in navigating possibility spaces and selecting pathways that minimize prediction error and optimize value.</w:t>
      </w:r>
    </w:p>
    <w:p w:rsidR="00CB3B5A" w:rsidRPr="00CB3B5A" w:rsidRDefault="00CB3B5A" w:rsidP="00CB3B5A">
      <w:pPr>
        <w:widowControl/>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b/>
          <w:bCs/>
          <w:spacing w:val="2"/>
          <w:kern w:val="0"/>
          <w:szCs w:val="21"/>
        </w:rPr>
        <w:t>5. Process Ontology and Gibbs Free Energy as the Driving Force</w:t>
      </w:r>
    </w:p>
    <w:p w:rsidR="00CB3B5A" w:rsidRPr="00CB3B5A" w:rsidRDefault="00CB3B5A" w:rsidP="00CB3B5A">
      <w:pPr>
        <w:widowControl/>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spacing w:val="2"/>
          <w:kern w:val="0"/>
          <w:szCs w:val="21"/>
        </w:rPr>
        <w:t>AAT adopts a </w:t>
      </w:r>
      <w:r w:rsidRPr="00CB3B5A">
        <w:rPr>
          <w:rFonts w:ascii="Roboto" w:eastAsia="宋体" w:hAnsi="Roboto" w:cs="宋体"/>
          <w:b/>
          <w:bCs/>
          <w:spacing w:val="2"/>
          <w:kern w:val="0"/>
          <w:szCs w:val="21"/>
        </w:rPr>
        <w:t>process ontology</w:t>
      </w:r>
      <w:r w:rsidRPr="00CB3B5A">
        <w:rPr>
          <w:rFonts w:ascii="Roboto" w:eastAsia="宋体" w:hAnsi="Roboto" w:cs="宋体"/>
          <w:spacing w:val="2"/>
          <w:kern w:val="0"/>
          <w:szCs w:val="21"/>
        </w:rPr>
        <w:t>, where existence is fundamentally understood as </w:t>
      </w:r>
      <w:r w:rsidRPr="00CB3B5A">
        <w:rPr>
          <w:rFonts w:ascii="Roboto" w:eastAsia="宋体" w:hAnsi="Roboto" w:cs="宋体"/>
          <w:b/>
          <w:bCs/>
          <w:spacing w:val="2"/>
          <w:kern w:val="0"/>
          <w:szCs w:val="21"/>
        </w:rPr>
        <w:t>dynamic becoming rather than static being.</w:t>
      </w:r>
      <w:r w:rsidRPr="00CB3B5A">
        <w:rPr>
          <w:rFonts w:ascii="Roboto" w:eastAsia="宋体" w:hAnsi="Roboto" w:cs="宋体"/>
          <w:spacing w:val="2"/>
          <w:kern w:val="0"/>
          <w:szCs w:val="21"/>
        </w:rPr>
        <w:t> In this framework, </w:t>
      </w:r>
      <w:r w:rsidRPr="00CB3B5A">
        <w:rPr>
          <w:rFonts w:ascii="Roboto" w:eastAsia="宋体" w:hAnsi="Roboto" w:cs="宋体"/>
          <w:b/>
          <w:bCs/>
          <w:spacing w:val="2"/>
          <w:kern w:val="0"/>
          <w:szCs w:val="21"/>
        </w:rPr>
        <w:t>Universal Attention, driven by the principle of Gibbs Free Energy minimization, is the fundamental process underlying all existence and evolution.</w:t>
      </w:r>
    </w:p>
    <w:p w:rsidR="00CB3B5A" w:rsidRPr="00CB3B5A" w:rsidRDefault="00CB3B5A" w:rsidP="00CB3B5A">
      <w:pPr>
        <w:widowControl/>
        <w:numPr>
          <w:ilvl w:val="0"/>
          <w:numId w:val="4"/>
        </w:numPr>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b/>
          <w:bCs/>
          <w:spacing w:val="2"/>
          <w:kern w:val="0"/>
          <w:szCs w:val="21"/>
        </w:rPr>
        <w:t>Gibbs Free Energy Minimization as Universal Principle:</w:t>
      </w:r>
      <w:r w:rsidRPr="00CB3B5A">
        <w:rPr>
          <w:rFonts w:ascii="Roboto" w:eastAsia="宋体" w:hAnsi="Roboto" w:cs="宋体"/>
          <w:spacing w:val="2"/>
          <w:kern w:val="0"/>
          <w:szCs w:val="21"/>
        </w:rPr>
        <w:t> AAT posits that the </w:t>
      </w:r>
      <w:r w:rsidRPr="00CB3B5A">
        <w:rPr>
          <w:rFonts w:ascii="Roboto" w:eastAsia="宋体" w:hAnsi="Roboto" w:cs="宋体"/>
          <w:b/>
          <w:bCs/>
          <w:spacing w:val="2"/>
          <w:kern w:val="0"/>
          <w:szCs w:val="21"/>
        </w:rPr>
        <w:t>principle of Gibbs Free Energy minimization is a fundamental driving force in the universe, shaping the emergence of order, complexity, and life.</w:t>
      </w:r>
      <w:r w:rsidRPr="00CB3B5A">
        <w:rPr>
          <w:rFonts w:ascii="Roboto" w:eastAsia="宋体" w:hAnsi="Roboto" w:cs="宋体"/>
          <w:spacing w:val="2"/>
          <w:kern w:val="0"/>
          <w:szCs w:val="21"/>
        </w:rPr>
        <w:t> From self-assembling physical systems to self-organizing biological organisms, systems tend to evolve towards states of lower Gibbs Free Energy, maximizing stability and minimizing internal disorder. Universal Attention, in this context, is the </w:t>
      </w:r>
      <w:r w:rsidRPr="00CB3B5A">
        <w:rPr>
          <w:rFonts w:ascii="Roboto" w:eastAsia="宋体" w:hAnsi="Roboto" w:cs="宋体"/>
          <w:b/>
          <w:bCs/>
          <w:spacing w:val="2"/>
          <w:kern w:val="0"/>
          <w:szCs w:val="21"/>
        </w:rPr>
        <w:t>process by which entities actively minimize their Gibbs Free Energy by predicting and acting upon their environment.</w:t>
      </w:r>
    </w:p>
    <w:p w:rsidR="00CB3B5A" w:rsidRPr="00CB3B5A" w:rsidRDefault="00CB3B5A" w:rsidP="00CB3B5A">
      <w:pPr>
        <w:widowControl/>
        <w:numPr>
          <w:ilvl w:val="0"/>
          <w:numId w:val="4"/>
        </w:numPr>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b/>
          <w:bCs/>
          <w:spacing w:val="2"/>
          <w:kern w:val="0"/>
          <w:szCs w:val="21"/>
        </w:rPr>
        <w:t>Emergence of Order, Complexity, and Value:</w:t>
      </w:r>
      <w:r w:rsidRPr="00CB3B5A">
        <w:rPr>
          <w:rFonts w:ascii="Roboto" w:eastAsia="宋体" w:hAnsi="Roboto" w:cs="宋体"/>
          <w:spacing w:val="2"/>
          <w:kern w:val="0"/>
          <w:szCs w:val="21"/>
        </w:rPr>
        <w:t> Order, complexity, and value are not externally imposed but rather </w:t>
      </w:r>
      <w:r w:rsidRPr="00CB3B5A">
        <w:rPr>
          <w:rFonts w:ascii="Roboto" w:eastAsia="宋体" w:hAnsi="Roboto" w:cs="宋体"/>
          <w:b/>
          <w:bCs/>
          <w:spacing w:val="2"/>
          <w:kern w:val="0"/>
          <w:szCs w:val="21"/>
        </w:rPr>
        <w:t>emergent properties of Universal Attention-driven processes.</w:t>
      </w:r>
      <w:r w:rsidRPr="00CB3B5A">
        <w:rPr>
          <w:rFonts w:ascii="Roboto" w:eastAsia="宋体" w:hAnsi="Roboto" w:cs="宋体"/>
          <w:spacing w:val="2"/>
          <w:kern w:val="0"/>
          <w:szCs w:val="21"/>
        </w:rPr>
        <w:t> From chaos, order emerges; from simplicity, complexity arises; and from valuelessness, value is created through the self-organizing and self-optimizing dynamics of Universal Attention. Value, as previously mentioned, is intrinsically linked to the capacity to minimize Gibbs Free Energy and maintain stability and adaptivity.</w:t>
      </w:r>
    </w:p>
    <w:p w:rsidR="00CB3B5A" w:rsidRPr="00CB3B5A" w:rsidRDefault="00CB3B5A" w:rsidP="00CB3B5A">
      <w:pPr>
        <w:widowControl/>
        <w:numPr>
          <w:ilvl w:val="0"/>
          <w:numId w:val="4"/>
        </w:numPr>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b/>
          <w:bCs/>
          <w:spacing w:val="2"/>
          <w:kern w:val="0"/>
          <w:szCs w:val="21"/>
        </w:rPr>
        <w:t>Beyond Reductionism: Emergence and Holism:</w:t>
      </w:r>
      <w:r w:rsidRPr="00CB3B5A">
        <w:rPr>
          <w:rFonts w:ascii="Roboto" w:eastAsia="宋体" w:hAnsi="Roboto" w:cs="宋体"/>
          <w:spacing w:val="2"/>
          <w:kern w:val="0"/>
          <w:szCs w:val="21"/>
        </w:rPr>
        <w:t> AAT's process ontology transcends reductive materialism by emphasizing </w:t>
      </w:r>
      <w:r w:rsidRPr="00CB3B5A">
        <w:rPr>
          <w:rFonts w:ascii="Roboto" w:eastAsia="宋体" w:hAnsi="Roboto" w:cs="宋体"/>
          <w:b/>
          <w:bCs/>
          <w:spacing w:val="2"/>
          <w:kern w:val="0"/>
          <w:szCs w:val="21"/>
        </w:rPr>
        <w:t>emergence and holism.</w:t>
      </w:r>
      <w:r w:rsidRPr="00CB3B5A">
        <w:rPr>
          <w:rFonts w:ascii="Roboto" w:eastAsia="宋体" w:hAnsi="Roboto" w:cs="宋体"/>
          <w:spacing w:val="2"/>
          <w:kern w:val="0"/>
          <w:szCs w:val="21"/>
        </w:rPr>
        <w:t xml:space="preserve"> Complexity and order are not pre-programmed into fundamental </w:t>
      </w:r>
      <w:r w:rsidRPr="00CB3B5A">
        <w:rPr>
          <w:rFonts w:ascii="Roboto" w:eastAsia="宋体" w:hAnsi="Roboto" w:cs="宋体"/>
          <w:spacing w:val="2"/>
          <w:kern w:val="0"/>
          <w:szCs w:val="21"/>
        </w:rPr>
        <w:lastRenderedPageBreak/>
        <w:t>particles but rather </w:t>
      </w:r>
      <w:r w:rsidRPr="00CB3B5A">
        <w:rPr>
          <w:rFonts w:ascii="Roboto" w:eastAsia="宋体" w:hAnsi="Roboto" w:cs="宋体"/>
          <w:b/>
          <w:bCs/>
          <w:spacing w:val="2"/>
          <w:kern w:val="0"/>
          <w:szCs w:val="21"/>
        </w:rPr>
        <w:t>arise from the interactions and self-organization of Universal Attention across multiple scales.</w:t>
      </w:r>
      <w:r w:rsidRPr="00CB3B5A">
        <w:rPr>
          <w:rFonts w:ascii="Roboto" w:eastAsia="宋体" w:hAnsi="Roboto" w:cs="宋体"/>
          <w:spacing w:val="2"/>
          <w:kern w:val="0"/>
          <w:szCs w:val="21"/>
        </w:rPr>
        <w:t> The whole is greater than the sum of its parts, and emergent properties cannot be simply reduced to the linear aggregation of their constituents. Universal Attention is the </w:t>
      </w:r>
      <w:r w:rsidRPr="00CB3B5A">
        <w:rPr>
          <w:rFonts w:ascii="Roboto" w:eastAsia="宋体" w:hAnsi="Roboto" w:cs="宋体"/>
          <w:b/>
          <w:bCs/>
          <w:spacing w:val="2"/>
          <w:kern w:val="0"/>
          <w:szCs w:val="21"/>
        </w:rPr>
        <w:t>bridge connecting micro and macro, parts and whole, simplicity and complexity, driving emergent phenomena throughout the universe.</w:t>
      </w:r>
    </w:p>
    <w:p w:rsidR="00CB3B5A" w:rsidRPr="00CB3B5A" w:rsidRDefault="00CB3B5A" w:rsidP="00CB3B5A">
      <w:pPr>
        <w:widowControl/>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b/>
          <w:bCs/>
          <w:spacing w:val="2"/>
          <w:kern w:val="0"/>
          <w:szCs w:val="21"/>
        </w:rPr>
        <w:t>6. Universalism: An Attention-Based Ethics</w:t>
      </w:r>
    </w:p>
    <w:p w:rsidR="00CB3B5A" w:rsidRPr="00CB3B5A" w:rsidRDefault="00CB3B5A" w:rsidP="00CB3B5A">
      <w:pPr>
        <w:widowControl/>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spacing w:val="2"/>
          <w:kern w:val="0"/>
          <w:szCs w:val="21"/>
        </w:rPr>
        <w:t>The ethical implications of AAT are embodied in </w:t>
      </w:r>
      <w:r w:rsidRPr="00CB3B5A">
        <w:rPr>
          <w:rFonts w:ascii="Roboto" w:eastAsia="宋体" w:hAnsi="Roboto" w:cs="宋体"/>
          <w:b/>
          <w:bCs/>
          <w:spacing w:val="2"/>
          <w:kern w:val="0"/>
          <w:szCs w:val="21"/>
        </w:rPr>
        <w:t>“Universalism,” an ethics centered on respecting Universal Attention and fostering free energy harmony across all entities.</w:t>
      </w:r>
    </w:p>
    <w:p w:rsidR="00CB3B5A" w:rsidRPr="00CB3B5A" w:rsidRDefault="00CB3B5A" w:rsidP="00CB3B5A">
      <w:pPr>
        <w:widowControl/>
        <w:numPr>
          <w:ilvl w:val="0"/>
          <w:numId w:val="5"/>
        </w:numPr>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b/>
          <w:bCs/>
          <w:spacing w:val="2"/>
          <w:kern w:val="0"/>
          <w:szCs w:val="21"/>
        </w:rPr>
        <w:t>Respect for Universal Attention and Free Energy Minimization:</w:t>
      </w:r>
      <w:r w:rsidRPr="00CB3B5A">
        <w:rPr>
          <w:rFonts w:ascii="Roboto" w:eastAsia="宋体" w:hAnsi="Roboto" w:cs="宋体"/>
          <w:spacing w:val="2"/>
          <w:kern w:val="0"/>
          <w:szCs w:val="21"/>
        </w:rPr>
        <w:t> Universalism’s core ethical principle is </w:t>
      </w:r>
      <w:r w:rsidRPr="00CB3B5A">
        <w:rPr>
          <w:rFonts w:ascii="Roboto" w:eastAsia="宋体" w:hAnsi="Roboto" w:cs="宋体"/>
          <w:b/>
          <w:bCs/>
          <w:spacing w:val="2"/>
          <w:kern w:val="0"/>
          <w:szCs w:val="21"/>
        </w:rPr>
        <w:t>respect for the intrinsic value of Universal Attention and the inherent tendency of all entities towards Gibbs Free Energy minimization.</w:t>
      </w:r>
      <w:r w:rsidRPr="00CB3B5A">
        <w:rPr>
          <w:rFonts w:ascii="Roboto" w:eastAsia="宋体" w:hAnsi="Roboto" w:cs="宋体"/>
          <w:spacing w:val="2"/>
          <w:kern w:val="0"/>
          <w:szCs w:val="21"/>
        </w:rPr>
        <w:t> This implies a respect for all forms of existence, recognizing their inherent drive for stability, persistence, and order.</w:t>
      </w:r>
    </w:p>
    <w:p w:rsidR="00CB3B5A" w:rsidRPr="00CB3B5A" w:rsidRDefault="00CB3B5A" w:rsidP="00CB3B5A">
      <w:pPr>
        <w:widowControl/>
        <w:numPr>
          <w:ilvl w:val="0"/>
          <w:numId w:val="5"/>
        </w:numPr>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b/>
          <w:bCs/>
          <w:spacing w:val="2"/>
          <w:kern w:val="0"/>
          <w:szCs w:val="21"/>
        </w:rPr>
        <w:t>Value Co-creation and Free Energy Harmony:</w:t>
      </w:r>
      <w:r w:rsidRPr="00CB3B5A">
        <w:rPr>
          <w:rFonts w:ascii="Roboto" w:eastAsia="宋体" w:hAnsi="Roboto" w:cs="宋体"/>
          <w:spacing w:val="2"/>
          <w:kern w:val="0"/>
          <w:szCs w:val="21"/>
        </w:rPr>
        <w:t> Universalism promotes </w:t>
      </w:r>
      <w:r w:rsidRPr="00CB3B5A">
        <w:rPr>
          <w:rFonts w:ascii="Roboto" w:eastAsia="宋体" w:hAnsi="Roboto" w:cs="宋体"/>
          <w:b/>
          <w:bCs/>
          <w:spacing w:val="2"/>
          <w:kern w:val="0"/>
          <w:szCs w:val="21"/>
        </w:rPr>
        <w:t>value co-creation and free energy harmony</w:t>
      </w:r>
      <w:r w:rsidRPr="00CB3B5A">
        <w:rPr>
          <w:rFonts w:ascii="Roboto" w:eastAsia="宋体" w:hAnsi="Roboto" w:cs="宋体"/>
          <w:spacing w:val="2"/>
          <w:kern w:val="0"/>
          <w:szCs w:val="21"/>
        </w:rPr>
        <w:t> across all entities. It advocates for ethical actions that minimize the overall Gibbs Free Energy of systems, fostering greater stability, order, and value creation for all involved. This includes promoting cooperation, collaboration, and sustainable practices that enhance the collective well-being of the universe.</w:t>
      </w:r>
    </w:p>
    <w:p w:rsidR="00CB3B5A" w:rsidRPr="00CB3B5A" w:rsidRDefault="00CB3B5A" w:rsidP="00CB3B5A">
      <w:pPr>
        <w:widowControl/>
        <w:numPr>
          <w:ilvl w:val="0"/>
          <w:numId w:val="5"/>
        </w:numPr>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b/>
          <w:bCs/>
          <w:spacing w:val="2"/>
          <w:kern w:val="0"/>
          <w:szCs w:val="21"/>
        </w:rPr>
        <w:t>Human Cosmic Responsibility: Free Energy Stewardship:</w:t>
      </w:r>
      <w:r w:rsidRPr="00CB3B5A">
        <w:rPr>
          <w:rFonts w:ascii="Roboto" w:eastAsia="宋体" w:hAnsi="Roboto" w:cs="宋体"/>
          <w:spacing w:val="2"/>
          <w:kern w:val="0"/>
          <w:szCs w:val="21"/>
        </w:rPr>
        <w:t> AAT and Universalism assign a unique </w:t>
      </w:r>
      <w:r w:rsidRPr="00CB3B5A">
        <w:rPr>
          <w:rFonts w:ascii="Roboto" w:eastAsia="宋体" w:hAnsi="Roboto" w:cs="宋体"/>
          <w:b/>
          <w:bCs/>
          <w:spacing w:val="2"/>
          <w:kern w:val="0"/>
          <w:szCs w:val="21"/>
        </w:rPr>
        <w:t>cosmic responsibility to humanity as beings with highly developed conscious attention.</w:t>
      </w:r>
      <w:r w:rsidRPr="00CB3B5A">
        <w:rPr>
          <w:rFonts w:ascii="Roboto" w:eastAsia="宋体" w:hAnsi="Roboto" w:cs="宋体"/>
          <w:spacing w:val="2"/>
          <w:kern w:val="0"/>
          <w:szCs w:val="21"/>
        </w:rPr>
        <w:t> Humans are positioned as </w:t>
      </w:r>
      <w:r w:rsidRPr="00CB3B5A">
        <w:rPr>
          <w:rFonts w:ascii="Roboto" w:eastAsia="宋体" w:hAnsi="Roboto" w:cs="宋体"/>
          <w:b/>
          <w:bCs/>
          <w:spacing w:val="2"/>
          <w:kern w:val="0"/>
          <w:szCs w:val="21"/>
        </w:rPr>
        <w:t>“Free Energy Stewards,”</w:t>
      </w:r>
      <w:r w:rsidRPr="00CB3B5A">
        <w:rPr>
          <w:rFonts w:ascii="Roboto" w:eastAsia="宋体" w:hAnsi="Roboto" w:cs="宋体"/>
          <w:spacing w:val="2"/>
          <w:kern w:val="0"/>
          <w:szCs w:val="21"/>
        </w:rPr>
        <w:t> tasked with understanding and respecting the principles of Universal Attention and Gibbs Free Energy minimization, and with guiding the evolution of attention towards greater harmony, sustainability, and value creation throughout the cosmos.</w:t>
      </w:r>
    </w:p>
    <w:p w:rsidR="00CB3B5A" w:rsidRPr="00CB3B5A" w:rsidRDefault="00CB3B5A" w:rsidP="00CB3B5A">
      <w:pPr>
        <w:widowControl/>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b/>
          <w:bCs/>
          <w:spacing w:val="2"/>
          <w:kern w:val="0"/>
          <w:szCs w:val="21"/>
        </w:rPr>
        <w:t>7. Discussion</w:t>
      </w:r>
    </w:p>
    <w:p w:rsidR="00CB3B5A" w:rsidRPr="00CB3B5A" w:rsidRDefault="00CB3B5A" w:rsidP="00CB3B5A">
      <w:pPr>
        <w:widowControl/>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spacing w:val="2"/>
          <w:kern w:val="0"/>
          <w:szCs w:val="21"/>
        </w:rPr>
        <w:t>Attention Agency Theory presents a significant departure from traditional philosophical frameworks, offering a potentially unifying perspective on mind, matter, and existence. However, it is crucial to acknowledge potential limitations and areas for further development:</w:t>
      </w:r>
    </w:p>
    <w:p w:rsidR="00CB3B5A" w:rsidRPr="00CB3B5A" w:rsidRDefault="00CB3B5A" w:rsidP="00CB3B5A">
      <w:pPr>
        <w:widowControl/>
        <w:numPr>
          <w:ilvl w:val="0"/>
          <w:numId w:val="6"/>
        </w:numPr>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b/>
          <w:bCs/>
          <w:spacing w:val="2"/>
          <w:kern w:val="0"/>
          <w:szCs w:val="21"/>
        </w:rPr>
        <w:t>Conceptual Abstraction and Empirical Validation:</w:t>
      </w:r>
      <w:r w:rsidRPr="00CB3B5A">
        <w:rPr>
          <w:rFonts w:ascii="Roboto" w:eastAsia="宋体" w:hAnsi="Roboto" w:cs="宋体"/>
          <w:spacing w:val="2"/>
          <w:kern w:val="0"/>
          <w:szCs w:val="21"/>
        </w:rPr>
        <w:t> The concept of “Universal Attention,” while conceptually rich, remains </w:t>
      </w:r>
      <w:r w:rsidRPr="00CB3B5A">
        <w:rPr>
          <w:rFonts w:ascii="Roboto" w:eastAsia="宋体" w:hAnsi="Roboto" w:cs="宋体"/>
          <w:b/>
          <w:bCs/>
          <w:spacing w:val="2"/>
          <w:kern w:val="0"/>
          <w:szCs w:val="21"/>
        </w:rPr>
        <w:t>abstract and requires further operationalization for empirical validation.</w:t>
      </w:r>
      <w:r w:rsidRPr="00CB3B5A">
        <w:rPr>
          <w:rFonts w:ascii="Roboto" w:eastAsia="宋体" w:hAnsi="Roboto" w:cs="宋体"/>
          <w:spacing w:val="2"/>
          <w:kern w:val="0"/>
          <w:szCs w:val="21"/>
        </w:rPr>
        <w:t> Future research needs to explore potential pathways for testing and empirically grounding the core tenets of AAT.</w:t>
      </w:r>
    </w:p>
    <w:p w:rsidR="00CB3B5A" w:rsidRPr="00CB3B5A" w:rsidRDefault="00CB3B5A" w:rsidP="00CB3B5A">
      <w:pPr>
        <w:widowControl/>
        <w:numPr>
          <w:ilvl w:val="0"/>
          <w:numId w:val="6"/>
        </w:numPr>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b/>
          <w:bCs/>
          <w:spacing w:val="2"/>
          <w:kern w:val="0"/>
          <w:szCs w:val="21"/>
        </w:rPr>
        <w:t>The Hard Problem of Consciousness:</w:t>
      </w:r>
      <w:r w:rsidRPr="00CB3B5A">
        <w:rPr>
          <w:rFonts w:ascii="Roboto" w:eastAsia="宋体" w:hAnsi="Roboto" w:cs="宋体"/>
          <w:spacing w:val="2"/>
          <w:kern w:val="0"/>
          <w:szCs w:val="21"/>
        </w:rPr>
        <w:t xml:space="preserve"> While AAT offers a novel interpretation of consciousness, its capacity to fully address the “hard problem of </w:t>
      </w:r>
      <w:r w:rsidRPr="00CB3B5A">
        <w:rPr>
          <w:rFonts w:ascii="Roboto" w:eastAsia="宋体" w:hAnsi="Roboto" w:cs="宋体"/>
          <w:spacing w:val="2"/>
          <w:kern w:val="0"/>
          <w:szCs w:val="21"/>
        </w:rPr>
        <w:lastRenderedPageBreak/>
        <w:t>consciousness” [Chalmers, 1995] – the nature of qualia and subjective experience – remains to be further explored and demonstrated.</w:t>
      </w:r>
    </w:p>
    <w:p w:rsidR="00CB3B5A" w:rsidRPr="00CB3B5A" w:rsidRDefault="00CB3B5A" w:rsidP="00CB3B5A">
      <w:pPr>
        <w:widowControl/>
        <w:numPr>
          <w:ilvl w:val="0"/>
          <w:numId w:val="6"/>
        </w:numPr>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b/>
          <w:bCs/>
          <w:spacing w:val="2"/>
          <w:kern w:val="0"/>
          <w:szCs w:val="21"/>
        </w:rPr>
        <w:t>Complexity and Reductionism:</w:t>
      </w:r>
      <w:r w:rsidRPr="00CB3B5A">
        <w:rPr>
          <w:rFonts w:ascii="Roboto" w:eastAsia="宋体" w:hAnsi="Roboto" w:cs="宋体"/>
          <w:spacing w:val="2"/>
          <w:kern w:val="0"/>
          <w:szCs w:val="21"/>
        </w:rPr>
        <w:t> While AAT aims to transcend reductionism, the potential for </w:t>
      </w:r>
      <w:r w:rsidRPr="00CB3B5A">
        <w:rPr>
          <w:rFonts w:ascii="Roboto" w:eastAsia="宋体" w:hAnsi="Roboto" w:cs="宋体"/>
          <w:b/>
          <w:bCs/>
          <w:spacing w:val="2"/>
          <w:kern w:val="0"/>
          <w:szCs w:val="21"/>
        </w:rPr>
        <w:t>unintended reductionist interpretations</w:t>
      </w:r>
      <w:r w:rsidRPr="00CB3B5A">
        <w:rPr>
          <w:rFonts w:ascii="Roboto" w:eastAsia="宋体" w:hAnsi="Roboto" w:cs="宋体"/>
          <w:spacing w:val="2"/>
          <w:kern w:val="0"/>
          <w:szCs w:val="21"/>
        </w:rPr>
        <w:t> remains a concern. Careful articulation is needed to emphasize the emergent and holistic nature of Universal Attention and to avoid reducing complex phenomena to simplistic attentional mechanisms.</w:t>
      </w:r>
    </w:p>
    <w:p w:rsidR="00CB3B5A" w:rsidRPr="00CB3B5A" w:rsidRDefault="00CB3B5A" w:rsidP="00CB3B5A">
      <w:pPr>
        <w:widowControl/>
        <w:numPr>
          <w:ilvl w:val="0"/>
          <w:numId w:val="6"/>
        </w:numPr>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b/>
          <w:bCs/>
          <w:spacing w:val="2"/>
          <w:kern w:val="0"/>
          <w:szCs w:val="21"/>
        </w:rPr>
        <w:t>Ethical Implications and Practical Application:</w:t>
      </w:r>
      <w:r w:rsidRPr="00CB3B5A">
        <w:rPr>
          <w:rFonts w:ascii="Roboto" w:eastAsia="宋体" w:hAnsi="Roboto" w:cs="宋体"/>
          <w:spacing w:val="2"/>
          <w:kern w:val="0"/>
          <w:szCs w:val="21"/>
        </w:rPr>
        <w:t> The ethical framework of “Universalism” requires further elaboration and practical application. Developing concrete ethical guidelines and addressing potential conflicts and dilemmas within a Universalist ethics is crucial for its practical relevance and impact.</w:t>
      </w:r>
    </w:p>
    <w:p w:rsidR="00CB3B5A" w:rsidRPr="00CB3B5A" w:rsidRDefault="00CB3B5A" w:rsidP="00CB3B5A">
      <w:pPr>
        <w:widowControl/>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spacing w:val="2"/>
          <w:kern w:val="0"/>
          <w:szCs w:val="21"/>
        </w:rPr>
        <w:t>Despite these challenges, AAT offers a promising new direction for philosophical and scientific inquiry. Its strengths lie in its </w:t>
      </w:r>
      <w:r w:rsidRPr="00CB3B5A">
        <w:rPr>
          <w:rFonts w:ascii="Roboto" w:eastAsia="宋体" w:hAnsi="Roboto" w:cs="宋体"/>
          <w:b/>
          <w:bCs/>
          <w:spacing w:val="2"/>
          <w:kern w:val="0"/>
          <w:szCs w:val="21"/>
        </w:rPr>
        <w:t>unifying framework, its emphasis on process and agency, its integration of scientific principles, and its potential to provide a more coherent and comprehensive understanding of existence.</w:t>
      </w:r>
    </w:p>
    <w:p w:rsidR="00CB3B5A" w:rsidRPr="00CB3B5A" w:rsidRDefault="00CB3B5A" w:rsidP="00CB3B5A">
      <w:pPr>
        <w:widowControl/>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b/>
          <w:bCs/>
          <w:spacing w:val="2"/>
          <w:kern w:val="0"/>
          <w:szCs w:val="21"/>
        </w:rPr>
        <w:t>8. Conclusion</w:t>
      </w:r>
    </w:p>
    <w:p w:rsidR="00CB3B5A" w:rsidRPr="00CB3B5A" w:rsidRDefault="00CB3B5A" w:rsidP="00CB3B5A">
      <w:pPr>
        <w:widowControl/>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spacing w:val="2"/>
          <w:kern w:val="0"/>
          <w:szCs w:val="21"/>
        </w:rPr>
        <w:t>Attention Agency Theory proposes a radical shift in our understanding of reality by placing </w:t>
      </w:r>
      <w:r w:rsidRPr="00CB3B5A">
        <w:rPr>
          <w:rFonts w:ascii="Roboto" w:eastAsia="宋体" w:hAnsi="Roboto" w:cs="宋体"/>
          <w:b/>
          <w:bCs/>
          <w:spacing w:val="2"/>
          <w:kern w:val="0"/>
          <w:szCs w:val="21"/>
        </w:rPr>
        <w:t>“Universal Attention” at the center of existence.</w:t>
      </w:r>
      <w:r w:rsidRPr="00CB3B5A">
        <w:rPr>
          <w:rFonts w:ascii="Roboto" w:eastAsia="宋体" w:hAnsi="Roboto" w:cs="宋体"/>
          <w:spacing w:val="2"/>
          <w:kern w:val="0"/>
          <w:szCs w:val="21"/>
        </w:rPr>
        <w:t> By reinterpreting mind and matter as epistemological scaffolding, integrating active inference and Gibbs Free Energy minimization, and advocating for a Universalist ethics, AAT offers a novel and potentially transformative framework for addressing enduring philosophical questions. While further research and refinement are needed, AAT provides a compelling vision of a universe fundamentally driven by attention, agency, and the pursuit of order and value. It invites a paradigm shift in our thinking about consciousness, free will, ethics, and the very nature of being, encouraging a deeper appreciation for the ubiquitous agency and interconnectedness that permeates all of existence.</w:t>
      </w:r>
    </w:p>
    <w:p w:rsidR="00CB3B5A" w:rsidRPr="00CB3B5A" w:rsidRDefault="00CB3B5A" w:rsidP="00CB3B5A">
      <w:pPr>
        <w:widowControl/>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b/>
          <w:bCs/>
          <w:spacing w:val="2"/>
          <w:kern w:val="0"/>
          <w:szCs w:val="21"/>
        </w:rPr>
        <w:t>References</w:t>
      </w:r>
    </w:p>
    <w:p w:rsidR="00CB3B5A" w:rsidRPr="00CB3B5A" w:rsidRDefault="00CB3B5A" w:rsidP="00CB3B5A">
      <w:pPr>
        <w:widowControl/>
        <w:numPr>
          <w:ilvl w:val="0"/>
          <w:numId w:val="7"/>
        </w:numPr>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spacing w:val="2"/>
          <w:kern w:val="0"/>
          <w:szCs w:val="21"/>
        </w:rPr>
        <w:t>Callen, H. B. (1985). </w:t>
      </w:r>
      <w:r w:rsidRPr="00CB3B5A">
        <w:rPr>
          <w:rFonts w:ascii="Roboto" w:eastAsia="宋体" w:hAnsi="Roboto" w:cs="宋体"/>
          <w:i/>
          <w:iCs/>
          <w:spacing w:val="2"/>
          <w:kern w:val="0"/>
          <w:szCs w:val="21"/>
        </w:rPr>
        <w:t xml:space="preserve">Thermodynamics and an introduction to </w:t>
      </w:r>
      <w:proofErr w:type="spellStart"/>
      <w:r w:rsidRPr="00CB3B5A">
        <w:rPr>
          <w:rFonts w:ascii="Roboto" w:eastAsia="宋体" w:hAnsi="Roboto" w:cs="宋体"/>
          <w:i/>
          <w:iCs/>
          <w:spacing w:val="2"/>
          <w:kern w:val="0"/>
          <w:szCs w:val="21"/>
        </w:rPr>
        <w:t>thermostatistics</w:t>
      </w:r>
      <w:proofErr w:type="spellEnd"/>
      <w:r w:rsidRPr="00CB3B5A">
        <w:rPr>
          <w:rFonts w:ascii="Roboto" w:eastAsia="宋体" w:hAnsi="Roboto" w:cs="宋体"/>
          <w:spacing w:val="2"/>
          <w:kern w:val="0"/>
          <w:szCs w:val="21"/>
        </w:rPr>
        <w:t>. John Wiley &amp; Sons.</w:t>
      </w:r>
    </w:p>
    <w:p w:rsidR="00CB3B5A" w:rsidRPr="00CB3B5A" w:rsidRDefault="00CB3B5A" w:rsidP="00CB3B5A">
      <w:pPr>
        <w:widowControl/>
        <w:numPr>
          <w:ilvl w:val="0"/>
          <w:numId w:val="7"/>
        </w:numPr>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spacing w:val="2"/>
          <w:kern w:val="0"/>
          <w:szCs w:val="21"/>
        </w:rPr>
        <w:t>Chalmers, D. J. (1995). Facing up to the problem of consciousness. </w:t>
      </w:r>
      <w:r w:rsidRPr="00CB3B5A">
        <w:rPr>
          <w:rFonts w:ascii="Roboto" w:eastAsia="宋体" w:hAnsi="Roboto" w:cs="宋体"/>
          <w:i/>
          <w:iCs/>
          <w:spacing w:val="2"/>
          <w:kern w:val="0"/>
          <w:szCs w:val="21"/>
        </w:rPr>
        <w:t>Journal of consciousness studies</w:t>
      </w:r>
      <w:r w:rsidRPr="00CB3B5A">
        <w:rPr>
          <w:rFonts w:ascii="Roboto" w:eastAsia="宋体" w:hAnsi="Roboto" w:cs="宋体"/>
          <w:spacing w:val="2"/>
          <w:kern w:val="0"/>
          <w:szCs w:val="21"/>
        </w:rPr>
        <w:t>, </w:t>
      </w:r>
      <w:r w:rsidRPr="00CB3B5A">
        <w:rPr>
          <w:rFonts w:ascii="Roboto" w:eastAsia="宋体" w:hAnsi="Roboto" w:cs="宋体"/>
          <w:i/>
          <w:iCs/>
          <w:spacing w:val="2"/>
          <w:kern w:val="0"/>
          <w:szCs w:val="21"/>
        </w:rPr>
        <w:t>2</w:t>
      </w:r>
      <w:r w:rsidRPr="00CB3B5A">
        <w:rPr>
          <w:rFonts w:ascii="Roboto" w:eastAsia="宋体" w:hAnsi="Roboto" w:cs="宋体"/>
          <w:spacing w:val="2"/>
          <w:kern w:val="0"/>
          <w:szCs w:val="21"/>
        </w:rPr>
        <w:t>(3), 200-219.</w:t>
      </w:r>
    </w:p>
    <w:p w:rsidR="00CB3B5A" w:rsidRPr="00CB3B5A" w:rsidRDefault="00CB3B5A" w:rsidP="00CB3B5A">
      <w:pPr>
        <w:widowControl/>
        <w:numPr>
          <w:ilvl w:val="0"/>
          <w:numId w:val="7"/>
        </w:numPr>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spacing w:val="2"/>
          <w:kern w:val="0"/>
          <w:szCs w:val="21"/>
        </w:rPr>
        <w:t>Churchland, P. M. (1981). Eliminative materialism and the propositional attitudes. </w:t>
      </w:r>
      <w:r w:rsidRPr="00CB3B5A">
        <w:rPr>
          <w:rFonts w:ascii="Roboto" w:eastAsia="宋体" w:hAnsi="Roboto" w:cs="宋体"/>
          <w:i/>
          <w:iCs/>
          <w:spacing w:val="2"/>
          <w:kern w:val="0"/>
          <w:szCs w:val="21"/>
        </w:rPr>
        <w:t>Journal of Philosophy</w:t>
      </w:r>
      <w:r w:rsidRPr="00CB3B5A">
        <w:rPr>
          <w:rFonts w:ascii="Roboto" w:eastAsia="宋体" w:hAnsi="Roboto" w:cs="宋体"/>
          <w:spacing w:val="2"/>
          <w:kern w:val="0"/>
          <w:szCs w:val="21"/>
        </w:rPr>
        <w:t>, 67-90.</w:t>
      </w:r>
    </w:p>
    <w:p w:rsidR="00CB3B5A" w:rsidRPr="00CB3B5A" w:rsidRDefault="00CB3B5A" w:rsidP="00CB3B5A">
      <w:pPr>
        <w:widowControl/>
        <w:numPr>
          <w:ilvl w:val="0"/>
          <w:numId w:val="7"/>
        </w:numPr>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spacing w:val="2"/>
          <w:kern w:val="0"/>
          <w:szCs w:val="21"/>
        </w:rPr>
        <w:t>Descartes, R. (1641). </w:t>
      </w:r>
      <w:r w:rsidRPr="00CB3B5A">
        <w:rPr>
          <w:rFonts w:ascii="Roboto" w:eastAsia="宋体" w:hAnsi="Roboto" w:cs="宋体"/>
          <w:i/>
          <w:iCs/>
          <w:spacing w:val="2"/>
          <w:kern w:val="0"/>
          <w:szCs w:val="21"/>
        </w:rPr>
        <w:t>Meditations on first philosophy</w:t>
      </w:r>
      <w:r w:rsidRPr="00CB3B5A">
        <w:rPr>
          <w:rFonts w:ascii="Roboto" w:eastAsia="宋体" w:hAnsi="Roboto" w:cs="宋体"/>
          <w:spacing w:val="2"/>
          <w:kern w:val="0"/>
          <w:szCs w:val="21"/>
        </w:rPr>
        <w:t>.</w:t>
      </w:r>
    </w:p>
    <w:p w:rsidR="00CB3B5A" w:rsidRPr="00CB3B5A" w:rsidRDefault="00CB3B5A" w:rsidP="00CB3B5A">
      <w:pPr>
        <w:widowControl/>
        <w:numPr>
          <w:ilvl w:val="0"/>
          <w:numId w:val="7"/>
        </w:numPr>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spacing w:val="2"/>
          <w:kern w:val="0"/>
          <w:szCs w:val="21"/>
        </w:rPr>
        <w:t xml:space="preserve">Friston, K. (2010). The free-energy principle: a unified brain </w:t>
      </w:r>
      <w:proofErr w:type="gramStart"/>
      <w:r w:rsidRPr="00CB3B5A">
        <w:rPr>
          <w:rFonts w:ascii="Roboto" w:eastAsia="宋体" w:hAnsi="Roboto" w:cs="宋体"/>
          <w:spacing w:val="2"/>
          <w:kern w:val="0"/>
          <w:szCs w:val="21"/>
        </w:rPr>
        <w:t>theory?.</w:t>
      </w:r>
      <w:proofErr w:type="gramEnd"/>
      <w:r w:rsidRPr="00CB3B5A">
        <w:rPr>
          <w:rFonts w:ascii="Roboto" w:eastAsia="宋体" w:hAnsi="Roboto" w:cs="宋体"/>
          <w:spacing w:val="2"/>
          <w:kern w:val="0"/>
          <w:szCs w:val="21"/>
        </w:rPr>
        <w:t> </w:t>
      </w:r>
      <w:r w:rsidRPr="00CB3B5A">
        <w:rPr>
          <w:rFonts w:ascii="Roboto" w:eastAsia="宋体" w:hAnsi="Roboto" w:cs="宋体"/>
          <w:i/>
          <w:iCs/>
          <w:spacing w:val="2"/>
          <w:kern w:val="0"/>
          <w:szCs w:val="21"/>
        </w:rPr>
        <w:t>Nature reviews neuroscience</w:t>
      </w:r>
      <w:r w:rsidRPr="00CB3B5A">
        <w:rPr>
          <w:rFonts w:ascii="Roboto" w:eastAsia="宋体" w:hAnsi="Roboto" w:cs="宋体"/>
          <w:spacing w:val="2"/>
          <w:kern w:val="0"/>
          <w:szCs w:val="21"/>
        </w:rPr>
        <w:t>, </w:t>
      </w:r>
      <w:r w:rsidRPr="00CB3B5A">
        <w:rPr>
          <w:rFonts w:ascii="Roboto" w:eastAsia="宋体" w:hAnsi="Roboto" w:cs="宋体"/>
          <w:i/>
          <w:iCs/>
          <w:spacing w:val="2"/>
          <w:kern w:val="0"/>
          <w:szCs w:val="21"/>
        </w:rPr>
        <w:t>11</w:t>
      </w:r>
      <w:r w:rsidRPr="00CB3B5A">
        <w:rPr>
          <w:rFonts w:ascii="Roboto" w:eastAsia="宋体" w:hAnsi="Roboto" w:cs="宋体"/>
          <w:spacing w:val="2"/>
          <w:kern w:val="0"/>
          <w:szCs w:val="21"/>
        </w:rPr>
        <w:t>(2), 127-138.</w:t>
      </w:r>
    </w:p>
    <w:p w:rsidR="00CB3B5A" w:rsidRPr="00CB3B5A" w:rsidRDefault="00CB3B5A" w:rsidP="00CB3B5A">
      <w:pPr>
        <w:widowControl/>
        <w:numPr>
          <w:ilvl w:val="0"/>
          <w:numId w:val="7"/>
        </w:numPr>
        <w:shd w:val="clear" w:color="auto" w:fill="FFFFFF"/>
        <w:spacing w:before="100" w:beforeAutospacing="1" w:after="100" w:afterAutospacing="1"/>
        <w:jc w:val="left"/>
        <w:rPr>
          <w:rFonts w:ascii="Roboto" w:eastAsia="宋体" w:hAnsi="Roboto" w:cs="宋体"/>
          <w:spacing w:val="2"/>
          <w:kern w:val="0"/>
          <w:szCs w:val="21"/>
        </w:rPr>
      </w:pPr>
      <w:r w:rsidRPr="00CB3B5A">
        <w:rPr>
          <w:rFonts w:ascii="Roboto" w:eastAsia="宋体" w:hAnsi="Roboto" w:cs="宋体"/>
          <w:spacing w:val="2"/>
          <w:kern w:val="0"/>
          <w:szCs w:val="21"/>
        </w:rPr>
        <w:t>Whitehead, A. N. (1929). </w:t>
      </w:r>
      <w:r w:rsidRPr="00CB3B5A">
        <w:rPr>
          <w:rFonts w:ascii="Roboto" w:eastAsia="宋体" w:hAnsi="Roboto" w:cs="宋体"/>
          <w:i/>
          <w:iCs/>
          <w:spacing w:val="2"/>
          <w:kern w:val="0"/>
          <w:szCs w:val="21"/>
        </w:rPr>
        <w:t>Process and reality</w:t>
      </w:r>
      <w:r w:rsidRPr="00CB3B5A">
        <w:rPr>
          <w:rFonts w:ascii="Roboto" w:eastAsia="宋体" w:hAnsi="Roboto" w:cs="宋体"/>
          <w:spacing w:val="2"/>
          <w:kern w:val="0"/>
          <w:szCs w:val="21"/>
        </w:rPr>
        <w:t>. New York: Macmillan.</w:t>
      </w:r>
    </w:p>
    <w:p w:rsidR="00134337" w:rsidRPr="00CB3B5A" w:rsidRDefault="00134337"/>
    <w:sectPr w:rsidR="00134337" w:rsidRPr="00CB3B5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default"/>
    <w:sig w:usb0="00000000" w:usb1="00000000" w:usb2="00000000" w:usb3="00000000" w:csb0="80000000" w:csb1="00000000"/>
  </w:font>
  <w:font w:name="DengXian">
    <w:altName w:val="等线"/>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Roboto">
    <w:panose1 w:val="02000000000000000000"/>
    <w:charset w:val="00"/>
    <w:family w:val="auto"/>
    <w:pitch w:val="variable"/>
    <w:sig w:usb0="E0000AFF" w:usb1="5000217F" w:usb2="00000021" w:usb3="00000000" w:csb0="0000019F" w:csb1="00000000"/>
  </w:font>
  <w:font w:name="等线 Light">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412ACF"/>
    <w:multiLevelType w:val="multilevel"/>
    <w:tmpl w:val="F0C2E3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AA70BDD"/>
    <w:multiLevelType w:val="multilevel"/>
    <w:tmpl w:val="9AFE8D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E4378D6"/>
    <w:multiLevelType w:val="multilevel"/>
    <w:tmpl w:val="00ECCD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E4B4C0E"/>
    <w:multiLevelType w:val="multilevel"/>
    <w:tmpl w:val="04CA30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04F0230"/>
    <w:multiLevelType w:val="multilevel"/>
    <w:tmpl w:val="56928D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C7F08EB"/>
    <w:multiLevelType w:val="multilevel"/>
    <w:tmpl w:val="ABB48D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70017D3"/>
    <w:multiLevelType w:val="multilevel"/>
    <w:tmpl w:val="7A78CE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597714633">
    <w:abstractNumId w:val="2"/>
  </w:num>
  <w:num w:numId="2" w16cid:durableId="33508473">
    <w:abstractNumId w:val="4"/>
  </w:num>
  <w:num w:numId="3" w16cid:durableId="223104154">
    <w:abstractNumId w:val="6"/>
  </w:num>
  <w:num w:numId="4" w16cid:durableId="2038239707">
    <w:abstractNumId w:val="0"/>
  </w:num>
  <w:num w:numId="5" w16cid:durableId="525867584">
    <w:abstractNumId w:val="5"/>
  </w:num>
  <w:num w:numId="6" w16cid:durableId="803038299">
    <w:abstractNumId w:val="1"/>
  </w:num>
  <w:num w:numId="7" w16cid:durableId="116355166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3"/>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3B5A"/>
    <w:rsid w:val="00134337"/>
    <w:rsid w:val="00786479"/>
    <w:rsid w:val="00CB3B5A"/>
    <w:rsid w:val="00D25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6608FF3A"/>
  <w15:chartTrackingRefBased/>
  <w15:docId w15:val="{E54F7733-8D04-C043-8036-B4C69CDFEC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CB3B5A"/>
    <w:pPr>
      <w:widowControl/>
      <w:spacing w:before="100" w:beforeAutospacing="1" w:after="100" w:afterAutospacing="1"/>
      <w:jc w:val="left"/>
    </w:pPr>
    <w:rPr>
      <w:rFonts w:ascii="宋体" w:eastAsia="宋体" w:hAnsi="宋体" w:cs="宋体"/>
      <w:kern w:val="0"/>
      <w:sz w:val="24"/>
    </w:rPr>
  </w:style>
  <w:style w:type="character" w:styleId="a4">
    <w:name w:val="Strong"/>
    <w:basedOn w:val="a0"/>
    <w:uiPriority w:val="22"/>
    <w:qFormat/>
    <w:rsid w:val="00CB3B5A"/>
    <w:rPr>
      <w:b/>
      <w:bCs/>
    </w:rPr>
  </w:style>
  <w:style w:type="character" w:styleId="a5">
    <w:name w:val="Emphasis"/>
    <w:basedOn w:val="a0"/>
    <w:uiPriority w:val="20"/>
    <w:qFormat/>
    <w:rsid w:val="00CB3B5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46508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2477</Words>
  <Characters>14125</Characters>
  <Application>Microsoft Office Word</Application>
  <DocSecurity>0</DocSecurity>
  <Lines>117</Lines>
  <Paragraphs>33</Paragraphs>
  <ScaleCrop>false</ScaleCrop>
  <Company/>
  <LinksUpToDate>false</LinksUpToDate>
  <CharactersWithSpaces>16569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2025-02-15T08:00:00Z</dcterms:created>
  <dcterms:modified xsi:type="dcterms:W3CDTF">2025-02-15T08:01:00Z</dcterms:modified>
</cp:coreProperties>
</file>