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8F961" w14:textId="26C32E39" w:rsidR="00F75087" w:rsidRDefault="000056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Baskerville" w:hAnsi="Baskerville" w:cs="Baskerville"/>
        </w:rPr>
      </w:pPr>
      <w:r>
        <w:rPr>
          <w:rFonts w:ascii="Baskerville" w:hAnsi="Baskerville" w:cs="Baskerville"/>
        </w:rPr>
        <w:t xml:space="preserve">Jukka </w:t>
      </w:r>
      <w:proofErr w:type="spellStart"/>
      <w:r>
        <w:rPr>
          <w:rFonts w:ascii="Baskerville" w:hAnsi="Baskerville" w:cs="Baskerville"/>
        </w:rPr>
        <w:t>Mikkonen’s</w:t>
      </w:r>
      <w:proofErr w:type="spellEnd"/>
      <w:r>
        <w:rPr>
          <w:rFonts w:ascii="Baskerville" w:hAnsi="Baskerville" w:cs="Baskerville"/>
        </w:rPr>
        <w:t xml:space="preserve"> </w:t>
      </w:r>
      <w:r>
        <w:rPr>
          <w:rFonts w:ascii="Baskerville" w:hAnsi="Baskerville" w:cs="Baskerville"/>
          <w:i/>
        </w:rPr>
        <w:t>Philosophy, Literature and Understanding: On Reading and Cognition</w:t>
      </w:r>
      <w:r>
        <w:rPr>
          <w:rFonts w:ascii="Baskerville" w:hAnsi="Baskerville" w:cs="Baskerville"/>
        </w:rPr>
        <w:t xml:space="preserve"> elegantly presents new arguments to advance the research project known as literary cognitivism. Broadly, literary cognitivists try to defend two claims: 1) literature im</w:t>
      </w:r>
      <w:r w:rsidR="007A7CF7">
        <w:rPr>
          <w:rFonts w:ascii="Baskerville" w:hAnsi="Baskerville" w:cs="Baskerville"/>
        </w:rPr>
        <w:t>pacts</w:t>
      </w:r>
      <w:r>
        <w:rPr>
          <w:rFonts w:ascii="Baskerville" w:hAnsi="Baskerville" w:cs="Baskerville"/>
        </w:rPr>
        <w:t xml:space="preserve"> our cognitive standing</w:t>
      </w:r>
      <w:r w:rsidR="004C52C1">
        <w:rPr>
          <w:rFonts w:ascii="Baskerville" w:hAnsi="Baskerville" w:cs="Baskerville"/>
        </w:rPr>
        <w:t>;</w:t>
      </w:r>
      <w:r>
        <w:rPr>
          <w:rFonts w:ascii="Baskerville" w:hAnsi="Baskerville" w:cs="Baskerville"/>
        </w:rPr>
        <w:t xml:space="preserve"> 2) a literary work’s cognitive value explains its value </w:t>
      </w:r>
      <w:r>
        <w:rPr>
          <w:rFonts w:ascii="Baskerville" w:hAnsi="Baskerville" w:cs="Baskerville"/>
          <w:i/>
        </w:rPr>
        <w:t xml:space="preserve">qua </w:t>
      </w:r>
      <w:r>
        <w:rPr>
          <w:rFonts w:ascii="Baskerville" w:hAnsi="Baskerville" w:cs="Baskerville"/>
        </w:rPr>
        <w:t>literary art. This book provides novel elaborations of both theses and forwards timely methodological proposals</w:t>
      </w:r>
      <w:r w:rsidR="00AC081F">
        <w:rPr>
          <w:rFonts w:ascii="Baskerville" w:hAnsi="Baskerville" w:cs="Baskerville"/>
        </w:rPr>
        <w:t xml:space="preserve"> </w:t>
      </w:r>
      <w:r>
        <w:rPr>
          <w:rFonts w:ascii="Baskerville" w:hAnsi="Baskerville" w:cs="Baskerville"/>
        </w:rPr>
        <w:t>useful</w:t>
      </w:r>
      <w:r w:rsidR="0063595D">
        <w:rPr>
          <w:rFonts w:ascii="Baskerville" w:hAnsi="Baskerville" w:cs="Baskerville"/>
        </w:rPr>
        <w:t xml:space="preserve"> and provocative</w:t>
      </w:r>
      <w:r>
        <w:rPr>
          <w:rFonts w:ascii="Baskerville" w:hAnsi="Baskerville" w:cs="Baskerville"/>
        </w:rPr>
        <w:t xml:space="preserve"> </w:t>
      </w:r>
      <w:r w:rsidR="006E3453">
        <w:rPr>
          <w:rFonts w:ascii="Baskerville" w:hAnsi="Baskerville" w:cs="Baskerville"/>
        </w:rPr>
        <w:t>for</w:t>
      </w:r>
      <w:r w:rsidR="00AC081F">
        <w:rPr>
          <w:rFonts w:ascii="Baskerville" w:hAnsi="Baskerville" w:cs="Baskerville"/>
        </w:rPr>
        <w:t xml:space="preserve"> both</w:t>
      </w:r>
      <w:r w:rsidR="006E3453">
        <w:rPr>
          <w:rFonts w:ascii="Baskerville" w:hAnsi="Baskerville" w:cs="Baskerville"/>
        </w:rPr>
        <w:t xml:space="preserve"> philosophers of literature </w:t>
      </w:r>
      <w:r w:rsidR="00AC081F">
        <w:rPr>
          <w:rFonts w:ascii="Baskerville" w:hAnsi="Baskerville" w:cs="Baskerville"/>
        </w:rPr>
        <w:t>and</w:t>
      </w:r>
      <w:r w:rsidR="006E3453">
        <w:rPr>
          <w:rFonts w:ascii="Baskerville" w:hAnsi="Baskerville" w:cs="Baskerville"/>
        </w:rPr>
        <w:t xml:space="preserve"> </w:t>
      </w:r>
      <w:r w:rsidR="00AC081F">
        <w:rPr>
          <w:rFonts w:ascii="Baskerville" w:hAnsi="Baskerville" w:cs="Baskerville"/>
        </w:rPr>
        <w:t>art</w:t>
      </w:r>
      <w:r w:rsidR="006E3453">
        <w:rPr>
          <w:rFonts w:ascii="Baskerville" w:hAnsi="Baskerville" w:cs="Baskerville"/>
        </w:rPr>
        <w:t xml:space="preserve"> at large.</w:t>
      </w:r>
    </w:p>
    <w:p w14:paraId="3683D096" w14:textId="77777777" w:rsidR="00F75087" w:rsidRDefault="00F75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Baskerville" w:hAnsi="Baskerville" w:cs="Baskerville"/>
        </w:rPr>
      </w:pPr>
    </w:p>
    <w:p w14:paraId="79E5E155" w14:textId="74F7CC70" w:rsidR="00F75087" w:rsidRDefault="000056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Baskerville" w:hAnsi="Baskerville" w:cs="Baskerville"/>
        </w:rPr>
      </w:pPr>
      <w:r>
        <w:rPr>
          <w:rFonts w:ascii="Baskerville" w:hAnsi="Baskerville" w:cs="Baskerville"/>
        </w:rPr>
        <w:t xml:space="preserve">The book’s four chapters, which can be read together or </w:t>
      </w:r>
      <w:r w:rsidR="0063595D">
        <w:rPr>
          <w:rFonts w:ascii="Baskerville" w:hAnsi="Baskerville" w:cs="Baskerville"/>
        </w:rPr>
        <w:t>separately</w:t>
      </w:r>
      <w:r>
        <w:rPr>
          <w:rFonts w:ascii="Baskerville" w:hAnsi="Baskerville" w:cs="Baskerville"/>
        </w:rPr>
        <w:t>, attend to a central discrepancy between</w:t>
      </w:r>
      <w:r w:rsidR="0063595D">
        <w:rPr>
          <w:rFonts w:ascii="Baskerville" w:hAnsi="Baskerville" w:cs="Baskerville"/>
        </w:rPr>
        <w:t xml:space="preserve"> </w:t>
      </w:r>
      <w:r>
        <w:rPr>
          <w:rFonts w:ascii="Baskerville" w:hAnsi="Baskerville" w:cs="Baskerville"/>
        </w:rPr>
        <w:t xml:space="preserve">the </w:t>
      </w:r>
      <w:r w:rsidR="00AC081F">
        <w:rPr>
          <w:rFonts w:ascii="Baskerville" w:hAnsi="Baskerville" w:cs="Baskerville"/>
        </w:rPr>
        <w:t>kinds of cognition</w:t>
      </w:r>
      <w:r>
        <w:rPr>
          <w:rFonts w:ascii="Baskerville" w:hAnsi="Baskerville" w:cs="Baskerville"/>
        </w:rPr>
        <w:t xml:space="preserve"> that cognitivists and anti-cognitivists traditionally dispute over, and</w:t>
      </w:r>
      <w:r w:rsidR="0063595D">
        <w:rPr>
          <w:rFonts w:ascii="Baskerville" w:hAnsi="Baskerville" w:cs="Baskerville"/>
        </w:rPr>
        <w:t xml:space="preserve"> </w:t>
      </w:r>
      <w:r>
        <w:rPr>
          <w:rFonts w:ascii="Baskerville" w:hAnsi="Baskerville" w:cs="Baskerville"/>
        </w:rPr>
        <w:t xml:space="preserve">the way in which actual audiences, both professional critics and non-professional readers, appreciate works of literary art. A recurrent theme throughout the book is that seeking cognitive value is a genuine part of literary practice, but the </w:t>
      </w:r>
      <w:r w:rsidR="0063595D">
        <w:rPr>
          <w:rFonts w:ascii="Baskerville" w:hAnsi="Baskerville" w:cs="Baskerville"/>
        </w:rPr>
        <w:t>way it is</w:t>
      </w:r>
      <w:r>
        <w:rPr>
          <w:rFonts w:ascii="Baskerville" w:hAnsi="Baskerville" w:cs="Baskerville"/>
        </w:rPr>
        <w:t xml:space="preserve"> reali</w:t>
      </w:r>
      <w:r w:rsidR="001E4CF5">
        <w:rPr>
          <w:rFonts w:ascii="Baskerville" w:hAnsi="Baskerville" w:cs="Baskerville"/>
        </w:rPr>
        <w:t>z</w:t>
      </w:r>
      <w:r>
        <w:rPr>
          <w:rFonts w:ascii="Baskerville" w:hAnsi="Baskerville" w:cs="Baskerville"/>
        </w:rPr>
        <w:t xml:space="preserve">ed rarely involves the </w:t>
      </w:r>
      <w:r w:rsidR="0063595D">
        <w:rPr>
          <w:rFonts w:ascii="Baskerville" w:hAnsi="Baskerville" w:cs="Baskerville"/>
        </w:rPr>
        <w:t xml:space="preserve">mere </w:t>
      </w:r>
      <w:r>
        <w:rPr>
          <w:rFonts w:ascii="Baskerville" w:hAnsi="Baskerville" w:cs="Baskerville"/>
        </w:rPr>
        <w:t xml:space="preserve">transferral of knowledge. Rather, </w:t>
      </w:r>
      <w:proofErr w:type="spellStart"/>
      <w:r>
        <w:rPr>
          <w:rFonts w:ascii="Baskerville" w:hAnsi="Baskerville" w:cs="Baskerville"/>
        </w:rPr>
        <w:t>Mikkonen</w:t>
      </w:r>
      <w:proofErr w:type="spellEnd"/>
      <w:r>
        <w:rPr>
          <w:rFonts w:ascii="Baskerville" w:hAnsi="Baskerville" w:cs="Baskerville"/>
        </w:rPr>
        <w:t xml:space="preserve"> </w:t>
      </w:r>
      <w:r w:rsidR="0063595D">
        <w:rPr>
          <w:rFonts w:ascii="Baskerville" w:hAnsi="Baskerville" w:cs="Baskerville"/>
        </w:rPr>
        <w:t xml:space="preserve">argues that </w:t>
      </w:r>
      <w:r>
        <w:rPr>
          <w:rFonts w:ascii="Baskerville" w:hAnsi="Baskerville" w:cs="Baskerville"/>
        </w:rPr>
        <w:t xml:space="preserve">literary works help audiences to achieve </w:t>
      </w:r>
      <w:r w:rsidRPr="0063595D">
        <w:rPr>
          <w:rFonts w:ascii="Baskerville" w:hAnsi="Baskerville" w:cs="Baskerville"/>
          <w:i/>
          <w:iCs/>
        </w:rPr>
        <w:t xml:space="preserve">understanding </w:t>
      </w:r>
      <w:r>
        <w:rPr>
          <w:rFonts w:ascii="Baskerville" w:hAnsi="Baskerville" w:cs="Baskerville"/>
        </w:rPr>
        <w:t xml:space="preserve">of themselves and their place in their social world. </w:t>
      </w:r>
    </w:p>
    <w:p w14:paraId="030267BA" w14:textId="77777777" w:rsidR="00F75087" w:rsidRDefault="00F75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Baskerville" w:hAnsi="Baskerville" w:cs="Baskerville"/>
        </w:rPr>
      </w:pPr>
    </w:p>
    <w:p w14:paraId="0E520924" w14:textId="28892ED4" w:rsidR="00F75087" w:rsidRDefault="000056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Baskerville" w:hAnsi="Baskerville" w:cs="Baskerville"/>
        </w:rPr>
      </w:pPr>
      <w:r>
        <w:rPr>
          <w:rFonts w:ascii="Baskerville" w:hAnsi="Baskerville" w:cs="Baskerville"/>
        </w:rPr>
        <w:t xml:space="preserve">This argument emerges from </w:t>
      </w:r>
      <w:proofErr w:type="spellStart"/>
      <w:r>
        <w:rPr>
          <w:rFonts w:ascii="Baskerville" w:hAnsi="Baskerville" w:cs="Baskerville"/>
        </w:rPr>
        <w:t>Mikkonen’s</w:t>
      </w:r>
      <w:proofErr w:type="spellEnd"/>
      <w:r>
        <w:rPr>
          <w:rFonts w:ascii="Baskerville" w:hAnsi="Baskerville" w:cs="Baskerville"/>
        </w:rPr>
        <w:t xml:space="preserve"> proposal for a methodology bound by three constraints. First, literary cognitivism must be conducted as a form of </w:t>
      </w:r>
      <w:proofErr w:type="spellStart"/>
      <w:r>
        <w:rPr>
          <w:rFonts w:ascii="Baskerville" w:hAnsi="Baskerville" w:cs="Baskerville"/>
        </w:rPr>
        <w:t>metacriticism</w:t>
      </w:r>
      <w:proofErr w:type="spellEnd"/>
      <w:r>
        <w:rPr>
          <w:rFonts w:ascii="Baskerville" w:hAnsi="Baskerville" w:cs="Baskerville"/>
        </w:rPr>
        <w:t xml:space="preserve">. </w:t>
      </w:r>
      <w:r w:rsidR="0063595D">
        <w:rPr>
          <w:rFonts w:ascii="Baskerville" w:hAnsi="Baskerville" w:cs="Baskerville"/>
        </w:rPr>
        <w:t>Since</w:t>
      </w:r>
      <w:r>
        <w:rPr>
          <w:rFonts w:ascii="Baskerville" w:hAnsi="Baskerville" w:cs="Baskerville"/>
        </w:rPr>
        <w:t xml:space="preserve"> imagination, narrative-making, and cognitive improvement are at work all the time in all kinds of contexts beyond literature</w:t>
      </w:r>
      <w:r w:rsidR="0063595D">
        <w:rPr>
          <w:rFonts w:ascii="Baskerville" w:hAnsi="Baskerville" w:cs="Baskerville"/>
        </w:rPr>
        <w:t xml:space="preserve">, </w:t>
      </w:r>
      <w:r>
        <w:rPr>
          <w:rFonts w:ascii="Baskerville" w:hAnsi="Baskerville" w:cs="Baskerville"/>
        </w:rPr>
        <w:t xml:space="preserve">the literary cognitivist should </w:t>
      </w:r>
      <w:r w:rsidR="00BF70A0">
        <w:rPr>
          <w:rFonts w:ascii="Baskerville" w:hAnsi="Baskerville" w:cs="Baskerville"/>
        </w:rPr>
        <w:t>look to criticism for evidence of what makes these</w:t>
      </w:r>
      <w:r w:rsidR="007A7CF7">
        <w:rPr>
          <w:rFonts w:ascii="Baskerville" w:hAnsi="Baskerville" w:cs="Baskerville"/>
        </w:rPr>
        <w:t xml:space="preserve"> features</w:t>
      </w:r>
      <w:r>
        <w:rPr>
          <w:rFonts w:ascii="Baskerville" w:hAnsi="Baskerville" w:cs="Baskerville"/>
        </w:rPr>
        <w:t xml:space="preserve"> distinctly </w:t>
      </w:r>
      <w:r>
        <w:rPr>
          <w:rFonts w:ascii="Baskerville" w:hAnsi="Baskerville" w:cs="Baskerville"/>
          <w:i/>
        </w:rPr>
        <w:t>literary.</w:t>
      </w:r>
      <w:r>
        <w:rPr>
          <w:rFonts w:ascii="Baskerville" w:hAnsi="Baskerville" w:cs="Baskerville"/>
        </w:rPr>
        <w:t xml:space="preserve"> Second, literary cognitivism </w:t>
      </w:r>
      <w:r w:rsidR="0063595D">
        <w:rPr>
          <w:rFonts w:ascii="Baskerville" w:hAnsi="Baskerville" w:cs="Baskerville"/>
        </w:rPr>
        <w:t>should</w:t>
      </w:r>
      <w:r>
        <w:rPr>
          <w:rFonts w:ascii="Baskerville" w:hAnsi="Baskerville" w:cs="Baskerville"/>
        </w:rPr>
        <w:t xml:space="preserve"> be constrained by </w:t>
      </w:r>
      <w:r w:rsidR="004772B8">
        <w:rPr>
          <w:rFonts w:ascii="Baskerville" w:hAnsi="Baskerville" w:cs="Baskerville"/>
        </w:rPr>
        <w:t>actual literary</w:t>
      </w:r>
      <w:r w:rsidR="007A7CF7">
        <w:rPr>
          <w:rFonts w:ascii="Baskerville" w:hAnsi="Baskerville" w:cs="Baskerville"/>
        </w:rPr>
        <w:t xml:space="preserve"> practice</w:t>
      </w:r>
      <w:r>
        <w:rPr>
          <w:rFonts w:ascii="Baskerville" w:hAnsi="Baskerville" w:cs="Baskerville"/>
        </w:rPr>
        <w:t xml:space="preserve">, </w:t>
      </w:r>
      <w:r w:rsidR="004772B8">
        <w:rPr>
          <w:rFonts w:ascii="Baskerville" w:hAnsi="Baskerville" w:cs="Baskerville"/>
        </w:rPr>
        <w:t>captured not</w:t>
      </w:r>
      <w:r>
        <w:rPr>
          <w:rFonts w:ascii="Baskerville" w:hAnsi="Baskerville" w:cs="Baskerville"/>
        </w:rPr>
        <w:t xml:space="preserve"> just </w:t>
      </w:r>
      <w:r w:rsidR="007A7CF7">
        <w:rPr>
          <w:rFonts w:ascii="Baskerville" w:hAnsi="Baskerville" w:cs="Baskerville"/>
        </w:rPr>
        <w:t xml:space="preserve">in </w:t>
      </w:r>
      <w:r w:rsidR="004772B8">
        <w:rPr>
          <w:rFonts w:ascii="Baskerville" w:hAnsi="Baskerville" w:cs="Baskerville"/>
        </w:rPr>
        <w:t xml:space="preserve">professional </w:t>
      </w:r>
      <w:r>
        <w:rPr>
          <w:rFonts w:ascii="Baskerville" w:hAnsi="Baskerville" w:cs="Baskerville"/>
        </w:rPr>
        <w:t>art criticism, but</w:t>
      </w:r>
      <w:r w:rsidR="004772B8">
        <w:rPr>
          <w:rFonts w:ascii="Baskerville" w:hAnsi="Baskerville" w:cs="Baskerville"/>
        </w:rPr>
        <w:t xml:space="preserve"> also </w:t>
      </w:r>
      <w:r w:rsidR="007121B1">
        <w:rPr>
          <w:rFonts w:ascii="Baskerville" w:hAnsi="Baskerville" w:cs="Baskerville"/>
        </w:rPr>
        <w:t>in</w:t>
      </w:r>
      <w:r w:rsidR="007A7CF7">
        <w:rPr>
          <w:rFonts w:ascii="Baskerville" w:hAnsi="Baskerville" w:cs="Baskerville"/>
        </w:rPr>
        <w:t xml:space="preserve"> literary historical and sociological reception studies</w:t>
      </w:r>
      <w:r w:rsidR="007121B1">
        <w:rPr>
          <w:rFonts w:ascii="Baskerville" w:hAnsi="Baskerville" w:cs="Baskerville"/>
        </w:rPr>
        <w:t>.</w:t>
      </w:r>
      <w:r>
        <w:rPr>
          <w:rFonts w:ascii="Baskerville" w:hAnsi="Baskerville" w:cs="Baskerville"/>
        </w:rPr>
        <w:t xml:space="preserve"> </w:t>
      </w:r>
      <w:r w:rsidR="007121B1">
        <w:rPr>
          <w:rFonts w:ascii="Baskerville" w:hAnsi="Baskerville" w:cs="Baskerville"/>
        </w:rPr>
        <w:t>Third, i</w:t>
      </w:r>
      <w:r>
        <w:rPr>
          <w:rFonts w:ascii="Baskerville" w:hAnsi="Baskerville" w:cs="Baskerville"/>
        </w:rPr>
        <w:t xml:space="preserve">t must pay attention </w:t>
      </w:r>
      <w:r w:rsidR="0063595D">
        <w:rPr>
          <w:rFonts w:ascii="Baskerville" w:hAnsi="Baskerville" w:cs="Baskerville"/>
        </w:rPr>
        <w:t xml:space="preserve">close </w:t>
      </w:r>
      <w:r>
        <w:rPr>
          <w:rFonts w:ascii="Baskerville" w:hAnsi="Baskerville" w:cs="Baskerville"/>
        </w:rPr>
        <w:t>to actual</w:t>
      </w:r>
      <w:r w:rsidR="007A7CF7">
        <w:rPr>
          <w:rFonts w:ascii="Baskerville" w:hAnsi="Baskerville" w:cs="Baskerville"/>
        </w:rPr>
        <w:t xml:space="preserve"> individual</w:t>
      </w:r>
      <w:r>
        <w:rPr>
          <w:rFonts w:ascii="Baskerville" w:hAnsi="Baskerville" w:cs="Baskerville"/>
        </w:rPr>
        <w:t xml:space="preserve"> readers’ experiences of engaging and living with literature. Throughout, care is taken to engage not only with the</w:t>
      </w:r>
      <w:r w:rsidR="006E3453">
        <w:rPr>
          <w:rFonts w:ascii="Baskerville" w:hAnsi="Baskerville" w:cs="Baskerville"/>
        </w:rPr>
        <w:t xml:space="preserve"> relevant</w:t>
      </w:r>
      <w:r>
        <w:rPr>
          <w:rFonts w:ascii="Baskerville" w:hAnsi="Baskerville" w:cs="Baskerville"/>
        </w:rPr>
        <w:t xml:space="preserve"> philosoph</w:t>
      </w:r>
      <w:r w:rsidR="0063595D">
        <w:rPr>
          <w:rFonts w:ascii="Baskerville" w:hAnsi="Baskerville" w:cs="Baskerville"/>
        </w:rPr>
        <w:t>y</w:t>
      </w:r>
      <w:r>
        <w:rPr>
          <w:rFonts w:ascii="Baskerville" w:hAnsi="Baskerville" w:cs="Baskerville"/>
        </w:rPr>
        <w:t xml:space="preserve">, but </w:t>
      </w:r>
      <w:r w:rsidR="006E3453">
        <w:rPr>
          <w:rFonts w:ascii="Baskerville" w:hAnsi="Baskerville" w:cs="Baskerville"/>
        </w:rPr>
        <w:t xml:space="preserve">also </w:t>
      </w:r>
      <w:r>
        <w:rPr>
          <w:rFonts w:ascii="Baskerville" w:hAnsi="Baskerville" w:cs="Baskerville"/>
        </w:rPr>
        <w:t xml:space="preserve">considerations from an </w:t>
      </w:r>
      <w:r>
        <w:rPr>
          <w:rFonts w:ascii="Baskerville" w:hAnsi="Baskerville" w:cs="Baskerville"/>
        </w:rPr>
        <w:lastRenderedPageBreak/>
        <w:t xml:space="preserve">admirably wide range of literary scholars, writers, psychologists, cognitive scientists and readers. </w:t>
      </w:r>
    </w:p>
    <w:p w14:paraId="7C3550E4" w14:textId="77777777" w:rsidR="00F75087" w:rsidRDefault="00F75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Baskerville" w:hAnsi="Baskerville" w:cs="Baskerville"/>
        </w:rPr>
      </w:pPr>
    </w:p>
    <w:p w14:paraId="246D2F1E" w14:textId="08DA9B12" w:rsidR="00F75087" w:rsidRDefault="000056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Baskerville" w:hAnsi="Baskerville" w:cs="Baskerville"/>
        </w:rPr>
      </w:pPr>
      <w:r>
        <w:rPr>
          <w:rFonts w:ascii="Baskerville" w:hAnsi="Baskerville" w:cs="Baskerville"/>
        </w:rPr>
        <w:t xml:space="preserve">Chapter 1 </w:t>
      </w:r>
      <w:r w:rsidR="007A7CF7">
        <w:rPr>
          <w:rFonts w:ascii="Baskerville" w:hAnsi="Baskerville" w:cs="Baskerville"/>
        </w:rPr>
        <w:t>directs</w:t>
      </w:r>
      <w:r w:rsidR="00440EAC">
        <w:rPr>
          <w:rFonts w:ascii="Baskerville" w:hAnsi="Baskerville" w:cs="Baskerville"/>
        </w:rPr>
        <w:t xml:space="preserve"> this method to</w:t>
      </w:r>
      <w:r w:rsidR="007A7CF7">
        <w:rPr>
          <w:rFonts w:ascii="Baskerville" w:hAnsi="Baskerville" w:cs="Baskerville"/>
        </w:rPr>
        <w:t xml:space="preserve">wards </w:t>
      </w:r>
      <w:r>
        <w:rPr>
          <w:rFonts w:ascii="Baskerville" w:hAnsi="Baskerville" w:cs="Baskerville"/>
        </w:rPr>
        <w:t>a central theme in the philosophy of literature: the role of imagination in engaging with fiction. Two influential theories of fiction, from Kendall Walton and Gregory Currie</w:t>
      </w:r>
      <w:r w:rsidR="001E4CF5">
        <w:rPr>
          <w:rFonts w:ascii="Baskerville" w:hAnsi="Baskerville" w:cs="Baskerville"/>
        </w:rPr>
        <w:t xml:space="preserve">, </w:t>
      </w:r>
      <w:r>
        <w:rPr>
          <w:rFonts w:ascii="Baskerville" w:hAnsi="Baskerville" w:cs="Baskerville"/>
        </w:rPr>
        <w:t>develop account</w:t>
      </w:r>
      <w:r w:rsidR="007121B1">
        <w:rPr>
          <w:rFonts w:ascii="Baskerville" w:hAnsi="Baskerville" w:cs="Baskerville"/>
        </w:rPr>
        <w:t>s in which</w:t>
      </w:r>
      <w:r>
        <w:rPr>
          <w:rFonts w:ascii="Baskerville" w:hAnsi="Baskerville" w:cs="Baskerville"/>
        </w:rPr>
        <w:t xml:space="preserve"> reader</w:t>
      </w:r>
      <w:r w:rsidR="0063595D">
        <w:rPr>
          <w:rFonts w:ascii="Baskerville" w:hAnsi="Baskerville" w:cs="Baskerville"/>
        </w:rPr>
        <w:t>s</w:t>
      </w:r>
      <w:r>
        <w:rPr>
          <w:rFonts w:ascii="Baskerville" w:hAnsi="Baskerville" w:cs="Baskerville"/>
        </w:rPr>
        <w:t xml:space="preserve"> of </w:t>
      </w:r>
      <w:r w:rsidR="007A7CF7">
        <w:rPr>
          <w:rFonts w:ascii="Baskerville" w:hAnsi="Baskerville" w:cs="Baskerville"/>
        </w:rPr>
        <w:t>fictions</w:t>
      </w:r>
      <w:r>
        <w:rPr>
          <w:rFonts w:ascii="Baskerville" w:hAnsi="Baskerville" w:cs="Baskerville"/>
        </w:rPr>
        <w:t xml:space="preserve"> make-believe that they are reading someone’s reports of actual events</w:t>
      </w:r>
      <w:r w:rsidR="007A7CF7">
        <w:rPr>
          <w:rFonts w:ascii="Baskerville" w:hAnsi="Baskerville" w:cs="Baskerville"/>
        </w:rPr>
        <w:t>, which</w:t>
      </w:r>
      <w:r>
        <w:rPr>
          <w:rFonts w:ascii="Baskerville" w:hAnsi="Baskerville" w:cs="Baskerville"/>
        </w:rPr>
        <w:t xml:space="preserve"> mandate or intend certain appropriate imaginings in their readers, and mark other imaginative responses as inappropriate.</w:t>
      </w:r>
      <w:r w:rsidR="007121B1">
        <w:rPr>
          <w:rStyle w:val="FootnoteReference"/>
          <w:rFonts w:ascii="Baskerville" w:hAnsi="Baskerville" w:cs="Baskerville"/>
        </w:rPr>
        <w:footnoteReference w:id="1"/>
      </w:r>
      <w:r>
        <w:rPr>
          <w:rFonts w:ascii="Baskerville" w:hAnsi="Baskerville" w:cs="Baskerville"/>
        </w:rPr>
        <w:t xml:space="preserve"> </w:t>
      </w:r>
      <w:proofErr w:type="spellStart"/>
      <w:r>
        <w:rPr>
          <w:rFonts w:ascii="Baskerville" w:hAnsi="Baskerville" w:cs="Baskerville"/>
        </w:rPr>
        <w:t>Mikkonen</w:t>
      </w:r>
      <w:proofErr w:type="spellEnd"/>
      <w:r>
        <w:rPr>
          <w:rFonts w:ascii="Baskerville" w:hAnsi="Baskerville" w:cs="Baskerville"/>
        </w:rPr>
        <w:t xml:space="preserve"> moves against this view by arguing that whilst this might make sense of many kinds of fiction, </w:t>
      </w:r>
      <w:r>
        <w:rPr>
          <w:rFonts w:ascii="Baskerville" w:hAnsi="Baskerville" w:cs="Baskerville"/>
          <w:i/>
        </w:rPr>
        <w:t>literary</w:t>
      </w:r>
      <w:r>
        <w:rPr>
          <w:rFonts w:ascii="Baskerville" w:hAnsi="Baskerville" w:cs="Baskerville"/>
        </w:rPr>
        <w:t xml:space="preserve"> fictions also pique our appreciative interest by eschewing clear and complete reports. Instead, readers</w:t>
      </w:r>
      <w:r w:rsidR="0059741F">
        <w:rPr>
          <w:rFonts w:ascii="Baskerville" w:hAnsi="Baskerville" w:cs="Baskerville"/>
        </w:rPr>
        <w:t xml:space="preserve"> often find</w:t>
      </w:r>
      <w:r>
        <w:rPr>
          <w:rFonts w:ascii="Baskerville" w:hAnsi="Baskerville" w:cs="Baskerville"/>
        </w:rPr>
        <w:t xml:space="preserve"> pleasure in </w:t>
      </w:r>
      <w:r w:rsidR="0063595D">
        <w:rPr>
          <w:rFonts w:ascii="Baskerville" w:hAnsi="Baskerville" w:cs="Baskerville"/>
        </w:rPr>
        <w:t xml:space="preserve">imaginatively </w:t>
      </w:r>
      <w:r>
        <w:rPr>
          <w:rFonts w:ascii="Baskerville" w:hAnsi="Baskerville" w:cs="Baskerville"/>
        </w:rPr>
        <w:t xml:space="preserve">exploring the ambiguities, gaps and problems intentionally presented within literary fictions. </w:t>
      </w:r>
      <w:proofErr w:type="spellStart"/>
      <w:r>
        <w:rPr>
          <w:rFonts w:ascii="Baskerville" w:hAnsi="Baskerville" w:cs="Baskerville"/>
        </w:rPr>
        <w:t>Mikkonen</w:t>
      </w:r>
      <w:proofErr w:type="spellEnd"/>
      <w:r>
        <w:rPr>
          <w:rFonts w:ascii="Baskerville" w:hAnsi="Baskerville" w:cs="Baskerville"/>
        </w:rPr>
        <w:t xml:space="preserve"> claims that the kind of imagination that literature </w:t>
      </w:r>
      <w:r w:rsidR="004C52C1">
        <w:rPr>
          <w:rFonts w:ascii="Baskerville" w:hAnsi="Baskerville" w:cs="Baskerville"/>
        </w:rPr>
        <w:t xml:space="preserve">often </w:t>
      </w:r>
      <w:r>
        <w:rPr>
          <w:rFonts w:ascii="Baskerville" w:hAnsi="Baskerville" w:cs="Baskerville"/>
        </w:rPr>
        <w:t xml:space="preserve">distinctly calls for is not a passively receptive </w:t>
      </w:r>
      <w:r>
        <w:rPr>
          <w:rFonts w:ascii="Baskerville" w:hAnsi="Baskerville" w:cs="Baskerville"/>
          <w:i/>
        </w:rPr>
        <w:t>attitude</w:t>
      </w:r>
      <w:r>
        <w:rPr>
          <w:rFonts w:ascii="Baskerville" w:hAnsi="Baskerville" w:cs="Baskerville"/>
        </w:rPr>
        <w:t xml:space="preserve">, but rather collaborative </w:t>
      </w:r>
      <w:r>
        <w:rPr>
          <w:rFonts w:ascii="Baskerville" w:hAnsi="Baskerville" w:cs="Baskerville"/>
          <w:i/>
        </w:rPr>
        <w:t>activity</w:t>
      </w:r>
      <w:r>
        <w:rPr>
          <w:rFonts w:ascii="Baskerville" w:hAnsi="Baskerville" w:cs="Baskerville"/>
        </w:rPr>
        <w:t xml:space="preserve"> with a literary work, readers using their own cognitive and imaginative skills to complement and concreti</w:t>
      </w:r>
      <w:r w:rsidR="001E4CF5">
        <w:rPr>
          <w:rFonts w:ascii="Baskerville" w:hAnsi="Baskerville" w:cs="Baskerville"/>
        </w:rPr>
        <w:t>z</w:t>
      </w:r>
      <w:r>
        <w:rPr>
          <w:rFonts w:ascii="Baskerville" w:hAnsi="Baskerville" w:cs="Baskerville"/>
        </w:rPr>
        <w:t>e a work’s narrative indeterminacies.</w:t>
      </w:r>
    </w:p>
    <w:p w14:paraId="0BB56825" w14:textId="77777777" w:rsidR="00F75087" w:rsidRDefault="00F75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Baskerville" w:hAnsi="Baskerville" w:cs="Baskerville"/>
        </w:rPr>
      </w:pPr>
    </w:p>
    <w:p w14:paraId="4969098A" w14:textId="5CBD9873" w:rsidR="00F75087" w:rsidRDefault="006359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Baskerville" w:hAnsi="Baskerville" w:cs="Baskerville"/>
        </w:rPr>
      </w:pPr>
      <w:r>
        <w:rPr>
          <w:rFonts w:ascii="Baskerville" w:hAnsi="Baskerville" w:cs="Baskerville"/>
        </w:rPr>
        <w:t>As this thesis is developed, c</w:t>
      </w:r>
      <w:r w:rsidR="00005636">
        <w:rPr>
          <w:rFonts w:ascii="Baskerville" w:hAnsi="Baskerville" w:cs="Baskerville"/>
        </w:rPr>
        <w:t xml:space="preserve">are is taken to </w:t>
      </w:r>
      <w:r>
        <w:rPr>
          <w:rFonts w:ascii="Baskerville" w:hAnsi="Baskerville" w:cs="Baskerville"/>
        </w:rPr>
        <w:t>tend to</w:t>
      </w:r>
      <w:r w:rsidR="00005636">
        <w:rPr>
          <w:rFonts w:ascii="Baskerville" w:hAnsi="Baskerville" w:cs="Baskerville"/>
        </w:rPr>
        <w:t xml:space="preserve"> the worry that emphasising these features elides the proper object of literary appreciation – the artwork itself – with the contingent, idiosyncratic commitments readers bring with them</w:t>
      </w:r>
      <w:r w:rsidR="0059741F">
        <w:rPr>
          <w:rFonts w:ascii="Baskerville" w:hAnsi="Baskerville" w:cs="Baskerville"/>
        </w:rPr>
        <w:t xml:space="preserve">. </w:t>
      </w:r>
      <w:r w:rsidR="00B43929">
        <w:rPr>
          <w:rFonts w:ascii="Baskerville" w:hAnsi="Baskerville" w:cs="Baskerville"/>
        </w:rPr>
        <w:t>In response</w:t>
      </w:r>
      <w:r w:rsidR="00005636">
        <w:rPr>
          <w:rFonts w:ascii="Baskerville" w:hAnsi="Baskerville" w:cs="Baskerville"/>
        </w:rPr>
        <w:t xml:space="preserve">, </w:t>
      </w:r>
      <w:proofErr w:type="spellStart"/>
      <w:r w:rsidR="00005636">
        <w:rPr>
          <w:rFonts w:ascii="Baskerville" w:hAnsi="Baskerville" w:cs="Baskerville"/>
        </w:rPr>
        <w:t>Mikkonen</w:t>
      </w:r>
      <w:proofErr w:type="spellEnd"/>
      <w:r w:rsidR="00005636">
        <w:rPr>
          <w:rFonts w:ascii="Baskerville" w:hAnsi="Baskerville" w:cs="Baskerville"/>
        </w:rPr>
        <w:t xml:space="preserve"> digs into this imaginative and cognitive overlap between artwork and audience, casting doubt on the ease of separating the two parties. Instead of seeing literary works as </w:t>
      </w:r>
      <w:r w:rsidR="00005636">
        <w:rPr>
          <w:rFonts w:ascii="Baskerville" w:hAnsi="Baskerville" w:cs="Baskerville"/>
          <w:i/>
        </w:rPr>
        <w:t>objectively</w:t>
      </w:r>
      <w:r w:rsidR="00005636">
        <w:rPr>
          <w:rFonts w:ascii="Baskerville" w:hAnsi="Baskerville" w:cs="Baskerville"/>
        </w:rPr>
        <w:t xml:space="preserve"> containing insights and appropriate imaginings that are recovered by competent readers, literary practice is </w:t>
      </w:r>
      <w:r w:rsidR="00005636">
        <w:rPr>
          <w:rFonts w:ascii="Baskerville" w:hAnsi="Baskerville" w:cs="Baskerville"/>
        </w:rPr>
        <w:lastRenderedPageBreak/>
        <w:t xml:space="preserve">found to actually motivate a </w:t>
      </w:r>
      <w:r w:rsidR="00005636">
        <w:rPr>
          <w:rFonts w:ascii="Baskerville" w:hAnsi="Baskerville" w:cs="Baskerville"/>
          <w:i/>
        </w:rPr>
        <w:t>relational</w:t>
      </w:r>
      <w:r w:rsidR="00005636">
        <w:rPr>
          <w:rFonts w:ascii="Baskerville" w:hAnsi="Baskerville" w:cs="Baskerville"/>
        </w:rPr>
        <w:t xml:space="preserve"> approach. </w:t>
      </w:r>
      <w:proofErr w:type="spellStart"/>
      <w:r w:rsidR="00B43929">
        <w:rPr>
          <w:rFonts w:ascii="Baskerville" w:hAnsi="Baskerville" w:cs="Baskerville"/>
        </w:rPr>
        <w:t>Mikkonen</w:t>
      </w:r>
      <w:proofErr w:type="spellEnd"/>
      <w:r w:rsidR="00B43929">
        <w:rPr>
          <w:rFonts w:ascii="Baskerville" w:hAnsi="Baskerville" w:cs="Baskerville"/>
        </w:rPr>
        <w:t xml:space="preserve"> argues that t</w:t>
      </w:r>
      <w:r w:rsidR="00005636">
        <w:rPr>
          <w:rFonts w:ascii="Baskerville" w:hAnsi="Baskerville" w:cs="Baskerville"/>
        </w:rPr>
        <w:t>he imaginative and, in turn, cognitive effects are frequently dependent on “the reader’s literary competence and the interpretive frame they use, partly on the reader’s background knowledge on which the fiction operates and partly on the reader’s interest at the time.” (116)</w:t>
      </w:r>
    </w:p>
    <w:p w14:paraId="5D9FD284" w14:textId="77777777" w:rsidR="00F75087" w:rsidRDefault="00F75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Baskerville" w:hAnsi="Baskerville" w:cs="Baskerville"/>
        </w:rPr>
      </w:pPr>
    </w:p>
    <w:p w14:paraId="575BF48F" w14:textId="16E6A3C7" w:rsidR="00F75087" w:rsidRDefault="000056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Baskerville" w:hAnsi="Baskerville" w:cs="Baskerville"/>
        </w:rPr>
      </w:pPr>
      <w:r>
        <w:rPr>
          <w:rFonts w:ascii="Baskerville" w:hAnsi="Baskerville" w:cs="Baskerville"/>
        </w:rPr>
        <w:t xml:space="preserve">The cognitive dimensions of this view are developed through the central two chapters. </w:t>
      </w:r>
      <w:r w:rsidR="00B43929">
        <w:rPr>
          <w:rFonts w:ascii="Baskerville" w:hAnsi="Baskerville" w:cs="Baskerville"/>
        </w:rPr>
        <w:t>First up is</w:t>
      </w:r>
      <w:r>
        <w:rPr>
          <w:rFonts w:ascii="Baskerville" w:hAnsi="Baskerville" w:cs="Baskerville"/>
        </w:rPr>
        <w:t xml:space="preserve"> </w:t>
      </w:r>
      <w:r w:rsidR="00B43929">
        <w:rPr>
          <w:rFonts w:ascii="Baskerville" w:hAnsi="Baskerville" w:cs="Baskerville"/>
        </w:rPr>
        <w:t xml:space="preserve">a study of </w:t>
      </w:r>
      <w:r>
        <w:rPr>
          <w:rFonts w:ascii="Baskerville" w:hAnsi="Baskerville" w:cs="Baskerville"/>
        </w:rPr>
        <w:t xml:space="preserve">the </w:t>
      </w:r>
      <w:r w:rsidR="00B43929">
        <w:rPr>
          <w:rFonts w:ascii="Baskerville" w:hAnsi="Baskerville" w:cs="Baskerville"/>
        </w:rPr>
        <w:t>cognitive importance of narrative</w:t>
      </w:r>
      <w:r>
        <w:rPr>
          <w:rFonts w:ascii="Baskerville" w:hAnsi="Baskerville" w:cs="Baskerville"/>
        </w:rPr>
        <w:t xml:space="preserve">. </w:t>
      </w:r>
      <w:proofErr w:type="spellStart"/>
      <w:r>
        <w:rPr>
          <w:rFonts w:ascii="Baskerville" w:hAnsi="Baskerville" w:cs="Baskerville"/>
        </w:rPr>
        <w:t>Mikkonen</w:t>
      </w:r>
      <w:proofErr w:type="spellEnd"/>
      <w:r>
        <w:rPr>
          <w:rFonts w:ascii="Baskerville" w:hAnsi="Baskerville" w:cs="Baskerville"/>
        </w:rPr>
        <w:t xml:space="preserve"> argues that anti-cognitivist critiques of the unreliability of human narrative-making </w:t>
      </w:r>
      <w:r w:rsidR="00B43929">
        <w:rPr>
          <w:rFonts w:ascii="Baskerville" w:hAnsi="Baskerville" w:cs="Baskerville"/>
        </w:rPr>
        <w:t>are</w:t>
      </w:r>
      <w:r>
        <w:rPr>
          <w:rFonts w:ascii="Baskerville" w:hAnsi="Baskerville" w:cs="Baskerville"/>
        </w:rPr>
        <w:t xml:space="preserve"> out of step with the conception of narrativity in literary studies. Here, narratives are not simply seen as means to accurately record events, but rather means to “convey understanding, as they [narratives] do not only store information but structure and value it” (52) Developing this idea fuels the book’s</w:t>
      </w:r>
      <w:r w:rsidR="0063595D">
        <w:rPr>
          <w:rFonts w:ascii="Baskerville" w:hAnsi="Baskerville" w:cs="Baskerville"/>
        </w:rPr>
        <w:t xml:space="preserve"> epistemological </w:t>
      </w:r>
      <w:r>
        <w:rPr>
          <w:rFonts w:ascii="Baskerville" w:hAnsi="Baskerville" w:cs="Baskerville"/>
        </w:rPr>
        <w:t xml:space="preserve">engine. From recent work in epistemology, </w:t>
      </w:r>
      <w:proofErr w:type="spellStart"/>
      <w:r>
        <w:rPr>
          <w:rFonts w:ascii="Baskerville" w:hAnsi="Baskerville" w:cs="Baskerville"/>
        </w:rPr>
        <w:t>Mikkonen</w:t>
      </w:r>
      <w:proofErr w:type="spellEnd"/>
      <w:r>
        <w:rPr>
          <w:rFonts w:ascii="Baskerville" w:hAnsi="Baskerville" w:cs="Baskerville"/>
        </w:rPr>
        <w:t xml:space="preserve"> draws out the idea that understanding is distinct from knowledge</w:t>
      </w:r>
      <w:r w:rsidR="00A27DE4">
        <w:rPr>
          <w:rFonts w:ascii="Baskerville" w:hAnsi="Baskerville" w:cs="Baskerville"/>
        </w:rPr>
        <w:t>. Whereas knowledge usually aims at atomic propositions, understanding</w:t>
      </w:r>
      <w:r>
        <w:rPr>
          <w:rFonts w:ascii="Baskerville" w:hAnsi="Baskerville" w:cs="Baskerville"/>
        </w:rPr>
        <w:t xml:space="preserve"> aim</w:t>
      </w:r>
      <w:r w:rsidR="00A27DE4">
        <w:rPr>
          <w:rFonts w:ascii="Baskerville" w:hAnsi="Baskerville" w:cs="Baskerville"/>
        </w:rPr>
        <w:t>s</w:t>
      </w:r>
      <w:r w:rsidR="004C52C1">
        <w:rPr>
          <w:rFonts w:ascii="Baskerville" w:hAnsi="Baskerville" w:cs="Baskerville"/>
        </w:rPr>
        <w:t xml:space="preserve"> </w:t>
      </w:r>
      <w:r>
        <w:rPr>
          <w:rFonts w:ascii="Baskerville" w:hAnsi="Baskerville" w:cs="Baskerville"/>
        </w:rPr>
        <w:t>at a comprehensive view of</w:t>
      </w:r>
      <w:r w:rsidR="00A27DE4">
        <w:rPr>
          <w:rFonts w:ascii="Baskerville" w:hAnsi="Baskerville" w:cs="Baskerville"/>
        </w:rPr>
        <w:t xml:space="preserve"> some </w:t>
      </w:r>
      <w:r w:rsidR="00B43929">
        <w:rPr>
          <w:rFonts w:ascii="Baskerville" w:hAnsi="Baskerville" w:cs="Baskerville"/>
        </w:rPr>
        <w:t>topic</w:t>
      </w:r>
      <w:r>
        <w:rPr>
          <w:rFonts w:ascii="Baskerville" w:hAnsi="Baskerville" w:cs="Baskerville"/>
        </w:rPr>
        <w:t>, grasping not just</w:t>
      </w:r>
      <w:r w:rsidR="00A27DE4">
        <w:rPr>
          <w:rFonts w:ascii="Baskerville" w:hAnsi="Baskerville" w:cs="Baskerville"/>
        </w:rPr>
        <w:t xml:space="preserve"> the relevant</w:t>
      </w:r>
      <w:r>
        <w:rPr>
          <w:rFonts w:ascii="Baskerville" w:hAnsi="Baskerville" w:cs="Baskerville"/>
        </w:rPr>
        <w:t xml:space="preserve"> truths, but the interconnections between bits of information</w:t>
      </w:r>
      <w:r w:rsidR="004C52C1">
        <w:rPr>
          <w:rFonts w:ascii="Baskerville" w:hAnsi="Baskerville" w:cs="Baskerville"/>
        </w:rPr>
        <w:t xml:space="preserve"> and their relative significance</w:t>
      </w:r>
      <w:r>
        <w:rPr>
          <w:rFonts w:ascii="Baskerville" w:hAnsi="Baskerville" w:cs="Baskerville"/>
        </w:rPr>
        <w:t xml:space="preserve">. Within this tradition, it </w:t>
      </w:r>
      <w:r w:rsidR="006E3453">
        <w:rPr>
          <w:rFonts w:ascii="Baskerville" w:hAnsi="Baskerville" w:cs="Baskerville"/>
        </w:rPr>
        <w:t xml:space="preserve">is </w:t>
      </w:r>
      <w:r>
        <w:rPr>
          <w:rFonts w:ascii="Baskerville" w:hAnsi="Baskerville" w:cs="Baskerville"/>
        </w:rPr>
        <w:t xml:space="preserve">commonly thought that understanding is processual, arriving </w:t>
      </w:r>
      <w:r w:rsidR="006E3453">
        <w:rPr>
          <w:rFonts w:ascii="Baskerville" w:hAnsi="Baskerville" w:cs="Baskerville"/>
        </w:rPr>
        <w:t>by</w:t>
      </w:r>
      <w:r>
        <w:rPr>
          <w:rFonts w:ascii="Baskerville" w:hAnsi="Baskerville" w:cs="Baskerville"/>
        </w:rPr>
        <w:t xml:space="preserve"> degrees</w:t>
      </w:r>
      <w:r w:rsidR="00B43929">
        <w:rPr>
          <w:rFonts w:ascii="Baskerville" w:hAnsi="Baskerville" w:cs="Baskerville"/>
        </w:rPr>
        <w:t>, and</w:t>
      </w:r>
      <w:r w:rsidR="007121B1">
        <w:rPr>
          <w:rFonts w:ascii="Baskerville" w:hAnsi="Baskerville" w:cs="Baskerville"/>
        </w:rPr>
        <w:t>, more controversially,</w:t>
      </w:r>
      <w:r w:rsidR="00B43929">
        <w:rPr>
          <w:rFonts w:ascii="Baskerville" w:hAnsi="Baskerville" w:cs="Baskerville"/>
        </w:rPr>
        <w:t xml:space="preserve"> that it is </w:t>
      </w:r>
      <w:r>
        <w:rPr>
          <w:rFonts w:ascii="Baskerville" w:hAnsi="Baskerville" w:cs="Baskerville"/>
        </w:rPr>
        <w:t xml:space="preserve">compatible with the presence of </w:t>
      </w:r>
      <w:r w:rsidR="007121B1">
        <w:rPr>
          <w:rFonts w:ascii="Baskerville" w:hAnsi="Baskerville" w:cs="Baskerville"/>
        </w:rPr>
        <w:t>falsehoods</w:t>
      </w:r>
      <w:r>
        <w:rPr>
          <w:rFonts w:ascii="Baskerville" w:hAnsi="Baskerville" w:cs="Baskerville"/>
        </w:rPr>
        <w:t xml:space="preserve">. </w:t>
      </w:r>
      <w:proofErr w:type="spellStart"/>
      <w:r w:rsidR="004C52C1">
        <w:rPr>
          <w:rFonts w:ascii="Baskerville" w:hAnsi="Baskerville" w:cs="Baskerville"/>
        </w:rPr>
        <w:t>Mikkonen</w:t>
      </w:r>
      <w:proofErr w:type="spellEnd"/>
      <w:r w:rsidR="004C52C1">
        <w:rPr>
          <w:rFonts w:ascii="Baskerville" w:hAnsi="Baskerville" w:cs="Baskerville"/>
        </w:rPr>
        <w:t xml:space="preserve"> combines these insights, particularly the latter two thoughts</w:t>
      </w:r>
      <w:r w:rsidR="00B43929">
        <w:rPr>
          <w:rFonts w:ascii="Baskerville" w:hAnsi="Baskerville" w:cs="Baskerville"/>
        </w:rPr>
        <w:t xml:space="preserve"> which are particularly apt for making sense of fictional narratives</w:t>
      </w:r>
      <w:r w:rsidR="004C52C1">
        <w:rPr>
          <w:rFonts w:ascii="Baskerville" w:hAnsi="Baskerville" w:cs="Baskerville"/>
        </w:rPr>
        <w:t>,</w:t>
      </w:r>
      <w:r>
        <w:rPr>
          <w:rFonts w:ascii="Baskerville" w:hAnsi="Baskerville" w:cs="Baskerville"/>
        </w:rPr>
        <w:t xml:space="preserve"> </w:t>
      </w:r>
      <w:r w:rsidR="004C52C1">
        <w:rPr>
          <w:rFonts w:ascii="Baskerville" w:hAnsi="Baskerville" w:cs="Baskerville"/>
        </w:rPr>
        <w:t xml:space="preserve">with </w:t>
      </w:r>
      <w:r>
        <w:rPr>
          <w:rFonts w:ascii="Baskerville" w:hAnsi="Baskerville" w:cs="Baskerville"/>
        </w:rPr>
        <w:t>the</w:t>
      </w:r>
      <w:r w:rsidR="004C52C1">
        <w:rPr>
          <w:rFonts w:ascii="Baskerville" w:hAnsi="Baskerville" w:cs="Baskerville"/>
        </w:rPr>
        <w:t xml:space="preserve"> sense of understanding found in the</w:t>
      </w:r>
      <w:r>
        <w:rPr>
          <w:rFonts w:ascii="Baskerville" w:hAnsi="Baskerville" w:cs="Baskerville"/>
        </w:rPr>
        <w:t xml:space="preserve"> hermeneutic or </w:t>
      </w:r>
      <w:r>
        <w:rPr>
          <w:rFonts w:ascii="Baskerville" w:hAnsi="Baskerville" w:cs="Baskerville"/>
          <w:i/>
        </w:rPr>
        <w:t xml:space="preserve">verstehen </w:t>
      </w:r>
      <w:r>
        <w:rPr>
          <w:rFonts w:ascii="Baskerville" w:hAnsi="Baskerville" w:cs="Baskerville"/>
        </w:rPr>
        <w:t>tradition</w:t>
      </w:r>
      <w:r w:rsidR="004C52C1">
        <w:rPr>
          <w:rFonts w:ascii="Baskerville" w:hAnsi="Baskerville" w:cs="Baskerville"/>
        </w:rPr>
        <w:t>. Here</w:t>
      </w:r>
      <w:r w:rsidR="006E3453">
        <w:rPr>
          <w:rFonts w:ascii="Baskerville" w:hAnsi="Baskerville" w:cs="Baskerville"/>
        </w:rPr>
        <w:t>,</w:t>
      </w:r>
      <w:r w:rsidR="004C52C1">
        <w:rPr>
          <w:rFonts w:ascii="Baskerville" w:hAnsi="Baskerville" w:cs="Baskerville"/>
        </w:rPr>
        <w:t xml:space="preserve"> u</w:t>
      </w:r>
      <w:r>
        <w:rPr>
          <w:rFonts w:ascii="Baskerville" w:hAnsi="Baskerville" w:cs="Baskerville"/>
        </w:rPr>
        <w:t xml:space="preserve">nderstanding </w:t>
      </w:r>
      <w:r w:rsidR="004C52C1">
        <w:rPr>
          <w:rFonts w:ascii="Baskerville" w:hAnsi="Baskerville" w:cs="Baskerville"/>
        </w:rPr>
        <w:t>is the concept that fits our</w:t>
      </w:r>
      <w:r>
        <w:rPr>
          <w:rFonts w:ascii="Baskerville" w:hAnsi="Baskerville" w:cs="Baskerville"/>
        </w:rPr>
        <w:t xml:space="preserve"> investigati</w:t>
      </w:r>
      <w:r w:rsidR="004C52C1">
        <w:rPr>
          <w:rFonts w:ascii="Baskerville" w:hAnsi="Baskerville" w:cs="Baskerville"/>
        </w:rPr>
        <w:t>on of</w:t>
      </w:r>
      <w:r>
        <w:rPr>
          <w:rFonts w:ascii="Baskerville" w:hAnsi="Baskerville" w:cs="Baskerville"/>
        </w:rPr>
        <w:t xml:space="preserve"> ourselves and our social world. </w:t>
      </w:r>
      <w:r w:rsidR="004C52C1">
        <w:rPr>
          <w:rFonts w:ascii="Baskerville" w:hAnsi="Baskerville" w:cs="Baskerville"/>
        </w:rPr>
        <w:t>In inquiring into th</w:t>
      </w:r>
      <w:r>
        <w:rPr>
          <w:rFonts w:ascii="Baskerville" w:hAnsi="Baskerville" w:cs="Baskerville"/>
        </w:rPr>
        <w:t>e</w:t>
      </w:r>
      <w:r w:rsidR="004C52C1">
        <w:rPr>
          <w:rFonts w:ascii="Baskerville" w:hAnsi="Baskerville" w:cs="Baskerville"/>
        </w:rPr>
        <w:t>se topics, we</w:t>
      </w:r>
      <w:r>
        <w:rPr>
          <w:rFonts w:ascii="Baskerville" w:hAnsi="Baskerville" w:cs="Baskerville"/>
        </w:rPr>
        <w:t xml:space="preserve"> attempt to come to gr</w:t>
      </w:r>
      <w:r w:rsidR="009C3CE9">
        <w:rPr>
          <w:rFonts w:ascii="Baskerville" w:hAnsi="Baskerville" w:cs="Baskerville"/>
        </w:rPr>
        <w:t>ips with</w:t>
      </w:r>
      <w:r>
        <w:rPr>
          <w:rFonts w:ascii="Baskerville" w:hAnsi="Baskerville" w:cs="Baskerville"/>
        </w:rPr>
        <w:t xml:space="preserve"> our own conceptions and misconceptions of oursel</w:t>
      </w:r>
      <w:r w:rsidR="009C3CE9">
        <w:rPr>
          <w:rFonts w:ascii="Baskerville" w:hAnsi="Baskerville" w:cs="Baskerville"/>
        </w:rPr>
        <w:t xml:space="preserve">ves </w:t>
      </w:r>
      <w:r>
        <w:rPr>
          <w:rFonts w:ascii="Baskerville" w:hAnsi="Baskerville" w:cs="Baskerville"/>
        </w:rPr>
        <w:t xml:space="preserve">and our values, narratives showing us how our emotional states develop and change over time or </w:t>
      </w:r>
      <w:r w:rsidR="004C52C1">
        <w:rPr>
          <w:rFonts w:ascii="Baskerville" w:hAnsi="Baskerville" w:cs="Baskerville"/>
        </w:rPr>
        <w:t xml:space="preserve">how we could </w:t>
      </w:r>
      <w:r>
        <w:rPr>
          <w:rFonts w:ascii="Baskerville" w:hAnsi="Baskerville" w:cs="Baskerville"/>
        </w:rPr>
        <w:t xml:space="preserve">reshape our grasp of abstract concepts like revenge or obligation. These two positions come together into a theory of self-understanding that involves agents engaging with </w:t>
      </w:r>
      <w:r w:rsidR="00EB44EA">
        <w:rPr>
          <w:rFonts w:ascii="Baskerville" w:hAnsi="Baskerville" w:cs="Baskerville"/>
        </w:rPr>
        <w:t xml:space="preserve">artistic </w:t>
      </w:r>
      <w:r w:rsidR="00EB44EA">
        <w:rPr>
          <w:rFonts w:ascii="Baskerville" w:hAnsi="Baskerville" w:cs="Baskerville"/>
        </w:rPr>
        <w:lastRenderedPageBreak/>
        <w:t>fictions</w:t>
      </w:r>
      <w:r>
        <w:rPr>
          <w:rFonts w:ascii="Baskerville" w:hAnsi="Baskerville" w:cs="Baskerville"/>
        </w:rPr>
        <w:t xml:space="preserve"> to help explore their own conceptions of the world over time.</w:t>
      </w:r>
    </w:p>
    <w:p w14:paraId="7DC1ED49" w14:textId="77777777" w:rsidR="00F75087" w:rsidRDefault="00F75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Baskerville" w:hAnsi="Baskerville" w:cs="Baskerville"/>
        </w:rPr>
      </w:pPr>
    </w:p>
    <w:p w14:paraId="13B8F379" w14:textId="3874288E" w:rsidR="00F75087" w:rsidRDefault="000056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Baskerville" w:hAnsi="Baskerville" w:cs="Baskerville"/>
        </w:rPr>
      </w:pPr>
      <w:r>
        <w:rPr>
          <w:rFonts w:ascii="Baskerville" w:hAnsi="Baskerville" w:cs="Baskerville"/>
        </w:rPr>
        <w:t xml:space="preserve">In the third chapter literary modernism is used as a test case for how this view interacts with </w:t>
      </w:r>
      <w:proofErr w:type="spellStart"/>
      <w:r>
        <w:rPr>
          <w:rFonts w:ascii="Baskerville" w:hAnsi="Baskerville" w:cs="Baskerville"/>
        </w:rPr>
        <w:t>Mikkonen’s</w:t>
      </w:r>
      <w:proofErr w:type="spellEnd"/>
      <w:r>
        <w:rPr>
          <w:rFonts w:ascii="Baskerville" w:hAnsi="Baskerville" w:cs="Baskerville"/>
        </w:rPr>
        <w:t xml:space="preserve"> methodological commitments. </w:t>
      </w:r>
      <w:r w:rsidR="006E3453">
        <w:rPr>
          <w:rFonts w:ascii="Baskerville" w:hAnsi="Baskerville" w:cs="Baskerville"/>
        </w:rPr>
        <w:t>Scholars of modernist literature</w:t>
      </w:r>
      <w:r>
        <w:rPr>
          <w:rFonts w:ascii="Baskerville" w:hAnsi="Baskerville" w:cs="Baskerville"/>
        </w:rPr>
        <w:t xml:space="preserve"> have taken </w:t>
      </w:r>
      <w:r w:rsidR="00EB44EA">
        <w:rPr>
          <w:rFonts w:ascii="Baskerville" w:hAnsi="Baskerville" w:cs="Baskerville"/>
        </w:rPr>
        <w:t>keen</w:t>
      </w:r>
      <w:r>
        <w:rPr>
          <w:rFonts w:ascii="Baskerville" w:hAnsi="Baskerville" w:cs="Baskerville"/>
        </w:rPr>
        <w:t xml:space="preserve"> interest </w:t>
      </w:r>
      <w:r w:rsidR="006E3453">
        <w:rPr>
          <w:rFonts w:ascii="Baskerville" w:hAnsi="Baskerville" w:cs="Baskerville"/>
        </w:rPr>
        <w:t>its foregrounding</w:t>
      </w:r>
      <w:r>
        <w:rPr>
          <w:rFonts w:ascii="Baskerville" w:hAnsi="Baskerville" w:cs="Baskerville"/>
        </w:rPr>
        <w:t xml:space="preserve"> literary-epistemological explorations of reality and the workings of the mind</w:t>
      </w:r>
      <w:r w:rsidR="00EB44EA">
        <w:rPr>
          <w:rFonts w:ascii="Baskerville" w:hAnsi="Baskerville" w:cs="Baskerville"/>
        </w:rPr>
        <w:t>.</w:t>
      </w:r>
      <w:r>
        <w:rPr>
          <w:rFonts w:ascii="Baskerville" w:hAnsi="Baskerville" w:cs="Baskerville"/>
        </w:rPr>
        <w:t xml:space="preserve"> </w:t>
      </w:r>
      <w:r w:rsidR="00EB44EA">
        <w:rPr>
          <w:rFonts w:ascii="Baskerville" w:hAnsi="Baskerville" w:cs="Baskerville"/>
        </w:rPr>
        <w:t>Y</w:t>
      </w:r>
      <w:r>
        <w:rPr>
          <w:rFonts w:ascii="Baskerville" w:hAnsi="Baskerville" w:cs="Baskerville"/>
        </w:rPr>
        <w:t xml:space="preserve">et ambiguity and openness are replete within these cognitively inclined works. </w:t>
      </w:r>
      <w:proofErr w:type="spellStart"/>
      <w:r>
        <w:rPr>
          <w:rFonts w:ascii="Baskerville" w:hAnsi="Baskerville" w:cs="Baskerville"/>
        </w:rPr>
        <w:t>Mikkonen</w:t>
      </w:r>
      <w:proofErr w:type="spellEnd"/>
      <w:r>
        <w:rPr>
          <w:rFonts w:ascii="Baskerville" w:hAnsi="Baskerville" w:cs="Baskerville"/>
        </w:rPr>
        <w:t xml:space="preserve"> points out that just as often as literary works clarify, they also obscure and confuse and leave us not know</w:t>
      </w:r>
      <w:r w:rsidR="00EB44EA">
        <w:rPr>
          <w:rFonts w:ascii="Baskerville" w:hAnsi="Baskerville" w:cs="Baskerville"/>
        </w:rPr>
        <w:t>ing</w:t>
      </w:r>
      <w:r>
        <w:rPr>
          <w:rFonts w:ascii="Baskerville" w:hAnsi="Baskerville" w:cs="Baskerville"/>
        </w:rPr>
        <w:t xml:space="preserve"> what to think at all. Again, this is often a key </w:t>
      </w:r>
      <w:r w:rsidR="00EB44EA">
        <w:rPr>
          <w:rFonts w:ascii="Baskerville" w:hAnsi="Baskerville" w:cs="Baskerville"/>
        </w:rPr>
        <w:t>point of</w:t>
      </w:r>
      <w:r>
        <w:rPr>
          <w:rFonts w:ascii="Baskerville" w:hAnsi="Baskerville" w:cs="Baskerville"/>
        </w:rPr>
        <w:t xml:space="preserve"> aesthetic</w:t>
      </w:r>
      <w:r w:rsidR="00EB44EA">
        <w:rPr>
          <w:rFonts w:ascii="Baskerville" w:hAnsi="Baskerville" w:cs="Baskerville"/>
        </w:rPr>
        <w:t xml:space="preserve"> interest</w:t>
      </w:r>
      <w:r>
        <w:rPr>
          <w:rFonts w:ascii="Baskerville" w:hAnsi="Baskerville" w:cs="Baskerville"/>
        </w:rPr>
        <w:t xml:space="preserve"> in appreciati</w:t>
      </w:r>
      <w:r w:rsidR="00EB44EA">
        <w:rPr>
          <w:rFonts w:ascii="Baskerville" w:hAnsi="Baskerville" w:cs="Baskerville"/>
        </w:rPr>
        <w:t>on of</w:t>
      </w:r>
      <w:r>
        <w:rPr>
          <w:rFonts w:ascii="Baskerville" w:hAnsi="Baskerville" w:cs="Baskerville"/>
        </w:rPr>
        <w:t xml:space="preserve"> modernist literature, so it should be of interest to the </w:t>
      </w:r>
      <w:r>
        <w:rPr>
          <w:rFonts w:ascii="Baskerville" w:hAnsi="Baskerville" w:cs="Baskerville"/>
          <w:i/>
        </w:rPr>
        <w:t>literary</w:t>
      </w:r>
      <w:r>
        <w:rPr>
          <w:rFonts w:ascii="Baskerville" w:hAnsi="Baskerville" w:cs="Baskerville"/>
        </w:rPr>
        <w:t xml:space="preserve"> cognitivist. </w:t>
      </w:r>
      <w:proofErr w:type="spellStart"/>
      <w:r>
        <w:rPr>
          <w:rFonts w:ascii="Baskerville" w:hAnsi="Baskerville" w:cs="Baskerville"/>
        </w:rPr>
        <w:t>Mikkonen’s</w:t>
      </w:r>
      <w:proofErr w:type="spellEnd"/>
      <w:r>
        <w:rPr>
          <w:rFonts w:ascii="Baskerville" w:hAnsi="Baskerville" w:cs="Baskerville"/>
        </w:rPr>
        <w:t xml:space="preserve"> </w:t>
      </w:r>
      <w:r w:rsidR="009C3CE9">
        <w:rPr>
          <w:rFonts w:ascii="Baskerville" w:hAnsi="Baskerville" w:cs="Baskerville"/>
        </w:rPr>
        <w:t>innovation</w:t>
      </w:r>
      <w:r>
        <w:rPr>
          <w:rFonts w:ascii="Baskerville" w:hAnsi="Baskerville" w:cs="Baskerville"/>
        </w:rPr>
        <w:t xml:space="preserve"> is to bring ambiguity </w:t>
      </w:r>
      <w:r w:rsidR="00EB44EA">
        <w:rPr>
          <w:rFonts w:ascii="Baskerville" w:hAnsi="Baskerville" w:cs="Baskerville"/>
        </w:rPr>
        <w:t xml:space="preserve">firmly </w:t>
      </w:r>
      <w:r>
        <w:rPr>
          <w:rFonts w:ascii="Baskerville" w:hAnsi="Baskerville" w:cs="Baskerville"/>
        </w:rPr>
        <w:t xml:space="preserve">into the fold of cognitive </w:t>
      </w:r>
      <w:r w:rsidR="00EB44EA">
        <w:rPr>
          <w:rFonts w:ascii="Baskerville" w:hAnsi="Baskerville" w:cs="Baskerville"/>
        </w:rPr>
        <w:t>value</w:t>
      </w:r>
      <w:r>
        <w:rPr>
          <w:rFonts w:ascii="Baskerville" w:hAnsi="Baskerville" w:cs="Baskerville"/>
        </w:rPr>
        <w:t xml:space="preserve">. </w:t>
      </w:r>
      <w:r w:rsidR="009C3CE9">
        <w:rPr>
          <w:rFonts w:ascii="Baskerville" w:hAnsi="Baskerville" w:cs="Baskerville"/>
        </w:rPr>
        <w:t>Puzzling over ambiguity</w:t>
      </w:r>
      <w:r>
        <w:rPr>
          <w:rFonts w:ascii="Baskerville" w:hAnsi="Baskerville" w:cs="Baskerville"/>
        </w:rPr>
        <w:t xml:space="preserve"> has a critical dimension, since it “wakes one up and reminds one that things are not as simple as one has thought. It leads to understanding that we tend to resort to simplifications, conventions and dogmatic thinking, and it tells us that we should be wary of such dispositions, to remember the difference between the abstract model and life.” (81-2) But it also has a more positive dimension, as it “encourages us to seek answers and to ask questions.” (82)</w:t>
      </w:r>
    </w:p>
    <w:p w14:paraId="39611670" w14:textId="77777777" w:rsidR="00F75087" w:rsidRDefault="00F75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Baskerville" w:hAnsi="Baskerville" w:cs="Baskerville"/>
        </w:rPr>
      </w:pPr>
    </w:p>
    <w:p w14:paraId="407177B2" w14:textId="0E0BF812" w:rsidR="0000186D" w:rsidRDefault="007121B1" w:rsidP="00001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Baskerville" w:hAnsi="Baskerville" w:cs="Baskerville"/>
        </w:rPr>
      </w:pPr>
      <w:r>
        <w:rPr>
          <w:rFonts w:ascii="Baskerville" w:hAnsi="Baskerville" w:cs="Baskerville"/>
        </w:rPr>
        <w:t>I found these points highly intriguing, but I found they raised</w:t>
      </w:r>
      <w:r w:rsidR="00005636">
        <w:rPr>
          <w:rFonts w:ascii="Baskerville" w:hAnsi="Baskerville" w:cs="Baskerville"/>
        </w:rPr>
        <w:t xml:space="preserve"> two </w:t>
      </w:r>
      <w:r>
        <w:rPr>
          <w:rFonts w:ascii="Baskerville" w:hAnsi="Baskerville" w:cs="Baskerville"/>
        </w:rPr>
        <w:t>problems</w:t>
      </w:r>
      <w:r w:rsidR="00005636">
        <w:rPr>
          <w:rFonts w:ascii="Baskerville" w:hAnsi="Baskerville" w:cs="Baskerville"/>
        </w:rPr>
        <w:t xml:space="preserve">. First, </w:t>
      </w:r>
      <w:r w:rsidR="0000186D">
        <w:rPr>
          <w:rFonts w:ascii="Baskerville" w:hAnsi="Baskerville" w:cs="Baskerville"/>
        </w:rPr>
        <w:t xml:space="preserve">I wondered if </w:t>
      </w:r>
      <w:proofErr w:type="spellStart"/>
      <w:r w:rsidR="0000186D">
        <w:rPr>
          <w:rFonts w:ascii="Baskerville" w:hAnsi="Baskerville" w:cs="Baskerville"/>
        </w:rPr>
        <w:t>Mikkonen’s</w:t>
      </w:r>
      <w:proofErr w:type="spellEnd"/>
      <w:r w:rsidR="0000186D">
        <w:rPr>
          <w:rFonts w:ascii="Baskerville" w:hAnsi="Baskerville" w:cs="Baskerville"/>
        </w:rPr>
        <w:t xml:space="preserve"> view emphasis on ambiguity risks lending literature only fleeting cognitive value. Certainly, there is something cognitively important to challenging bad assumptions and </w:t>
      </w:r>
      <w:r w:rsidR="00785CF2">
        <w:rPr>
          <w:rFonts w:ascii="Baskerville" w:hAnsi="Baskerville" w:cs="Baskerville"/>
        </w:rPr>
        <w:t>opening up exploration</w:t>
      </w:r>
      <w:r w:rsidR="0000186D">
        <w:rPr>
          <w:rFonts w:ascii="Baskerville" w:hAnsi="Baskerville" w:cs="Baskerville"/>
        </w:rPr>
        <w:t xml:space="preserve">. But once we begin to work through the ambiguity and overcome it in various ways, we may think we have reached a state of greater cognitive value. Elisabeth Camp has recently shown that idealisations, models, metaphors and open-questions, while useful at the initial exploratory stages of scientific inquiry, are often washed out as inquiry </w:t>
      </w:r>
      <w:r w:rsidR="0000186D">
        <w:rPr>
          <w:rFonts w:ascii="Baskerville" w:hAnsi="Baskerville" w:cs="Baskerville"/>
        </w:rPr>
        <w:lastRenderedPageBreak/>
        <w:t>progresses.</w:t>
      </w:r>
      <w:r w:rsidR="0000186D">
        <w:rPr>
          <w:rFonts w:ascii="Baskerville" w:hAnsi="Baskerville" w:cs="Baskerville"/>
          <w:sz w:val="20"/>
          <w:vertAlign w:val="superscript"/>
        </w:rPr>
        <w:footnoteReference w:id="2"/>
      </w:r>
      <w:r w:rsidR="0000186D">
        <w:rPr>
          <w:rFonts w:ascii="Baskerville" w:hAnsi="Baskerville" w:cs="Baskerville"/>
        </w:rPr>
        <w:t xml:space="preserve"> Depending on how you frame inquiry and its ends, a similar thing could happen with literature, making its difficulties useful for a </w:t>
      </w:r>
      <w:r w:rsidR="00440EAC">
        <w:rPr>
          <w:rFonts w:ascii="Baskerville" w:hAnsi="Baskerville" w:cs="Baskerville"/>
        </w:rPr>
        <w:t xml:space="preserve">short </w:t>
      </w:r>
      <w:r w:rsidR="0000186D">
        <w:rPr>
          <w:rFonts w:ascii="Baskerville" w:hAnsi="Baskerville" w:cs="Baskerville"/>
        </w:rPr>
        <w:t>while, but ultimately dispensable once we resolve these problems. So,</w:t>
      </w:r>
      <w:r w:rsidR="00785CF2">
        <w:rPr>
          <w:rFonts w:ascii="Baskerville" w:hAnsi="Baskerville" w:cs="Baskerville"/>
        </w:rPr>
        <w:t xml:space="preserve"> </w:t>
      </w:r>
      <w:r w:rsidR="0000186D">
        <w:rPr>
          <w:rFonts w:ascii="Baskerville" w:hAnsi="Baskerville" w:cs="Baskerville"/>
        </w:rPr>
        <w:t xml:space="preserve">it would be interesting to see if the </w:t>
      </w:r>
      <w:r w:rsidR="00785CF2">
        <w:rPr>
          <w:rFonts w:ascii="Baskerville" w:hAnsi="Baskerville" w:cs="Baskerville"/>
        </w:rPr>
        <w:t>fleeting and potentially minor</w:t>
      </w:r>
      <w:r w:rsidR="0000186D">
        <w:rPr>
          <w:rFonts w:ascii="Baskerville" w:hAnsi="Baskerville" w:cs="Baskerville"/>
        </w:rPr>
        <w:t xml:space="preserve"> cognitive value</w:t>
      </w:r>
      <w:r w:rsidR="00785CF2">
        <w:rPr>
          <w:rFonts w:ascii="Baskerville" w:hAnsi="Baskerville" w:cs="Baskerville"/>
        </w:rPr>
        <w:t xml:space="preserve"> of ambiguity</w:t>
      </w:r>
      <w:r w:rsidR="0000186D">
        <w:rPr>
          <w:rFonts w:ascii="Baskerville" w:hAnsi="Baskerville" w:cs="Baskerville"/>
        </w:rPr>
        <w:t xml:space="preserve"> is a concern or not for </w:t>
      </w:r>
      <w:proofErr w:type="spellStart"/>
      <w:r w:rsidR="0000186D">
        <w:rPr>
          <w:rFonts w:ascii="Baskerville" w:hAnsi="Baskerville" w:cs="Baskerville"/>
        </w:rPr>
        <w:t>Mikkonen’s</w:t>
      </w:r>
      <w:proofErr w:type="spellEnd"/>
      <w:r w:rsidR="0000186D">
        <w:rPr>
          <w:rFonts w:ascii="Baskerville" w:hAnsi="Baskerville" w:cs="Baskerville"/>
        </w:rPr>
        <w:t xml:space="preserve"> view.</w:t>
      </w:r>
    </w:p>
    <w:p w14:paraId="2D62EA56" w14:textId="5C09CAA5" w:rsidR="0000186D" w:rsidRDefault="00001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Baskerville" w:hAnsi="Baskerville" w:cs="Baskerville"/>
        </w:rPr>
      </w:pPr>
    </w:p>
    <w:p w14:paraId="59C6CA1C" w14:textId="59C0D32F" w:rsidR="00031749" w:rsidRDefault="00785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Baskerville" w:hAnsi="Baskerville" w:cs="Baskerville"/>
        </w:rPr>
      </w:pPr>
      <w:r>
        <w:rPr>
          <w:rFonts w:ascii="Baskerville" w:hAnsi="Baskerville" w:cs="Baskerville"/>
        </w:rPr>
        <w:t>Second,</w:t>
      </w:r>
      <w:r w:rsidR="00B43929">
        <w:rPr>
          <w:rFonts w:ascii="Baskerville" w:hAnsi="Baskerville" w:cs="Baskerville"/>
        </w:rPr>
        <w:t xml:space="preserve"> perhaps in response to this kind of worry,</w:t>
      </w:r>
      <w:r>
        <w:rPr>
          <w:rFonts w:ascii="Baskerville" w:hAnsi="Baskerville" w:cs="Baskerville"/>
        </w:rPr>
        <w:t xml:space="preserve"> </w:t>
      </w:r>
      <w:proofErr w:type="spellStart"/>
      <w:r w:rsidR="00E13123">
        <w:rPr>
          <w:rFonts w:ascii="Baskerville" w:hAnsi="Baskerville" w:cs="Baskerville"/>
        </w:rPr>
        <w:t>Mikkonen</w:t>
      </w:r>
      <w:proofErr w:type="spellEnd"/>
      <w:r w:rsidR="003A4B17">
        <w:rPr>
          <w:rFonts w:ascii="Baskerville" w:hAnsi="Baskerville" w:cs="Baskerville"/>
        </w:rPr>
        <w:t xml:space="preserve"> detach</w:t>
      </w:r>
      <w:r w:rsidR="00F13F11">
        <w:rPr>
          <w:rFonts w:ascii="Baskerville" w:hAnsi="Baskerville" w:cs="Baskerville"/>
        </w:rPr>
        <w:t>es talk of</w:t>
      </w:r>
      <w:r w:rsidR="003A4B17">
        <w:rPr>
          <w:rFonts w:ascii="Baskerville" w:hAnsi="Baskerville" w:cs="Baskerville"/>
        </w:rPr>
        <w:t xml:space="preserve"> cognitive value from cognitive improvement, holding that ambiguity </w:t>
      </w:r>
      <w:r w:rsidR="003C641A">
        <w:rPr>
          <w:rFonts w:ascii="Baskerville" w:hAnsi="Baskerville" w:cs="Baskerville"/>
        </w:rPr>
        <w:t>alters</w:t>
      </w:r>
      <w:r w:rsidR="003A4B17">
        <w:rPr>
          <w:rFonts w:ascii="Baskerville" w:hAnsi="Baskerville" w:cs="Baskerville"/>
        </w:rPr>
        <w:t xml:space="preserve"> our degree of understanding without necessarily advancing it</w:t>
      </w:r>
      <w:r w:rsidR="00031749">
        <w:rPr>
          <w:rFonts w:ascii="Baskerville" w:hAnsi="Baskerville" w:cs="Baskerville"/>
        </w:rPr>
        <w:t xml:space="preserve">. </w:t>
      </w:r>
      <w:r w:rsidR="0070628E">
        <w:rPr>
          <w:rFonts w:ascii="Baskerville" w:hAnsi="Baskerville" w:cs="Baskerville"/>
        </w:rPr>
        <w:t xml:space="preserve">I </w:t>
      </w:r>
      <w:r w:rsidR="00B43929">
        <w:rPr>
          <w:rFonts w:ascii="Baskerville" w:hAnsi="Baskerville" w:cs="Baskerville"/>
        </w:rPr>
        <w:t xml:space="preserve">again </w:t>
      </w:r>
      <w:r w:rsidR="0070628E">
        <w:rPr>
          <w:rFonts w:ascii="Baskerville" w:hAnsi="Baskerville" w:cs="Baskerville"/>
        </w:rPr>
        <w:t xml:space="preserve">worry that it </w:t>
      </w:r>
      <w:r w:rsidR="00B43929">
        <w:rPr>
          <w:rFonts w:ascii="Baskerville" w:hAnsi="Baskerville" w:cs="Baskerville"/>
        </w:rPr>
        <w:t>sets</w:t>
      </w:r>
      <w:r w:rsidR="0070628E">
        <w:rPr>
          <w:rFonts w:ascii="Baskerville" w:hAnsi="Baskerville" w:cs="Baskerville"/>
        </w:rPr>
        <w:t xml:space="preserve"> the epistemic bar too low. </w:t>
      </w:r>
      <w:r w:rsidR="003A4B17">
        <w:rPr>
          <w:rFonts w:ascii="Baskerville" w:hAnsi="Baskerville" w:cs="Baskerville"/>
        </w:rPr>
        <w:t>Th</w:t>
      </w:r>
      <w:r w:rsidR="0070628E">
        <w:rPr>
          <w:rFonts w:ascii="Baskerville" w:hAnsi="Baskerville" w:cs="Baskerville"/>
        </w:rPr>
        <w:t xml:space="preserve">is view </w:t>
      </w:r>
      <w:r w:rsidR="003A4B17">
        <w:rPr>
          <w:rFonts w:ascii="Baskerville" w:hAnsi="Baskerville" w:cs="Baskerville"/>
        </w:rPr>
        <w:t>clash</w:t>
      </w:r>
      <w:r w:rsidR="0070628E">
        <w:rPr>
          <w:rFonts w:ascii="Baskerville" w:hAnsi="Baskerville" w:cs="Baskerville"/>
        </w:rPr>
        <w:t>es</w:t>
      </w:r>
      <w:r w:rsidR="003A4B17">
        <w:rPr>
          <w:rFonts w:ascii="Baskerville" w:hAnsi="Baskerville" w:cs="Baskerville"/>
        </w:rPr>
        <w:t xml:space="preserve"> with the way degrees are often used in epistemology</w:t>
      </w:r>
      <w:r w:rsidR="0070628E">
        <w:rPr>
          <w:rFonts w:ascii="Baskerville" w:hAnsi="Baskerville" w:cs="Baskerville"/>
        </w:rPr>
        <w:t xml:space="preserve"> to</w:t>
      </w:r>
      <w:r w:rsidR="003A4B17">
        <w:rPr>
          <w:rFonts w:ascii="Baskerville" w:hAnsi="Baskerville" w:cs="Baskerville"/>
        </w:rPr>
        <w:t xml:space="preserve"> mark movements between good and bad </w:t>
      </w:r>
      <w:r w:rsidR="0070628E">
        <w:rPr>
          <w:rFonts w:ascii="Baskerville" w:hAnsi="Baskerville" w:cs="Baskerville"/>
        </w:rPr>
        <w:t>understandings</w:t>
      </w:r>
      <w:r w:rsidR="003A4B17">
        <w:rPr>
          <w:rFonts w:ascii="Baskerville" w:hAnsi="Baskerville" w:cs="Baskerville"/>
        </w:rPr>
        <w:t xml:space="preserve"> o</w:t>
      </w:r>
      <w:r w:rsidR="0070628E">
        <w:rPr>
          <w:rFonts w:ascii="Baskerville" w:hAnsi="Baskerville" w:cs="Baskerville"/>
        </w:rPr>
        <w:t>f</w:t>
      </w:r>
      <w:r w:rsidR="003A4B17">
        <w:rPr>
          <w:rFonts w:ascii="Baskerville" w:hAnsi="Baskerville" w:cs="Baskerville"/>
        </w:rPr>
        <w:t xml:space="preserve"> a given topic.</w:t>
      </w:r>
      <w:r w:rsidR="00F13F11">
        <w:rPr>
          <w:rStyle w:val="FootnoteReference"/>
          <w:rFonts w:ascii="Baskerville" w:hAnsi="Baskerville" w:cs="Baskerville"/>
        </w:rPr>
        <w:footnoteReference w:id="3"/>
      </w:r>
      <w:r w:rsidR="00031749">
        <w:rPr>
          <w:rFonts w:ascii="Baskerville" w:hAnsi="Baskerville" w:cs="Baskerville"/>
        </w:rPr>
        <w:t xml:space="preserve"> </w:t>
      </w:r>
      <w:r w:rsidR="00B43929">
        <w:rPr>
          <w:rFonts w:ascii="Baskerville" w:hAnsi="Baskerville" w:cs="Baskerville"/>
        </w:rPr>
        <w:t>It</w:t>
      </w:r>
      <w:r w:rsidR="0070628E">
        <w:rPr>
          <w:rFonts w:ascii="Baskerville" w:hAnsi="Baskerville" w:cs="Baskerville"/>
        </w:rPr>
        <w:t xml:space="preserve"> is</w:t>
      </w:r>
      <w:r w:rsidR="00031749">
        <w:rPr>
          <w:rFonts w:ascii="Baskerville" w:hAnsi="Baskerville" w:cs="Baskerville"/>
        </w:rPr>
        <w:t xml:space="preserve"> possible to have a bad understanding of a topic, and </w:t>
      </w:r>
      <w:r w:rsidR="0070628E">
        <w:rPr>
          <w:rFonts w:ascii="Baskerville" w:hAnsi="Baskerville" w:cs="Baskerville"/>
        </w:rPr>
        <w:t xml:space="preserve">still say that </w:t>
      </w:r>
      <w:r w:rsidR="00031749">
        <w:rPr>
          <w:rFonts w:ascii="Baskerville" w:hAnsi="Baskerville" w:cs="Baskerville"/>
        </w:rPr>
        <w:t>this is some cognitive achievement</w:t>
      </w:r>
      <w:r w:rsidR="00B43929">
        <w:rPr>
          <w:rFonts w:ascii="Baskerville" w:hAnsi="Baskerville" w:cs="Baskerville"/>
        </w:rPr>
        <w:t>. But</w:t>
      </w:r>
      <w:r w:rsidR="0070628E">
        <w:rPr>
          <w:rFonts w:ascii="Baskerville" w:hAnsi="Baskerville" w:cs="Baskerville"/>
        </w:rPr>
        <w:t xml:space="preserve"> since understanding is </w:t>
      </w:r>
      <w:r w:rsidR="00B43929">
        <w:rPr>
          <w:rFonts w:ascii="Baskerville" w:hAnsi="Baskerville" w:cs="Baskerville"/>
        </w:rPr>
        <w:t xml:space="preserve">also </w:t>
      </w:r>
      <w:r w:rsidR="0070628E">
        <w:rPr>
          <w:rFonts w:ascii="Baskerville" w:hAnsi="Baskerville" w:cs="Baskerville"/>
        </w:rPr>
        <w:t>used as a cognitive success term</w:t>
      </w:r>
      <w:r w:rsidR="00B43929">
        <w:rPr>
          <w:rFonts w:ascii="Baskerville" w:hAnsi="Baskerville" w:cs="Baskerville"/>
        </w:rPr>
        <w:t>,</w:t>
      </w:r>
      <w:r w:rsidR="0070628E">
        <w:rPr>
          <w:rFonts w:ascii="Baskerville" w:hAnsi="Baskerville" w:cs="Baskerville"/>
        </w:rPr>
        <w:t xml:space="preserve"> epistemologists are often more interested in how understanding improves and regresses</w:t>
      </w:r>
      <w:r w:rsidR="00031749">
        <w:rPr>
          <w:rFonts w:ascii="Baskerville" w:hAnsi="Baskerville" w:cs="Baskerville"/>
        </w:rPr>
        <w:t xml:space="preserve">. Without appealing to the idea of improvement, one might worry that </w:t>
      </w:r>
      <w:proofErr w:type="spellStart"/>
      <w:r w:rsidR="00031749">
        <w:rPr>
          <w:rFonts w:ascii="Baskerville" w:hAnsi="Baskerville" w:cs="Baskerville"/>
        </w:rPr>
        <w:t>Mikkonen’s</w:t>
      </w:r>
      <w:proofErr w:type="spellEnd"/>
      <w:r w:rsidR="00031749">
        <w:rPr>
          <w:rFonts w:ascii="Baskerville" w:hAnsi="Baskerville" w:cs="Baskerville"/>
        </w:rPr>
        <w:t xml:space="preserve"> view </w:t>
      </w:r>
      <w:r w:rsidR="0070628E">
        <w:rPr>
          <w:rFonts w:ascii="Baskerville" w:hAnsi="Baskerville" w:cs="Baskerville"/>
        </w:rPr>
        <w:t>leads to the idea that literature is cognitively valuable if it gives us any level of understanding whatsoever</w:t>
      </w:r>
      <w:r w:rsidR="00F13F11">
        <w:rPr>
          <w:rFonts w:ascii="Baskerville" w:hAnsi="Baskerville" w:cs="Baskerville"/>
        </w:rPr>
        <w:t>, even a bad understanding</w:t>
      </w:r>
      <w:r w:rsidR="0070628E">
        <w:rPr>
          <w:rFonts w:ascii="Baskerville" w:hAnsi="Baskerville" w:cs="Baskerville"/>
        </w:rPr>
        <w:t xml:space="preserve">. </w:t>
      </w:r>
      <w:r w:rsidR="00F13F11">
        <w:rPr>
          <w:rFonts w:ascii="Baskerville" w:hAnsi="Baskerville" w:cs="Baskerville"/>
        </w:rPr>
        <w:t>F</w:t>
      </w:r>
      <w:r w:rsidR="0070628E">
        <w:rPr>
          <w:rFonts w:ascii="Baskerville" w:hAnsi="Baskerville" w:cs="Baskerville"/>
        </w:rPr>
        <w:t>or many this might seem like an unimpressive conclusion, especially when we tend to praise advances in understanding and critique retreats</w:t>
      </w:r>
      <w:r w:rsidR="00F13F11">
        <w:rPr>
          <w:rFonts w:ascii="Baskerville" w:hAnsi="Baskerville" w:cs="Baskerville"/>
        </w:rPr>
        <w:t xml:space="preserve"> or stasis</w:t>
      </w:r>
      <w:r w:rsidR="0070628E">
        <w:rPr>
          <w:rFonts w:ascii="Baskerville" w:hAnsi="Baskerville" w:cs="Baskerville"/>
        </w:rPr>
        <w:t>. If we want to praise artworks for their cognitive value, a more fleshed</w:t>
      </w:r>
      <w:r w:rsidR="003C641A">
        <w:rPr>
          <w:rFonts w:ascii="Baskerville" w:hAnsi="Baskerville" w:cs="Baskerville"/>
        </w:rPr>
        <w:t>-</w:t>
      </w:r>
      <w:r w:rsidR="0070628E">
        <w:rPr>
          <w:rFonts w:ascii="Baskerville" w:hAnsi="Baskerville" w:cs="Baskerville"/>
        </w:rPr>
        <w:t>out story of how we get from cognitive transformation via confusion and exp</w:t>
      </w:r>
      <w:r w:rsidR="00B43929">
        <w:rPr>
          <w:rFonts w:ascii="Baskerville" w:hAnsi="Baskerville" w:cs="Baskerville"/>
        </w:rPr>
        <w:t>l</w:t>
      </w:r>
      <w:r w:rsidR="0070628E">
        <w:rPr>
          <w:rFonts w:ascii="Baskerville" w:hAnsi="Baskerville" w:cs="Baskerville"/>
        </w:rPr>
        <w:t>oration to actual</w:t>
      </w:r>
      <w:r w:rsidR="007121B1">
        <w:rPr>
          <w:rFonts w:ascii="Baskerville" w:hAnsi="Baskerville" w:cs="Baskerville"/>
        </w:rPr>
        <w:t>, non-trivial</w:t>
      </w:r>
      <w:r w:rsidR="0070628E">
        <w:rPr>
          <w:rFonts w:ascii="Baskerville" w:hAnsi="Baskerville" w:cs="Baskerville"/>
        </w:rPr>
        <w:t xml:space="preserve"> cognitive improvement</w:t>
      </w:r>
      <w:r w:rsidR="003C641A">
        <w:rPr>
          <w:rFonts w:ascii="Baskerville" w:hAnsi="Baskerville" w:cs="Baskerville"/>
        </w:rPr>
        <w:t xml:space="preserve"> is still needed</w:t>
      </w:r>
      <w:r w:rsidR="0070628E">
        <w:rPr>
          <w:rFonts w:ascii="Baskerville" w:hAnsi="Baskerville" w:cs="Baskerville"/>
        </w:rPr>
        <w:t>.</w:t>
      </w:r>
    </w:p>
    <w:p w14:paraId="2629E0CD" w14:textId="77777777" w:rsidR="00F75087" w:rsidRDefault="00F75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Baskerville" w:hAnsi="Baskerville" w:cs="Baskerville"/>
        </w:rPr>
      </w:pPr>
    </w:p>
    <w:p w14:paraId="2FA1EEDE" w14:textId="35DDDB2D" w:rsidR="00F75087" w:rsidRDefault="00B439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Baskerville" w:hAnsi="Baskerville" w:cs="Baskerville"/>
        </w:rPr>
      </w:pPr>
      <w:r>
        <w:rPr>
          <w:rFonts w:ascii="Baskerville" w:hAnsi="Baskerville" w:cs="Baskerville"/>
        </w:rPr>
        <w:t>The book’s</w:t>
      </w:r>
      <w:r w:rsidR="00EB44EA">
        <w:rPr>
          <w:rFonts w:ascii="Baskerville" w:hAnsi="Baskerville" w:cs="Baskerville"/>
        </w:rPr>
        <w:t xml:space="preserve"> </w:t>
      </w:r>
      <w:r w:rsidR="00005636">
        <w:rPr>
          <w:rFonts w:ascii="Baskerville" w:hAnsi="Baskerville" w:cs="Baskerville"/>
        </w:rPr>
        <w:t xml:space="preserve">most compelling arguments </w:t>
      </w:r>
      <w:r>
        <w:rPr>
          <w:rFonts w:ascii="Baskerville" w:hAnsi="Baskerville" w:cs="Baskerville"/>
        </w:rPr>
        <w:t>are</w:t>
      </w:r>
      <w:r w:rsidR="00005636">
        <w:rPr>
          <w:rFonts w:ascii="Baskerville" w:hAnsi="Baskerville" w:cs="Baskerville"/>
        </w:rPr>
        <w:t xml:space="preserve"> saved for the finale. </w:t>
      </w:r>
      <w:r w:rsidR="00263647">
        <w:rPr>
          <w:rFonts w:ascii="Baskerville" w:hAnsi="Baskerville" w:cs="Baskerville"/>
        </w:rPr>
        <w:t>Chapter four</w:t>
      </w:r>
      <w:r w:rsidR="00005636">
        <w:rPr>
          <w:rFonts w:ascii="Baskerville" w:hAnsi="Baskerville" w:cs="Baskerville"/>
        </w:rPr>
        <w:t xml:space="preserve"> takes on a new </w:t>
      </w:r>
      <w:r w:rsidR="00005636">
        <w:rPr>
          <w:rFonts w:ascii="Baskerville" w:hAnsi="Baskerville" w:cs="Baskerville"/>
        </w:rPr>
        <w:lastRenderedPageBreak/>
        <w:t xml:space="preserve">problem facing cognitivism: the need to show that there is empirical evidence that literature improves our cognitive standing. As Gregory Currie has found, the problem is that cognitivists have uniformly shirked any interest in answering this question, preferring the comfort of armchair theorising </w:t>
      </w:r>
      <w:r w:rsidR="00263647">
        <w:rPr>
          <w:rFonts w:ascii="Baskerville" w:hAnsi="Baskerville" w:cs="Baskerville"/>
        </w:rPr>
        <w:t xml:space="preserve">over the </w:t>
      </w:r>
      <w:r w:rsidR="00005636">
        <w:rPr>
          <w:rFonts w:ascii="Baskerville" w:hAnsi="Baskerville" w:cs="Baskerville"/>
        </w:rPr>
        <w:t>discomfort of the laboratory.</w:t>
      </w:r>
      <w:r w:rsidR="00E86B7D">
        <w:rPr>
          <w:rStyle w:val="FootnoteReference"/>
          <w:rFonts w:ascii="Baskerville" w:hAnsi="Baskerville" w:cs="Baskerville"/>
        </w:rPr>
        <w:footnoteReference w:id="4"/>
      </w:r>
      <w:r w:rsidR="00005636">
        <w:rPr>
          <w:rFonts w:ascii="Baskerville" w:hAnsi="Baskerville" w:cs="Baskerville"/>
        </w:rPr>
        <w:t xml:space="preserve"> Unfortunately, Currie reports that once we look at the empirical findings, the results are dim. Psychological studies simply do not yet provide any clear evidence for the kinds of epistemic boons cognitivists </w:t>
      </w:r>
      <w:r w:rsidR="00EB44EA">
        <w:rPr>
          <w:rFonts w:ascii="Baskerville" w:hAnsi="Baskerville" w:cs="Baskerville"/>
        </w:rPr>
        <w:t>are</w:t>
      </w:r>
      <w:r w:rsidR="00005636">
        <w:rPr>
          <w:rFonts w:ascii="Baskerville" w:hAnsi="Baskerville" w:cs="Baskerville"/>
        </w:rPr>
        <w:t xml:space="preserve"> accustomed to invok</w:t>
      </w:r>
      <w:r w:rsidR="00EB44EA">
        <w:rPr>
          <w:rFonts w:ascii="Baskerville" w:hAnsi="Baskerville" w:cs="Baskerville"/>
        </w:rPr>
        <w:t>e</w:t>
      </w:r>
      <w:r w:rsidR="00005636">
        <w:rPr>
          <w:rFonts w:ascii="Baskerville" w:hAnsi="Baskerville" w:cs="Baskerville"/>
        </w:rPr>
        <w:t>.</w:t>
      </w:r>
    </w:p>
    <w:p w14:paraId="72557EAE" w14:textId="77777777" w:rsidR="00F75087" w:rsidRDefault="00F75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Baskerville" w:hAnsi="Baskerville" w:cs="Baskerville"/>
        </w:rPr>
      </w:pPr>
    </w:p>
    <w:p w14:paraId="6D257EE8" w14:textId="520CE62E" w:rsidR="00F75087" w:rsidRDefault="000056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Baskerville" w:hAnsi="Baskerville" w:cs="Baskerville"/>
        </w:rPr>
      </w:pPr>
      <w:proofErr w:type="spellStart"/>
      <w:r>
        <w:rPr>
          <w:rFonts w:ascii="Baskerville" w:hAnsi="Baskerville" w:cs="Baskerville"/>
        </w:rPr>
        <w:t>Mikkonen’s</w:t>
      </w:r>
      <w:proofErr w:type="spellEnd"/>
      <w:r>
        <w:rPr>
          <w:rFonts w:ascii="Baskerville" w:hAnsi="Baskerville" w:cs="Baskerville"/>
        </w:rPr>
        <w:t xml:space="preserve"> response is both bold and measured. First, </w:t>
      </w:r>
      <w:r w:rsidR="005C5A0A">
        <w:rPr>
          <w:rFonts w:ascii="Baskerville" w:hAnsi="Baskerville" w:cs="Baskerville"/>
        </w:rPr>
        <w:t xml:space="preserve">they </w:t>
      </w:r>
      <w:r>
        <w:rPr>
          <w:rFonts w:ascii="Baskerville" w:hAnsi="Baskerville" w:cs="Baskerville"/>
        </w:rPr>
        <w:t xml:space="preserve">develop a critical toolbox for cognitivists to better assess the psychological literature. </w:t>
      </w:r>
      <w:proofErr w:type="spellStart"/>
      <w:r>
        <w:rPr>
          <w:rFonts w:ascii="Baskerville" w:hAnsi="Baskerville" w:cs="Baskerville"/>
        </w:rPr>
        <w:t>Mikkonen</w:t>
      </w:r>
      <w:proofErr w:type="spellEnd"/>
      <w:r>
        <w:rPr>
          <w:rFonts w:ascii="Baskerville" w:hAnsi="Baskerville" w:cs="Baskerville"/>
        </w:rPr>
        <w:t xml:space="preserve"> advances nine questions that the philosopher can apply to empirical studies supportive and critical of cognitivism, targeting the background assumptions about the concept of literature, epistemic advancement and the practice of reading which are informing the studies. For the cognitivist unfamiliar with empirical study trying to grapple with these studies, </w:t>
      </w:r>
      <w:proofErr w:type="spellStart"/>
      <w:r>
        <w:rPr>
          <w:rFonts w:ascii="Baskerville" w:hAnsi="Baskerville" w:cs="Baskerville"/>
        </w:rPr>
        <w:t>Mikkonen’s</w:t>
      </w:r>
      <w:proofErr w:type="spellEnd"/>
      <w:r>
        <w:rPr>
          <w:rFonts w:ascii="Baskerville" w:hAnsi="Baskerville" w:cs="Baskerville"/>
        </w:rPr>
        <w:t xml:space="preserve"> carefully constructed critical filter is an invaluable resource.</w:t>
      </w:r>
      <w:r w:rsidR="00E10536">
        <w:rPr>
          <w:rFonts w:ascii="Baskerville" w:hAnsi="Baskerville" w:cs="Baskerville"/>
        </w:rPr>
        <w:t xml:space="preserve"> </w:t>
      </w:r>
      <w:r>
        <w:rPr>
          <w:rFonts w:ascii="Baskerville" w:hAnsi="Baskerville" w:cs="Baskerville"/>
        </w:rPr>
        <w:t xml:space="preserve">Second, </w:t>
      </w:r>
      <w:proofErr w:type="spellStart"/>
      <w:r>
        <w:rPr>
          <w:rFonts w:ascii="Baskerville" w:hAnsi="Baskerville" w:cs="Baskerville"/>
        </w:rPr>
        <w:t>Mikkonen</w:t>
      </w:r>
      <w:proofErr w:type="spellEnd"/>
      <w:r>
        <w:rPr>
          <w:rFonts w:ascii="Baskerville" w:hAnsi="Baskerville" w:cs="Baskerville"/>
        </w:rPr>
        <w:t xml:space="preserve"> suggests that if a cognitivism focussing on </w:t>
      </w:r>
      <w:r w:rsidR="005C5A0A">
        <w:rPr>
          <w:rFonts w:ascii="Baskerville" w:hAnsi="Baskerville" w:cs="Baskerville"/>
        </w:rPr>
        <w:t>self-understanding</w:t>
      </w:r>
      <w:r>
        <w:rPr>
          <w:rFonts w:ascii="Baskerville" w:hAnsi="Baskerville" w:cs="Baskerville"/>
        </w:rPr>
        <w:t xml:space="preserve"> is the best way to link philosophy and literary practice then</w:t>
      </w:r>
      <w:r w:rsidR="005C5A0A">
        <w:rPr>
          <w:rFonts w:ascii="Baskerville" w:hAnsi="Baskerville" w:cs="Baskerville"/>
        </w:rPr>
        <w:t xml:space="preserve">, up until now, </w:t>
      </w:r>
      <w:r>
        <w:rPr>
          <w:rFonts w:ascii="Baskerville" w:hAnsi="Baskerville" w:cs="Baskerville"/>
        </w:rPr>
        <w:t>the psychological literature has</w:t>
      </w:r>
      <w:r w:rsidR="005C5A0A">
        <w:rPr>
          <w:rFonts w:ascii="Baskerville" w:hAnsi="Baskerville" w:cs="Baskerville"/>
        </w:rPr>
        <w:t xml:space="preserve"> </w:t>
      </w:r>
      <w:r>
        <w:rPr>
          <w:rFonts w:ascii="Baskerville" w:hAnsi="Baskerville" w:cs="Baskerville"/>
        </w:rPr>
        <w:t xml:space="preserve">been assessing the wrong kinds of response. </w:t>
      </w:r>
      <w:r w:rsidR="009C3CE9">
        <w:rPr>
          <w:rFonts w:ascii="Baskerville" w:hAnsi="Baskerville" w:cs="Baskerville"/>
        </w:rPr>
        <w:t>Focussing only on</w:t>
      </w:r>
      <w:r>
        <w:rPr>
          <w:rFonts w:ascii="Baskerville" w:hAnsi="Baskerville" w:cs="Baskerville"/>
        </w:rPr>
        <w:t xml:space="preserve"> reactions to texts read in artificial </w:t>
      </w:r>
      <w:r w:rsidR="00EB44EA">
        <w:rPr>
          <w:rFonts w:ascii="Baskerville" w:hAnsi="Baskerville" w:cs="Baskerville"/>
        </w:rPr>
        <w:t>settings</w:t>
      </w:r>
      <w:r>
        <w:rPr>
          <w:rFonts w:ascii="Baskerville" w:hAnsi="Baskerville" w:cs="Baskerville"/>
        </w:rPr>
        <w:t xml:space="preserve"> targeting our comprehension of various truths simply doesn’t track the way readers actually grapple with literature. In a surprising move, </w:t>
      </w:r>
      <w:proofErr w:type="spellStart"/>
      <w:r>
        <w:rPr>
          <w:rFonts w:ascii="Baskerville" w:hAnsi="Baskerville" w:cs="Baskerville"/>
        </w:rPr>
        <w:t>Mikkonen</w:t>
      </w:r>
      <w:proofErr w:type="spellEnd"/>
      <w:r>
        <w:rPr>
          <w:rFonts w:ascii="Baskerville" w:hAnsi="Baskerville" w:cs="Baskerville"/>
        </w:rPr>
        <w:t xml:space="preserve"> points out that we already have evidence of </w:t>
      </w:r>
      <w:r w:rsidR="00E86B7D">
        <w:rPr>
          <w:rFonts w:ascii="Baskerville" w:hAnsi="Baskerville" w:cs="Baskerville"/>
        </w:rPr>
        <w:t xml:space="preserve">the </w:t>
      </w:r>
      <w:r>
        <w:rPr>
          <w:rFonts w:ascii="Baskerville" w:hAnsi="Baskerville" w:cs="Baskerville"/>
        </w:rPr>
        <w:t>advancement</w:t>
      </w:r>
      <w:r w:rsidR="00E86B7D">
        <w:rPr>
          <w:rFonts w:ascii="Baskerville" w:hAnsi="Baskerville" w:cs="Baskerville"/>
        </w:rPr>
        <w:t xml:space="preserve"> of understanding</w:t>
      </w:r>
      <w:r>
        <w:rPr>
          <w:rFonts w:ascii="Baskerville" w:hAnsi="Baskerville" w:cs="Baskerville"/>
        </w:rPr>
        <w:t xml:space="preserve"> in the form of professional literary criticism, reception studies of non-professional general readerships, and the recorded personal reflections of actual readers. It is in these </w:t>
      </w:r>
      <w:r w:rsidR="005C5A0A">
        <w:rPr>
          <w:rFonts w:ascii="Baskerville" w:hAnsi="Baskerville" w:cs="Baskerville"/>
        </w:rPr>
        <w:t xml:space="preserve">kinds of </w:t>
      </w:r>
      <w:r>
        <w:rPr>
          <w:rFonts w:ascii="Baskerville" w:hAnsi="Baskerville" w:cs="Baskerville"/>
        </w:rPr>
        <w:t xml:space="preserve">qualitative studies of actual reading experience, sometimes covering the course of many years, that </w:t>
      </w:r>
      <w:proofErr w:type="spellStart"/>
      <w:r w:rsidR="005C5A0A">
        <w:rPr>
          <w:rFonts w:ascii="Baskerville" w:hAnsi="Baskerville" w:cs="Baskerville"/>
        </w:rPr>
        <w:t>Mikkonen</w:t>
      </w:r>
      <w:proofErr w:type="spellEnd"/>
      <w:r w:rsidR="005C5A0A">
        <w:rPr>
          <w:rFonts w:ascii="Baskerville" w:hAnsi="Baskerville" w:cs="Baskerville"/>
        </w:rPr>
        <w:t xml:space="preserve"> thinks </w:t>
      </w:r>
      <w:r>
        <w:rPr>
          <w:rFonts w:ascii="Baskerville" w:hAnsi="Baskerville" w:cs="Baskerville"/>
        </w:rPr>
        <w:t xml:space="preserve">we can see the cognitive value of literature unfold </w:t>
      </w:r>
      <w:r>
        <w:rPr>
          <w:rFonts w:ascii="Baskerville" w:hAnsi="Baskerville" w:cs="Baskerville"/>
        </w:rPr>
        <w:lastRenderedPageBreak/>
        <w:t xml:space="preserve">in its natural </w:t>
      </w:r>
      <w:r w:rsidR="00E10536">
        <w:rPr>
          <w:rFonts w:ascii="Baskerville" w:hAnsi="Baskerville" w:cs="Baskerville"/>
        </w:rPr>
        <w:t xml:space="preserve">practical </w:t>
      </w:r>
      <w:r>
        <w:rPr>
          <w:rFonts w:ascii="Baskerville" w:hAnsi="Baskerville" w:cs="Baskerville"/>
        </w:rPr>
        <w:t xml:space="preserve">environment. </w:t>
      </w:r>
    </w:p>
    <w:p w14:paraId="52826D43" w14:textId="77777777" w:rsidR="00F75087" w:rsidRDefault="00F75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Baskerville" w:hAnsi="Baskerville" w:cs="Baskerville"/>
        </w:rPr>
      </w:pPr>
    </w:p>
    <w:p w14:paraId="70A67B3A" w14:textId="22418953" w:rsidR="00F75087" w:rsidRDefault="000056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Baskerville" w:hAnsi="Baskerville" w:cs="Baskerville"/>
        </w:rPr>
      </w:pPr>
      <w:r>
        <w:rPr>
          <w:rFonts w:ascii="Baskerville" w:hAnsi="Baskerville" w:cs="Baskerville"/>
        </w:rPr>
        <w:t>Th</w:t>
      </w:r>
      <w:r w:rsidR="005C5A0A">
        <w:rPr>
          <w:rFonts w:ascii="Baskerville" w:hAnsi="Baskerville" w:cs="Baskerville"/>
        </w:rPr>
        <w:t>is</w:t>
      </w:r>
      <w:r>
        <w:rPr>
          <w:rFonts w:ascii="Baskerville" w:hAnsi="Baskerville" w:cs="Baskerville"/>
        </w:rPr>
        <w:t xml:space="preserve"> </w:t>
      </w:r>
      <w:r w:rsidR="005C5A0A">
        <w:rPr>
          <w:rFonts w:ascii="Baskerville" w:hAnsi="Baskerville" w:cs="Baskerville"/>
        </w:rPr>
        <w:t>book</w:t>
      </w:r>
      <w:r>
        <w:rPr>
          <w:rFonts w:ascii="Baskerville" w:hAnsi="Baskerville" w:cs="Baskerville"/>
        </w:rPr>
        <w:t xml:space="preserve"> acknowledges that the field of literature and the styles of reading it require</w:t>
      </w:r>
      <w:r w:rsidR="005C5A0A">
        <w:rPr>
          <w:rFonts w:ascii="Baskerville" w:hAnsi="Baskerville" w:cs="Baskerville"/>
        </w:rPr>
        <w:t>s</w:t>
      </w:r>
      <w:r>
        <w:rPr>
          <w:rFonts w:ascii="Baskerville" w:hAnsi="Baskerville" w:cs="Baskerville"/>
        </w:rPr>
        <w:t xml:space="preserve"> </w:t>
      </w:r>
      <w:r w:rsidR="005C5A0A">
        <w:rPr>
          <w:rFonts w:ascii="Baskerville" w:hAnsi="Baskerville" w:cs="Baskerville"/>
        </w:rPr>
        <w:t>are</w:t>
      </w:r>
      <w:r>
        <w:rPr>
          <w:rFonts w:ascii="Baskerville" w:hAnsi="Baskerville" w:cs="Baskerville"/>
        </w:rPr>
        <w:t xml:space="preserve"> so vast and varied that it can be hard to provide any one-size-fits-all theory. Yet for all </w:t>
      </w:r>
      <w:r w:rsidR="00E10536">
        <w:rPr>
          <w:rFonts w:ascii="Baskerville" w:hAnsi="Baskerville" w:cs="Baskerville"/>
        </w:rPr>
        <w:t>the emphasis on</w:t>
      </w:r>
      <w:r>
        <w:rPr>
          <w:rFonts w:ascii="Baskerville" w:hAnsi="Baskerville" w:cs="Baskerville"/>
        </w:rPr>
        <w:t xml:space="preserve"> the details of reading practices</w:t>
      </w:r>
      <w:r w:rsidR="00263647">
        <w:rPr>
          <w:rFonts w:ascii="Baskerville" w:hAnsi="Baskerville" w:cs="Baskerville"/>
        </w:rPr>
        <w:t xml:space="preserve">, I </w:t>
      </w:r>
      <w:r w:rsidR="00E10536">
        <w:rPr>
          <w:rFonts w:ascii="Baskerville" w:hAnsi="Baskerville" w:cs="Baskerville"/>
        </w:rPr>
        <w:t>was slightly disappointed in the lack</w:t>
      </w:r>
      <w:r>
        <w:rPr>
          <w:rFonts w:ascii="Baskerville" w:hAnsi="Baskerville" w:cs="Baskerville"/>
        </w:rPr>
        <w:t xml:space="preserve"> extended literary analysis undertaken</w:t>
      </w:r>
      <w:r w:rsidR="00263647">
        <w:rPr>
          <w:rFonts w:ascii="Baskerville" w:hAnsi="Baskerville" w:cs="Baskerville"/>
        </w:rPr>
        <w:t>.</w:t>
      </w:r>
      <w:r>
        <w:rPr>
          <w:rFonts w:ascii="Baskerville" w:hAnsi="Baskerville" w:cs="Baskerville"/>
        </w:rPr>
        <w:t xml:space="preserve"> </w:t>
      </w:r>
      <w:r w:rsidR="00263647">
        <w:rPr>
          <w:rFonts w:ascii="Baskerville" w:hAnsi="Baskerville" w:cs="Baskerville"/>
        </w:rPr>
        <w:t>Literary examples</w:t>
      </w:r>
      <w:r>
        <w:rPr>
          <w:rFonts w:ascii="Baskerville" w:hAnsi="Baskerville" w:cs="Baskerville"/>
        </w:rPr>
        <w:t xml:space="preserve"> are all too frequently given only brief glosses</w:t>
      </w:r>
      <w:r w:rsidR="00263647">
        <w:rPr>
          <w:rFonts w:ascii="Baskerville" w:hAnsi="Baskerville" w:cs="Baskerville"/>
        </w:rPr>
        <w:t xml:space="preserve"> and exeges</w:t>
      </w:r>
      <w:r w:rsidR="005C5A0A">
        <w:rPr>
          <w:rFonts w:ascii="Baskerville" w:hAnsi="Baskerville" w:cs="Baskerville"/>
        </w:rPr>
        <w:t>i</w:t>
      </w:r>
      <w:r w:rsidR="00263647">
        <w:rPr>
          <w:rFonts w:ascii="Baskerville" w:hAnsi="Baskerville" w:cs="Baskerville"/>
        </w:rPr>
        <w:t>s</w:t>
      </w:r>
      <w:r>
        <w:rPr>
          <w:rFonts w:ascii="Baskerville" w:hAnsi="Baskerville" w:cs="Baskerville"/>
        </w:rPr>
        <w:t xml:space="preserve">. And whilst it is salutary to see serious focus placed on the specifics of modernist literature, the book is still </w:t>
      </w:r>
      <w:r w:rsidR="00E10536">
        <w:rPr>
          <w:rFonts w:ascii="Baskerville" w:hAnsi="Baskerville" w:cs="Baskerville"/>
        </w:rPr>
        <w:t xml:space="preserve">mainly focussed on </w:t>
      </w:r>
      <w:r>
        <w:rPr>
          <w:rFonts w:ascii="Baskerville" w:hAnsi="Baskerville" w:cs="Baskerville"/>
        </w:rPr>
        <w:t>novelistic narrative fiction</w:t>
      </w:r>
      <w:r w:rsidR="0070628E">
        <w:rPr>
          <w:rFonts w:ascii="Baskerville" w:hAnsi="Baskerville" w:cs="Baskerville"/>
        </w:rPr>
        <w:t>, p</w:t>
      </w:r>
      <w:r>
        <w:rPr>
          <w:rFonts w:ascii="Baskerville" w:hAnsi="Baskerville" w:cs="Baskerville"/>
        </w:rPr>
        <w:t>oetry and non-narrative literary prose thin on the ground</w:t>
      </w:r>
      <w:r w:rsidR="0070628E">
        <w:rPr>
          <w:rFonts w:ascii="Baskerville" w:hAnsi="Baskerville" w:cs="Baskerville"/>
        </w:rPr>
        <w:t>.</w:t>
      </w:r>
      <w:r>
        <w:rPr>
          <w:rFonts w:ascii="Baskerville" w:hAnsi="Baskerville" w:cs="Baskerville"/>
        </w:rPr>
        <w:t xml:space="preserve"> In a book this compact</w:t>
      </w:r>
      <w:r w:rsidR="005C5A0A">
        <w:rPr>
          <w:rFonts w:ascii="Baskerville" w:hAnsi="Baskerville" w:cs="Baskerville"/>
        </w:rPr>
        <w:t xml:space="preserve"> – t</w:t>
      </w:r>
      <w:r>
        <w:rPr>
          <w:rFonts w:ascii="Baskerville" w:hAnsi="Baskerville" w:cs="Baskerville"/>
        </w:rPr>
        <w:t>he main text spanning only 118 pages</w:t>
      </w:r>
      <w:r w:rsidR="005C5A0A">
        <w:rPr>
          <w:rFonts w:ascii="Baskerville" w:hAnsi="Baskerville" w:cs="Baskerville"/>
        </w:rPr>
        <w:t xml:space="preserve"> – </w:t>
      </w:r>
      <w:r>
        <w:rPr>
          <w:rFonts w:ascii="Baskerville" w:hAnsi="Baskerville" w:cs="Baskerville"/>
        </w:rPr>
        <w:t>choices clearly have to be made, so hopefully future work will see expansion into these areas.</w:t>
      </w:r>
    </w:p>
    <w:p w14:paraId="3DD262BF" w14:textId="77777777" w:rsidR="00F75087" w:rsidRDefault="00F75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Baskerville" w:hAnsi="Baskerville" w:cs="Baskerville"/>
        </w:rPr>
      </w:pPr>
    </w:p>
    <w:p w14:paraId="4B230AD5" w14:textId="40F9C45C" w:rsidR="00F75087" w:rsidRDefault="000056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Baskerville" w:hAnsi="Baskerville" w:cs="Baskerville"/>
        </w:rPr>
      </w:pPr>
      <w:r>
        <w:rPr>
          <w:rFonts w:ascii="Baskerville" w:hAnsi="Baskerville" w:cs="Baskerville"/>
        </w:rPr>
        <w:t xml:space="preserve">This book </w:t>
      </w:r>
      <w:r w:rsidR="00263647">
        <w:rPr>
          <w:rFonts w:ascii="Baskerville" w:hAnsi="Baskerville" w:cs="Baskerville"/>
        </w:rPr>
        <w:t xml:space="preserve">offers a </w:t>
      </w:r>
      <w:r>
        <w:rPr>
          <w:rFonts w:ascii="Baskerville" w:hAnsi="Baskerville" w:cs="Baskerville"/>
        </w:rPr>
        <w:t>carefully measured defence of cognitivism that confidently takes on classic and emerging problems, both at the level of theory and methodology.</w:t>
      </w:r>
      <w:r w:rsidR="007121B1">
        <w:rPr>
          <w:rFonts w:ascii="Baskerville" w:hAnsi="Baskerville" w:cs="Baskerville"/>
        </w:rPr>
        <w:t xml:space="preserve"> Though I feel </w:t>
      </w:r>
      <w:r w:rsidR="00A52CD5">
        <w:rPr>
          <w:rFonts w:ascii="Baskerville" w:hAnsi="Baskerville" w:cs="Baskerville"/>
        </w:rPr>
        <w:t>downplaying</w:t>
      </w:r>
      <w:r w:rsidR="007121B1">
        <w:rPr>
          <w:rFonts w:ascii="Baskerville" w:hAnsi="Baskerville" w:cs="Baskerville"/>
        </w:rPr>
        <w:t xml:space="preserve"> </w:t>
      </w:r>
      <w:r w:rsidR="00A52CD5">
        <w:rPr>
          <w:rFonts w:ascii="Baskerville" w:hAnsi="Baskerville" w:cs="Baskerville"/>
        </w:rPr>
        <w:t xml:space="preserve">literature’s need to produce </w:t>
      </w:r>
      <w:r w:rsidR="007121B1">
        <w:rPr>
          <w:rFonts w:ascii="Baskerville" w:hAnsi="Baskerville" w:cs="Baskerville"/>
        </w:rPr>
        <w:t xml:space="preserve">cognitive improvement requires more </w:t>
      </w:r>
      <w:r w:rsidR="00A52CD5">
        <w:rPr>
          <w:rFonts w:ascii="Baskerville" w:hAnsi="Baskerville" w:cs="Baskerville"/>
        </w:rPr>
        <w:t>defence,</w:t>
      </w:r>
      <w:r>
        <w:rPr>
          <w:rFonts w:ascii="Baskerville" w:hAnsi="Baskerville" w:cs="Baskerville"/>
        </w:rPr>
        <w:t xml:space="preserve"> </w:t>
      </w:r>
      <w:r w:rsidR="00A52CD5">
        <w:rPr>
          <w:rFonts w:ascii="Baskerville" w:hAnsi="Baskerville" w:cs="Baskerville"/>
        </w:rPr>
        <w:t>f</w:t>
      </w:r>
      <w:r>
        <w:rPr>
          <w:rFonts w:ascii="Baskerville" w:hAnsi="Baskerville" w:cs="Baskerville"/>
        </w:rPr>
        <w:t xml:space="preserve">or cognitivists </w:t>
      </w:r>
      <w:r w:rsidR="004F2293">
        <w:rPr>
          <w:rFonts w:ascii="Baskerville" w:hAnsi="Baskerville" w:cs="Baskerville"/>
        </w:rPr>
        <w:t>of all stripes</w:t>
      </w:r>
      <w:r>
        <w:rPr>
          <w:rFonts w:ascii="Baskerville" w:hAnsi="Baskerville" w:cs="Baskerville"/>
        </w:rPr>
        <w:t xml:space="preserve"> the</w:t>
      </w:r>
      <w:r w:rsidR="004F2293">
        <w:rPr>
          <w:rFonts w:ascii="Baskerville" w:hAnsi="Baskerville" w:cs="Baskerville"/>
        </w:rPr>
        <w:t xml:space="preserve"> exciting</w:t>
      </w:r>
      <w:r>
        <w:rPr>
          <w:rFonts w:ascii="Baskerville" w:hAnsi="Baskerville" w:cs="Baskerville"/>
        </w:rPr>
        <w:t xml:space="preserve"> arguments found here should be of serious interest. </w:t>
      </w:r>
    </w:p>
    <w:sectPr w:rsidR="00F75087">
      <w:headerReference w:type="default" r:id="rId7"/>
      <w:footerReference w:type="default" r:id="rId8"/>
      <w:endnotePr>
        <w:numFmt w:val="decimal"/>
      </w:endnotePr>
      <w:pgSz w:w="11905" w:h="16837"/>
      <w:pgMar w:top="1439" w:right="1439" w:bottom="1439" w:left="1439" w:header="599" w:footer="579" w:gutter="0"/>
      <w:pgNumType w:start="1"/>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8901C" w14:textId="77777777" w:rsidR="00B5769B" w:rsidRDefault="00B5769B">
      <w:r>
        <w:separator/>
      </w:r>
    </w:p>
  </w:endnote>
  <w:endnote w:type="continuationSeparator" w:id="0">
    <w:p w14:paraId="237E90BF" w14:textId="77777777" w:rsidR="00B5769B" w:rsidRDefault="00B57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Source Sans Pro">
    <w:panose1 w:val="020B0503030403020204"/>
    <w:charset w:val="4D"/>
    <w:family w:val="swiss"/>
    <w:notTrueType/>
    <w:pitch w:val="variable"/>
    <w:sig w:usb0="20000007" w:usb1="00000001" w:usb2="00000000" w:usb3="00000000" w:csb0="00000193"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F4AF0" w14:textId="77777777" w:rsidR="00F75087" w:rsidRPr="0012629F" w:rsidRDefault="00005636">
    <w:pPr>
      <w:widowControl w:val="0"/>
      <w:jc w:val="center"/>
      <w:rPr>
        <w:rFonts w:ascii="Baskerville" w:hAnsi="Baskerville" w:cs="Helvetica"/>
      </w:rPr>
    </w:pPr>
    <w:r w:rsidRPr="0012629F">
      <w:rPr>
        <w:rFonts w:ascii="Baskerville" w:hAnsi="Baskerville" w:cs="Helvetica"/>
      </w:rPr>
      <w:fldChar w:fldCharType="begin"/>
    </w:r>
    <w:r w:rsidRPr="0012629F">
      <w:rPr>
        <w:rFonts w:ascii="Baskerville" w:hAnsi="Baskerville" w:cs="Helvetica"/>
      </w:rPr>
      <w:instrText>PAGE \* MERGEFORMAT</w:instrText>
    </w:r>
    <w:r w:rsidRPr="0012629F">
      <w:rPr>
        <w:rFonts w:ascii="Baskerville" w:hAnsi="Baskerville" w:cs="Helvetica"/>
      </w:rPr>
      <w:fldChar w:fldCharType="separate"/>
    </w:r>
    <w:r w:rsidRPr="0012629F">
      <w:rPr>
        <w:rFonts w:ascii="Baskerville" w:hAnsi="Baskerville" w:cs="Helvetica"/>
      </w:rPr>
      <w:t>1</w:t>
    </w:r>
    <w:r w:rsidRPr="0012629F">
      <w:rPr>
        <w:rFonts w:ascii="Baskerville" w:hAnsi="Baskerville" w:cs="Helveti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C34FE" w14:textId="77777777" w:rsidR="00B5769B" w:rsidRDefault="00B5769B">
      <w:r>
        <w:separator/>
      </w:r>
    </w:p>
  </w:footnote>
  <w:footnote w:type="continuationSeparator" w:id="0">
    <w:p w14:paraId="714E0591" w14:textId="77777777" w:rsidR="00B5769B" w:rsidRDefault="00B5769B">
      <w:r>
        <w:continuationSeparator/>
      </w:r>
    </w:p>
  </w:footnote>
  <w:footnote w:id="1">
    <w:p w14:paraId="6F1B1178" w14:textId="77777777" w:rsidR="007121B1" w:rsidRPr="00E86B7D" w:rsidRDefault="007121B1" w:rsidP="007121B1">
      <w:pPr>
        <w:pStyle w:val="FootnoteText"/>
        <w:spacing w:line="480" w:lineRule="auto"/>
        <w:rPr>
          <w:rFonts w:ascii="Baskerville" w:hAnsi="Baskerville"/>
        </w:rPr>
      </w:pPr>
      <w:r w:rsidRPr="00E86B7D">
        <w:rPr>
          <w:rStyle w:val="FootnoteReference"/>
          <w:rFonts w:ascii="Baskerville" w:hAnsi="Baskerville"/>
        </w:rPr>
        <w:footnoteRef/>
      </w:r>
      <w:r w:rsidRPr="00E86B7D">
        <w:rPr>
          <w:rFonts w:ascii="Baskerville" w:hAnsi="Baskerville"/>
        </w:rPr>
        <w:t xml:space="preserve"> Kendall Walton, </w:t>
      </w:r>
      <w:r w:rsidRPr="00E86B7D">
        <w:rPr>
          <w:rFonts w:ascii="Baskerville" w:hAnsi="Baskerville"/>
          <w:i/>
          <w:iCs/>
        </w:rPr>
        <w:t xml:space="preserve">Mimesis and Make-Believe </w:t>
      </w:r>
      <w:r w:rsidRPr="00E86B7D">
        <w:rPr>
          <w:rFonts w:ascii="Baskerville" w:hAnsi="Baskerville"/>
        </w:rPr>
        <w:t xml:space="preserve">(Cambridge, MA: Harvard University Press, 1990); Gregory Currie, </w:t>
      </w:r>
      <w:r w:rsidRPr="00E86B7D">
        <w:rPr>
          <w:rFonts w:ascii="Baskerville" w:hAnsi="Baskerville"/>
          <w:i/>
          <w:iCs/>
        </w:rPr>
        <w:t>The Nature of Fiction</w:t>
      </w:r>
      <w:r w:rsidRPr="00E86B7D">
        <w:rPr>
          <w:rFonts w:ascii="Baskerville" w:hAnsi="Baskerville"/>
        </w:rPr>
        <w:t xml:space="preserve"> (Cambridge: Cambridge University Press, 1990).</w:t>
      </w:r>
    </w:p>
  </w:footnote>
  <w:footnote w:id="2">
    <w:p w14:paraId="7EAFF3C1" w14:textId="77777777" w:rsidR="0000186D" w:rsidRDefault="0000186D" w:rsidP="00001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Baskerville" w:hAnsi="Baskerville" w:cs="Baskerville"/>
          <w:sz w:val="20"/>
        </w:rPr>
      </w:pPr>
      <w:r w:rsidRPr="00E86B7D">
        <w:rPr>
          <w:rFonts w:ascii="Baskerville" w:hAnsi="Baskerville" w:cs="Baskerville"/>
          <w:sz w:val="20"/>
          <w:vertAlign w:val="superscript"/>
        </w:rPr>
        <w:footnoteRef/>
      </w:r>
      <w:r w:rsidRPr="00E86B7D">
        <w:rPr>
          <w:rFonts w:ascii="Baskerville" w:hAnsi="Baskerville" w:cs="Baskerville"/>
          <w:sz w:val="20"/>
        </w:rPr>
        <w:t xml:space="preserve"> </w:t>
      </w:r>
      <w:r w:rsidRPr="00E86B7D">
        <w:rPr>
          <w:rFonts w:ascii="Baskerville" w:hAnsi="Baskerville" w:cs="Baskerville"/>
          <w:sz w:val="20"/>
          <w:szCs w:val="20"/>
        </w:rPr>
        <w:t xml:space="preserve">Elisabeth Camp, ‘Perspectives and Frames in Pursuit of Ultimate Understanding’ in Stephen Grimm (ed) </w:t>
      </w:r>
      <w:r w:rsidRPr="00E86B7D">
        <w:rPr>
          <w:rFonts w:ascii="Baskerville" w:hAnsi="Baskerville" w:cs="Baskerville"/>
          <w:i/>
          <w:iCs/>
          <w:sz w:val="20"/>
          <w:szCs w:val="20"/>
        </w:rPr>
        <w:t xml:space="preserve">Varieties of Understanding: New Perspectives from Philosophy, Psychology, and Theology </w:t>
      </w:r>
      <w:r w:rsidRPr="00E86B7D">
        <w:rPr>
          <w:rFonts w:ascii="Baskerville" w:hAnsi="Baskerville" w:cs="Baskerville"/>
          <w:sz w:val="20"/>
          <w:szCs w:val="20"/>
        </w:rPr>
        <w:t>(Oxford: OUP, 2019).</w:t>
      </w:r>
    </w:p>
  </w:footnote>
  <w:footnote w:id="3">
    <w:p w14:paraId="633966DA" w14:textId="07365A30" w:rsidR="00F13F11" w:rsidRDefault="00F13F11">
      <w:pPr>
        <w:pStyle w:val="FootnoteText"/>
      </w:pPr>
      <w:r>
        <w:rPr>
          <w:rStyle w:val="FootnoteReference"/>
        </w:rPr>
        <w:footnoteRef/>
      </w:r>
      <w:r>
        <w:t xml:space="preserve"> </w:t>
      </w:r>
      <w:r w:rsidRPr="00F13F11">
        <w:rPr>
          <w:rFonts w:ascii="Baskerville" w:hAnsi="Baskerville"/>
        </w:rPr>
        <w:t>See, for instance,</w:t>
      </w:r>
      <w:r>
        <w:t xml:space="preserve"> </w:t>
      </w:r>
      <w:r w:rsidRPr="00E86B7D">
        <w:rPr>
          <w:rFonts w:ascii="Baskerville" w:hAnsi="Baskerville" w:cs="Baskerville"/>
        </w:rPr>
        <w:t xml:space="preserve">Christopher Kelp, </w:t>
      </w:r>
      <w:r w:rsidRPr="00E86B7D">
        <w:rPr>
          <w:rFonts w:ascii="Baskerville" w:hAnsi="Baskerville" w:cs="Baskerville"/>
          <w:i/>
          <w:iCs/>
        </w:rPr>
        <w:t>Inquiry, Knowledge, and Understanding</w:t>
      </w:r>
      <w:r w:rsidRPr="00E86B7D">
        <w:rPr>
          <w:rFonts w:ascii="Baskerville" w:hAnsi="Baskerville" w:cs="Baskerville"/>
        </w:rPr>
        <w:t xml:space="preserve"> (Oxford: OUP, 2021).</w:t>
      </w:r>
    </w:p>
  </w:footnote>
  <w:footnote w:id="4">
    <w:p w14:paraId="1F37F9D1" w14:textId="0A060237" w:rsidR="00E86B7D" w:rsidRPr="00E86B7D" w:rsidRDefault="00E86B7D">
      <w:pPr>
        <w:pStyle w:val="FootnoteText"/>
      </w:pPr>
      <w:r>
        <w:rPr>
          <w:rStyle w:val="FootnoteReference"/>
        </w:rPr>
        <w:footnoteRef/>
      </w:r>
      <w:r>
        <w:t xml:space="preserve"> </w:t>
      </w:r>
      <w:proofErr w:type="spellStart"/>
      <w:r w:rsidRPr="00E86B7D">
        <w:rPr>
          <w:rFonts w:ascii="Baskerville" w:hAnsi="Baskerville"/>
        </w:rPr>
        <w:t>Greogry</w:t>
      </w:r>
      <w:proofErr w:type="spellEnd"/>
      <w:r w:rsidRPr="00E86B7D">
        <w:rPr>
          <w:rFonts w:ascii="Baskerville" w:hAnsi="Baskerville"/>
        </w:rPr>
        <w:t xml:space="preserve"> Currie</w:t>
      </w:r>
      <w:r w:rsidR="00BA1738">
        <w:rPr>
          <w:rFonts w:ascii="Baskerville" w:hAnsi="Baskerville"/>
        </w:rPr>
        <w:t>,</w:t>
      </w:r>
      <w:r w:rsidRPr="00E86B7D">
        <w:rPr>
          <w:rFonts w:ascii="Baskerville" w:hAnsi="Baskerville"/>
        </w:rPr>
        <w:t xml:space="preserve"> </w:t>
      </w:r>
      <w:r w:rsidRPr="00E86B7D">
        <w:rPr>
          <w:rFonts w:ascii="Baskerville" w:hAnsi="Baskerville"/>
          <w:i/>
          <w:iCs/>
        </w:rPr>
        <w:t>Imagining and Knowing: The Shape of Fiction</w:t>
      </w:r>
      <w:r w:rsidRPr="00E86B7D">
        <w:rPr>
          <w:rFonts w:ascii="Baskerville" w:hAnsi="Baskerville"/>
        </w:rPr>
        <w:t xml:space="preserve"> (Oxford: OUP,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0373D" w14:textId="03547E65" w:rsidR="00182004" w:rsidRDefault="00182004" w:rsidP="00182004">
    <w:pPr>
      <w:pStyle w:val="Header"/>
      <w:jc w:val="center"/>
    </w:pPr>
    <w:r>
      <w:t xml:space="preserve">PREPRINT. PLEASE CITE PUBLISHED VERSION. </w:t>
    </w:r>
    <w:hyperlink r:id="rId1" w:history="1">
      <w:r>
        <w:rPr>
          <w:rStyle w:val="Hyperlink"/>
          <w:rFonts w:ascii="Source Sans Pro" w:hAnsi="Source Sans Pro"/>
          <w:color w:val="006FB7"/>
          <w:sz w:val="26"/>
          <w:szCs w:val="26"/>
          <w:bdr w:val="none" w:sz="0" w:space="0" w:color="auto" w:frame="1"/>
          <w:shd w:val="clear" w:color="auto" w:fill="FFFFFF"/>
        </w:rPr>
        <w:t>https://0-doi-org.pugwash.lib.warwick.ac.uk/10.1093/aesthj/ayab056</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087"/>
    <w:rsid w:val="0000186D"/>
    <w:rsid w:val="00005636"/>
    <w:rsid w:val="00031749"/>
    <w:rsid w:val="0012629F"/>
    <w:rsid w:val="00182004"/>
    <w:rsid w:val="001E4CF5"/>
    <w:rsid w:val="00263647"/>
    <w:rsid w:val="002E0641"/>
    <w:rsid w:val="003860CB"/>
    <w:rsid w:val="003A4B17"/>
    <w:rsid w:val="003C641A"/>
    <w:rsid w:val="00440EAC"/>
    <w:rsid w:val="004772B8"/>
    <w:rsid w:val="004C52C1"/>
    <w:rsid w:val="004F2293"/>
    <w:rsid w:val="00535816"/>
    <w:rsid w:val="0059333D"/>
    <w:rsid w:val="0059741F"/>
    <w:rsid w:val="005C567F"/>
    <w:rsid w:val="005C5A0A"/>
    <w:rsid w:val="00623337"/>
    <w:rsid w:val="0063595D"/>
    <w:rsid w:val="006E3453"/>
    <w:rsid w:val="0070628E"/>
    <w:rsid w:val="007121B1"/>
    <w:rsid w:val="0076398B"/>
    <w:rsid w:val="00785CF2"/>
    <w:rsid w:val="007A7CF7"/>
    <w:rsid w:val="00914037"/>
    <w:rsid w:val="009C3CE9"/>
    <w:rsid w:val="009E6022"/>
    <w:rsid w:val="00A27DE4"/>
    <w:rsid w:val="00A52CD5"/>
    <w:rsid w:val="00AB1A9C"/>
    <w:rsid w:val="00AC081F"/>
    <w:rsid w:val="00B43929"/>
    <w:rsid w:val="00B5769B"/>
    <w:rsid w:val="00BA1738"/>
    <w:rsid w:val="00BF70A0"/>
    <w:rsid w:val="00E10536"/>
    <w:rsid w:val="00E13123"/>
    <w:rsid w:val="00E86B7D"/>
    <w:rsid w:val="00EB44EA"/>
    <w:rsid w:val="00F13F11"/>
    <w:rsid w:val="00F75087"/>
    <w:rsid w:val="00FE1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69CC1"/>
  <w15:docId w15:val="{1D9C95A7-98F2-1B49-A576-DEA366BE6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629F"/>
    <w:pPr>
      <w:tabs>
        <w:tab w:val="center" w:pos="4513"/>
        <w:tab w:val="right" w:pos="9026"/>
      </w:tabs>
    </w:pPr>
  </w:style>
  <w:style w:type="character" w:customStyle="1" w:styleId="HeaderChar">
    <w:name w:val="Header Char"/>
    <w:basedOn w:val="DefaultParagraphFont"/>
    <w:link w:val="Header"/>
    <w:uiPriority w:val="99"/>
    <w:rsid w:val="0012629F"/>
  </w:style>
  <w:style w:type="paragraph" w:styleId="Footer">
    <w:name w:val="footer"/>
    <w:basedOn w:val="Normal"/>
    <w:link w:val="FooterChar"/>
    <w:uiPriority w:val="99"/>
    <w:unhideWhenUsed/>
    <w:rsid w:val="0012629F"/>
    <w:pPr>
      <w:tabs>
        <w:tab w:val="center" w:pos="4513"/>
        <w:tab w:val="right" w:pos="9026"/>
      </w:tabs>
    </w:pPr>
  </w:style>
  <w:style w:type="character" w:customStyle="1" w:styleId="FooterChar">
    <w:name w:val="Footer Char"/>
    <w:basedOn w:val="DefaultParagraphFont"/>
    <w:link w:val="Footer"/>
    <w:uiPriority w:val="99"/>
    <w:rsid w:val="0012629F"/>
  </w:style>
  <w:style w:type="paragraph" w:styleId="FootnoteText">
    <w:name w:val="footnote text"/>
    <w:basedOn w:val="Normal"/>
    <w:link w:val="FootnoteTextChar"/>
    <w:uiPriority w:val="99"/>
    <w:semiHidden/>
    <w:unhideWhenUsed/>
    <w:rsid w:val="001E4CF5"/>
    <w:rPr>
      <w:sz w:val="20"/>
      <w:szCs w:val="20"/>
    </w:rPr>
  </w:style>
  <w:style w:type="character" w:customStyle="1" w:styleId="FootnoteTextChar">
    <w:name w:val="Footnote Text Char"/>
    <w:basedOn w:val="DefaultParagraphFont"/>
    <w:link w:val="FootnoteText"/>
    <w:uiPriority w:val="99"/>
    <w:semiHidden/>
    <w:rsid w:val="001E4CF5"/>
    <w:rPr>
      <w:sz w:val="20"/>
      <w:szCs w:val="20"/>
    </w:rPr>
  </w:style>
  <w:style w:type="character" w:styleId="FootnoteReference">
    <w:name w:val="footnote reference"/>
    <w:basedOn w:val="DefaultParagraphFont"/>
    <w:uiPriority w:val="99"/>
    <w:semiHidden/>
    <w:unhideWhenUsed/>
    <w:rsid w:val="001E4CF5"/>
    <w:rPr>
      <w:vertAlign w:val="superscript"/>
    </w:rPr>
  </w:style>
  <w:style w:type="paragraph" w:styleId="EndnoteText">
    <w:name w:val="endnote text"/>
    <w:basedOn w:val="Normal"/>
    <w:link w:val="EndnoteTextChar"/>
    <w:uiPriority w:val="99"/>
    <w:semiHidden/>
    <w:unhideWhenUsed/>
    <w:rsid w:val="00F13F11"/>
    <w:rPr>
      <w:sz w:val="20"/>
      <w:szCs w:val="20"/>
    </w:rPr>
  </w:style>
  <w:style w:type="character" w:customStyle="1" w:styleId="EndnoteTextChar">
    <w:name w:val="Endnote Text Char"/>
    <w:basedOn w:val="DefaultParagraphFont"/>
    <w:link w:val="EndnoteText"/>
    <w:uiPriority w:val="99"/>
    <w:semiHidden/>
    <w:rsid w:val="00F13F11"/>
    <w:rPr>
      <w:sz w:val="20"/>
      <w:szCs w:val="20"/>
    </w:rPr>
  </w:style>
  <w:style w:type="character" w:styleId="EndnoteReference">
    <w:name w:val="endnote reference"/>
    <w:basedOn w:val="DefaultParagraphFont"/>
    <w:uiPriority w:val="99"/>
    <w:semiHidden/>
    <w:unhideWhenUsed/>
    <w:rsid w:val="00F13F11"/>
    <w:rPr>
      <w:vertAlign w:val="superscript"/>
    </w:rPr>
  </w:style>
  <w:style w:type="character" w:styleId="Hyperlink">
    <w:name w:val="Hyperlink"/>
    <w:basedOn w:val="DefaultParagraphFont"/>
    <w:uiPriority w:val="99"/>
    <w:semiHidden/>
    <w:unhideWhenUsed/>
    <w:rsid w:val="001820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0-doi-org.pugwash.lib.warwick.ac.uk/10.1093/aesthj/ayab0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951BF-0ED7-684E-A877-4A8583B87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1921</Words>
  <Characters>10954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Thesis</vt:lpstr>
    </vt:vector>
  </TitlesOfParts>
  <Company/>
  <LinksUpToDate>false</LinksUpToDate>
  <CharactersWithSpaces>12850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dc:title>
  <dc:creator>Christopher Earley</dc:creator>
  <cp:lastModifiedBy>Christopher Earley</cp:lastModifiedBy>
  <cp:revision>6</cp:revision>
  <dcterms:created xsi:type="dcterms:W3CDTF">2021-08-08T13:23:00Z</dcterms:created>
  <dcterms:modified xsi:type="dcterms:W3CDTF">2023-02-03T11:41:00Z</dcterms:modified>
</cp:coreProperties>
</file>