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98394" w14:textId="4D398DAC" w:rsidR="00E709E3" w:rsidRPr="00E709E3" w:rsidRDefault="00B730DB" w:rsidP="00E709E3">
      <w:pPr>
        <w:pStyle w:val="Standard"/>
        <w:spacing w:line="240" w:lineRule="auto"/>
        <w:jc w:val="center"/>
        <w:rPr>
          <w:snapToGrid w:val="0"/>
        </w:rPr>
      </w:pPr>
      <w:r>
        <w:rPr>
          <w:snapToGrid w:val="0"/>
        </w:rPr>
        <w:t>Individual Minds as Groups, G</w:t>
      </w:r>
      <w:r w:rsidRPr="00421738">
        <w:rPr>
          <w:snapToGrid w:val="0"/>
        </w:rPr>
        <w:t>roup</w:t>
      </w:r>
      <w:r>
        <w:rPr>
          <w:snapToGrid w:val="0"/>
        </w:rPr>
        <w:t xml:space="preserve"> Minds as Individuals</w:t>
      </w:r>
    </w:p>
    <w:p w14:paraId="65E57FBD" w14:textId="4989B258" w:rsidR="004C32F0" w:rsidRDefault="00B730DB" w:rsidP="00B42692">
      <w:pPr>
        <w:pStyle w:val="Standard"/>
        <w:spacing w:line="240" w:lineRule="auto"/>
        <w:jc w:val="center"/>
      </w:pPr>
      <w:r>
        <w:t>Robert D. Rupert</w:t>
      </w:r>
      <w:r w:rsidR="00E709E3">
        <w:t xml:space="preserve"> (University of Colorado, Boulder)</w:t>
      </w:r>
    </w:p>
    <w:p w14:paraId="7980406F" w14:textId="77777777" w:rsidR="00E709E3" w:rsidRDefault="00E709E3" w:rsidP="00B42692">
      <w:pPr>
        <w:pStyle w:val="Standard"/>
        <w:spacing w:line="240" w:lineRule="auto"/>
        <w:jc w:val="center"/>
      </w:pPr>
    </w:p>
    <w:p w14:paraId="33FCCF36" w14:textId="5EEB0734" w:rsidR="00E709E3" w:rsidRDefault="00E709E3" w:rsidP="00B42692">
      <w:pPr>
        <w:pStyle w:val="Standard"/>
        <w:spacing w:line="240" w:lineRule="auto"/>
        <w:jc w:val="center"/>
      </w:pPr>
      <w:r>
        <w:t xml:space="preserve">To appear in B. Kaldis (Ed.), </w:t>
      </w:r>
      <w:r w:rsidRPr="00754BBA">
        <w:rPr>
          <w:rFonts w:cs="Rockwell"/>
          <w:i/>
          <w:iCs/>
        </w:rPr>
        <w:t xml:space="preserve">Mind </w:t>
      </w:r>
      <w:r>
        <w:rPr>
          <w:rFonts w:cs="Rockwell"/>
          <w:i/>
          <w:iCs/>
        </w:rPr>
        <w:t>and Society: Cognitive Science M</w:t>
      </w:r>
      <w:r w:rsidRPr="00754BBA">
        <w:rPr>
          <w:rFonts w:cs="Rockwell"/>
          <w:i/>
          <w:iCs/>
        </w:rPr>
        <w:t xml:space="preserve">eets the Philosophy of the Social </w:t>
      </w:r>
      <w:r w:rsidRPr="00754BBA">
        <w:rPr>
          <w:rFonts w:cs="Rockwell"/>
          <w:i/>
        </w:rPr>
        <w:t>Sciences</w:t>
      </w:r>
      <w:r>
        <w:rPr>
          <w:rFonts w:cs="Rockwell"/>
        </w:rPr>
        <w:t>, Synthese Library Special Volume</w:t>
      </w:r>
    </w:p>
    <w:p w14:paraId="1430AF56" w14:textId="77777777" w:rsidR="00B42692" w:rsidRDefault="00B42692" w:rsidP="00B42692">
      <w:pPr>
        <w:pStyle w:val="Standard"/>
        <w:spacing w:line="240" w:lineRule="auto"/>
        <w:jc w:val="center"/>
      </w:pPr>
    </w:p>
    <w:p w14:paraId="30626814" w14:textId="77777777" w:rsidR="009815D1" w:rsidRDefault="009815D1" w:rsidP="009815D1">
      <w:pPr>
        <w:pStyle w:val="Standard"/>
        <w:jc w:val="center"/>
      </w:pPr>
      <w:r>
        <w:t>I. Introduction</w:t>
      </w:r>
      <w:bookmarkStart w:id="0" w:name="_GoBack"/>
      <w:bookmarkEnd w:id="0"/>
    </w:p>
    <w:p w14:paraId="4A3F88C1" w14:textId="0C92698E" w:rsidR="000246FE" w:rsidRDefault="008C42BF" w:rsidP="00B730DB">
      <w:pPr>
        <w:pStyle w:val="Standard"/>
      </w:pPr>
      <w:r>
        <w:t xml:space="preserve">This essay </w:t>
      </w:r>
      <w:r w:rsidR="00DC32FF">
        <w:t>address</w:t>
      </w:r>
      <w:r>
        <w:t>es the following question: “What is required in order that a</w:t>
      </w:r>
      <w:r w:rsidR="000246FE">
        <w:t xml:space="preserve"> </w:t>
      </w:r>
      <w:r>
        <w:t>collection of humans</w:t>
      </w:r>
      <w:r w:rsidR="00D13C95">
        <w:t>, as</w:t>
      </w:r>
      <w:r>
        <w:t xml:space="preserve"> a single entity</w:t>
      </w:r>
      <w:r w:rsidR="00D13C95">
        <w:t>,</w:t>
      </w:r>
      <w:r>
        <w:t xml:space="preserve"> be in a</w:t>
      </w:r>
      <w:r w:rsidR="000246FE">
        <w:t xml:space="preserve"> mental</w:t>
      </w:r>
      <w:r>
        <w:t xml:space="preserve"> state</w:t>
      </w:r>
      <w:r w:rsidR="00B730DB" w:rsidRPr="00B730DB">
        <w:t>?</w:t>
      </w:r>
      <w:r w:rsidR="00125D45">
        <w:t>”</w:t>
      </w:r>
      <w:r>
        <w:t xml:space="preserve"> The approach taken</w:t>
      </w:r>
      <w:r w:rsidR="00125D45">
        <w:t xml:space="preserve"> </w:t>
      </w:r>
      <w:r>
        <w:t xml:space="preserve">is </w:t>
      </w:r>
      <w:r w:rsidR="00125D45">
        <w:t>mostly exploratory and theoretical; I spend little time</w:t>
      </w:r>
      <w:r w:rsidR="000246FE">
        <w:t xml:space="preserve"> </w:t>
      </w:r>
      <w:r w:rsidR="00125D45">
        <w:t xml:space="preserve">surveying </w:t>
      </w:r>
      <w:r w:rsidR="000246FE">
        <w:t>empirical f</w:t>
      </w:r>
      <w:r w:rsidR="00D13C95">
        <w:t>acts about groups</w:t>
      </w:r>
      <w:r>
        <w:t>, although these are by no means irrelevant</w:t>
      </w:r>
      <w:r w:rsidR="00125D45">
        <w:t xml:space="preserve">. Instead, I focus largely </w:t>
      </w:r>
      <w:r w:rsidR="009464C1">
        <w:t xml:space="preserve">on questions about </w:t>
      </w:r>
      <w:r w:rsidR="000246FE">
        <w:t>mental</w:t>
      </w:r>
      <w:r w:rsidR="00125D45">
        <w:t>ity</w:t>
      </w:r>
      <w:r w:rsidR="009464C1">
        <w:t xml:space="preserve"> itself</w:t>
      </w:r>
      <w:r>
        <w:t>, or rather,</w:t>
      </w:r>
      <w:r w:rsidR="00125D45">
        <w:t xml:space="preserve"> in light of the contested</w:t>
      </w:r>
      <w:r w:rsidR="009464C1">
        <w:t xml:space="preserve"> nature of the</w:t>
      </w:r>
      <w:r>
        <w:t xml:space="preserve"> category of the mental, questions about</w:t>
      </w:r>
      <w:r w:rsidR="00F535D5">
        <w:t xml:space="preserve"> </w:t>
      </w:r>
      <w:r>
        <w:t>cognition. I ask</w:t>
      </w:r>
      <w:r w:rsidR="000246FE">
        <w:t xml:space="preserve"> </w:t>
      </w:r>
      <w:r w:rsidR="009464C1">
        <w:t>“</w:t>
      </w:r>
      <w:r w:rsidR="000246FE">
        <w:t xml:space="preserve">What </w:t>
      </w:r>
      <w:r w:rsidR="00DC32FF">
        <w:t>makes a state or process cognitive?</w:t>
      </w:r>
      <w:r w:rsidR="009464C1">
        <w:t>”,</w:t>
      </w:r>
      <w:r w:rsidR="00DC32FF">
        <w:t xml:space="preserve"> </w:t>
      </w:r>
      <w:r w:rsidR="009464C1">
        <w:t>“</w:t>
      </w:r>
      <w:r w:rsidR="00DC32FF">
        <w:t>W</w:t>
      </w:r>
      <w:r w:rsidR="000246FE">
        <w:t>hat is the role of the individual subject in standard cases of cognitive processing – ones th</w:t>
      </w:r>
      <w:r w:rsidR="00DC32FF">
        <w:t>at involve only a single human?</w:t>
      </w:r>
      <w:r w:rsidR="009464C1">
        <w:t>”, and</w:t>
      </w:r>
      <w:r w:rsidR="00F535D5">
        <w:t xml:space="preserve"> </w:t>
      </w:r>
      <w:r w:rsidR="009464C1">
        <w:t>“</w:t>
      </w:r>
      <w:r w:rsidR="00D13C95">
        <w:t>How could a group take the form of a</w:t>
      </w:r>
      <w:r>
        <w:t xml:space="preserve"> single</w:t>
      </w:r>
      <w:r w:rsidR="00D13C95">
        <w:t xml:space="preserve"> cognitive subject</w:t>
      </w:r>
      <w:r w:rsidR="00F535D5">
        <w:t>?</w:t>
      </w:r>
      <w:r w:rsidR="009464C1">
        <w:t>”</w:t>
      </w:r>
    </w:p>
    <w:p w14:paraId="7D148AC8" w14:textId="12B918AB" w:rsidR="00CC5C62" w:rsidRDefault="006E6401" w:rsidP="00B730DB">
      <w:pPr>
        <w:pStyle w:val="Standard"/>
      </w:pPr>
      <w:r>
        <w:t xml:space="preserve"> </w:t>
      </w:r>
      <w:r w:rsidR="00F80497">
        <w:t xml:space="preserve">     The upshot is hardly decisive, but h</w:t>
      </w:r>
      <w:r w:rsidR="009464C1">
        <w:t>ere is</w:t>
      </w:r>
      <w:r>
        <w:t xml:space="preserve"> </w:t>
      </w:r>
      <w:r w:rsidR="009464C1">
        <w:t xml:space="preserve">a sketch of </w:t>
      </w:r>
      <w:r w:rsidR="00DC32FF">
        <w:t>the</w:t>
      </w:r>
      <w:r w:rsidR="00236D0C">
        <w:t xml:space="preserve"> reasoning</w:t>
      </w:r>
      <w:r w:rsidR="008C42BF">
        <w:t xml:space="preserve"> to</w:t>
      </w:r>
      <w:r w:rsidR="00DC32FF">
        <w:t xml:space="preserve"> follow. We discover what is distinctively cognitive by</w:t>
      </w:r>
      <w:r w:rsidR="00F80497">
        <w:t xml:space="preserve"> successfully modeling paradigmatic cases of</w:t>
      </w:r>
      <w:r w:rsidR="00DC32FF">
        <w:t xml:space="preserve"> intelligent behavior</w:t>
      </w:r>
      <w:r w:rsidR="008C42BF">
        <w:t xml:space="preserve"> (</w:t>
      </w:r>
      <w:r w:rsidR="008C42BF" w:rsidRPr="008C42BF">
        <w:rPr>
          <w:i/>
        </w:rPr>
        <w:t xml:space="preserve">modulo </w:t>
      </w:r>
      <w:r w:rsidR="008C42BF">
        <w:t xml:space="preserve">some </w:t>
      </w:r>
      <w:r w:rsidR="00C25758">
        <w:t>methodological</w:t>
      </w:r>
      <w:r w:rsidR="008C42BF">
        <w:t xml:space="preserve"> complications to be acknowledged below)</w:t>
      </w:r>
      <w:r w:rsidR="00DC32FF">
        <w:t>. Paradigmatic cases of intelligent behavior involve indiv</w:t>
      </w:r>
      <w:r>
        <w:t>idual human organisms. The</w:t>
      </w:r>
      <w:r w:rsidR="00DC32FF">
        <w:t xml:space="preserve"> range of</w:t>
      </w:r>
      <w:r>
        <w:t xml:space="preserve"> thus-far</w:t>
      </w:r>
      <w:r w:rsidR="00DC32FF">
        <w:t xml:space="preserve"> successful approaches to </w:t>
      </w:r>
      <w:r w:rsidR="00DC230D">
        <w:t>modeling</w:t>
      </w:r>
      <w:r w:rsidR="008C42BF">
        <w:t xml:space="preserve"> in cognitive science</w:t>
      </w:r>
      <w:r w:rsidR="00F80497">
        <w:t xml:space="preserve"> (e.g., computationalist, connectionist, evolutionary-robotics based, and dynamicist approaches)</w:t>
      </w:r>
      <w:r w:rsidR="008C42BF">
        <w:t xml:space="preserve"> </w:t>
      </w:r>
      <w:r>
        <w:t>consistently</w:t>
      </w:r>
      <w:r w:rsidR="00DC32FF">
        <w:t xml:space="preserve"> delive</w:t>
      </w:r>
      <w:r>
        <w:t>r one central</w:t>
      </w:r>
      <w:r w:rsidR="00DC230D">
        <w:t xml:space="preserve"> distinction</w:t>
      </w:r>
      <w:r w:rsidR="001276EE">
        <w:t xml:space="preserve">, </w:t>
      </w:r>
      <w:r w:rsidR="009464C1">
        <w:t>between</w:t>
      </w:r>
      <w:r>
        <w:t xml:space="preserve"> causal contributors to the production of intelligent behavio</w:t>
      </w:r>
      <w:r w:rsidR="009464C1">
        <w:t>r that lie within boundary</w:t>
      </w:r>
      <w:r>
        <w:t xml:space="preserve"> of the relatively stable</w:t>
      </w:r>
      <w:r w:rsidR="001276EE">
        <w:t>, integrated,</w:t>
      </w:r>
      <w:r>
        <w:t xml:space="preserve"> persisting architecture and those that lie beyond</w:t>
      </w:r>
      <w:r w:rsidR="009464C1">
        <w:t xml:space="preserve"> that boundary</w:t>
      </w:r>
      <w:r w:rsidR="009F665A">
        <w:t>. Thus, it appears that the boundary between the relatively persisting and integrat</w:t>
      </w:r>
      <w:r w:rsidR="00CC5C62">
        <w:t xml:space="preserve">ed cognitive system and what lies </w:t>
      </w:r>
      <w:r w:rsidR="00CC5C62">
        <w:lastRenderedPageBreak/>
        <w:t>beyond that system offers</w:t>
      </w:r>
      <w:r w:rsidR="009F665A">
        <w:t xml:space="preserve"> the most plau</w:t>
      </w:r>
      <w:r w:rsidR="00F80497">
        <w:t>sible grounds for the distinction between what is</w:t>
      </w:r>
      <w:r w:rsidR="009F665A">
        <w:t xml:space="preserve"> genuinely</w:t>
      </w:r>
      <w:r w:rsidR="00F80497">
        <w:t xml:space="preserve"> cognitive</w:t>
      </w:r>
      <w:r w:rsidR="009F665A">
        <w:t xml:space="preserve"> and what is not</w:t>
      </w:r>
      <w:r w:rsidR="00DC230D">
        <w:t xml:space="preserve">. </w:t>
      </w:r>
    </w:p>
    <w:p w14:paraId="567B8B9B" w14:textId="6FA740F6" w:rsidR="00B730DB" w:rsidRDefault="00CC5C62" w:rsidP="00B730DB">
      <w:pPr>
        <w:pStyle w:val="Standard"/>
      </w:pPr>
      <w:r>
        <w:t xml:space="preserve">     </w:t>
      </w:r>
      <w:r w:rsidR="001276EE">
        <w:t>The preceding</w:t>
      </w:r>
      <w:r w:rsidR="00DC230D">
        <w:t xml:space="preserve"> line of thought dem</w:t>
      </w:r>
      <w:r w:rsidR="006E6401">
        <w:t>ands that there be an individual</w:t>
      </w:r>
      <w:r w:rsidR="00236D0C">
        <w:t xml:space="preserve"> of sorts</w:t>
      </w:r>
      <w:r w:rsidR="006E6401">
        <w:t xml:space="preserve"> –</w:t>
      </w:r>
      <w:r>
        <w:t xml:space="preserve"> a</w:t>
      </w:r>
      <w:r w:rsidR="006E6401">
        <w:t xml:space="preserve"> self or subject –</w:t>
      </w:r>
      <w:r w:rsidR="00236D0C">
        <w:t xml:space="preserve"> in order that there</w:t>
      </w:r>
      <w:r w:rsidR="006E6401">
        <w:t xml:space="preserve"> be cog</w:t>
      </w:r>
      <w:r w:rsidR="00236D0C">
        <w:t>nitive states. What sort of self or subject</w:t>
      </w:r>
      <w:r w:rsidR="001276EE">
        <w:t>? T</w:t>
      </w:r>
      <w:r>
        <w:t xml:space="preserve">he relatively persisting, integrated collection of mechanisms that constitutes the cognitive </w:t>
      </w:r>
      <w:r w:rsidR="00FD1FA2">
        <w:t>system</w:t>
      </w:r>
      <w:r w:rsidR="00236D0C">
        <w:t>. This construct</w:t>
      </w:r>
      <w:r w:rsidR="001276EE">
        <w:t xml:space="preserve"> packs much less metaphysical punch</w:t>
      </w:r>
      <w:r w:rsidR="00DC230D">
        <w:t xml:space="preserve"> than phil</w:t>
      </w:r>
      <w:r>
        <w:t>osophers have</w:t>
      </w:r>
      <w:r w:rsidR="001276EE">
        <w:t xml:space="preserve"> typically associated with the self</w:t>
      </w:r>
      <w:r w:rsidR="00236D0C">
        <w:t>: there’s no commitment to the self’s possession of a single, rationally coherent set of beliefs or to a unified, consciousness-based perspective that plays a privileged role in the life of the self</w:t>
      </w:r>
      <w:r w:rsidR="00DC230D">
        <w:t>.</w:t>
      </w:r>
      <w:r w:rsidR="00F535D5">
        <w:t xml:space="preserve"> In a way, then,</w:t>
      </w:r>
      <w:r w:rsidR="00236D0C">
        <w:t xml:space="preserve"> my approach to individual cognition weakens the demands on</w:t>
      </w:r>
      <w:r w:rsidR="00F535D5">
        <w:t xml:space="preserve"> group</w:t>
      </w:r>
      <w:r w:rsidR="00236D0C">
        <w:t>s;</w:t>
      </w:r>
      <w:r w:rsidR="00F535D5">
        <w:t xml:space="preserve"> it renders more plausible the thought that a group might be an individual of</w:t>
      </w:r>
      <w:r w:rsidR="00236D0C">
        <w:t xml:space="preserve"> the</w:t>
      </w:r>
      <w:r w:rsidR="00F535D5">
        <w:t xml:space="preserve"> necessary </w:t>
      </w:r>
      <w:r w:rsidR="006E6401">
        <w:t>sort</w:t>
      </w:r>
      <w:r w:rsidR="009F665A">
        <w:t xml:space="preserve"> to have</w:t>
      </w:r>
      <w:r w:rsidR="00F535D5">
        <w:t xml:space="preserve"> cognitive states</w:t>
      </w:r>
      <w:r w:rsidR="006E6401">
        <w:t>.</w:t>
      </w:r>
      <w:r w:rsidR="00236D0C">
        <w:t xml:space="preserve"> What are the chances that groups do constitute such individuals, while also meeting other relevant conditions for being in cognitive states? How different might a group’s structure be from the individual human’s cognitive architecture while still engaging in cognitive processing? Given how likely it is that there be differences, it seems worthwhile to explore the idea that </w:t>
      </w:r>
      <w:r w:rsidR="006D5723">
        <w:t xml:space="preserve">there are different </w:t>
      </w:r>
      <w:r w:rsidR="006D5723" w:rsidRPr="00236D0C">
        <w:rPr>
          <w:i/>
        </w:rPr>
        <w:t>kinds</w:t>
      </w:r>
      <w:r w:rsidR="006D5723">
        <w:t xml:space="preserve"> of cognition, and ask what it would take for a group to be a different </w:t>
      </w:r>
      <w:r w:rsidR="006D5723" w:rsidRPr="006D5723">
        <w:rPr>
          <w:i/>
        </w:rPr>
        <w:t>kind</w:t>
      </w:r>
      <w:r>
        <w:t xml:space="preserve"> of cognitive individual,</w:t>
      </w:r>
      <w:r w:rsidR="006D5723">
        <w:t xml:space="preserve"> but a cognitive one nevertheless. In the service of this discussion, I speculate about the nature of overarching or generic kinds</w:t>
      </w:r>
      <w:r>
        <w:t>, proposing a “tweak-and-extend</w:t>
      </w:r>
      <w:r w:rsidR="006D5723">
        <w:t>” modeling-based criterion for the identification of</w:t>
      </w:r>
      <w:r>
        <w:t xml:space="preserve"> different species of</w:t>
      </w:r>
      <w:r w:rsidR="006D5723">
        <w:t xml:space="preserve"> such overarching</w:t>
      </w:r>
      <w:r>
        <w:t>, or generic,</w:t>
      </w:r>
      <w:r w:rsidR="006D5723">
        <w:t xml:space="preserve"> kinds as </w:t>
      </w:r>
      <w:r w:rsidR="006D5723">
        <w:rPr>
          <w:i/>
        </w:rPr>
        <w:t>cognition</w:t>
      </w:r>
      <w:r w:rsidR="006D5723">
        <w:t>.</w:t>
      </w:r>
    </w:p>
    <w:p w14:paraId="498D76B4" w14:textId="24AFFB3E" w:rsidR="00AB0B05" w:rsidRDefault="00CC5C62" w:rsidP="00515424">
      <w:pPr>
        <w:pStyle w:val="Standard"/>
      </w:pPr>
      <w:r>
        <w:t xml:space="preserve">     Here is one final</w:t>
      </w:r>
      <w:r w:rsidR="007C0620">
        <w:t xml:space="preserve"> </w:t>
      </w:r>
      <w:r w:rsidR="00FD1FA2">
        <w:t>preliminary</w:t>
      </w:r>
      <w:r w:rsidR="00F401FE">
        <w:t xml:space="preserve"> point</w:t>
      </w:r>
      <w:r>
        <w:t>, a point that concerns</w:t>
      </w:r>
      <w:r w:rsidR="007C0620">
        <w:t xml:space="preserve"> consciousness</w:t>
      </w:r>
      <w:r w:rsidR="007344EF">
        <w:t xml:space="preserve">, mentality, and my focus on </w:t>
      </w:r>
      <w:r w:rsidR="00C25758">
        <w:t>cognition</w:t>
      </w:r>
      <w:r w:rsidR="007344EF">
        <w:t>.</w:t>
      </w:r>
      <w:r w:rsidR="007C0620">
        <w:t xml:space="preserve"> </w:t>
      </w:r>
      <w:r w:rsidR="000C2955" w:rsidRPr="000C2955">
        <w:t>Phenomenal experience is widely thought to be a central as</w:t>
      </w:r>
      <w:r w:rsidR="000C2955">
        <w:t>pect of our mental lives (Chalmers 1996). There is little</w:t>
      </w:r>
      <w:r w:rsidR="000C2955" w:rsidRPr="000C2955">
        <w:t xml:space="preserve"> reason to think that groups have such experiences</w:t>
      </w:r>
      <w:r w:rsidR="0063413D">
        <w:t>, and thus, the question of group mental states might be quickly put to rest (Rupert 2005)</w:t>
      </w:r>
      <w:r w:rsidR="000C2955" w:rsidRPr="000C2955">
        <w:t xml:space="preserve">. </w:t>
      </w:r>
      <w:r w:rsidR="000C2955">
        <w:t>Then again, the nature of such experiences is poorly understood</w:t>
      </w:r>
      <w:r w:rsidR="00F401FE">
        <w:t>, and</w:t>
      </w:r>
      <w:r>
        <w:t>,</w:t>
      </w:r>
      <w:r w:rsidR="00F401FE">
        <w:t xml:space="preserve"> </w:t>
      </w:r>
      <w:r>
        <w:t xml:space="preserve">thus, </w:t>
      </w:r>
      <w:r w:rsidR="000C2955">
        <w:t>it is not clear what methodology should be used to investigate group mental states</w:t>
      </w:r>
      <w:r>
        <w:t xml:space="preserve"> of the sort that</w:t>
      </w:r>
      <w:r w:rsidR="007344EF">
        <w:t xml:space="preserve"> seem to</w:t>
      </w:r>
      <w:r>
        <w:t xml:space="preserve"> presuppose robust conscious experience</w:t>
      </w:r>
      <w:r w:rsidR="000C2955">
        <w:t xml:space="preserve"> (</w:t>
      </w:r>
      <w:r w:rsidR="00F401FE">
        <w:t xml:space="preserve">cf. </w:t>
      </w:r>
      <w:r w:rsidR="00515424">
        <w:t>Goldston</w:t>
      </w:r>
      <w:r w:rsidR="0063413D">
        <w:t>e and Gureckis 2009</w:t>
      </w:r>
      <w:r w:rsidR="007344EF">
        <w:t xml:space="preserve">). Given this uncertainty, one way forward would be to </w:t>
      </w:r>
      <w:r w:rsidR="00515424">
        <w:t>establish group-level cognitive states and there</w:t>
      </w:r>
      <w:r>
        <w:t>by show that at least one necessary condition</w:t>
      </w:r>
      <w:r w:rsidR="00515424">
        <w:t xml:space="preserve"> for mentality in groups is met;</w:t>
      </w:r>
      <w:r>
        <w:t xml:space="preserve"> and</w:t>
      </w:r>
      <w:r w:rsidR="00515424">
        <w:t xml:space="preserve"> if it turns out that</w:t>
      </w:r>
      <w:r>
        <w:t xml:space="preserve"> certain forms of</w:t>
      </w:r>
      <w:r w:rsidR="00515424">
        <w:t xml:space="preserve"> cognition is all there is to consciousness – and that the</w:t>
      </w:r>
      <w:r w:rsidR="0063413D">
        <w:t xml:space="preserve"> so-called</w:t>
      </w:r>
      <w:r w:rsidR="00515424">
        <w:t xml:space="preserve"> hard problem</w:t>
      </w:r>
      <w:r w:rsidR="0063413D">
        <w:t xml:space="preserve"> of consciousness</w:t>
      </w:r>
      <w:r w:rsidR="00515424">
        <w:t xml:space="preserve"> is</w:t>
      </w:r>
      <w:r w:rsidR="00BD4658">
        <w:t xml:space="preserve"> an illusion (Dennett 1988, 1991</w:t>
      </w:r>
      <w:r w:rsidR="007344EF">
        <w:t>, Rupert</w:t>
      </w:r>
      <w:r>
        <w:t xml:space="preserve"> forthcoming </w:t>
      </w:r>
      <w:r w:rsidRPr="00CC5C62">
        <w:rPr>
          <w:i/>
        </w:rPr>
        <w:t>a</w:t>
      </w:r>
      <w:r w:rsidR="00515424">
        <w:t>) –</w:t>
      </w:r>
      <w:r w:rsidR="00DA78A8">
        <w:t xml:space="preserve"> this route to </w:t>
      </w:r>
      <w:r w:rsidR="00515424">
        <w:t>full mentality</w:t>
      </w:r>
      <w:r w:rsidR="00DA78A8">
        <w:t xml:space="preserve"> for groups</w:t>
      </w:r>
      <w:r w:rsidR="00515424">
        <w:t xml:space="preserve"> seems especially promising</w:t>
      </w:r>
      <w:r w:rsidR="0063413D">
        <w:t xml:space="preserve"> (cf. Tollefsen 2006, 147)</w:t>
      </w:r>
      <w:r w:rsidR="00515424">
        <w:t xml:space="preserve">. </w:t>
      </w:r>
      <w:r w:rsidR="003C244D">
        <w:t>Alternatively</w:t>
      </w:r>
      <w:r w:rsidR="00DA78A8">
        <w:t>, if it is shown that groups do not, as single units, instantiate c</w:t>
      </w:r>
      <w:r w:rsidR="0059539D">
        <w:t xml:space="preserve">ognitive states, then, on the plausible assumption that things with mental states almost certainly have cognitive states as well, we will have in hand a strong </w:t>
      </w:r>
      <w:r w:rsidR="0063413D">
        <w:t>argument against group mentality</w:t>
      </w:r>
      <w:r w:rsidR="0059539D">
        <w:t xml:space="preserve">. </w:t>
      </w:r>
      <w:r w:rsidR="0063413D">
        <w:t xml:space="preserve">Consider, too, that if one inclines toward eliminativism about mental states </w:t>
      </w:r>
      <w:r w:rsidR="00F535D5">
        <w:t xml:space="preserve">(Churchland 1981), or even </w:t>
      </w:r>
      <w:r w:rsidR="0063413D">
        <w:t>to</w:t>
      </w:r>
      <w:r w:rsidR="00F535D5">
        <w:t xml:space="preserve"> more moderate positions, such as a</w:t>
      </w:r>
      <w:r w:rsidR="0063413D">
        <w:t xml:space="preserve"> revisionary reductionism or psychofunctionalism</w:t>
      </w:r>
      <w:r w:rsidR="00274558">
        <w:t xml:space="preserve"> (Block 1980</w:t>
      </w:r>
      <w:r w:rsidR="00F535D5">
        <w:t>)</w:t>
      </w:r>
      <w:r w:rsidR="0063413D">
        <w:t>, investigation of cognition as</w:t>
      </w:r>
      <w:r w:rsidR="00F401FE">
        <w:t>cends to the paramount position –</w:t>
      </w:r>
      <w:r w:rsidR="0063413D">
        <w:t xml:space="preserve"> either because </w:t>
      </w:r>
      <w:r w:rsidR="00AB0B05">
        <w:t xml:space="preserve">there are no mental states to </w:t>
      </w:r>
      <w:r w:rsidR="00F535D5">
        <w:t>investigate or because our scientific description of cognition will play a privileged role in the empirically based refinement of folk conceptions of mental states.</w:t>
      </w:r>
    </w:p>
    <w:p w14:paraId="694653F8" w14:textId="77777777" w:rsidR="007C0620" w:rsidRDefault="007C0620" w:rsidP="007C0620">
      <w:pPr>
        <w:pStyle w:val="Standard"/>
        <w:jc w:val="center"/>
      </w:pPr>
      <w:r>
        <w:t>II. What Is Cognition?</w:t>
      </w:r>
    </w:p>
    <w:p w14:paraId="38C09E7B" w14:textId="14299C02" w:rsidR="00364F1C" w:rsidRDefault="003C244D" w:rsidP="004947BD">
      <w:pPr>
        <w:pStyle w:val="Standard"/>
      </w:pPr>
      <w:r>
        <w:t xml:space="preserve">Whether groups have cognitive states depends partly, of </w:t>
      </w:r>
      <w:r w:rsidR="00FD1FA2">
        <w:t>course</w:t>
      </w:r>
      <w:r>
        <w:t>, on</w:t>
      </w:r>
      <w:r w:rsidR="00F401FE">
        <w:t xml:space="preserve"> the nature of cognition itself</w:t>
      </w:r>
      <w:r w:rsidR="009D4F8D">
        <w:t>. A reasonable strategy for those interested in the possibility of group cognition recommends that we attempt to identify the nature of</w:t>
      </w:r>
      <w:r w:rsidR="007C0620">
        <w:t xml:space="preserve"> cognition, then let the empirical chips fall where they may with respect to groups. </w:t>
      </w:r>
      <w:r w:rsidR="00F401FE">
        <w:t>Cognition, however, is a</w:t>
      </w:r>
      <w:r>
        <w:t xml:space="preserve"> scientific</w:t>
      </w:r>
      <w:r w:rsidR="00F401FE">
        <w:t xml:space="preserve"> kind</w:t>
      </w:r>
      <w:r>
        <w:t>,</w:t>
      </w:r>
      <w:r w:rsidR="00F401FE">
        <w:t xml:space="preserve"> hypothesized by the relevant sciences</w:t>
      </w:r>
      <w:r>
        <w:t xml:space="preserve"> to explain (by scientific, not folk, standards) a particular domain of phenomena</w:t>
      </w:r>
      <w:r w:rsidR="009D4F8D">
        <w:t xml:space="preserve">; thus, when I talk of finding the nature of cognition, this should understood in metaphysically and methodologically minimal way: I am out to find the most promising theoretical characterization of it – most promising in light of our overall package of experimental results, successful models, intuitions about theoretical glosses of those models, results in closely related sciences, etc.; this is not an attempt to identify a metaphysical essence of cognition </w:t>
      </w:r>
      <w:r w:rsidR="00C25758">
        <w:t>codified</w:t>
      </w:r>
      <w:r w:rsidR="009D4F8D">
        <w:t xml:space="preserve"> in a set of necessary and sufficient conditions that themselves constitute the everyday concept of cognition. </w:t>
      </w:r>
    </w:p>
    <w:p w14:paraId="40022D85" w14:textId="77777777" w:rsidR="00364F1C" w:rsidRDefault="00364F1C" w:rsidP="004947BD">
      <w:pPr>
        <w:pStyle w:val="Standard"/>
      </w:pPr>
      <w:r>
        <w:t xml:space="preserve">     Given this naturalistic framework, </w:t>
      </w:r>
      <w:r w:rsidR="00F401FE">
        <w:t>let</w:t>
      </w:r>
      <w:r>
        <w:t xml:space="preserve"> us ask a </w:t>
      </w:r>
      <w:r w:rsidR="007C0620">
        <w:t>general</w:t>
      </w:r>
      <w:r>
        <w:t xml:space="preserve"> methodological</w:t>
      </w:r>
      <w:r w:rsidR="007C0620">
        <w:t xml:space="preserve"> question: </w:t>
      </w:r>
      <w:r w:rsidR="004947BD">
        <w:t>How do the sciences home in on nature’s kinds and properties or select the language to be used in the formulation of their most successful theories?</w:t>
      </w:r>
      <w:r w:rsidR="004947BD">
        <w:rPr>
          <w:rStyle w:val="FootnoteReference"/>
        </w:rPr>
        <w:footnoteReference w:id="1"/>
      </w:r>
      <w:r>
        <w:t xml:space="preserve"> </w:t>
      </w:r>
      <w:r w:rsidR="004947BD">
        <w:t>T</w:t>
      </w:r>
      <w:r w:rsidR="00F401FE">
        <w:t>he naturalist’s way (Quine 1969</w:t>
      </w:r>
      <w:r w:rsidR="004947BD">
        <w:t>, Quine and Ullian 1970) to answer this question would be to examine what appear to be our most successful scientific theories, checking to see how they were formulated and</w:t>
      </w:r>
      <w:r w:rsidR="007C0620">
        <w:t xml:space="preserve"> chosen over </w:t>
      </w:r>
      <w:r w:rsidR="00B20752">
        <w:t>competitors. Here we might</w:t>
      </w:r>
      <w:r w:rsidR="007C0620">
        <w:t xml:space="preserve"> consider </w:t>
      </w:r>
      <w:r w:rsidR="004947BD">
        <w:t>the circumstances surrounding the emer</w:t>
      </w:r>
      <w:r w:rsidR="00B20752">
        <w:t>gence of a new science, when theorists are faced with what they take to be</w:t>
      </w:r>
      <w:r w:rsidR="004947BD">
        <w:t xml:space="preserve"> a distinct domain of phenomena the investigation</w:t>
      </w:r>
      <w:r w:rsidR="00B20752">
        <w:t xml:space="preserve"> of which demands</w:t>
      </w:r>
      <w:r w:rsidR="004947BD">
        <w:t xml:space="preserve"> introduction of new vocabulary, </w:t>
      </w:r>
      <w:r w:rsidR="007C0620">
        <w:t xml:space="preserve">concepts, principles, and laws. </w:t>
      </w:r>
    </w:p>
    <w:p w14:paraId="0330EEF7" w14:textId="4BFBFB93" w:rsidR="00B20752" w:rsidRDefault="00364F1C" w:rsidP="004947BD">
      <w:pPr>
        <w:pStyle w:val="Standard"/>
      </w:pPr>
      <w:r>
        <w:t xml:space="preserve">     S</w:t>
      </w:r>
      <w:r w:rsidR="004947BD">
        <w:t>uccessful scientific (sub)disciplines take shape largely in response to some range of observable phenomena that (a</w:t>
      </w:r>
      <w:r>
        <w:t>) are unexplained (not</w:t>
      </w:r>
      <w:r w:rsidR="004947BD">
        <w:t xml:space="preserve"> subject to prediction/retrodiction o</w:t>
      </w:r>
      <w:r>
        <w:t>r manipulation and not</w:t>
      </w:r>
      <w:r w:rsidR="004947BD">
        <w:t xml:space="preserve"> subsumed under a general theory the principles of which have garnered scientific support from circumstances of successful prediction/retrodiction and manipulation) and (b) seem similar enough such that when they are </w:t>
      </w:r>
      <w:r>
        <w:t xml:space="preserve">ultimately </w:t>
      </w:r>
      <w:r w:rsidR="004947BD">
        <w:t>accounted for, we suspect it wil</w:t>
      </w:r>
      <w:r>
        <w:t>l be by some common set of</w:t>
      </w:r>
      <w:r w:rsidR="004947BD">
        <w:t xml:space="preserve"> principles, theories, or models. What makes us think that given collection of phenomena are</w:t>
      </w:r>
      <w:r>
        <w:t>, in this way,</w:t>
      </w:r>
      <w:r w:rsidR="004947BD">
        <w:t xml:space="preserve"> of a piece</w:t>
      </w:r>
      <w:r>
        <w:t xml:space="preserve"> with each other</w:t>
      </w:r>
      <w:r w:rsidR="004947BD">
        <w:t>? It may be partly because we deploy the same everyday terms (e.g., ‘remembering’ or ‘intelligence’) in our descriptions of them or, in some cases, because we have had limited success predicting and explaining those phenomena using the same proto-theory or folk theory</w:t>
      </w:r>
      <w:r w:rsidR="00B20752">
        <w:t xml:space="preserve"> (for discussion of one pertinent</w:t>
      </w:r>
      <w:r w:rsidR="004947BD">
        <w:t xml:space="preserve"> case, that of a folk theory of mind</w:t>
      </w:r>
      <w:r w:rsidR="00E21EC0">
        <w:t>, see Gopnik and Wellman 1992).</w:t>
      </w:r>
    </w:p>
    <w:p w14:paraId="6BD7DBE0" w14:textId="1A4C0E93" w:rsidR="00B20752" w:rsidRDefault="00B20752" w:rsidP="004947BD">
      <w:pPr>
        <w:pStyle w:val="Standard"/>
      </w:pPr>
      <w:r>
        <w:t xml:space="preserve">     </w:t>
      </w:r>
      <w:r w:rsidR="00EE1C84">
        <w:t>In response to such unaccounted-for phenomena, early thinkers in the field</w:t>
      </w:r>
      <w:r w:rsidR="004947BD">
        <w:t xml:space="preserve"> propose models of the mechani</w:t>
      </w:r>
      <w:r w:rsidR="00EE1C84">
        <w:t>sms at work</w:t>
      </w:r>
      <w:r w:rsidR="004947BD">
        <w:t xml:space="preserve"> or hypothesize properties the interactions among instances of which account for the observed phenomena. The target of such modeling is likely, especially in the early days, to be a small subset of the phenomena in the</w:t>
      </w:r>
      <w:r w:rsidR="00EE1C84">
        <w:t xml:space="preserve"> presumed</w:t>
      </w:r>
      <w:r w:rsidR="004947BD">
        <w:t xml:space="preserve"> domain. Depending on the degree of success such modeling meets with, a given model, theory, or collection of models might be generalized to account for a wide range of the initial phenomena and, perhaps, after a flash of insight, to account for phenomena that weren’t thought to be of the same type as the phenomena to which the model in question was, initially, successfully applied; additionally, if an otherwise powerful model or family of models does not account for one of the phenomena originally thought to be in the relevant domain, we may expel that phenomenon from the domain. (Here’s a toy example: if two chemicals feel to humans to be of different temperatures, but turn out to have such effect because of their chemical interactions with human skin – not because of differences in their mean kinetic energy – we will cease treating the difference between these chemicals as something to be explained by the same sort of models that explain the difference between w</w:t>
      </w:r>
      <w:r w:rsidR="00F401FE">
        <w:t xml:space="preserve">arm water and cold water). </w:t>
      </w:r>
    </w:p>
    <w:p w14:paraId="1C536865" w14:textId="6A40598E" w:rsidR="004947BD" w:rsidRDefault="00B20752" w:rsidP="004947BD">
      <w:pPr>
        <w:pStyle w:val="Standard"/>
      </w:pPr>
      <w:r>
        <w:t xml:space="preserve">     </w:t>
      </w:r>
      <w:r w:rsidR="00F401FE">
        <w:t>Thus</w:t>
      </w:r>
      <w:r w:rsidR="004947BD">
        <w:t xml:space="preserve"> begins a reciprocal dance: we recategorize phenomena into new similarity-groups based on the similarity of the models (the properties invoked by the models and actual relations claimed to hold between elements in the models) that can successfully account for at least some of them, while the constitution of what seem to us to be current similarity groups (including second-order similarity groups) guides our search for more general models that unify a broader range of phenomena. Along the way, relations of overlap between domains are discovered, single domains split into multiple ones, and the place in the enterprise of everything from individual bits of data to entire phenomena can be reconceived.</w:t>
      </w:r>
      <w:r w:rsidR="00EE1C84">
        <w:t xml:space="preserve"> (</w:t>
      </w:r>
      <w:r w:rsidR="009469F6">
        <w:t>I</w:t>
      </w:r>
      <w:r w:rsidR="00F07E4B">
        <w:t>n the p</w:t>
      </w:r>
      <w:r w:rsidR="009469F6">
        <w:t xml:space="preserve">resent context, it’s </w:t>
      </w:r>
      <w:r w:rsidR="00F07E4B">
        <w:t>important to keep in mind that the</w:t>
      </w:r>
      <w:r w:rsidR="00EE1C84">
        <w:t xml:space="preserve"> naturalistic</w:t>
      </w:r>
      <w:r w:rsidR="009469F6">
        <w:t xml:space="preserve"> project proceeds in this relatively holistic way, by the balancing of various considerations – theoretical, mathematical, empirical – against one another, with sometimes surprising resul</w:t>
      </w:r>
      <w:r w:rsidR="00F401FE">
        <w:t>ts, for instance,</w:t>
      </w:r>
      <w:r w:rsidR="009469F6">
        <w:t xml:space="preserve"> that whales aren’t fish. This is partly to say that whether groups have cognitive state</w:t>
      </w:r>
      <w:r>
        <w:t xml:space="preserve">s cannot be decided just by noting </w:t>
      </w:r>
      <w:r w:rsidR="009469F6">
        <w:t>that group activity doesn’t</w:t>
      </w:r>
      <w:r>
        <w:t xml:space="preserve"> [or does?]</w:t>
      </w:r>
      <w:r w:rsidR="00EE1C84">
        <w:t xml:space="preserve"> appear among </w:t>
      </w:r>
      <w:r w:rsidR="00374276">
        <w:t>cognitive science’s central</w:t>
      </w:r>
      <w:r w:rsidR="00EE1C84">
        <w:t>, motivating</w:t>
      </w:r>
      <w:r w:rsidR="00374276">
        <w:t xml:space="preserve"> </w:t>
      </w:r>
      <w:r w:rsidR="00374276">
        <w:rPr>
          <w:i/>
        </w:rPr>
        <w:t>explananda</w:t>
      </w:r>
      <w:r>
        <w:t>.)</w:t>
      </w:r>
    </w:p>
    <w:p w14:paraId="7DECB7DC" w14:textId="1E3D9398" w:rsidR="00F07E4B" w:rsidRDefault="007C0620" w:rsidP="004947BD">
      <w:pPr>
        <w:pStyle w:val="Standard"/>
      </w:pPr>
      <w:r>
        <w:t xml:space="preserve">     In the case of cognition, then, we should ask about the paradigmatic examples of the observable phenomena the collecting together of which gives rise to the very idea that there should be a science of cogni</w:t>
      </w:r>
      <w:r w:rsidR="009469F6">
        <w:t>tion. Such paradigmatic phenomena</w:t>
      </w:r>
      <w:r>
        <w:t xml:space="preserve"> appear</w:t>
      </w:r>
      <w:r w:rsidR="00F07E4B">
        <w:t xml:space="preserve"> primarily</w:t>
      </w:r>
      <w:r w:rsidR="009469F6">
        <w:t xml:space="preserve"> </w:t>
      </w:r>
      <w:r>
        <w:t>at</w:t>
      </w:r>
      <w:r w:rsidR="004947BD">
        <w:t xml:space="preserve"> the</w:t>
      </w:r>
      <w:r>
        <w:t xml:space="preserve"> level of the individual human</w:t>
      </w:r>
      <w:r w:rsidR="009469F6">
        <w:t xml:space="preserve"> organism: </w:t>
      </w:r>
      <w:r w:rsidR="00F07E4B">
        <w:t xml:space="preserve">verbal communication, the writing of books, the production of art works, the formulation and testing of scientific theories, and so on. </w:t>
      </w:r>
    </w:p>
    <w:p w14:paraId="740F6463" w14:textId="0D8B290C" w:rsidR="0056475D" w:rsidRDefault="003C5CD2" w:rsidP="004947BD">
      <w:pPr>
        <w:pStyle w:val="Standard"/>
      </w:pPr>
      <w:r>
        <w:t xml:space="preserve">     What, then, is cognition</w:t>
      </w:r>
      <w:r w:rsidR="00F07E4B">
        <w:t xml:space="preserve"> in the individual case? </w:t>
      </w:r>
      <w:r w:rsidR="004947BD">
        <w:t xml:space="preserve">In other work (2004, 2009, 2010), I have argued (a) </w:t>
      </w:r>
      <w:r w:rsidR="00374276">
        <w:t>that many</w:t>
      </w:r>
      <w:r w:rsidR="00EE1C84">
        <w:t xml:space="preserve"> successful</w:t>
      </w:r>
      <w:r w:rsidR="00374276">
        <w:t xml:space="preserve"> research programs</w:t>
      </w:r>
      <w:r w:rsidR="004947BD">
        <w:t xml:space="preserve"> treat organisms as containing cognitive sy</w:t>
      </w:r>
      <w:r>
        <w:t>stems</w:t>
      </w:r>
      <w:r w:rsidR="004947BD">
        <w:t xml:space="preserve"> and (b) that a striking fact about cognitive modeling provides both the best explanation of (a) and grounds a theoretically based location-neutral account of</w:t>
      </w:r>
      <w:r w:rsidR="00374276">
        <w:t xml:space="preserve"> cognition. The striking fact in question is</w:t>
      </w:r>
      <w:r w:rsidR="004947BD">
        <w:t xml:space="preserve"> that virtually all</w:t>
      </w:r>
      <w:r w:rsidR="00374276">
        <w:t xml:space="preserve"> successful</w:t>
      </w:r>
      <w:r w:rsidR="004947BD">
        <w:t xml:space="preserve"> forms of cognitive modeling distinguish between, on the one hand, the persisting architecture, which is taken to have a relatively fixed number of elements (e.g., connectionist units) and stable relations among them (e.g., degrees of inhibition or ways in which the degrees of inhibition change over time), and on the other, more transient causal contributors that, together with aspects of the persisting architecture, produce intelligent behavior (cf. Wilson</w:t>
      </w:r>
      <w:r w:rsidR="00EE1C84">
        <w:t>’s</w:t>
      </w:r>
      <w:r w:rsidR="004947BD">
        <w:t xml:space="preserve"> </w:t>
      </w:r>
      <w:r w:rsidR="00EE1C84">
        <w:t>[</w:t>
      </w:r>
      <w:r w:rsidR="004947BD">
        <w:t>2002</w:t>
      </w:r>
      <w:r w:rsidR="00EE1C84">
        <w:t>] distinction between obligate and facultative systems</w:t>
      </w:r>
      <w:r w:rsidR="004947BD">
        <w:t>). Think of this as an inference to the best (available) explanation, twice over. First, the fact that the distinctive and central aspect of cognitive modeling – the persisting architecture – is typically instantiated within the organism explains why there’s been as much success as there has been in doing “organism-oriented” cognitive science. Second, that the persisting architecture is the distinctively cognitive thing best explains</w:t>
      </w:r>
      <w:r w:rsidR="00EE1C84">
        <w:t xml:space="preserve"> why it runs through the various</w:t>
      </w:r>
      <w:r w:rsidR="004947BD">
        <w:t xml:space="preserve"> forms of </w:t>
      </w:r>
      <w:r w:rsidR="00374276">
        <w:t xml:space="preserve">successful </w:t>
      </w:r>
      <w:r w:rsidR="00EE1C84">
        <w:t>modeling.</w:t>
      </w:r>
    </w:p>
    <w:p w14:paraId="09BFC35D" w14:textId="6A8B108A" w:rsidR="0056475D" w:rsidRPr="00C427D4" w:rsidRDefault="0056475D" w:rsidP="0056475D">
      <w:pPr>
        <w:pStyle w:val="Standard"/>
      </w:pPr>
      <w:r>
        <w:t xml:space="preserve">     The question arises what sort of persisting integrated set of mechanisms is required for cognition.</w:t>
      </w:r>
      <w:r w:rsidR="00E668DB">
        <w:t xml:space="preserve"> I’ve suggested a general characterization: that the relatively persisting, integrated cognitive system is the collection of mechanisms that co-contribute in overlapping sub</w:t>
      </w:r>
      <w:r w:rsidR="008324B2">
        <w:t>s</w:t>
      </w:r>
      <w:r w:rsidR="00E668DB">
        <w:t xml:space="preserve">ets to the production of a wide range of forms of intelligent behavior. Moreover, I’ve made a fairly concrete proposal about the sort of co-contribution that that serves as a </w:t>
      </w:r>
      <w:r>
        <w:t xml:space="preserve">measure </w:t>
      </w:r>
      <w:r w:rsidR="00E668DB">
        <w:t xml:space="preserve">of </w:t>
      </w:r>
      <w:r>
        <w:t>systemic integration</w:t>
      </w:r>
      <w:r w:rsidR="00E668DB">
        <w:t xml:space="preserve"> among those mechanisms</w:t>
      </w:r>
      <w:r>
        <w:t xml:space="preserve"> (Rupert 2009)</w:t>
      </w:r>
      <w:r w:rsidR="00E668DB">
        <w:t>, which I summarize here</w:t>
      </w:r>
      <w:r>
        <w:t>:</w:t>
      </w:r>
    </w:p>
    <w:p w14:paraId="1CB68CC5" w14:textId="77777777" w:rsidR="0056475D" w:rsidRDefault="0056475D" w:rsidP="0056475D">
      <w:pPr>
        <w:pStyle w:val="Standard"/>
      </w:pPr>
    </w:p>
    <w:p w14:paraId="22432E12" w14:textId="77777777" w:rsidR="0056475D" w:rsidRPr="00C427D4" w:rsidRDefault="0056475D" w:rsidP="0056475D">
      <w:pPr>
        <w:pStyle w:val="Standard"/>
      </w:pPr>
      <w:r>
        <w:t xml:space="preserve">1. </w:t>
      </w:r>
      <w:r w:rsidRPr="00C427D4">
        <w:t xml:space="preserve">For a subject at a time, form each non-singleton subset of </w:t>
      </w:r>
      <w:r>
        <w:t xml:space="preserve">the </w:t>
      </w:r>
      <w:r w:rsidRPr="00C427D4">
        <w:t>mechanisms that have distinctively causally contributed to the production of any form of intelligent behavior.</w:t>
      </w:r>
    </w:p>
    <w:p w14:paraId="064B2D7A" w14:textId="385778D8" w:rsidR="0056475D" w:rsidRDefault="0056475D" w:rsidP="0056475D">
      <w:pPr>
        <w:pStyle w:val="Standard"/>
      </w:pPr>
      <w:r>
        <w:t xml:space="preserve">2. </w:t>
      </w:r>
      <w:r w:rsidRPr="00C427D4">
        <w:t xml:space="preserve">For each subset, relative to each form of intelligent behavior, there is, for each of its proper subsets, a probability of its being a causal contributor to the production of that form of behavior conditional on the complement of that set’s being a </w:t>
      </w:r>
      <w:r>
        <w:t xml:space="preserve">causal </w:t>
      </w:r>
      <w:r w:rsidRPr="00C427D4">
        <w:t>contributor.</w:t>
      </w:r>
      <w:r>
        <w:t xml:space="preserve"> (Here’s an illustration: Take an edge-detection mechanism. It causally contributes to the avoidance of obstacles. So does a mechanism that detects distance from retinal disparity – Marr 1982 – and so does a mechanism that calculates shape from detected shading. Relative to this form of intelligent behavior – obstacle avoidance – each of these three mechanisms can appear in two different two-member sets, and each can appear in one three-membered set. For each two-membered set, two conditional probabilities are relevant: the first-mechanism’s contributing conditional on the second’s, and vice versa. For the three-membered set, there are six relevant conditional probabilities: each single mechanism’s contributing conditional on the other two’s, and each combination of two’s contributing conditional on the third’s. Now go through this procedure – in principle! – for every grouping of all causally contributing mechanisms relative to each form of intelligent behavior that’s been exhibited by the subject in question [so long as the subject has exhibited a reasonably wide range of forms of intelligent behavior – for this very richness of repertoire is one of the central features of the </w:t>
      </w:r>
      <w:r w:rsidRPr="00472E23">
        <w:rPr>
          <w:i/>
        </w:rPr>
        <w:t>explananda</w:t>
      </w:r>
      <w:r w:rsidR="008324B2">
        <w:t xml:space="preserve"> of cognitive science].)</w:t>
      </w:r>
    </w:p>
    <w:p w14:paraId="0D1C58FF" w14:textId="77777777" w:rsidR="0056475D" w:rsidRPr="00C427D4" w:rsidRDefault="0056475D" w:rsidP="0056475D">
      <w:pPr>
        <w:pStyle w:val="Standard"/>
      </w:pPr>
    </w:p>
    <w:p w14:paraId="138EE08B" w14:textId="77777777" w:rsidR="0056475D" w:rsidRPr="00C427D4" w:rsidRDefault="0056475D" w:rsidP="0056475D">
      <w:pPr>
        <w:pStyle w:val="Standard"/>
      </w:pPr>
      <w:r>
        <w:t xml:space="preserve">3. </w:t>
      </w:r>
      <w:r w:rsidRPr="00C427D4">
        <w:t>These conditional pro</w:t>
      </w:r>
      <w:r>
        <w:t>babilities can be rank ordered.</w:t>
      </w:r>
    </w:p>
    <w:p w14:paraId="6B48E6EC" w14:textId="77777777" w:rsidR="0056475D" w:rsidRPr="00C427D4" w:rsidRDefault="0056475D" w:rsidP="0056475D">
      <w:pPr>
        <w:pStyle w:val="Standard"/>
      </w:pPr>
    </w:p>
    <w:p w14:paraId="66CFCEF0" w14:textId="77777777" w:rsidR="0056475D" w:rsidRDefault="0056475D" w:rsidP="0056475D">
      <w:pPr>
        <w:pStyle w:val="Standard"/>
      </w:pPr>
      <w:r>
        <w:t xml:space="preserve">4. </w:t>
      </w:r>
      <w:r w:rsidRPr="00C427D4">
        <w:t xml:space="preserve">Take the natural cut-off between the higher probabilities and lower ones. (If </w:t>
      </w:r>
      <w:r>
        <w:t xml:space="preserve">something’s being an integrated system </w:t>
      </w:r>
      <w:r w:rsidRPr="00C427D4">
        <w:t>is a natural kin</w:t>
      </w:r>
      <w:r>
        <w:t>d, we should expect</w:t>
      </w:r>
      <w:r w:rsidRPr="00C427D4">
        <w:t xml:space="preserve"> such a statistically significant gap.)</w:t>
      </w:r>
    </w:p>
    <w:p w14:paraId="4D42B9E8" w14:textId="77777777" w:rsidR="0056475D" w:rsidRDefault="0056475D" w:rsidP="0056475D">
      <w:pPr>
        <w:pStyle w:val="Standard"/>
      </w:pPr>
    </w:p>
    <w:p w14:paraId="13E2E8A1" w14:textId="77777777" w:rsidR="0056475D" w:rsidRPr="00C427D4" w:rsidRDefault="0056475D" w:rsidP="0056475D">
      <w:pPr>
        <w:pStyle w:val="Standard"/>
      </w:pPr>
      <w:r>
        <w:t xml:space="preserve">5. </w:t>
      </w:r>
      <w:r w:rsidRPr="00C427D4">
        <w:t>For each mechanism appearing on the list of sets with higher conditional probabilities</w:t>
      </w:r>
      <w:r>
        <w:t xml:space="preserve"> (that is, the sets above the gap)</w:t>
      </w:r>
      <w:r w:rsidRPr="00C427D4">
        <w:t>, count the number of times it appears and rank order mechanisms</w:t>
      </w:r>
      <w:r>
        <w:t xml:space="preserve"> (individually)</w:t>
      </w:r>
      <w:r w:rsidRPr="00C427D4">
        <w:t xml:space="preserve"> accordingly.</w:t>
      </w:r>
    </w:p>
    <w:p w14:paraId="030318D2" w14:textId="77777777" w:rsidR="0056475D" w:rsidRPr="00C427D4" w:rsidRDefault="0056475D" w:rsidP="0056475D">
      <w:pPr>
        <w:pStyle w:val="Standard"/>
      </w:pPr>
    </w:p>
    <w:p w14:paraId="28DBE9D6" w14:textId="77777777" w:rsidR="0056475D" w:rsidRPr="00C427D4" w:rsidRDefault="0056475D" w:rsidP="0056475D">
      <w:pPr>
        <w:pStyle w:val="Standard"/>
      </w:pPr>
      <w:r>
        <w:t xml:space="preserve">6. </w:t>
      </w:r>
      <w:r w:rsidRPr="00C427D4">
        <w:t>A statistically significant gap separates those mechanisms that appear frequently on the first list from those that don’t.</w:t>
      </w:r>
    </w:p>
    <w:p w14:paraId="17A67D68" w14:textId="77777777" w:rsidR="0056475D" w:rsidRPr="00C427D4" w:rsidRDefault="0056475D" w:rsidP="0056475D">
      <w:pPr>
        <w:pStyle w:val="Standard"/>
      </w:pPr>
    </w:p>
    <w:p w14:paraId="6925ADE9" w14:textId="77777777" w:rsidR="0056475D" w:rsidRDefault="0056475D" w:rsidP="0056475D">
      <w:pPr>
        <w:pStyle w:val="Standard"/>
      </w:pPr>
      <w:r>
        <w:t xml:space="preserve">7. </w:t>
      </w:r>
      <w:r w:rsidRPr="00C427D4">
        <w:t>The integrated</w:t>
      </w:r>
      <w:r>
        <w:t xml:space="preserve"> cognitive</w:t>
      </w:r>
      <w:r w:rsidRPr="00C427D4">
        <w:t xml:space="preserve"> system comprises all and only those mechanisms the sum-scores of which appear above the gap.</w:t>
      </w:r>
      <w:r>
        <w:rPr>
          <w:rStyle w:val="FootnoteReference"/>
        </w:rPr>
        <w:footnoteReference w:id="2"/>
      </w:r>
    </w:p>
    <w:p w14:paraId="76294357" w14:textId="1AFBAE96" w:rsidR="0056475D" w:rsidRPr="00200D9E" w:rsidRDefault="0056475D" w:rsidP="0056475D">
      <w:pPr>
        <w:pStyle w:val="Standard"/>
      </w:pPr>
      <w:r>
        <w:t>I don’t intend to defend t</w:t>
      </w:r>
      <w:r w:rsidR="008324B2">
        <w:t xml:space="preserve">his view; it may well be wrong, </w:t>
      </w:r>
      <w:r>
        <w:t>in that it might not capture what is common to the architectures presupposed by the various for</w:t>
      </w:r>
      <w:r w:rsidR="008324B2">
        <w:t>ms of modeling</w:t>
      </w:r>
      <w:r>
        <w:t xml:space="preserve">, but the point </w:t>
      </w:r>
      <w:r w:rsidR="008324B2">
        <w:t>is that, from an ecumenical perspective, we should want to identify some</w:t>
      </w:r>
      <w:r>
        <w:t xml:space="preserve"> common thread </w:t>
      </w:r>
      <w:r w:rsidR="008324B2">
        <w:t>among the relatively persisting architectures – some abstract feature that they share – which can then be identified as the nature of cogni</w:t>
      </w:r>
      <w:r w:rsidR="00200D9E">
        <w:t xml:space="preserve">tion (or as a necessary feature for something’s being cognitive, </w:t>
      </w:r>
      <w:r w:rsidR="00200D9E" w:rsidRPr="00200D9E">
        <w:rPr>
          <w:i/>
        </w:rPr>
        <w:t>viz</w:t>
      </w:r>
      <w:r w:rsidR="00200D9E">
        <w:t>. that be a state or activity of a part of a system that has the abstract feature identified).</w:t>
      </w:r>
    </w:p>
    <w:p w14:paraId="01637056" w14:textId="613F08E3" w:rsidR="004947BD" w:rsidRDefault="00200D9E" w:rsidP="004947BD">
      <w:pPr>
        <w:pStyle w:val="Standard"/>
      </w:pPr>
      <w:r>
        <w:t xml:space="preserve">     Setting aside the formal measure of integration, </w:t>
      </w:r>
      <w:r w:rsidR="00374276">
        <w:t>I offer some clarificatory remarks and note some of the virtues of my systems-based approach:</w:t>
      </w:r>
    </w:p>
    <w:p w14:paraId="5ED95088" w14:textId="13019747" w:rsidR="004947BD" w:rsidRDefault="003C5CD2" w:rsidP="004947BD">
      <w:pPr>
        <w:pStyle w:val="Standard"/>
      </w:pPr>
      <w:r>
        <w:t xml:space="preserve">     First, as sugg</w:t>
      </w:r>
      <w:r w:rsidR="00374276">
        <w:t>ested above</w:t>
      </w:r>
      <w:r w:rsidR="004947BD">
        <w:t>,</w:t>
      </w:r>
      <w:r>
        <w:t xml:space="preserve"> I take it that, for most individual human subjects</w:t>
      </w:r>
      <w:r w:rsidR="004947BD">
        <w:t xml:space="preserve"> at most times, the persisting system is housed within the organism. Note that Otto and his</w:t>
      </w:r>
      <w:r w:rsidR="00EE1C84">
        <w:t xml:space="preserve"> trusty</w:t>
      </w:r>
      <w:r w:rsidR="004947BD">
        <w:t xml:space="preserve"> notebook</w:t>
      </w:r>
      <w:r w:rsidR="009469F6">
        <w:t xml:space="preserve"> (Clark and Chalmers 1998)</w:t>
      </w:r>
      <w:r w:rsidR="004947BD">
        <w:t xml:space="preserve"> can be described so that, by hypothesis, </w:t>
      </w:r>
      <w:r w:rsidR="00EE1C84">
        <w:t>the notebook becomes part of Otto’s</w:t>
      </w:r>
      <w:r w:rsidR="004947BD">
        <w:t xml:space="preserve"> cognitive archite</w:t>
      </w:r>
      <w:r w:rsidR="00EE1C84">
        <w:t>cture; that being said, bear in mind that</w:t>
      </w:r>
      <w:r w:rsidR="002D5D05">
        <w:t xml:space="preserve"> </w:t>
      </w:r>
      <w:r w:rsidR="004947BD">
        <w:t xml:space="preserve">Otto’s </w:t>
      </w:r>
      <w:r w:rsidR="00EE1C84">
        <w:t>case is make-believe</w:t>
      </w:r>
      <w:r w:rsidR="002D5D05">
        <w:t>, and</w:t>
      </w:r>
      <w:r w:rsidR="00EE1C84">
        <w:t xml:space="preserve"> so</w:t>
      </w:r>
      <w:r w:rsidR="002D5D05">
        <w:t xml:space="preserve"> we should be careful not to let it</w:t>
      </w:r>
      <w:r w:rsidR="00EE1C84">
        <w:t xml:space="preserve"> – and other hypothetical cases like it –</w:t>
      </w:r>
      <w:r w:rsidR="002D5D05">
        <w:t xml:space="preserve"> unduly influence our understanding of actual human cognition. The inferences to the best explanation offered above pertain to the explanation of actu</w:t>
      </w:r>
      <w:r w:rsidR="00EE1C84">
        <w:t>al data, results, and modeling practices.</w:t>
      </w:r>
    </w:p>
    <w:p w14:paraId="49BEFBA7" w14:textId="1C4F787F" w:rsidR="00BD1F9B" w:rsidRDefault="004947BD" w:rsidP="004947BD">
      <w:pPr>
        <w:pStyle w:val="Standard"/>
      </w:pPr>
      <w:r>
        <w:t xml:space="preserve">     Second, my strategy is to find a common thread among successful model-types, issuing from the entire range of orientations in cognitive science (including modeling that has sometimes been interpreted as extension-friendly): connectionist, computationalist, dynamicist, brute biological, robotics-based, and artificial-agent-based. If this “supervaluation” strategy is right, it provides powerful evidence in favor of</w:t>
      </w:r>
      <w:r w:rsidR="002D5D05">
        <w:t xml:space="preserve"> the persisting-system-based view of cognition</w:t>
      </w:r>
      <w:r>
        <w:t>. Moreover, this evidence is of precisely the kind that Ross and Ladyman (2010) rightly demand. The evidence has nothing to do with intuitions about causality and constitution or everyday examples involving air conditioning or stereo systems</w:t>
      </w:r>
      <w:r w:rsidR="002D5D05">
        <w:t xml:space="preserve">, all of which they eschew. My reasoning appeals to </w:t>
      </w:r>
      <w:r>
        <w:t>real, scientific modeling, on the ground. Note, too, that contrary to what Ross and Ladyman suggest, t</w:t>
      </w:r>
      <w:r w:rsidR="002D5D05">
        <w:t>he supervaluation strategy yields a fairly definite result</w:t>
      </w:r>
      <w:r>
        <w:t>: when one considers the full range of successfu</w:t>
      </w:r>
      <w:r w:rsidR="00724EB6">
        <w:t>l models, one does not find</w:t>
      </w:r>
      <w:r>
        <w:t xml:space="preserve"> a widespread</w:t>
      </w:r>
      <w:r w:rsidR="00724EB6">
        <w:t>, context-sensitive shift that</w:t>
      </w:r>
      <w:r>
        <w:t xml:space="preserve"> sometimes</w:t>
      </w:r>
      <w:r w:rsidR="00724EB6">
        <w:t xml:space="preserve"> places</w:t>
      </w:r>
      <w:r>
        <w:t xml:space="preserve"> the privileged elements (</w:t>
      </w:r>
      <w:r w:rsidR="00724EB6">
        <w:t xml:space="preserve">the architectural elements) </w:t>
      </w:r>
      <w:r>
        <w:t>inside the organism</w:t>
      </w:r>
      <w:r w:rsidR="00724EB6">
        <w:t xml:space="preserve"> (or agent)</w:t>
      </w:r>
      <w:r>
        <w:t xml:space="preserve"> and sometimes out</w:t>
      </w:r>
      <w:r w:rsidR="00724EB6">
        <w:t>, when applied to actual cases.</w:t>
      </w:r>
    </w:p>
    <w:p w14:paraId="688DE6B1" w14:textId="304ADAEA" w:rsidR="009C7385" w:rsidRDefault="00BD1F9B" w:rsidP="004947BD">
      <w:pPr>
        <w:pStyle w:val="Standard"/>
        <w:rPr>
          <w:rFonts w:cs="Times New Roman"/>
        </w:rPr>
      </w:pPr>
      <w:r>
        <w:t xml:space="preserve">     </w:t>
      </w:r>
      <w:r w:rsidR="00EE1C84">
        <w:t>Consideration of models and the relations between them raises an</w:t>
      </w:r>
      <w:r>
        <w:rPr>
          <w:rFonts w:cs="Times New Roman"/>
        </w:rPr>
        <w:t xml:space="preserve"> important</w:t>
      </w:r>
      <w:r w:rsidR="00EE1C84">
        <w:rPr>
          <w:rFonts w:cs="Times New Roman"/>
        </w:rPr>
        <w:t xml:space="preserve"> concern about my strategy, about which I digress briefly. Consider the possibility</w:t>
      </w:r>
      <w:r>
        <w:rPr>
          <w:rFonts w:cs="Times New Roman"/>
        </w:rPr>
        <w:t xml:space="preserve"> t</w:t>
      </w:r>
      <w:r w:rsidR="00EE1C84">
        <w:rPr>
          <w:rFonts w:cs="Times New Roman"/>
        </w:rPr>
        <w:t>hat a coarse-grained model</w:t>
      </w:r>
      <w:r>
        <w:rPr>
          <w:rFonts w:cs="Times New Roman"/>
        </w:rPr>
        <w:t xml:space="preserve"> relate only a collective variable of a group to observable outcomes (e.g., the price at which company x’s stock is being traded on Wall Street to the near-future profitability of company x – cf. Huebner, forthcoming)</w:t>
      </w:r>
      <w:r w:rsidR="00EE1C84">
        <w:rPr>
          <w:rFonts w:cs="Times New Roman"/>
        </w:rPr>
        <w:t>,</w:t>
      </w:r>
      <w:r>
        <w:rPr>
          <w:rFonts w:cs="Times New Roman"/>
        </w:rPr>
        <w:t xml:space="preserve"> with some success.</w:t>
      </w:r>
      <w:r w:rsidR="00EE1C84">
        <w:rPr>
          <w:rFonts w:cs="Times New Roman"/>
        </w:rPr>
        <w:t xml:space="preserve"> Why not think that h</w:t>
      </w:r>
      <w:r w:rsidR="009C7385">
        <w:rPr>
          <w:rFonts w:cs="Times New Roman"/>
        </w:rPr>
        <w:t>ere, we encounter a successful form of the modeling of intelligent behavior that draws a paramount distinction between the group and what is beyond the group’s boundary? And, if there are such cases, why doesn’t their existence establish that a group sometimes constitutes the cognitive system, at least if we’re reading off the location of cognitive systems from the properties of our successful models?</w:t>
      </w:r>
    </w:p>
    <w:p w14:paraId="4A820D37" w14:textId="0FDB4BA4" w:rsidR="00BD1F9B" w:rsidRDefault="009C7385" w:rsidP="004947BD">
      <w:pPr>
        <w:pStyle w:val="Standard"/>
      </w:pPr>
      <w:r>
        <w:rPr>
          <w:rFonts w:cs="Times New Roman"/>
        </w:rPr>
        <w:t xml:space="preserve">     </w:t>
      </w:r>
      <w:r w:rsidR="00BD1F9B">
        <w:rPr>
          <w:rFonts w:cs="Times New Roman"/>
        </w:rPr>
        <w:t xml:space="preserve">In response, consider </w:t>
      </w:r>
      <w:r w:rsidR="00BD1F9B" w:rsidRPr="000A3283">
        <w:rPr>
          <w:rFonts w:cs="Times New Roman"/>
        </w:rPr>
        <w:t xml:space="preserve">the </w:t>
      </w:r>
      <w:r w:rsidR="00BD1F9B">
        <w:rPr>
          <w:rFonts w:cs="Times New Roman"/>
        </w:rPr>
        <w:t>following argument (</w:t>
      </w:r>
      <w:r w:rsidR="00BD1F9B" w:rsidRPr="000A3283">
        <w:rPr>
          <w:rFonts w:cs="Times New Roman"/>
        </w:rPr>
        <w:t>cf. Giere 2006, 71</w:t>
      </w:r>
      <w:r w:rsidR="00BD1F9B">
        <w:rPr>
          <w:rFonts w:cs="Times New Roman"/>
        </w:rPr>
        <w:t>7–718): When</w:t>
      </w:r>
      <w:r w:rsidR="00BD1F9B" w:rsidRPr="000A3283">
        <w:rPr>
          <w:rFonts w:cs="Times New Roman"/>
        </w:rPr>
        <w:t xml:space="preserve"> a given </w:t>
      </w:r>
      <w:r w:rsidR="00BD1F9B" w:rsidRPr="00BC6A10">
        <w:rPr>
          <w:rFonts w:cs="Times New Roman"/>
          <w:i/>
        </w:rPr>
        <w:t>explanandum</w:t>
      </w:r>
      <w:r w:rsidR="00BD1F9B" w:rsidRPr="000A3283">
        <w:rPr>
          <w:rFonts w:cs="Times New Roman"/>
        </w:rPr>
        <w:t xml:space="preserve"> can be successfully accounted for</w:t>
      </w:r>
      <w:r w:rsidR="00BD1F9B">
        <w:rPr>
          <w:rFonts w:cs="Times New Roman"/>
        </w:rPr>
        <w:t xml:space="preserve"> </w:t>
      </w:r>
      <w:r w:rsidR="00BD1F9B" w:rsidRPr="000A3283">
        <w:rPr>
          <w:rFonts w:cs="Times New Roman"/>
        </w:rPr>
        <w:t>by both a less-articulated mo</w:t>
      </w:r>
      <w:r w:rsidR="00BD1F9B">
        <w:rPr>
          <w:rFonts w:cs="Times New Roman"/>
        </w:rPr>
        <w:t>del and a more articulated one and</w:t>
      </w:r>
      <w:r w:rsidR="00BD1F9B" w:rsidRPr="000A3283">
        <w:rPr>
          <w:rFonts w:cs="Times New Roman"/>
        </w:rPr>
        <w:t xml:space="preserve"> the more articulated model accounts for more of the variance in the</w:t>
      </w:r>
      <w:r w:rsidR="00BD1F9B">
        <w:rPr>
          <w:rFonts w:cs="Times New Roman"/>
        </w:rPr>
        <w:t xml:space="preserve"> </w:t>
      </w:r>
      <w:r w:rsidR="00BC6A10">
        <w:rPr>
          <w:rFonts w:cs="Times New Roman"/>
        </w:rPr>
        <w:t>relevant behavioral data,</w:t>
      </w:r>
      <w:r w:rsidR="00BD1F9B" w:rsidRPr="000A3283">
        <w:rPr>
          <w:rFonts w:cs="Times New Roman"/>
        </w:rPr>
        <w:t xml:space="preserve"> we should derive our ontological conclusions (or the procedurally oriented</w:t>
      </w:r>
      <w:r w:rsidR="00BD1F9B">
        <w:rPr>
          <w:rFonts w:cs="Times New Roman"/>
        </w:rPr>
        <w:t xml:space="preserve"> </w:t>
      </w:r>
      <w:r w:rsidR="00BD1F9B" w:rsidRPr="000A3283">
        <w:rPr>
          <w:rFonts w:cs="Times New Roman"/>
        </w:rPr>
        <w:t>equivalent) from the more articulated model. Our current situation</w:t>
      </w:r>
      <w:r w:rsidR="00BD1F9B">
        <w:rPr>
          <w:rFonts w:cs="Times New Roman"/>
        </w:rPr>
        <w:t xml:space="preserve"> would seem to satisfy</w:t>
      </w:r>
      <w:r w:rsidR="00BD1F9B" w:rsidRPr="000A3283">
        <w:rPr>
          <w:rFonts w:cs="Times New Roman"/>
        </w:rPr>
        <w:t xml:space="preserve"> the compound antecedent of the</w:t>
      </w:r>
      <w:r w:rsidR="00BD1F9B">
        <w:rPr>
          <w:rFonts w:cs="Times New Roman"/>
        </w:rPr>
        <w:t xml:space="preserve"> preceding</w:t>
      </w:r>
      <w:r w:rsidR="00403B68">
        <w:rPr>
          <w:rFonts w:cs="Times New Roman"/>
        </w:rPr>
        <w:t xml:space="preserve"> conditional. On any particular occasion of successful prediction </w:t>
      </w:r>
      <w:r w:rsidR="00BD1F9B">
        <w:rPr>
          <w:rFonts w:cs="Times New Roman"/>
        </w:rPr>
        <w:t>stock market’s</w:t>
      </w:r>
      <w:r w:rsidR="00BD1F9B" w:rsidRPr="000A3283">
        <w:rPr>
          <w:rFonts w:cs="Times New Roman"/>
        </w:rPr>
        <w:t xml:space="preserve"> behavior is</w:t>
      </w:r>
      <w:r w:rsidR="00BD1F9B">
        <w:rPr>
          <w:rFonts w:cs="Times New Roman"/>
        </w:rPr>
        <w:t xml:space="preserve"> subject to two explanations</w:t>
      </w:r>
      <w:r w:rsidR="00BD1F9B" w:rsidRPr="000A3283">
        <w:rPr>
          <w:rFonts w:cs="Times New Roman"/>
        </w:rPr>
        <w:t>: one</w:t>
      </w:r>
      <w:r w:rsidR="00BD1F9B">
        <w:rPr>
          <w:rFonts w:cs="Times New Roman"/>
        </w:rPr>
        <w:t xml:space="preserve"> is the group-level cognitivist explanation according to which the stock m</w:t>
      </w:r>
      <w:r w:rsidR="00724EB6">
        <w:rPr>
          <w:rFonts w:cs="Times New Roman"/>
        </w:rPr>
        <w:t>arket – as single entity – sizes</w:t>
      </w:r>
      <w:r w:rsidR="00BD1F9B">
        <w:rPr>
          <w:rFonts w:cs="Times New Roman"/>
        </w:rPr>
        <w:t xml:space="preserve"> up t</w:t>
      </w:r>
      <w:r w:rsidR="00724EB6">
        <w:rPr>
          <w:rFonts w:cs="Times New Roman"/>
        </w:rPr>
        <w:t xml:space="preserve">he </w:t>
      </w:r>
      <w:r w:rsidR="00FD1FA2">
        <w:rPr>
          <w:rFonts w:cs="Times New Roman"/>
        </w:rPr>
        <w:t>prospects</w:t>
      </w:r>
      <w:r w:rsidR="00724EB6">
        <w:rPr>
          <w:rFonts w:cs="Times New Roman"/>
        </w:rPr>
        <w:t xml:space="preserve"> of company x and makes</w:t>
      </w:r>
      <w:r w:rsidR="00BD1F9B">
        <w:rPr>
          <w:rFonts w:cs="Times New Roman"/>
        </w:rPr>
        <w:t xml:space="preserve"> a prediction</w:t>
      </w:r>
      <w:r w:rsidR="00403B68">
        <w:rPr>
          <w:rFonts w:cs="Times New Roman"/>
        </w:rPr>
        <w:t>, represented as the company’s stock’s selling price</w:t>
      </w:r>
      <w:r w:rsidR="00BD1F9B">
        <w:rPr>
          <w:rFonts w:cs="Times New Roman"/>
        </w:rPr>
        <w:t>; the second</w:t>
      </w:r>
      <w:r w:rsidR="00724EB6">
        <w:rPr>
          <w:rFonts w:cs="Times New Roman"/>
        </w:rPr>
        <w:t xml:space="preserve"> explanation</w:t>
      </w:r>
      <w:r w:rsidR="00BD1F9B">
        <w:rPr>
          <w:rFonts w:cs="Times New Roman"/>
        </w:rPr>
        <w:t xml:space="preserve"> appeals only to the various individuals who made decisions whether to buy and at what price and their reasons for doing so. In at least some cases, one</w:t>
      </w:r>
      <w:r w:rsidR="00BC6A10">
        <w:rPr>
          <w:rFonts w:cs="Times New Roman"/>
        </w:rPr>
        <w:t xml:space="preserve"> would expect to account</w:t>
      </w:r>
      <w:r w:rsidR="00BD1F9B">
        <w:rPr>
          <w:rFonts w:cs="Times New Roman"/>
        </w:rPr>
        <w:t xml:space="preserve"> for more variance in performance of companies by appeal to the decisions of the best informed individuals</w:t>
      </w:r>
      <w:r w:rsidR="00403B68">
        <w:rPr>
          <w:rFonts w:cs="Times New Roman"/>
        </w:rPr>
        <w:t xml:space="preserve"> – it is because </w:t>
      </w:r>
      <w:r w:rsidR="00403B68">
        <w:rPr>
          <w:rFonts w:cs="Times New Roman"/>
          <w:i/>
        </w:rPr>
        <w:t>they</w:t>
      </w:r>
      <w:r w:rsidR="00403B68">
        <w:rPr>
          <w:rFonts w:cs="Times New Roman"/>
        </w:rPr>
        <w:t xml:space="preserve"> saw, say, the likelihood of the increased profitability of company x, and because others followed along with this judgment –</w:t>
      </w:r>
      <w:r w:rsidR="00BD1F9B">
        <w:rPr>
          <w:rFonts w:cs="Times New Roman"/>
        </w:rPr>
        <w:t xml:space="preserve"> than one does</w:t>
      </w:r>
      <w:r w:rsidR="00403B68">
        <w:rPr>
          <w:rFonts w:cs="Times New Roman"/>
        </w:rPr>
        <w:t xml:space="preserve"> by appealing to a collective state of the group</w:t>
      </w:r>
      <w:r w:rsidR="00BD1F9B">
        <w:rPr>
          <w:rFonts w:cs="Times New Roman"/>
        </w:rPr>
        <w:t>. (Even when this isn’t the case, one can capture at least as much variance by attributing cognitive states to individuals and aggregating them</w:t>
      </w:r>
      <w:r w:rsidR="00724EB6">
        <w:rPr>
          <w:rFonts w:cs="Times New Roman"/>
        </w:rPr>
        <w:t xml:space="preserve"> – and the prices each pays –</w:t>
      </w:r>
      <w:r w:rsidR="00BD1F9B">
        <w:rPr>
          <w:rFonts w:cs="Times New Roman"/>
        </w:rPr>
        <w:t xml:space="preserve"> as one does when one</w:t>
      </w:r>
      <w:r w:rsidR="00724EB6">
        <w:rPr>
          <w:rFonts w:cs="Times New Roman"/>
        </w:rPr>
        <w:t>, in contrast,</w:t>
      </w:r>
      <w:r w:rsidR="00BD1F9B">
        <w:rPr>
          <w:rFonts w:cs="Times New Roman"/>
        </w:rPr>
        <w:t xml:space="preserve"> takes the aggregated value – the selling price – to be the content of a group-level cognitive state; in which case, </w:t>
      </w:r>
      <w:r w:rsidR="00FD1FA2">
        <w:rPr>
          <w:rFonts w:cs="Times New Roman"/>
        </w:rPr>
        <w:t>Occam’s</w:t>
      </w:r>
      <w:r w:rsidR="00BD1F9B">
        <w:rPr>
          <w:rFonts w:cs="Times New Roman"/>
        </w:rPr>
        <w:t xml:space="preserve"> razor cuts away the group-level cognitive states, a matter discussed in more detail below.)</w:t>
      </w:r>
      <w:r w:rsidR="00BD1F9B">
        <w:rPr>
          <w:rStyle w:val="FootnoteReference"/>
        </w:rPr>
        <w:footnoteReference w:id="3"/>
      </w:r>
    </w:p>
    <w:p w14:paraId="00F3267D" w14:textId="2C19B6EC" w:rsidR="004947BD" w:rsidRDefault="004947BD" w:rsidP="004947BD">
      <w:pPr>
        <w:pStyle w:val="Standard"/>
      </w:pPr>
      <w:r>
        <w:t xml:space="preserve">     Third, my approach is locationally neutral. I attempt to find a central and pervasive distinction present in </w:t>
      </w:r>
      <w:r w:rsidR="00403B68">
        <w:t xml:space="preserve">a </w:t>
      </w:r>
      <w:r>
        <w:t>wide range of successful cognitive models, then check, afterwards, to see where th</w:t>
      </w:r>
      <w:r w:rsidR="00403B68">
        <w:t>e elements on either side of this</w:t>
      </w:r>
      <w:r>
        <w:t xml:space="preserve"> divide appear. The division is not sought with malice aforethought (my initial reaction to the extended view was actually sympathetic, even though I distinguished it from the embedded view – see Rupert 2001, 505, n7); in fact, the distinction that seems to be most central to cognitive modeling </w:t>
      </w:r>
      <w:r w:rsidR="00403B68">
        <w:t xml:space="preserve">in itself </w:t>
      </w:r>
      <w:r>
        <w:t>leaves</w:t>
      </w:r>
      <w:r w:rsidR="00403B68">
        <w:t xml:space="preserve"> wide</w:t>
      </w:r>
      <w:r>
        <w:t xml:space="preserve"> open the possibility that elements on either side of the division fall on either side of the organismic boundary.</w:t>
      </w:r>
    </w:p>
    <w:p w14:paraId="0B1833F9" w14:textId="12683FE8" w:rsidR="004947BD" w:rsidRDefault="004947BD" w:rsidP="004947BD">
      <w:pPr>
        <w:pStyle w:val="Standard"/>
      </w:pPr>
      <w:r>
        <w:t xml:space="preserve">     Fourth, the present exercise does not presuppose that a mark of the cognitive</w:t>
      </w:r>
      <w:r w:rsidR="001D33DA">
        <w:t xml:space="preserve"> (Adams and Aizawa 2001)</w:t>
      </w:r>
      <w:r>
        <w:t xml:space="preserve"> is needed to do cognitive science. Successful work in cognitive science helps us to see what the mark of the cognitive might be (or what might be necessary conditions for something’s being cognitive),</w:t>
      </w:r>
      <w:r w:rsidR="00AA2E66">
        <w:t xml:space="preserve"> but we definitely</w:t>
      </w:r>
      <w:r>
        <w:t xml:space="preserve"> do not need a mark of the cognitive </w:t>
      </w:r>
      <w:r w:rsidR="00AA2E66">
        <w:t xml:space="preserve">in order </w:t>
      </w:r>
      <w:r>
        <w:t xml:space="preserve">to </w:t>
      </w:r>
      <w:r w:rsidRPr="00AA2E66">
        <w:rPr>
          <w:i/>
        </w:rPr>
        <w:t>do</w:t>
      </w:r>
      <w:r>
        <w:t xml:space="preserve"> cognitive science. The present issue is how best to interpre</w:t>
      </w:r>
      <w:r w:rsidR="00403B68">
        <w:t xml:space="preserve">t the cognitive science we have, that is, what theoretically or philosophically interesting gloss to give it. </w:t>
      </w:r>
    </w:p>
    <w:p w14:paraId="4A44E433" w14:textId="4FF35C68" w:rsidR="00200D9E" w:rsidRDefault="004947BD" w:rsidP="004947BD">
      <w:pPr>
        <w:pStyle w:val="Standard"/>
      </w:pPr>
      <w:r>
        <w:t xml:space="preserve">     Fifth, my proposal fulfills Mark Rowlands’s demand for an owner of cognitive states (Rowlands 2009). Rowlands realizes that his various conditions for extended cognition lead to unacceptable results (cognitive bloat, in particular) absent a further co</w:t>
      </w:r>
      <w:r w:rsidR="00403B68">
        <w:t>nstraint on cognitive extension:</w:t>
      </w:r>
      <w:r>
        <w:t xml:space="preserve"> to be part of a cognitive process</w:t>
      </w:r>
      <w:r w:rsidR="00EB2BB1">
        <w:t>, it must</w:t>
      </w:r>
      <w:r>
        <w:t xml:space="preserve"> be owned by a subject.</w:t>
      </w:r>
      <w:r w:rsidR="00AA2E66">
        <w:t xml:space="preserve"> More generally</w:t>
      </w:r>
      <w:r>
        <w:t>, philosophers of cognitive science will want a theory of</w:t>
      </w:r>
      <w:r w:rsidR="00403B68">
        <w:t xml:space="preserve"> the self</w:t>
      </w:r>
      <w:r w:rsidR="00AA2E66">
        <w:t>, and my emphasis on cognitive systems</w:t>
      </w:r>
      <w:r w:rsidR="00DE3B1F">
        <w:t xml:space="preserve"> suggests</w:t>
      </w:r>
      <w:r>
        <w:t xml:space="preserve"> an empirically motivated one: the self is</w:t>
      </w:r>
      <w:r w:rsidR="00403B68">
        <w:t xml:space="preserve"> the cognitive architecture, or at least, a state’s being a state of the self requires that it be</w:t>
      </w:r>
      <w:r>
        <w:t xml:space="preserve"> a</w:t>
      </w:r>
      <w:r w:rsidR="00AA2E66">
        <w:t xml:space="preserve"> (nonbackground)</w:t>
      </w:r>
      <w:r>
        <w:t xml:space="preserve"> state of one of the architecture’s component mechanisms.</w:t>
      </w:r>
    </w:p>
    <w:p w14:paraId="2F96E2E3" w14:textId="7C61C9FA" w:rsidR="00D94A02" w:rsidRDefault="00F366C5" w:rsidP="00F366C5">
      <w:pPr>
        <w:pStyle w:val="Standard"/>
        <w:jc w:val="center"/>
      </w:pPr>
      <w:r>
        <w:t>III. Cognition as a Generic Kind</w:t>
      </w:r>
    </w:p>
    <w:p w14:paraId="299E4E0D" w14:textId="228B8AC2" w:rsidR="004777F0" w:rsidRPr="00721469" w:rsidRDefault="004777F0" w:rsidP="00B74EF8">
      <w:pPr>
        <w:pStyle w:val="Standard"/>
      </w:pPr>
      <w:r>
        <w:t>On one reading of the preceding discussion, I’ve delivered all the self there</w:t>
      </w:r>
      <w:r w:rsidR="00721469">
        <w:t xml:space="preserve"> need be for cognition to occur</w:t>
      </w:r>
      <w:r w:rsidR="00AA2E66">
        <w:t>. And</w:t>
      </w:r>
      <w:r w:rsidR="00DB04B6">
        <w:t>,</w:t>
      </w:r>
      <w:r>
        <w:t xml:space="preserve"> given how minimal this self would seem to b</w:t>
      </w:r>
      <w:r w:rsidR="00AA2E66">
        <w:t>e, the proponents of group</w:t>
      </w:r>
      <w:r>
        <w:t xml:space="preserve"> cognition might take heart.</w:t>
      </w:r>
      <w:r w:rsidR="00F366C5">
        <w:t xml:space="preserve"> </w:t>
      </w:r>
      <w:r w:rsidR="00C352ED">
        <w:t>On the</w:t>
      </w:r>
      <w:r w:rsidR="00F366C5">
        <w:t xml:space="preserve"> systems-based view, the individual human self would seem to be little mo</w:t>
      </w:r>
      <w:r w:rsidR="00C352ED">
        <w:t xml:space="preserve">re than </w:t>
      </w:r>
      <w:r w:rsidR="00AA2E66">
        <w:t xml:space="preserve">a </w:t>
      </w:r>
      <w:r w:rsidR="00C352ED">
        <w:t xml:space="preserve">collection of </w:t>
      </w:r>
      <w:r w:rsidR="00DB04B6">
        <w:t>“</w:t>
      </w:r>
      <w:r w:rsidR="00C352ED">
        <w:t>demons</w:t>
      </w:r>
      <w:r w:rsidR="00AA2E66">
        <w:t>,</w:t>
      </w:r>
      <w:r w:rsidR="00DB04B6">
        <w:t>”</w:t>
      </w:r>
      <w:r w:rsidR="00F366C5">
        <w:t xml:space="preserve"> all doing their individual bits to produce behavior, with no central controller</w:t>
      </w:r>
      <w:r w:rsidR="00C352ED">
        <w:t xml:space="preserve"> or</w:t>
      </w:r>
      <w:r w:rsidR="000C65D1">
        <w:t xml:space="preserve"> Cartesian theatre (Dennett 1991</w:t>
      </w:r>
      <w:r w:rsidR="00C352ED">
        <w:t>)</w:t>
      </w:r>
      <w:r w:rsidR="00F366C5">
        <w:t>.</w:t>
      </w:r>
      <w:r>
        <w:t xml:space="preserve"> S</w:t>
      </w:r>
      <w:r w:rsidR="00AA2E66">
        <w:t xml:space="preserve">urely, in many extant groups, we find something like this – perhaps even a relatively persisting collection </w:t>
      </w:r>
      <w:r>
        <w:t>of mechanisms that contribute in overlapping subsets to the production of a wide variety of</w:t>
      </w:r>
      <w:r w:rsidR="00C352ED">
        <w:t xml:space="preserve"> forms of intelligent behavior. Isn’t that just what we see in, for example, ship navigation (Hutchins 1995)? Thus, some – perhaps many –</w:t>
      </w:r>
      <w:r w:rsidR="00AA2E66">
        <w:t xml:space="preserve"> groups should meet the systems-based</w:t>
      </w:r>
      <w:r>
        <w:t xml:space="preserve"> necessary</w:t>
      </w:r>
      <w:r w:rsidR="00684169">
        <w:t xml:space="preserve"> (perhaps even sufficient)</w:t>
      </w:r>
      <w:r>
        <w:t xml:space="preserve"> condition for group-level c</w:t>
      </w:r>
      <w:r w:rsidR="00AA2E66">
        <w:t>ognition.</w:t>
      </w:r>
    </w:p>
    <w:p w14:paraId="56C8596A" w14:textId="2C404911" w:rsidR="00A56103" w:rsidRDefault="00200D9E" w:rsidP="00A56103">
      <w:pPr>
        <w:pStyle w:val="Standard"/>
      </w:pPr>
      <w:r>
        <w:t xml:space="preserve">     Some readers may wonder, though, whether I’ve made matters too easy for the proponent of group cognition. </w:t>
      </w:r>
      <w:r w:rsidR="00C25758">
        <w:t xml:space="preserve">My abstract characterization of an integrated cognitive system (including the formal measure of integration, or not) might seem dialectically well place in the context of the debate about individual extended cognition: many of the external resources that contribute to the production of an individual’s behavior probably do not, as mechanisms, score highly enough to count as components of that individual’s cognitive system, nor are they, more generally speaking, part of the relatively persisting package of resources that contribute in overlapping subsets to the production of a wide variety of forms of intelligent behavior. </w:t>
      </w:r>
      <w:r w:rsidR="00A56103">
        <w:t xml:space="preserve">Thus, thinking of inclusion in that set as a necessary condition does all the work it need as a prophylactic against (what might be perceived as) exaggerated claims to </w:t>
      </w:r>
      <w:r w:rsidR="00C25758">
        <w:t>extended</w:t>
      </w:r>
      <w:r w:rsidR="00A56103">
        <w:t xml:space="preserve"> cognition.</w:t>
      </w:r>
    </w:p>
    <w:p w14:paraId="64D58BD8" w14:textId="77777777" w:rsidR="000B0DF0" w:rsidRDefault="00A56103" w:rsidP="00B67D00">
      <w:pPr>
        <w:pStyle w:val="Standard"/>
      </w:pPr>
      <w:r>
        <w:t xml:space="preserve">     Ultimately, though, much is missing from my systems-based characterization of the cognition (thus, my inclination to treat it as a characterization of only a necessary condition for something’s being cognitive</w:t>
      </w:r>
      <w:r w:rsidR="000B0DF0">
        <w:t>). What must be added? W</w:t>
      </w:r>
      <w:r>
        <w:t>e simply do</w:t>
      </w:r>
      <w:r w:rsidR="000B0DF0">
        <w:t>n’t know yet, because we do not know</w:t>
      </w:r>
      <w:r>
        <w:t xml:space="preserve"> what precise shape the actua</w:t>
      </w:r>
      <w:r w:rsidR="000B0DF0">
        <w:t>l cognitive architecture takes. So, w</w:t>
      </w:r>
      <w:r w:rsidR="004E3CCC">
        <w:t>hen we turn to groups, we</w:t>
      </w:r>
      <w:r w:rsidR="000B0DF0">
        <w:t xml:space="preserve"> find ourselves in an awkward situation: we might be confident that the group must meet the systems-based necessary condition toward which I’m inclined, but we also know what it should meet some as-yet-unspecified richer conditions – at least if our reasoning is to proceed from an identification of cognitive processing in the case of individual humans to the group case by the identification there of the same kind of process.</w:t>
      </w:r>
    </w:p>
    <w:p w14:paraId="6C1C098A" w14:textId="3B5F6B75" w:rsidR="004115F8" w:rsidRDefault="00CE00BA" w:rsidP="00B67D00">
      <w:pPr>
        <w:pStyle w:val="Standard"/>
      </w:pPr>
      <w:r>
        <w:t xml:space="preserve">     Let me illustrate</w:t>
      </w:r>
      <w:r w:rsidR="000B0DF0">
        <w:t xml:space="preserve"> how difficult it might be</w:t>
      </w:r>
      <w:r>
        <w:t xml:space="preserve"> to establish that groups have cognitive states just by showing that they have</w:t>
      </w:r>
      <w:r w:rsidR="000B0DF0">
        <w:t xml:space="preserve"> the same</w:t>
      </w:r>
      <w:r>
        <w:t xml:space="preserve"> architecture</w:t>
      </w:r>
      <w:r w:rsidR="000B0DF0">
        <w:t xml:space="preserve"> as exists in individu</w:t>
      </w:r>
      <w:r>
        <w:t>als</w:t>
      </w:r>
      <w:r w:rsidR="000B0DF0">
        <w:t>. Fodor (1983) suggests that the human architecture consists of transd</w:t>
      </w:r>
      <w:r>
        <w:t>ucers together with computation-</w:t>
      </w:r>
      <w:r w:rsidR="000B0DF0">
        <w:t xml:space="preserve">driven </w:t>
      </w:r>
      <w:r w:rsidR="004E3CCC">
        <w:t>modules</w:t>
      </w:r>
      <w:r>
        <w:t xml:space="preserve"> together with a </w:t>
      </w:r>
      <w:r w:rsidR="004E3CCC">
        <w:t>central-processing</w:t>
      </w:r>
      <w:r>
        <w:t xml:space="preserve"> unit or area that reasons holistically in a way that’s sensitive to global properties of the set of the subject’s belief set together with output systems. Now add some details to that characterization of the architecture. It has been claimed, for example, that the architecture of the human motor system includes emulator circuits; part of such a circuit receives an efferent copy of outgoing motor commands and runs a very fast simulation that, in effect, predicts whether the appendage in question will land where the motor command was</w:t>
      </w:r>
      <w:r w:rsidR="0044451F">
        <w:t xml:space="preserve"> meant to send it (Grush 1997). As such detail piles up, one begins to chafe at the chauvinism; perhaps the human architecture suffices for cognition, but must a group really meet all of these conditions in order to be cognizing? </w:t>
      </w:r>
      <w:r w:rsidR="00995CF3">
        <w:t>Wh</w:t>
      </w:r>
      <w:r w:rsidR="0044451F">
        <w:t>at</w:t>
      </w:r>
      <w:r w:rsidR="00995CF3">
        <w:t xml:space="preserve"> if groups seem to engage in a sufficiently wide range of forms of i</w:t>
      </w:r>
      <w:r w:rsidR="0044451F">
        <w:t>ntelligent behavior, but their group architecture</w:t>
      </w:r>
      <w:r w:rsidR="00995CF3">
        <w:t xml:space="preserve"> doesn’t match the individual human’s? Must we say that groups don’t have cognitive states solely on grounds of that mismatch?</w:t>
      </w:r>
      <w:r w:rsidR="0044451F">
        <w:t xml:space="preserve"> (And this gets especially tricky if group-level behavior doesn’t actually seem so obviously of a piece with intelligent behavior in humans.)</w:t>
      </w:r>
      <w:r w:rsidR="00995CF3">
        <w:t xml:space="preserve"> Why not say, instead, that the groups have cogni</w:t>
      </w:r>
      <w:r w:rsidR="004E3CCC">
        <w:t>tive states but that groups have a different kind of cognitive state from the ones humans have</w:t>
      </w:r>
      <w:r w:rsidR="00995CF3">
        <w:t>? (In this respect, th</w:t>
      </w:r>
      <w:r w:rsidR="004E3CCC">
        <w:t>e present discussion dovetails a long-running debate</w:t>
      </w:r>
      <w:r w:rsidR="00995CF3">
        <w:t xml:space="preserve"> about functionalism and chauvinism at the individual level</w:t>
      </w:r>
      <w:r w:rsidR="00B67D00">
        <w:t xml:space="preserve"> –</w:t>
      </w:r>
      <w:r w:rsidR="000C65D1">
        <w:t xml:space="preserve"> Block 1978</w:t>
      </w:r>
      <w:r w:rsidR="004115F8">
        <w:t>, Sprevak 2009, Rupert 2013.) Is this option available?</w:t>
      </w:r>
    </w:p>
    <w:p w14:paraId="4191B1F6" w14:textId="07FCECC8" w:rsidR="00003438" w:rsidRPr="00003438" w:rsidRDefault="004115F8" w:rsidP="00B67D00">
      <w:pPr>
        <w:pStyle w:val="Standard"/>
      </w:pPr>
      <w:r>
        <w:t xml:space="preserve">     Tentatively accept that many aspects of </w:t>
      </w:r>
      <w:r w:rsidR="00003438">
        <w:t>group process</w:t>
      </w:r>
      <w:r>
        <w:t>ing</w:t>
      </w:r>
      <w:r w:rsidR="00003438">
        <w:t xml:space="preserve"> will not res</w:t>
      </w:r>
      <w:r>
        <w:t>emble processes that take produce intelligent behavior in individual</w:t>
      </w:r>
      <w:r w:rsidR="00003438">
        <w:t xml:space="preserve"> humans.</w:t>
      </w:r>
      <w:r>
        <w:t xml:space="preserve"> In the face of such an</w:t>
      </w:r>
      <w:r w:rsidR="0044451F">
        <w:t xml:space="preserve"> assumption, I ask now what it would take for them to cognize</w:t>
      </w:r>
      <w:r>
        <w:t xml:space="preserve"> </w:t>
      </w:r>
      <w:r w:rsidR="00FD1FA2">
        <w:t>nonetheless</w:t>
      </w:r>
      <w:r>
        <w:t>.</w:t>
      </w:r>
      <w:r w:rsidR="00003438">
        <w:t xml:space="preserve"> </w:t>
      </w:r>
      <w:r w:rsidR="00B67D00">
        <w:t xml:space="preserve">What I’m after, then, </w:t>
      </w:r>
      <w:r w:rsidR="0044451F">
        <w:t xml:space="preserve">more generally, </w:t>
      </w:r>
      <w:r w:rsidR="00B67D00">
        <w:t xml:space="preserve">are conditions for identifying an overarching natural kind – in this case, </w:t>
      </w:r>
      <w:r w:rsidR="00B67D00">
        <w:rPr>
          <w:i/>
        </w:rPr>
        <w:t>cognition</w:t>
      </w:r>
      <w:r w:rsidR="00B67D00">
        <w:t xml:space="preserve"> –</w:t>
      </w:r>
      <w:r>
        <w:t xml:space="preserve"> that has different species</w:t>
      </w:r>
      <w:r w:rsidR="00B67D00">
        <w:t>.</w:t>
      </w:r>
    </w:p>
    <w:p w14:paraId="25F5EA16" w14:textId="343C4159" w:rsidR="00494C64" w:rsidRPr="00494C64" w:rsidRDefault="00340BBC" w:rsidP="00494C64">
      <w:pPr>
        <w:pStyle w:val="Standard"/>
      </w:pPr>
      <w:r>
        <w:t xml:space="preserve">     </w:t>
      </w:r>
      <w:r w:rsidR="00494C64" w:rsidRPr="00494C64">
        <w:t xml:space="preserve">Some of </w:t>
      </w:r>
      <w:r>
        <w:t xml:space="preserve">Andy </w:t>
      </w:r>
      <w:r w:rsidR="00494C64" w:rsidRPr="00494C64">
        <w:t>Clark’s remarks, as well as some of John Sutton’s, bear on this issue. On</w:t>
      </w:r>
      <w:r>
        <w:t xml:space="preserve"> </w:t>
      </w:r>
      <w:r w:rsidR="00494C64" w:rsidRPr="00494C64">
        <w:t>their view, the fact that human memories comprise a motley at the fine-grained level</w:t>
      </w:r>
    </w:p>
    <w:p w14:paraId="66221CBD" w14:textId="77777777" w:rsidR="00494C64" w:rsidRPr="00494C64" w:rsidRDefault="00494C64" w:rsidP="00494C64">
      <w:pPr>
        <w:pStyle w:val="Standard"/>
      </w:pPr>
      <w:r w:rsidRPr="00494C64">
        <w:t>does not preclude the development of a proper science of memory (although note that</w:t>
      </w:r>
    </w:p>
    <w:p w14:paraId="45B57B31" w14:textId="77777777" w:rsidR="00494C64" w:rsidRPr="00494C64" w:rsidRDefault="00494C64" w:rsidP="00494C64">
      <w:pPr>
        <w:pStyle w:val="Standard"/>
      </w:pPr>
      <w:r w:rsidRPr="00494C64">
        <w:t>Clark has since distanced himself from the underlying assumption of a motley: 2011,</w:t>
      </w:r>
    </w:p>
    <w:p w14:paraId="5E43DC4B" w14:textId="77777777" w:rsidR="00494C64" w:rsidRPr="00494C64" w:rsidRDefault="00494C64" w:rsidP="00494C64">
      <w:pPr>
        <w:pStyle w:val="Standard"/>
      </w:pPr>
      <w:r w:rsidRPr="00494C64">
        <w:t>452). When discussing the motley of causal processes involved in the production of</w:t>
      </w:r>
    </w:p>
    <w:p w14:paraId="01F7C452" w14:textId="08E13088" w:rsidR="00340BBC" w:rsidRDefault="00494C64" w:rsidP="00494C64">
      <w:pPr>
        <w:pStyle w:val="Standard"/>
      </w:pPr>
      <w:r w:rsidRPr="00494C64">
        <w:t>intelligent behavior, Clark expresses hope for a science of cognition regardless of such</w:t>
      </w:r>
      <w:r w:rsidR="004115F8">
        <w:t xml:space="preserve"> </w:t>
      </w:r>
      <w:r w:rsidRPr="00494C64">
        <w:t>disunity: “The study of mind might…need to embrace a variety of different explanatory</w:t>
      </w:r>
      <w:r w:rsidR="004115F8">
        <w:t xml:space="preserve"> </w:t>
      </w:r>
      <w:r w:rsidRPr="00494C64">
        <w:t>paradigms whose point of convergence lies in the production of intelligent behavior”</w:t>
      </w:r>
      <w:r w:rsidR="004115F8">
        <w:t xml:space="preserve"> </w:t>
      </w:r>
      <w:r w:rsidRPr="00494C64">
        <w:t>(</w:t>
      </w:r>
      <w:r w:rsidR="000C65D1">
        <w:t>2008, 95; see also, 2010</w:t>
      </w:r>
      <w:r w:rsidR="00340BBC">
        <w:t>, 64).</w:t>
      </w:r>
      <w:r w:rsidRPr="00494C64">
        <w:t xml:space="preserve"> And in advocating for an overarching, interdisciplinary</w:t>
      </w:r>
      <w:r w:rsidR="004115F8">
        <w:t xml:space="preserve"> </w:t>
      </w:r>
      <w:r w:rsidRPr="00494C64">
        <w:t>approach to memory</w:t>
      </w:r>
      <w:r w:rsidR="0044451F">
        <w:t>, Sutton suggests that we</w:t>
      </w:r>
      <w:r w:rsidRPr="00494C64">
        <w:t xml:space="preserve"> pursue all manner of memory</w:t>
      </w:r>
      <w:r w:rsidR="004115F8">
        <w:t>-</w:t>
      </w:r>
      <w:r w:rsidRPr="00494C64">
        <w:t>related</w:t>
      </w:r>
      <w:r w:rsidR="004115F8">
        <w:t xml:space="preserve"> </w:t>
      </w:r>
      <w:r w:rsidRPr="00494C64">
        <w:t>phenomena, looking for “higher-level accounts which do find commonalities”</w:t>
      </w:r>
      <w:r w:rsidR="004115F8">
        <w:t xml:space="preserve"> </w:t>
      </w:r>
      <w:r w:rsidRPr="00494C64">
        <w:t>(2010, 214) in spite of disunity at the nitty-gritty levels.</w:t>
      </w:r>
      <w:r w:rsidR="00340BBC">
        <w:t xml:space="preserve"> </w:t>
      </w:r>
    </w:p>
    <w:p w14:paraId="44918C9C" w14:textId="393FDBCE" w:rsidR="00BA4BA8" w:rsidRDefault="00340BBC" w:rsidP="00494C64">
      <w:pPr>
        <w:pStyle w:val="Standard"/>
      </w:pPr>
      <w:r>
        <w:t xml:space="preserve">     </w:t>
      </w:r>
      <w:r w:rsidR="00976F2C">
        <w:t xml:space="preserve">We should resist a purely outcomes-oriented characterization of cognition, one that simply lumps together all causal contributors to the production of any form of intelligent behavior. Not only is this theoretically unsatisfying and </w:t>
      </w:r>
      <w:r w:rsidR="00BA4BA8">
        <w:t>at odds with</w:t>
      </w:r>
      <w:r w:rsidR="00976F2C">
        <w:t xml:space="preserve"> standard scientific practice (although one wonders about such cases as </w:t>
      </w:r>
      <w:r w:rsidR="00976F2C">
        <w:rPr>
          <w:i/>
        </w:rPr>
        <w:t>reproduction</w:t>
      </w:r>
      <w:r w:rsidR="00976F2C">
        <w:t xml:space="preserve"> – does biology treat all processes that lead to reproduction as </w:t>
      </w:r>
      <w:r w:rsidR="00BA4BA8">
        <w:t xml:space="preserve">being </w:t>
      </w:r>
      <w:r w:rsidR="00976F2C">
        <w:t>of the same natural kind</w:t>
      </w:r>
      <w:r w:rsidR="00BA4BA8">
        <w:t>, regardless of how different they might otherwise be?</w:t>
      </w:r>
      <w:r w:rsidR="00976F2C">
        <w:t>)</w:t>
      </w:r>
      <w:r w:rsidR="00BA4BA8">
        <w:t>; but it also seems ill-advised in the present context, given that typical groups engage in behavior that seems questionably intelligent (at least not clearly intelligent) and thus that we may need to rely on considerations of theoretical unity (among the processes that produce clearly intelligent behavior in individuals and whatever processes produce not clearly intelligent behavior of groups) to decide the question whether the groups engage in intelligent behavior at all.</w:t>
      </w:r>
      <w:r w:rsidR="00976F2C">
        <w:t xml:space="preserve"> </w:t>
      </w:r>
    </w:p>
    <w:p w14:paraId="642AF4C9" w14:textId="1964807F" w:rsidR="00494C64" w:rsidRDefault="00BA4BA8" w:rsidP="00494C64">
      <w:pPr>
        <w:pStyle w:val="Standard"/>
      </w:pPr>
      <w:r>
        <w:t xml:space="preserve">     </w:t>
      </w:r>
      <w:r w:rsidR="00494C64" w:rsidRPr="00494C64">
        <w:t>What, then, disting</w:t>
      </w:r>
      <w:r w:rsidR="004115F8">
        <w:t>uishes a</w:t>
      </w:r>
      <w:r w:rsidR="00494C64" w:rsidRPr="00494C64">
        <w:t xml:space="preserve"> generic</w:t>
      </w:r>
      <w:r w:rsidR="004115F8">
        <w:t xml:space="preserve"> but still natural</w:t>
      </w:r>
      <w:r w:rsidR="00494C64" w:rsidRPr="00494C64">
        <w:t xml:space="preserve"> kind from a merely</w:t>
      </w:r>
      <w:r w:rsidR="004115F8">
        <w:t xml:space="preserve"> </w:t>
      </w:r>
      <w:r w:rsidR="00494C64" w:rsidRPr="00494C64">
        <w:t>nominal one (even though the terms referring to such merely nominal kinds may</w:t>
      </w:r>
      <w:r w:rsidR="004115F8">
        <w:t xml:space="preserve"> </w:t>
      </w:r>
      <w:r w:rsidR="00494C64" w:rsidRPr="00494C64">
        <w:t>nevertheless serve a useful p</w:t>
      </w:r>
      <w:r>
        <w:t>urpose in scientific discourse)?</w:t>
      </w:r>
      <w:r w:rsidR="00494C64" w:rsidRPr="00494C64">
        <w:t xml:space="preserve"> </w:t>
      </w:r>
      <w:r>
        <w:t>Minimally, various species</w:t>
      </w:r>
      <w:r w:rsidR="00494C64" w:rsidRPr="00494C64">
        <w:t xml:space="preserve"> of natural,</w:t>
      </w:r>
      <w:r w:rsidR="004115F8">
        <w:t xml:space="preserve"> </w:t>
      </w:r>
      <w:r w:rsidR="00494C64" w:rsidRPr="00494C64">
        <w:t>generic kinds must bear some kind of family resemblance to each other (cf. Wheeler</w:t>
      </w:r>
      <w:r w:rsidR="004115F8">
        <w:t xml:space="preserve"> </w:t>
      </w:r>
      <w:r w:rsidR="00494C64" w:rsidRPr="00494C64">
        <w:t>2011</w:t>
      </w:r>
      <w:r>
        <w:t xml:space="preserve"> on </w:t>
      </w:r>
      <w:r>
        <w:rPr>
          <w:i/>
        </w:rPr>
        <w:t>cognition</w:t>
      </w:r>
      <w:r>
        <w:t xml:space="preserve">), but I propose that it is not </w:t>
      </w:r>
      <w:r w:rsidR="00494C64" w:rsidRPr="00494C64">
        <w:t>just an</w:t>
      </w:r>
      <w:r>
        <w:t>y family resemblance: it is</w:t>
      </w:r>
      <w:r w:rsidR="00494C64" w:rsidRPr="00494C64">
        <w:t xml:space="preserve"> a family resemblance determined</w:t>
      </w:r>
      <w:r w:rsidR="004115F8">
        <w:t xml:space="preserve"> </w:t>
      </w:r>
      <w:r w:rsidR="00494C64" w:rsidRPr="00494C64">
        <w:t>by the causal-explanatory roles of the components of the generic kind’s</w:t>
      </w:r>
      <w:r w:rsidR="00494C64">
        <w:t xml:space="preserve"> </w:t>
      </w:r>
      <w:r w:rsidR="00494C64" w:rsidRPr="00494C64">
        <w:t>i</w:t>
      </w:r>
      <w:r w:rsidR="004115F8">
        <w:t xml:space="preserve">nstances; there must be a unity </w:t>
      </w:r>
      <w:r w:rsidR="00494C64" w:rsidRPr="00494C64">
        <w:t>to various instances that is legitimated by theoretically</w:t>
      </w:r>
      <w:r w:rsidR="00494C64">
        <w:t xml:space="preserve"> </w:t>
      </w:r>
      <w:r w:rsidR="00494C64" w:rsidRPr="00494C64">
        <w:t>important aspects of the relevant disciplines themselves. Each instance (or kind</w:t>
      </w:r>
      <w:r w:rsidR="00494C64">
        <w:t xml:space="preserve"> </w:t>
      </w:r>
      <w:r w:rsidR="00494C64" w:rsidRPr="00494C64">
        <w:t>of instance) of a generic kind is, I maintain, constituted by a cluster of mechanisms;</w:t>
      </w:r>
      <w:r w:rsidR="00494C64">
        <w:t xml:space="preserve"> </w:t>
      </w:r>
      <w:r w:rsidR="00494C64" w:rsidRPr="00494C64">
        <w:t>variations in the components of this cluster, from one species of the generic kind to</w:t>
      </w:r>
      <w:r w:rsidR="00494C64">
        <w:t xml:space="preserve"> </w:t>
      </w:r>
      <w:r w:rsidR="00494C64" w:rsidRPr="00494C64">
        <w:t>another, and variations in the relations between these components, determine the fine</w:t>
      </w:r>
      <w:r w:rsidR="00494C64">
        <w:t>-</w:t>
      </w:r>
      <w:r w:rsidR="00494C64" w:rsidRPr="00494C64">
        <w:t>grained</w:t>
      </w:r>
      <w:r w:rsidR="00494C64">
        <w:t xml:space="preserve"> </w:t>
      </w:r>
      <w:r w:rsidR="00494C64" w:rsidRPr="00494C64">
        <w:t>differences in the causal profiles of various species of the generic kind. Think</w:t>
      </w:r>
      <w:r w:rsidR="00494C64">
        <w:t xml:space="preserve"> </w:t>
      </w:r>
      <w:r w:rsidR="00494C64" w:rsidRPr="00494C64">
        <w:t>in terms of partially overlapping models. The models of the way in which various</w:t>
      </w:r>
      <w:r w:rsidR="00494C64">
        <w:t xml:space="preserve"> </w:t>
      </w:r>
      <w:r w:rsidR="00494C64" w:rsidRPr="00494C64">
        <w:t>species produce instances of the relevant explananda must have significantly overlapping</w:t>
      </w:r>
      <w:r w:rsidR="00494C64">
        <w:t xml:space="preserve"> </w:t>
      </w:r>
      <w:r w:rsidR="00494C64" w:rsidRPr="00494C64">
        <w:t>elements and relations among them. This would seem to be the order of the</w:t>
      </w:r>
      <w:r w:rsidR="00494C64">
        <w:t xml:space="preserve"> </w:t>
      </w:r>
      <w:r w:rsidR="00494C64" w:rsidRPr="00494C64">
        <w:t>day in most sciences; an initial (typically simple) model of some paradigmatic</w:t>
      </w:r>
      <w:r w:rsidR="00494C64">
        <w:t xml:space="preserve"> </w:t>
      </w:r>
      <w:r w:rsidR="00494C64" w:rsidRPr="00494C64">
        <w:t>phenomenon succeeds (well enough), then related phenomena are modeled by the</w:t>
      </w:r>
      <w:r w:rsidR="00494C64" w:rsidRPr="00494C64">
        <w:rPr>
          <w:rFonts w:ascii="a231+20" w:hAnsi="a231+20" w:cs="a231+20"/>
          <w:sz w:val="20"/>
          <w:szCs w:val="20"/>
        </w:rPr>
        <w:t xml:space="preserve"> </w:t>
      </w:r>
      <w:r w:rsidR="00494C64" w:rsidRPr="00494C64">
        <w:t>“tweaking” of the initial models—terms are added, parameter values adjusted, etc. If</w:t>
      </w:r>
      <w:r w:rsidR="00494C64">
        <w:t xml:space="preserve"> </w:t>
      </w:r>
      <w:r w:rsidR="00494C64" w:rsidRPr="00494C64">
        <w:t>a phenomenon that might have been thought to be of a piece with the others turns out</w:t>
      </w:r>
      <w:r w:rsidR="00494C64">
        <w:t xml:space="preserve"> </w:t>
      </w:r>
      <w:r w:rsidR="00494C64" w:rsidRPr="00494C64">
        <w:t>not to be amenable to this “tweak and extend” treatment, it is, and should be, treated</w:t>
      </w:r>
      <w:r w:rsidR="00494C64">
        <w:t xml:space="preserve"> </w:t>
      </w:r>
      <w:r w:rsidR="00494C64" w:rsidRPr="00494C64">
        <w:t>as a different kind of phenomenon after all; and this is when we say that original, full</w:t>
      </w:r>
      <w:r w:rsidR="00494C64">
        <w:t xml:space="preserve"> </w:t>
      </w:r>
      <w:r w:rsidR="00494C64" w:rsidRPr="00494C64">
        <w:t>range of phenomena weren’t all of the same kind—that is, there is no generic kind</w:t>
      </w:r>
      <w:r w:rsidR="00494C64">
        <w:t xml:space="preserve"> </w:t>
      </w:r>
      <w:r w:rsidR="00494C64" w:rsidRPr="00494C64">
        <w:t>that subsumes them all.</w:t>
      </w:r>
      <w:r w:rsidR="006370C0">
        <w:rPr>
          <w:rStyle w:val="FootnoteReference"/>
        </w:rPr>
        <w:footnoteReference w:id="4"/>
      </w:r>
    </w:p>
    <w:p w14:paraId="296B9C23" w14:textId="0B615135" w:rsidR="00471B27" w:rsidRDefault="00B328FF" w:rsidP="00E861BC">
      <w:pPr>
        <w:pStyle w:val="Standard"/>
      </w:pPr>
      <w:r>
        <w:t xml:space="preserve">     What might the</w:t>
      </w:r>
      <w:r w:rsidR="00BA4BA8">
        <w:t xml:space="preserve"> tweak-and-</w:t>
      </w:r>
      <w:r w:rsidR="00B67D00">
        <w:t>extend</w:t>
      </w:r>
      <w:r>
        <w:t xml:space="preserve"> in cognitive scientific practice</w:t>
      </w:r>
      <w:r w:rsidR="00B67D00">
        <w:t xml:space="preserve">? </w:t>
      </w:r>
      <w:r w:rsidR="00E861BC">
        <w:t>Consider, for example,</w:t>
      </w:r>
      <w:r w:rsidR="00D75DBF">
        <w:t xml:space="preserve"> Rumelhart, Hinton, and McClelland’s (1986) now-</w:t>
      </w:r>
      <w:r w:rsidR="00E861BC">
        <w:t>standar</w:t>
      </w:r>
      <w:r w:rsidR="00190CC5">
        <w:t>d presentation of the idea of</w:t>
      </w:r>
      <w:r w:rsidR="00D75DBF">
        <w:t xml:space="preserve"> a</w:t>
      </w:r>
      <w:r w:rsidR="00190CC5">
        <w:t xml:space="preserve"> connectionist </w:t>
      </w:r>
      <w:r w:rsidR="00D75DBF">
        <w:t>model</w:t>
      </w:r>
      <w:r>
        <w:t xml:space="preserve"> (N.B. this is </w:t>
      </w:r>
      <w:r>
        <w:rPr>
          <w:i/>
        </w:rPr>
        <w:t>not</w:t>
      </w:r>
      <w:r>
        <w:t xml:space="preserve"> meant to be an illustration of various models of</w:t>
      </w:r>
      <w:r w:rsidRPr="00B328FF">
        <w:rPr>
          <w:i/>
        </w:rPr>
        <w:t xml:space="preserve"> cognition</w:t>
      </w:r>
      <w:r>
        <w:t xml:space="preserve"> itself that might be produced, one from the other, by tweak-and-extend, but, rather, an illustration of how a family of scientifically important models are related to each other by tweak-and-extend)</w:t>
      </w:r>
      <w:r w:rsidR="00190CC5">
        <w:t>. The authors lay out a number basic elements of a connectionist model and with respect to each of the elements, they describe ways in which related parameters can be varied, with the possibility that such tweaks will produce different kinds of behavior in the resulting network with the possibility that the connectionist modeling will cover (that is, be extended to) a wider range of forms of intelligent behavior.</w:t>
      </w:r>
    </w:p>
    <w:p w14:paraId="4910E79A" w14:textId="6D967865" w:rsidR="00190CC5" w:rsidRDefault="00637ADA" w:rsidP="00E861BC">
      <w:pPr>
        <w:pStyle w:val="Standard"/>
      </w:pPr>
      <w:r>
        <w:t xml:space="preserve">     T</w:t>
      </w:r>
      <w:r w:rsidR="00B328FF">
        <w:t>his rules out certain models from the</w:t>
      </w:r>
      <w:r>
        <w:t xml:space="preserve"> </w:t>
      </w:r>
      <w:r w:rsidR="00B328FF">
        <w:t>connectionist category</w:t>
      </w:r>
      <w:r w:rsidR="00190CC5">
        <w:t>: one cannot without excessive contortions take the basic PDP framework and tweak it so that it becomes a look up table</w:t>
      </w:r>
      <w:r w:rsidR="00B328FF">
        <w:t xml:space="preserve"> (</w:t>
      </w:r>
      <w:r w:rsidR="00190CC5">
        <w:t>one can simulate or implement a look-up table but that’s another matter; in that case one is exploiting the resources of the connectionist model</w:t>
      </w:r>
      <w:r w:rsidR="001B3DA9">
        <w:t xml:space="preserve"> to create the effects that one would get from a system that could be more directly modeled with a different formalism). The boundary between models that are related by tweak-and-extend and those that are not is somewhat loose, admittedly, but bear in mind that my purpose</w:t>
      </w:r>
      <w:r w:rsidR="00190CC5">
        <w:t xml:space="preserve"> is not to define what i</w:t>
      </w:r>
      <w:r w:rsidR="001B3DA9">
        <w:t>t is to be a generic kind. R</w:t>
      </w:r>
      <w:r w:rsidR="00190CC5">
        <w:t>ather</w:t>
      </w:r>
      <w:r w:rsidR="001B3DA9">
        <w:t xml:space="preserve"> it is to characterize</w:t>
      </w:r>
      <w:r w:rsidR="00190CC5">
        <w:t xml:space="preserve"> </w:t>
      </w:r>
      <w:r w:rsidR="00FD1FA2">
        <w:t>diagnostic</w:t>
      </w:r>
      <w:r w:rsidR="00190CC5">
        <w:t xml:space="preserve"> tools for identifying the presence of different species of a single generic natural kind</w:t>
      </w:r>
      <w:r w:rsidR="001B3DA9">
        <w:t xml:space="preserve"> as well as cases in which two different processes are not species of the same generic natural kind</w:t>
      </w:r>
      <w:r w:rsidR="00190CC5">
        <w:t>.</w:t>
      </w:r>
    </w:p>
    <w:p w14:paraId="02582DC0" w14:textId="4523E240" w:rsidR="009421CA" w:rsidRDefault="006370C0" w:rsidP="00B74EF8">
      <w:pPr>
        <w:pStyle w:val="Standard"/>
      </w:pPr>
      <w:r>
        <w:t xml:space="preserve">     How might this criterion apply</w:t>
      </w:r>
      <w:r w:rsidR="001B3DA9">
        <w:t xml:space="preserve"> </w:t>
      </w:r>
      <w:r w:rsidR="00163842">
        <w:t>when anchored to a particular theory of t</w:t>
      </w:r>
      <w:r>
        <w:t>he human cognitive architecture? Bryce Huebner (2008) has argued that</w:t>
      </w:r>
      <w:r w:rsidR="00163842">
        <w:t xml:space="preserve"> the </w:t>
      </w:r>
      <w:r w:rsidR="00954A65">
        <w:t>activity of Hutchins’s sailors,</w:t>
      </w:r>
      <w:r w:rsidR="00163842">
        <w:t xml:space="preserve"> who work together to take a large nav</w:t>
      </w:r>
      <w:r w:rsidR="00954A65">
        <w:t>y vessel through port waters, should be seen as</w:t>
      </w:r>
      <w:r w:rsidR="00163842">
        <w:t xml:space="preserve"> the </w:t>
      </w:r>
      <w:r w:rsidR="00FD1FA2">
        <w:t>contribution</w:t>
      </w:r>
      <w:r w:rsidR="00163842">
        <w:t xml:space="preserve"> of many different mechanism</w:t>
      </w:r>
      <w:r>
        <w:t>s</w:t>
      </w:r>
      <w:r w:rsidR="00163842">
        <w:t xml:space="preserve"> </w:t>
      </w:r>
      <w:r>
        <w:t xml:space="preserve">each </w:t>
      </w:r>
      <w:r w:rsidR="00163842">
        <w:t>dedicated to the production of a</w:t>
      </w:r>
      <w:r>
        <w:t xml:space="preserve"> particular kind of</w:t>
      </w:r>
      <w:r w:rsidR="00163842">
        <w:t xml:space="preserve"> representation that (typically) varies along </w:t>
      </w:r>
      <w:r>
        <w:t xml:space="preserve">only </w:t>
      </w:r>
      <w:r w:rsidR="00163842">
        <w:t>one dimension</w:t>
      </w:r>
      <w:r>
        <w:t>, a representation</w:t>
      </w:r>
      <w:r w:rsidR="00163842">
        <w:t xml:space="preserve"> which is then integrated with others to produce a final “au</w:t>
      </w:r>
      <w:r>
        <w:t>thoritative” representation; and that this counts as the activity of a singl</w:t>
      </w:r>
      <w:r w:rsidR="00954A65">
        <w:t>e group cognitive system;</w:t>
      </w:r>
      <w:r>
        <w:t xml:space="preserve"> the sailors individually </w:t>
      </w:r>
      <w:r w:rsidR="00163842">
        <w:t xml:space="preserve">do work </w:t>
      </w:r>
      <w:r w:rsidR="00FD1FA2">
        <w:t>analogous</w:t>
      </w:r>
      <w:r w:rsidR="00163842">
        <w:t xml:space="preserve"> to the work done by individual subpersonal components of the human cognitive architecture</w:t>
      </w:r>
      <w:r w:rsidR="00954A65">
        <w:t xml:space="preserve"> (such as when various</w:t>
      </w:r>
      <w:r>
        <w:t xml:space="preserve"> subpersonal components of the v</w:t>
      </w:r>
      <w:r w:rsidR="00984744">
        <w:t>isual system contribute to the recognition of a familiar face)</w:t>
      </w:r>
      <w:r w:rsidR="00163842">
        <w:t>.</w:t>
      </w:r>
      <w:r w:rsidR="00954A65">
        <w:t xml:space="preserve"> </w:t>
      </w:r>
      <w:r w:rsidR="00984744">
        <w:t>Huebner’s general</w:t>
      </w:r>
      <w:r w:rsidR="00954A65">
        <w:t xml:space="preserve"> strategy seems clear enough and his</w:t>
      </w:r>
      <w:r w:rsidR="00984744">
        <w:t xml:space="preserve"> analogy</w:t>
      </w:r>
      <w:r w:rsidR="00954A65">
        <w:t xml:space="preserve"> compelling</w:t>
      </w:r>
      <w:r w:rsidR="00984744">
        <w:t>. Assume now</w:t>
      </w:r>
      <w:r w:rsidR="00163842">
        <w:t xml:space="preserve"> (as our anchor) the cognitive architecture of Fodor’s </w:t>
      </w:r>
      <w:r w:rsidR="00163842">
        <w:rPr>
          <w:i/>
        </w:rPr>
        <w:t>Modularity of Mind</w:t>
      </w:r>
      <w:r w:rsidR="00984744">
        <w:t>. The boat-system</w:t>
      </w:r>
      <w:r w:rsidR="00163842">
        <w:t xml:space="preserve"> surely has transducers</w:t>
      </w:r>
      <w:r w:rsidR="00984744">
        <w:t>, even by their strict definition</w:t>
      </w:r>
      <w:r w:rsidR="00954A65">
        <w:t>,</w:t>
      </w:r>
      <w:r w:rsidR="00984744">
        <w:t xml:space="preserve"> as mechanisms that convert analogue signals to digital representations. B</w:t>
      </w:r>
      <w:r w:rsidR="00163842">
        <w:t>ut</w:t>
      </w:r>
      <w:r w:rsidR="00984744">
        <w:t>,</w:t>
      </w:r>
      <w:r w:rsidR="00954A65">
        <w:t xml:space="preserve"> when</w:t>
      </w:r>
      <w:r w:rsidR="00163842">
        <w:t xml:space="preserve"> we reach modular input</w:t>
      </w:r>
      <w:r w:rsidR="00984744">
        <w:t xml:space="preserve"> systems, one has to wonder whether enough of the features of t</w:t>
      </w:r>
      <w:r w:rsidR="00954A65">
        <w:t>he Fodorian construct</w:t>
      </w:r>
      <w:r w:rsidR="00984744">
        <w:t xml:space="preserve"> will be satisfied. If, for instance, sailors can radically change their roles or their behavior at a single command, then they are, so to speak, cognitively transparent – quite the opposite of Fodor’s informational encapsulation – and their operation not at all mandatory. Moreover, if they can very well explain what they’re doing to the captain, </w:t>
      </w:r>
      <w:r w:rsidR="00954A65">
        <w:t>then they don’t provide only limited access to their internal goings-on</w:t>
      </w:r>
      <w:r w:rsidR="00984744">
        <w:t xml:space="preserve">. One could claim that the system’s behavior can be accounted for by </w:t>
      </w:r>
      <w:r w:rsidR="009421CA">
        <w:t>a model that bears the tweak-and-extend relation to a Fodorian model of human intelligent behavior, with the relevant parameter settings a</w:t>
      </w:r>
      <w:r w:rsidR="00954A65">
        <w:t>t zero in the case of</w:t>
      </w:r>
      <w:r w:rsidR="009421CA">
        <w:t xml:space="preserve"> input systems, but this looks disingenuous; modules as characterized by Fodor have some significant number of his nine traits to some significant extent, by definition, and a model without modules isn’t a Fodorian model – as a model without passing activation just wouldn’t be a connectionist model.</w:t>
      </w:r>
    </w:p>
    <w:p w14:paraId="30E88AF5" w14:textId="5E84EDA9" w:rsidR="004777F0" w:rsidRDefault="009421CA" w:rsidP="00B74EF8">
      <w:pPr>
        <w:pStyle w:val="Standard"/>
      </w:pPr>
      <w:r>
        <w:t xml:space="preserve">     Now, I do not mean to endo</w:t>
      </w:r>
      <w:r w:rsidR="00E362C9">
        <w:t xml:space="preserve">rse </w:t>
      </w:r>
      <w:r>
        <w:t>Fodor</w:t>
      </w:r>
      <w:r w:rsidR="00E362C9">
        <w:t>’s</w:t>
      </w:r>
      <w:r>
        <w:t xml:space="preserve"> approach. </w:t>
      </w:r>
      <w:r w:rsidR="00E362C9">
        <w:t xml:space="preserve">Still, the discussion of Fodorian architecture should make clear what </w:t>
      </w:r>
      <w:r>
        <w:t>sort of demands must be met</w:t>
      </w:r>
      <w:r w:rsidR="00954A65">
        <w:t>, according to my proposal concerning</w:t>
      </w:r>
      <w:r w:rsidR="00E362C9">
        <w:t xml:space="preserve"> generic kinds,</w:t>
      </w:r>
      <w:r>
        <w:t xml:space="preserve"> for a “nonstandard” system to exhibit a kind of cognition that’s</w:t>
      </w:r>
      <w:r w:rsidR="00954A65">
        <w:t xml:space="preserve"> different from human cognition. And, note that similar remarks apply to</w:t>
      </w:r>
      <w:r>
        <w:t xml:space="preserve"> kind</w:t>
      </w:r>
      <w:r w:rsidR="00954A65">
        <w:t>s</w:t>
      </w:r>
      <w:r>
        <w:t xml:space="preserve"> of visual perception or motor control </w:t>
      </w:r>
      <w:r w:rsidR="00954A65">
        <w:t>or any other overarching category relevant to the production of intelligent behavior</w:t>
      </w:r>
      <w:r>
        <w:t>.</w:t>
      </w:r>
    </w:p>
    <w:p w14:paraId="26F31AA0" w14:textId="57514091" w:rsidR="00034F3F" w:rsidRDefault="00034F3F" w:rsidP="00034F3F">
      <w:pPr>
        <w:pStyle w:val="Standard"/>
        <w:jc w:val="center"/>
      </w:pPr>
      <w:r>
        <w:t xml:space="preserve">IV. Group Cognitive Systems, Shadow Individuals </w:t>
      </w:r>
    </w:p>
    <w:p w14:paraId="05A11665" w14:textId="137DC249" w:rsidR="00034F3F" w:rsidRDefault="00034F3F" w:rsidP="00B74EF8">
      <w:pPr>
        <w:pStyle w:val="Standard"/>
      </w:pPr>
      <w:r>
        <w:t>Let us</w:t>
      </w:r>
      <w:r w:rsidR="008E7B0B">
        <w:t xml:space="preserve"> now bracket worries about cognitive architecture; whatever the appropriate demands are, they have been met; in other words, assume now that </w:t>
      </w:r>
      <w:r>
        <w:t>certain groups do satisf</w:t>
      </w:r>
      <w:r w:rsidR="008E7B0B">
        <w:t xml:space="preserve">y the criterion for being the relevant kind of cognitive </w:t>
      </w:r>
      <w:r>
        <w:t>individual.</w:t>
      </w:r>
      <w:r w:rsidR="003500B0">
        <w:t xml:space="preserve"> What else is required in order that there be group cognition?</w:t>
      </w:r>
      <w:r w:rsidR="008E7B0B">
        <w:t xml:space="preserve"> The componential and determinative</w:t>
      </w:r>
      <w:r w:rsidR="00D47189">
        <w:t xml:space="preserve"> relation</w:t>
      </w:r>
      <w:r w:rsidR="008E7B0B">
        <w:t>s</w:t>
      </w:r>
      <w:r w:rsidR="00D47189">
        <w:t xml:space="preserve"> </w:t>
      </w:r>
      <w:r w:rsidR="008E7B0B">
        <w:t xml:space="preserve">that hold </w:t>
      </w:r>
      <w:r w:rsidR="00D47189">
        <w:t>between group</w:t>
      </w:r>
      <w:r w:rsidR="008E7B0B">
        <w:t xml:space="preserve"> cognitive architecture and </w:t>
      </w:r>
      <w:r w:rsidR="00D47189">
        <w:t>individual human architectures</w:t>
      </w:r>
      <w:r w:rsidR="008E7B0B">
        <w:t xml:space="preserve"> give rise to one significant complication</w:t>
      </w:r>
      <w:r w:rsidR="00D47189">
        <w:t>. In the typical case</w:t>
      </w:r>
      <w:r w:rsidR="008E7B0B">
        <w:t>, a collection of individual</w:t>
      </w:r>
      <w:r w:rsidR="00D47189">
        <w:t xml:space="preserve"> </w:t>
      </w:r>
      <w:r w:rsidR="008E7B0B">
        <w:t xml:space="preserve">human </w:t>
      </w:r>
      <w:r w:rsidR="00D47189">
        <w:t>c</w:t>
      </w:r>
      <w:r w:rsidR="008E7B0B">
        <w:t>ognitive architectures construct</w:t>
      </w:r>
      <w:r w:rsidR="00D47189">
        <w:t>, by</w:t>
      </w:r>
      <w:r w:rsidR="008E7B0B">
        <w:t xml:space="preserve"> their very cognitive states,</w:t>
      </w:r>
      <w:r w:rsidR="00D47189">
        <w:t xml:space="preserve"> the</w:t>
      </w:r>
      <w:r w:rsidR="008E7B0B">
        <w:t xml:space="preserve"> group and maintain it</w:t>
      </w:r>
      <w:r w:rsidR="00D47189">
        <w:t xml:space="preserve">. </w:t>
      </w:r>
      <w:r w:rsidR="008E7B0B">
        <w:t>There’s an oddness to this relation, and so as t</w:t>
      </w:r>
      <w:r w:rsidR="00D47189">
        <w:t>o convey the oddness</w:t>
      </w:r>
      <w:r w:rsidR="008E7B0B">
        <w:t xml:space="preserve">, I lead the reader through some </w:t>
      </w:r>
      <w:r w:rsidR="00D47189">
        <w:t>twists and turns in the group-cognition debate.</w:t>
      </w:r>
    </w:p>
    <w:p w14:paraId="554818F8" w14:textId="012807D3" w:rsidR="00EB2BB1" w:rsidRDefault="00D47189" w:rsidP="00B74EF8">
      <w:pPr>
        <w:pStyle w:val="Standard"/>
      </w:pPr>
      <w:r>
        <w:t xml:space="preserve">     Begin with a basic concern about causal-explanatory superfl</w:t>
      </w:r>
      <w:r w:rsidR="008E7B0B">
        <w:t>uity, driven largely by considerations of</w:t>
      </w:r>
      <w:r>
        <w:t xml:space="preserve"> parsimony</w:t>
      </w:r>
      <w:r w:rsidR="008E7B0B">
        <w:t xml:space="preserve">. Elsewhere (Rupert 2005, forthcoming </w:t>
      </w:r>
      <w:r w:rsidR="008E7B0B" w:rsidRPr="008E7B0B">
        <w:rPr>
          <w:i/>
        </w:rPr>
        <w:t>b</w:t>
      </w:r>
      <w:r w:rsidR="008E7B0B">
        <w:t>), I have pursued</w:t>
      </w:r>
      <w:r>
        <w:t xml:space="preserve"> </w:t>
      </w:r>
      <w:r w:rsidR="00EB2BB1">
        <w:t>the following</w:t>
      </w:r>
      <w:r w:rsidR="008E7B0B">
        <w:t xml:space="preserve"> kind of</w:t>
      </w:r>
      <w:r w:rsidR="00EB2BB1">
        <w:t xml:space="preserve"> argument</w:t>
      </w:r>
      <w:r w:rsidR="001A0A29">
        <w:t xml:space="preserve"> against the existence of group cognitive states</w:t>
      </w:r>
      <w:r w:rsidR="008E7B0B">
        <w:t xml:space="preserve"> (cf. Wilson 2004, Ch. 12)</w:t>
      </w:r>
      <w:r w:rsidR="00EB2BB1">
        <w:t>:</w:t>
      </w:r>
    </w:p>
    <w:p w14:paraId="06DD8A2E" w14:textId="77777777" w:rsidR="00A42A06" w:rsidRDefault="00A42A06" w:rsidP="00B74EF8">
      <w:pPr>
        <w:pStyle w:val="Standard"/>
      </w:pPr>
    </w:p>
    <w:p w14:paraId="516D8B56" w14:textId="00A4CB8D" w:rsidR="00EB2BB1" w:rsidRDefault="00EB2BB1" w:rsidP="00EB2BB1">
      <w:pPr>
        <w:spacing w:after="0" w:line="480" w:lineRule="auto"/>
        <w:rPr>
          <w:rFonts w:ascii="Times New Roman" w:hAnsi="Times New Roman"/>
        </w:rPr>
      </w:pPr>
      <w:r>
        <w:rPr>
          <w:rFonts w:ascii="Times New Roman" w:hAnsi="Times New Roman"/>
        </w:rPr>
        <w:t>Premise 1. If it cannot be established that group cognitive states do distinctive causal-explanatory work – and there is no independent reason to think they exist – then we should tentatively conclude that they do no exist.</w:t>
      </w:r>
    </w:p>
    <w:p w14:paraId="72874B37" w14:textId="04A1472E" w:rsidR="00EB2BB1" w:rsidRDefault="00EB2BB1" w:rsidP="00EB2BB1">
      <w:pPr>
        <w:spacing w:after="0" w:line="480" w:lineRule="auto"/>
        <w:rPr>
          <w:rFonts w:ascii="Times New Roman" w:hAnsi="Times New Roman"/>
        </w:rPr>
      </w:pPr>
      <w:r>
        <w:rPr>
          <w:rFonts w:ascii="Times New Roman" w:hAnsi="Times New Roman"/>
        </w:rPr>
        <w:t>Premise 2. The antecedent of Premise 1’s conditional is satisfied.</w:t>
      </w:r>
    </w:p>
    <w:p w14:paraId="695733DD" w14:textId="3A3462F6" w:rsidR="00EB2BB1" w:rsidRPr="00EB2BB1" w:rsidRDefault="00EB2BB1" w:rsidP="00EB2BB1">
      <w:pPr>
        <w:spacing w:after="0" w:line="480" w:lineRule="auto"/>
        <w:rPr>
          <w:rFonts w:ascii="Times New Roman" w:hAnsi="Times New Roman"/>
        </w:rPr>
      </w:pPr>
      <w:r>
        <w:rPr>
          <w:rFonts w:ascii="Times New Roman" w:hAnsi="Times New Roman"/>
        </w:rPr>
        <w:t>Conclusion. Thus, we should tentatively conclude that group cognitive states don’t exist.</w:t>
      </w:r>
    </w:p>
    <w:p w14:paraId="64475C43" w14:textId="77777777" w:rsidR="00EB2BB1" w:rsidRDefault="00EB2BB1" w:rsidP="00B74EF8">
      <w:pPr>
        <w:pStyle w:val="Standard"/>
      </w:pPr>
    </w:p>
    <w:p w14:paraId="40CC89AC" w14:textId="586962F4" w:rsidR="004777F0" w:rsidRDefault="00D47189" w:rsidP="004777F0">
      <w:pPr>
        <w:pStyle w:val="Standard"/>
      </w:pPr>
      <w:r>
        <w:t>The form of parsimony that drives this argument is</w:t>
      </w:r>
      <w:r w:rsidR="004777F0">
        <w:t xml:space="preserve"> sometimes referred to as quantitative parsimony</w:t>
      </w:r>
      <w:r w:rsidR="00A42A06">
        <w:t xml:space="preserve"> </w:t>
      </w:r>
      <w:r w:rsidR="004777F0">
        <w:t xml:space="preserve">(Nolan </w:t>
      </w:r>
      <w:r w:rsidR="00A42A06">
        <w:t>1997)</w:t>
      </w:r>
      <w:r w:rsidR="004777F0">
        <w:t>.</w:t>
      </w:r>
      <w:r>
        <w:rPr>
          <w:rStyle w:val="FootnoteReference"/>
        </w:rPr>
        <w:footnoteReference w:id="5"/>
      </w:r>
      <w:r>
        <w:t xml:space="preserve"> This take on</w:t>
      </w:r>
      <w:r w:rsidR="004777F0">
        <w:t xml:space="preserve"> Occam’s razor recommends that, once a given kind, force, or entity has been introduced, one not commit to more instances or individuals of tha</w:t>
      </w:r>
      <w:r>
        <w:t>t kind than is necessary for</w:t>
      </w:r>
      <w:r w:rsidR="004777F0">
        <w:t xml:space="preserve"> causal-explanatory purposes.</w:t>
      </w:r>
      <w:r>
        <w:t xml:space="preserve"> When it comes to courts, corporations, teams, unions, and the like, it would seem that the positing of group-level cognitive states violates just this principle of parsimony</w:t>
      </w:r>
      <w:r w:rsidR="0092535D">
        <w:t>. For any action that, for example, the U.S. government takes, we can account fully for it (and for its intelligent nature, in particular) by adverting to the cognitive processes of the in</w:t>
      </w:r>
      <w:r w:rsidR="008E7B0B">
        <w:t>dividuals involved; even if the individuals</w:t>
      </w:r>
      <w:r w:rsidR="0092535D">
        <w:t xml:space="preserve"> </w:t>
      </w:r>
      <w:r w:rsidR="008E7B0B">
        <w:t>don’t pers</w:t>
      </w:r>
      <w:r w:rsidR="00495317">
        <w:t>onally endorse the decision or the action</w:t>
      </w:r>
      <w:r w:rsidR="0092535D">
        <w:t xml:space="preserve">, they commit to following certain </w:t>
      </w:r>
      <w:r w:rsidR="00495317">
        <w:t xml:space="preserve">decision-making </w:t>
      </w:r>
      <w:r w:rsidR="0092535D">
        <w:t>procedures and carrying out certain attendant actions</w:t>
      </w:r>
      <w:r w:rsidR="00495317">
        <w:t>; they individually choose to live up to their commitments, and, voila, this provides all the cognitive materials needed to account for the outcome</w:t>
      </w:r>
      <w:r w:rsidR="0092535D">
        <w:t>. There’s no cognition left for the group to contribute to the production of the intelligent behavior</w:t>
      </w:r>
      <w:r w:rsidR="00495317">
        <w:t xml:space="preserve"> in question</w:t>
      </w:r>
      <w:r w:rsidR="0092535D">
        <w:t>.</w:t>
      </w:r>
    </w:p>
    <w:p w14:paraId="7F482832" w14:textId="6AD4FE44" w:rsidR="0092535D" w:rsidRDefault="0092535D" w:rsidP="004777F0">
      <w:pPr>
        <w:pStyle w:val="Standard"/>
      </w:pPr>
      <w:r>
        <w:t xml:space="preserve">     Huebner (2008) objects that such an argument proves too much (also see Goldstone and Gureckis 2009), </w:t>
      </w:r>
      <w:r w:rsidR="00495317">
        <w:t xml:space="preserve">arguing </w:t>
      </w:r>
      <w:r>
        <w:t>that</w:t>
      </w:r>
      <w:r w:rsidR="00495317">
        <w:t>,</w:t>
      </w:r>
      <w:r>
        <w:t xml:space="preserve"> if it</w:t>
      </w:r>
      <w:r w:rsidR="00495317">
        <w:t xml:space="preserve"> effectively</w:t>
      </w:r>
      <w:r>
        <w:t xml:space="preserve"> eliminates our commitment to group states</w:t>
      </w:r>
      <w:r w:rsidR="00495317">
        <w:t>,</w:t>
      </w:r>
      <w:r>
        <w:t xml:space="preserve"> it</w:t>
      </w:r>
      <w:r w:rsidR="00495317">
        <w:t xml:space="preserve"> also</w:t>
      </w:r>
      <w:r>
        <w:t xml:space="preserve"> eliminates our commitment to personal-level states as well. After all, fo</w:t>
      </w:r>
      <w:r w:rsidR="001A0A29">
        <w:t>r any personal-level state one has – recognizing one’s mother, for instance – there is a host of subpersonal representational states that subserves</w:t>
      </w:r>
      <w:r w:rsidR="00495317">
        <w:t>,</w:t>
      </w:r>
      <w:r w:rsidR="001A0A29">
        <w:t xml:space="preserve"> and in some way determines</w:t>
      </w:r>
      <w:r w:rsidR="00495317">
        <w:t>,</w:t>
      </w:r>
      <w:r w:rsidR="001A0A29">
        <w:t xml:space="preserve"> the presence </w:t>
      </w:r>
      <w:r w:rsidR="00495317">
        <w:t>of the personal-level states, perhaps</w:t>
      </w:r>
      <w:r w:rsidR="001A0A29">
        <w:t xml:space="preserve"> such subpersonal-level </w:t>
      </w:r>
      <w:r w:rsidR="00633C8F">
        <w:t>states as appear in</w:t>
      </w:r>
      <w:r w:rsidR="001A0A29">
        <w:t xml:space="preserve"> earl</w:t>
      </w:r>
      <w:r w:rsidR="00633C8F">
        <w:t>y visual processing</w:t>
      </w:r>
      <w:r w:rsidR="00495317">
        <w:t>,</w:t>
      </w:r>
      <w:r w:rsidR="00633C8F">
        <w:t xml:space="preserve"> when cortex is computing</w:t>
      </w:r>
      <w:r w:rsidR="001A0A29">
        <w:t xml:space="preserve"> the contour of a person’s cheeks</w:t>
      </w:r>
      <w:r w:rsidR="00633C8F">
        <w:t xml:space="preserve"> from the pattern of shading. If the human cognitive contribution to the production of group behavior renders superfluous group-level cognitive states, then so should the subpersonal contribution to the production of intelligent behavior render superfluous such personal-level states as recognizing one’s mother. And, surely that’s an indication that something’s gone wrong with the parsimony-based argument.</w:t>
      </w:r>
    </w:p>
    <w:p w14:paraId="3EB4D44C" w14:textId="7B8140C5" w:rsidR="00212AED" w:rsidRDefault="00283088" w:rsidP="004777F0">
      <w:pPr>
        <w:pStyle w:val="Standard"/>
      </w:pPr>
      <w:r>
        <w:t xml:space="preserve">     </w:t>
      </w:r>
      <w:r w:rsidR="0092535D">
        <w:t xml:space="preserve">Huebner’s objection misses the </w:t>
      </w:r>
      <w:r>
        <w:t>mark</w:t>
      </w:r>
      <w:r w:rsidR="00212AED">
        <w:t>. Notice that t</w:t>
      </w:r>
      <w:r>
        <w:t>he parsimony-based argument doesn’t rely on a</w:t>
      </w:r>
      <w:r w:rsidR="0092535D">
        <w:t xml:space="preserve"> distinction in kind between cognitive states of groups and those of individuals; this is an intra-level questi</w:t>
      </w:r>
      <w:r w:rsidR="00495317">
        <w:t>on, not an inter-level one, which is obscured by</w:t>
      </w:r>
      <w:r w:rsidR="0092535D">
        <w:t xml:space="preserve"> ambiguity in the use of ‘level’. Sometimes I use it in the sense of Oppenheim and Putnam (1958), to indicate something like the size of the things in question</w:t>
      </w:r>
      <w:r w:rsidR="00495317">
        <w:t xml:space="preserve"> and something about the composition relations that hold between things of different sizes</w:t>
      </w:r>
      <w:r w:rsidR="0092535D">
        <w:t>. A small portion of cortex might be of a lower level than a whole human organism, because the former occupies less space, to put it crudely, and similar remarks apply to the relation between an individual human organism and, say, a typical corporation or team.</w:t>
      </w:r>
      <w:r w:rsidR="00212AED">
        <w:t xml:space="preserve"> Looked at in this way, subpersonal, personal, and group states are all at d</w:t>
      </w:r>
      <w:r w:rsidR="00495317">
        <w:t>istinct levels. The more relevant meaning of ‘level’ means something more like ‘distinctive domain of properties’, in which case there is in play only the</w:t>
      </w:r>
      <w:r w:rsidR="00212AED">
        <w:t xml:space="preserve"> single level of the psycholo</w:t>
      </w:r>
      <w:r w:rsidR="00495317">
        <w:t>gical or the cognitive. Looked at from this perspective,</w:t>
      </w:r>
      <w:r w:rsidR="00212AED">
        <w:t xml:space="preserve"> a new set of properties introduced – intentional, representational, cognitive, psychological, whatever –</w:t>
      </w:r>
      <w:r w:rsidR="00495317">
        <w:t xml:space="preserve"> and quantitative parsimony urges that we</w:t>
      </w:r>
      <w:r w:rsidR="00212AED">
        <w:t xml:space="preserve"> spread them around (with regard to on</w:t>
      </w:r>
      <w:r w:rsidR="00495317">
        <w:t>e’s commitments to them, of course, not the property instances themselves</w:t>
      </w:r>
      <w:r w:rsidR="00212AED">
        <w:t>) in as stingy a manner as possible, with no regard to the areas of space time to which they’re committed</w:t>
      </w:r>
      <w:r w:rsidR="00495317">
        <w:t xml:space="preserve"> (other things being equal, a single thought instantiated in a large region of space-time is no less respectable than a single thought instantiated in a small region)</w:t>
      </w:r>
      <w:r w:rsidR="00212AED">
        <w:t xml:space="preserve">. So, it would be inappropriate for Huebner to cast his objection, as he sometimes seems to, as a </w:t>
      </w:r>
      <w:r w:rsidR="00212AED" w:rsidRPr="00495317">
        <w:rPr>
          <w:i/>
        </w:rPr>
        <w:t>reductio</w:t>
      </w:r>
      <w:r w:rsidR="00212AED">
        <w:t xml:space="preserve"> based on an analogy between inter-level relations. It’s not as if I</w:t>
      </w:r>
      <w:r w:rsidR="00495317">
        <w:t xml:space="preserve"> want to get rid of a level, and I do so by applying inter-level logic that just as clearly grounds elimination in other inter-level cases. No, my</w:t>
      </w:r>
      <w:r w:rsidR="00212AED">
        <w:t xml:space="preserve"> point </w:t>
      </w:r>
      <w:r w:rsidR="00495317">
        <w:t>is that we should appeal only to</w:t>
      </w:r>
      <w:r w:rsidR="00212AED">
        <w:t xml:space="preserve"> as many instantiations of cognitive properties as needed f</w:t>
      </w:r>
      <w:r w:rsidR="00495317">
        <w:t>or causal-explanato</w:t>
      </w:r>
      <w:r w:rsidR="00E44B0C">
        <w:t>ry purposes.</w:t>
      </w:r>
    </w:p>
    <w:p w14:paraId="2EF8E63E" w14:textId="59A23BC7" w:rsidR="00F60B73" w:rsidRPr="00F60B73" w:rsidRDefault="00283088" w:rsidP="004777F0">
      <w:pPr>
        <w:pStyle w:val="Standard"/>
      </w:pPr>
      <w:r>
        <w:t xml:space="preserve">     The real question, then, has to do with the causal-explanatory need for group-level states – and personal-level and subpersonal s</w:t>
      </w:r>
      <w:r w:rsidR="00E44B0C">
        <w:t>tates as well. We simply must</w:t>
      </w:r>
      <w:r>
        <w:t xml:space="preserve"> ask which, if any</w:t>
      </w:r>
      <w:r w:rsidR="00E44B0C">
        <w:t>, of these we need. We hold all</w:t>
      </w:r>
      <w:r>
        <w:t xml:space="preserve"> to the same standard</w:t>
      </w:r>
      <w:r w:rsidR="00E44B0C">
        <w:t>,</w:t>
      </w:r>
      <w:r>
        <w:t xml:space="preserve"> and all up for grabs.</w:t>
      </w:r>
      <w:r w:rsidR="00E44B0C">
        <w:t xml:space="preserve"> With regard to the personal-level, as it’s normally understood, I incline toward skepticism (</w:t>
      </w:r>
      <w:r w:rsidR="00E44B0C" w:rsidRPr="00E44B0C">
        <w:rPr>
          <w:bCs/>
        </w:rPr>
        <w:t>Noë</w:t>
      </w:r>
      <w:r w:rsidR="00E44B0C">
        <w:t>, 2004)</w:t>
      </w:r>
      <w:r w:rsidR="00495317">
        <w:t>.</w:t>
      </w:r>
      <w:r w:rsidR="006017C6">
        <w:t xml:space="preserve"> To the extent that I can see a use in cognitive science for something like a person or self</w:t>
      </w:r>
      <w:r w:rsidR="00E44B0C">
        <w:t>, it is</w:t>
      </w:r>
      <w:r w:rsidR="006017C6">
        <w:t xml:space="preserve"> the cognitive system.</w:t>
      </w:r>
      <w:r w:rsidR="00E44B0C">
        <w:t xml:space="preserve"> The ideas that</w:t>
      </w:r>
      <w:r w:rsidR="00693BFA">
        <w:t xml:space="preserve"> a</w:t>
      </w:r>
      <w:r w:rsidR="00E44B0C">
        <w:t xml:space="preserve"> distinct</w:t>
      </w:r>
      <w:r w:rsidR="00693BFA">
        <w:t xml:space="preserve"> personal-level</w:t>
      </w:r>
      <w:r w:rsidR="00E44B0C">
        <w:t xml:space="preserve"> must exist</w:t>
      </w:r>
      <w:r w:rsidR="00693BFA">
        <w:t xml:space="preserve"> to guide</w:t>
      </w:r>
      <w:r w:rsidR="00E44B0C">
        <w:t xml:space="preserve"> cognitive scientific inquiry</w:t>
      </w:r>
      <w:r w:rsidR="009D008E">
        <w:t xml:space="preserve"> (Dennett 1987</w:t>
      </w:r>
      <w:r w:rsidR="00693BFA">
        <w:t>) or to maintain a certain pretheoretical picture of ourselves (that our consciousness is in direct relation to the objects of perception – McDowell 1994) strike me as dubious</w:t>
      </w:r>
      <w:r w:rsidR="009D008E">
        <w:t>, perhaps even pernicious,</w:t>
      </w:r>
      <w:r w:rsidR="0038213B">
        <w:t xml:space="preserve"> grounds</w:t>
      </w:r>
      <w:r w:rsidR="00E44B0C">
        <w:t xml:space="preserve"> for preserving a commitment to a distinctively personal level. W</w:t>
      </w:r>
      <w:r w:rsidR="0038213B">
        <w:t>hat</w:t>
      </w:r>
      <w:r w:rsidR="00E44B0C">
        <w:t xml:space="preserve"> is it that we need to say</w:t>
      </w:r>
      <w:r w:rsidR="0038213B">
        <w:t xml:space="preserve"> about the production of intelligent behavior that we can’t</w:t>
      </w:r>
      <w:r w:rsidR="00F60B73">
        <w:t xml:space="preserve"> sensibly say by adverting to the components of the cognitive system a</w:t>
      </w:r>
      <w:r w:rsidR="00E44B0C">
        <w:t>nd their architectural features? I find nothing.</w:t>
      </w:r>
      <w:r w:rsidR="00F60B73">
        <w:t xml:space="preserve"> </w:t>
      </w:r>
      <w:r w:rsidR="00A26772">
        <w:t>True</w:t>
      </w:r>
      <w:r w:rsidR="00E44B0C">
        <w:t>, f</w:t>
      </w:r>
      <w:r w:rsidR="00F60B73">
        <w:t>olk psychology often works, as Dennett emphasizes, a</w:t>
      </w:r>
      <w:r w:rsidR="00E44B0C">
        <w:t>nd we are inclined to think that</w:t>
      </w:r>
      <w:r w:rsidR="00F60B73">
        <w:t xml:space="preserve"> it is </w:t>
      </w:r>
      <w:r w:rsidR="00F60B73">
        <w:rPr>
          <w:i/>
        </w:rPr>
        <w:t xml:space="preserve">we </w:t>
      </w:r>
      <w:r w:rsidR="00F60B73">
        <w:t xml:space="preserve">who see objects, not parts of </w:t>
      </w:r>
      <w:r w:rsidR="00E44B0C">
        <w:t>our cortex, a fact that</w:t>
      </w:r>
      <w:r w:rsidR="00F60B73">
        <w:t xml:space="preserve"> impress</w:t>
      </w:r>
      <w:r w:rsidR="00E44B0C">
        <w:t xml:space="preserve">es McDowell. </w:t>
      </w:r>
      <w:r w:rsidR="00F60B73">
        <w:t>Nevertheless, folk psychology will account for less variance in the behavioral data than we get by invoking what Dennett might treat as</w:t>
      </w:r>
      <w:r w:rsidR="00E44B0C">
        <w:t xml:space="preserve"> mere</w:t>
      </w:r>
      <w:r w:rsidR="00F60B73">
        <w:t xml:space="preserve"> subpersonal states; and here I would include the activities of language-handling mechanisms, which do much of our reasoning and control much of our reports about consciousness</w:t>
      </w:r>
      <w:r w:rsidR="00E44B0C">
        <w:t xml:space="preserve"> (as Dennett himself accepts)</w:t>
      </w:r>
      <w:r w:rsidR="00F60B73">
        <w:t xml:space="preserve">. Dennett sees a distinctive value to generalizing over lots of differently constructed believers; but one who accepts the determinacy of externalist content for so-called subpersonal representations can capture many of these patterns simply by doing intentional psychology (cf. Fodor 1994, 1998). So far as I can tell, nothing is added to the project by saying that folk psychological states are states of the </w:t>
      </w:r>
      <w:r w:rsidR="00F60B73">
        <w:rPr>
          <w:i/>
        </w:rPr>
        <w:t>entire person</w:t>
      </w:r>
      <w:r w:rsidR="00F60B73">
        <w:t xml:space="preserve"> and that they, </w:t>
      </w:r>
      <w:r w:rsidR="00F60B73">
        <w:rPr>
          <w:i/>
        </w:rPr>
        <w:t>by their very nature</w:t>
      </w:r>
      <w:r w:rsidR="00F60B73">
        <w:t>, have certain relations to each other and to the environment; one can achieve all of the same cau</w:t>
      </w:r>
      <w:r w:rsidR="00E44B0C">
        <w:t>sal-explanatory goals</w:t>
      </w:r>
      <w:r w:rsidR="00F60B73">
        <w:t xml:space="preserve"> by appealing to metaphysically contingent regularities grounded in something like causal laws. And although I readily acknowledge the sorts of intuitions that move McDowell, reports of such intuitions provide </w:t>
      </w:r>
      <w:r w:rsidR="00F60B73" w:rsidRPr="00F60B73">
        <w:rPr>
          <w:i/>
        </w:rPr>
        <w:t xml:space="preserve">explananda </w:t>
      </w:r>
      <w:r w:rsidR="00F60B73">
        <w:t>to cognitive science (at least to those cognitive scientists who care to study the psychology of philosophy)</w:t>
      </w:r>
      <w:r w:rsidR="002B0E2E">
        <w:t xml:space="preserve"> (Rupert forthcoming </w:t>
      </w:r>
      <w:r w:rsidR="002B0E2E">
        <w:rPr>
          <w:i/>
        </w:rPr>
        <w:t>a</w:t>
      </w:r>
      <w:r w:rsidR="002B0E2E">
        <w:t xml:space="preserve">, </w:t>
      </w:r>
      <w:r w:rsidR="002B0E2E">
        <w:rPr>
          <w:i/>
        </w:rPr>
        <w:t>c</w:t>
      </w:r>
      <w:r w:rsidR="002B0E2E">
        <w:t>)</w:t>
      </w:r>
      <w:r w:rsidR="00F60B73">
        <w:t xml:space="preserve">. McDowell emphasizes the way in which whole creatures are suited to their environments, but </w:t>
      </w:r>
      <w:r w:rsidR="00A91EED">
        <w:t xml:space="preserve">I see no reason to think this cannot be understood as the </w:t>
      </w:r>
      <w:r w:rsidR="00C25758">
        <w:t>suited-ness</w:t>
      </w:r>
      <w:r w:rsidR="00A91EED">
        <w:t xml:space="preserve"> of cognitive systems</w:t>
      </w:r>
      <w:r w:rsidR="00E44B0C">
        <w:t xml:space="preserve"> – mere collections of co-contributing mechanism of certain sorts –</w:t>
      </w:r>
      <w:r w:rsidR="00A91EED">
        <w:t xml:space="preserve"> to their environments</w:t>
      </w:r>
      <w:r w:rsidR="00E44B0C">
        <w:t xml:space="preserve"> (after all, why shouldn’t selfish genes be “happy” to replicate via the construction of </w:t>
      </w:r>
      <w:r w:rsidR="00E44B0C">
        <w:rPr>
          <w:i/>
        </w:rPr>
        <w:t xml:space="preserve">these </w:t>
      </w:r>
      <w:r w:rsidR="00E44B0C">
        <w:t>systems as opposed to something more metaphysically robust?)</w:t>
      </w:r>
      <w:r w:rsidR="00A91EED">
        <w:t>.</w:t>
      </w:r>
    </w:p>
    <w:p w14:paraId="3B3388CA" w14:textId="6334A763" w:rsidR="00A91EED" w:rsidRDefault="00A91EED" w:rsidP="004777F0">
      <w:pPr>
        <w:pStyle w:val="Standard"/>
      </w:pPr>
      <w:r>
        <w:t xml:space="preserve">     What, however, does all of this tell us about the utility of personal-level theorizing as it compares to t</w:t>
      </w:r>
      <w:r w:rsidR="00E44B0C">
        <w:t>he utility of group-level theorizing</w:t>
      </w:r>
      <w:r>
        <w:t xml:space="preserve"> (I continue to </w:t>
      </w:r>
      <w:r w:rsidR="00E44B0C">
        <w:t>talk in terms of levels, but bear in mind my earlier warning about such</w:t>
      </w:r>
      <w:r>
        <w:t xml:space="preserve"> talk). What if, in the end, we accept none of the deep divisions between </w:t>
      </w:r>
      <w:r w:rsidR="00E44B0C">
        <w:t>personal and subpersonal levels,</w:t>
      </w:r>
      <w:r>
        <w:t xml:space="preserve"> of the sort that Dennett and McDowell embrace?</w:t>
      </w:r>
      <w:r w:rsidR="006017C6">
        <w:t xml:space="preserve"> </w:t>
      </w:r>
      <w:r>
        <w:t>What if, instead, we account for</w:t>
      </w:r>
      <w:r w:rsidR="006017C6">
        <w:t xml:space="preserve"> intelligent behavior</w:t>
      </w:r>
      <w:r>
        <w:t xml:space="preserve"> in humans by appealing</w:t>
      </w:r>
      <w:r w:rsidR="006017C6">
        <w:t xml:space="preserve"> only to states of mechanisms that co-con</w:t>
      </w:r>
      <w:r>
        <w:t xml:space="preserve">tribute in characteristic ways and govern </w:t>
      </w:r>
      <w:r w:rsidR="006017C6">
        <w:rPr>
          <w:i/>
        </w:rPr>
        <w:t>changes</w:t>
      </w:r>
      <w:r w:rsidR="006017C6">
        <w:t xml:space="preserve"> in the patterns of behavior produced over time,</w:t>
      </w:r>
      <w:r>
        <w:t xml:space="preserve"> partly by mutually governing each other’s contributions –</w:t>
      </w:r>
      <w:r w:rsidR="006017C6">
        <w:t xml:space="preserve"> the sort of thing normally associate</w:t>
      </w:r>
      <w:r w:rsidR="00E44B0C">
        <w:t>d</w:t>
      </w:r>
      <w:r>
        <w:t xml:space="preserve"> with development an</w:t>
      </w:r>
      <w:r w:rsidR="00E44B0C">
        <w:t>d learning? I</w:t>
      </w:r>
      <w:r>
        <w:t>f this</w:t>
      </w:r>
      <w:r w:rsidR="00E44B0C">
        <w:t xml:space="preserve"> cognitive system</w:t>
      </w:r>
      <w:r>
        <w:t xml:space="preserve"> is allowed to be a sort of self, then</w:t>
      </w:r>
      <w:r w:rsidR="00E44B0C">
        <w:t xml:space="preserve"> the proponents of group cognition might</w:t>
      </w:r>
      <w:r w:rsidR="00A26772">
        <w:t xml:space="preserve"> think they’re off to the races. Surely some extant groups</w:t>
      </w:r>
      <w:r>
        <w:t xml:space="preserve"> have cognitive systems related to ours by sameness in </w:t>
      </w:r>
      <w:r w:rsidR="00C25758">
        <w:t>architecture</w:t>
      </w:r>
      <w:r>
        <w:t xml:space="preserve"> or by having an architecture best represented by a model that bears a tweak-and-extend relation to the best models of human </w:t>
      </w:r>
      <w:r w:rsidR="00C25758">
        <w:t>architecture</w:t>
      </w:r>
      <w:r>
        <w:t>. And, if these</w:t>
      </w:r>
      <w:r w:rsidR="00A26772">
        <w:t xml:space="preserve"> cognitive systems survive</w:t>
      </w:r>
      <w:r>
        <w:t xml:space="preserve"> parsimony-based skepticism, why not think group cognitive states have been vindicated?</w:t>
      </w:r>
    </w:p>
    <w:p w14:paraId="5DFA3548" w14:textId="54BBCE2E" w:rsidR="00F77E8F" w:rsidRDefault="00A91EED" w:rsidP="004777F0">
      <w:pPr>
        <w:pStyle w:val="Standard"/>
      </w:pPr>
      <w:r>
        <w:t xml:space="preserve">     </w:t>
      </w:r>
      <w:r w:rsidR="00A26772">
        <w:t xml:space="preserve">We </w:t>
      </w:r>
      <w:r w:rsidR="006017C6">
        <w:t xml:space="preserve">find ourselves in a strange position, then. </w:t>
      </w:r>
      <w:r>
        <w:t>T</w:t>
      </w:r>
      <w:r w:rsidR="00280AE8">
        <w:t>he</w:t>
      </w:r>
      <w:r w:rsidR="006C17AD">
        <w:t xml:space="preserve"> individual</w:t>
      </w:r>
      <w:r w:rsidR="00280AE8">
        <w:t>s in question</w:t>
      </w:r>
      <w:r>
        <w:t xml:space="preserve"> – the group structures –</w:t>
      </w:r>
      <w:r w:rsidR="00280AE8">
        <w:t xml:space="preserve"> seem</w:t>
      </w:r>
      <w:r w:rsidR="006C17AD">
        <w:t xml:space="preserve"> to have no causal explanatory-work to do in the bringing about of behavior.</w:t>
      </w:r>
      <w:r w:rsidR="00280AE8">
        <w:t xml:space="preserve"> What use are such shadow individuals, constituted as a by-product of the </w:t>
      </w:r>
      <w:r w:rsidR="00F77E8F">
        <w:t xml:space="preserve">activities of, and relations between, other cognitive systems? </w:t>
      </w:r>
      <w:r w:rsidR="00A26772">
        <w:t>O</w:t>
      </w:r>
      <w:r>
        <w:t>f</w:t>
      </w:r>
      <w:r w:rsidR="00F77E8F">
        <w:t xml:space="preserve"> course, we might ask the same of cognitive systems instantiated within individual organisms. I have argued that the distinction between cognitive systems – as relatively persisting architectures – appears as a constant feature across various kinds of modeling programs, but isn’t that consistent with a kind of epiphenomenalism about the structured systems themselves? As indicated above, the persistence of cognitive systems helps to account for changes in the patterns of behavior; what we normally refer to as ‘learning’, ‘memory’, and ‘development’ are all patterns of change inside the cognitive system (changes that are determined partly by nonchanging features of the cognitive systems) that account for changes in the patterns of observable behavior (the child learns</w:t>
      </w:r>
      <w:r w:rsidR="00A26772">
        <w:t xml:space="preserve"> a language, for example). But, why, then</w:t>
      </w:r>
      <w:r w:rsidR="00F77E8F">
        <w:t xml:space="preserve"> shouldn’t we appeal to changes in the group-level cognitive system to explain analogous longitudinal features of the </w:t>
      </w:r>
      <w:r>
        <w:t>behavioral output of the groups, finding just as much a causal-explanatory role for group cognitive systems as</w:t>
      </w:r>
      <w:r w:rsidR="00A26772">
        <w:t xml:space="preserve"> in</w:t>
      </w:r>
      <w:r>
        <w:t xml:space="preserve"> individual human organ</w:t>
      </w:r>
      <w:r w:rsidR="00A26772">
        <w:t>isms’?</w:t>
      </w:r>
    </w:p>
    <w:p w14:paraId="46B5ADDC" w14:textId="7D56752A" w:rsidR="00050939" w:rsidRDefault="00A26772" w:rsidP="004777F0">
      <w:pPr>
        <w:pStyle w:val="Standard"/>
      </w:pPr>
      <w:r>
        <w:t xml:space="preserve">     Shall we</w:t>
      </w:r>
      <w:r w:rsidR="00050939">
        <w:t xml:space="preserve"> conclude, then, that groups are individual cogni</w:t>
      </w:r>
      <w:r>
        <w:t>zers in just the same sense as</w:t>
      </w:r>
      <w:r w:rsidR="00050939">
        <w:t xml:space="preserve"> individual organisms are? I’m inclined to resist such a conclusion, for the following reasons:</w:t>
      </w:r>
    </w:p>
    <w:p w14:paraId="6DB0DF67" w14:textId="688C02F4" w:rsidR="002A1D55" w:rsidRDefault="008C49A1" w:rsidP="004777F0">
      <w:pPr>
        <w:pStyle w:val="Standard"/>
      </w:pPr>
      <w:r>
        <w:t>1. Consider the following disanalogy between group cognitive structures that may well meet formal, architectural requirements for being a cognitive system</w:t>
      </w:r>
      <w:r w:rsidR="002B0E2E">
        <w:t>, on the one hand,</w:t>
      </w:r>
      <w:r>
        <w:t xml:space="preserve"> and human cognitive architectures</w:t>
      </w:r>
      <w:r w:rsidR="002B0E2E">
        <w:t xml:space="preserve"> on the other</w:t>
      </w:r>
      <w:r>
        <w:t>.</w:t>
      </w:r>
      <w:r w:rsidR="006C17AD">
        <w:t xml:space="preserve"> </w:t>
      </w:r>
      <w:r>
        <w:t>In the human case, there is a physically bounded entity that moves through the world</w:t>
      </w:r>
      <w:r w:rsidR="00712355">
        <w:t xml:space="preserve"> (that is, which has spatio-temporal continuity as a whole and in its parts)</w:t>
      </w:r>
      <w:r>
        <w:t xml:space="preserve"> and inside </w:t>
      </w:r>
      <w:r w:rsidR="002A1D55">
        <w:t xml:space="preserve">of </w:t>
      </w:r>
      <w:r>
        <w:t>which the persisting architecture</w:t>
      </w:r>
      <w:r w:rsidR="002A1D55">
        <w:t xml:space="preserve"> (typically) resides, while</w:t>
      </w:r>
      <w:r>
        <w:t xml:space="preserve"> in the case of many groups, this does not hold</w:t>
      </w:r>
      <w:r w:rsidR="002A1D55">
        <w:t>:</w:t>
      </w:r>
      <w:r w:rsidR="002B0E2E">
        <w:t xml:space="preserve"> corporations, </w:t>
      </w:r>
      <w:r>
        <w:t>stock market</w:t>
      </w:r>
      <w:r w:rsidR="002B0E2E">
        <w:t>s</w:t>
      </w:r>
      <w:r>
        <w:t>, unions,</w:t>
      </w:r>
      <w:r w:rsidR="002B0E2E">
        <w:t xml:space="preserve"> and</w:t>
      </w:r>
      <w:r>
        <w:t xml:space="preserve"> governments regularly change their membership in cognitively relevant ways. It’s not simply a matter of losing neurons or taking in nutrients</w:t>
      </w:r>
      <w:r w:rsidR="00733EB2">
        <w:t>, as happens inside the individual human body</w:t>
      </w:r>
      <w:r>
        <w:t>; following H</w:t>
      </w:r>
      <w:r w:rsidR="00733EB2">
        <w:t>uebner’s analogy, it’s as if</w:t>
      </w:r>
      <w:r>
        <w:t xml:space="preserve"> these groups are swapping out modules when human members come and go! </w:t>
      </w:r>
    </w:p>
    <w:p w14:paraId="5BE75ED3" w14:textId="2F259407" w:rsidR="00CF637C" w:rsidRDefault="002A1D55" w:rsidP="004777F0">
      <w:pPr>
        <w:pStyle w:val="Standard"/>
      </w:pPr>
      <w:r>
        <w:t xml:space="preserve">     </w:t>
      </w:r>
      <w:r w:rsidR="008C49A1">
        <w:t>From the standpoint of the theory of</w:t>
      </w:r>
      <w:r>
        <w:t xml:space="preserve"> cognitive systems, this differe</w:t>
      </w:r>
      <w:r w:rsidR="00712355">
        <w:t>nce appears to be</w:t>
      </w:r>
      <w:r w:rsidR="002B0E2E">
        <w:t xml:space="preserve"> important, for two reasons. First, we should want</w:t>
      </w:r>
      <w:r>
        <w:t xml:space="preserve"> an independent criterion for the individuation of mechanism</w:t>
      </w:r>
      <w:r w:rsidR="002B0E2E">
        <w:t>s</w:t>
      </w:r>
      <w:r>
        <w:t xml:space="preserve"> (at least relative to cognitive scientific explanation –</w:t>
      </w:r>
      <w:r w:rsidR="00CF637C">
        <w:t xml:space="preserve"> see Machamer, Darden, and Craver 2000). If cognitive systems are best characterized in terms of collections of co-contributing mechanism</w:t>
      </w:r>
      <w:r w:rsidR="00712355">
        <w:t>s</w:t>
      </w:r>
      <w:r w:rsidR="00CF637C">
        <w:t>, we should want some way to characterize those mechanisms that doesn’t beg the question with regard to the quest</w:t>
      </w:r>
      <w:r w:rsidR="002B0E2E">
        <w:t>ion  whether</w:t>
      </w:r>
      <w:r w:rsidR="00CF637C">
        <w:t xml:space="preserve"> the same mechanism contributes to the production of a given form of beha</w:t>
      </w:r>
      <w:r w:rsidR="00712355">
        <w:t>vior on different occasions;</w:t>
      </w:r>
      <w:r w:rsidR="00CF637C">
        <w:t xml:space="preserve"> a physical</w:t>
      </w:r>
      <w:r w:rsidR="00712355">
        <w:t>ly oriented</w:t>
      </w:r>
      <w:r w:rsidR="00CF637C">
        <w:t>, lower-leve</w:t>
      </w:r>
      <w:r w:rsidR="00712355">
        <w:t xml:space="preserve">l (perhaps neural, </w:t>
      </w:r>
      <w:r w:rsidR="00CF637C">
        <w:t>in the human case) criterion of mechanism-individuation provides the best way to avoid such question-begging</w:t>
      </w:r>
      <w:r w:rsidR="007364D4">
        <w:t>.</w:t>
      </w:r>
      <w:r w:rsidR="00CF637C">
        <w:t xml:space="preserve"> (Consider</w:t>
      </w:r>
      <w:r w:rsidR="002B0E2E">
        <w:t>, for instance,</w:t>
      </w:r>
      <w:r w:rsidR="00CF637C">
        <w:t xml:space="preserve"> the difference between saying that language is </w:t>
      </w:r>
      <w:r w:rsidR="002B0E2E">
        <w:t>“</w:t>
      </w:r>
      <w:r w:rsidR="00CF637C">
        <w:t>always in the air</w:t>
      </w:r>
      <w:r w:rsidR="002B0E2E">
        <w:t>”</w:t>
      </w:r>
      <w:r w:rsidR="00CF637C">
        <w:t xml:space="preserve"> as a cogn</w:t>
      </w:r>
      <w:r w:rsidR="002B0E2E">
        <w:t>itive resource</w:t>
      </w:r>
      <w:r w:rsidR="00CF637C">
        <w:t xml:space="preserve"> and saying</w:t>
      </w:r>
      <w:r w:rsidR="002B0E2E">
        <w:t>, in contrast,</w:t>
      </w:r>
      <w:r w:rsidR="00CF637C">
        <w:t xml:space="preserve"> that a particular notebook with particular inscriptions is always avail</w:t>
      </w:r>
      <w:r w:rsidR="002B0E2E">
        <w:t>able as a cognitive resource</w:t>
      </w:r>
      <w:r w:rsidR="00CF637C">
        <w:t xml:space="preserve">. </w:t>
      </w:r>
      <w:r w:rsidR="002B0E2E">
        <w:t xml:space="preserve">We should want to be able to </w:t>
      </w:r>
      <w:r w:rsidR="00C25758">
        <w:t>distinguish</w:t>
      </w:r>
      <w:r w:rsidR="002B0E2E">
        <w:t xml:space="preserve"> these cases and </w:t>
      </w:r>
      <w:r w:rsidR="00CF637C">
        <w:t xml:space="preserve">to register the significant difference in </w:t>
      </w:r>
      <w:r w:rsidR="00FD1FA2">
        <w:t>structural</w:t>
      </w:r>
      <w:r w:rsidR="00CF637C">
        <w:t xml:space="preserve"> role played by the two different kinds of resource. A physical or “lower-level” criterion of individuation allows for these distinctions to be drawn and differences to be explained – the notebook</w:t>
      </w:r>
      <w:r w:rsidR="002B0E2E">
        <w:t xml:space="preserve"> is a single “mechanism” in virtue of its being</w:t>
      </w:r>
      <w:r w:rsidR="00CF637C">
        <w:t xml:space="preserve"> a spatio-temporally continuous entity; the various bits of language that enter an individual’s life are not.)</w:t>
      </w:r>
    </w:p>
    <w:p w14:paraId="6E0BEF16" w14:textId="387C9EDD" w:rsidR="006C17AD" w:rsidRPr="00CF637C" w:rsidRDefault="00CF637C" w:rsidP="004777F0">
      <w:pPr>
        <w:pStyle w:val="Standard"/>
      </w:pPr>
      <w:r>
        <w:t xml:space="preserve">     Second,</w:t>
      </w:r>
      <w:r w:rsidR="002B0E2E">
        <w:t xml:space="preserve"> and on a related note,</w:t>
      </w:r>
      <w:r>
        <w:t xml:space="preserve"> one should wonder whether my diagnostic tool for identifying cog</w:t>
      </w:r>
      <w:r w:rsidR="007364D4">
        <w:t>nitive systems is too crude. A possible amendment might track the extent to which</w:t>
      </w:r>
      <w:r>
        <w:t xml:space="preserve"> various mechanisms’ contributions have been tailored to each other’s contributions by the actu</w:t>
      </w:r>
      <w:r w:rsidR="007364D4">
        <w:t>al history of the interaction among</w:t>
      </w:r>
      <w:r>
        <w:t xml:space="preserve"> </w:t>
      </w:r>
      <w:r>
        <w:rPr>
          <w:i/>
        </w:rPr>
        <w:t xml:space="preserve">these </w:t>
      </w:r>
      <w:r>
        <w:t>very mechanisms, physi</w:t>
      </w:r>
      <w:r w:rsidR="00240288">
        <w:t>cally individuated (Clark 1997) and how, for example, their patterns of co-contribution change over time (</w:t>
      </w:r>
      <w:r>
        <w:t>Klein</w:t>
      </w:r>
      <w:r w:rsidR="00240288">
        <w:t xml:space="preserve"> 2010)</w:t>
      </w:r>
      <w:r>
        <w:t>.</w:t>
      </w:r>
    </w:p>
    <w:p w14:paraId="5545BC9E" w14:textId="77777777" w:rsidR="00240288" w:rsidRDefault="00240288" w:rsidP="004777F0">
      <w:pPr>
        <w:pStyle w:val="Standard"/>
      </w:pPr>
    </w:p>
    <w:p w14:paraId="5A4BE6E0" w14:textId="04617C13" w:rsidR="00240288" w:rsidRDefault="008C49A1" w:rsidP="004777F0">
      <w:pPr>
        <w:pStyle w:val="Standard"/>
      </w:pPr>
      <w:r>
        <w:t>2</w:t>
      </w:r>
      <w:r w:rsidR="00240288">
        <w:t>. The proble</w:t>
      </w:r>
      <w:r w:rsidR="002B0E2E">
        <w:t>m of behavior returns</w:t>
      </w:r>
      <w:r w:rsidR="00240288">
        <w:t xml:space="preserve"> as well. Many groups simply do not produce a wide range of forms of intell</w:t>
      </w:r>
      <w:r w:rsidR="002B0E2E">
        <w:t>igent behavior. M</w:t>
      </w:r>
      <w:r w:rsidR="007364D4">
        <w:t xml:space="preserve">any groups that make frequent appearances </w:t>
      </w:r>
      <w:r w:rsidR="002B0E2E">
        <w:t>in the literature exhibit</w:t>
      </w:r>
      <w:r w:rsidR="00240288">
        <w:t xml:space="preserve"> a high-degree of task specificity: t</w:t>
      </w:r>
      <w:r w:rsidR="007364D4">
        <w:t>he U.S. Supreme Court</w:t>
      </w:r>
      <w:r w:rsidR="00240288">
        <w:t xml:space="preserve"> produces decisions, the stock market predicts companies’ </w:t>
      </w:r>
      <w:r w:rsidR="007364D4">
        <w:t xml:space="preserve">future </w:t>
      </w:r>
      <w:r w:rsidR="00240288">
        <w:t>performance, a basketball team plays baske</w:t>
      </w:r>
      <w:r w:rsidR="002B0E2E">
        <w:t xml:space="preserve">tball, a </w:t>
      </w:r>
      <w:r w:rsidR="007364D4">
        <w:t>group of sailors pilot, but in each case, the group</w:t>
      </w:r>
      <w:r w:rsidR="002B0E2E">
        <w:t xml:space="preserve"> do</w:t>
      </w:r>
      <w:r w:rsidR="007364D4">
        <w:t>es</w:t>
      </w:r>
      <w:r w:rsidR="002B0E2E">
        <w:t>n’t produce a whole lot else,</w:t>
      </w:r>
      <w:r w:rsidR="007364D4">
        <w:t xml:space="preserve"> as group</w:t>
      </w:r>
      <w:r w:rsidR="002B0E2E">
        <w:t>.</w:t>
      </w:r>
    </w:p>
    <w:p w14:paraId="01553759" w14:textId="5F826943" w:rsidR="006C17AD" w:rsidRDefault="00240288" w:rsidP="004777F0">
      <w:pPr>
        <w:pStyle w:val="Standard"/>
      </w:pPr>
      <w:r>
        <w:t xml:space="preserve">     Cognitive systems produce a wide range of forms of intelligent behavior; in fact, the characterization of any one form of a subject’s behavior as intelligent depends on the subject’s producing, or at least being capable of producing, a wide range of forms of the intelligent behavior. (To be more careful, there are sets of forms of behavior that individually become forms of intelligent behavior only when there is a significant number of such forms all at the subject’s disposal.)</w:t>
      </w:r>
      <w:r w:rsidR="0035278F">
        <w:t xml:space="preserve"> It’s the single subject’s being capable of producing a wide range of forms of behavior that characterizes the very subject matter of cognit</w:t>
      </w:r>
      <w:r w:rsidR="00DF376C">
        <w:t>ive science. (This complicates</w:t>
      </w:r>
      <w:r w:rsidR="0035278F">
        <w:t xml:space="preserve"> Robert Wilson’s</w:t>
      </w:r>
      <w:r w:rsidR="00DF376C">
        <w:t xml:space="preserve"> (2004) attempt to identify</w:t>
      </w:r>
      <w:r w:rsidR="0035278F">
        <w:t xml:space="preserve"> “minimal minds”; cf. Huebner</w:t>
      </w:r>
      <w:r w:rsidR="00DF376C">
        <w:t>,</w:t>
      </w:r>
      <w:r w:rsidR="0035278F">
        <w:t xml:space="preserve"> forthcoming.)</w:t>
      </w:r>
      <w:r w:rsidR="002B0E2E">
        <w:t xml:space="preserve"> It’s one thing to be intelligent, b</w:t>
      </w:r>
      <w:r w:rsidR="007364D4">
        <w:t>ut not to show it. It’s plausible that some h</w:t>
      </w:r>
      <w:r w:rsidR="002B0E2E">
        <w:t>uman cognitive systems have unusual biographie</w:t>
      </w:r>
      <w:r w:rsidR="007364D4">
        <w:t>s of this sort. In contrast,</w:t>
      </w:r>
      <w:r w:rsidR="002B0E2E">
        <w:t xml:space="preserve"> typical groups don’t seem to have the right structure to exhibit a wide range of forms of intelligent behavior. (To the extent that they are flexible in this way, it has more to do with the flexible intelligence of the group members, who subvert, ignore, or redeploy standing group structures, than it does with anything about the group itself.)</w:t>
      </w:r>
    </w:p>
    <w:p w14:paraId="26FDD59E" w14:textId="77777777" w:rsidR="0035278F" w:rsidRDefault="0035278F" w:rsidP="004777F0">
      <w:pPr>
        <w:pStyle w:val="Standard"/>
      </w:pPr>
    </w:p>
    <w:p w14:paraId="2F93E5DC" w14:textId="12F0820E" w:rsidR="00816556" w:rsidRDefault="0035278F" w:rsidP="007E3080">
      <w:pPr>
        <w:pStyle w:val="Standard"/>
      </w:pPr>
      <w:r>
        <w:t>3</w:t>
      </w:r>
      <w:r w:rsidR="001A0A29">
        <w:t>.</w:t>
      </w:r>
      <w:r>
        <w:t xml:space="preserve"> Lastly, I focus – not decisively, but I hope fruitfully – on a philosophical puzzle to do with the hierarchies of natural kinds (or natural properties – I don’t differentiate between the two; they are simply the kinds or properties of scientific interest that play a genuine causal-explanatory role, not merely an organizational role – see Rupert 2013).</w:t>
      </w:r>
      <w:r w:rsidR="001A0A29">
        <w:t xml:space="preserve"> </w:t>
      </w:r>
      <w:r>
        <w:t>I propose to suppl</w:t>
      </w:r>
      <w:r w:rsidR="007364D4">
        <w:t>ement the tweak-and-extend account</w:t>
      </w:r>
      <w:r>
        <w:t xml:space="preserve"> of the unity of generic kinds, for principled re</w:t>
      </w:r>
      <w:r w:rsidR="007364D4">
        <w:t>asons. Whether two states instantiate the same generic natural kind should also be</w:t>
      </w:r>
      <w:r w:rsidR="006936AE">
        <w:t xml:space="preserve"> constrained from</w:t>
      </w:r>
      <w:r w:rsidR="0038148E">
        <w:t xml:space="preserve"> below</w:t>
      </w:r>
      <w:r>
        <w:t>,</w:t>
      </w:r>
      <w:r w:rsidR="0038148E">
        <w:t xml:space="preserve"> as one might say,</w:t>
      </w:r>
      <w:r w:rsidR="006936AE">
        <w:t xml:space="preserve"> by the sharing of more determinate kinds (or all instantiating a significant number of kinds of those kinds. Individual humans instantiate</w:t>
      </w:r>
      <w:r w:rsidRPr="006936AE">
        <w:rPr>
          <w:i/>
        </w:rPr>
        <w:t xml:space="preserve"> cognition</w:t>
      </w:r>
      <w:r w:rsidR="006936AE">
        <w:t xml:space="preserve"> and instantiate a broad range of narrower kinds – perception, memory, language processing, etc.</w:t>
      </w:r>
      <w:r>
        <w:t xml:space="preserve"> </w:t>
      </w:r>
      <w:r w:rsidR="006936AE">
        <w:t xml:space="preserve">If Martians or groups of humans instantiate </w:t>
      </w:r>
      <w:r w:rsidR="006936AE">
        <w:rPr>
          <w:i/>
        </w:rPr>
        <w:t>cognition</w:t>
      </w:r>
      <w:r w:rsidR="006936AE">
        <w:t xml:space="preserve"> of any kind (the same kind of cognition as individual humans instantiate or any other kind of cognition), then they must instantiate some substantial number of these more determinate kinds, and the model of shared overarching kinds applies here as well: Martian perception doesn’t have to be the same as human perception, but in order that it be a different kind of perception, the relevant behavior should be best accounted for by the application of models that bear a tweak-and-extend relation to the models that account for the relevant behavior in humans.</w:t>
      </w:r>
      <w:r w:rsidR="00034F3F">
        <w:t xml:space="preserve"> </w:t>
      </w:r>
    </w:p>
    <w:p w14:paraId="33CBF27C" w14:textId="3BBAEB89" w:rsidR="007E3080" w:rsidRDefault="00046BE5" w:rsidP="007E3080">
      <w:pPr>
        <w:pStyle w:val="Standard"/>
      </w:pPr>
      <w:r>
        <w:t xml:space="preserve">     This </w:t>
      </w:r>
      <w:r w:rsidR="006936AE">
        <w:t xml:space="preserve">addition of this requirement </w:t>
      </w:r>
      <w:r>
        <w:t xml:space="preserve">is not </w:t>
      </w:r>
      <w:r w:rsidRPr="00046BE5">
        <w:rPr>
          <w:i/>
        </w:rPr>
        <w:t>ad hoc</w:t>
      </w:r>
      <w:r w:rsidR="005455D0">
        <w:t>. Think about the generic kind</w:t>
      </w:r>
      <w:r>
        <w:t xml:space="preserve"> </w:t>
      </w:r>
      <w:r>
        <w:rPr>
          <w:i/>
        </w:rPr>
        <w:t>animal</w:t>
      </w:r>
      <w:r w:rsidR="005455D0">
        <w:t>. There are</w:t>
      </w:r>
      <w:r>
        <w:t xml:space="preserve"> substantially different ways of being an animal – being a mammal, being a fish, being a bird –</w:t>
      </w:r>
      <w:r w:rsidR="005455D0">
        <w:t xml:space="preserve"> but the </w:t>
      </w:r>
      <w:r>
        <w:t>category</w:t>
      </w:r>
      <w:r w:rsidR="006936AE">
        <w:t xml:space="preserve"> would seem </w:t>
      </w:r>
      <w:r w:rsidR="00E624C6">
        <w:t>useless</w:t>
      </w:r>
      <w:r>
        <w:t xml:space="preserve"> if its various instances were not to share even variations on the less generic kinds such as </w:t>
      </w:r>
      <w:r w:rsidRPr="00046BE5">
        <w:rPr>
          <w:i/>
        </w:rPr>
        <w:t>reproduction</w:t>
      </w:r>
      <w:r>
        <w:t xml:space="preserve"> and </w:t>
      </w:r>
      <w:r w:rsidRPr="00046BE5">
        <w:rPr>
          <w:i/>
        </w:rPr>
        <w:t>metabolism</w:t>
      </w:r>
      <w:r w:rsidR="00E624C6">
        <w:t xml:space="preserve">. </w:t>
      </w:r>
      <w:r w:rsidR="007E3080">
        <w:t>T</w:t>
      </w:r>
      <w:r>
        <w:t xml:space="preserve">his sort of </w:t>
      </w:r>
      <w:r w:rsidR="007E3080">
        <w:t xml:space="preserve">judgment motivates the proposed constraint from below. </w:t>
      </w:r>
    </w:p>
    <w:p w14:paraId="0074576E" w14:textId="3EF2D552" w:rsidR="00046BE5" w:rsidRDefault="007E3080" w:rsidP="007E3080">
      <w:pPr>
        <w:pStyle w:val="Standard"/>
      </w:pPr>
      <w:r>
        <w:t xml:space="preserve">     In the case of extant groups, it is very implausible that they instantiate a variety of the same kinds of kinds of cognitive states. That is, I suspect when the tweak-and-extend test is applied to group perception, group motor control, group language processing, etc., these will not be related as different kinds of the same overarching natural kinds – </w:t>
      </w:r>
      <w:r w:rsidRPr="00D847DF">
        <w:rPr>
          <w:i/>
        </w:rPr>
        <w:t>perception</w:t>
      </w:r>
      <w:r>
        <w:t xml:space="preserve">, </w:t>
      </w:r>
      <w:r>
        <w:rPr>
          <w:i/>
        </w:rPr>
        <w:t>motor control</w:t>
      </w:r>
      <w:r>
        <w:t xml:space="preserve">, etc. – that humans instantiate kinds of. In other words, we are likely to arrive at a very peculiar result, in which some extant groups would, by one measure, cognize, but without perceiving, remembering, exerting motor control, parsing language, and so on. I contend that the right response in such a fantastic case is simply to resist. A central part of the work done by the natural kind </w:t>
      </w:r>
      <w:r w:rsidRPr="007E3080">
        <w:rPr>
          <w:i/>
        </w:rPr>
        <w:t xml:space="preserve">cognition </w:t>
      </w:r>
      <w:r>
        <w:t>is to unite various kinds of cognitive process: perception, memory, perception,</w:t>
      </w:r>
      <w:r w:rsidR="00E624C6">
        <w:t xml:space="preserve"> reasoning, action, </w:t>
      </w:r>
      <w:r>
        <w:t>the giving and receiving of reasons, etc., and to organize and structure the interplay of these processes.</w:t>
      </w:r>
    </w:p>
    <w:p w14:paraId="793BEC6C" w14:textId="7EA1C1AF" w:rsidR="00E624C6" w:rsidRPr="00046BE5" w:rsidRDefault="00E624C6" w:rsidP="00816556">
      <w:pPr>
        <w:pStyle w:val="Standard"/>
      </w:pPr>
      <w:r>
        <w:t xml:space="preserve">     I should say, though, that I have only a modest amount of confidence that this final consideration by itself precludes typical groups from cognizing. Rather, it might be that I’ve </w:t>
      </w:r>
      <w:r w:rsidR="007E3080">
        <w:t xml:space="preserve">merely </w:t>
      </w:r>
      <w:r>
        <w:t>identified weighty, substantial differences between the sort of cognizing that humans do and the sort that groups do. T</w:t>
      </w:r>
      <w:r w:rsidR="007E3080">
        <w:t>his itself would be</w:t>
      </w:r>
      <w:r>
        <w:t xml:space="preserve"> an intriguing result, however</w:t>
      </w:r>
      <w:r w:rsidR="007E3080">
        <w:t>, and deflate many of the claims to do with group cognition</w:t>
      </w:r>
      <w:r>
        <w:t>. The idea that groups might cognize in just the way individual humans do or in a way very similar to the way in which individual humans do seems to motivate much of the interest topic of group minds and group cognition. If groups cognize only in the sense that they share some highly abstract structural properties with the human cognitive system (</w:t>
      </w:r>
      <w:r w:rsidR="007E3080">
        <w:t xml:space="preserve">e.g., </w:t>
      </w:r>
      <w:r>
        <w:t>a pattern of co-contribution of mechanisms),</w:t>
      </w:r>
      <w:r w:rsidR="007E3080">
        <w:t xml:space="preserve"> but don’t perceive, reason, remembers, etc.,</w:t>
      </w:r>
      <w:r>
        <w:t xml:space="preserve"> then the hypothesis of group minds or of group cognition lacks much of its </w:t>
      </w:r>
      <w:r w:rsidR="007E3080">
        <w:t>intended appeal</w:t>
      </w:r>
      <w:r>
        <w:t xml:space="preserve">. </w:t>
      </w:r>
    </w:p>
    <w:p w14:paraId="57E60070" w14:textId="0674E684" w:rsidR="00983DFD" w:rsidRDefault="001A0A29" w:rsidP="00983DFD">
      <w:pPr>
        <w:pStyle w:val="Standard"/>
        <w:jc w:val="center"/>
      </w:pPr>
      <w:r>
        <w:t>V</w:t>
      </w:r>
      <w:r w:rsidR="00983DFD">
        <w:t>. Afterword: Only Group Minds?</w:t>
      </w:r>
    </w:p>
    <w:p w14:paraId="09DAEA07" w14:textId="77777777" w:rsidR="007E3080" w:rsidRDefault="00582280" w:rsidP="00515424">
      <w:pPr>
        <w:pStyle w:val="Standard"/>
      </w:pPr>
      <w:r>
        <w:t>Questions to do with group cognition and group minds are</w:t>
      </w:r>
      <w:r w:rsidR="007E3080">
        <w:t xml:space="preserve"> partly conceptual</w:t>
      </w:r>
      <w:r>
        <w:t>, but they are also largely empirical, and</w:t>
      </w:r>
      <w:r w:rsidR="00983DFD">
        <w:t xml:space="preserve"> </w:t>
      </w:r>
      <w:r>
        <w:t>w</w:t>
      </w:r>
      <w:r w:rsidR="00AB0B05">
        <w:t>e should be open to a wide range of outcomes. Here’s an especially provocative one: that e</w:t>
      </w:r>
      <w:r w:rsidR="0063413D">
        <w:t>liminativism</w:t>
      </w:r>
      <w:r w:rsidR="007E3080">
        <w:t xml:space="preserve"> about folk psychology (or some significant part of it)</w:t>
      </w:r>
      <w:r w:rsidR="0063413D">
        <w:t xml:space="preserve"> is true of individual-lev</w:t>
      </w:r>
      <w:r w:rsidR="00AB0B05">
        <w:t>el mental states, but not at the group-level. After a</w:t>
      </w:r>
      <w:r w:rsidR="007E3080">
        <w:t>ll, cognitive science might establish</w:t>
      </w:r>
      <w:r w:rsidR="0063413D">
        <w:t xml:space="preserve"> that intelligent behavior in individual humans is not produced by states that even roughly fit </w:t>
      </w:r>
      <w:r w:rsidR="007E3080">
        <w:t>the folk descriptions of belief and desire (and their ilk)</w:t>
      </w:r>
      <w:r w:rsidR="00AB0B05">
        <w:t xml:space="preserve"> while at the same time showing (along with economics, sociology, etc.) that group-level behavior is produced by states that fit the functional profiles associated with our mental states</w:t>
      </w:r>
      <w:r w:rsidR="008F7FD5">
        <w:t xml:space="preserve"> as described by our everyday folk psychology. </w:t>
      </w:r>
    </w:p>
    <w:p w14:paraId="2DABA886" w14:textId="055A0FCD" w:rsidR="00DA78A8" w:rsidRDefault="007E3080" w:rsidP="00515424">
      <w:pPr>
        <w:pStyle w:val="Standard"/>
      </w:pPr>
      <w:r>
        <w:t xml:space="preserve">     </w:t>
      </w:r>
      <w:r w:rsidR="008F7FD5">
        <w:t>Huebner (forthcoming) emphasizes the ways in which group members might intentionally construct social structures so as to make them mirror the kind of architectural structure one finds in humans. Imagine, though, that suc</w:t>
      </w:r>
      <w:r w:rsidR="003B2C5D">
        <w:t xml:space="preserve">h purposeful construction succeeds in creating a group with the properties hoped for by those who organized it, but that </w:t>
      </w:r>
      <w:r>
        <w:t>the model for the group processing so constructed</w:t>
      </w:r>
      <w:r w:rsidR="003B2C5D">
        <w:t xml:space="preserve"> was </w:t>
      </w:r>
      <w:r>
        <w:t>an erroneous theory of the human mind, endorsed by the individuals who structured the group</w:t>
      </w:r>
      <w:r w:rsidR="003B2C5D">
        <w:t>. In that case, it might turn out that the group has mental states (its intelligent behavior is produced by states or processes that satisfy well enough the descriptions associated with ‘belief’, ‘desire’, etc.) even though individual humans don’t have any such states (because their intelligent behavior is not produced by states that satisfying such d</w:t>
      </w:r>
      <w:r>
        <w:t>escriptions). Perhaps given the ever-increasing access to computing power, individual humans could structure a group so that it</w:t>
      </w:r>
      <w:r w:rsidR="003B2C5D">
        <w:t xml:space="preserve"> couches all of its </w:t>
      </w:r>
      <w:r>
        <w:t>“</w:t>
      </w:r>
      <w:r w:rsidR="003B2C5D">
        <w:t>thoughts</w:t>
      </w:r>
      <w:r>
        <w:t>” in explicit symbol</w:t>
      </w:r>
      <w:r w:rsidR="003B2C5D">
        <w:t xml:space="preserve"> strings and has the computing power to check all of them for consistency</w:t>
      </w:r>
      <w:r>
        <w:t>. Assume for the moment that the</w:t>
      </w:r>
      <w:r w:rsidR="003B2C5D">
        <w:t xml:space="preserve"> transparency of logical relations among thoughts is central to our conception of beliefs and </w:t>
      </w:r>
      <w:r>
        <w:t xml:space="preserve">agency and </w:t>
      </w:r>
      <w:r w:rsidR="003B2C5D">
        <w:t>also that, as a matter of fact, humans are in no position to test for such consistency in their own individual sets of beliefs (Cherniak 1986).</w:t>
      </w:r>
      <w:r>
        <w:t xml:space="preserve"> This might deliver the peculiar result bruited above.</w:t>
      </w:r>
    </w:p>
    <w:p w14:paraId="173B8178" w14:textId="77777777" w:rsidR="007E3080" w:rsidRDefault="007E3080" w:rsidP="000C2955">
      <w:pPr>
        <w:pStyle w:val="Standard"/>
      </w:pPr>
      <w:r>
        <w:t xml:space="preserve">     Many philosophers and cognitive scientists have</w:t>
      </w:r>
      <w:r w:rsidR="00983DFD">
        <w:t xml:space="preserve"> emphasize</w:t>
      </w:r>
      <w:r>
        <w:t>d</w:t>
      </w:r>
      <w:r w:rsidR="00983DFD">
        <w:t xml:space="preserve"> the social nature of c</w:t>
      </w:r>
      <w:r w:rsidR="00582280">
        <w:t>ognition (Hutchins 1995</w:t>
      </w:r>
      <w:r w:rsidR="00090D81">
        <w:t>)</w:t>
      </w:r>
      <w:r>
        <w:t>, which suggests a more fundamental connection between the idea of a mind and that of a group</w:t>
      </w:r>
      <w:r w:rsidR="00090D81">
        <w:t>. Perhaps our very concept of mentality takes its character from o</w:t>
      </w:r>
      <w:r>
        <w:t>ur interaction with groups, and</w:t>
      </w:r>
      <w:r w:rsidR="00090D81">
        <w:t xml:space="preserve"> what generates the erroneous description of ourselves arises in the first instance from our acquisition of a</w:t>
      </w:r>
      <w:r>
        <w:t xml:space="preserve"> certain</w:t>
      </w:r>
      <w:r w:rsidR="00090D81">
        <w:t xml:space="preserve"> concept from the observation of group dynamics. </w:t>
      </w:r>
    </w:p>
    <w:p w14:paraId="3BC51EE9" w14:textId="50A9B78D" w:rsidR="005B231E" w:rsidRDefault="007E3080" w:rsidP="000C2955">
      <w:pPr>
        <w:pStyle w:val="Standard"/>
      </w:pPr>
      <w:r>
        <w:t xml:space="preserve">     These closing remarks h</w:t>
      </w:r>
      <w:r w:rsidR="00F54F2D">
        <w:t>ave the flavor of musings, admittedly</w:t>
      </w:r>
      <w:r>
        <w:t xml:space="preserve">. </w:t>
      </w:r>
      <w:r w:rsidR="00983DFD">
        <w:t>I’m inclined to agree with Huebner that</w:t>
      </w:r>
      <w:r w:rsidR="00090D81">
        <w:t xml:space="preserve"> it is incredibly difficult to construct a group that satisfies the robust descriptions that the folk </w:t>
      </w:r>
      <w:r w:rsidR="00F54F2D">
        <w:t xml:space="preserve">associate with human mentality, </w:t>
      </w:r>
      <w:r w:rsidR="00090D81">
        <w:t>and one should also wonder how conceptions to do with consciousness might have been derived</w:t>
      </w:r>
      <w:r w:rsidR="00F54F2D">
        <w:t xml:space="preserve"> from the observation of groups</w:t>
      </w:r>
      <w:r w:rsidR="00090D81">
        <w:t>.</w:t>
      </w:r>
      <w:r w:rsidR="00983DFD">
        <w:t xml:space="preserve"> But, I also agree with Goldstone a</w:t>
      </w:r>
      <w:r w:rsidR="00BD4658">
        <w:t>nd Gureckis (2009</w:t>
      </w:r>
      <w:r w:rsidR="00F54F2D">
        <w:t xml:space="preserve">) that rigorous investigation of the possibility of group minds is in its early stages, and it is ill-advised to attempt to </w:t>
      </w:r>
      <w:r w:rsidR="00090D81">
        <w:t>predict</w:t>
      </w:r>
      <w:r w:rsidR="00F54F2D">
        <w:t xml:space="preserve"> with confidence the outcome of the</w:t>
      </w:r>
      <w:r w:rsidR="00090D81">
        <w:t xml:space="preserve"> investigation of the relation between groups processes and those in such individual thinkers as are we.</w:t>
      </w:r>
    </w:p>
    <w:p w14:paraId="7FED6010" w14:textId="77777777" w:rsidR="00AA2E66" w:rsidRDefault="00AA2E66" w:rsidP="000C2955">
      <w:pPr>
        <w:pStyle w:val="Standard"/>
      </w:pPr>
    </w:p>
    <w:p w14:paraId="7CD998EC" w14:textId="24AE5DF2" w:rsidR="00B65BF7" w:rsidRDefault="00B65BF7" w:rsidP="00B65BF7">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References</w:t>
      </w:r>
    </w:p>
    <w:p w14:paraId="3A95ECE8" w14:textId="77777777" w:rsidR="00B65BF7" w:rsidRDefault="00B65BF7" w:rsidP="00B65BF7">
      <w:pPr>
        <w:widowControl w:val="0"/>
        <w:autoSpaceDE w:val="0"/>
        <w:autoSpaceDN w:val="0"/>
        <w:adjustRightInd w:val="0"/>
        <w:spacing w:after="0"/>
        <w:rPr>
          <w:rFonts w:ascii="TimesNewRomanPSMT" w:hAnsi="TimesNewRomanPSMT" w:cs="TimesNewRomanPSMT"/>
        </w:rPr>
      </w:pPr>
    </w:p>
    <w:p w14:paraId="2AD2176E" w14:textId="0818BA2C" w:rsidR="001D33DA" w:rsidRDefault="001D33DA" w:rsidP="00B65BF7">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Adams, F., and K. Aizawa</w:t>
      </w:r>
      <w:r w:rsidRPr="001D33DA">
        <w:rPr>
          <w:rFonts w:ascii="TimesNewRomanPSMT" w:hAnsi="TimesNewRomanPSMT" w:cs="TimesNewRomanPSMT"/>
        </w:rPr>
        <w:t xml:space="preserve"> (2001). The bounds of cognition. </w:t>
      </w:r>
      <w:r w:rsidRPr="001D33DA">
        <w:rPr>
          <w:rFonts w:ascii="TimesNewRomanPSMT" w:hAnsi="TimesNewRomanPSMT" w:cs="TimesNewRomanPSMT"/>
          <w:i/>
        </w:rPr>
        <w:t>Philosophical Psychology</w:t>
      </w:r>
      <w:r w:rsidRPr="001D33DA">
        <w:rPr>
          <w:rFonts w:ascii="TimesNewRomanPSMT" w:hAnsi="TimesNewRomanPSMT" w:cs="TimesNewRomanPSMT"/>
        </w:rPr>
        <w:t xml:space="preserve"> 14, 43–64.</w:t>
      </w:r>
    </w:p>
    <w:p w14:paraId="58D9A69C" w14:textId="77777777" w:rsidR="001D33DA" w:rsidRDefault="001D33DA" w:rsidP="00B65BF7">
      <w:pPr>
        <w:widowControl w:val="0"/>
        <w:autoSpaceDE w:val="0"/>
        <w:autoSpaceDN w:val="0"/>
        <w:adjustRightInd w:val="0"/>
        <w:spacing w:after="0"/>
        <w:rPr>
          <w:rFonts w:ascii="TimesNewRomanPSMT" w:hAnsi="TimesNewRomanPSMT" w:cs="TimesNewRomanPSMT"/>
        </w:rPr>
      </w:pPr>
    </w:p>
    <w:p w14:paraId="4F7B80BD" w14:textId="17346EED" w:rsidR="00EA1788" w:rsidRPr="00EA1788" w:rsidRDefault="00EA1788" w:rsidP="00EA1788">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Anderson, M.</w:t>
      </w:r>
      <w:r w:rsidRPr="00EA1788">
        <w:rPr>
          <w:rFonts w:ascii="TimesNewRomanPSMT" w:hAnsi="TimesNewRomanPSMT" w:cs="TimesNewRomanPSMT"/>
        </w:rPr>
        <w:t xml:space="preserve"> L., (2010) Neural reuse: A fundamental organizational principle of </w:t>
      </w:r>
    </w:p>
    <w:p w14:paraId="1CEC1A57" w14:textId="5006B591" w:rsidR="00EA1788" w:rsidRDefault="00EA1788" w:rsidP="00EA1788">
      <w:pPr>
        <w:widowControl w:val="0"/>
        <w:autoSpaceDE w:val="0"/>
        <w:autoSpaceDN w:val="0"/>
        <w:adjustRightInd w:val="0"/>
        <w:spacing w:after="0"/>
        <w:rPr>
          <w:rFonts w:ascii="TimesNewRomanPSMT" w:hAnsi="TimesNewRomanPSMT" w:cs="TimesNewRomanPSMT"/>
        </w:rPr>
      </w:pPr>
      <w:r w:rsidRPr="00EA1788">
        <w:rPr>
          <w:rFonts w:ascii="TimesNewRomanPSMT" w:hAnsi="TimesNewRomanPSMT" w:cs="TimesNewRomanPSMT"/>
        </w:rPr>
        <w:t xml:space="preserve">the brain. </w:t>
      </w:r>
      <w:r w:rsidRPr="00EA1788">
        <w:rPr>
          <w:rFonts w:ascii="TimesNewRomanPSMT" w:hAnsi="TimesNewRomanPSMT" w:cs="TimesNewRomanPSMT"/>
          <w:i/>
        </w:rPr>
        <w:t xml:space="preserve">Behavioral and Brain Sciences </w:t>
      </w:r>
      <w:r w:rsidRPr="00EA1788">
        <w:rPr>
          <w:rFonts w:ascii="TimesNewRomanPSMT" w:hAnsi="TimesNewRomanPSMT" w:cs="TimesNewRomanPSMT"/>
        </w:rPr>
        <w:t>33, 245–313.</w:t>
      </w:r>
    </w:p>
    <w:p w14:paraId="28BB33A7" w14:textId="77777777" w:rsidR="00EA1788" w:rsidRDefault="00EA1788" w:rsidP="00B65BF7">
      <w:pPr>
        <w:widowControl w:val="0"/>
        <w:autoSpaceDE w:val="0"/>
        <w:autoSpaceDN w:val="0"/>
        <w:adjustRightInd w:val="0"/>
        <w:spacing w:after="0"/>
        <w:rPr>
          <w:rFonts w:ascii="TimesNewRomanPSMT" w:hAnsi="TimesNewRomanPSMT" w:cs="TimesNewRomanPSMT"/>
        </w:rPr>
      </w:pPr>
    </w:p>
    <w:p w14:paraId="3DBE9C0A" w14:textId="77777777" w:rsidR="00DF376C" w:rsidRPr="00512846" w:rsidRDefault="00DF376C" w:rsidP="00DF376C">
      <w:pPr>
        <w:widowControl w:val="0"/>
        <w:autoSpaceDE w:val="0"/>
        <w:autoSpaceDN w:val="0"/>
        <w:adjustRightInd w:val="0"/>
        <w:spacing w:after="0"/>
        <w:rPr>
          <w:rFonts w:ascii="TimesNewRomanPSMT" w:hAnsi="TimesNewRomanPSMT" w:cs="TimesNewRomanPSMT"/>
        </w:rPr>
      </w:pPr>
      <w:r w:rsidRPr="00512846">
        <w:rPr>
          <w:rFonts w:ascii="TimesNewRomanPSMT" w:hAnsi="TimesNewRomanPSMT" w:cs="TimesNewRomanPSMT"/>
        </w:rPr>
        <w:t>Block, N. (1978). Troubl</w:t>
      </w:r>
      <w:r>
        <w:rPr>
          <w:rFonts w:ascii="TimesNewRomanPSMT" w:hAnsi="TimesNewRomanPSMT" w:cs="TimesNewRomanPSMT"/>
        </w:rPr>
        <w:t>es with f</w:t>
      </w:r>
      <w:r w:rsidRPr="00512846">
        <w:rPr>
          <w:rFonts w:ascii="TimesNewRomanPSMT" w:hAnsi="TimesNewRomanPSMT" w:cs="TimesNewRomanPSMT"/>
        </w:rPr>
        <w:t xml:space="preserve">unctionalism. In C. Savage (Ed.), </w:t>
      </w:r>
      <w:r>
        <w:rPr>
          <w:rFonts w:ascii="TimesNewRomanPSMT" w:hAnsi="TimesNewRomanPSMT" w:cs="TimesNewRomanPSMT"/>
          <w:i/>
        </w:rPr>
        <w:t xml:space="preserve">Perception and </w:t>
      </w:r>
      <w:r w:rsidRPr="00512846">
        <w:rPr>
          <w:rFonts w:ascii="TimesNewRomanPSMT" w:hAnsi="TimesNewRomanPSMT" w:cs="TimesNewRomanPSMT"/>
          <w:i/>
        </w:rPr>
        <w:t>Cognition. Issues in the Foundations of Psychology, Minnesota Studies in the Philosophy of Science</w:t>
      </w:r>
      <w:r w:rsidRPr="00512846">
        <w:rPr>
          <w:rFonts w:ascii="TimesNewRomanPSMT" w:hAnsi="TimesNewRomanPSMT" w:cs="TimesNewRomanPSMT"/>
        </w:rPr>
        <w:t>, vol. 9 (pp. 261–32</w:t>
      </w:r>
      <w:r>
        <w:rPr>
          <w:rFonts w:ascii="TimesNewRomanPSMT" w:hAnsi="TimesNewRomanPSMT" w:cs="TimesNewRomanPSMT"/>
        </w:rPr>
        <w:t xml:space="preserve">5). Minneapolis: University of </w:t>
      </w:r>
      <w:r w:rsidRPr="00512846">
        <w:rPr>
          <w:rFonts w:ascii="TimesNewRomanPSMT" w:hAnsi="TimesNewRomanPSMT" w:cs="TimesNewRomanPSMT"/>
        </w:rPr>
        <w:t>Minnesota Press.</w:t>
      </w:r>
    </w:p>
    <w:p w14:paraId="54751116"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2A1D5096" w14:textId="77777777" w:rsidR="00DF376C" w:rsidRDefault="00DF376C"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bCs/>
        </w:rPr>
        <w:t>Block, N. (</w:t>
      </w:r>
      <w:r>
        <w:rPr>
          <w:rFonts w:ascii="TimesNewRomanPSMT" w:hAnsi="TimesNewRomanPSMT" w:cs="TimesNewRomanPSMT"/>
        </w:rPr>
        <w:t>1980</w:t>
      </w:r>
      <w:r w:rsidRPr="00512846">
        <w:rPr>
          <w:rFonts w:ascii="TimesNewRomanPSMT" w:hAnsi="TimesNewRomanPSMT" w:cs="TimesNewRomanPSMT"/>
        </w:rPr>
        <w:t xml:space="preserve">). Introduction: What is Functionalism? In </w:t>
      </w:r>
      <w:r>
        <w:rPr>
          <w:rFonts w:ascii="TimesNewRomanPSMT" w:hAnsi="TimesNewRomanPSMT" w:cs="TimesNewRomanPSMT"/>
        </w:rPr>
        <w:t xml:space="preserve">N. Block (Ed.), </w:t>
      </w:r>
      <w:r w:rsidRPr="00512846">
        <w:rPr>
          <w:rFonts w:ascii="TimesNewRomanPSMT" w:hAnsi="TimesNewRomanPSMT" w:cs="TimesNewRomanPSMT"/>
          <w:i/>
        </w:rPr>
        <w:t xml:space="preserve">Readings in the Philosophy of Psychology, </w:t>
      </w:r>
      <w:r w:rsidRPr="00512846">
        <w:rPr>
          <w:rFonts w:ascii="TimesNewRomanPSMT" w:hAnsi="TimesNewRomanPSMT" w:cs="TimesNewRomanPSMT"/>
        </w:rPr>
        <w:t>volume one</w:t>
      </w:r>
      <w:r>
        <w:rPr>
          <w:rFonts w:ascii="TimesNewRomanPSMT" w:hAnsi="TimesNewRomanPSMT" w:cs="TimesNewRomanPSMT"/>
        </w:rPr>
        <w:t xml:space="preserve">, </w:t>
      </w:r>
      <w:r w:rsidRPr="00512846">
        <w:rPr>
          <w:rFonts w:ascii="TimesNewRomanPSMT" w:hAnsi="TimesNewRomanPSMT" w:cs="TimesNewRomanPSMT"/>
        </w:rPr>
        <w:t>pp. 171–</w:t>
      </w:r>
      <w:r>
        <w:rPr>
          <w:rFonts w:ascii="TimesNewRomanPSMT" w:hAnsi="TimesNewRomanPSMT" w:cs="TimesNewRomanPSMT"/>
        </w:rPr>
        <w:t xml:space="preserve">84. </w:t>
      </w:r>
      <w:r w:rsidRPr="00512846">
        <w:rPr>
          <w:rFonts w:ascii="TimesNewRomanPSMT" w:hAnsi="TimesNewRomanPSMT" w:cs="TimesNewRomanPSMT"/>
        </w:rPr>
        <w:t>Cambridge, MA: Harvard University Press.</w:t>
      </w:r>
    </w:p>
    <w:p w14:paraId="41A94AEE"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16AC6E65" w14:textId="77777777" w:rsidR="00DF376C" w:rsidRDefault="00DF376C"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Chalmers, D. (1996). </w:t>
      </w:r>
      <w:r>
        <w:rPr>
          <w:rFonts w:ascii="TimesNewRomanPSMT" w:hAnsi="TimesNewRomanPSMT" w:cs="TimesNewRomanPSMT"/>
          <w:i/>
        </w:rPr>
        <w:t>The conscious mind: In search of a fundamental theory</w:t>
      </w:r>
      <w:r>
        <w:rPr>
          <w:rFonts w:ascii="TimesNewRomanPSMT" w:hAnsi="TimesNewRomanPSMT" w:cs="TimesNewRomanPSMT"/>
        </w:rPr>
        <w:t>. Oxford: Oxford University Press.</w:t>
      </w:r>
    </w:p>
    <w:p w14:paraId="7013DBAD"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44DF6486" w14:textId="77777777" w:rsidR="00DF376C" w:rsidRPr="00D97523" w:rsidRDefault="00DF376C"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Cherniak, C. (1986).</w:t>
      </w:r>
      <w:r>
        <w:rPr>
          <w:rFonts w:ascii="TimesNewRomanPSMT" w:hAnsi="TimesNewRomanPSMT" w:cs="TimesNewRomanPSMT"/>
          <w:i/>
        </w:rPr>
        <w:t xml:space="preserve"> Minimal r</w:t>
      </w:r>
      <w:r w:rsidRPr="0054199A">
        <w:rPr>
          <w:rFonts w:ascii="TimesNewRomanPSMT" w:hAnsi="TimesNewRomanPSMT" w:cs="TimesNewRomanPSMT"/>
          <w:i/>
        </w:rPr>
        <w:t>ationality</w:t>
      </w:r>
      <w:r>
        <w:rPr>
          <w:rFonts w:ascii="TimesNewRomanPSMT" w:hAnsi="TimesNewRomanPSMT" w:cs="TimesNewRomanPSMT"/>
        </w:rPr>
        <w:t>. Cambridge, MA: MIT Press.</w:t>
      </w:r>
    </w:p>
    <w:p w14:paraId="49203914"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743A8A48" w14:textId="77777777" w:rsidR="00DF376C" w:rsidRDefault="00DF376C" w:rsidP="00DF376C">
      <w:pPr>
        <w:widowControl w:val="0"/>
        <w:autoSpaceDE w:val="0"/>
        <w:autoSpaceDN w:val="0"/>
        <w:adjustRightInd w:val="0"/>
        <w:spacing w:after="0"/>
        <w:rPr>
          <w:rFonts w:ascii="TimesNewRomanPSMT" w:hAnsi="TimesNewRomanPSMT" w:cs="TimesNewRomanPSMT"/>
        </w:rPr>
      </w:pPr>
      <w:r w:rsidRPr="00BB753E">
        <w:rPr>
          <w:rFonts w:ascii="TimesNewRomanPSMT" w:hAnsi="TimesNewRomanPSMT" w:cs="TimesNewRomanPSMT"/>
        </w:rPr>
        <w:t>Churchland, P. M. (1981) Elim</w:t>
      </w:r>
      <w:r>
        <w:rPr>
          <w:rFonts w:ascii="TimesNewRomanPSMT" w:hAnsi="TimesNewRomanPSMT" w:cs="TimesNewRomanPSMT"/>
        </w:rPr>
        <w:t>inative m</w:t>
      </w:r>
      <w:r w:rsidRPr="00BB753E">
        <w:rPr>
          <w:rFonts w:ascii="TimesNewRomanPSMT" w:hAnsi="TimesNewRomanPSMT" w:cs="TimesNewRomanPSMT"/>
        </w:rPr>
        <w:t>aterialism a</w:t>
      </w:r>
      <w:r>
        <w:rPr>
          <w:rFonts w:ascii="TimesNewRomanPSMT" w:hAnsi="TimesNewRomanPSMT" w:cs="TimesNewRomanPSMT"/>
        </w:rPr>
        <w:t xml:space="preserve">nd the propositional attitudes. </w:t>
      </w:r>
      <w:r w:rsidRPr="00BB753E">
        <w:rPr>
          <w:rFonts w:ascii="TimesNewRomanPSMT" w:hAnsi="TimesNewRomanPSMT" w:cs="TimesNewRomanPSMT"/>
          <w:i/>
        </w:rPr>
        <w:t>Journal of Philosophy</w:t>
      </w:r>
      <w:r>
        <w:rPr>
          <w:rFonts w:ascii="TimesNewRomanPSMT" w:hAnsi="TimesNewRomanPSMT" w:cs="TimesNewRomanPSMT"/>
        </w:rPr>
        <w:t xml:space="preserve"> 78, 2,</w:t>
      </w:r>
      <w:r w:rsidRPr="00BB753E">
        <w:rPr>
          <w:rFonts w:ascii="TimesNewRomanPSMT" w:hAnsi="TimesNewRomanPSMT" w:cs="TimesNewRomanPSMT"/>
        </w:rPr>
        <w:t xml:space="preserve"> 67–90.</w:t>
      </w:r>
    </w:p>
    <w:p w14:paraId="04D7DA14"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67D5F6B9" w14:textId="77777777" w:rsidR="00DF376C" w:rsidRDefault="00DF376C"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bCs/>
        </w:rPr>
        <w:t xml:space="preserve">Clark, A. </w:t>
      </w:r>
      <w:r w:rsidRPr="00A10ED4">
        <w:rPr>
          <w:rFonts w:ascii="TimesNewRomanPSMT" w:hAnsi="TimesNewRomanPSMT" w:cs="TimesNewRomanPSMT"/>
        </w:rPr>
        <w:t xml:space="preserve">(1997). </w:t>
      </w:r>
      <w:r>
        <w:rPr>
          <w:rFonts w:ascii="TimesNewRomanPSMT" w:hAnsi="TimesNewRomanPSMT" w:cs="TimesNewRomanPSMT"/>
          <w:i/>
        </w:rPr>
        <w:t>Being there: Putting brain, body, and world together a</w:t>
      </w:r>
      <w:r w:rsidRPr="00A10ED4">
        <w:rPr>
          <w:rFonts w:ascii="TimesNewRomanPSMT" w:hAnsi="TimesNewRomanPSMT" w:cs="TimesNewRomanPSMT"/>
          <w:i/>
        </w:rPr>
        <w:t>gain</w:t>
      </w:r>
      <w:r w:rsidRPr="00A10ED4">
        <w:rPr>
          <w:rFonts w:ascii="TimesNewRomanPSMT" w:hAnsi="TimesNewRomanPSMT" w:cs="TimesNewRomanPSMT"/>
        </w:rPr>
        <w:t>. Cambridge, MA: MIT Press.</w:t>
      </w:r>
    </w:p>
    <w:p w14:paraId="1666FFA9"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086AB1D1" w14:textId="77777777" w:rsidR="00DF376C" w:rsidRPr="00F2395D" w:rsidRDefault="00DF376C" w:rsidP="00DF376C">
      <w:pPr>
        <w:widowControl w:val="0"/>
        <w:autoSpaceDE w:val="0"/>
        <w:autoSpaceDN w:val="0"/>
        <w:adjustRightInd w:val="0"/>
        <w:spacing w:after="0"/>
        <w:rPr>
          <w:rFonts w:ascii="TimesNewRomanPSMT" w:hAnsi="TimesNewRomanPSMT" w:cs="TimesNewRomanPSMT"/>
        </w:rPr>
      </w:pPr>
      <w:r w:rsidRPr="00F2395D">
        <w:rPr>
          <w:rFonts w:ascii="TimesNewRomanPSMT" w:hAnsi="TimesNewRomanPSMT" w:cs="TimesNewRomanPSMT"/>
        </w:rPr>
        <w:t xml:space="preserve">Clark, A. (2008). </w:t>
      </w:r>
      <w:r w:rsidRPr="00F2395D">
        <w:rPr>
          <w:rFonts w:ascii="TimesNewRomanPSMT" w:hAnsi="TimesNewRomanPSMT" w:cs="TimesNewRomanPSMT"/>
          <w:i/>
        </w:rPr>
        <w:t>Supersizing the mind: Embodiment, action, and cognitive extension</w:t>
      </w:r>
      <w:r w:rsidRPr="00F2395D">
        <w:rPr>
          <w:rFonts w:ascii="TimesNewRomanPSMT" w:hAnsi="TimesNewRomanPSMT" w:cs="TimesNewRomanPSMT"/>
        </w:rPr>
        <w:t xml:space="preserve">. </w:t>
      </w:r>
    </w:p>
    <w:p w14:paraId="003453FB" w14:textId="77777777" w:rsidR="00DF376C" w:rsidRPr="00F2395D" w:rsidRDefault="00DF376C" w:rsidP="00DF376C">
      <w:pPr>
        <w:widowControl w:val="0"/>
        <w:autoSpaceDE w:val="0"/>
        <w:autoSpaceDN w:val="0"/>
        <w:adjustRightInd w:val="0"/>
        <w:spacing w:after="0"/>
        <w:rPr>
          <w:rFonts w:ascii="TimesNewRomanPSMT" w:hAnsi="TimesNewRomanPSMT" w:cs="TimesNewRomanPSMT"/>
        </w:rPr>
      </w:pPr>
      <w:r w:rsidRPr="00F2395D">
        <w:rPr>
          <w:rFonts w:ascii="TimesNewRomanPSMT" w:hAnsi="TimesNewRomanPSMT" w:cs="TimesNewRomanPSMT"/>
        </w:rPr>
        <w:t>New York: Oxford University Press.</w:t>
      </w:r>
    </w:p>
    <w:p w14:paraId="7286685F"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295EFA74" w14:textId="77777777" w:rsidR="00DF376C" w:rsidRPr="00F2395D" w:rsidRDefault="00DF376C" w:rsidP="00DF376C">
      <w:pPr>
        <w:widowControl w:val="0"/>
        <w:autoSpaceDE w:val="0"/>
        <w:autoSpaceDN w:val="0"/>
        <w:adjustRightInd w:val="0"/>
        <w:spacing w:after="0"/>
        <w:rPr>
          <w:rFonts w:ascii="TimesNewRomanPSMT" w:hAnsi="TimesNewRomanPSMT" w:cs="TimesNewRomanPSMT"/>
          <w:bCs/>
        </w:rPr>
      </w:pPr>
      <w:r w:rsidRPr="00F2395D">
        <w:rPr>
          <w:rFonts w:ascii="TimesNewRomanPSMT" w:hAnsi="TimesNewRomanPSMT" w:cs="TimesNewRomanPSMT"/>
        </w:rPr>
        <w:t xml:space="preserve">Clark, A. (2010). </w:t>
      </w:r>
      <w:r w:rsidRPr="00F2395D">
        <w:rPr>
          <w:rFonts w:ascii="TimesNewRomanPSMT" w:hAnsi="TimesNewRomanPSMT" w:cs="TimesNewRomanPSMT"/>
          <w:bCs/>
        </w:rPr>
        <w:t xml:space="preserve">Memento’s revenge: The extended mind, extended. In Menary (2010), </w:t>
      </w:r>
    </w:p>
    <w:p w14:paraId="3BBAF242" w14:textId="77777777" w:rsidR="00DF376C" w:rsidRPr="00F2395D" w:rsidRDefault="00DF376C" w:rsidP="00DF376C">
      <w:pPr>
        <w:widowControl w:val="0"/>
        <w:autoSpaceDE w:val="0"/>
        <w:autoSpaceDN w:val="0"/>
        <w:adjustRightInd w:val="0"/>
        <w:spacing w:after="0"/>
        <w:rPr>
          <w:rFonts w:ascii="TimesNewRomanPSMT" w:hAnsi="TimesNewRomanPSMT" w:cs="TimesNewRomanPSMT"/>
          <w:bCs/>
        </w:rPr>
      </w:pPr>
      <w:r w:rsidRPr="00F2395D">
        <w:rPr>
          <w:rFonts w:ascii="TimesNewRomanPSMT" w:hAnsi="TimesNewRomanPSMT" w:cs="TimesNewRomanPSMT"/>
        </w:rPr>
        <w:t>43–66</w:t>
      </w:r>
      <w:r w:rsidRPr="00F2395D">
        <w:rPr>
          <w:rFonts w:ascii="TimesNewRomanPSMT" w:hAnsi="TimesNewRomanPSMT" w:cs="TimesNewRomanPSMT"/>
          <w:bCs/>
        </w:rPr>
        <w:t>.</w:t>
      </w:r>
    </w:p>
    <w:p w14:paraId="0DEC97B6"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4884CA67" w14:textId="77777777" w:rsidR="00DF376C" w:rsidRPr="004F3392" w:rsidRDefault="00DF376C" w:rsidP="00DF376C">
      <w:pPr>
        <w:pStyle w:val="Standard"/>
      </w:pPr>
      <w:r>
        <w:rPr>
          <w:bCs/>
        </w:rPr>
        <w:t xml:space="preserve">Clark, A. (2011). Finding the mind. </w:t>
      </w:r>
      <w:r w:rsidRPr="009E31CA">
        <w:rPr>
          <w:bCs/>
          <w:i/>
        </w:rPr>
        <w:t>Philosophical Studies</w:t>
      </w:r>
      <w:r w:rsidRPr="009E31CA">
        <w:rPr>
          <w:bCs/>
        </w:rPr>
        <w:t xml:space="preserve"> </w:t>
      </w:r>
      <w:r>
        <w:rPr>
          <w:bCs/>
        </w:rPr>
        <w:t xml:space="preserve">152, </w:t>
      </w:r>
      <w:r w:rsidRPr="009E31CA">
        <w:rPr>
          <w:bCs/>
        </w:rPr>
        <w:t>447–461</w:t>
      </w:r>
      <w:r>
        <w:rPr>
          <w:bCs/>
        </w:rPr>
        <w:t>.</w:t>
      </w:r>
    </w:p>
    <w:p w14:paraId="2955AE7B" w14:textId="77777777" w:rsidR="00DF376C" w:rsidRPr="007074F4" w:rsidRDefault="00DF376C" w:rsidP="00DF376C">
      <w:pPr>
        <w:pStyle w:val="Standard"/>
      </w:pPr>
      <w:r w:rsidRPr="00CD7B39">
        <w:t>Clark, A.,</w:t>
      </w:r>
      <w:r>
        <w:t xml:space="preserve"> and D. Chalmers</w:t>
      </w:r>
      <w:r w:rsidRPr="00CD7B39">
        <w:t xml:space="preserve"> (1998). The extended mind. </w:t>
      </w:r>
      <w:r w:rsidRPr="00CD7B39">
        <w:rPr>
          <w:i/>
        </w:rPr>
        <w:t>Analysis</w:t>
      </w:r>
      <w:r>
        <w:t xml:space="preserve"> 58, 7–19.</w:t>
      </w:r>
    </w:p>
    <w:p w14:paraId="7CB0A532" w14:textId="06C01D17" w:rsidR="00693BFA" w:rsidRPr="00693BFA" w:rsidRDefault="00693BFA"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Dennett, D. (1987). Three kinds of intentional psychology. In </w:t>
      </w:r>
      <w:r>
        <w:rPr>
          <w:rFonts w:ascii="TimesNewRomanPSMT" w:hAnsi="TimesNewRomanPSMT" w:cs="TimesNewRomanPSMT"/>
          <w:i/>
        </w:rPr>
        <w:t>The intentional stance</w:t>
      </w:r>
      <w:r w:rsidR="009D008E">
        <w:rPr>
          <w:rFonts w:ascii="TimesNewRomanPSMT" w:hAnsi="TimesNewRomanPSMT" w:cs="TimesNewRomanPSMT"/>
        </w:rPr>
        <w:t xml:space="preserve"> (pp. 43–68), Cambridge, MA: MIT Press</w:t>
      </w:r>
      <w:r>
        <w:rPr>
          <w:rFonts w:ascii="TimesNewRomanPSMT" w:hAnsi="TimesNewRomanPSMT" w:cs="TimesNewRomanPSMT"/>
        </w:rPr>
        <w:t xml:space="preserve">. Reprinted from R. Healy (Ed.), </w:t>
      </w:r>
      <w:r>
        <w:rPr>
          <w:rFonts w:ascii="TimesNewRomanPSMT" w:hAnsi="TimesNewRomanPSMT" w:cs="TimesNewRomanPSMT"/>
          <w:i/>
        </w:rPr>
        <w:t>Reduction, time and reality</w:t>
      </w:r>
      <w:r>
        <w:rPr>
          <w:rFonts w:ascii="TimesNewRomanPSMT" w:hAnsi="TimesNewRomanPSMT" w:cs="TimesNewRomanPSMT"/>
        </w:rPr>
        <w:t xml:space="preserve"> (Cambridge: Cambridge University Press, 1981).</w:t>
      </w:r>
    </w:p>
    <w:p w14:paraId="1FBE5931" w14:textId="77777777" w:rsidR="00693BFA" w:rsidRDefault="00693BFA" w:rsidP="00DF376C">
      <w:pPr>
        <w:widowControl w:val="0"/>
        <w:autoSpaceDE w:val="0"/>
        <w:autoSpaceDN w:val="0"/>
        <w:adjustRightInd w:val="0"/>
        <w:spacing w:after="0"/>
        <w:rPr>
          <w:rFonts w:ascii="TimesNewRomanPSMT" w:hAnsi="TimesNewRomanPSMT" w:cs="TimesNewRomanPSMT"/>
        </w:rPr>
      </w:pPr>
    </w:p>
    <w:p w14:paraId="57136F16" w14:textId="6C8EDB2E" w:rsidR="00DF376C" w:rsidRPr="00D97523" w:rsidRDefault="00DF376C" w:rsidP="00DF376C">
      <w:pPr>
        <w:widowControl w:val="0"/>
        <w:autoSpaceDE w:val="0"/>
        <w:autoSpaceDN w:val="0"/>
        <w:adjustRightInd w:val="0"/>
        <w:spacing w:after="0"/>
        <w:rPr>
          <w:rFonts w:ascii="TimesNewRomanPSMT" w:hAnsi="TimesNewRomanPSMT" w:cs="TimesNewRomanPSMT"/>
          <w:i/>
          <w:iCs/>
        </w:rPr>
      </w:pPr>
      <w:r w:rsidRPr="00D97523">
        <w:rPr>
          <w:rFonts w:ascii="TimesNewRomanPSMT" w:hAnsi="TimesNewRomanPSMT" w:cs="TimesNewRomanPSMT"/>
        </w:rPr>
        <w:t xml:space="preserve">Dennett, D. </w:t>
      </w:r>
      <w:r>
        <w:rPr>
          <w:rFonts w:ascii="TimesNewRomanPSMT" w:hAnsi="TimesNewRomanPSMT" w:cs="TimesNewRomanPSMT"/>
        </w:rPr>
        <w:t>(1988). Quining q</w:t>
      </w:r>
      <w:r w:rsidRPr="00D97523">
        <w:rPr>
          <w:rFonts w:ascii="TimesNewRomanPSMT" w:hAnsi="TimesNewRomanPSMT" w:cs="TimesNewRomanPSMT"/>
        </w:rPr>
        <w:t>ualia</w:t>
      </w:r>
      <w:r w:rsidR="00693BFA">
        <w:rPr>
          <w:rFonts w:ascii="TimesNewRomanPSMT" w:hAnsi="TimesNewRomanPSMT" w:cs="TimesNewRomanPSMT"/>
        </w:rPr>
        <w:t>. In A. Marcel and E. Bisiach (E</w:t>
      </w:r>
      <w:r w:rsidRPr="00D97523">
        <w:rPr>
          <w:rFonts w:ascii="TimesNewRomanPSMT" w:hAnsi="TimesNewRomanPSMT" w:cs="TimesNewRomanPSMT"/>
        </w:rPr>
        <w:t xml:space="preserve">ds.), </w:t>
      </w:r>
      <w:r w:rsidRPr="00D97523">
        <w:rPr>
          <w:rFonts w:ascii="TimesNewRomanPSMT" w:hAnsi="TimesNewRomanPSMT" w:cs="TimesNewRomanPSMT"/>
          <w:i/>
          <w:iCs/>
        </w:rPr>
        <w:t>Consciousness in</w:t>
      </w:r>
    </w:p>
    <w:p w14:paraId="1F9986FF" w14:textId="77777777" w:rsidR="00DF376C" w:rsidRDefault="00DF376C" w:rsidP="00DF376C">
      <w:pPr>
        <w:widowControl w:val="0"/>
        <w:autoSpaceDE w:val="0"/>
        <w:autoSpaceDN w:val="0"/>
        <w:adjustRightInd w:val="0"/>
        <w:spacing w:after="0"/>
        <w:rPr>
          <w:rFonts w:ascii="TimesNewRomanPSMT" w:hAnsi="TimesNewRomanPSMT" w:cs="TimesNewRomanPSMT"/>
        </w:rPr>
      </w:pPr>
      <w:r w:rsidRPr="00D97523">
        <w:rPr>
          <w:rFonts w:ascii="TimesNewRomanPSMT" w:hAnsi="TimesNewRomanPSMT" w:cs="TimesNewRomanPSMT"/>
          <w:i/>
          <w:iCs/>
        </w:rPr>
        <w:t xml:space="preserve">Modern Science </w:t>
      </w:r>
      <w:r w:rsidRPr="00D97523">
        <w:rPr>
          <w:rFonts w:ascii="TimesNewRomanPSMT" w:hAnsi="TimesNewRomanPSMT" w:cs="TimesNewRomanPSMT"/>
          <w:iCs/>
        </w:rPr>
        <w:t>(pp. 42–77)</w:t>
      </w:r>
      <w:r w:rsidRPr="00D97523">
        <w:rPr>
          <w:rFonts w:ascii="TimesNewRomanPSMT" w:hAnsi="TimesNewRomanPSMT" w:cs="TimesNewRomanPSMT"/>
        </w:rPr>
        <w:t>. Oxford: Oxford University Press.</w:t>
      </w:r>
    </w:p>
    <w:p w14:paraId="5FDC9C9B" w14:textId="77777777" w:rsidR="00DF376C" w:rsidRPr="00D97523" w:rsidRDefault="00DF376C" w:rsidP="00DF376C">
      <w:pPr>
        <w:widowControl w:val="0"/>
        <w:autoSpaceDE w:val="0"/>
        <w:autoSpaceDN w:val="0"/>
        <w:adjustRightInd w:val="0"/>
        <w:spacing w:after="0"/>
        <w:rPr>
          <w:rFonts w:ascii="TimesNewRomanPSMT" w:hAnsi="TimesNewRomanPSMT" w:cs="TimesNewRomanPSMT"/>
          <w:i/>
          <w:iCs/>
        </w:rPr>
      </w:pPr>
    </w:p>
    <w:p w14:paraId="2D70DA73" w14:textId="77777777" w:rsidR="00DF376C" w:rsidRDefault="00DF376C" w:rsidP="00DF376C">
      <w:pPr>
        <w:widowControl w:val="0"/>
        <w:autoSpaceDE w:val="0"/>
        <w:autoSpaceDN w:val="0"/>
        <w:adjustRightInd w:val="0"/>
        <w:spacing w:after="0"/>
        <w:rPr>
          <w:rFonts w:ascii="TimesNewRomanPSMT" w:hAnsi="TimesNewRomanPSMT" w:cs="TimesNewRomanPSMT"/>
        </w:rPr>
      </w:pPr>
      <w:r w:rsidRPr="00D97523">
        <w:rPr>
          <w:rFonts w:ascii="TimesNewRomanPSMT" w:hAnsi="TimesNewRomanPSMT" w:cs="TimesNewRomanPSMT"/>
        </w:rPr>
        <w:t xml:space="preserve">Dennett, D. (1991). </w:t>
      </w:r>
      <w:r>
        <w:rPr>
          <w:rFonts w:ascii="TimesNewRomanPSMT" w:hAnsi="TimesNewRomanPSMT" w:cs="TimesNewRomanPSMT"/>
          <w:i/>
          <w:iCs/>
        </w:rPr>
        <w:t>Consciousness e</w:t>
      </w:r>
      <w:r w:rsidRPr="00D97523">
        <w:rPr>
          <w:rFonts w:ascii="TimesNewRomanPSMT" w:hAnsi="TimesNewRomanPSMT" w:cs="TimesNewRomanPSMT"/>
          <w:i/>
          <w:iCs/>
        </w:rPr>
        <w:t>xplained</w:t>
      </w:r>
      <w:r w:rsidRPr="00D97523">
        <w:rPr>
          <w:rFonts w:ascii="TimesNewRomanPSMT" w:hAnsi="TimesNewRomanPSMT" w:cs="TimesNewRomanPSMT"/>
        </w:rPr>
        <w:t>. Boston, MA: Little, Brown and Company.</w:t>
      </w:r>
    </w:p>
    <w:p w14:paraId="5D793615"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0E1CA856" w14:textId="77777777" w:rsidR="00DF376C" w:rsidRPr="004F3392" w:rsidRDefault="00DF376C"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Fodor, J. (1983). </w:t>
      </w:r>
      <w:r>
        <w:rPr>
          <w:rFonts w:ascii="TimesNewRomanPSMT" w:hAnsi="TimesNewRomanPSMT" w:cs="TimesNewRomanPSMT"/>
          <w:i/>
        </w:rPr>
        <w:t>The modularity of mind: An essay on faculty psychology</w:t>
      </w:r>
      <w:r>
        <w:rPr>
          <w:rFonts w:ascii="TimesNewRomanPSMT" w:hAnsi="TimesNewRomanPSMT" w:cs="TimesNewRomanPSMT"/>
        </w:rPr>
        <w:t>. Cambridge, MA: MIT Press.</w:t>
      </w:r>
    </w:p>
    <w:p w14:paraId="7C72A383"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4F426976" w14:textId="3EE34743" w:rsidR="00712355" w:rsidRPr="00712355" w:rsidRDefault="00712355" w:rsidP="00712355">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Fodor, J. </w:t>
      </w:r>
      <w:r w:rsidRPr="00712355">
        <w:rPr>
          <w:rFonts w:ascii="TimesNewRomanPSMT" w:hAnsi="TimesNewRomanPSMT" w:cs="TimesNewRomanPSMT"/>
        </w:rPr>
        <w:t xml:space="preserve">(1994). </w:t>
      </w:r>
      <w:r>
        <w:rPr>
          <w:rFonts w:ascii="TimesNewRomanPSMT" w:hAnsi="TimesNewRomanPSMT" w:cs="TimesNewRomanPSMT"/>
          <w:i/>
        </w:rPr>
        <w:t>The elm and the e</w:t>
      </w:r>
      <w:r w:rsidRPr="00712355">
        <w:rPr>
          <w:rFonts w:ascii="TimesNewRomanPSMT" w:hAnsi="TimesNewRomanPSMT" w:cs="TimesNewRomanPSMT"/>
          <w:i/>
        </w:rPr>
        <w:t>xpert</w:t>
      </w:r>
      <w:r>
        <w:rPr>
          <w:rFonts w:ascii="TimesNewRomanPSMT" w:hAnsi="TimesNewRomanPSMT" w:cs="TimesNewRomanPSMT"/>
          <w:i/>
        </w:rPr>
        <w:t>: Mentalese and its s</w:t>
      </w:r>
      <w:r w:rsidRPr="00712355">
        <w:rPr>
          <w:rFonts w:ascii="TimesNewRomanPSMT" w:hAnsi="TimesNewRomanPSMT" w:cs="TimesNewRomanPSMT"/>
          <w:i/>
        </w:rPr>
        <w:t>emantics</w:t>
      </w:r>
      <w:r>
        <w:rPr>
          <w:rFonts w:ascii="TimesNewRomanPSMT" w:hAnsi="TimesNewRomanPSMT" w:cs="TimesNewRomanPSMT"/>
        </w:rPr>
        <w:t xml:space="preserve">. Cambridge, MA: </w:t>
      </w:r>
      <w:r w:rsidRPr="00712355">
        <w:rPr>
          <w:rFonts w:ascii="TimesNewRomanPSMT" w:hAnsi="TimesNewRomanPSMT" w:cs="TimesNewRomanPSMT"/>
        </w:rPr>
        <w:t>MIT Press.</w:t>
      </w:r>
    </w:p>
    <w:p w14:paraId="4D74D750" w14:textId="77777777" w:rsidR="00712355" w:rsidRDefault="00712355" w:rsidP="00712355">
      <w:pPr>
        <w:widowControl w:val="0"/>
        <w:autoSpaceDE w:val="0"/>
        <w:autoSpaceDN w:val="0"/>
        <w:adjustRightInd w:val="0"/>
        <w:spacing w:after="0"/>
        <w:rPr>
          <w:rFonts w:ascii="TimesNewRomanPSMT" w:hAnsi="TimesNewRomanPSMT" w:cs="TimesNewRomanPSMT"/>
        </w:rPr>
      </w:pPr>
    </w:p>
    <w:p w14:paraId="119AD349" w14:textId="2FBC5EC2" w:rsidR="00712355" w:rsidRDefault="00712355" w:rsidP="00712355">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Fodor, J. </w:t>
      </w:r>
      <w:r w:rsidRPr="00712355">
        <w:rPr>
          <w:rFonts w:ascii="TimesNewRomanPSMT" w:hAnsi="TimesNewRomanPSMT" w:cs="TimesNewRomanPSMT"/>
        </w:rPr>
        <w:t xml:space="preserve">(1998). </w:t>
      </w:r>
      <w:r>
        <w:rPr>
          <w:rFonts w:ascii="TimesNewRomanPSMT" w:hAnsi="TimesNewRomanPSMT" w:cs="TimesNewRomanPSMT"/>
          <w:i/>
        </w:rPr>
        <w:t>Concepts: Where cognitive science went w</w:t>
      </w:r>
      <w:r w:rsidRPr="00712355">
        <w:rPr>
          <w:rFonts w:ascii="TimesNewRomanPSMT" w:hAnsi="TimesNewRomanPSMT" w:cs="TimesNewRomanPSMT"/>
          <w:i/>
        </w:rPr>
        <w:t>rong</w:t>
      </w:r>
      <w:r w:rsidRPr="00712355">
        <w:rPr>
          <w:rFonts w:ascii="TimesNewRomanPSMT" w:hAnsi="TimesNewRomanPSMT" w:cs="TimesNewRomanPSMT"/>
        </w:rPr>
        <w:t>. Oxford: Oxfo</w:t>
      </w:r>
      <w:r>
        <w:rPr>
          <w:rFonts w:ascii="TimesNewRomanPSMT" w:hAnsi="TimesNewRomanPSMT" w:cs="TimesNewRomanPSMT"/>
        </w:rPr>
        <w:t xml:space="preserve">rd </w:t>
      </w:r>
      <w:r w:rsidRPr="00712355">
        <w:rPr>
          <w:rFonts w:ascii="TimesNewRomanPSMT" w:hAnsi="TimesNewRomanPSMT" w:cs="TimesNewRomanPSMT"/>
        </w:rPr>
        <w:t>University Press.</w:t>
      </w:r>
    </w:p>
    <w:p w14:paraId="7BA85329" w14:textId="77777777" w:rsidR="00712355" w:rsidRDefault="00712355" w:rsidP="00DF376C">
      <w:pPr>
        <w:widowControl w:val="0"/>
        <w:autoSpaceDE w:val="0"/>
        <w:autoSpaceDN w:val="0"/>
        <w:adjustRightInd w:val="0"/>
        <w:spacing w:after="0"/>
        <w:rPr>
          <w:rFonts w:ascii="TimesNewRomanPSMT" w:hAnsi="TimesNewRomanPSMT" w:cs="TimesNewRomanPSMT"/>
        </w:rPr>
      </w:pPr>
    </w:p>
    <w:p w14:paraId="54F7C23D" w14:textId="77777777" w:rsidR="00DF376C" w:rsidRDefault="00DF376C" w:rsidP="00DF376C">
      <w:pPr>
        <w:widowControl w:val="0"/>
        <w:autoSpaceDE w:val="0"/>
        <w:autoSpaceDN w:val="0"/>
        <w:adjustRightInd w:val="0"/>
        <w:spacing w:after="0"/>
        <w:rPr>
          <w:rFonts w:ascii="TimesNewRomanPSMT" w:hAnsi="TimesNewRomanPSMT" w:cs="TimesNewRomanPSMT"/>
        </w:rPr>
      </w:pPr>
      <w:r w:rsidRPr="00D35E12">
        <w:rPr>
          <w:rFonts w:ascii="TimesNewRomanPSMT" w:hAnsi="TimesNewRomanPSMT" w:cs="TimesNewRomanPSMT"/>
        </w:rPr>
        <w:t xml:space="preserve">Giere, R. </w:t>
      </w:r>
      <w:r>
        <w:rPr>
          <w:rFonts w:ascii="TimesNewRomanPSMT" w:hAnsi="TimesNewRomanPSMT" w:cs="TimesNewRomanPSMT"/>
        </w:rPr>
        <w:t>(</w:t>
      </w:r>
      <w:r w:rsidRPr="00D35E12">
        <w:rPr>
          <w:rFonts w:ascii="TimesNewRomanPSMT" w:hAnsi="TimesNewRomanPSMT" w:cs="TimesNewRomanPSMT"/>
        </w:rPr>
        <w:t>2006</w:t>
      </w:r>
      <w:r>
        <w:rPr>
          <w:rFonts w:ascii="TimesNewRomanPSMT" w:hAnsi="TimesNewRomanPSMT" w:cs="TimesNewRomanPSMT"/>
        </w:rPr>
        <w:t>)</w:t>
      </w:r>
      <w:r w:rsidRPr="00D35E12">
        <w:rPr>
          <w:rFonts w:ascii="TimesNewRomanPSMT" w:hAnsi="TimesNewRomanPSMT" w:cs="TimesNewRomanPSMT"/>
        </w:rPr>
        <w:t xml:space="preserve">. The role of agency in distributed cognitive systems. </w:t>
      </w:r>
      <w:r w:rsidRPr="00D35E12">
        <w:rPr>
          <w:rFonts w:ascii="TimesNewRomanPSMT" w:hAnsi="TimesNewRomanPSMT" w:cs="TimesNewRomanPSMT"/>
          <w:i/>
        </w:rPr>
        <w:t>Philosophy of Science</w:t>
      </w:r>
      <w:r w:rsidRPr="00D35E12">
        <w:rPr>
          <w:rFonts w:ascii="TimesNewRomanPSMT" w:hAnsi="TimesNewRomanPSMT" w:cs="TimesNewRomanPSMT"/>
        </w:rPr>
        <w:t xml:space="preserve"> 73: 710–719.</w:t>
      </w:r>
    </w:p>
    <w:p w14:paraId="3FE37C7F"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152BE1EA" w14:textId="77777777" w:rsidR="00DF376C" w:rsidRDefault="00DF376C"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Goldstone, R., and T. Gureckis (2009). Collective b</w:t>
      </w:r>
      <w:r w:rsidRPr="00B65BF7">
        <w:rPr>
          <w:rFonts w:ascii="TimesNewRomanPSMT" w:hAnsi="TimesNewRomanPSMT" w:cs="TimesNewRomanPSMT"/>
        </w:rPr>
        <w:t>ehavior</w:t>
      </w:r>
      <w:r>
        <w:rPr>
          <w:rFonts w:ascii="TimesNewRomanPSMT" w:hAnsi="TimesNewRomanPSMT" w:cs="TimesNewRomanPSMT"/>
        </w:rPr>
        <w:t xml:space="preserve">. </w:t>
      </w:r>
      <w:r w:rsidRPr="00B65BF7">
        <w:rPr>
          <w:rFonts w:ascii="TimesNewRomanPSMT" w:hAnsi="TimesNewRomanPSMT" w:cs="TimesNewRomanPSMT"/>
          <w:i/>
        </w:rPr>
        <w:t>Topics in Cognitive Science</w:t>
      </w:r>
      <w:r>
        <w:rPr>
          <w:rFonts w:ascii="TimesNewRomanPSMT" w:hAnsi="TimesNewRomanPSMT" w:cs="TimesNewRomanPSMT"/>
        </w:rPr>
        <w:t xml:space="preserve"> 1:</w:t>
      </w:r>
      <w:r w:rsidRPr="00B65BF7">
        <w:rPr>
          <w:rFonts w:ascii="TimesNewRomanPSMT" w:hAnsi="TimesNewRomanPSMT" w:cs="TimesNewRomanPSMT"/>
        </w:rPr>
        <w:t xml:space="preserve"> 412–438</w:t>
      </w:r>
    </w:p>
    <w:p w14:paraId="4F869650"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79415FC3" w14:textId="77777777" w:rsidR="00DF376C" w:rsidRPr="005F2CCE" w:rsidRDefault="00DF376C" w:rsidP="00DF376C">
      <w:pPr>
        <w:spacing w:after="0"/>
        <w:rPr>
          <w:rFonts w:ascii="Times New Roman" w:hAnsi="Times New Roman"/>
        </w:rPr>
      </w:pPr>
      <w:r>
        <w:rPr>
          <w:rFonts w:ascii="Times New Roman" w:hAnsi="Times New Roman"/>
        </w:rPr>
        <w:t xml:space="preserve">Gopnik, A., and Wellman, H. M. (1992). Why the child’s theory of mind really </w:t>
      </w:r>
      <w:r>
        <w:rPr>
          <w:rFonts w:ascii="Times New Roman" w:hAnsi="Times New Roman"/>
          <w:i/>
        </w:rPr>
        <w:t>i</w:t>
      </w:r>
      <w:r w:rsidRPr="008D12CE">
        <w:rPr>
          <w:rFonts w:ascii="Times New Roman" w:hAnsi="Times New Roman"/>
          <w:i/>
        </w:rPr>
        <w:t>s</w:t>
      </w:r>
      <w:r>
        <w:rPr>
          <w:rFonts w:ascii="Times New Roman" w:hAnsi="Times New Roman"/>
          <w:i/>
        </w:rPr>
        <w:t xml:space="preserve"> </w:t>
      </w:r>
      <w:r>
        <w:rPr>
          <w:rFonts w:ascii="Times New Roman" w:hAnsi="Times New Roman"/>
        </w:rPr>
        <w:t xml:space="preserve">a theory. </w:t>
      </w:r>
      <w:r>
        <w:rPr>
          <w:rFonts w:ascii="Times New Roman" w:hAnsi="Times New Roman"/>
          <w:i/>
        </w:rPr>
        <w:t>Mind &amp; Language</w:t>
      </w:r>
      <w:r>
        <w:rPr>
          <w:rFonts w:ascii="Times New Roman" w:hAnsi="Times New Roman"/>
        </w:rPr>
        <w:t xml:space="preserve"> 7: 145–171.</w:t>
      </w:r>
    </w:p>
    <w:p w14:paraId="4F8D0878" w14:textId="77777777" w:rsidR="0044451F" w:rsidRPr="0044451F" w:rsidRDefault="0044451F" w:rsidP="0044451F">
      <w:pPr>
        <w:widowControl w:val="0"/>
        <w:autoSpaceDE w:val="0"/>
        <w:autoSpaceDN w:val="0"/>
        <w:adjustRightInd w:val="0"/>
        <w:spacing w:after="0"/>
        <w:rPr>
          <w:rFonts w:ascii="TimesNewRomanPSMT" w:hAnsi="TimesNewRomanPSMT" w:cs="TimesNewRomanPSMT"/>
        </w:rPr>
      </w:pPr>
    </w:p>
    <w:p w14:paraId="708AC260" w14:textId="77777777" w:rsidR="0044451F" w:rsidRPr="0044451F" w:rsidRDefault="0044451F" w:rsidP="0044451F">
      <w:pPr>
        <w:widowControl w:val="0"/>
        <w:autoSpaceDE w:val="0"/>
        <w:autoSpaceDN w:val="0"/>
        <w:adjustRightInd w:val="0"/>
        <w:spacing w:after="0"/>
        <w:rPr>
          <w:rFonts w:ascii="TimesNewRomanPSMT" w:hAnsi="TimesNewRomanPSMT" w:cs="TimesNewRomanPSMT"/>
        </w:rPr>
      </w:pPr>
      <w:r w:rsidRPr="0044451F">
        <w:rPr>
          <w:rFonts w:ascii="TimesNewRomanPSMT" w:hAnsi="TimesNewRomanPSMT" w:cs="TimesNewRomanPSMT"/>
        </w:rPr>
        <w:t xml:space="preserve">Grush, R. (1997). The Architecture of Representation. </w:t>
      </w:r>
      <w:r w:rsidRPr="0044451F">
        <w:rPr>
          <w:rFonts w:ascii="TimesNewRomanPSMT" w:hAnsi="TimesNewRomanPSMT" w:cs="TimesNewRomanPSMT"/>
          <w:i/>
          <w:iCs/>
        </w:rPr>
        <w:t xml:space="preserve">Philosophical Psychology </w:t>
      </w:r>
      <w:r w:rsidRPr="0044451F">
        <w:rPr>
          <w:rFonts w:ascii="TimesNewRomanPSMT" w:hAnsi="TimesNewRomanPSMT" w:cs="TimesNewRomanPSMT"/>
        </w:rPr>
        <w:t>10: 5–</w:t>
      </w:r>
    </w:p>
    <w:p w14:paraId="216E3CEC" w14:textId="164FD477" w:rsidR="00FD4F08" w:rsidRDefault="0044451F" w:rsidP="0044451F">
      <w:pPr>
        <w:widowControl w:val="0"/>
        <w:autoSpaceDE w:val="0"/>
        <w:autoSpaceDN w:val="0"/>
        <w:adjustRightInd w:val="0"/>
        <w:spacing w:after="0"/>
        <w:rPr>
          <w:rFonts w:ascii="TimesNewRomanPSMT" w:hAnsi="TimesNewRomanPSMT" w:cs="TimesNewRomanPSMT"/>
        </w:rPr>
      </w:pPr>
      <w:r w:rsidRPr="0044451F">
        <w:rPr>
          <w:rFonts w:ascii="TimesNewRomanPSMT" w:hAnsi="TimesNewRomanPSMT" w:cs="TimesNewRomanPSMT"/>
        </w:rPr>
        <w:t>23.</w:t>
      </w:r>
    </w:p>
    <w:p w14:paraId="1D23E0CF" w14:textId="77777777" w:rsidR="00FD4F08" w:rsidRDefault="00FD4F08" w:rsidP="00DF376C">
      <w:pPr>
        <w:widowControl w:val="0"/>
        <w:autoSpaceDE w:val="0"/>
        <w:autoSpaceDN w:val="0"/>
        <w:adjustRightInd w:val="0"/>
        <w:spacing w:after="0"/>
        <w:rPr>
          <w:rFonts w:ascii="TimesNewRomanPSMT" w:hAnsi="TimesNewRomanPSMT" w:cs="TimesNewRomanPSMT"/>
        </w:rPr>
      </w:pPr>
    </w:p>
    <w:p w14:paraId="1709BB78" w14:textId="77777777" w:rsidR="00DF376C" w:rsidRDefault="00DF376C"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Huebner, B. (2008). Do you see what we see? An investigation of an a</w:t>
      </w:r>
      <w:r w:rsidRPr="00B27654">
        <w:rPr>
          <w:rFonts w:ascii="TimesNewRomanPSMT" w:hAnsi="TimesNewRomanPSMT" w:cs="TimesNewRomanPSMT"/>
        </w:rPr>
        <w:t>rgument aga</w:t>
      </w:r>
      <w:r>
        <w:rPr>
          <w:rFonts w:ascii="TimesNewRomanPSMT" w:hAnsi="TimesNewRomanPSMT" w:cs="TimesNewRomanPSMT"/>
        </w:rPr>
        <w:t xml:space="preserve">inst collective representation. </w:t>
      </w:r>
      <w:r w:rsidRPr="00B27654">
        <w:rPr>
          <w:rFonts w:ascii="TimesNewRomanPSMT" w:hAnsi="TimesNewRomanPSMT" w:cs="TimesNewRomanPSMT"/>
          <w:i/>
        </w:rPr>
        <w:t>Philosophical Psychology</w:t>
      </w:r>
      <w:r>
        <w:rPr>
          <w:rFonts w:ascii="TimesNewRomanPSMT" w:hAnsi="TimesNewRomanPSMT" w:cs="TimesNewRomanPSMT"/>
        </w:rPr>
        <w:t xml:space="preserve"> 21</w:t>
      </w:r>
      <w:r w:rsidRPr="00B27654">
        <w:rPr>
          <w:rFonts w:ascii="TimesNewRomanPSMT" w:hAnsi="TimesNewRomanPSMT" w:cs="TimesNewRomanPSMT"/>
        </w:rPr>
        <w:t>: 91–112.</w:t>
      </w:r>
    </w:p>
    <w:p w14:paraId="6B69A962"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4F93F6AF" w14:textId="77777777" w:rsidR="00DF376C" w:rsidRPr="00B27654" w:rsidRDefault="00DF376C"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Huebner, B. forthcoming. </w:t>
      </w:r>
      <w:r>
        <w:rPr>
          <w:rFonts w:ascii="TimesNewRomanPSMT" w:hAnsi="TimesNewRomanPSMT" w:cs="TimesNewRomanPSMT"/>
          <w:i/>
        </w:rPr>
        <w:t>Macrocognition: A theory of distributed minds and collective intentionality</w:t>
      </w:r>
      <w:r>
        <w:rPr>
          <w:rFonts w:ascii="TimesNewRomanPSMT" w:hAnsi="TimesNewRomanPSMT" w:cs="TimesNewRomanPSMT"/>
        </w:rPr>
        <w:t>.</w:t>
      </w:r>
    </w:p>
    <w:p w14:paraId="7A6B6892"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05979072" w14:textId="77777777" w:rsidR="00DF376C" w:rsidRDefault="00DF376C" w:rsidP="00DF376C">
      <w:pPr>
        <w:widowControl w:val="0"/>
        <w:autoSpaceDE w:val="0"/>
        <w:autoSpaceDN w:val="0"/>
        <w:adjustRightInd w:val="0"/>
        <w:spacing w:after="0"/>
        <w:rPr>
          <w:rFonts w:ascii="TimesNewRomanPSMT" w:hAnsi="TimesNewRomanPSMT" w:cs="TimesNewRomanPSMT"/>
        </w:rPr>
      </w:pPr>
      <w:r w:rsidRPr="00963DE8">
        <w:rPr>
          <w:rFonts w:ascii="TimesNewRomanPSMT" w:hAnsi="TimesNewRomanPSMT" w:cs="TimesNewRomanPSMT"/>
        </w:rPr>
        <w:t>Hutchins, E.</w:t>
      </w:r>
      <w:r>
        <w:rPr>
          <w:rFonts w:ascii="TimesNewRomanPSMT" w:hAnsi="TimesNewRomanPSMT" w:cs="TimesNewRomanPSMT"/>
        </w:rPr>
        <w:t xml:space="preserve"> (1995).</w:t>
      </w:r>
      <w:r w:rsidRPr="00963DE8">
        <w:rPr>
          <w:rFonts w:ascii="TimesNewRomanPSMT" w:hAnsi="TimesNewRomanPSMT" w:cs="TimesNewRomanPSMT"/>
        </w:rPr>
        <w:t xml:space="preserve"> </w:t>
      </w:r>
      <w:r w:rsidRPr="00963DE8">
        <w:rPr>
          <w:rFonts w:ascii="TimesNewRomanPSMT" w:hAnsi="TimesNewRomanPSMT" w:cs="TimesNewRomanPSMT"/>
          <w:i/>
        </w:rPr>
        <w:t>Cognition in the Wild</w:t>
      </w:r>
      <w:r>
        <w:rPr>
          <w:rFonts w:ascii="TimesNewRomanPSMT" w:hAnsi="TimesNewRomanPSMT" w:cs="TimesNewRomanPSMT"/>
        </w:rPr>
        <w:t>. Cambridge, MA: MIT Press</w:t>
      </w:r>
      <w:r w:rsidRPr="00963DE8">
        <w:rPr>
          <w:rFonts w:ascii="TimesNewRomanPSMT" w:hAnsi="TimesNewRomanPSMT" w:cs="TimesNewRomanPSMT"/>
        </w:rPr>
        <w:t>.</w:t>
      </w:r>
    </w:p>
    <w:p w14:paraId="228D0C01"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18124ABF" w14:textId="77777777" w:rsidR="00DF376C" w:rsidRDefault="00DF376C"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Klein, C. (2010). </w:t>
      </w:r>
      <w:r w:rsidRPr="00970FF2">
        <w:rPr>
          <w:rFonts w:ascii="TimesNewRomanPSMT" w:hAnsi="TimesNewRomanPSMT" w:cs="TimesNewRomanPSMT"/>
        </w:rPr>
        <w:t xml:space="preserve">Critical Notice: </w:t>
      </w:r>
      <w:r w:rsidRPr="00970FF2">
        <w:rPr>
          <w:rFonts w:ascii="TimesNewRomanPSMT" w:hAnsi="TimesNewRomanPSMT" w:cs="TimesNewRomanPSMT"/>
          <w:i/>
        </w:rPr>
        <w:t>Cognitive Systems and the Extended Mind</w:t>
      </w:r>
      <w:r>
        <w:rPr>
          <w:rFonts w:ascii="TimesNewRomanPSMT" w:hAnsi="TimesNewRomanPSMT" w:cs="TimesNewRomanPSMT"/>
        </w:rPr>
        <w:t xml:space="preserve"> by Robert Rupert.</w:t>
      </w:r>
      <w:r w:rsidRPr="00970FF2">
        <w:rPr>
          <w:rFonts w:ascii="TimesNewRomanPSMT" w:hAnsi="TimesNewRomanPSMT" w:cs="TimesNewRomanPSMT"/>
        </w:rPr>
        <w:t xml:space="preserve"> </w:t>
      </w:r>
      <w:r w:rsidRPr="00970FF2">
        <w:rPr>
          <w:rFonts w:ascii="TimesNewRomanPSMT" w:hAnsi="TimesNewRomanPSMT" w:cs="TimesNewRomanPSMT"/>
          <w:i/>
        </w:rPr>
        <w:t>The Journal of Mind and Behavior</w:t>
      </w:r>
      <w:r>
        <w:rPr>
          <w:rFonts w:ascii="TimesNewRomanPSMT" w:hAnsi="TimesNewRomanPSMT" w:cs="TimesNewRomanPSMT"/>
        </w:rPr>
        <w:t xml:space="preserve"> 31, 3&amp;4,</w:t>
      </w:r>
      <w:r w:rsidRPr="00970FF2">
        <w:rPr>
          <w:rFonts w:ascii="TimesNewRomanPSMT" w:hAnsi="TimesNewRomanPSMT" w:cs="TimesNewRomanPSMT"/>
        </w:rPr>
        <w:t xml:space="preserve"> 253-264.</w:t>
      </w:r>
    </w:p>
    <w:p w14:paraId="10CA46B3" w14:textId="77777777" w:rsidR="00DF376C" w:rsidRPr="00F433D0" w:rsidRDefault="00DF376C" w:rsidP="00DF376C">
      <w:pPr>
        <w:widowControl w:val="0"/>
        <w:autoSpaceDE w:val="0"/>
        <w:autoSpaceDN w:val="0"/>
        <w:adjustRightInd w:val="0"/>
        <w:spacing w:after="0"/>
        <w:rPr>
          <w:rFonts w:ascii="TimesNewRomanPSMT" w:hAnsi="TimesNewRomanPSMT" w:cs="TimesNewRomanPSMT"/>
        </w:rPr>
      </w:pPr>
    </w:p>
    <w:p w14:paraId="3B06F52E" w14:textId="77777777" w:rsidR="00DF376C" w:rsidRDefault="00DF376C" w:rsidP="00DF376C">
      <w:pPr>
        <w:widowControl w:val="0"/>
        <w:autoSpaceDE w:val="0"/>
        <w:autoSpaceDN w:val="0"/>
        <w:adjustRightInd w:val="0"/>
        <w:spacing w:after="0"/>
        <w:rPr>
          <w:rFonts w:ascii="TimesNewRomanPSMT" w:hAnsi="TimesNewRomanPSMT" w:cs="TimesNewRomanPSMT"/>
        </w:rPr>
      </w:pPr>
      <w:r w:rsidRPr="00F433D0">
        <w:rPr>
          <w:rFonts w:ascii="TimesNewRomanPSMT" w:hAnsi="TimesNewRomanPSMT" w:cs="TimesNewRomanPSMT"/>
        </w:rPr>
        <w:t xml:space="preserve">Machamer, P., L. Darden, and C. Craver. (2000) </w:t>
      </w:r>
      <w:r>
        <w:rPr>
          <w:rFonts w:ascii="TimesNewRomanPSMT" w:hAnsi="TimesNewRomanPSMT" w:cs="TimesNewRomanPSMT"/>
          <w:bCs/>
        </w:rPr>
        <w:t>Thinking about m</w:t>
      </w:r>
      <w:r w:rsidRPr="00F433D0">
        <w:rPr>
          <w:rFonts w:ascii="TimesNewRomanPSMT" w:hAnsi="TimesNewRomanPSMT" w:cs="TimesNewRomanPSMT"/>
          <w:bCs/>
        </w:rPr>
        <w:t>echanisms</w:t>
      </w:r>
      <w:r>
        <w:rPr>
          <w:rFonts w:ascii="TimesNewRomanPSMT" w:hAnsi="TimesNewRomanPSMT" w:cs="TimesNewRomanPSMT"/>
          <w:bCs/>
        </w:rPr>
        <w:t>.</w:t>
      </w:r>
      <w:r>
        <w:rPr>
          <w:rFonts w:ascii="TimesNewRomanPSMT" w:hAnsi="TimesNewRomanPSMT" w:cs="TimesNewRomanPSMT"/>
        </w:rPr>
        <w:t xml:space="preserve"> </w:t>
      </w:r>
      <w:r>
        <w:rPr>
          <w:rFonts w:ascii="Times-Italic" w:hAnsi="Times-Italic" w:cs="Times-Italic"/>
          <w:i/>
          <w:iCs/>
          <w:sz w:val="23"/>
          <w:szCs w:val="23"/>
        </w:rPr>
        <w:t>Philosophy of Science,</w:t>
      </w:r>
      <w:r>
        <w:rPr>
          <w:rFonts w:ascii="Times-Italic" w:hAnsi="Times-Italic" w:cs="Times-Italic"/>
          <w:sz w:val="23"/>
          <w:szCs w:val="23"/>
        </w:rPr>
        <w:t xml:space="preserve"> 67, </w:t>
      </w:r>
      <w:r>
        <w:rPr>
          <w:rFonts w:ascii="Times-Italic" w:hAnsi="Times-Italic" w:cs="Times-Italic"/>
          <w:sz w:val="22"/>
          <w:szCs w:val="22"/>
        </w:rPr>
        <w:t xml:space="preserve">1, </w:t>
      </w:r>
      <w:r>
        <w:rPr>
          <w:rFonts w:ascii="Times-Italic" w:hAnsi="Times-Italic" w:cs="Times-Italic"/>
          <w:sz w:val="23"/>
          <w:szCs w:val="23"/>
        </w:rPr>
        <w:t>1-25.</w:t>
      </w:r>
    </w:p>
    <w:p w14:paraId="14F8A960" w14:textId="77777777" w:rsidR="00DF376C" w:rsidRDefault="00DF376C" w:rsidP="00DF376C">
      <w:pPr>
        <w:widowControl w:val="0"/>
        <w:autoSpaceDE w:val="0"/>
        <w:autoSpaceDN w:val="0"/>
        <w:adjustRightInd w:val="0"/>
        <w:spacing w:after="0"/>
        <w:rPr>
          <w:rFonts w:ascii="TimesNewRomanPSMT" w:hAnsi="TimesNewRomanPSMT" w:cs="TimesNewRomanPSMT"/>
        </w:rPr>
      </w:pPr>
    </w:p>
    <w:p w14:paraId="09E65E39" w14:textId="0CDEDD0C" w:rsidR="00693BFA" w:rsidRPr="00693BFA" w:rsidRDefault="00693BFA" w:rsidP="00693BFA">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McDowell, J. (1994). The content of perceptual e</w:t>
      </w:r>
      <w:r w:rsidRPr="00693BFA">
        <w:rPr>
          <w:rFonts w:ascii="TimesNewRomanPSMT" w:hAnsi="TimesNewRomanPSMT" w:cs="TimesNewRomanPSMT"/>
        </w:rPr>
        <w:t xml:space="preserve">xperience. </w:t>
      </w:r>
      <w:r w:rsidRPr="00693BFA">
        <w:rPr>
          <w:rFonts w:ascii="TimesNewRomanPSMT" w:hAnsi="TimesNewRomanPSMT" w:cs="TimesNewRomanPSMT"/>
          <w:i/>
        </w:rPr>
        <w:t>Philosophical Quarterly</w:t>
      </w:r>
      <w:r w:rsidRPr="00693BFA">
        <w:rPr>
          <w:rFonts w:ascii="TimesNewRomanPSMT" w:hAnsi="TimesNewRomanPSMT" w:cs="TimesNewRomanPSMT"/>
        </w:rPr>
        <w:t xml:space="preserve"> 44, </w:t>
      </w:r>
    </w:p>
    <w:p w14:paraId="6D4D8113" w14:textId="665DF727" w:rsidR="00693BFA" w:rsidRDefault="00693BFA" w:rsidP="00DF376C">
      <w:pPr>
        <w:widowControl w:val="0"/>
        <w:autoSpaceDE w:val="0"/>
        <w:autoSpaceDN w:val="0"/>
        <w:adjustRightInd w:val="0"/>
        <w:spacing w:after="0"/>
        <w:rPr>
          <w:rFonts w:ascii="TimesNewRomanPSMT" w:hAnsi="TimesNewRomanPSMT" w:cs="TimesNewRomanPSMT"/>
        </w:rPr>
      </w:pPr>
      <w:r w:rsidRPr="00693BFA">
        <w:rPr>
          <w:rFonts w:ascii="TimesNewRomanPSMT" w:hAnsi="TimesNewRomanPSMT" w:cs="TimesNewRomanPSMT"/>
        </w:rPr>
        <w:t>175: 190-205.</w:t>
      </w:r>
    </w:p>
    <w:p w14:paraId="515DA5C5" w14:textId="77777777" w:rsidR="00693BFA" w:rsidRDefault="00693BFA" w:rsidP="00DF376C">
      <w:pPr>
        <w:widowControl w:val="0"/>
        <w:autoSpaceDE w:val="0"/>
        <w:autoSpaceDN w:val="0"/>
        <w:adjustRightInd w:val="0"/>
        <w:spacing w:after="0"/>
        <w:rPr>
          <w:rFonts w:ascii="TimesNewRomanPSMT" w:hAnsi="TimesNewRomanPSMT" w:cs="TimesNewRomanPSMT"/>
        </w:rPr>
      </w:pPr>
    </w:p>
    <w:p w14:paraId="22867C2D" w14:textId="77777777" w:rsidR="00DF376C" w:rsidRDefault="00DF376C" w:rsidP="00DF376C">
      <w:pPr>
        <w:pStyle w:val="Standard"/>
        <w:rPr>
          <w:bCs/>
        </w:rPr>
      </w:pPr>
      <w:r w:rsidRPr="00CD7B39">
        <w:rPr>
          <w:bCs/>
        </w:rPr>
        <w:t>Menary</w:t>
      </w:r>
      <w:r>
        <w:rPr>
          <w:bCs/>
        </w:rPr>
        <w:t>, R.</w:t>
      </w:r>
      <w:r w:rsidRPr="00CD7B39">
        <w:rPr>
          <w:bCs/>
        </w:rPr>
        <w:t xml:space="preserve"> (Ed.)</w:t>
      </w:r>
      <w:r>
        <w:rPr>
          <w:bCs/>
        </w:rPr>
        <w:t xml:space="preserve"> (2010).</w:t>
      </w:r>
      <w:r w:rsidRPr="00CD7B39">
        <w:rPr>
          <w:bCs/>
        </w:rPr>
        <w:t xml:space="preserve"> </w:t>
      </w:r>
      <w:r w:rsidRPr="00CD7B39">
        <w:rPr>
          <w:bCs/>
          <w:i/>
        </w:rPr>
        <w:t>The extended mind.</w:t>
      </w:r>
      <w:r w:rsidRPr="00CD7B39">
        <w:rPr>
          <w:bCs/>
        </w:rPr>
        <w:t xml:space="preserve"> Cambridge, MA: MIT Press</w:t>
      </w:r>
      <w:r>
        <w:rPr>
          <w:bCs/>
        </w:rPr>
        <w:t>.</w:t>
      </w:r>
    </w:p>
    <w:p w14:paraId="167854BC" w14:textId="060EED43" w:rsidR="00E44B0C" w:rsidRPr="00E44B0C" w:rsidRDefault="00E44B0C" w:rsidP="00E44B0C">
      <w:pPr>
        <w:pStyle w:val="Standard"/>
        <w:rPr>
          <w:bCs/>
        </w:rPr>
      </w:pPr>
      <w:r w:rsidRPr="00E44B0C">
        <w:rPr>
          <w:bCs/>
        </w:rPr>
        <w:t xml:space="preserve">Noë, A. (2004). </w:t>
      </w:r>
      <w:r>
        <w:rPr>
          <w:bCs/>
          <w:i/>
        </w:rPr>
        <w:t>Action in p</w:t>
      </w:r>
      <w:r w:rsidRPr="00E44B0C">
        <w:rPr>
          <w:bCs/>
          <w:i/>
        </w:rPr>
        <w:t>erception</w:t>
      </w:r>
      <w:r w:rsidRPr="00E44B0C">
        <w:rPr>
          <w:bCs/>
        </w:rPr>
        <w:t>. Cambridge, MA: MIT Press.</w:t>
      </w:r>
    </w:p>
    <w:p w14:paraId="1C569BF2" w14:textId="05AFBDE9" w:rsidR="00DF376C" w:rsidRPr="00E44B0C" w:rsidRDefault="00DF376C" w:rsidP="00DF376C">
      <w:pPr>
        <w:widowControl w:val="0"/>
        <w:autoSpaceDE w:val="0"/>
        <w:autoSpaceDN w:val="0"/>
        <w:adjustRightInd w:val="0"/>
        <w:spacing w:after="0"/>
        <w:rPr>
          <w:rFonts w:ascii="TimesNewRomanPSMT" w:hAnsi="TimesNewRomanPSMT" w:cs="TimesNewRomanPSMT"/>
        </w:rPr>
      </w:pPr>
      <w:r>
        <w:rPr>
          <w:rFonts w:ascii="TimesNewRomanPSMT" w:hAnsi="TimesNewRomanPSMT" w:cs="TimesNewRomanPSMT"/>
        </w:rPr>
        <w:t xml:space="preserve">Nolan, D. (1997). Quantitative parsimony. </w:t>
      </w:r>
      <w:r>
        <w:rPr>
          <w:rFonts w:ascii="TimesNewRomanPSMT" w:hAnsi="TimesNewRomanPSMT" w:cs="TimesNewRomanPSMT"/>
          <w:i/>
          <w:iCs/>
        </w:rPr>
        <w:t>British Journal for the Philosophy of Science</w:t>
      </w:r>
    </w:p>
    <w:p w14:paraId="41A96556" w14:textId="5CD2D665" w:rsidR="00DF376C" w:rsidRDefault="00DF376C" w:rsidP="00DF376C">
      <w:pPr>
        <w:pStyle w:val="Standard"/>
        <w:spacing w:line="240" w:lineRule="auto"/>
        <w:rPr>
          <w:rFonts w:ascii="TimesNewRomanPSMT" w:hAnsi="TimesNewRomanPSMT" w:cs="TimesNewRomanPSMT"/>
        </w:rPr>
      </w:pPr>
      <w:r>
        <w:rPr>
          <w:rFonts w:ascii="TimesNewRomanPSMT" w:hAnsi="TimesNewRomanPSMT" w:cs="TimesNewRomanPSMT"/>
        </w:rPr>
        <w:t>48</w:t>
      </w:r>
      <w:r w:rsidR="00693BFA">
        <w:rPr>
          <w:rFonts w:ascii="TimesNewRomanPSMT" w:hAnsi="TimesNewRomanPSMT" w:cs="TimesNewRomanPSMT"/>
        </w:rPr>
        <w:t xml:space="preserve"> </w:t>
      </w:r>
      <w:r>
        <w:rPr>
          <w:rFonts w:ascii="TimesNewRomanPSMT" w:hAnsi="TimesNewRomanPSMT" w:cs="TimesNewRomanPSMT"/>
        </w:rPr>
        <w:t>(3): 329-343</w:t>
      </w:r>
    </w:p>
    <w:p w14:paraId="1AA16697" w14:textId="77777777" w:rsidR="00DF376C" w:rsidRDefault="00DF376C" w:rsidP="00DF376C">
      <w:pPr>
        <w:pStyle w:val="Standard"/>
        <w:spacing w:line="240" w:lineRule="auto"/>
      </w:pPr>
    </w:p>
    <w:p w14:paraId="3CE97A3C" w14:textId="77777777" w:rsidR="00DF376C" w:rsidRDefault="00DF376C" w:rsidP="00DF376C">
      <w:pPr>
        <w:pStyle w:val="Standard"/>
        <w:spacing w:line="240" w:lineRule="auto"/>
      </w:pPr>
      <w:r>
        <w:t xml:space="preserve">Oppenheim, P. and H. Putnam (1958). </w:t>
      </w:r>
      <w:r w:rsidRPr="00F433D0">
        <w:t xml:space="preserve">The unity of </w:t>
      </w:r>
      <w:r>
        <w:t>science as a working hypothesis. In H. Feigl, M. Scriven, and G. Maxwell</w:t>
      </w:r>
      <w:r w:rsidRPr="00F433D0">
        <w:t xml:space="preserve"> </w:t>
      </w:r>
      <w:r>
        <w:t>(E</w:t>
      </w:r>
      <w:r w:rsidRPr="00F433D0">
        <w:t>ds.</w:t>
      </w:r>
      <w:r>
        <w:t>)</w:t>
      </w:r>
      <w:r w:rsidRPr="00F433D0">
        <w:t xml:space="preserve">, </w:t>
      </w:r>
      <w:r w:rsidRPr="00F433D0">
        <w:rPr>
          <w:i/>
          <w:iCs/>
        </w:rPr>
        <w:t>Minnesota Studies in the Philosophy of Science</w:t>
      </w:r>
      <w:r w:rsidRPr="00F433D0">
        <w:t>, vol. 2, Minneapolis: Minnesota University Press.</w:t>
      </w:r>
    </w:p>
    <w:p w14:paraId="64031F4B" w14:textId="77777777" w:rsidR="00DF376C" w:rsidRDefault="00DF376C" w:rsidP="00DF376C">
      <w:pPr>
        <w:pStyle w:val="Standard"/>
        <w:spacing w:line="240" w:lineRule="auto"/>
      </w:pPr>
    </w:p>
    <w:p w14:paraId="66D475BB" w14:textId="77777777" w:rsidR="00DF376C" w:rsidRPr="005F2CCE" w:rsidRDefault="00DF376C" w:rsidP="00DF376C">
      <w:pPr>
        <w:pStyle w:val="Standard"/>
        <w:spacing w:line="240" w:lineRule="auto"/>
        <w:rPr>
          <w:bCs/>
          <w:i/>
        </w:rPr>
      </w:pPr>
      <w:r>
        <w:rPr>
          <w:bCs/>
        </w:rPr>
        <w:t>Quine, W. (1969</w:t>
      </w:r>
      <w:r w:rsidRPr="005F2CCE">
        <w:rPr>
          <w:bCs/>
        </w:rPr>
        <w:t xml:space="preserve">). Epistemology naturalized. In </w:t>
      </w:r>
      <w:r w:rsidRPr="005F2CCE">
        <w:rPr>
          <w:bCs/>
          <w:i/>
        </w:rPr>
        <w:t xml:space="preserve">Ontological Relativity and Other </w:t>
      </w:r>
    </w:p>
    <w:p w14:paraId="7FB57FF0" w14:textId="77777777" w:rsidR="00DF376C" w:rsidRDefault="00DF376C" w:rsidP="00DF376C">
      <w:pPr>
        <w:pStyle w:val="Standard"/>
        <w:spacing w:line="240" w:lineRule="auto"/>
        <w:rPr>
          <w:bCs/>
        </w:rPr>
      </w:pPr>
      <w:r w:rsidRPr="005F2CCE">
        <w:rPr>
          <w:bCs/>
          <w:i/>
        </w:rPr>
        <w:t>Essays</w:t>
      </w:r>
      <w:r w:rsidRPr="005F2CCE">
        <w:rPr>
          <w:bCs/>
        </w:rPr>
        <w:t xml:space="preserve"> (New York: Columbia</w:t>
      </w:r>
      <w:r>
        <w:rPr>
          <w:bCs/>
        </w:rPr>
        <w:t xml:space="preserve"> University Press</w:t>
      </w:r>
      <w:r w:rsidRPr="005F2CCE">
        <w:rPr>
          <w:bCs/>
        </w:rPr>
        <w:t>).</w:t>
      </w:r>
    </w:p>
    <w:p w14:paraId="70FA27CD" w14:textId="77777777" w:rsidR="00DF376C" w:rsidRPr="005F2CCE" w:rsidRDefault="00DF376C" w:rsidP="00DF376C">
      <w:pPr>
        <w:pStyle w:val="Standard"/>
        <w:spacing w:line="240" w:lineRule="auto"/>
        <w:rPr>
          <w:bCs/>
        </w:rPr>
      </w:pPr>
    </w:p>
    <w:p w14:paraId="47D5C900" w14:textId="77777777" w:rsidR="00DF376C" w:rsidRDefault="00DF376C" w:rsidP="00DF376C">
      <w:pPr>
        <w:pStyle w:val="Standard"/>
        <w:spacing w:line="240" w:lineRule="auto"/>
      </w:pPr>
      <w:r w:rsidRPr="005F2CCE">
        <w:rPr>
          <w:bCs/>
        </w:rPr>
        <w:t xml:space="preserve">Quine, W., and Ullian, J. (1970) </w:t>
      </w:r>
      <w:r w:rsidRPr="005F2CCE">
        <w:rPr>
          <w:bCs/>
          <w:i/>
        </w:rPr>
        <w:t>The web of belief.</w:t>
      </w:r>
      <w:r w:rsidRPr="005F2CCE">
        <w:rPr>
          <w:bCs/>
        </w:rPr>
        <w:t xml:space="preserve"> New York: Random House.</w:t>
      </w:r>
    </w:p>
    <w:p w14:paraId="6F8CE3A2" w14:textId="77777777" w:rsidR="00DF376C" w:rsidRDefault="00DF376C" w:rsidP="00DF376C">
      <w:pPr>
        <w:pStyle w:val="Standard"/>
        <w:spacing w:line="240" w:lineRule="auto"/>
      </w:pPr>
    </w:p>
    <w:p w14:paraId="0B05A781" w14:textId="77777777" w:rsidR="00DF376C" w:rsidRPr="003348D7" w:rsidRDefault="00DF376C" w:rsidP="00DF376C">
      <w:pPr>
        <w:pStyle w:val="Standard"/>
        <w:spacing w:line="240" w:lineRule="auto"/>
      </w:pPr>
      <w:r w:rsidRPr="003348D7">
        <w:t xml:space="preserve">Ross, </w:t>
      </w:r>
      <w:r>
        <w:t>D., and J. Ladyman</w:t>
      </w:r>
      <w:r w:rsidRPr="003348D7">
        <w:t xml:space="preserve"> (2010). The alleged coupling-constitution fallacy and the </w:t>
      </w:r>
    </w:p>
    <w:p w14:paraId="72F7B7D5" w14:textId="77777777" w:rsidR="00DF376C" w:rsidRDefault="00DF376C" w:rsidP="00DF376C">
      <w:pPr>
        <w:pStyle w:val="Standard"/>
        <w:spacing w:line="240" w:lineRule="auto"/>
      </w:pPr>
      <w:r w:rsidRPr="003348D7">
        <w:t>mature sciences. In Menary (2010), 155–166.</w:t>
      </w:r>
    </w:p>
    <w:p w14:paraId="24545A85" w14:textId="77777777" w:rsidR="00DF376C" w:rsidRDefault="00DF376C" w:rsidP="00DF376C">
      <w:pPr>
        <w:pStyle w:val="Standard"/>
        <w:spacing w:line="240" w:lineRule="auto"/>
      </w:pPr>
    </w:p>
    <w:p w14:paraId="532168C5" w14:textId="77777777" w:rsidR="00DF376C" w:rsidRPr="007839CB" w:rsidRDefault="00DF376C" w:rsidP="00DF376C">
      <w:pPr>
        <w:pStyle w:val="Standard"/>
        <w:spacing w:line="240" w:lineRule="auto"/>
        <w:rPr>
          <w:i/>
        </w:rPr>
      </w:pPr>
      <w:r w:rsidRPr="007839CB">
        <w:t xml:space="preserve">Rowlands, M. (2009). Extended cognition and the mark of the cognitive. </w:t>
      </w:r>
      <w:r w:rsidRPr="007839CB">
        <w:rPr>
          <w:i/>
        </w:rPr>
        <w:t>Philosophical</w:t>
      </w:r>
    </w:p>
    <w:p w14:paraId="43BD4035" w14:textId="77777777" w:rsidR="00DF376C" w:rsidRPr="007839CB" w:rsidRDefault="00DF376C" w:rsidP="00DF376C">
      <w:pPr>
        <w:pStyle w:val="Standard"/>
        <w:spacing w:line="240" w:lineRule="auto"/>
        <w:rPr>
          <w:i/>
        </w:rPr>
      </w:pPr>
      <w:r w:rsidRPr="007839CB">
        <w:rPr>
          <w:i/>
        </w:rPr>
        <w:t>Psychology</w:t>
      </w:r>
      <w:r w:rsidRPr="007839CB">
        <w:t xml:space="preserve"> 22, 1, 1–19.</w:t>
      </w:r>
    </w:p>
    <w:p w14:paraId="4E5507A5" w14:textId="77777777" w:rsidR="00DF376C" w:rsidRDefault="00DF376C" w:rsidP="00DF376C">
      <w:pPr>
        <w:pStyle w:val="Standard"/>
        <w:spacing w:line="240" w:lineRule="auto"/>
      </w:pPr>
    </w:p>
    <w:p w14:paraId="2F132F57" w14:textId="5B06D8EB" w:rsidR="00DF376C" w:rsidRDefault="00DF376C" w:rsidP="00DF376C">
      <w:pPr>
        <w:pStyle w:val="Standard"/>
        <w:spacing w:line="240" w:lineRule="auto"/>
      </w:pPr>
      <w:r>
        <w:t xml:space="preserve">Rumelhart, D. E., G. E. Hinton, and J. L. </w:t>
      </w:r>
      <w:r w:rsidR="00FD1FA2">
        <w:t>McClelland</w:t>
      </w:r>
      <w:r>
        <w:t xml:space="preserve"> (1986). A general framework for parallel distributed processing. In </w:t>
      </w:r>
      <w:r w:rsidRPr="00182AAC">
        <w:t xml:space="preserve">Rumelhart, D. E., McClelland, J. L., </w:t>
      </w:r>
      <w:r>
        <w:t xml:space="preserve">and the PDP Research Group (Eds.), </w:t>
      </w:r>
      <w:r w:rsidRPr="00182AAC">
        <w:rPr>
          <w:i/>
        </w:rPr>
        <w:t>Parallel Distributed Processing: Explorations in the Microstructure of Cognition</w:t>
      </w:r>
      <w:r w:rsidRPr="00182AAC">
        <w:t xml:space="preserve">, Vol. 1, </w:t>
      </w:r>
      <w:r w:rsidRPr="008B5DB0">
        <w:rPr>
          <w:i/>
        </w:rPr>
        <w:t>Foundations</w:t>
      </w:r>
      <w:r>
        <w:t xml:space="preserve"> (pp. 45–76)</w:t>
      </w:r>
      <w:r w:rsidRPr="00182AAC">
        <w:t>. Cambridge, MA: MIT Press.</w:t>
      </w:r>
    </w:p>
    <w:p w14:paraId="35623609" w14:textId="77777777" w:rsidR="00BB565F" w:rsidRDefault="00BB565F" w:rsidP="00DF376C">
      <w:pPr>
        <w:pStyle w:val="Standard"/>
        <w:spacing w:line="240" w:lineRule="auto"/>
      </w:pPr>
    </w:p>
    <w:p w14:paraId="58B5D37C" w14:textId="77777777" w:rsidR="00BB565F" w:rsidRPr="00BB565F" w:rsidRDefault="00BB565F" w:rsidP="00BB565F">
      <w:pPr>
        <w:pStyle w:val="Standard"/>
        <w:spacing w:line="240" w:lineRule="auto"/>
      </w:pPr>
      <w:r w:rsidRPr="00BB565F">
        <w:t xml:space="preserve">Rupert, R. (2001). Coining terms in the language of thought: Innateness, emergence, and </w:t>
      </w:r>
    </w:p>
    <w:p w14:paraId="709FB553" w14:textId="783DFEBC" w:rsidR="00BB565F" w:rsidRPr="00BB565F" w:rsidRDefault="00BB565F" w:rsidP="00BB565F">
      <w:pPr>
        <w:pStyle w:val="Standard"/>
        <w:spacing w:line="240" w:lineRule="auto"/>
      </w:pPr>
      <w:r w:rsidRPr="00BB565F">
        <w:t xml:space="preserve">the lot of Cummins’s argument against the causal theory of mental content. </w:t>
      </w:r>
      <w:r w:rsidRPr="00BB565F">
        <w:rPr>
          <w:i/>
        </w:rPr>
        <w:t>Journal of Philosophy</w:t>
      </w:r>
      <w:r w:rsidRPr="00BB565F">
        <w:t xml:space="preserve"> 98, 499–530.</w:t>
      </w:r>
    </w:p>
    <w:p w14:paraId="0E0BF3C0" w14:textId="77777777" w:rsidR="00DF376C" w:rsidRDefault="00DF376C" w:rsidP="00DF376C">
      <w:pPr>
        <w:pStyle w:val="Standard"/>
        <w:spacing w:line="240" w:lineRule="auto"/>
      </w:pPr>
    </w:p>
    <w:p w14:paraId="7B92C9BD" w14:textId="77777777" w:rsidR="00DF376C" w:rsidRPr="005F2CCE" w:rsidRDefault="00DF376C" w:rsidP="00DF376C">
      <w:pPr>
        <w:pStyle w:val="Standard"/>
        <w:spacing w:line="240" w:lineRule="auto"/>
        <w:rPr>
          <w:i/>
        </w:rPr>
      </w:pPr>
      <w:r w:rsidRPr="005F2CCE">
        <w:t xml:space="preserve">Rupert, R. (2004). Challenges to the hypothesis of extended cognition. </w:t>
      </w:r>
      <w:r w:rsidRPr="005F2CCE">
        <w:rPr>
          <w:i/>
        </w:rPr>
        <w:t xml:space="preserve">Journal of </w:t>
      </w:r>
    </w:p>
    <w:p w14:paraId="49525251" w14:textId="77777777" w:rsidR="00DF376C" w:rsidRPr="005F2CCE" w:rsidRDefault="00DF376C" w:rsidP="00DF376C">
      <w:pPr>
        <w:pStyle w:val="Standard"/>
        <w:spacing w:line="240" w:lineRule="auto"/>
        <w:rPr>
          <w:i/>
        </w:rPr>
      </w:pPr>
      <w:r w:rsidRPr="005F2CCE">
        <w:rPr>
          <w:i/>
        </w:rPr>
        <w:t>Philosophy</w:t>
      </w:r>
      <w:r w:rsidRPr="005F2CCE">
        <w:t xml:space="preserve"> 101, 389–428.</w:t>
      </w:r>
    </w:p>
    <w:p w14:paraId="762CD499" w14:textId="77777777" w:rsidR="00DF376C" w:rsidRPr="00B65BF7" w:rsidRDefault="00DF376C" w:rsidP="00DF376C">
      <w:pPr>
        <w:pStyle w:val="Standard"/>
        <w:spacing w:line="240" w:lineRule="auto"/>
      </w:pPr>
    </w:p>
    <w:p w14:paraId="30E4F65B" w14:textId="77777777" w:rsidR="00DF376C" w:rsidRDefault="00DF376C" w:rsidP="00DF376C">
      <w:pPr>
        <w:pStyle w:val="Standard"/>
        <w:spacing w:line="240" w:lineRule="auto"/>
      </w:pPr>
      <w:r>
        <w:t>Rupert, R. (2005). Minding one’s cognitive systems: When does a group of minds constitute a single c</w:t>
      </w:r>
      <w:r w:rsidRPr="00B65BF7">
        <w:t>og</w:t>
      </w:r>
      <w:r>
        <w:t>nitive u</w:t>
      </w:r>
      <w:r w:rsidRPr="00B65BF7">
        <w:t xml:space="preserve">nit? </w:t>
      </w:r>
      <w:r w:rsidRPr="00B65BF7">
        <w:rPr>
          <w:i/>
          <w:iCs/>
        </w:rPr>
        <w:t xml:space="preserve">Episteme: A Journal of Social Epistemology </w:t>
      </w:r>
      <w:r>
        <w:t>1,</w:t>
      </w:r>
      <w:r w:rsidRPr="00B65BF7">
        <w:t xml:space="preserve"> 177–88.</w:t>
      </w:r>
    </w:p>
    <w:p w14:paraId="5ACBD5CD" w14:textId="77777777" w:rsidR="00DF376C" w:rsidRDefault="00DF376C" w:rsidP="00DF376C">
      <w:pPr>
        <w:pStyle w:val="Standard"/>
        <w:spacing w:line="240" w:lineRule="auto"/>
      </w:pPr>
    </w:p>
    <w:p w14:paraId="58D60405" w14:textId="77777777" w:rsidR="00DF376C" w:rsidRPr="005F2CCE" w:rsidRDefault="00DF376C" w:rsidP="00DF376C">
      <w:pPr>
        <w:pStyle w:val="Standard"/>
        <w:spacing w:line="240" w:lineRule="auto"/>
      </w:pPr>
      <w:r w:rsidRPr="005F2CCE">
        <w:t xml:space="preserve">Rupert, R. (2009). </w:t>
      </w:r>
      <w:r w:rsidRPr="005F2CCE">
        <w:rPr>
          <w:i/>
        </w:rPr>
        <w:t>Cognitive systems and the extended mind</w:t>
      </w:r>
      <w:r w:rsidRPr="005F2CCE">
        <w:t xml:space="preserve">. Oxford: Oxford University </w:t>
      </w:r>
    </w:p>
    <w:p w14:paraId="256518E6" w14:textId="77777777" w:rsidR="00DF376C" w:rsidRDefault="00DF376C" w:rsidP="00DF376C">
      <w:pPr>
        <w:pStyle w:val="Standard"/>
        <w:spacing w:line="240" w:lineRule="auto"/>
      </w:pPr>
      <w:r w:rsidRPr="005F2CCE">
        <w:t>Press.</w:t>
      </w:r>
    </w:p>
    <w:p w14:paraId="3278E44E" w14:textId="77777777" w:rsidR="00DF376C" w:rsidRDefault="00DF376C" w:rsidP="00DF376C">
      <w:pPr>
        <w:pStyle w:val="Standard"/>
        <w:spacing w:line="240" w:lineRule="auto"/>
      </w:pPr>
    </w:p>
    <w:p w14:paraId="62DB5961" w14:textId="77777777" w:rsidR="00DF376C" w:rsidRDefault="00DF376C" w:rsidP="00DF376C">
      <w:pPr>
        <w:pStyle w:val="Standard"/>
        <w:spacing w:line="240" w:lineRule="auto"/>
      </w:pPr>
      <w:r>
        <w:t>Rupert, R</w:t>
      </w:r>
      <w:r w:rsidRPr="007074F4">
        <w:t>. (2010)</w:t>
      </w:r>
      <w:r>
        <w:t>.</w:t>
      </w:r>
      <w:r w:rsidRPr="007074F4">
        <w:t xml:space="preserve"> </w:t>
      </w:r>
      <w:r>
        <w:t>Extended cognition and the p</w:t>
      </w:r>
      <w:r w:rsidRPr="007074F4">
        <w:t>riori</w:t>
      </w:r>
      <w:r>
        <w:t>ty of cognitive systems.</w:t>
      </w:r>
      <w:r w:rsidRPr="007074F4">
        <w:t xml:space="preserve"> </w:t>
      </w:r>
      <w:r w:rsidRPr="007074F4">
        <w:rPr>
          <w:i/>
        </w:rPr>
        <w:t>Cognitive Systems Research</w:t>
      </w:r>
      <w:r w:rsidRPr="007074F4">
        <w:t xml:space="preserve"> 11: 343–56.</w:t>
      </w:r>
    </w:p>
    <w:p w14:paraId="1400BE4D" w14:textId="77777777" w:rsidR="00DF376C" w:rsidRDefault="00DF376C" w:rsidP="00DF376C">
      <w:pPr>
        <w:pStyle w:val="Standard"/>
        <w:spacing w:line="240" w:lineRule="auto"/>
      </w:pPr>
    </w:p>
    <w:p w14:paraId="7B913E33" w14:textId="59D94072" w:rsidR="00DF376C" w:rsidRPr="00474E33" w:rsidRDefault="00DF376C" w:rsidP="00DF376C">
      <w:pPr>
        <w:pStyle w:val="Standard"/>
        <w:spacing w:line="240" w:lineRule="auto"/>
      </w:pPr>
      <w:r>
        <w:t>Rupert, R. (2013). Memory, natural kinds, and cognitive e</w:t>
      </w:r>
      <w:r w:rsidRPr="003348D7">
        <w:t>xtension;</w:t>
      </w:r>
      <w:r>
        <w:t xml:space="preserve"> or, M</w:t>
      </w:r>
      <w:r w:rsidRPr="003348D7">
        <w:t xml:space="preserve">artians </w:t>
      </w:r>
      <w:r>
        <w:t>don’t remember, and cognitive s</w:t>
      </w:r>
      <w:r w:rsidRPr="003348D7">
        <w:t>cience</w:t>
      </w:r>
      <w:r>
        <w:t xml:space="preserve"> is not about cognition. </w:t>
      </w:r>
      <w:r>
        <w:rPr>
          <w:i/>
        </w:rPr>
        <w:t>Review of Philosophy and Psychology</w:t>
      </w:r>
      <w:r>
        <w:t xml:space="preserve">, on-line first, </w:t>
      </w:r>
      <w:r w:rsidRPr="00474E33">
        <w:t>DOI 10.1007/s13164-012-0129-9</w:t>
      </w:r>
      <w:r>
        <w:t xml:space="preserve"> .</w:t>
      </w:r>
    </w:p>
    <w:p w14:paraId="0E0C2D81" w14:textId="77777777" w:rsidR="00DF376C" w:rsidRDefault="00DF376C" w:rsidP="00DF376C">
      <w:pPr>
        <w:pStyle w:val="Standard"/>
        <w:spacing w:line="240" w:lineRule="auto"/>
      </w:pPr>
    </w:p>
    <w:p w14:paraId="4BDC5936" w14:textId="15CE356C" w:rsidR="00CC5C62" w:rsidRPr="00CC5C62" w:rsidRDefault="00CC5C62" w:rsidP="00DF376C">
      <w:pPr>
        <w:pStyle w:val="Standard"/>
        <w:spacing w:line="240" w:lineRule="auto"/>
      </w:pPr>
      <w:r>
        <w:t xml:space="preserve">Rupert, R. forthcoming </w:t>
      </w:r>
      <w:r>
        <w:rPr>
          <w:i/>
        </w:rPr>
        <w:t>a</w:t>
      </w:r>
      <w:r>
        <w:t xml:space="preserve">. Embodiment, consciousness, and the massively representational mind. To appear in </w:t>
      </w:r>
      <w:r>
        <w:rPr>
          <w:i/>
        </w:rPr>
        <w:t>Philosophical Topics</w:t>
      </w:r>
      <w:r>
        <w:t>.</w:t>
      </w:r>
    </w:p>
    <w:p w14:paraId="5F5748C7" w14:textId="77777777" w:rsidR="00CC5C62" w:rsidRDefault="00CC5C62" w:rsidP="00DF376C">
      <w:pPr>
        <w:pStyle w:val="Standard"/>
        <w:spacing w:line="240" w:lineRule="auto"/>
      </w:pPr>
    </w:p>
    <w:p w14:paraId="043A74D3" w14:textId="51F8AB9C" w:rsidR="00DF376C" w:rsidRDefault="00DF376C" w:rsidP="00DF376C">
      <w:pPr>
        <w:pStyle w:val="Standard"/>
        <w:spacing w:line="240" w:lineRule="auto"/>
      </w:pPr>
      <w:r>
        <w:t>Rupert, R. forthcoming</w:t>
      </w:r>
      <w:r w:rsidR="00CC5C62">
        <w:t xml:space="preserve"> </w:t>
      </w:r>
      <w:r w:rsidR="00CC5C62">
        <w:rPr>
          <w:i/>
        </w:rPr>
        <w:t>b</w:t>
      </w:r>
      <w:r>
        <w:t xml:space="preserve">. Against group cognitive states. To appear in S. Chant, F. Hindriks, and G. Preyer (eds.), </w:t>
      </w:r>
      <w:r>
        <w:rPr>
          <w:i/>
        </w:rPr>
        <w:t>From Individual to Collective Intentionality</w:t>
      </w:r>
      <w:r>
        <w:t xml:space="preserve"> (Oxford: Oxford University Press).</w:t>
      </w:r>
    </w:p>
    <w:p w14:paraId="5A07986C" w14:textId="77777777" w:rsidR="00490B99" w:rsidRDefault="00490B99" w:rsidP="00DF376C">
      <w:pPr>
        <w:pStyle w:val="Standard"/>
        <w:spacing w:line="240" w:lineRule="auto"/>
      </w:pPr>
    </w:p>
    <w:p w14:paraId="706F5108" w14:textId="113C73F7" w:rsidR="00490B99" w:rsidRDefault="00490B99" w:rsidP="00DF376C">
      <w:pPr>
        <w:pStyle w:val="Standard"/>
        <w:spacing w:line="240" w:lineRule="auto"/>
      </w:pPr>
      <w:r>
        <w:t xml:space="preserve">Rupert, R. forthcoming </w:t>
      </w:r>
      <w:r>
        <w:rPr>
          <w:i/>
        </w:rPr>
        <w:t>c</w:t>
      </w:r>
      <w:r>
        <w:t>. “On the sufficiency of objective r</w:t>
      </w:r>
      <w:r w:rsidRPr="00490B99">
        <w:t>epresenta</w:t>
      </w:r>
      <w:r>
        <w:t>tion.” To appear in U. Kriegel (E</w:t>
      </w:r>
      <w:r w:rsidRPr="00490B99">
        <w:t xml:space="preserve">d.), </w:t>
      </w:r>
      <w:r w:rsidRPr="00490B99">
        <w:rPr>
          <w:i/>
        </w:rPr>
        <w:t xml:space="preserve">Current Controversies in Philosophy of Mind </w:t>
      </w:r>
      <w:r w:rsidRPr="00490B99">
        <w:t>(New York: Routledge)</w:t>
      </w:r>
    </w:p>
    <w:p w14:paraId="51A076A7" w14:textId="77777777" w:rsidR="00DF376C" w:rsidRDefault="00DF376C" w:rsidP="00DF376C">
      <w:pPr>
        <w:pStyle w:val="Standard"/>
        <w:spacing w:line="240" w:lineRule="auto"/>
      </w:pPr>
    </w:p>
    <w:p w14:paraId="13F4C0C2" w14:textId="77777777" w:rsidR="00DF376C" w:rsidRPr="005F2CCE" w:rsidRDefault="00DF376C" w:rsidP="00DF376C">
      <w:pPr>
        <w:pStyle w:val="Standard"/>
        <w:spacing w:line="240" w:lineRule="auto"/>
      </w:pPr>
      <w:r w:rsidRPr="005F2CCE">
        <w:t xml:space="preserve">Sprevak, M. (2009). Extended cognition and functionalism. </w:t>
      </w:r>
      <w:r w:rsidRPr="005F2CCE">
        <w:rPr>
          <w:i/>
        </w:rPr>
        <w:t>Journal of Philosophy</w:t>
      </w:r>
      <w:r w:rsidRPr="005F2CCE">
        <w:t xml:space="preserve"> 106, </w:t>
      </w:r>
    </w:p>
    <w:p w14:paraId="2F938F05" w14:textId="77777777" w:rsidR="00DF376C" w:rsidRDefault="00DF376C" w:rsidP="00DF376C">
      <w:pPr>
        <w:pStyle w:val="Standard"/>
        <w:spacing w:line="240" w:lineRule="auto"/>
      </w:pPr>
      <w:r w:rsidRPr="005F2CCE">
        <w:t>503–27.</w:t>
      </w:r>
    </w:p>
    <w:p w14:paraId="4AE283AA" w14:textId="77777777" w:rsidR="00DF376C" w:rsidRDefault="00DF376C" w:rsidP="00DF376C">
      <w:pPr>
        <w:pStyle w:val="Standard"/>
        <w:spacing w:line="240" w:lineRule="auto"/>
      </w:pPr>
    </w:p>
    <w:p w14:paraId="6EE1EA38" w14:textId="77777777" w:rsidR="00DF376C" w:rsidRPr="00E26C58" w:rsidRDefault="00DF376C" w:rsidP="00DF376C">
      <w:pPr>
        <w:pStyle w:val="Standard"/>
        <w:spacing w:line="240" w:lineRule="auto"/>
      </w:pPr>
      <w:r w:rsidRPr="00E26C58">
        <w:t xml:space="preserve">Sutton, J. (2010). Exograms and interdisciplinarity: History, the extended mind, and the </w:t>
      </w:r>
    </w:p>
    <w:p w14:paraId="6BE361E6" w14:textId="77777777" w:rsidR="00DF376C" w:rsidRPr="00E26C58" w:rsidRDefault="00DF376C" w:rsidP="00DF376C">
      <w:pPr>
        <w:pStyle w:val="Standard"/>
        <w:spacing w:line="240" w:lineRule="auto"/>
        <w:rPr>
          <w:b/>
        </w:rPr>
      </w:pPr>
      <w:r w:rsidRPr="00E26C58">
        <w:t>civilizing process. In Menary (2010), 189–225.</w:t>
      </w:r>
    </w:p>
    <w:p w14:paraId="0D2FA2A1" w14:textId="77777777" w:rsidR="00DF376C" w:rsidRDefault="00DF376C" w:rsidP="00DF376C">
      <w:pPr>
        <w:pStyle w:val="Standard"/>
        <w:spacing w:line="240" w:lineRule="auto"/>
      </w:pPr>
    </w:p>
    <w:p w14:paraId="777EA784" w14:textId="77777777" w:rsidR="00DF376C" w:rsidRDefault="00DF376C" w:rsidP="00DF376C">
      <w:pPr>
        <w:pStyle w:val="Standard"/>
        <w:spacing w:line="240" w:lineRule="auto"/>
      </w:pPr>
      <w:r>
        <w:t>Tollefsen, D. P. (2006). From extended mind to collective mind.</w:t>
      </w:r>
      <w:r w:rsidRPr="00963DE8">
        <w:t xml:space="preserve"> </w:t>
      </w:r>
      <w:r>
        <w:rPr>
          <w:i/>
        </w:rPr>
        <w:t xml:space="preserve">Cognitive Systems </w:t>
      </w:r>
      <w:r w:rsidRPr="00963DE8">
        <w:rPr>
          <w:i/>
        </w:rPr>
        <w:t>Research</w:t>
      </w:r>
      <w:r w:rsidRPr="00963DE8">
        <w:t xml:space="preserve"> 7 (2006): 140–50.</w:t>
      </w:r>
    </w:p>
    <w:p w14:paraId="50ED7986" w14:textId="77777777" w:rsidR="00DF376C" w:rsidRDefault="00DF376C" w:rsidP="00DF376C">
      <w:pPr>
        <w:pStyle w:val="Standard"/>
        <w:spacing w:line="240" w:lineRule="auto"/>
      </w:pPr>
    </w:p>
    <w:p w14:paraId="415BEC36" w14:textId="77777777" w:rsidR="00DF376C" w:rsidRDefault="00DF376C" w:rsidP="00DF376C">
      <w:pPr>
        <w:pStyle w:val="Standard"/>
      </w:pPr>
      <w:r>
        <w:t>Wheeler</w:t>
      </w:r>
      <w:r w:rsidRPr="00987448">
        <w:t xml:space="preserve">, M. (2011). In search of clarity about parity. </w:t>
      </w:r>
      <w:r w:rsidRPr="00987448">
        <w:rPr>
          <w:i/>
        </w:rPr>
        <w:t>Philosophical Studies</w:t>
      </w:r>
      <w:r w:rsidRPr="00987448">
        <w:t xml:space="preserve"> 152, 417–425.</w:t>
      </w:r>
    </w:p>
    <w:p w14:paraId="7E81A7FC" w14:textId="77777777" w:rsidR="00DF376C" w:rsidRPr="00BC7945" w:rsidRDefault="00DF376C" w:rsidP="00DF376C">
      <w:pPr>
        <w:widowControl w:val="0"/>
        <w:autoSpaceDE w:val="0"/>
        <w:autoSpaceDN w:val="0"/>
        <w:adjustRightInd w:val="0"/>
        <w:spacing w:after="0"/>
        <w:rPr>
          <w:rFonts w:ascii="Times New Roman" w:hAnsi="Times New Roman" w:cs="Scala"/>
          <w:szCs w:val="18"/>
        </w:rPr>
      </w:pPr>
      <w:r>
        <w:rPr>
          <w:rFonts w:ascii="Times New Roman" w:hAnsi="Times New Roman" w:cs="Scala"/>
          <w:szCs w:val="18"/>
        </w:rPr>
        <w:t>Wilson, M</w:t>
      </w:r>
      <w:r w:rsidRPr="00BC7945">
        <w:rPr>
          <w:rFonts w:ascii="Times New Roman" w:hAnsi="Times New Roman" w:cs="Scala"/>
          <w:szCs w:val="18"/>
        </w:rPr>
        <w:t xml:space="preserve">. (2002). Six Views of Embodied Cognition. </w:t>
      </w:r>
      <w:r w:rsidRPr="00BC7945">
        <w:rPr>
          <w:rFonts w:ascii="Times New Roman" w:hAnsi="Times New Roman" w:cs="Scala"/>
          <w:i/>
          <w:iCs/>
          <w:szCs w:val="18"/>
        </w:rPr>
        <w:t xml:space="preserve">Psychonomic Bulletin and Review </w:t>
      </w:r>
      <w:r w:rsidRPr="00BC7945">
        <w:rPr>
          <w:rFonts w:ascii="Times New Roman" w:hAnsi="Times New Roman" w:cs="Scala"/>
          <w:szCs w:val="18"/>
        </w:rPr>
        <w:t>9:</w:t>
      </w:r>
      <w:r>
        <w:rPr>
          <w:rFonts w:ascii="Times New Roman" w:hAnsi="Times New Roman" w:cs="Scala"/>
          <w:szCs w:val="18"/>
        </w:rPr>
        <w:t xml:space="preserve"> </w:t>
      </w:r>
      <w:r w:rsidRPr="00BC7945">
        <w:rPr>
          <w:rFonts w:ascii="Times New Roman" w:hAnsi="Times New Roman" w:cs="Scala"/>
          <w:szCs w:val="18"/>
        </w:rPr>
        <w:t>625–36.</w:t>
      </w:r>
    </w:p>
    <w:p w14:paraId="4F165C9E" w14:textId="77777777" w:rsidR="00DF376C" w:rsidRPr="00CA2C24" w:rsidRDefault="00DF376C" w:rsidP="00DF376C">
      <w:pPr>
        <w:widowControl w:val="0"/>
        <w:autoSpaceDE w:val="0"/>
        <w:autoSpaceDN w:val="0"/>
        <w:adjustRightInd w:val="0"/>
        <w:spacing w:after="0"/>
        <w:rPr>
          <w:rFonts w:ascii="Times New Roman" w:hAnsi="Times New Roman" w:cs="Scala"/>
          <w:szCs w:val="18"/>
        </w:rPr>
      </w:pPr>
    </w:p>
    <w:p w14:paraId="255F731A" w14:textId="20E807F5" w:rsidR="00BD4658" w:rsidRPr="00DF376C" w:rsidRDefault="00DF376C" w:rsidP="00DF376C">
      <w:r>
        <w:rPr>
          <w:rFonts w:ascii="Times New Roman" w:hAnsi="Times New Roman" w:cs="Scala"/>
          <w:szCs w:val="18"/>
        </w:rPr>
        <w:t xml:space="preserve">Wilson, R. A. </w:t>
      </w:r>
      <w:r w:rsidRPr="00CA2C24">
        <w:rPr>
          <w:rFonts w:ascii="Times New Roman" w:hAnsi="Times New Roman" w:cs="Scala"/>
          <w:szCs w:val="18"/>
        </w:rPr>
        <w:t xml:space="preserve">(2004). </w:t>
      </w:r>
      <w:r w:rsidRPr="00CA2C24">
        <w:rPr>
          <w:rFonts w:ascii="Times New Roman" w:hAnsi="Times New Roman" w:cs="Scala"/>
          <w:i/>
          <w:iCs/>
          <w:szCs w:val="18"/>
        </w:rPr>
        <w:t>Boundaries of the Mind: The Individual in the Fragile Sciences</w:t>
      </w:r>
      <w:r w:rsidRPr="00CA2C24">
        <w:rPr>
          <w:rFonts w:ascii="Times New Roman" w:hAnsi="Times New Roman" w:cs="Scala"/>
          <w:szCs w:val="18"/>
        </w:rPr>
        <w:t>. Cambridge:</w:t>
      </w:r>
      <w:r>
        <w:rPr>
          <w:rFonts w:ascii="Times New Roman" w:hAnsi="Times New Roman" w:cs="Scala"/>
          <w:szCs w:val="18"/>
        </w:rPr>
        <w:t xml:space="preserve"> </w:t>
      </w:r>
      <w:r w:rsidRPr="00CA2C24">
        <w:rPr>
          <w:rFonts w:ascii="Times New Roman" w:hAnsi="Times New Roman" w:cs="Scala"/>
          <w:szCs w:val="18"/>
        </w:rPr>
        <w:t>Cambridge University Press.</w:t>
      </w:r>
    </w:p>
    <w:sectPr w:rsidR="00BD4658" w:rsidRPr="00DF376C" w:rsidSect="0054688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23554" w14:textId="77777777" w:rsidR="00E44B0C" w:rsidRDefault="00E44B0C" w:rsidP="004947BD">
      <w:pPr>
        <w:spacing w:after="0"/>
      </w:pPr>
      <w:r>
        <w:separator/>
      </w:r>
    </w:p>
  </w:endnote>
  <w:endnote w:type="continuationSeparator" w:id="0">
    <w:p w14:paraId="0829BEA1" w14:textId="77777777" w:rsidR="00E44B0C" w:rsidRDefault="00E44B0C" w:rsidP="004947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a231+20">
    <w:altName w:val="Cambria"/>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 w:name="Scala">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EF076" w14:textId="77777777" w:rsidR="00E44B0C" w:rsidRDefault="00E44B0C" w:rsidP="004947BD">
      <w:pPr>
        <w:spacing w:after="0"/>
      </w:pPr>
      <w:r>
        <w:separator/>
      </w:r>
    </w:p>
  </w:footnote>
  <w:footnote w:type="continuationSeparator" w:id="0">
    <w:p w14:paraId="0F537881" w14:textId="77777777" w:rsidR="00E44B0C" w:rsidRDefault="00E44B0C" w:rsidP="004947BD">
      <w:pPr>
        <w:spacing w:after="0"/>
      </w:pPr>
      <w:r>
        <w:continuationSeparator/>
      </w:r>
    </w:p>
  </w:footnote>
  <w:footnote w:id="1">
    <w:p w14:paraId="0015BBA2" w14:textId="77777777" w:rsidR="00E44B0C" w:rsidRPr="00BD0B0A" w:rsidRDefault="00E44B0C" w:rsidP="004947BD">
      <w:pPr>
        <w:pStyle w:val="FootnoteText"/>
        <w:rPr>
          <w:rFonts w:cs="Times New Roman"/>
        </w:rPr>
      </w:pPr>
      <w:r w:rsidRPr="00BD0B0A">
        <w:rPr>
          <w:rStyle w:val="FootnoteReference"/>
          <w:rFonts w:cs="Times New Roman"/>
        </w:rPr>
        <w:footnoteRef/>
      </w:r>
      <w:r w:rsidRPr="00BD0B0A">
        <w:rPr>
          <w:rFonts w:cs="Times New Roman"/>
        </w:rPr>
        <w:t xml:space="preserve"> Hereafter, I omit qualifications meant to emphasize this paper’s neutrality in respect of the issue of scientific realism and competing, more procedurally oriented interpretations of scientific enquiry. I ask instead that the reader take this neutrality as read, even when the particular choice of words suggests a thoroughgoing realism.</w:t>
      </w:r>
    </w:p>
  </w:footnote>
  <w:footnote w:id="2">
    <w:p w14:paraId="06523F0A" w14:textId="4D96E188" w:rsidR="00E44B0C" w:rsidRDefault="00E44B0C" w:rsidP="0056475D">
      <w:pPr>
        <w:pStyle w:val="FootnoteText"/>
        <w:rPr>
          <w:rFonts w:cs="Times New Roman"/>
        </w:rPr>
      </w:pPr>
      <w:r w:rsidRPr="00306C24">
        <w:rPr>
          <w:rStyle w:val="FootnoteReference"/>
          <w:rFonts w:cs="Times New Roman"/>
        </w:rPr>
        <w:footnoteRef/>
      </w:r>
      <w:r w:rsidRPr="00306C24">
        <w:rPr>
          <w:rFonts w:cs="Times New Roman"/>
        </w:rPr>
        <w:t xml:space="preserve"> In this context</w:t>
      </w:r>
      <w:r>
        <w:rPr>
          <w:rFonts w:cs="Times New Roman"/>
        </w:rPr>
        <w:t>,</w:t>
      </w:r>
      <w:r w:rsidRPr="00306C24">
        <w:rPr>
          <w:rFonts w:cs="Times New Roman"/>
        </w:rPr>
        <w:t xml:space="preserve"> it might be worth revisiting a worry ab</w:t>
      </w:r>
      <w:r>
        <w:rPr>
          <w:rFonts w:cs="Times New Roman"/>
        </w:rPr>
        <w:t>out such entities as the sun; on the measure I’ve proposed to diagnose the scope of the persisting integrated architecture (2009, 42–43), something that consistently contributes, along with other mechanisms, to the production of a wide range of forms of intelligent behavior is almost certain to qualify as part of the persisting cognitive system. Objection: doesn’t the sun fit that category? Doesn’t the big bang? Yes, and although I’ve tried to avoid these consequences in various plausible ways, it may be best to rely on a “common element” strategy. All forms of models leave, for instance, the sun out of the architecture, and this gives us reason to toss out (by reflective equilibrium, one might say) some mechanisms that might otherwise seem to contribute causally in the way deemed adequate by my formal measure. The models all treat the sun as a background condition and that alone justifies treating it as such.</w:t>
      </w:r>
    </w:p>
    <w:p w14:paraId="1C491B22" w14:textId="61AB6519" w:rsidR="00E44B0C" w:rsidRPr="00420F69" w:rsidRDefault="00E44B0C" w:rsidP="0056475D">
      <w:pPr>
        <w:pStyle w:val="FootnoteText"/>
        <w:rPr>
          <w:rFonts w:cs="Times New Roman"/>
        </w:rPr>
      </w:pPr>
      <w:r>
        <w:rPr>
          <w:rFonts w:cs="Times New Roman"/>
        </w:rPr>
        <w:t xml:space="preserve">     </w:t>
      </w:r>
      <w:r w:rsidRPr="00306C24">
        <w:rPr>
          <w:rFonts w:cs="Times New Roman"/>
        </w:rPr>
        <w:t>It might also be worth poin</w:t>
      </w:r>
      <w:r>
        <w:rPr>
          <w:rFonts w:cs="Times New Roman"/>
        </w:rPr>
        <w:t xml:space="preserve">ting out that my </w:t>
      </w:r>
      <w:r w:rsidRPr="00306C24">
        <w:rPr>
          <w:rFonts w:cs="Times New Roman"/>
        </w:rPr>
        <w:t>measure</w:t>
      </w:r>
      <w:r>
        <w:rPr>
          <w:rFonts w:cs="Times New Roman"/>
        </w:rPr>
        <w:t xml:space="preserve"> of the clustering of mechanisms (that is, of the scope of the integrated architecture) is consistent with a modular architecture (</w:t>
      </w:r>
      <w:r w:rsidRPr="00CC4197">
        <w:rPr>
          <w:rFonts w:cs="Times New Roman"/>
          <w:i/>
        </w:rPr>
        <w:t xml:space="preserve">contra </w:t>
      </w:r>
      <w:r>
        <w:rPr>
          <w:rFonts w:cs="Times New Roman"/>
        </w:rPr>
        <w:t>the suggestion made by Clark – 2011, 456 – and others)</w:t>
      </w:r>
      <w:r w:rsidRPr="00306C24">
        <w:rPr>
          <w:rFonts w:cs="Times New Roman"/>
        </w:rPr>
        <w:t xml:space="preserve">. The measure is sensitive to </w:t>
      </w:r>
      <w:r>
        <w:rPr>
          <w:rFonts w:cs="Times New Roman"/>
        </w:rPr>
        <w:t xml:space="preserve">the </w:t>
      </w:r>
      <w:r w:rsidRPr="00306C24">
        <w:rPr>
          <w:rFonts w:cs="Times New Roman"/>
        </w:rPr>
        <w:t>way in which factors co-contribute to the causal production of intelligent behavior, not to whether the factors caus</w:t>
      </w:r>
      <w:r w:rsidRPr="00420F69">
        <w:rPr>
          <w:rFonts w:cs="Times New Roman"/>
        </w:rPr>
        <w:t>ally interact with each other when producing that behavior.</w:t>
      </w:r>
      <w:r>
        <w:rPr>
          <w:rFonts w:cs="Times New Roman"/>
        </w:rPr>
        <w:t xml:space="preserve"> (One provocative way to think about the mechanisms in question is as local neural mechanisms that perform simple computational functions and contribute to the production of various forms of intelligent behavior partly by being assembled in different combinations for different purposes [see Anderson 2010], which might or might not be done in a functionally modular way.)</w:t>
      </w:r>
    </w:p>
  </w:footnote>
  <w:footnote w:id="3">
    <w:p w14:paraId="607CAF3F" w14:textId="77777777" w:rsidR="00E44B0C" w:rsidRPr="00306C24" w:rsidRDefault="00E44B0C" w:rsidP="00BD1F9B">
      <w:pPr>
        <w:pStyle w:val="FootnoteText"/>
        <w:rPr>
          <w:rFonts w:cs="Times New Roman"/>
        </w:rPr>
      </w:pPr>
      <w:r w:rsidRPr="000314FB">
        <w:rPr>
          <w:rStyle w:val="FootnoteReference"/>
          <w:rFonts w:cs="Times New Roman"/>
        </w:rPr>
        <w:footnoteRef/>
      </w:r>
      <w:r w:rsidRPr="000314FB">
        <w:rPr>
          <w:rFonts w:cs="Times New Roman"/>
        </w:rPr>
        <w:t xml:space="preserve"> </w:t>
      </w:r>
      <w:r>
        <w:rPr>
          <w:rFonts w:cs="Times New Roman"/>
        </w:rPr>
        <w:t>Thanks to Sydney Shoemaker and Peter Menzies for pressing me on this point.</w:t>
      </w:r>
    </w:p>
  </w:footnote>
  <w:footnote w:id="4">
    <w:p w14:paraId="4F08C6BB" w14:textId="05E3F924" w:rsidR="00E44B0C" w:rsidRPr="006370C0" w:rsidRDefault="00E44B0C" w:rsidP="006370C0">
      <w:pPr>
        <w:pStyle w:val="FootnoteText"/>
      </w:pPr>
      <w:r>
        <w:rPr>
          <w:rStyle w:val="FootnoteReference"/>
        </w:rPr>
        <w:footnoteRef/>
      </w:r>
      <w:r>
        <w:t xml:space="preserve"> Compare Fodor (1983, 101): “</w:t>
      </w:r>
      <w:r w:rsidRPr="00163842">
        <w:t>I have been arguing that the psychological systems whose operations</w:t>
      </w:r>
      <w:r>
        <w:t xml:space="preserve"> “present the world to thought” </w:t>
      </w:r>
      <w:r w:rsidRPr="00163842">
        <w:t>constitute a natural kind by criteria</w:t>
      </w:r>
      <w:r>
        <w:t xml:space="preserve"> independen</w:t>
      </w:r>
      <w:r w:rsidRPr="00163842">
        <w:t>t of their</w:t>
      </w:r>
      <w:r>
        <w:t xml:space="preserve"> similarity of function; there a</w:t>
      </w:r>
      <w:r w:rsidRPr="00163842">
        <w:t>ppears to be a</w:t>
      </w:r>
      <w:r>
        <w:t xml:space="preserve"> </w:t>
      </w:r>
      <w:r w:rsidRPr="00163842">
        <w:t>cluster of properties tha</w:t>
      </w:r>
      <w:r>
        <w:t>t they have in common but which</w:t>
      </w:r>
      <w:r w:rsidRPr="00163842">
        <w:t>, qua</w:t>
      </w:r>
      <w:r>
        <w:t xml:space="preserve"> </w:t>
      </w:r>
      <w:r w:rsidRPr="00163842">
        <w:t>input analyzers, they might perfectly well not have shared.</w:t>
      </w:r>
      <w:r>
        <w:t xml:space="preserve">” Translated to the current context: Various kinds of cognitive systems constitute a natural kind by criteria independent of the fact that they produce what appears to be intelligent behavior; there appears to be a cluster of properties that they have in common – revealed by the success in accounting for the relevant activities of the different systems by appeal to models that bear tweak-and-extend relations to each other – but which, </w:t>
      </w:r>
      <w:r>
        <w:rPr>
          <w:i/>
        </w:rPr>
        <w:t>qua</w:t>
      </w:r>
      <w:r>
        <w:t xml:space="preserve"> producers of behavior that appears intelligent, they perfectly well might not have shared.</w:t>
      </w:r>
    </w:p>
  </w:footnote>
  <w:footnote w:id="5">
    <w:p w14:paraId="0751D314" w14:textId="7B042AD7" w:rsidR="00E44B0C" w:rsidRDefault="00E44B0C">
      <w:pPr>
        <w:pStyle w:val="FootnoteText"/>
      </w:pPr>
      <w:r>
        <w:rPr>
          <w:rStyle w:val="FootnoteReference"/>
        </w:rPr>
        <w:footnoteRef/>
      </w:r>
      <w:r>
        <w:t xml:space="preserve"> Thanks to Dave Statham for pressing me to clarify this (and for putting me on to Nolan’s paper).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DB"/>
    <w:rsid w:val="00003438"/>
    <w:rsid w:val="0001066A"/>
    <w:rsid w:val="000246FE"/>
    <w:rsid w:val="00034F3F"/>
    <w:rsid w:val="00046BE5"/>
    <w:rsid w:val="00050939"/>
    <w:rsid w:val="00050C38"/>
    <w:rsid w:val="00090D81"/>
    <w:rsid w:val="000A3283"/>
    <w:rsid w:val="000B0730"/>
    <w:rsid w:val="000B0DF0"/>
    <w:rsid w:val="000C2955"/>
    <w:rsid w:val="000C65D1"/>
    <w:rsid w:val="00125D45"/>
    <w:rsid w:val="001276EE"/>
    <w:rsid w:val="00163842"/>
    <w:rsid w:val="00190CC5"/>
    <w:rsid w:val="001A0A29"/>
    <w:rsid w:val="001B3DA9"/>
    <w:rsid w:val="001D33DA"/>
    <w:rsid w:val="00200D9E"/>
    <w:rsid w:val="00212AED"/>
    <w:rsid w:val="0023215A"/>
    <w:rsid w:val="00236D0C"/>
    <w:rsid w:val="00240288"/>
    <w:rsid w:val="00253982"/>
    <w:rsid w:val="00274558"/>
    <w:rsid w:val="00275883"/>
    <w:rsid w:val="00280AE8"/>
    <w:rsid w:val="00283088"/>
    <w:rsid w:val="00287C3F"/>
    <w:rsid w:val="002A1D55"/>
    <w:rsid w:val="002B0E2E"/>
    <w:rsid w:val="002D5D05"/>
    <w:rsid w:val="00306835"/>
    <w:rsid w:val="00340BBC"/>
    <w:rsid w:val="00344882"/>
    <w:rsid w:val="003500B0"/>
    <w:rsid w:val="0035278F"/>
    <w:rsid w:val="00364F1C"/>
    <w:rsid w:val="00374276"/>
    <w:rsid w:val="0038148E"/>
    <w:rsid w:val="0038213B"/>
    <w:rsid w:val="003B2C5D"/>
    <w:rsid w:val="003C244D"/>
    <w:rsid w:val="003C5CD2"/>
    <w:rsid w:val="003E78F5"/>
    <w:rsid w:val="003F6852"/>
    <w:rsid w:val="00402CF1"/>
    <w:rsid w:val="00403B68"/>
    <w:rsid w:val="004115F8"/>
    <w:rsid w:val="0044451F"/>
    <w:rsid w:val="00471B27"/>
    <w:rsid w:val="00472E23"/>
    <w:rsid w:val="00475270"/>
    <w:rsid w:val="004777F0"/>
    <w:rsid w:val="00490B99"/>
    <w:rsid w:val="004947BD"/>
    <w:rsid w:val="00494C64"/>
    <w:rsid w:val="00495317"/>
    <w:rsid w:val="004C32F0"/>
    <w:rsid w:val="004E3CCC"/>
    <w:rsid w:val="00515424"/>
    <w:rsid w:val="00530939"/>
    <w:rsid w:val="005455D0"/>
    <w:rsid w:val="00546888"/>
    <w:rsid w:val="0056475D"/>
    <w:rsid w:val="00582280"/>
    <w:rsid w:val="0059539D"/>
    <w:rsid w:val="005B231E"/>
    <w:rsid w:val="006017C6"/>
    <w:rsid w:val="00615677"/>
    <w:rsid w:val="00633C8F"/>
    <w:rsid w:val="0063413D"/>
    <w:rsid w:val="006370C0"/>
    <w:rsid w:val="00637ADA"/>
    <w:rsid w:val="00684169"/>
    <w:rsid w:val="006936AE"/>
    <w:rsid w:val="00693BFA"/>
    <w:rsid w:val="006C17AD"/>
    <w:rsid w:val="006D5723"/>
    <w:rsid w:val="006E3843"/>
    <w:rsid w:val="006E6401"/>
    <w:rsid w:val="00712355"/>
    <w:rsid w:val="00721469"/>
    <w:rsid w:val="00724EB6"/>
    <w:rsid w:val="00733EB2"/>
    <w:rsid w:val="007344EF"/>
    <w:rsid w:val="007364D4"/>
    <w:rsid w:val="00757A6C"/>
    <w:rsid w:val="00793634"/>
    <w:rsid w:val="007C0620"/>
    <w:rsid w:val="007E3080"/>
    <w:rsid w:val="00816556"/>
    <w:rsid w:val="008324B2"/>
    <w:rsid w:val="0089028C"/>
    <w:rsid w:val="008B63CE"/>
    <w:rsid w:val="008C42BF"/>
    <w:rsid w:val="008C49A1"/>
    <w:rsid w:val="008E7B0B"/>
    <w:rsid w:val="008F7FD5"/>
    <w:rsid w:val="00925084"/>
    <w:rsid w:val="0092535D"/>
    <w:rsid w:val="009421CA"/>
    <w:rsid w:val="009464C1"/>
    <w:rsid w:val="009469F6"/>
    <w:rsid w:val="00954A65"/>
    <w:rsid w:val="00976F2C"/>
    <w:rsid w:val="009815D1"/>
    <w:rsid w:val="00983DFD"/>
    <w:rsid w:val="00984744"/>
    <w:rsid w:val="00995CF3"/>
    <w:rsid w:val="009A1678"/>
    <w:rsid w:val="009C7385"/>
    <w:rsid w:val="009D008E"/>
    <w:rsid w:val="009D4F8D"/>
    <w:rsid w:val="009F665A"/>
    <w:rsid w:val="00A26772"/>
    <w:rsid w:val="00A42A06"/>
    <w:rsid w:val="00A54359"/>
    <w:rsid w:val="00A56103"/>
    <w:rsid w:val="00A82A0A"/>
    <w:rsid w:val="00A91EED"/>
    <w:rsid w:val="00AA2E66"/>
    <w:rsid w:val="00AB0B05"/>
    <w:rsid w:val="00B20752"/>
    <w:rsid w:val="00B328FF"/>
    <w:rsid w:val="00B42692"/>
    <w:rsid w:val="00B65BF7"/>
    <w:rsid w:val="00B67D00"/>
    <w:rsid w:val="00B730DB"/>
    <w:rsid w:val="00B74EF8"/>
    <w:rsid w:val="00BA4BA8"/>
    <w:rsid w:val="00BB565F"/>
    <w:rsid w:val="00BC6A10"/>
    <w:rsid w:val="00BD1F9B"/>
    <w:rsid w:val="00BD4658"/>
    <w:rsid w:val="00C04CA2"/>
    <w:rsid w:val="00C25758"/>
    <w:rsid w:val="00C352ED"/>
    <w:rsid w:val="00C427D4"/>
    <w:rsid w:val="00C44922"/>
    <w:rsid w:val="00CC5C62"/>
    <w:rsid w:val="00CE00BA"/>
    <w:rsid w:val="00CF637C"/>
    <w:rsid w:val="00D13C95"/>
    <w:rsid w:val="00D47189"/>
    <w:rsid w:val="00D75DBF"/>
    <w:rsid w:val="00D847DF"/>
    <w:rsid w:val="00D94A02"/>
    <w:rsid w:val="00DA78A8"/>
    <w:rsid w:val="00DB04B6"/>
    <w:rsid w:val="00DC230D"/>
    <w:rsid w:val="00DC32FF"/>
    <w:rsid w:val="00DE3B1F"/>
    <w:rsid w:val="00DF376C"/>
    <w:rsid w:val="00DF39DF"/>
    <w:rsid w:val="00DF478B"/>
    <w:rsid w:val="00E21EC0"/>
    <w:rsid w:val="00E302C0"/>
    <w:rsid w:val="00E362C9"/>
    <w:rsid w:val="00E44B0C"/>
    <w:rsid w:val="00E54403"/>
    <w:rsid w:val="00E624C6"/>
    <w:rsid w:val="00E668DB"/>
    <w:rsid w:val="00E709E3"/>
    <w:rsid w:val="00E861BC"/>
    <w:rsid w:val="00EA1788"/>
    <w:rsid w:val="00EB2BB1"/>
    <w:rsid w:val="00EE1C84"/>
    <w:rsid w:val="00F07E4B"/>
    <w:rsid w:val="00F277DE"/>
    <w:rsid w:val="00F366C5"/>
    <w:rsid w:val="00F401FE"/>
    <w:rsid w:val="00F52CE3"/>
    <w:rsid w:val="00F535D5"/>
    <w:rsid w:val="00F54F2D"/>
    <w:rsid w:val="00F60B73"/>
    <w:rsid w:val="00F67B0B"/>
    <w:rsid w:val="00F743D4"/>
    <w:rsid w:val="00F77E8F"/>
    <w:rsid w:val="00F80497"/>
    <w:rsid w:val="00FD1FA2"/>
    <w:rsid w:val="00FD4F08"/>
    <w:rsid w:val="00FD6D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D6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87C3F"/>
    <w:pPr>
      <w:spacing w:after="0" w:line="480" w:lineRule="auto"/>
    </w:pPr>
    <w:rPr>
      <w:rFonts w:ascii="Times New Roman" w:hAnsi="Times New Roman"/>
    </w:rPr>
  </w:style>
  <w:style w:type="paragraph" w:customStyle="1" w:styleId="Standard">
    <w:name w:val="Standard"/>
    <w:basedOn w:val="Normal"/>
    <w:qFormat/>
    <w:rsid w:val="00530939"/>
    <w:pPr>
      <w:spacing w:after="0" w:line="480" w:lineRule="auto"/>
    </w:pPr>
    <w:rPr>
      <w:rFonts w:ascii="Times New Roman" w:hAnsi="Times New Roman"/>
    </w:rPr>
  </w:style>
  <w:style w:type="paragraph" w:styleId="FootnoteText">
    <w:name w:val="footnote text"/>
    <w:basedOn w:val="Normal"/>
    <w:link w:val="FootnoteTextChar"/>
    <w:uiPriority w:val="99"/>
    <w:unhideWhenUsed/>
    <w:rsid w:val="008B63CE"/>
    <w:pPr>
      <w:spacing w:after="0" w:line="480" w:lineRule="auto"/>
    </w:pPr>
    <w:rPr>
      <w:rFonts w:ascii="Times New Roman" w:hAnsi="Times New Roman"/>
    </w:rPr>
  </w:style>
  <w:style w:type="character" w:customStyle="1" w:styleId="FootnoteTextChar">
    <w:name w:val="Footnote Text Char"/>
    <w:basedOn w:val="DefaultParagraphFont"/>
    <w:link w:val="FootnoteText"/>
    <w:uiPriority w:val="99"/>
    <w:rsid w:val="008B63CE"/>
    <w:rPr>
      <w:rFonts w:ascii="Times New Roman" w:hAnsi="Times New Roman"/>
    </w:rPr>
  </w:style>
  <w:style w:type="character" w:styleId="FootnoteReference">
    <w:name w:val="footnote reference"/>
    <w:basedOn w:val="DefaultParagraphFont"/>
    <w:uiPriority w:val="99"/>
    <w:unhideWhenUsed/>
    <w:rsid w:val="004947BD"/>
    <w:rPr>
      <w:vertAlign w:val="superscript"/>
    </w:rPr>
  </w:style>
  <w:style w:type="paragraph" w:styleId="Header">
    <w:name w:val="header"/>
    <w:basedOn w:val="Normal"/>
    <w:link w:val="HeaderChar"/>
    <w:rsid w:val="00C427D4"/>
    <w:pPr>
      <w:tabs>
        <w:tab w:val="center" w:pos="4320"/>
        <w:tab w:val="right" w:pos="8640"/>
      </w:tabs>
      <w:spacing w:after="0"/>
    </w:pPr>
    <w:rPr>
      <w:rFonts w:ascii="Times New Roman" w:eastAsia="Times New Roman" w:hAnsi="Times New Roman" w:cs="Times New Roman"/>
      <w:lang w:eastAsia="en-US"/>
    </w:rPr>
  </w:style>
  <w:style w:type="character" w:customStyle="1" w:styleId="HeaderChar">
    <w:name w:val="Header Char"/>
    <w:basedOn w:val="DefaultParagraphFont"/>
    <w:link w:val="Header"/>
    <w:rsid w:val="00C427D4"/>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190CC5"/>
    <w:rPr>
      <w:sz w:val="18"/>
      <w:szCs w:val="18"/>
    </w:rPr>
  </w:style>
  <w:style w:type="paragraph" w:styleId="CommentText">
    <w:name w:val="annotation text"/>
    <w:basedOn w:val="Normal"/>
    <w:link w:val="CommentTextChar"/>
    <w:uiPriority w:val="99"/>
    <w:semiHidden/>
    <w:unhideWhenUsed/>
    <w:rsid w:val="00190CC5"/>
  </w:style>
  <w:style w:type="character" w:customStyle="1" w:styleId="CommentTextChar">
    <w:name w:val="Comment Text Char"/>
    <w:basedOn w:val="DefaultParagraphFont"/>
    <w:link w:val="CommentText"/>
    <w:uiPriority w:val="99"/>
    <w:semiHidden/>
    <w:rsid w:val="00190CC5"/>
  </w:style>
  <w:style w:type="paragraph" w:styleId="CommentSubject">
    <w:name w:val="annotation subject"/>
    <w:basedOn w:val="CommentText"/>
    <w:next w:val="CommentText"/>
    <w:link w:val="CommentSubjectChar"/>
    <w:uiPriority w:val="99"/>
    <w:semiHidden/>
    <w:unhideWhenUsed/>
    <w:rsid w:val="00190CC5"/>
    <w:rPr>
      <w:b/>
      <w:bCs/>
      <w:sz w:val="20"/>
      <w:szCs w:val="20"/>
    </w:rPr>
  </w:style>
  <w:style w:type="character" w:customStyle="1" w:styleId="CommentSubjectChar">
    <w:name w:val="Comment Subject Char"/>
    <w:basedOn w:val="CommentTextChar"/>
    <w:link w:val="CommentSubject"/>
    <w:uiPriority w:val="99"/>
    <w:semiHidden/>
    <w:rsid w:val="00190CC5"/>
    <w:rPr>
      <w:b/>
      <w:bCs/>
      <w:sz w:val="20"/>
      <w:szCs w:val="20"/>
    </w:rPr>
  </w:style>
  <w:style w:type="paragraph" w:styleId="Revision">
    <w:name w:val="Revision"/>
    <w:hidden/>
    <w:uiPriority w:val="99"/>
    <w:semiHidden/>
    <w:rsid w:val="00190CC5"/>
    <w:pPr>
      <w:spacing w:after="0"/>
    </w:pPr>
  </w:style>
  <w:style w:type="paragraph" w:styleId="BalloonText">
    <w:name w:val="Balloon Text"/>
    <w:basedOn w:val="Normal"/>
    <w:link w:val="BalloonTextChar"/>
    <w:uiPriority w:val="99"/>
    <w:semiHidden/>
    <w:unhideWhenUsed/>
    <w:rsid w:val="00190CC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C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87C3F"/>
    <w:pPr>
      <w:spacing w:after="0" w:line="480" w:lineRule="auto"/>
    </w:pPr>
    <w:rPr>
      <w:rFonts w:ascii="Times New Roman" w:hAnsi="Times New Roman"/>
    </w:rPr>
  </w:style>
  <w:style w:type="paragraph" w:customStyle="1" w:styleId="Standard">
    <w:name w:val="Standard"/>
    <w:basedOn w:val="Normal"/>
    <w:qFormat/>
    <w:rsid w:val="00530939"/>
    <w:pPr>
      <w:spacing w:after="0" w:line="480" w:lineRule="auto"/>
    </w:pPr>
    <w:rPr>
      <w:rFonts w:ascii="Times New Roman" w:hAnsi="Times New Roman"/>
    </w:rPr>
  </w:style>
  <w:style w:type="paragraph" w:styleId="FootnoteText">
    <w:name w:val="footnote text"/>
    <w:basedOn w:val="Normal"/>
    <w:link w:val="FootnoteTextChar"/>
    <w:uiPriority w:val="99"/>
    <w:unhideWhenUsed/>
    <w:rsid w:val="008B63CE"/>
    <w:pPr>
      <w:spacing w:after="0" w:line="480" w:lineRule="auto"/>
    </w:pPr>
    <w:rPr>
      <w:rFonts w:ascii="Times New Roman" w:hAnsi="Times New Roman"/>
    </w:rPr>
  </w:style>
  <w:style w:type="character" w:customStyle="1" w:styleId="FootnoteTextChar">
    <w:name w:val="Footnote Text Char"/>
    <w:basedOn w:val="DefaultParagraphFont"/>
    <w:link w:val="FootnoteText"/>
    <w:uiPriority w:val="99"/>
    <w:rsid w:val="008B63CE"/>
    <w:rPr>
      <w:rFonts w:ascii="Times New Roman" w:hAnsi="Times New Roman"/>
    </w:rPr>
  </w:style>
  <w:style w:type="character" w:styleId="FootnoteReference">
    <w:name w:val="footnote reference"/>
    <w:basedOn w:val="DefaultParagraphFont"/>
    <w:uiPriority w:val="99"/>
    <w:unhideWhenUsed/>
    <w:rsid w:val="004947BD"/>
    <w:rPr>
      <w:vertAlign w:val="superscript"/>
    </w:rPr>
  </w:style>
  <w:style w:type="paragraph" w:styleId="Header">
    <w:name w:val="header"/>
    <w:basedOn w:val="Normal"/>
    <w:link w:val="HeaderChar"/>
    <w:rsid w:val="00C427D4"/>
    <w:pPr>
      <w:tabs>
        <w:tab w:val="center" w:pos="4320"/>
        <w:tab w:val="right" w:pos="8640"/>
      </w:tabs>
      <w:spacing w:after="0"/>
    </w:pPr>
    <w:rPr>
      <w:rFonts w:ascii="Times New Roman" w:eastAsia="Times New Roman" w:hAnsi="Times New Roman" w:cs="Times New Roman"/>
      <w:lang w:eastAsia="en-US"/>
    </w:rPr>
  </w:style>
  <w:style w:type="character" w:customStyle="1" w:styleId="HeaderChar">
    <w:name w:val="Header Char"/>
    <w:basedOn w:val="DefaultParagraphFont"/>
    <w:link w:val="Header"/>
    <w:rsid w:val="00C427D4"/>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190CC5"/>
    <w:rPr>
      <w:sz w:val="18"/>
      <w:szCs w:val="18"/>
    </w:rPr>
  </w:style>
  <w:style w:type="paragraph" w:styleId="CommentText">
    <w:name w:val="annotation text"/>
    <w:basedOn w:val="Normal"/>
    <w:link w:val="CommentTextChar"/>
    <w:uiPriority w:val="99"/>
    <w:semiHidden/>
    <w:unhideWhenUsed/>
    <w:rsid w:val="00190CC5"/>
  </w:style>
  <w:style w:type="character" w:customStyle="1" w:styleId="CommentTextChar">
    <w:name w:val="Comment Text Char"/>
    <w:basedOn w:val="DefaultParagraphFont"/>
    <w:link w:val="CommentText"/>
    <w:uiPriority w:val="99"/>
    <w:semiHidden/>
    <w:rsid w:val="00190CC5"/>
  </w:style>
  <w:style w:type="paragraph" w:styleId="CommentSubject">
    <w:name w:val="annotation subject"/>
    <w:basedOn w:val="CommentText"/>
    <w:next w:val="CommentText"/>
    <w:link w:val="CommentSubjectChar"/>
    <w:uiPriority w:val="99"/>
    <w:semiHidden/>
    <w:unhideWhenUsed/>
    <w:rsid w:val="00190CC5"/>
    <w:rPr>
      <w:b/>
      <w:bCs/>
      <w:sz w:val="20"/>
      <w:szCs w:val="20"/>
    </w:rPr>
  </w:style>
  <w:style w:type="character" w:customStyle="1" w:styleId="CommentSubjectChar">
    <w:name w:val="Comment Subject Char"/>
    <w:basedOn w:val="CommentTextChar"/>
    <w:link w:val="CommentSubject"/>
    <w:uiPriority w:val="99"/>
    <w:semiHidden/>
    <w:rsid w:val="00190CC5"/>
    <w:rPr>
      <w:b/>
      <w:bCs/>
      <w:sz w:val="20"/>
      <w:szCs w:val="20"/>
    </w:rPr>
  </w:style>
  <w:style w:type="paragraph" w:styleId="Revision">
    <w:name w:val="Revision"/>
    <w:hidden/>
    <w:uiPriority w:val="99"/>
    <w:semiHidden/>
    <w:rsid w:val="00190CC5"/>
    <w:pPr>
      <w:spacing w:after="0"/>
    </w:pPr>
  </w:style>
  <w:style w:type="paragraph" w:styleId="BalloonText">
    <w:name w:val="Balloon Text"/>
    <w:basedOn w:val="Normal"/>
    <w:link w:val="BalloonTextChar"/>
    <w:uiPriority w:val="99"/>
    <w:semiHidden/>
    <w:unhideWhenUsed/>
    <w:rsid w:val="00190CC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C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6952">
      <w:bodyDiv w:val="1"/>
      <w:marLeft w:val="0"/>
      <w:marRight w:val="0"/>
      <w:marTop w:val="0"/>
      <w:marBottom w:val="0"/>
      <w:divBdr>
        <w:top w:val="none" w:sz="0" w:space="0" w:color="auto"/>
        <w:left w:val="none" w:sz="0" w:space="0" w:color="auto"/>
        <w:bottom w:val="none" w:sz="0" w:space="0" w:color="auto"/>
        <w:right w:val="none" w:sz="0" w:space="0" w:color="auto"/>
      </w:divBdr>
    </w:div>
    <w:div w:id="1359232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9816</Words>
  <Characters>55956</Characters>
  <Application>Microsoft Macintosh Word</Application>
  <DocSecurity>0</DocSecurity>
  <Lines>466</Lines>
  <Paragraphs>131</Paragraphs>
  <ScaleCrop>false</ScaleCrop>
  <Company>University of Colorado, Boulder</Company>
  <LinksUpToDate>false</LinksUpToDate>
  <CharactersWithSpaces>65641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Rupert</dc:creator>
  <cp:keywords/>
  <dc:description/>
  <cp:lastModifiedBy>Rob Rupert</cp:lastModifiedBy>
  <cp:revision>2</cp:revision>
  <dcterms:created xsi:type="dcterms:W3CDTF">2013-03-07T19:52:00Z</dcterms:created>
  <dcterms:modified xsi:type="dcterms:W3CDTF">2013-03-07T19:52:00Z</dcterms:modified>
</cp:coreProperties>
</file>